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1C194" w14:textId="14341B7E" w:rsidR="00683E9F" w:rsidRPr="00702087" w:rsidRDefault="00683E9F" w:rsidP="00A35347">
      <w:pPr>
        <w:spacing w:line="276" w:lineRule="auto"/>
        <w:jc w:val="center"/>
        <w:rPr>
          <w:b/>
          <w:lang w:val="en-GB"/>
        </w:rPr>
      </w:pPr>
      <w:r w:rsidRPr="00702087">
        <w:rPr>
          <w:b/>
          <w:lang w:val="en-GB"/>
        </w:rPr>
        <w:t xml:space="preserve">REPORT ON THE IMPLEMENTATION OF THE </w:t>
      </w:r>
      <w:r w:rsidR="00760147">
        <w:rPr>
          <w:b/>
          <w:lang w:val="en-GB"/>
        </w:rPr>
        <w:t xml:space="preserve">AEWA </w:t>
      </w:r>
      <w:r w:rsidRPr="00702087">
        <w:rPr>
          <w:b/>
          <w:lang w:val="en-GB"/>
        </w:rPr>
        <w:t xml:space="preserve">AFRICAN INITIATIVE </w:t>
      </w:r>
    </w:p>
    <w:p w14:paraId="78E6F249" w14:textId="1CD2E954" w:rsidR="00683E9F" w:rsidRDefault="00683E9F" w:rsidP="00635C47">
      <w:pPr>
        <w:jc w:val="both"/>
        <w:rPr>
          <w:b/>
          <w:lang w:val="en-GB"/>
        </w:rPr>
      </w:pPr>
    </w:p>
    <w:p w14:paraId="624DFA87" w14:textId="77777777" w:rsidR="00635C47" w:rsidRDefault="00635C47" w:rsidP="00635C47">
      <w:pPr>
        <w:jc w:val="both"/>
        <w:rPr>
          <w:b/>
          <w:lang w:val="en-GB"/>
        </w:rPr>
      </w:pPr>
    </w:p>
    <w:p w14:paraId="4EE9D21B" w14:textId="67E06F02" w:rsidR="00683E9F" w:rsidRPr="00702087" w:rsidRDefault="00635C47" w:rsidP="00683E9F">
      <w:pPr>
        <w:shd w:val="clear" w:color="auto" w:fill="F2F2F2"/>
        <w:spacing w:line="276" w:lineRule="auto"/>
        <w:jc w:val="both"/>
        <w:rPr>
          <w:b/>
          <w:caps/>
          <w:lang w:val="en-GB"/>
        </w:rPr>
      </w:pPr>
      <w:r w:rsidRPr="00702087">
        <w:rPr>
          <w:b/>
          <w:lang w:val="en-GB"/>
        </w:rPr>
        <w:t>Introduction</w:t>
      </w:r>
    </w:p>
    <w:p w14:paraId="7B2E2BC0" w14:textId="77777777" w:rsidR="00683E9F" w:rsidRPr="00702087" w:rsidRDefault="00683E9F" w:rsidP="00635C47">
      <w:pPr>
        <w:jc w:val="both"/>
        <w:rPr>
          <w:lang w:val="en-GB"/>
        </w:rPr>
      </w:pPr>
    </w:p>
    <w:p w14:paraId="35514BB4" w14:textId="5D870132" w:rsidR="00683E9F" w:rsidRPr="008C78FA" w:rsidRDefault="00683E9F" w:rsidP="00B71F08">
      <w:pPr>
        <w:spacing w:line="276" w:lineRule="auto"/>
        <w:jc w:val="both"/>
        <w:rPr>
          <w:sz w:val="22"/>
          <w:szCs w:val="22"/>
          <w:lang w:val="en-GB"/>
        </w:rPr>
      </w:pPr>
      <w:r w:rsidRPr="008C78FA">
        <w:rPr>
          <w:sz w:val="22"/>
          <w:szCs w:val="22"/>
          <w:lang w:val="en-GB"/>
        </w:rPr>
        <w:t>This report covers the activities of the UNEP/AEWA Secretariat regarding the coord</w:t>
      </w:r>
      <w:r w:rsidRPr="008C78FA">
        <w:rPr>
          <w:sz w:val="22"/>
          <w:szCs w:val="22"/>
          <w:shd w:val="clear" w:color="auto" w:fill="FFFFFF" w:themeFill="background1"/>
          <w:lang w:val="en-GB"/>
        </w:rPr>
        <w:t xml:space="preserve">ination and implementation of the AEWA African Initiative (AI) </w:t>
      </w:r>
      <w:r w:rsidR="002E1AD8" w:rsidRPr="008C78FA">
        <w:rPr>
          <w:sz w:val="22"/>
          <w:szCs w:val="22"/>
          <w:shd w:val="clear" w:color="auto" w:fill="FFFFFF" w:themeFill="background1"/>
          <w:lang w:val="en-GB"/>
        </w:rPr>
        <w:t xml:space="preserve">including the </w:t>
      </w:r>
      <w:r w:rsidRPr="008C78FA">
        <w:rPr>
          <w:sz w:val="22"/>
          <w:szCs w:val="22"/>
          <w:shd w:val="clear" w:color="auto" w:fill="FFFFFF" w:themeFill="background1"/>
          <w:lang w:val="en-GB"/>
        </w:rPr>
        <w:t>related AEWA Plan of Action for Africa (PoAA) 2019-2027 for the period of</w:t>
      </w:r>
      <w:r w:rsidR="00F17A23" w:rsidRPr="008C78FA">
        <w:rPr>
          <w:sz w:val="22"/>
          <w:szCs w:val="22"/>
          <w:shd w:val="clear" w:color="auto" w:fill="FFFFFF" w:themeFill="background1"/>
          <w:lang w:val="en-GB"/>
        </w:rPr>
        <w:t xml:space="preserve"> </w:t>
      </w:r>
      <w:r w:rsidR="002E1AD8" w:rsidRPr="008C78FA">
        <w:rPr>
          <w:sz w:val="22"/>
          <w:szCs w:val="22"/>
          <w:shd w:val="clear" w:color="auto" w:fill="FFFFFF" w:themeFill="background1"/>
          <w:lang w:val="en-GB"/>
        </w:rPr>
        <w:t>November 2019</w:t>
      </w:r>
      <w:r w:rsidR="00F17A23" w:rsidRPr="008C78FA">
        <w:rPr>
          <w:sz w:val="22"/>
          <w:szCs w:val="22"/>
          <w:shd w:val="clear" w:color="auto" w:fill="FFFFFF" w:themeFill="background1"/>
          <w:lang w:val="en-GB"/>
        </w:rPr>
        <w:t xml:space="preserve"> to </w:t>
      </w:r>
      <w:r w:rsidR="002E1AD8" w:rsidRPr="008C78FA">
        <w:rPr>
          <w:sz w:val="22"/>
          <w:szCs w:val="22"/>
          <w:shd w:val="clear" w:color="auto" w:fill="FFFFFF" w:themeFill="background1"/>
          <w:lang w:val="en-GB"/>
        </w:rPr>
        <w:t>March</w:t>
      </w:r>
      <w:r w:rsidR="00F17A23" w:rsidRPr="008C78FA">
        <w:rPr>
          <w:sz w:val="22"/>
          <w:szCs w:val="22"/>
          <w:shd w:val="clear" w:color="auto" w:fill="FFFFFF" w:themeFill="background1"/>
          <w:lang w:val="en-GB"/>
        </w:rPr>
        <w:t xml:space="preserve"> 202</w:t>
      </w:r>
      <w:r w:rsidR="002E1AD8" w:rsidRPr="008C78FA">
        <w:rPr>
          <w:sz w:val="22"/>
          <w:szCs w:val="22"/>
          <w:shd w:val="clear" w:color="auto" w:fill="FFFFFF" w:themeFill="background1"/>
          <w:lang w:val="en-GB"/>
        </w:rPr>
        <w:t>1</w:t>
      </w:r>
      <w:r w:rsidRPr="008C78FA">
        <w:rPr>
          <w:sz w:val="22"/>
          <w:szCs w:val="22"/>
          <w:shd w:val="clear" w:color="auto" w:fill="FFFFFF" w:themeFill="background1"/>
          <w:lang w:val="en-GB"/>
        </w:rPr>
        <w:t>.</w:t>
      </w:r>
    </w:p>
    <w:p w14:paraId="0AD2020C" w14:textId="77777777" w:rsidR="00683E9F" w:rsidRPr="008C78FA" w:rsidRDefault="00683E9F" w:rsidP="00B71F08">
      <w:pPr>
        <w:spacing w:line="276" w:lineRule="auto"/>
        <w:jc w:val="both"/>
        <w:rPr>
          <w:sz w:val="22"/>
          <w:szCs w:val="22"/>
          <w:lang w:val="en-GB"/>
        </w:rPr>
      </w:pPr>
    </w:p>
    <w:p w14:paraId="35A54F0A" w14:textId="1F45D573" w:rsidR="00683E9F" w:rsidRPr="008C78FA" w:rsidRDefault="00683E9F" w:rsidP="00B71F08">
      <w:pPr>
        <w:spacing w:line="276" w:lineRule="auto"/>
        <w:jc w:val="both"/>
        <w:rPr>
          <w:sz w:val="22"/>
          <w:szCs w:val="22"/>
          <w:lang w:val="en-GB"/>
        </w:rPr>
      </w:pPr>
      <w:r w:rsidRPr="008C78FA">
        <w:rPr>
          <w:sz w:val="22"/>
          <w:szCs w:val="22"/>
          <w:lang w:val="en-GB"/>
        </w:rPr>
        <w:t>Daily routine activities of the UNEP/AEWA Secretariat which contribute towards the implementation of the African Initiative are not specifically mentioned in this report. Fundraising efforts relating to the AI and collaboration with partners are described in each relevant section below, rather than in</w:t>
      </w:r>
      <w:r w:rsidR="002E1AD8" w:rsidRPr="008C78FA">
        <w:rPr>
          <w:sz w:val="22"/>
          <w:szCs w:val="22"/>
          <w:lang w:val="en-GB"/>
        </w:rPr>
        <w:t xml:space="preserve"> a</w:t>
      </w:r>
      <w:r w:rsidRPr="008C78FA">
        <w:rPr>
          <w:sz w:val="22"/>
          <w:szCs w:val="22"/>
          <w:lang w:val="en-GB"/>
        </w:rPr>
        <w:t xml:space="preserve"> separate section. </w:t>
      </w:r>
    </w:p>
    <w:p w14:paraId="78CD6949" w14:textId="77777777" w:rsidR="00635C47" w:rsidRPr="00702087" w:rsidRDefault="00635C47" w:rsidP="00B71F08">
      <w:pPr>
        <w:spacing w:line="276" w:lineRule="auto"/>
        <w:jc w:val="both"/>
        <w:rPr>
          <w:lang w:val="en-GB"/>
        </w:rPr>
      </w:pPr>
    </w:p>
    <w:p w14:paraId="21D613D1" w14:textId="77777777" w:rsidR="00683E9F" w:rsidRPr="00702087" w:rsidRDefault="00683E9F" w:rsidP="00B71F08">
      <w:pPr>
        <w:spacing w:line="276" w:lineRule="auto"/>
        <w:jc w:val="both"/>
        <w:rPr>
          <w:lang w:val="en-GB"/>
        </w:rPr>
      </w:pPr>
    </w:p>
    <w:p w14:paraId="2CC302F5" w14:textId="3D3B1DA8" w:rsidR="00683E9F" w:rsidRPr="00702087" w:rsidRDefault="00635C47" w:rsidP="00B71F08">
      <w:pPr>
        <w:pStyle w:val="ListParagraph"/>
        <w:numPr>
          <w:ilvl w:val="0"/>
          <w:numId w:val="18"/>
        </w:numPr>
        <w:shd w:val="clear" w:color="auto" w:fill="F2F2F2"/>
        <w:spacing w:line="276" w:lineRule="auto"/>
        <w:ind w:left="357" w:hanging="357"/>
        <w:contextualSpacing/>
        <w:jc w:val="both"/>
        <w:rPr>
          <w:b/>
          <w:lang w:val="en-GB"/>
        </w:rPr>
      </w:pPr>
      <w:r w:rsidRPr="00702087">
        <w:rPr>
          <w:b/>
          <w:lang w:val="en-GB"/>
        </w:rPr>
        <w:t xml:space="preserve">Coordination </w:t>
      </w:r>
      <w:r>
        <w:rPr>
          <w:b/>
          <w:lang w:val="en-GB"/>
        </w:rPr>
        <w:t>o</w:t>
      </w:r>
      <w:r w:rsidRPr="00702087">
        <w:rPr>
          <w:b/>
          <w:lang w:val="en-GB"/>
        </w:rPr>
        <w:t xml:space="preserve">f </w:t>
      </w:r>
      <w:r>
        <w:rPr>
          <w:b/>
          <w:lang w:val="en-GB"/>
        </w:rPr>
        <w:t>t</w:t>
      </w:r>
      <w:r w:rsidRPr="00702087">
        <w:rPr>
          <w:b/>
          <w:lang w:val="en-GB"/>
        </w:rPr>
        <w:t>he A</w:t>
      </w:r>
      <w:r>
        <w:rPr>
          <w:b/>
          <w:lang w:val="en-GB"/>
        </w:rPr>
        <w:t>EWA</w:t>
      </w:r>
      <w:r w:rsidRPr="00702087">
        <w:rPr>
          <w:b/>
          <w:lang w:val="en-GB"/>
        </w:rPr>
        <w:t xml:space="preserve"> African Initiative</w:t>
      </w:r>
    </w:p>
    <w:p w14:paraId="50553629" w14:textId="77777777" w:rsidR="00683E9F" w:rsidRPr="00702087" w:rsidRDefault="00683E9F" w:rsidP="00B71F08">
      <w:pPr>
        <w:spacing w:line="276" w:lineRule="auto"/>
        <w:jc w:val="both"/>
        <w:rPr>
          <w:lang w:val="en-GB"/>
        </w:rPr>
      </w:pPr>
    </w:p>
    <w:p w14:paraId="700BB5D5" w14:textId="56D19E03" w:rsidR="00683E9F" w:rsidRPr="00702087" w:rsidRDefault="00683E9F" w:rsidP="00B71F08">
      <w:pPr>
        <w:pStyle w:val="ListParagraph"/>
        <w:numPr>
          <w:ilvl w:val="1"/>
          <w:numId w:val="18"/>
        </w:numPr>
        <w:spacing w:after="60" w:line="276" w:lineRule="auto"/>
        <w:ind w:left="426" w:hanging="426"/>
        <w:jc w:val="both"/>
        <w:rPr>
          <w:b/>
          <w:lang w:val="en-GB"/>
        </w:rPr>
      </w:pPr>
      <w:r w:rsidRPr="00702087">
        <w:rPr>
          <w:b/>
          <w:lang w:val="en-GB"/>
        </w:rPr>
        <w:t>AEWA African Initiative Unit</w:t>
      </w:r>
    </w:p>
    <w:p w14:paraId="0C4B9EA6" w14:textId="0FD32166" w:rsidR="00683E9F" w:rsidRPr="008C78FA" w:rsidRDefault="00683E9F" w:rsidP="00B71F08">
      <w:pPr>
        <w:spacing w:line="276" w:lineRule="auto"/>
        <w:jc w:val="both"/>
        <w:rPr>
          <w:sz w:val="22"/>
          <w:szCs w:val="22"/>
          <w:lang w:val="en-GB"/>
        </w:rPr>
      </w:pPr>
      <w:bookmarkStart w:id="0" w:name="_Hlk508702762"/>
      <w:r w:rsidRPr="008C78FA">
        <w:rPr>
          <w:sz w:val="22"/>
          <w:szCs w:val="22"/>
          <w:lang w:val="en-GB"/>
        </w:rPr>
        <w:t xml:space="preserve">The </w:t>
      </w:r>
      <w:r w:rsidR="00F17A23" w:rsidRPr="008C78FA">
        <w:rPr>
          <w:sz w:val="22"/>
          <w:szCs w:val="22"/>
          <w:lang w:val="en-GB"/>
        </w:rPr>
        <w:t xml:space="preserve">AEWA African Initiative Unit </w:t>
      </w:r>
      <w:r w:rsidR="00B172AF" w:rsidRPr="008C78FA">
        <w:rPr>
          <w:sz w:val="22"/>
          <w:szCs w:val="22"/>
          <w:lang w:val="en-GB"/>
        </w:rPr>
        <w:t xml:space="preserve">based </w:t>
      </w:r>
      <w:r w:rsidRPr="008C78FA">
        <w:rPr>
          <w:sz w:val="22"/>
          <w:szCs w:val="22"/>
          <w:lang w:val="en-GB"/>
        </w:rPr>
        <w:t>within the UNEP/AEWA Secretariat</w:t>
      </w:r>
      <w:r w:rsidR="00F17A23" w:rsidRPr="008C78FA">
        <w:rPr>
          <w:sz w:val="22"/>
          <w:szCs w:val="22"/>
          <w:lang w:val="en-GB"/>
        </w:rPr>
        <w:t xml:space="preserve"> </w:t>
      </w:r>
      <w:r w:rsidR="002E1AD8" w:rsidRPr="008C78FA">
        <w:rPr>
          <w:sz w:val="22"/>
          <w:szCs w:val="22"/>
          <w:lang w:val="en-GB"/>
        </w:rPr>
        <w:t>maintained</w:t>
      </w:r>
      <w:r w:rsidR="00F17A23" w:rsidRPr="008C78FA">
        <w:rPr>
          <w:sz w:val="22"/>
          <w:szCs w:val="22"/>
          <w:lang w:val="en-GB"/>
        </w:rPr>
        <w:t xml:space="preserve"> one Associate Programme Officer (P-2 Officer) and one Programme Assistant (G5)</w:t>
      </w:r>
      <w:r w:rsidR="00B172AF" w:rsidRPr="008C78FA">
        <w:rPr>
          <w:sz w:val="22"/>
          <w:szCs w:val="22"/>
          <w:lang w:val="en-GB"/>
        </w:rPr>
        <w:t xml:space="preserve"> and is responsible for</w:t>
      </w:r>
      <w:r w:rsidRPr="008C78FA">
        <w:rPr>
          <w:sz w:val="22"/>
          <w:szCs w:val="22"/>
          <w:lang w:val="en-GB"/>
        </w:rPr>
        <w:t xml:space="preserve"> </w:t>
      </w:r>
      <w:r w:rsidR="00F17A23" w:rsidRPr="008C78FA">
        <w:rPr>
          <w:sz w:val="22"/>
          <w:szCs w:val="22"/>
          <w:lang w:val="en-GB"/>
        </w:rPr>
        <w:t>coordinat</w:t>
      </w:r>
      <w:r w:rsidR="00B172AF" w:rsidRPr="008C78FA">
        <w:rPr>
          <w:sz w:val="22"/>
          <w:szCs w:val="22"/>
          <w:lang w:val="en-GB"/>
        </w:rPr>
        <w:t>ing</w:t>
      </w:r>
      <w:r w:rsidR="00F17A23" w:rsidRPr="008C78FA">
        <w:rPr>
          <w:sz w:val="22"/>
          <w:szCs w:val="22"/>
          <w:lang w:val="en-GB"/>
        </w:rPr>
        <w:t xml:space="preserve"> the implementation of the AEWA African Initiative</w:t>
      </w:r>
      <w:r w:rsidRPr="008C78FA">
        <w:rPr>
          <w:sz w:val="22"/>
          <w:szCs w:val="22"/>
          <w:lang w:val="en-GB"/>
        </w:rPr>
        <w:t xml:space="preserve">. </w:t>
      </w:r>
      <w:r w:rsidR="000B5C25" w:rsidRPr="008C78FA">
        <w:rPr>
          <w:sz w:val="22"/>
          <w:szCs w:val="22"/>
          <w:lang w:val="en-GB"/>
        </w:rPr>
        <w:t>T</w:t>
      </w:r>
      <w:r w:rsidRPr="008C78FA">
        <w:rPr>
          <w:sz w:val="22"/>
          <w:szCs w:val="22"/>
          <w:lang w:val="en-GB"/>
        </w:rPr>
        <w:t>he AEWA core budget 2019-2021</w:t>
      </w:r>
      <w:r w:rsidR="000B5C25" w:rsidRPr="008C78FA">
        <w:rPr>
          <w:sz w:val="22"/>
          <w:szCs w:val="22"/>
          <w:lang w:val="en-GB"/>
        </w:rPr>
        <w:t xml:space="preserve"> approved by Resolution 7.12</w:t>
      </w:r>
      <w:r w:rsidRPr="008C78FA">
        <w:rPr>
          <w:sz w:val="22"/>
          <w:szCs w:val="22"/>
          <w:lang w:val="en-GB"/>
        </w:rPr>
        <w:t xml:space="preserve"> allocates 50% of the funding required for both positions while an additional 50% (P-2) and 30% (G-5) </w:t>
      </w:r>
      <w:r w:rsidR="000B5C25" w:rsidRPr="008C78FA">
        <w:rPr>
          <w:sz w:val="22"/>
          <w:szCs w:val="22"/>
          <w:lang w:val="en-GB"/>
        </w:rPr>
        <w:t>had</w:t>
      </w:r>
      <w:r w:rsidRPr="008C78FA">
        <w:rPr>
          <w:sz w:val="22"/>
          <w:szCs w:val="22"/>
          <w:lang w:val="en-GB"/>
        </w:rPr>
        <w:t xml:space="preserve"> to be provided through voluntary financial contributions, in order to be able to maintain the two AI positions at the required minimum level of 100% full-time (P2) and 80% part-time (G5).  </w:t>
      </w:r>
    </w:p>
    <w:p w14:paraId="4C11F9EE" w14:textId="77777777" w:rsidR="00683E9F" w:rsidRPr="008C78FA" w:rsidRDefault="00683E9F" w:rsidP="00B71F08">
      <w:pPr>
        <w:spacing w:line="276" w:lineRule="auto"/>
        <w:jc w:val="both"/>
        <w:rPr>
          <w:sz w:val="22"/>
          <w:szCs w:val="22"/>
          <w:lang w:val="en-GB"/>
        </w:rPr>
      </w:pPr>
    </w:p>
    <w:p w14:paraId="427685B8" w14:textId="65EF7EE7" w:rsidR="00F75FC7" w:rsidRPr="008C78FA" w:rsidRDefault="00B172AF" w:rsidP="00B71F08">
      <w:pPr>
        <w:spacing w:line="276" w:lineRule="auto"/>
        <w:jc w:val="both"/>
        <w:rPr>
          <w:sz w:val="22"/>
          <w:szCs w:val="22"/>
          <w:lang w:val="en-GB"/>
        </w:rPr>
      </w:pPr>
      <w:r w:rsidRPr="008C78FA">
        <w:rPr>
          <w:sz w:val="22"/>
          <w:szCs w:val="22"/>
          <w:lang w:val="en-GB"/>
        </w:rPr>
        <w:t>During the current reporting period, p</w:t>
      </w:r>
      <w:r w:rsidR="00683E9F" w:rsidRPr="008C78FA">
        <w:rPr>
          <w:sz w:val="22"/>
          <w:szCs w:val="22"/>
          <w:lang w:val="en-GB"/>
        </w:rPr>
        <w:t xml:space="preserve">roviding the two AI positions at this </w:t>
      </w:r>
      <w:r w:rsidRPr="008C78FA">
        <w:rPr>
          <w:sz w:val="22"/>
          <w:szCs w:val="22"/>
          <w:lang w:val="en-GB"/>
        </w:rPr>
        <w:t xml:space="preserve">minimum operational </w:t>
      </w:r>
      <w:r w:rsidR="00683E9F" w:rsidRPr="008C78FA">
        <w:rPr>
          <w:sz w:val="22"/>
          <w:szCs w:val="22"/>
          <w:lang w:val="en-GB"/>
        </w:rPr>
        <w:t>level</w:t>
      </w:r>
      <w:r w:rsidRPr="008C78FA">
        <w:rPr>
          <w:sz w:val="22"/>
          <w:szCs w:val="22"/>
          <w:lang w:val="en-GB"/>
        </w:rPr>
        <w:t xml:space="preserve"> (i.e. 100% P2 and 80% G5)</w:t>
      </w:r>
      <w:r w:rsidR="00683E9F" w:rsidRPr="008C78FA">
        <w:rPr>
          <w:sz w:val="22"/>
          <w:szCs w:val="22"/>
          <w:lang w:val="en-GB"/>
        </w:rPr>
        <w:t xml:space="preserve"> proved </w:t>
      </w:r>
      <w:r w:rsidRPr="008C78FA">
        <w:rPr>
          <w:sz w:val="22"/>
          <w:szCs w:val="22"/>
          <w:lang w:val="en-GB"/>
        </w:rPr>
        <w:t>challenging, but was made possible thanks to the ge</w:t>
      </w:r>
      <w:r w:rsidR="00683E9F" w:rsidRPr="008C78FA">
        <w:rPr>
          <w:sz w:val="22"/>
          <w:szCs w:val="22"/>
          <w:lang w:val="en-GB"/>
        </w:rPr>
        <w:t xml:space="preserve">nerous voluntary financial contributions received from the European Commission </w:t>
      </w:r>
      <w:r w:rsidR="00EE3937" w:rsidRPr="008C78FA">
        <w:rPr>
          <w:sz w:val="22"/>
          <w:szCs w:val="22"/>
          <w:lang w:val="en-GB"/>
        </w:rPr>
        <w:t>(</w:t>
      </w:r>
      <w:r w:rsidR="00683E9F" w:rsidRPr="008C78FA">
        <w:rPr>
          <w:sz w:val="22"/>
          <w:szCs w:val="22"/>
          <w:lang w:val="en-GB"/>
        </w:rPr>
        <w:t>in 2018</w:t>
      </w:r>
      <w:r w:rsidR="00643F34" w:rsidRPr="008C78FA">
        <w:rPr>
          <w:sz w:val="22"/>
          <w:szCs w:val="22"/>
          <w:lang w:val="en-GB"/>
        </w:rPr>
        <w:t xml:space="preserve"> and 2020</w:t>
      </w:r>
      <w:r w:rsidR="00EE3937" w:rsidRPr="008C78FA">
        <w:rPr>
          <w:sz w:val="22"/>
          <w:szCs w:val="22"/>
          <w:lang w:val="en-GB"/>
        </w:rPr>
        <w:t>)</w:t>
      </w:r>
      <w:r w:rsidR="00683E9F" w:rsidRPr="008C78FA">
        <w:rPr>
          <w:sz w:val="22"/>
          <w:szCs w:val="22"/>
          <w:lang w:val="en-GB"/>
        </w:rPr>
        <w:t xml:space="preserve"> and from the Governments of Luxembourg</w:t>
      </w:r>
      <w:r w:rsidR="000E7E27" w:rsidRPr="008C78FA">
        <w:rPr>
          <w:sz w:val="22"/>
          <w:szCs w:val="22"/>
          <w:lang w:val="en-GB"/>
        </w:rPr>
        <w:t xml:space="preserve"> (</w:t>
      </w:r>
      <w:r w:rsidR="00643F34" w:rsidRPr="008C78FA">
        <w:rPr>
          <w:sz w:val="22"/>
          <w:szCs w:val="22"/>
          <w:lang w:val="en-GB"/>
        </w:rPr>
        <w:t>in 2019</w:t>
      </w:r>
      <w:r w:rsidR="000B5C25" w:rsidRPr="008C78FA">
        <w:rPr>
          <w:sz w:val="22"/>
          <w:szCs w:val="22"/>
          <w:lang w:val="en-GB"/>
        </w:rPr>
        <w:t xml:space="preserve"> and 2020</w:t>
      </w:r>
      <w:r w:rsidR="000E7E27" w:rsidRPr="008C78FA">
        <w:rPr>
          <w:sz w:val="22"/>
          <w:szCs w:val="22"/>
          <w:lang w:val="en-GB"/>
        </w:rPr>
        <w:t>)</w:t>
      </w:r>
      <w:r w:rsidR="00643F34" w:rsidRPr="008C78FA">
        <w:rPr>
          <w:sz w:val="22"/>
          <w:szCs w:val="22"/>
          <w:lang w:val="en-GB"/>
        </w:rPr>
        <w:t>,</w:t>
      </w:r>
      <w:r w:rsidR="00683E9F" w:rsidRPr="008C78FA">
        <w:rPr>
          <w:sz w:val="22"/>
          <w:szCs w:val="22"/>
          <w:lang w:val="en-GB"/>
        </w:rPr>
        <w:t xml:space="preserve"> Germany </w:t>
      </w:r>
      <w:r w:rsidR="00643F34" w:rsidRPr="008C78FA">
        <w:rPr>
          <w:sz w:val="22"/>
          <w:szCs w:val="22"/>
          <w:lang w:val="en-GB"/>
        </w:rPr>
        <w:t>(</w:t>
      </w:r>
      <w:r w:rsidR="00683E9F" w:rsidRPr="008C78FA">
        <w:rPr>
          <w:sz w:val="22"/>
          <w:szCs w:val="22"/>
          <w:lang w:val="en-GB"/>
        </w:rPr>
        <w:t>in 2019</w:t>
      </w:r>
      <w:r w:rsidR="00643F34" w:rsidRPr="008C78FA">
        <w:rPr>
          <w:sz w:val="22"/>
          <w:szCs w:val="22"/>
          <w:lang w:val="en-GB"/>
        </w:rPr>
        <w:t>), Switzerland (in 2019) and United Kingdom (2019</w:t>
      </w:r>
      <w:r w:rsidR="000B5C25" w:rsidRPr="008C78FA">
        <w:rPr>
          <w:sz w:val="22"/>
          <w:szCs w:val="22"/>
          <w:lang w:val="en-GB"/>
        </w:rPr>
        <w:t xml:space="preserve"> and 2021</w:t>
      </w:r>
      <w:r w:rsidR="00643F34" w:rsidRPr="008C78FA">
        <w:rPr>
          <w:sz w:val="22"/>
          <w:szCs w:val="22"/>
          <w:lang w:val="en-GB"/>
        </w:rPr>
        <w:t>)</w:t>
      </w:r>
      <w:r w:rsidRPr="008C78FA">
        <w:rPr>
          <w:sz w:val="22"/>
          <w:szCs w:val="22"/>
          <w:lang w:val="en-GB"/>
        </w:rPr>
        <w:t xml:space="preserve">. These </w:t>
      </w:r>
      <w:r w:rsidR="00683E9F" w:rsidRPr="008C78FA">
        <w:rPr>
          <w:sz w:val="22"/>
          <w:szCs w:val="22"/>
          <w:lang w:val="en-GB"/>
        </w:rPr>
        <w:t xml:space="preserve">contributed to supplementing both positions up to </w:t>
      </w:r>
      <w:r w:rsidRPr="008C78FA">
        <w:rPr>
          <w:sz w:val="22"/>
          <w:szCs w:val="22"/>
          <w:lang w:val="en-GB"/>
        </w:rPr>
        <w:t>the</w:t>
      </w:r>
      <w:r w:rsidR="00683E9F" w:rsidRPr="008C78FA">
        <w:rPr>
          <w:sz w:val="22"/>
          <w:szCs w:val="22"/>
          <w:lang w:val="en-GB"/>
        </w:rPr>
        <w:t xml:space="preserve"> current level of functioning. </w:t>
      </w:r>
      <w:r w:rsidR="00643F34" w:rsidRPr="008C78FA">
        <w:rPr>
          <w:sz w:val="22"/>
          <w:szCs w:val="22"/>
          <w:lang w:val="en-GB"/>
        </w:rPr>
        <w:t xml:space="preserve">In addition, </w:t>
      </w:r>
      <w:r w:rsidR="000B5C25" w:rsidRPr="008C78FA">
        <w:rPr>
          <w:sz w:val="22"/>
          <w:szCs w:val="22"/>
          <w:lang w:val="en-GB"/>
        </w:rPr>
        <w:t>in August 2020, the AEWA Standing Committee</w:t>
      </w:r>
      <w:r w:rsidR="007A12E9" w:rsidRPr="008C78FA">
        <w:rPr>
          <w:sz w:val="22"/>
          <w:szCs w:val="22"/>
          <w:lang w:val="en-GB"/>
        </w:rPr>
        <w:t xml:space="preserve"> approved </w:t>
      </w:r>
      <w:r w:rsidR="006D7DD4" w:rsidRPr="008C78FA">
        <w:rPr>
          <w:sz w:val="22"/>
          <w:szCs w:val="22"/>
          <w:lang w:val="en-GB"/>
        </w:rPr>
        <w:t>the</w:t>
      </w:r>
      <w:r w:rsidR="00643F34" w:rsidRPr="008C78FA">
        <w:rPr>
          <w:sz w:val="22"/>
          <w:szCs w:val="22"/>
          <w:lang w:val="en-GB"/>
        </w:rPr>
        <w:t xml:space="preserve"> reversal </w:t>
      </w:r>
      <w:r w:rsidRPr="008C78FA">
        <w:rPr>
          <w:sz w:val="22"/>
          <w:szCs w:val="22"/>
          <w:lang w:val="en-GB"/>
        </w:rPr>
        <w:t xml:space="preserve">of </w:t>
      </w:r>
      <w:r w:rsidR="00643F34" w:rsidRPr="008C78FA">
        <w:rPr>
          <w:sz w:val="22"/>
          <w:szCs w:val="22"/>
          <w:lang w:val="en-GB"/>
        </w:rPr>
        <w:t>fund</w:t>
      </w:r>
      <w:r w:rsidR="006D7DD4" w:rsidRPr="008C78FA">
        <w:rPr>
          <w:sz w:val="22"/>
          <w:szCs w:val="22"/>
          <w:lang w:val="en-GB"/>
        </w:rPr>
        <w:t>s</w:t>
      </w:r>
      <w:r w:rsidR="00643F34" w:rsidRPr="008C78FA">
        <w:rPr>
          <w:sz w:val="22"/>
          <w:szCs w:val="22"/>
          <w:lang w:val="en-GB"/>
        </w:rPr>
        <w:t xml:space="preserve"> from the AEWA 2020 </w:t>
      </w:r>
      <w:r w:rsidRPr="008C78FA">
        <w:rPr>
          <w:sz w:val="22"/>
          <w:szCs w:val="22"/>
          <w:lang w:val="en-GB"/>
        </w:rPr>
        <w:t xml:space="preserve">core </w:t>
      </w:r>
      <w:r w:rsidR="00643F34" w:rsidRPr="008C78FA">
        <w:rPr>
          <w:sz w:val="22"/>
          <w:szCs w:val="22"/>
          <w:lang w:val="en-GB"/>
        </w:rPr>
        <w:t>travel budget line to the staff budget line</w:t>
      </w:r>
      <w:r w:rsidRPr="008C78FA">
        <w:rPr>
          <w:sz w:val="22"/>
          <w:szCs w:val="22"/>
          <w:lang w:val="en-GB"/>
        </w:rPr>
        <w:t xml:space="preserve"> for both AI positions, </w:t>
      </w:r>
      <w:r w:rsidR="006D7DD4" w:rsidRPr="008C78FA">
        <w:rPr>
          <w:sz w:val="22"/>
          <w:szCs w:val="22"/>
          <w:lang w:val="en-GB"/>
        </w:rPr>
        <w:t>to</w:t>
      </w:r>
      <w:r w:rsidRPr="008C78FA">
        <w:rPr>
          <w:sz w:val="22"/>
          <w:szCs w:val="22"/>
          <w:lang w:val="en-GB"/>
        </w:rPr>
        <w:t xml:space="preserve"> </w:t>
      </w:r>
      <w:r w:rsidR="006D7DD4" w:rsidRPr="008C78FA">
        <w:rPr>
          <w:sz w:val="22"/>
          <w:szCs w:val="22"/>
          <w:lang w:val="en-GB"/>
        </w:rPr>
        <w:t>urgently</w:t>
      </w:r>
      <w:r w:rsidR="00643F34" w:rsidRPr="008C78FA">
        <w:rPr>
          <w:sz w:val="22"/>
          <w:szCs w:val="22"/>
          <w:lang w:val="en-GB"/>
        </w:rPr>
        <w:t xml:space="preserve"> supplement </w:t>
      </w:r>
      <w:r w:rsidR="000406FD" w:rsidRPr="008C78FA">
        <w:rPr>
          <w:sz w:val="22"/>
          <w:szCs w:val="22"/>
          <w:lang w:val="en-GB"/>
        </w:rPr>
        <w:t xml:space="preserve">both positions </w:t>
      </w:r>
      <w:r w:rsidRPr="008C78FA">
        <w:rPr>
          <w:sz w:val="22"/>
          <w:szCs w:val="22"/>
          <w:lang w:val="en-GB"/>
        </w:rPr>
        <w:t>during that period</w:t>
      </w:r>
      <w:r w:rsidR="001734ED" w:rsidRPr="008C78FA">
        <w:rPr>
          <w:sz w:val="22"/>
          <w:szCs w:val="22"/>
          <w:lang w:val="en-GB"/>
        </w:rPr>
        <w:t>. This was possible due to the COVID-19 travel restrictions which prevented use of the AEWA core budget travel allocation in 2020</w:t>
      </w:r>
      <w:r w:rsidR="000406FD" w:rsidRPr="008C78FA">
        <w:rPr>
          <w:sz w:val="22"/>
          <w:szCs w:val="22"/>
          <w:lang w:val="en-GB"/>
        </w:rPr>
        <w:t>.</w:t>
      </w:r>
      <w:r w:rsidRPr="008C78FA">
        <w:rPr>
          <w:sz w:val="22"/>
          <w:szCs w:val="22"/>
          <w:lang w:val="en-GB"/>
        </w:rPr>
        <w:t xml:space="preserve"> </w:t>
      </w:r>
      <w:r w:rsidR="00017047" w:rsidRPr="008C78FA">
        <w:rPr>
          <w:sz w:val="22"/>
          <w:szCs w:val="22"/>
          <w:lang w:val="en-GB"/>
        </w:rPr>
        <w:t>While the AEWA Secretariat continues fund-raise in this regard, it is worth noting that significant effort and time are invested to secure voluntary contributions required to supplement both African Initiative positions at the current operational level (100% P2 and 80% G5 staff) and the Secretariat hopes for more sustainable solutions for the future funding of these positions</w:t>
      </w:r>
      <w:r w:rsidR="006D7DD4" w:rsidRPr="008C78FA">
        <w:rPr>
          <w:sz w:val="22"/>
          <w:szCs w:val="22"/>
          <w:lang w:val="en-GB"/>
        </w:rPr>
        <w:t>.</w:t>
      </w:r>
    </w:p>
    <w:p w14:paraId="761F26AF" w14:textId="77777777" w:rsidR="00683E9F" w:rsidRPr="00702087" w:rsidRDefault="00683E9F" w:rsidP="00B71F08">
      <w:pPr>
        <w:spacing w:line="276" w:lineRule="auto"/>
        <w:jc w:val="both"/>
        <w:rPr>
          <w:lang w:val="en-GB"/>
        </w:rPr>
      </w:pPr>
    </w:p>
    <w:bookmarkEnd w:id="0"/>
    <w:p w14:paraId="241BFCEA" w14:textId="0AE12289" w:rsidR="00683E9F" w:rsidRPr="00BB2ADE" w:rsidRDefault="00683E9F" w:rsidP="00B71F08">
      <w:pPr>
        <w:pStyle w:val="ListParagraph"/>
        <w:numPr>
          <w:ilvl w:val="1"/>
          <w:numId w:val="18"/>
        </w:numPr>
        <w:spacing w:after="60" w:line="276" w:lineRule="auto"/>
        <w:ind w:left="426" w:hanging="426"/>
        <w:jc w:val="both"/>
        <w:rPr>
          <w:b/>
          <w:lang w:val="en-GB"/>
        </w:rPr>
      </w:pPr>
      <w:r w:rsidRPr="00BB2ADE">
        <w:rPr>
          <w:b/>
          <w:lang w:val="en-GB"/>
        </w:rPr>
        <w:t>Technical Support Unit</w:t>
      </w:r>
    </w:p>
    <w:p w14:paraId="1CE62B70" w14:textId="78429163" w:rsidR="00B26F85" w:rsidRPr="008C78FA" w:rsidRDefault="00683E9F" w:rsidP="00B71F08">
      <w:pPr>
        <w:spacing w:line="276" w:lineRule="auto"/>
        <w:jc w:val="both"/>
        <w:rPr>
          <w:sz w:val="22"/>
          <w:szCs w:val="22"/>
          <w:lang w:val="en-GB"/>
        </w:rPr>
      </w:pPr>
      <w:r w:rsidRPr="008C78FA">
        <w:rPr>
          <w:sz w:val="22"/>
          <w:szCs w:val="22"/>
          <w:lang w:val="en-GB"/>
        </w:rPr>
        <w:t>The Technical Support Unit (TSU), a multi-disciplinary team of experts offered by the Government of France</w:t>
      </w:r>
      <w:r w:rsidR="008306FA" w:rsidRPr="008C78FA">
        <w:rPr>
          <w:sz w:val="22"/>
          <w:szCs w:val="22"/>
          <w:lang w:val="en-GB"/>
        </w:rPr>
        <w:t>,</w:t>
      </w:r>
      <w:r w:rsidRPr="008C78FA">
        <w:rPr>
          <w:sz w:val="22"/>
          <w:szCs w:val="22"/>
          <w:lang w:val="en-GB"/>
        </w:rPr>
        <w:t xml:space="preserve"> continues to provide technical support to the African Range States in various areas</w:t>
      </w:r>
      <w:r w:rsidR="00203E97" w:rsidRPr="008C78FA">
        <w:rPr>
          <w:sz w:val="22"/>
          <w:szCs w:val="22"/>
          <w:lang w:val="en-GB"/>
        </w:rPr>
        <w:t xml:space="preserve"> of waterbird conservation</w:t>
      </w:r>
      <w:r w:rsidRPr="008C78FA">
        <w:rPr>
          <w:sz w:val="22"/>
          <w:szCs w:val="22"/>
          <w:lang w:val="en-GB"/>
        </w:rPr>
        <w:t xml:space="preserve">. </w:t>
      </w:r>
      <w:r w:rsidR="008306FA" w:rsidRPr="008C78FA">
        <w:rPr>
          <w:sz w:val="22"/>
          <w:szCs w:val="22"/>
          <w:lang w:val="en-GB"/>
        </w:rPr>
        <w:lastRenderedPageBreak/>
        <w:t>In June 2020, the UNEP/AEWA Secretariat participated in the 4</w:t>
      </w:r>
      <w:r w:rsidR="008306FA" w:rsidRPr="008C78FA">
        <w:rPr>
          <w:sz w:val="22"/>
          <w:szCs w:val="22"/>
          <w:vertAlign w:val="superscript"/>
          <w:lang w:val="en-GB"/>
        </w:rPr>
        <w:t>th</w:t>
      </w:r>
      <w:r w:rsidR="008306FA" w:rsidRPr="008C78FA">
        <w:rPr>
          <w:sz w:val="22"/>
          <w:szCs w:val="22"/>
          <w:lang w:val="en-GB"/>
        </w:rPr>
        <w:t xml:space="preserve"> Project Steering Committee (PSC) meeting of the RESSOURCE Project</w:t>
      </w:r>
      <w:r w:rsidR="00203E97" w:rsidRPr="008C78FA">
        <w:rPr>
          <w:sz w:val="22"/>
          <w:szCs w:val="22"/>
          <w:lang w:val="en-GB"/>
        </w:rPr>
        <w:t>. The project is a</w:t>
      </w:r>
      <w:r w:rsidR="00B26F85" w:rsidRPr="008C78FA">
        <w:rPr>
          <w:sz w:val="22"/>
          <w:szCs w:val="22"/>
          <w:lang w:val="en-GB"/>
        </w:rPr>
        <w:t xml:space="preserve"> joint initiative of several institutions (including the TSU) and funded by the Food and Agriculture Organization of the United Nations (FAO), the French Global Environment Facility (FFEM) and the European Union (EU) through the SWM Programme, among others and aims to improve the management of natural resources, especially waterbirds, in some major Sahelian wetlands in Africa</w:t>
      </w:r>
      <w:r w:rsidR="00333770" w:rsidRPr="008C78FA">
        <w:rPr>
          <w:sz w:val="22"/>
          <w:szCs w:val="22"/>
          <w:lang w:val="en-GB"/>
        </w:rPr>
        <w:t xml:space="preserve"> (Chad, Egypt, Mali, Senegal and Sudan)</w:t>
      </w:r>
      <w:r w:rsidR="00B26F85" w:rsidRPr="008C78FA">
        <w:rPr>
          <w:sz w:val="22"/>
          <w:szCs w:val="22"/>
          <w:lang w:val="en-GB"/>
        </w:rPr>
        <w:t>.</w:t>
      </w:r>
      <w:r w:rsidR="00333770" w:rsidRPr="008C78FA">
        <w:rPr>
          <w:sz w:val="22"/>
          <w:szCs w:val="22"/>
          <w:lang w:val="en-GB"/>
        </w:rPr>
        <w:t xml:space="preserve"> </w:t>
      </w:r>
      <w:r w:rsidR="00203E97" w:rsidRPr="008C78FA">
        <w:rPr>
          <w:sz w:val="22"/>
          <w:szCs w:val="22"/>
          <w:lang w:val="en-GB"/>
        </w:rPr>
        <w:t>Section 2.6 of the current report details some follow-up actions re</w:t>
      </w:r>
      <w:r w:rsidR="00312041" w:rsidRPr="008C78FA">
        <w:rPr>
          <w:sz w:val="22"/>
          <w:szCs w:val="22"/>
          <w:lang w:val="en-GB"/>
        </w:rPr>
        <w:t>sulting from</w:t>
      </w:r>
      <w:r w:rsidR="00203E97" w:rsidRPr="008C78FA">
        <w:rPr>
          <w:sz w:val="22"/>
          <w:szCs w:val="22"/>
          <w:lang w:val="en-GB"/>
        </w:rPr>
        <w:t xml:space="preserve"> this PSC meeting</w:t>
      </w:r>
      <w:r w:rsidR="00333770" w:rsidRPr="008C78FA">
        <w:rPr>
          <w:sz w:val="22"/>
          <w:szCs w:val="22"/>
          <w:lang w:val="en-GB"/>
        </w:rPr>
        <w:t>.</w:t>
      </w:r>
    </w:p>
    <w:p w14:paraId="407FCF59" w14:textId="77777777" w:rsidR="008C78FA" w:rsidRPr="007835EB" w:rsidRDefault="008C78FA" w:rsidP="00B71F08">
      <w:pPr>
        <w:spacing w:line="276" w:lineRule="auto"/>
        <w:jc w:val="both"/>
        <w:rPr>
          <w:lang w:val="en-GB"/>
        </w:rPr>
      </w:pPr>
    </w:p>
    <w:p w14:paraId="2C2540DE" w14:textId="617AADD2" w:rsidR="00683E9F" w:rsidRPr="00702087" w:rsidRDefault="00683E9F" w:rsidP="00B71F08">
      <w:pPr>
        <w:pStyle w:val="ListParagraph"/>
        <w:numPr>
          <w:ilvl w:val="1"/>
          <w:numId w:val="18"/>
        </w:numPr>
        <w:spacing w:after="60" w:line="276" w:lineRule="auto"/>
        <w:ind w:left="426" w:hanging="426"/>
        <w:jc w:val="both"/>
        <w:rPr>
          <w:b/>
          <w:lang w:val="en-GB"/>
        </w:rPr>
      </w:pPr>
      <w:r w:rsidRPr="00702087">
        <w:rPr>
          <w:b/>
          <w:lang w:val="en-GB"/>
        </w:rPr>
        <w:t>Sub-Regional Focal Point Coordinators</w:t>
      </w:r>
    </w:p>
    <w:p w14:paraId="2C365D11" w14:textId="32D06767" w:rsidR="00683E9F" w:rsidRPr="008C78FA" w:rsidRDefault="00534464" w:rsidP="00B71F08">
      <w:pPr>
        <w:spacing w:line="276" w:lineRule="auto"/>
        <w:jc w:val="both"/>
        <w:rPr>
          <w:sz w:val="22"/>
          <w:szCs w:val="22"/>
          <w:lang w:val="en-GB"/>
        </w:rPr>
      </w:pPr>
      <w:r w:rsidRPr="008C78FA">
        <w:rPr>
          <w:sz w:val="22"/>
          <w:szCs w:val="22"/>
          <w:lang w:val="en-GB"/>
        </w:rPr>
        <w:t>Based on</w:t>
      </w:r>
      <w:r w:rsidR="00683E9F" w:rsidRPr="008C78FA">
        <w:rPr>
          <w:sz w:val="22"/>
          <w:szCs w:val="22"/>
          <w:lang w:val="en-GB"/>
        </w:rPr>
        <w:t xml:space="preserve"> the revis</w:t>
      </w:r>
      <w:r w:rsidRPr="008C78FA">
        <w:rPr>
          <w:sz w:val="22"/>
          <w:szCs w:val="22"/>
          <w:lang w:val="en-GB"/>
        </w:rPr>
        <w:t>ed</w:t>
      </w:r>
      <w:r w:rsidR="00683E9F" w:rsidRPr="008C78FA">
        <w:rPr>
          <w:sz w:val="22"/>
          <w:szCs w:val="22"/>
          <w:lang w:val="en-GB"/>
        </w:rPr>
        <w:t xml:space="preserve"> Terms of Reference (ToRs) for the AEWA Sub-Regional Focal Point Coordinators (SRFPCs) in Africa</w:t>
      </w:r>
      <w:r w:rsidR="00683E9F" w:rsidRPr="008C78FA">
        <w:rPr>
          <w:sz w:val="22"/>
          <w:szCs w:val="22"/>
          <w:vertAlign w:val="superscript"/>
          <w:lang w:val="en-GB"/>
        </w:rPr>
        <w:footnoteReference w:id="1"/>
      </w:r>
      <w:r w:rsidR="00683E9F" w:rsidRPr="008C78FA">
        <w:rPr>
          <w:sz w:val="22"/>
          <w:szCs w:val="22"/>
          <w:lang w:val="en-GB"/>
        </w:rPr>
        <w:t xml:space="preserve">, adopted through Resolution 7.1, new SRFPCs have been </w:t>
      </w:r>
      <w:r w:rsidR="00D14D6F" w:rsidRPr="008C78FA">
        <w:rPr>
          <w:sz w:val="22"/>
          <w:szCs w:val="22"/>
          <w:lang w:val="en-GB"/>
        </w:rPr>
        <w:t xml:space="preserve">confirmed and are </w:t>
      </w:r>
      <w:r w:rsidR="00683E9F" w:rsidRPr="008C78FA">
        <w:rPr>
          <w:sz w:val="22"/>
          <w:szCs w:val="22"/>
          <w:lang w:val="en-GB"/>
        </w:rPr>
        <w:t xml:space="preserve">in place </w:t>
      </w:r>
      <w:r w:rsidRPr="008C78FA">
        <w:rPr>
          <w:sz w:val="22"/>
          <w:szCs w:val="22"/>
          <w:lang w:val="en-GB"/>
        </w:rPr>
        <w:t>for</w:t>
      </w:r>
      <w:r w:rsidR="00683E9F" w:rsidRPr="008C78FA">
        <w:rPr>
          <w:sz w:val="22"/>
          <w:szCs w:val="22"/>
          <w:lang w:val="en-GB"/>
        </w:rPr>
        <w:t xml:space="preserve"> four </w:t>
      </w:r>
      <w:r w:rsidR="00312041" w:rsidRPr="008C78FA">
        <w:rPr>
          <w:sz w:val="22"/>
          <w:szCs w:val="22"/>
          <w:lang w:val="en-GB"/>
        </w:rPr>
        <w:t xml:space="preserve">out </w:t>
      </w:r>
      <w:r w:rsidR="00683E9F" w:rsidRPr="008C78FA">
        <w:rPr>
          <w:sz w:val="22"/>
          <w:szCs w:val="22"/>
          <w:lang w:val="en-GB"/>
        </w:rPr>
        <w:t>of the five sub-regions in Africa since MOP7 (i.e. Northern, Eastern, Southern and Western Africa</w:t>
      </w:r>
      <w:r w:rsidR="004102AD" w:rsidRPr="008C78FA">
        <w:rPr>
          <w:rStyle w:val="FootnoteReference"/>
          <w:sz w:val="22"/>
          <w:szCs w:val="22"/>
          <w:lang w:val="en-GB"/>
        </w:rPr>
        <w:footnoteReference w:id="2"/>
      </w:r>
      <w:r w:rsidR="00683E9F" w:rsidRPr="008C78FA">
        <w:rPr>
          <w:sz w:val="22"/>
          <w:szCs w:val="22"/>
          <w:lang w:val="en-GB"/>
        </w:rPr>
        <w:t>). As per the revised ToRs, the nominated AEWA Standing Committee (StC) regional representatives</w:t>
      </w:r>
      <w:r w:rsidR="004102AD" w:rsidRPr="008C78FA">
        <w:rPr>
          <w:sz w:val="22"/>
          <w:szCs w:val="22"/>
          <w:lang w:val="en-GB"/>
        </w:rPr>
        <w:t>/alternates</w:t>
      </w:r>
      <w:r w:rsidR="00683E9F" w:rsidRPr="008C78FA">
        <w:rPr>
          <w:sz w:val="22"/>
          <w:szCs w:val="22"/>
          <w:lang w:val="en-GB"/>
        </w:rPr>
        <w:t xml:space="preserve"> for these four regions by default assumed the role of SRFPC. </w:t>
      </w:r>
      <w:r w:rsidRPr="008C78FA">
        <w:rPr>
          <w:sz w:val="22"/>
          <w:szCs w:val="22"/>
          <w:lang w:val="en-GB"/>
        </w:rPr>
        <w:t>For the Central African sub-region which has no</w:t>
      </w:r>
      <w:r w:rsidR="00236F18" w:rsidRPr="008C78FA">
        <w:rPr>
          <w:sz w:val="22"/>
          <w:szCs w:val="22"/>
          <w:lang w:val="en-GB"/>
        </w:rPr>
        <w:t xml:space="preserve"> </w:t>
      </w:r>
      <w:r w:rsidR="004102AD" w:rsidRPr="008C78FA">
        <w:rPr>
          <w:sz w:val="22"/>
          <w:szCs w:val="22"/>
          <w:lang w:val="en-GB"/>
        </w:rPr>
        <w:t xml:space="preserve">regional </w:t>
      </w:r>
      <w:r w:rsidRPr="008C78FA">
        <w:rPr>
          <w:sz w:val="22"/>
          <w:szCs w:val="22"/>
          <w:lang w:val="en-GB"/>
        </w:rPr>
        <w:t>representative</w:t>
      </w:r>
      <w:r w:rsidR="004102AD" w:rsidRPr="008C78FA">
        <w:rPr>
          <w:sz w:val="22"/>
          <w:szCs w:val="22"/>
          <w:lang w:val="en-GB"/>
        </w:rPr>
        <w:t>/alternate</w:t>
      </w:r>
      <w:r w:rsidRPr="008C78FA">
        <w:rPr>
          <w:sz w:val="22"/>
          <w:szCs w:val="22"/>
          <w:lang w:val="en-GB"/>
        </w:rPr>
        <w:t xml:space="preserve"> on the AEWA Standing Committee, t</w:t>
      </w:r>
      <w:r w:rsidR="00683E9F" w:rsidRPr="008C78FA">
        <w:rPr>
          <w:sz w:val="22"/>
          <w:szCs w:val="22"/>
          <w:lang w:val="en-GB"/>
        </w:rPr>
        <w:t xml:space="preserve">he Secretariat has been in close contact with the NFPs </w:t>
      </w:r>
      <w:r w:rsidR="004102AD" w:rsidRPr="008C78FA">
        <w:rPr>
          <w:sz w:val="22"/>
          <w:szCs w:val="22"/>
          <w:lang w:val="en-GB"/>
        </w:rPr>
        <w:t xml:space="preserve">of the </w:t>
      </w:r>
      <w:r w:rsidR="00683E9F" w:rsidRPr="008C78FA">
        <w:rPr>
          <w:sz w:val="22"/>
          <w:szCs w:val="22"/>
          <w:lang w:val="en-GB"/>
        </w:rPr>
        <w:t xml:space="preserve">sub-region to </w:t>
      </w:r>
      <w:r w:rsidRPr="008C78FA">
        <w:rPr>
          <w:sz w:val="22"/>
          <w:szCs w:val="22"/>
          <w:lang w:val="en-GB"/>
        </w:rPr>
        <w:t xml:space="preserve">guide and facilitate </w:t>
      </w:r>
      <w:r w:rsidR="00683E9F" w:rsidRPr="008C78FA">
        <w:rPr>
          <w:sz w:val="22"/>
          <w:szCs w:val="22"/>
          <w:lang w:val="en-GB"/>
        </w:rPr>
        <w:t xml:space="preserve">the process of nominating </w:t>
      </w:r>
      <w:r w:rsidRPr="008C78FA">
        <w:rPr>
          <w:sz w:val="22"/>
          <w:szCs w:val="22"/>
          <w:lang w:val="en-GB"/>
        </w:rPr>
        <w:t>a</w:t>
      </w:r>
      <w:r w:rsidR="00683E9F" w:rsidRPr="008C78FA">
        <w:rPr>
          <w:sz w:val="22"/>
          <w:szCs w:val="22"/>
          <w:lang w:val="en-GB"/>
        </w:rPr>
        <w:t xml:space="preserve"> SRFPC.</w:t>
      </w:r>
      <w:r w:rsidR="00D14D6F" w:rsidRPr="008C78FA">
        <w:rPr>
          <w:sz w:val="22"/>
          <w:szCs w:val="22"/>
          <w:lang w:val="en-GB"/>
        </w:rPr>
        <w:t xml:space="preserve"> </w:t>
      </w:r>
      <w:r w:rsidRPr="008C78FA">
        <w:rPr>
          <w:sz w:val="22"/>
          <w:szCs w:val="22"/>
          <w:lang w:val="en-GB"/>
        </w:rPr>
        <w:t>F</w:t>
      </w:r>
      <w:r w:rsidR="00D14D6F" w:rsidRPr="008C78FA">
        <w:rPr>
          <w:sz w:val="22"/>
          <w:szCs w:val="22"/>
          <w:lang w:val="en-GB"/>
        </w:rPr>
        <w:t xml:space="preserve">eedback is </w:t>
      </w:r>
      <w:r w:rsidR="004102AD" w:rsidRPr="008C78FA">
        <w:rPr>
          <w:sz w:val="22"/>
          <w:szCs w:val="22"/>
          <w:lang w:val="en-GB"/>
        </w:rPr>
        <w:t xml:space="preserve">however </w:t>
      </w:r>
      <w:r w:rsidR="00D14D6F" w:rsidRPr="008C78FA">
        <w:rPr>
          <w:sz w:val="22"/>
          <w:szCs w:val="22"/>
          <w:lang w:val="en-GB"/>
        </w:rPr>
        <w:t>still awaited from the sub-region in this regard.</w:t>
      </w:r>
    </w:p>
    <w:p w14:paraId="3C9D158A" w14:textId="6AC12CD4" w:rsidR="00683E9F" w:rsidRDefault="00683E9F" w:rsidP="00B71F08">
      <w:pPr>
        <w:spacing w:line="276" w:lineRule="auto"/>
        <w:jc w:val="both"/>
        <w:rPr>
          <w:lang w:val="en-GB"/>
        </w:rPr>
      </w:pPr>
    </w:p>
    <w:p w14:paraId="0FE1C1AC" w14:textId="77777777" w:rsidR="008C78FA" w:rsidRPr="00702087" w:rsidRDefault="008C78FA" w:rsidP="00B71F08">
      <w:pPr>
        <w:spacing w:line="276" w:lineRule="auto"/>
        <w:jc w:val="both"/>
        <w:rPr>
          <w:lang w:val="en-GB"/>
        </w:rPr>
      </w:pPr>
    </w:p>
    <w:p w14:paraId="71502A18" w14:textId="1134EE69" w:rsidR="00683E9F" w:rsidRPr="00635C47" w:rsidRDefault="00635C47" w:rsidP="00B71F08">
      <w:pPr>
        <w:pStyle w:val="ListParagraph"/>
        <w:numPr>
          <w:ilvl w:val="0"/>
          <w:numId w:val="18"/>
        </w:numPr>
        <w:shd w:val="clear" w:color="auto" w:fill="F2F2F2"/>
        <w:spacing w:before="120" w:after="120" w:line="276" w:lineRule="auto"/>
        <w:contextualSpacing/>
        <w:jc w:val="both"/>
        <w:rPr>
          <w:b/>
          <w:lang w:val="en-GB"/>
        </w:rPr>
      </w:pPr>
      <w:r w:rsidRPr="00635C47">
        <w:rPr>
          <w:b/>
          <w:lang w:val="en-GB"/>
        </w:rPr>
        <w:t xml:space="preserve">Implementation </w:t>
      </w:r>
      <w:r>
        <w:rPr>
          <w:b/>
          <w:lang w:val="en-GB"/>
        </w:rPr>
        <w:t>o</w:t>
      </w:r>
      <w:r w:rsidRPr="00635C47">
        <w:rPr>
          <w:b/>
          <w:lang w:val="en-GB"/>
        </w:rPr>
        <w:t xml:space="preserve">f </w:t>
      </w:r>
      <w:r>
        <w:rPr>
          <w:b/>
          <w:lang w:val="en-GB"/>
        </w:rPr>
        <w:t>t</w:t>
      </w:r>
      <w:r w:rsidRPr="00635C47">
        <w:rPr>
          <w:b/>
          <w:lang w:val="en-GB"/>
        </w:rPr>
        <w:t>he A</w:t>
      </w:r>
      <w:r>
        <w:rPr>
          <w:b/>
          <w:lang w:val="en-GB"/>
        </w:rPr>
        <w:t>EWA</w:t>
      </w:r>
      <w:r w:rsidRPr="00635C47">
        <w:rPr>
          <w:b/>
          <w:lang w:val="en-GB"/>
        </w:rPr>
        <w:t xml:space="preserve"> African Initiative </w:t>
      </w:r>
      <w:r>
        <w:rPr>
          <w:b/>
          <w:lang w:val="en-GB"/>
        </w:rPr>
        <w:t>a</w:t>
      </w:r>
      <w:r w:rsidRPr="00635C47">
        <w:rPr>
          <w:b/>
          <w:lang w:val="en-GB"/>
        </w:rPr>
        <w:t xml:space="preserve">nd Plan </w:t>
      </w:r>
      <w:r>
        <w:rPr>
          <w:b/>
          <w:lang w:val="en-GB"/>
        </w:rPr>
        <w:t>o</w:t>
      </w:r>
      <w:r w:rsidRPr="00635C47">
        <w:rPr>
          <w:b/>
          <w:lang w:val="en-GB"/>
        </w:rPr>
        <w:t xml:space="preserve">f Action </w:t>
      </w:r>
      <w:r>
        <w:rPr>
          <w:b/>
          <w:lang w:val="en-GB"/>
        </w:rPr>
        <w:t>f</w:t>
      </w:r>
      <w:r w:rsidRPr="00635C47">
        <w:rPr>
          <w:b/>
          <w:lang w:val="en-GB"/>
        </w:rPr>
        <w:t>or Africa</w:t>
      </w:r>
    </w:p>
    <w:p w14:paraId="2B6BC831" w14:textId="77777777" w:rsidR="00683E9F" w:rsidRDefault="00683E9F" w:rsidP="00B71F08">
      <w:pPr>
        <w:pStyle w:val="ListParagraph"/>
        <w:spacing w:line="276" w:lineRule="auto"/>
        <w:ind w:left="0"/>
        <w:jc w:val="both"/>
        <w:rPr>
          <w:b/>
          <w:lang w:val="en-GB"/>
        </w:rPr>
      </w:pPr>
    </w:p>
    <w:p w14:paraId="60EBC1D0" w14:textId="6DC2FCFF" w:rsidR="00683E9F" w:rsidRPr="00702087" w:rsidRDefault="00683E9F" w:rsidP="00B71F08">
      <w:pPr>
        <w:pStyle w:val="ListParagraph"/>
        <w:numPr>
          <w:ilvl w:val="1"/>
          <w:numId w:val="18"/>
        </w:numPr>
        <w:spacing w:after="60" w:line="276" w:lineRule="auto"/>
        <w:ind w:left="426" w:hanging="426"/>
        <w:jc w:val="both"/>
        <w:rPr>
          <w:b/>
          <w:lang w:val="en-GB"/>
        </w:rPr>
      </w:pPr>
      <w:r>
        <w:rPr>
          <w:b/>
          <w:lang w:val="en-GB"/>
        </w:rPr>
        <w:t xml:space="preserve">Reporting on the implementation of the </w:t>
      </w:r>
      <w:r w:rsidRPr="00702087">
        <w:rPr>
          <w:b/>
          <w:lang w:val="en-GB"/>
        </w:rPr>
        <w:t>AEWA P</w:t>
      </w:r>
      <w:r>
        <w:rPr>
          <w:b/>
          <w:lang w:val="en-GB"/>
        </w:rPr>
        <w:t>oAA</w:t>
      </w:r>
      <w:r w:rsidRPr="00702087">
        <w:rPr>
          <w:b/>
          <w:lang w:val="en-GB"/>
        </w:rPr>
        <w:t xml:space="preserve"> 2019-2027</w:t>
      </w:r>
    </w:p>
    <w:p w14:paraId="4F772360" w14:textId="001BBB74" w:rsidR="00683E9F" w:rsidRPr="008C78FA" w:rsidRDefault="00683E9F" w:rsidP="00B71F08">
      <w:pPr>
        <w:spacing w:line="276" w:lineRule="auto"/>
        <w:jc w:val="both"/>
        <w:rPr>
          <w:sz w:val="22"/>
          <w:szCs w:val="22"/>
          <w:lang w:val="en-GB"/>
        </w:rPr>
      </w:pPr>
      <w:r w:rsidRPr="008C78FA">
        <w:rPr>
          <w:sz w:val="22"/>
          <w:szCs w:val="22"/>
          <w:lang w:val="en-GB"/>
        </w:rPr>
        <w:t xml:space="preserve">Resolution 7.1 of MOP7 instructed the Standing Committee, working with the Technical Committee and the Secretariat, to establish a module on the implementation of the </w:t>
      </w:r>
      <w:r w:rsidR="00534464" w:rsidRPr="008C78FA">
        <w:rPr>
          <w:sz w:val="22"/>
          <w:szCs w:val="22"/>
          <w:lang w:val="en-GB"/>
        </w:rPr>
        <w:t xml:space="preserve">AEWA </w:t>
      </w:r>
      <w:r w:rsidRPr="008C78FA">
        <w:rPr>
          <w:sz w:val="22"/>
          <w:szCs w:val="22"/>
          <w:lang w:val="en-GB"/>
        </w:rPr>
        <w:t>P</w:t>
      </w:r>
      <w:r w:rsidR="00FA14D6" w:rsidRPr="008C78FA">
        <w:rPr>
          <w:sz w:val="22"/>
          <w:szCs w:val="22"/>
          <w:lang w:val="en-GB"/>
        </w:rPr>
        <w:t>oAA</w:t>
      </w:r>
      <w:r w:rsidRPr="008C78FA">
        <w:rPr>
          <w:sz w:val="22"/>
          <w:szCs w:val="22"/>
          <w:lang w:val="en-GB"/>
        </w:rPr>
        <w:t xml:space="preserve"> 2019-2027 in the national report format and to integrate the module in time for the reporting cycle to MOP8. The </w:t>
      </w:r>
      <w:r w:rsidR="00F31C06" w:rsidRPr="008C78FA">
        <w:rPr>
          <w:sz w:val="22"/>
          <w:szCs w:val="22"/>
          <w:lang w:val="en-GB"/>
        </w:rPr>
        <w:t xml:space="preserve">draft template for the AEWA PoAA reporting module </w:t>
      </w:r>
      <w:r w:rsidR="00FA14D6" w:rsidRPr="008C78FA">
        <w:rPr>
          <w:sz w:val="22"/>
          <w:szCs w:val="22"/>
          <w:lang w:val="en-GB"/>
        </w:rPr>
        <w:t xml:space="preserve">for the period of 2019-2020 (for the purpose of reporting to MOP8) </w:t>
      </w:r>
      <w:r w:rsidR="00F31C06" w:rsidRPr="008C78FA">
        <w:rPr>
          <w:sz w:val="22"/>
          <w:szCs w:val="22"/>
          <w:lang w:val="en-GB"/>
        </w:rPr>
        <w:t>was prepared by the UNEP/AEWA Secretariat</w:t>
      </w:r>
      <w:r w:rsidR="00FA14D6" w:rsidRPr="008C78FA">
        <w:rPr>
          <w:sz w:val="22"/>
          <w:szCs w:val="22"/>
          <w:lang w:val="en-GB"/>
        </w:rPr>
        <w:t xml:space="preserve">. </w:t>
      </w:r>
      <w:r w:rsidR="00534464" w:rsidRPr="008C78FA">
        <w:rPr>
          <w:sz w:val="22"/>
          <w:szCs w:val="22"/>
          <w:lang w:val="en-GB"/>
        </w:rPr>
        <w:t>It was then</w:t>
      </w:r>
      <w:r w:rsidR="00FA14D6" w:rsidRPr="008C78FA">
        <w:rPr>
          <w:sz w:val="22"/>
          <w:szCs w:val="22"/>
          <w:lang w:val="en-GB"/>
        </w:rPr>
        <w:t xml:space="preserve"> </w:t>
      </w:r>
      <w:r w:rsidR="00F31C06" w:rsidRPr="008C78FA">
        <w:rPr>
          <w:sz w:val="22"/>
          <w:szCs w:val="22"/>
          <w:lang w:val="en-GB"/>
        </w:rPr>
        <w:t xml:space="preserve">reviewed by the AEWA Technical Committee </w:t>
      </w:r>
      <w:r w:rsidR="002012D0" w:rsidRPr="008C78FA">
        <w:rPr>
          <w:sz w:val="22"/>
          <w:szCs w:val="22"/>
          <w:lang w:val="en-GB"/>
        </w:rPr>
        <w:t>in September 2020</w:t>
      </w:r>
      <w:r w:rsidR="00FA14D6" w:rsidRPr="008C78FA">
        <w:rPr>
          <w:sz w:val="22"/>
          <w:szCs w:val="22"/>
          <w:lang w:val="en-GB"/>
        </w:rPr>
        <w:t xml:space="preserve">, as well as by the </w:t>
      </w:r>
      <w:r w:rsidR="002012D0" w:rsidRPr="008C78FA">
        <w:rPr>
          <w:sz w:val="22"/>
          <w:szCs w:val="22"/>
          <w:lang w:val="en-GB"/>
        </w:rPr>
        <w:t xml:space="preserve">AEWA </w:t>
      </w:r>
      <w:r w:rsidR="00F31C06" w:rsidRPr="008C78FA">
        <w:rPr>
          <w:sz w:val="22"/>
          <w:szCs w:val="22"/>
          <w:lang w:val="en-GB"/>
        </w:rPr>
        <w:t xml:space="preserve">Standing Committee in </w:t>
      </w:r>
      <w:r w:rsidR="002012D0" w:rsidRPr="008C78FA">
        <w:rPr>
          <w:sz w:val="22"/>
          <w:szCs w:val="22"/>
          <w:lang w:val="en-GB"/>
        </w:rPr>
        <w:t xml:space="preserve">October 2020, with the latter approving the development of the online </w:t>
      </w:r>
      <w:r w:rsidR="00FA14D6" w:rsidRPr="008C78FA">
        <w:rPr>
          <w:sz w:val="22"/>
          <w:szCs w:val="22"/>
          <w:lang w:val="en-GB"/>
        </w:rPr>
        <w:t xml:space="preserve">PoAA module for </w:t>
      </w:r>
      <w:r w:rsidR="002012D0" w:rsidRPr="008C78FA">
        <w:rPr>
          <w:sz w:val="22"/>
          <w:szCs w:val="22"/>
          <w:lang w:val="en-GB"/>
        </w:rPr>
        <w:t>reporting to AEWA MOP8</w:t>
      </w:r>
      <w:r w:rsidR="00534464" w:rsidRPr="008C78FA">
        <w:rPr>
          <w:sz w:val="22"/>
          <w:szCs w:val="22"/>
          <w:lang w:val="en-GB"/>
        </w:rPr>
        <w:t xml:space="preserve"> based on the approved PoAA reporting template</w:t>
      </w:r>
      <w:r w:rsidR="002012D0" w:rsidRPr="008C78FA">
        <w:rPr>
          <w:sz w:val="22"/>
          <w:szCs w:val="22"/>
          <w:lang w:val="en-GB"/>
        </w:rPr>
        <w:t xml:space="preserve">. The developed </w:t>
      </w:r>
      <w:r w:rsidR="00B953FE" w:rsidRPr="008C78FA">
        <w:rPr>
          <w:sz w:val="22"/>
          <w:szCs w:val="22"/>
          <w:lang w:val="en-GB"/>
        </w:rPr>
        <w:t xml:space="preserve">online PoAA module was </w:t>
      </w:r>
      <w:r w:rsidR="00CB1D17" w:rsidRPr="008C78FA">
        <w:rPr>
          <w:sz w:val="22"/>
          <w:szCs w:val="22"/>
          <w:lang w:val="en-GB"/>
        </w:rPr>
        <w:t>rolled out in December 2020 for</w:t>
      </w:r>
      <w:r w:rsidR="002012D0" w:rsidRPr="008C78FA">
        <w:rPr>
          <w:sz w:val="22"/>
          <w:szCs w:val="22"/>
          <w:lang w:val="en-GB"/>
        </w:rPr>
        <w:t xml:space="preserve"> </w:t>
      </w:r>
      <w:r w:rsidR="00CB1D17" w:rsidRPr="008C78FA">
        <w:rPr>
          <w:sz w:val="22"/>
          <w:szCs w:val="22"/>
          <w:lang w:val="en-GB"/>
        </w:rPr>
        <w:t xml:space="preserve">the purpose of </w:t>
      </w:r>
      <w:r w:rsidR="002012D0" w:rsidRPr="008C78FA">
        <w:rPr>
          <w:sz w:val="22"/>
          <w:szCs w:val="22"/>
          <w:lang w:val="en-GB"/>
        </w:rPr>
        <w:t>reporting MOP8</w:t>
      </w:r>
      <w:r w:rsidR="00C45A1F" w:rsidRPr="008C78FA">
        <w:rPr>
          <w:sz w:val="22"/>
          <w:szCs w:val="22"/>
          <w:lang w:val="en-GB"/>
        </w:rPr>
        <w:t>, with</w:t>
      </w:r>
      <w:r w:rsidR="00B953FE" w:rsidRPr="008C78FA">
        <w:rPr>
          <w:sz w:val="22"/>
          <w:szCs w:val="22"/>
          <w:lang w:val="en-GB"/>
        </w:rPr>
        <w:t xml:space="preserve"> the submission deadline of</w:t>
      </w:r>
      <w:r w:rsidR="00C45A1F" w:rsidRPr="008C78FA">
        <w:rPr>
          <w:sz w:val="22"/>
          <w:szCs w:val="22"/>
          <w:lang w:val="en-GB"/>
        </w:rPr>
        <w:t xml:space="preserve"> 7 February 2021 in line with Resolution 7.1 (</w:t>
      </w:r>
      <w:r w:rsidR="00B953FE" w:rsidRPr="008C78FA">
        <w:rPr>
          <w:sz w:val="22"/>
          <w:szCs w:val="22"/>
          <w:lang w:val="en-GB"/>
        </w:rPr>
        <w:t>i.e. 240 days before the opening date of MOP8</w:t>
      </w:r>
      <w:r w:rsidR="00C45A1F" w:rsidRPr="008C78FA">
        <w:rPr>
          <w:sz w:val="22"/>
          <w:szCs w:val="22"/>
          <w:lang w:val="en-GB"/>
        </w:rPr>
        <w:t>)</w:t>
      </w:r>
      <w:r w:rsidR="002012D0" w:rsidRPr="008C78FA">
        <w:rPr>
          <w:sz w:val="22"/>
          <w:szCs w:val="22"/>
          <w:lang w:val="en-GB"/>
        </w:rPr>
        <w:t>.</w:t>
      </w:r>
      <w:r w:rsidR="00B953FE" w:rsidRPr="008C78FA">
        <w:rPr>
          <w:sz w:val="22"/>
          <w:szCs w:val="22"/>
          <w:lang w:val="en-GB"/>
        </w:rPr>
        <w:t xml:space="preserve"> </w:t>
      </w:r>
      <w:r w:rsidR="001D0931" w:rsidRPr="008C78FA">
        <w:rPr>
          <w:sz w:val="22"/>
          <w:szCs w:val="22"/>
          <w:lang w:val="en-GB"/>
        </w:rPr>
        <w:t xml:space="preserve">By the submission deadline of 7 February, only 5 out of 38 expected PoAA reports had been submitted in the online system, equivalent to a 13% submission rate. As such, the submission deadline was extended initially to 19 February 2021 and eventually to 24 March 2021 (the latter being the cut-off date after which PoAA reports were extracted from the Online Reporting System to initiate the analysis). During this extension period, the Secretariat provided substantive comments on some 15 reports that had been submitted </w:t>
      </w:r>
      <w:r w:rsidR="00236F18" w:rsidRPr="008C78FA">
        <w:rPr>
          <w:sz w:val="22"/>
          <w:szCs w:val="22"/>
          <w:lang w:val="en-GB"/>
        </w:rPr>
        <w:t>in due time to</w:t>
      </w:r>
      <w:r w:rsidR="001D0931" w:rsidRPr="008C78FA">
        <w:rPr>
          <w:sz w:val="22"/>
          <w:szCs w:val="22"/>
          <w:lang w:val="en-GB"/>
        </w:rPr>
        <w:t xml:space="preserve"> benefit from such advisory services, with the aim to improve the quality of the reports. By the cut-off date of 24 March 2021, 20 out of the expected 38 reports had been submitted/re-submitted, resulting in a</w:t>
      </w:r>
      <w:r w:rsidR="004E4417" w:rsidRPr="008C78FA">
        <w:rPr>
          <w:sz w:val="22"/>
          <w:szCs w:val="22"/>
          <w:lang w:val="en-GB"/>
        </w:rPr>
        <w:t xml:space="preserve"> </w:t>
      </w:r>
      <w:r w:rsidR="004E4417" w:rsidRPr="008C78FA">
        <w:rPr>
          <w:b/>
          <w:bCs/>
          <w:sz w:val="22"/>
          <w:szCs w:val="22"/>
          <w:lang w:val="en-GB"/>
        </w:rPr>
        <w:t>53% submission rate</w:t>
      </w:r>
      <w:r w:rsidR="00A40A67" w:rsidRPr="008C78FA">
        <w:rPr>
          <w:b/>
          <w:bCs/>
          <w:sz w:val="22"/>
          <w:szCs w:val="22"/>
          <w:lang w:val="en-GB"/>
        </w:rPr>
        <w:t xml:space="preserve"> </w:t>
      </w:r>
      <w:r w:rsidR="00A40A67" w:rsidRPr="008C78FA">
        <w:rPr>
          <w:sz w:val="22"/>
          <w:szCs w:val="22"/>
          <w:lang w:val="en-GB"/>
        </w:rPr>
        <w:t>for this first ever reporting cycle for the AEWA PoAA</w:t>
      </w:r>
      <w:r w:rsidR="001D0931" w:rsidRPr="008C78FA">
        <w:rPr>
          <w:sz w:val="22"/>
          <w:szCs w:val="22"/>
          <w:lang w:val="en-GB"/>
        </w:rPr>
        <w:t xml:space="preserve">. </w:t>
      </w:r>
      <w:r w:rsidR="004E4417" w:rsidRPr="008C78FA">
        <w:rPr>
          <w:sz w:val="22"/>
          <w:szCs w:val="22"/>
          <w:lang w:val="en-GB"/>
        </w:rPr>
        <w:t>The contractual and substantive processes for the analysis of the reports has been initiated with UNEP-WCMC</w:t>
      </w:r>
      <w:r w:rsidR="00236F18" w:rsidRPr="008C78FA">
        <w:rPr>
          <w:sz w:val="22"/>
          <w:szCs w:val="22"/>
          <w:lang w:val="en-GB"/>
        </w:rPr>
        <w:t>, and the analysis has been made possible thanks to a voluntary financial contribution from the United Kingdom.</w:t>
      </w:r>
    </w:p>
    <w:p w14:paraId="1C83562C" w14:textId="09A93037" w:rsidR="00486B98" w:rsidRDefault="0007768A" w:rsidP="00B71F08">
      <w:pPr>
        <w:spacing w:line="276" w:lineRule="auto"/>
        <w:jc w:val="both"/>
        <w:rPr>
          <w:lang w:val="en-GB"/>
        </w:rPr>
      </w:pPr>
      <w:r>
        <w:rPr>
          <w:noProof/>
        </w:rPr>
        <w:lastRenderedPageBreak/>
        <w:drawing>
          <wp:anchor distT="0" distB="0" distL="114300" distR="114300" simplePos="0" relativeHeight="251659264" behindDoc="0" locked="0" layoutInCell="1" allowOverlap="1" wp14:anchorId="70D3DF1E" wp14:editId="18800A10">
            <wp:simplePos x="0" y="0"/>
            <wp:positionH relativeFrom="column">
              <wp:posOffset>-3810</wp:posOffset>
            </wp:positionH>
            <wp:positionV relativeFrom="paragraph">
              <wp:posOffset>0</wp:posOffset>
            </wp:positionV>
            <wp:extent cx="6120765" cy="3641090"/>
            <wp:effectExtent l="0" t="0" r="13335" b="16510"/>
            <wp:wrapSquare wrapText="bothSides"/>
            <wp:docPr id="3" name="Chart 3">
              <a:extLst xmlns:a="http://schemas.openxmlformats.org/drawingml/2006/main">
                <a:ext uri="{FF2B5EF4-FFF2-40B4-BE49-F238E27FC236}">
                  <a16:creationId xmlns:a16="http://schemas.microsoft.com/office/drawing/2014/main" id="{E15D55B9-98E2-46BD-95B8-750ED8362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725D900" w14:textId="1C283029" w:rsidR="00236F18" w:rsidRPr="008C78FA" w:rsidRDefault="00236F18" w:rsidP="00B71F08">
      <w:pPr>
        <w:spacing w:line="276" w:lineRule="auto"/>
        <w:jc w:val="both"/>
        <w:rPr>
          <w:sz w:val="22"/>
          <w:szCs w:val="22"/>
          <w:lang w:val="en-GB"/>
        </w:rPr>
      </w:pPr>
      <w:r w:rsidRPr="008C78FA">
        <w:rPr>
          <w:sz w:val="22"/>
          <w:szCs w:val="22"/>
          <w:lang w:val="en-GB"/>
        </w:rPr>
        <w:t>Meanwhile in the period of January 2021, the AEWA Secretariat prepared the draft template for reporting on the AEWA PoAA over the period of 2021-2023 for the purpose of developing the PoAA reporting module to AEWA MOP9. This draft was submitted to the 16</w:t>
      </w:r>
      <w:r w:rsidRPr="008C78FA">
        <w:rPr>
          <w:sz w:val="22"/>
          <w:szCs w:val="22"/>
          <w:vertAlign w:val="superscript"/>
          <w:lang w:val="en-GB"/>
        </w:rPr>
        <w:t>th</w:t>
      </w:r>
      <w:r w:rsidRPr="008C78FA">
        <w:rPr>
          <w:sz w:val="22"/>
          <w:szCs w:val="22"/>
          <w:lang w:val="en-GB"/>
        </w:rPr>
        <w:t xml:space="preserve"> meeting of the AEWA Technical Committee (TC) in January 2021 for review and comments. A revised draft of this document has been shared on the AEWA TC workspace for further comments as recommended by the TC16 meeting and a final revised draft will be submitted to the 16</w:t>
      </w:r>
      <w:r w:rsidRPr="008C78FA">
        <w:rPr>
          <w:sz w:val="22"/>
          <w:szCs w:val="22"/>
          <w:vertAlign w:val="superscript"/>
          <w:lang w:val="en-GB"/>
        </w:rPr>
        <w:t>th</w:t>
      </w:r>
      <w:r w:rsidRPr="008C78FA">
        <w:rPr>
          <w:sz w:val="22"/>
          <w:szCs w:val="22"/>
          <w:lang w:val="en-GB"/>
        </w:rPr>
        <w:t xml:space="preserve"> meeting of the AEWA Standing Committee in May 2021.</w:t>
      </w:r>
    </w:p>
    <w:p w14:paraId="1F7E0BD3" w14:textId="77777777" w:rsidR="008C78FA" w:rsidRPr="00702087" w:rsidRDefault="008C78FA" w:rsidP="00B71F08">
      <w:pPr>
        <w:spacing w:line="276" w:lineRule="auto"/>
        <w:jc w:val="both"/>
        <w:rPr>
          <w:lang w:val="en-GB"/>
        </w:rPr>
      </w:pPr>
    </w:p>
    <w:p w14:paraId="7630FB52" w14:textId="118F70DB" w:rsidR="00683E9F" w:rsidRDefault="00683E9F" w:rsidP="00B71F08">
      <w:pPr>
        <w:pStyle w:val="ListParagraph"/>
        <w:numPr>
          <w:ilvl w:val="1"/>
          <w:numId w:val="18"/>
        </w:numPr>
        <w:tabs>
          <w:tab w:val="left" w:pos="426"/>
        </w:tabs>
        <w:spacing w:after="60" w:line="276" w:lineRule="auto"/>
        <w:ind w:left="284" w:hanging="284"/>
        <w:jc w:val="both"/>
        <w:rPr>
          <w:b/>
          <w:lang w:val="en-GB"/>
        </w:rPr>
      </w:pPr>
      <w:r w:rsidRPr="00702087">
        <w:rPr>
          <w:b/>
          <w:lang w:val="en-GB"/>
        </w:rPr>
        <w:t>Species conservation and monitoring</w:t>
      </w:r>
    </w:p>
    <w:p w14:paraId="5026723F" w14:textId="30C9FFD8" w:rsidR="00683E9F" w:rsidRPr="008C78FA" w:rsidRDefault="00BE372C" w:rsidP="00B71F08">
      <w:pPr>
        <w:spacing w:line="276" w:lineRule="auto"/>
        <w:jc w:val="both"/>
        <w:rPr>
          <w:sz w:val="22"/>
          <w:szCs w:val="22"/>
        </w:rPr>
      </w:pPr>
      <w:bookmarkStart w:id="1" w:name="_Hlk24027061"/>
      <w:r w:rsidRPr="008C78FA">
        <w:rPr>
          <w:i/>
          <w:iCs/>
          <w:sz w:val="22"/>
          <w:szCs w:val="22"/>
          <w:u w:val="single"/>
          <w:lang w:val="en-GB"/>
        </w:rPr>
        <w:t>White-winged Flufftail:</w:t>
      </w:r>
      <w:r w:rsidRPr="008C78FA">
        <w:rPr>
          <w:sz w:val="22"/>
          <w:szCs w:val="22"/>
          <w:lang w:val="en-GB"/>
        </w:rPr>
        <w:t xml:space="preserve"> </w:t>
      </w:r>
      <w:r w:rsidR="009E0E29" w:rsidRPr="008C78FA">
        <w:rPr>
          <w:sz w:val="22"/>
          <w:szCs w:val="22"/>
          <w:lang w:val="en-GB"/>
        </w:rPr>
        <w:t>In the framework of a project</w:t>
      </w:r>
      <w:r w:rsidR="00683E9F" w:rsidRPr="008C78FA">
        <w:rPr>
          <w:sz w:val="22"/>
          <w:szCs w:val="22"/>
          <w:lang w:val="en-GB"/>
        </w:rPr>
        <w:t xml:space="preserve"> fund</w:t>
      </w:r>
      <w:r w:rsidR="009E0E29" w:rsidRPr="008C78FA">
        <w:rPr>
          <w:sz w:val="22"/>
          <w:szCs w:val="22"/>
          <w:lang w:val="en-GB"/>
        </w:rPr>
        <w:t>ed</w:t>
      </w:r>
      <w:r w:rsidR="00683E9F" w:rsidRPr="008C78FA">
        <w:rPr>
          <w:sz w:val="22"/>
          <w:szCs w:val="22"/>
          <w:lang w:val="en-GB"/>
        </w:rPr>
        <w:t xml:space="preserve"> under the European Commission (EC) Global Public Goods and Challenges (GPGC) Thematic Programme Cooperation Agreement with UNEP</w:t>
      </w:r>
      <w:r w:rsidR="00534464" w:rsidRPr="008C78FA">
        <w:rPr>
          <w:sz w:val="22"/>
          <w:szCs w:val="22"/>
          <w:lang w:val="en-GB"/>
        </w:rPr>
        <w:t xml:space="preserve"> (valid</w:t>
      </w:r>
      <w:r w:rsidR="009E0E29" w:rsidRPr="008C78FA">
        <w:rPr>
          <w:sz w:val="22"/>
          <w:szCs w:val="22"/>
          <w:lang w:val="en-GB"/>
        </w:rPr>
        <w:t xml:space="preserve"> for the period of 2015-2020 </w:t>
      </w:r>
      <w:r w:rsidR="00534464" w:rsidRPr="008C78FA">
        <w:rPr>
          <w:sz w:val="22"/>
          <w:szCs w:val="22"/>
          <w:lang w:val="en-GB"/>
        </w:rPr>
        <w:t xml:space="preserve">and </w:t>
      </w:r>
      <w:r w:rsidR="009E0E29" w:rsidRPr="008C78FA">
        <w:rPr>
          <w:sz w:val="22"/>
          <w:szCs w:val="22"/>
          <w:lang w:val="en-GB"/>
        </w:rPr>
        <w:t>recently extended to 2021)</w:t>
      </w:r>
      <w:r w:rsidR="00683E9F" w:rsidRPr="008C78FA">
        <w:rPr>
          <w:sz w:val="22"/>
          <w:szCs w:val="22"/>
          <w:lang w:val="en-GB"/>
        </w:rPr>
        <w:t xml:space="preserve">, </w:t>
      </w:r>
      <w:r w:rsidR="0030421D" w:rsidRPr="008C78FA">
        <w:rPr>
          <w:sz w:val="22"/>
          <w:szCs w:val="22"/>
          <w:lang w:val="en-GB"/>
        </w:rPr>
        <w:t xml:space="preserve">and with co-funding from the United Kingdom over the period of 2019-2021, </w:t>
      </w:r>
      <w:r w:rsidR="00683E9F" w:rsidRPr="008C78FA">
        <w:rPr>
          <w:sz w:val="22"/>
          <w:szCs w:val="22"/>
          <w:lang w:val="en-GB"/>
        </w:rPr>
        <w:t xml:space="preserve">the Secretariat, in collaboration with BirdLife South Africa and the Ethiopian Wildlife Conservation Authority (EWCA), </w:t>
      </w:r>
      <w:r w:rsidR="009E0E29" w:rsidRPr="008C78FA">
        <w:rPr>
          <w:sz w:val="22"/>
          <w:szCs w:val="22"/>
          <w:lang w:val="en-GB"/>
        </w:rPr>
        <w:t xml:space="preserve">has been conducting </w:t>
      </w:r>
      <w:r w:rsidR="00683E9F" w:rsidRPr="008C78FA">
        <w:rPr>
          <w:sz w:val="22"/>
          <w:szCs w:val="22"/>
          <w:lang w:val="en-GB"/>
        </w:rPr>
        <w:t xml:space="preserve">activities </w:t>
      </w:r>
      <w:r w:rsidR="00534464" w:rsidRPr="008C78FA">
        <w:rPr>
          <w:sz w:val="22"/>
          <w:szCs w:val="22"/>
          <w:lang w:val="en-GB"/>
        </w:rPr>
        <w:t xml:space="preserve">to </w:t>
      </w:r>
      <w:r w:rsidR="000A45B6" w:rsidRPr="008C78FA">
        <w:rPr>
          <w:sz w:val="22"/>
          <w:szCs w:val="22"/>
          <w:lang w:val="en-GB"/>
        </w:rPr>
        <w:t xml:space="preserve">promote Community-based conservation and </w:t>
      </w:r>
      <w:r w:rsidR="00683E9F" w:rsidRPr="008C78FA">
        <w:rPr>
          <w:sz w:val="22"/>
          <w:szCs w:val="22"/>
          <w:lang w:val="en-GB"/>
        </w:rPr>
        <w:t xml:space="preserve"> sustainable use of the Berga wetland in Ethiopia </w:t>
      </w:r>
      <w:r w:rsidR="00534464" w:rsidRPr="008C78FA">
        <w:rPr>
          <w:sz w:val="22"/>
          <w:szCs w:val="22"/>
          <w:lang w:val="en-GB"/>
        </w:rPr>
        <w:t>as well as</w:t>
      </w:r>
      <w:r w:rsidR="00683E9F" w:rsidRPr="008C78FA">
        <w:rPr>
          <w:sz w:val="22"/>
          <w:szCs w:val="22"/>
          <w:lang w:val="en-GB"/>
        </w:rPr>
        <w:t xml:space="preserve"> its designation as a Protected Area</w:t>
      </w:r>
      <w:r w:rsidR="00534464" w:rsidRPr="008C78FA">
        <w:rPr>
          <w:sz w:val="22"/>
          <w:szCs w:val="22"/>
          <w:lang w:val="en-GB"/>
        </w:rPr>
        <w:t xml:space="preserve"> under national legislation</w:t>
      </w:r>
      <w:r w:rsidR="00683E9F" w:rsidRPr="008C78FA">
        <w:rPr>
          <w:sz w:val="22"/>
          <w:szCs w:val="22"/>
          <w:lang w:val="en-GB"/>
        </w:rPr>
        <w:t xml:space="preserve">. To this end, a </w:t>
      </w:r>
      <w:r w:rsidR="00592B89" w:rsidRPr="008C78FA">
        <w:rPr>
          <w:sz w:val="22"/>
          <w:szCs w:val="22"/>
          <w:lang w:val="en-GB"/>
        </w:rPr>
        <w:t>supplementary assessment of the upper Berga Floodplain</w:t>
      </w:r>
      <w:r w:rsidR="00534464" w:rsidRPr="008C78FA">
        <w:rPr>
          <w:sz w:val="22"/>
          <w:szCs w:val="22"/>
          <w:lang w:val="en-GB"/>
        </w:rPr>
        <w:t xml:space="preserve"> as recommended by the </w:t>
      </w:r>
      <w:r w:rsidR="0030421D" w:rsidRPr="008C78FA">
        <w:rPr>
          <w:sz w:val="22"/>
          <w:szCs w:val="22"/>
          <w:lang w:val="en-GB"/>
        </w:rPr>
        <w:t>3</w:t>
      </w:r>
      <w:r w:rsidR="0030421D" w:rsidRPr="008C78FA">
        <w:rPr>
          <w:sz w:val="22"/>
          <w:szCs w:val="22"/>
          <w:vertAlign w:val="superscript"/>
          <w:lang w:val="en-GB"/>
        </w:rPr>
        <w:t>rd</w:t>
      </w:r>
      <w:r w:rsidR="0030421D" w:rsidRPr="008C78FA">
        <w:rPr>
          <w:sz w:val="22"/>
          <w:szCs w:val="22"/>
          <w:lang w:val="en-GB"/>
        </w:rPr>
        <w:t xml:space="preserve"> meeting of the White-winged Flufftail International </w:t>
      </w:r>
      <w:r w:rsidR="00534464" w:rsidRPr="008C78FA">
        <w:rPr>
          <w:sz w:val="22"/>
          <w:szCs w:val="22"/>
          <w:lang w:val="en-GB"/>
        </w:rPr>
        <w:t>W</w:t>
      </w:r>
      <w:r w:rsidR="0030421D" w:rsidRPr="008C78FA">
        <w:rPr>
          <w:sz w:val="22"/>
          <w:szCs w:val="22"/>
          <w:lang w:val="en-GB"/>
        </w:rPr>
        <w:t xml:space="preserve">orking </w:t>
      </w:r>
      <w:r w:rsidR="00534464" w:rsidRPr="008C78FA">
        <w:rPr>
          <w:sz w:val="22"/>
          <w:szCs w:val="22"/>
          <w:lang w:val="en-GB"/>
        </w:rPr>
        <w:t>G</w:t>
      </w:r>
      <w:r w:rsidR="0030421D" w:rsidRPr="008C78FA">
        <w:rPr>
          <w:sz w:val="22"/>
          <w:szCs w:val="22"/>
          <w:lang w:val="en-GB"/>
        </w:rPr>
        <w:t>roup (November 2019, in Dullstroom, South Africa</w:t>
      </w:r>
      <w:r w:rsidR="00534464" w:rsidRPr="008C78FA">
        <w:rPr>
          <w:sz w:val="22"/>
          <w:szCs w:val="22"/>
          <w:lang w:val="en-GB"/>
        </w:rPr>
        <w:t>,</w:t>
      </w:r>
      <w:r w:rsidR="00592B89" w:rsidRPr="008C78FA">
        <w:rPr>
          <w:sz w:val="22"/>
          <w:szCs w:val="22"/>
          <w:lang w:val="en-GB"/>
        </w:rPr>
        <w:t xml:space="preserve"> permitted </w:t>
      </w:r>
      <w:r w:rsidR="00DE5E56" w:rsidRPr="008C78FA">
        <w:rPr>
          <w:sz w:val="22"/>
          <w:szCs w:val="22"/>
          <w:lang w:val="en-GB"/>
        </w:rPr>
        <w:t>the development of a draft Community Based Management Framework Document, with input from key partners</w:t>
      </w:r>
      <w:r w:rsidR="00534464" w:rsidRPr="008C78FA">
        <w:rPr>
          <w:sz w:val="22"/>
          <w:szCs w:val="22"/>
          <w:lang w:val="en-GB"/>
        </w:rPr>
        <w:t xml:space="preserve">. </w:t>
      </w:r>
      <w:r w:rsidR="0030421D" w:rsidRPr="008C78FA">
        <w:rPr>
          <w:sz w:val="22"/>
          <w:szCs w:val="22"/>
          <w:lang w:val="en-GB"/>
        </w:rPr>
        <w:t>This activity</w:t>
      </w:r>
      <w:r w:rsidR="00534464" w:rsidRPr="008C78FA">
        <w:rPr>
          <w:sz w:val="22"/>
          <w:szCs w:val="22"/>
          <w:lang w:val="en-GB"/>
        </w:rPr>
        <w:t xml:space="preserve"> aims to </w:t>
      </w:r>
      <w:r w:rsidR="00DE5E56" w:rsidRPr="008C78FA">
        <w:rPr>
          <w:sz w:val="22"/>
          <w:szCs w:val="22"/>
          <w:lang w:val="en-GB"/>
        </w:rPr>
        <w:t>guide the sustainable use and management of the Upper Berga Floodplain with the involvement of the local communities, while contributing to safeguard</w:t>
      </w:r>
      <w:r w:rsidR="00534464" w:rsidRPr="008C78FA">
        <w:rPr>
          <w:sz w:val="22"/>
          <w:szCs w:val="22"/>
          <w:lang w:val="en-GB"/>
        </w:rPr>
        <w:t>ing</w:t>
      </w:r>
      <w:r w:rsidR="00DE5E56" w:rsidRPr="008C78FA">
        <w:rPr>
          <w:sz w:val="22"/>
          <w:szCs w:val="22"/>
          <w:lang w:val="en-GB"/>
        </w:rPr>
        <w:t xml:space="preserve"> the site as a suitable breeding habitat for the White-winged Flufftail. Furthermore, a</w:t>
      </w:r>
      <w:r w:rsidR="00392BD6" w:rsidRPr="008C78FA">
        <w:rPr>
          <w:sz w:val="22"/>
          <w:szCs w:val="22"/>
          <w:lang w:val="en-GB"/>
        </w:rPr>
        <w:t>ctivities aimed at promoting the designation of the Berga Wetland as a Protected Area under w</w:t>
      </w:r>
      <w:r w:rsidR="00534464" w:rsidRPr="008C78FA">
        <w:rPr>
          <w:sz w:val="22"/>
          <w:szCs w:val="22"/>
          <w:lang w:val="en-GB"/>
        </w:rPr>
        <w:t>ere</w:t>
      </w:r>
      <w:r w:rsidR="00392BD6" w:rsidRPr="008C78FA">
        <w:rPr>
          <w:sz w:val="22"/>
          <w:szCs w:val="22"/>
          <w:lang w:val="en-GB"/>
        </w:rPr>
        <w:t xml:space="preserve"> initiated</w:t>
      </w:r>
      <w:r w:rsidR="00DE5E56" w:rsidRPr="008C78FA">
        <w:rPr>
          <w:sz w:val="22"/>
          <w:szCs w:val="22"/>
          <w:lang w:val="en-GB"/>
        </w:rPr>
        <w:t xml:space="preserve"> by EWCA</w:t>
      </w:r>
      <w:r w:rsidR="00392BD6" w:rsidRPr="008C78FA">
        <w:rPr>
          <w:sz w:val="22"/>
          <w:szCs w:val="22"/>
          <w:lang w:val="en-GB"/>
        </w:rPr>
        <w:t xml:space="preserve"> in </w:t>
      </w:r>
      <w:r w:rsidR="00DE5E56" w:rsidRPr="008C78FA">
        <w:rPr>
          <w:sz w:val="22"/>
          <w:szCs w:val="22"/>
          <w:lang w:val="en-GB"/>
        </w:rPr>
        <w:t>March 2020 but</w:t>
      </w:r>
      <w:r w:rsidR="00392BD6" w:rsidRPr="008C78FA">
        <w:rPr>
          <w:sz w:val="22"/>
          <w:szCs w:val="22"/>
          <w:lang w:val="en-GB"/>
        </w:rPr>
        <w:t xml:space="preserve"> met with limited progress due to the COVID-19 related </w:t>
      </w:r>
      <w:r w:rsidR="00DE5E56" w:rsidRPr="008C78FA">
        <w:rPr>
          <w:sz w:val="22"/>
          <w:szCs w:val="22"/>
          <w:lang w:val="en-GB"/>
        </w:rPr>
        <w:t>restrictions.</w:t>
      </w:r>
      <w:r w:rsidR="0030421D" w:rsidRPr="008C78FA">
        <w:rPr>
          <w:sz w:val="22"/>
          <w:szCs w:val="22"/>
          <w:lang w:val="en-GB"/>
        </w:rPr>
        <w:t xml:space="preserve"> Activities under this project continue with a multi-stakeholder consultation workshop planned for July 2021 with the aim to review, consolidate and approve the draft Community Based Conservation Programme for the Upper Berga floodplain.</w:t>
      </w:r>
    </w:p>
    <w:p w14:paraId="6DF9C5A8" w14:textId="77777777" w:rsidR="00683E9F" w:rsidRPr="008C78FA" w:rsidRDefault="00683E9F" w:rsidP="00B71F08">
      <w:pPr>
        <w:spacing w:line="276" w:lineRule="auto"/>
        <w:jc w:val="both"/>
        <w:rPr>
          <w:sz w:val="22"/>
          <w:szCs w:val="22"/>
          <w:lang w:val="en-GB"/>
        </w:rPr>
      </w:pPr>
    </w:p>
    <w:p w14:paraId="6E84F4B9" w14:textId="7DAD57A3" w:rsidR="000A45B6" w:rsidRPr="008C78FA" w:rsidRDefault="000A45B6" w:rsidP="00B71F08">
      <w:pPr>
        <w:spacing w:line="276" w:lineRule="auto"/>
        <w:jc w:val="both"/>
        <w:rPr>
          <w:sz w:val="22"/>
          <w:szCs w:val="22"/>
          <w:lang w:val="en-GB"/>
        </w:rPr>
      </w:pPr>
    </w:p>
    <w:p w14:paraId="6AD9CF65" w14:textId="7A10FA3F" w:rsidR="00BE372C" w:rsidRPr="008C78FA" w:rsidRDefault="00BE372C" w:rsidP="00B71F08">
      <w:pPr>
        <w:spacing w:line="276" w:lineRule="auto"/>
        <w:jc w:val="both"/>
        <w:rPr>
          <w:sz w:val="22"/>
          <w:szCs w:val="22"/>
          <w:lang w:val="en-GB"/>
        </w:rPr>
      </w:pPr>
      <w:r w:rsidRPr="008C78FA">
        <w:rPr>
          <w:i/>
          <w:iCs/>
          <w:sz w:val="22"/>
          <w:szCs w:val="22"/>
          <w:u w:val="single"/>
          <w:lang w:val="en-GB"/>
        </w:rPr>
        <w:t>Slaty Egret:</w:t>
      </w:r>
      <w:r w:rsidRPr="008C78FA">
        <w:rPr>
          <w:sz w:val="22"/>
          <w:szCs w:val="22"/>
          <w:lang w:val="en-GB"/>
        </w:rPr>
        <w:t xml:space="preserve"> </w:t>
      </w:r>
      <w:r w:rsidR="000A45B6" w:rsidRPr="008C78FA">
        <w:rPr>
          <w:sz w:val="22"/>
          <w:szCs w:val="22"/>
          <w:lang w:val="en-GB"/>
        </w:rPr>
        <w:t xml:space="preserve">In the framework of </w:t>
      </w:r>
      <w:r w:rsidR="00461706" w:rsidRPr="008C78FA">
        <w:rPr>
          <w:sz w:val="22"/>
          <w:szCs w:val="22"/>
          <w:lang w:val="en-GB"/>
        </w:rPr>
        <w:t>a recently approved</w:t>
      </w:r>
      <w:r w:rsidR="000A45B6" w:rsidRPr="008C78FA">
        <w:rPr>
          <w:sz w:val="22"/>
          <w:szCs w:val="22"/>
          <w:lang w:val="en-GB"/>
        </w:rPr>
        <w:t xml:space="preserve"> EC-GPGC funded project</w:t>
      </w:r>
      <w:r w:rsidR="00461706" w:rsidRPr="008C78FA">
        <w:rPr>
          <w:sz w:val="22"/>
          <w:szCs w:val="22"/>
          <w:lang w:val="en-GB"/>
        </w:rPr>
        <w:t xml:space="preserve"> for the period of 2020-2023</w:t>
      </w:r>
      <w:r w:rsidR="000A45B6" w:rsidRPr="008C78FA">
        <w:rPr>
          <w:sz w:val="22"/>
          <w:szCs w:val="22"/>
          <w:lang w:val="en-GB"/>
        </w:rPr>
        <w:t xml:space="preserve">, the UNEP/AEWA Secretariat has initiated activities to organise the first meeting of the AEWA Slaty Egret </w:t>
      </w:r>
      <w:r w:rsidR="000A45B6" w:rsidRPr="008C78FA">
        <w:rPr>
          <w:sz w:val="22"/>
          <w:szCs w:val="22"/>
          <w:lang w:val="en-GB"/>
        </w:rPr>
        <w:lastRenderedPageBreak/>
        <w:t>International Working Group</w:t>
      </w:r>
      <w:r w:rsidR="006E3A9D" w:rsidRPr="008C78FA">
        <w:rPr>
          <w:sz w:val="22"/>
          <w:szCs w:val="22"/>
          <w:lang w:val="en-GB"/>
        </w:rPr>
        <w:t>, which is scheduled to take place in end</w:t>
      </w:r>
      <w:r w:rsidR="0030421D" w:rsidRPr="008C78FA">
        <w:rPr>
          <w:sz w:val="22"/>
          <w:szCs w:val="22"/>
          <w:lang w:val="en-GB"/>
        </w:rPr>
        <w:t>-</w:t>
      </w:r>
      <w:r w:rsidR="006E3A9D" w:rsidRPr="008C78FA">
        <w:rPr>
          <w:sz w:val="22"/>
          <w:szCs w:val="22"/>
          <w:lang w:val="en-GB"/>
        </w:rPr>
        <w:t>2021</w:t>
      </w:r>
      <w:r w:rsidR="0030421D" w:rsidRPr="008C78FA">
        <w:rPr>
          <w:sz w:val="22"/>
          <w:szCs w:val="22"/>
          <w:lang w:val="en-GB"/>
        </w:rPr>
        <w:t xml:space="preserve"> or early 2022</w:t>
      </w:r>
      <w:r w:rsidR="000A45B6" w:rsidRPr="008C78FA">
        <w:rPr>
          <w:sz w:val="22"/>
          <w:szCs w:val="22"/>
          <w:lang w:val="en-GB"/>
        </w:rPr>
        <w:t>. The Government of Botswana (working in close collaboration with BirdLife Botswana), has confirmed hosting of this meeting.</w:t>
      </w:r>
      <w:r w:rsidR="0056236A" w:rsidRPr="008C78FA">
        <w:rPr>
          <w:sz w:val="22"/>
          <w:szCs w:val="22"/>
          <w:lang w:val="en-GB"/>
        </w:rPr>
        <w:t xml:space="preserve"> The Slaty Egret IWG meeting will be </w:t>
      </w:r>
      <w:r w:rsidR="00F975E3" w:rsidRPr="008C78FA">
        <w:rPr>
          <w:sz w:val="22"/>
          <w:szCs w:val="22"/>
          <w:lang w:val="en-GB"/>
        </w:rPr>
        <w:t xml:space="preserve">complemented </w:t>
      </w:r>
      <w:r w:rsidR="0056236A" w:rsidRPr="008C78FA">
        <w:rPr>
          <w:sz w:val="22"/>
          <w:szCs w:val="22"/>
          <w:lang w:val="en-GB"/>
        </w:rPr>
        <w:t xml:space="preserve">by two seed-grant funded projects aimed at </w:t>
      </w:r>
      <w:r w:rsidR="00F975E3" w:rsidRPr="008C78FA">
        <w:rPr>
          <w:sz w:val="22"/>
          <w:szCs w:val="22"/>
          <w:lang w:val="en-GB"/>
        </w:rPr>
        <w:t xml:space="preserve">supporting </w:t>
      </w:r>
      <w:r w:rsidR="0056236A" w:rsidRPr="008C78FA">
        <w:rPr>
          <w:sz w:val="22"/>
          <w:szCs w:val="22"/>
          <w:lang w:val="en-GB"/>
        </w:rPr>
        <w:t>implement</w:t>
      </w:r>
      <w:r w:rsidR="00F975E3" w:rsidRPr="008C78FA">
        <w:rPr>
          <w:sz w:val="22"/>
          <w:szCs w:val="22"/>
          <w:lang w:val="en-GB"/>
        </w:rPr>
        <w:t>ation of</w:t>
      </w:r>
      <w:r w:rsidR="0056236A" w:rsidRPr="008C78FA">
        <w:rPr>
          <w:sz w:val="22"/>
          <w:szCs w:val="22"/>
          <w:lang w:val="en-GB"/>
        </w:rPr>
        <w:t xml:space="preserve"> the Slaty Egret International Single Species Action Plan (ISSAP) in key range states.</w:t>
      </w:r>
      <w:r w:rsidR="00F975E3" w:rsidRPr="008C78FA">
        <w:rPr>
          <w:sz w:val="22"/>
          <w:szCs w:val="22"/>
          <w:lang w:val="en-GB"/>
        </w:rPr>
        <w:t xml:space="preserve"> </w:t>
      </w:r>
    </w:p>
    <w:p w14:paraId="44D42951" w14:textId="77777777" w:rsidR="00BE372C" w:rsidRPr="008C78FA" w:rsidRDefault="00BE372C" w:rsidP="00B71F08">
      <w:pPr>
        <w:spacing w:line="276" w:lineRule="auto"/>
        <w:jc w:val="both"/>
        <w:rPr>
          <w:sz w:val="22"/>
          <w:szCs w:val="22"/>
          <w:lang w:val="en-GB"/>
        </w:rPr>
      </w:pPr>
    </w:p>
    <w:p w14:paraId="7E0800EC" w14:textId="18E83999" w:rsidR="000A45B6" w:rsidRPr="008C78FA" w:rsidRDefault="00BE372C" w:rsidP="00B71F08">
      <w:pPr>
        <w:spacing w:line="276" w:lineRule="auto"/>
        <w:jc w:val="both"/>
        <w:rPr>
          <w:sz w:val="22"/>
          <w:szCs w:val="22"/>
          <w:lang w:val="en-GB"/>
        </w:rPr>
      </w:pPr>
      <w:r w:rsidRPr="008C78FA">
        <w:rPr>
          <w:i/>
          <w:iCs/>
          <w:sz w:val="22"/>
          <w:szCs w:val="22"/>
          <w:u w:val="single"/>
          <w:lang w:val="en-GB"/>
        </w:rPr>
        <w:t>Northern Bald Ibis:</w:t>
      </w:r>
      <w:r w:rsidRPr="008C78FA">
        <w:rPr>
          <w:sz w:val="22"/>
          <w:szCs w:val="22"/>
          <w:lang w:val="en-GB"/>
        </w:rPr>
        <w:t xml:space="preserve"> </w:t>
      </w:r>
      <w:r w:rsidR="0042542E" w:rsidRPr="008C78FA">
        <w:rPr>
          <w:sz w:val="22"/>
          <w:szCs w:val="22"/>
          <w:lang w:val="en-GB"/>
        </w:rPr>
        <w:t>Also,</w:t>
      </w:r>
      <w:r w:rsidR="00F975E3" w:rsidRPr="008C78FA">
        <w:rPr>
          <w:sz w:val="22"/>
          <w:szCs w:val="22"/>
          <w:lang w:val="en-GB"/>
        </w:rPr>
        <w:t xml:space="preserve"> under the EC-GPGC 2020-2023 project, funds have been allocated for a feasibility assessment of the Northern Bald Ibis reintroduction in Algeria as well as to implement other priority activities from the 2017-2020 implementation plan for the specie. </w:t>
      </w:r>
    </w:p>
    <w:p w14:paraId="5C404034" w14:textId="77777777" w:rsidR="00683E9F" w:rsidRPr="008C78FA" w:rsidRDefault="00683E9F" w:rsidP="00B71F08">
      <w:pPr>
        <w:spacing w:line="276" w:lineRule="auto"/>
        <w:jc w:val="both"/>
        <w:rPr>
          <w:sz w:val="22"/>
          <w:szCs w:val="22"/>
          <w:lang w:val="en-GB"/>
        </w:rPr>
      </w:pPr>
    </w:p>
    <w:bookmarkEnd w:id="1"/>
    <w:p w14:paraId="27EBE10F" w14:textId="2E172D57" w:rsidR="00683E9F" w:rsidRPr="008C78FA" w:rsidRDefault="00BE372C" w:rsidP="00B71F08">
      <w:pPr>
        <w:spacing w:line="276" w:lineRule="auto"/>
        <w:jc w:val="both"/>
        <w:rPr>
          <w:sz w:val="22"/>
          <w:szCs w:val="22"/>
          <w:lang w:val="en-GB"/>
        </w:rPr>
      </w:pPr>
      <w:r w:rsidRPr="008C78FA">
        <w:rPr>
          <w:i/>
          <w:iCs/>
          <w:sz w:val="22"/>
          <w:szCs w:val="22"/>
          <w:u w:val="single"/>
          <w:lang w:val="en-GB"/>
        </w:rPr>
        <w:t>Lesser Flamingo:</w:t>
      </w:r>
      <w:r w:rsidRPr="008C78FA">
        <w:rPr>
          <w:sz w:val="22"/>
          <w:szCs w:val="22"/>
          <w:lang w:val="en-GB"/>
        </w:rPr>
        <w:t xml:space="preserve"> </w:t>
      </w:r>
      <w:r w:rsidR="00683E9F" w:rsidRPr="008C78FA">
        <w:rPr>
          <w:sz w:val="22"/>
          <w:szCs w:val="22"/>
          <w:lang w:val="en-GB"/>
        </w:rPr>
        <w:t>The UNEP/AEWA Secretariat has been collaborating with the Secretariat of the Convention on Biological Diversity (SCBD) in the framework of their Bio-Bridge Initiative (BBI), to support the transfer of knowledge and expertise to local experts in Senegal and Mauritania</w:t>
      </w:r>
      <w:r w:rsidR="000A45B6" w:rsidRPr="008C78FA">
        <w:rPr>
          <w:sz w:val="22"/>
          <w:szCs w:val="22"/>
          <w:lang w:val="en-GB"/>
        </w:rPr>
        <w:t xml:space="preserve"> on </w:t>
      </w:r>
      <w:r w:rsidR="00683E9F" w:rsidRPr="008C78FA">
        <w:rPr>
          <w:sz w:val="22"/>
          <w:szCs w:val="22"/>
          <w:lang w:val="en-GB"/>
        </w:rPr>
        <w:t xml:space="preserve">satellite tagging and ringing of Lesser Flamingos, and subsequent monitoring of their spatial and temporal distribution in breeding and non-breeding sites. The project </w:t>
      </w:r>
      <w:r w:rsidR="000A45B6" w:rsidRPr="008C78FA">
        <w:rPr>
          <w:sz w:val="22"/>
          <w:szCs w:val="22"/>
          <w:lang w:val="en-GB"/>
        </w:rPr>
        <w:t>is</w:t>
      </w:r>
      <w:r w:rsidR="00683E9F" w:rsidRPr="008C78FA">
        <w:rPr>
          <w:sz w:val="22"/>
          <w:szCs w:val="22"/>
          <w:lang w:val="en-GB"/>
        </w:rPr>
        <w:t xml:space="preserve"> be</w:t>
      </w:r>
      <w:r w:rsidR="000A45B6" w:rsidRPr="008C78FA">
        <w:rPr>
          <w:sz w:val="22"/>
          <w:szCs w:val="22"/>
          <w:lang w:val="en-GB"/>
        </w:rPr>
        <w:t>ing</w:t>
      </w:r>
      <w:r w:rsidR="00683E9F" w:rsidRPr="008C78FA">
        <w:rPr>
          <w:sz w:val="22"/>
          <w:szCs w:val="22"/>
          <w:lang w:val="en-GB"/>
        </w:rPr>
        <w:t xml:space="preserve"> implemented in collaboration with Senegal Directorate of National Parks (DPN)</w:t>
      </w:r>
      <w:r w:rsidR="000A45B6" w:rsidRPr="008C78FA">
        <w:rPr>
          <w:sz w:val="22"/>
          <w:szCs w:val="22"/>
          <w:lang w:val="en-GB"/>
        </w:rPr>
        <w:t xml:space="preserve"> and</w:t>
      </w:r>
      <w:r w:rsidR="00683E9F" w:rsidRPr="008C78FA">
        <w:rPr>
          <w:sz w:val="22"/>
          <w:szCs w:val="22"/>
          <w:lang w:val="en-GB"/>
        </w:rPr>
        <w:t xml:space="preserve"> the French-based research institute</w:t>
      </w:r>
      <w:r w:rsidR="00F975E3" w:rsidRPr="008C78FA">
        <w:rPr>
          <w:sz w:val="22"/>
          <w:szCs w:val="22"/>
          <w:lang w:val="en-GB"/>
        </w:rPr>
        <w:t>,</w:t>
      </w:r>
      <w:r w:rsidR="00683E9F" w:rsidRPr="008C78FA">
        <w:rPr>
          <w:sz w:val="22"/>
          <w:szCs w:val="22"/>
          <w:lang w:val="en-GB"/>
        </w:rPr>
        <w:t xml:space="preserve"> Tour du Valat</w:t>
      </w:r>
      <w:r w:rsidR="00A82025" w:rsidRPr="008C78FA">
        <w:rPr>
          <w:sz w:val="22"/>
          <w:szCs w:val="22"/>
          <w:lang w:val="en-GB"/>
        </w:rPr>
        <w:t xml:space="preserve">. </w:t>
      </w:r>
      <w:r w:rsidR="000A45B6" w:rsidRPr="008C78FA">
        <w:rPr>
          <w:sz w:val="22"/>
          <w:szCs w:val="22"/>
          <w:lang w:val="en-GB"/>
        </w:rPr>
        <w:t xml:space="preserve"> Under this project, four satellite transmitters have been acquired</w:t>
      </w:r>
      <w:r w:rsidR="00A82025" w:rsidRPr="008C78FA">
        <w:rPr>
          <w:sz w:val="22"/>
          <w:szCs w:val="22"/>
          <w:lang w:val="en-GB"/>
        </w:rPr>
        <w:t>. Meanwhile, the</w:t>
      </w:r>
      <w:r w:rsidR="000A45B6" w:rsidRPr="008C78FA">
        <w:rPr>
          <w:sz w:val="22"/>
          <w:szCs w:val="22"/>
          <w:lang w:val="en-GB"/>
        </w:rPr>
        <w:t xml:space="preserve"> </w:t>
      </w:r>
      <w:r w:rsidR="00A82025" w:rsidRPr="008C78FA">
        <w:rPr>
          <w:sz w:val="22"/>
          <w:szCs w:val="22"/>
          <w:lang w:val="en-GB"/>
        </w:rPr>
        <w:t xml:space="preserve">theoretical training and field expedition for capturing and tagging of the birds which was initially scheduled for December 2020 has been rescheduled for </w:t>
      </w:r>
      <w:r w:rsidR="00F975E3" w:rsidRPr="008C78FA">
        <w:rPr>
          <w:sz w:val="22"/>
          <w:szCs w:val="22"/>
          <w:lang w:val="en-GB"/>
        </w:rPr>
        <w:t>a second time for November</w:t>
      </w:r>
      <w:r w:rsidR="00A82025" w:rsidRPr="008C78FA">
        <w:rPr>
          <w:sz w:val="22"/>
          <w:szCs w:val="22"/>
          <w:lang w:val="en-GB"/>
        </w:rPr>
        <w:t xml:space="preserve"> 2021, due to the COVID-19 travel restrictions</w:t>
      </w:r>
      <w:r w:rsidR="00683E9F" w:rsidRPr="008C78FA">
        <w:rPr>
          <w:sz w:val="22"/>
          <w:szCs w:val="22"/>
          <w:lang w:val="en-GB"/>
        </w:rPr>
        <w:t xml:space="preserve">.  </w:t>
      </w:r>
    </w:p>
    <w:p w14:paraId="693EE722" w14:textId="2D360341" w:rsidR="00B651B3" w:rsidRPr="008C78FA" w:rsidRDefault="00B651B3" w:rsidP="00B71F08">
      <w:pPr>
        <w:spacing w:line="276" w:lineRule="auto"/>
        <w:jc w:val="both"/>
        <w:rPr>
          <w:sz w:val="22"/>
          <w:szCs w:val="22"/>
          <w:lang w:val="en-GB"/>
        </w:rPr>
      </w:pPr>
    </w:p>
    <w:p w14:paraId="177439D9" w14:textId="04C9F50E" w:rsidR="00BE372C" w:rsidRPr="008C78FA" w:rsidRDefault="00B651B3" w:rsidP="00B71F08">
      <w:pPr>
        <w:spacing w:line="276" w:lineRule="auto"/>
        <w:jc w:val="both"/>
        <w:rPr>
          <w:sz w:val="22"/>
          <w:szCs w:val="22"/>
          <w:lang w:val="en-GB"/>
        </w:rPr>
      </w:pPr>
      <w:r w:rsidRPr="008C78FA">
        <w:rPr>
          <w:i/>
          <w:iCs/>
          <w:sz w:val="22"/>
          <w:szCs w:val="22"/>
          <w:u w:val="single"/>
          <w:lang w:val="en-GB"/>
        </w:rPr>
        <w:t>Benguela Coastal Seabirds:</w:t>
      </w:r>
      <w:r w:rsidRPr="008C78FA">
        <w:rPr>
          <w:sz w:val="22"/>
          <w:szCs w:val="22"/>
          <w:lang w:val="en-GB"/>
        </w:rPr>
        <w:t xml:space="preserve"> The AEWA AI Programme Assistant supported with the organization of a virtual </w:t>
      </w:r>
      <w:hyperlink r:id="rId9" w:history="1">
        <w:r w:rsidRPr="008C78FA">
          <w:rPr>
            <w:rStyle w:val="Hyperlink"/>
            <w:sz w:val="22"/>
            <w:szCs w:val="22"/>
            <w:lang w:val="en-GB"/>
          </w:rPr>
          <w:t>Benguela Current Forage Fish Workshop</w:t>
        </w:r>
        <w:r w:rsidR="00F75FC7" w:rsidRPr="008C78FA">
          <w:rPr>
            <w:rStyle w:val="Hyperlink"/>
            <w:sz w:val="22"/>
            <w:szCs w:val="22"/>
            <w:lang w:val="en-GB"/>
          </w:rPr>
          <w:t xml:space="preserve"> (November 2020)</w:t>
        </w:r>
      </w:hyperlink>
      <w:r w:rsidRPr="008C78FA">
        <w:rPr>
          <w:sz w:val="22"/>
          <w:szCs w:val="22"/>
          <w:lang w:val="en-GB"/>
        </w:rPr>
        <w:t xml:space="preserve">, hosted by the Government of South Africa and facilitated by the AEWA Secretariat as well as </w:t>
      </w:r>
      <w:hyperlink r:id="rId10" w:history="1">
        <w:r w:rsidRPr="008C78FA">
          <w:rPr>
            <w:rStyle w:val="Hyperlink"/>
            <w:sz w:val="22"/>
            <w:szCs w:val="22"/>
            <w:lang w:val="en-GB"/>
          </w:rPr>
          <w:t>1</w:t>
        </w:r>
        <w:r w:rsidRPr="008C78FA">
          <w:rPr>
            <w:rStyle w:val="Hyperlink"/>
            <w:sz w:val="22"/>
            <w:szCs w:val="22"/>
            <w:vertAlign w:val="superscript"/>
            <w:lang w:val="en-GB"/>
          </w:rPr>
          <w:t>st</w:t>
        </w:r>
        <w:r w:rsidRPr="008C78FA">
          <w:rPr>
            <w:rStyle w:val="Hyperlink"/>
            <w:sz w:val="22"/>
            <w:szCs w:val="22"/>
            <w:lang w:val="en-GB"/>
          </w:rPr>
          <w:t xml:space="preserve"> meeting of the AEWA Benguela Coastal Seabirds IWG (March 2021)</w:t>
        </w:r>
      </w:hyperlink>
      <w:r w:rsidRPr="008C78FA">
        <w:rPr>
          <w:sz w:val="22"/>
          <w:szCs w:val="22"/>
          <w:lang w:val="en-GB"/>
        </w:rPr>
        <w:t xml:space="preserve">. Both meetings were made possible thanks to financial contributions secured from the Government of the United Kingdom over the period of 2019-2021. Details on these workshops are available in document AEWA StC 16.5. </w:t>
      </w:r>
    </w:p>
    <w:p w14:paraId="3D48D43A" w14:textId="2E027822" w:rsidR="00B651B3" w:rsidRPr="008C78FA" w:rsidRDefault="00B651B3" w:rsidP="00B71F08">
      <w:pPr>
        <w:spacing w:line="276" w:lineRule="auto"/>
        <w:jc w:val="both"/>
        <w:rPr>
          <w:sz w:val="22"/>
          <w:szCs w:val="22"/>
          <w:lang w:val="en-GB"/>
        </w:rPr>
      </w:pPr>
    </w:p>
    <w:p w14:paraId="2FC779A2" w14:textId="77777777" w:rsidR="00B651B3" w:rsidRPr="008C78FA" w:rsidRDefault="00B651B3" w:rsidP="00B71F08">
      <w:pPr>
        <w:spacing w:line="276" w:lineRule="auto"/>
        <w:jc w:val="both"/>
        <w:rPr>
          <w:sz w:val="22"/>
          <w:szCs w:val="22"/>
        </w:rPr>
      </w:pPr>
    </w:p>
    <w:p w14:paraId="6F348C7E" w14:textId="5BF4951B" w:rsidR="00BE372C" w:rsidRPr="008C78FA" w:rsidRDefault="00BE372C" w:rsidP="00B71F08">
      <w:pPr>
        <w:spacing w:line="276" w:lineRule="auto"/>
        <w:jc w:val="both"/>
        <w:rPr>
          <w:sz w:val="22"/>
          <w:szCs w:val="22"/>
          <w:lang w:val="en-GB"/>
        </w:rPr>
      </w:pPr>
      <w:r w:rsidRPr="008C78FA">
        <w:rPr>
          <w:i/>
          <w:iCs/>
          <w:sz w:val="22"/>
          <w:szCs w:val="22"/>
          <w:u w:val="single"/>
          <w:lang w:val="en-GB"/>
        </w:rPr>
        <w:t>Madagascar Pond-heron:</w:t>
      </w:r>
      <w:r w:rsidRPr="008C78FA">
        <w:rPr>
          <w:sz w:val="22"/>
          <w:szCs w:val="22"/>
          <w:lang w:val="en-GB"/>
        </w:rPr>
        <w:t xml:space="preserve"> Through a recently approved grant from the United Kingdom to support the implementation of the AEWA African Initiative over the period of January to June 2021, funds have been allocated to support the implementation of the Madagascar Pond Heron ISSAP in Madagascar. The project activities aim to prospect two potential breeding and foraging sites for the specie</w:t>
      </w:r>
      <w:r w:rsidR="0007768A" w:rsidRPr="008C78FA">
        <w:rPr>
          <w:sz w:val="22"/>
          <w:szCs w:val="22"/>
          <w:lang w:val="en-GB"/>
        </w:rPr>
        <w:t>s</w:t>
      </w:r>
      <w:r w:rsidRPr="008C78FA">
        <w:rPr>
          <w:sz w:val="22"/>
          <w:szCs w:val="22"/>
          <w:lang w:val="en-GB"/>
        </w:rPr>
        <w:t xml:space="preserve"> in Madagascar, assess the status of the sites and promote sustainable, community-based use and management of one of the sites. </w:t>
      </w:r>
    </w:p>
    <w:p w14:paraId="1F25D1F2" w14:textId="77777777" w:rsidR="00683E9F" w:rsidRPr="00702087" w:rsidRDefault="00683E9F" w:rsidP="00B71F08">
      <w:pPr>
        <w:spacing w:line="276" w:lineRule="auto"/>
        <w:jc w:val="both"/>
        <w:rPr>
          <w:lang w:val="en-GB"/>
        </w:rPr>
      </w:pPr>
    </w:p>
    <w:p w14:paraId="08F3EE0F" w14:textId="0100962D" w:rsidR="00683E9F" w:rsidRPr="00702087" w:rsidRDefault="00683E9F" w:rsidP="00B71F08">
      <w:pPr>
        <w:pStyle w:val="ListParagraph"/>
        <w:numPr>
          <w:ilvl w:val="1"/>
          <w:numId w:val="18"/>
        </w:numPr>
        <w:spacing w:after="60" w:line="276" w:lineRule="auto"/>
        <w:ind w:left="426" w:hanging="426"/>
        <w:jc w:val="both"/>
        <w:rPr>
          <w:b/>
          <w:lang w:val="en-GB"/>
        </w:rPr>
      </w:pPr>
      <w:r w:rsidRPr="00702087">
        <w:rPr>
          <w:b/>
          <w:lang w:val="en-GB"/>
        </w:rPr>
        <w:t>Operation of the AEWA Small Grants Fund</w:t>
      </w:r>
      <w:r>
        <w:rPr>
          <w:b/>
          <w:lang w:val="en-GB"/>
        </w:rPr>
        <w:t xml:space="preserve"> (SGF)</w:t>
      </w:r>
    </w:p>
    <w:p w14:paraId="11007152" w14:textId="27522A76" w:rsidR="00683E9F" w:rsidRPr="008C78FA" w:rsidRDefault="00683E9F" w:rsidP="00B71F08">
      <w:pPr>
        <w:spacing w:line="276" w:lineRule="auto"/>
        <w:jc w:val="both"/>
        <w:rPr>
          <w:sz w:val="22"/>
          <w:szCs w:val="22"/>
          <w:lang w:val="en-GB"/>
        </w:rPr>
      </w:pPr>
      <w:r w:rsidRPr="008C78FA">
        <w:rPr>
          <w:sz w:val="22"/>
          <w:szCs w:val="22"/>
          <w:lang w:val="en-GB"/>
        </w:rPr>
        <w:t>The UNEP/AEWA Secretariat monitored and provided guidance towards the implementation of the last ongoing SGF projects from the 2014 and 2015 project cycles, as well as provided support towards all required administrative and technical processes. In 2019, three SGF projects from the 2015 cycle were completed (in Kenya</w:t>
      </w:r>
      <w:r w:rsidRPr="008C78FA">
        <w:rPr>
          <w:sz w:val="22"/>
          <w:szCs w:val="22"/>
          <w:vertAlign w:val="superscript"/>
          <w:lang w:val="en-GB"/>
        </w:rPr>
        <w:footnoteReference w:id="3"/>
      </w:r>
      <w:r w:rsidRPr="008C78FA">
        <w:rPr>
          <w:sz w:val="22"/>
          <w:szCs w:val="22"/>
          <w:lang w:val="en-GB"/>
        </w:rPr>
        <w:t>, Nigeria and Zimbabwe) as well as one from the 2014 project cycle (in Côte d’Ivoire).</w:t>
      </w:r>
      <w:r w:rsidR="009612D5" w:rsidRPr="008C78FA">
        <w:rPr>
          <w:sz w:val="22"/>
          <w:szCs w:val="22"/>
          <w:lang w:val="en-GB"/>
        </w:rPr>
        <w:t xml:space="preserve"> T</w:t>
      </w:r>
      <w:r w:rsidR="00F77EB7" w:rsidRPr="008C78FA">
        <w:rPr>
          <w:sz w:val="22"/>
          <w:szCs w:val="22"/>
          <w:lang w:val="en-GB"/>
        </w:rPr>
        <w:t>h</w:t>
      </w:r>
      <w:r w:rsidR="009612D5" w:rsidRPr="008C78FA">
        <w:rPr>
          <w:sz w:val="22"/>
          <w:szCs w:val="22"/>
          <w:lang w:val="en-GB"/>
        </w:rPr>
        <w:t>i</w:t>
      </w:r>
      <w:r w:rsidR="00F77EB7" w:rsidRPr="008C78FA">
        <w:rPr>
          <w:sz w:val="22"/>
          <w:szCs w:val="22"/>
          <w:lang w:val="en-GB"/>
        </w:rPr>
        <w:t>s br</w:t>
      </w:r>
      <w:r w:rsidR="009612D5" w:rsidRPr="008C78FA">
        <w:rPr>
          <w:sz w:val="22"/>
          <w:szCs w:val="22"/>
          <w:lang w:val="en-GB"/>
        </w:rPr>
        <w:t>ought to</w:t>
      </w:r>
      <w:r w:rsidR="00F77EB7" w:rsidRPr="008C78FA">
        <w:rPr>
          <w:sz w:val="22"/>
          <w:szCs w:val="22"/>
          <w:lang w:val="en-GB"/>
        </w:rPr>
        <w:t xml:space="preserve"> a successful completion all </w:t>
      </w:r>
      <w:r w:rsidR="009612D5" w:rsidRPr="008C78FA">
        <w:rPr>
          <w:sz w:val="22"/>
          <w:szCs w:val="22"/>
          <w:lang w:val="en-GB"/>
        </w:rPr>
        <w:t xml:space="preserve">ongoing </w:t>
      </w:r>
      <w:r w:rsidR="00F77EB7" w:rsidRPr="008C78FA">
        <w:rPr>
          <w:sz w:val="22"/>
          <w:szCs w:val="22"/>
          <w:lang w:val="en-GB"/>
        </w:rPr>
        <w:t>AEWA</w:t>
      </w:r>
      <w:r w:rsidRPr="008C78FA">
        <w:rPr>
          <w:sz w:val="22"/>
          <w:szCs w:val="22"/>
          <w:lang w:val="en-GB"/>
        </w:rPr>
        <w:t xml:space="preserve"> SGF projects.  </w:t>
      </w:r>
    </w:p>
    <w:p w14:paraId="59080F49" w14:textId="77777777" w:rsidR="00683E9F" w:rsidRPr="008C78FA" w:rsidRDefault="00683E9F" w:rsidP="00B71F08">
      <w:pPr>
        <w:spacing w:line="276" w:lineRule="auto"/>
        <w:jc w:val="both"/>
        <w:rPr>
          <w:sz w:val="22"/>
          <w:szCs w:val="22"/>
          <w:lang w:val="en-GB"/>
        </w:rPr>
      </w:pPr>
    </w:p>
    <w:p w14:paraId="253F3BB6" w14:textId="38578CCC" w:rsidR="00683E9F" w:rsidRPr="008C78FA" w:rsidRDefault="00683E9F" w:rsidP="00B71F08">
      <w:pPr>
        <w:spacing w:line="276" w:lineRule="auto"/>
        <w:jc w:val="both"/>
        <w:rPr>
          <w:sz w:val="22"/>
          <w:szCs w:val="22"/>
          <w:lang w:val="en-GB"/>
        </w:rPr>
      </w:pPr>
      <w:r w:rsidRPr="008C78FA">
        <w:rPr>
          <w:sz w:val="22"/>
          <w:szCs w:val="22"/>
          <w:lang w:val="en-GB"/>
        </w:rPr>
        <w:t xml:space="preserve">With no funding earmarked in the AEWA Core Budget towards SGF projects since 2016 and no voluntary contributions received to this end, no </w:t>
      </w:r>
      <w:r w:rsidR="00F77EB7" w:rsidRPr="008C78FA">
        <w:rPr>
          <w:sz w:val="22"/>
          <w:szCs w:val="22"/>
          <w:lang w:val="en-GB"/>
        </w:rPr>
        <w:t>additional</w:t>
      </w:r>
      <w:r w:rsidRPr="008C78FA">
        <w:rPr>
          <w:sz w:val="22"/>
          <w:szCs w:val="22"/>
          <w:lang w:val="en-GB"/>
        </w:rPr>
        <w:t xml:space="preserve"> SGF project cycle </w:t>
      </w:r>
      <w:r w:rsidR="00F77EB7" w:rsidRPr="008C78FA">
        <w:rPr>
          <w:sz w:val="22"/>
          <w:szCs w:val="22"/>
          <w:lang w:val="en-GB"/>
        </w:rPr>
        <w:t>ha</w:t>
      </w:r>
      <w:r w:rsidR="009612D5" w:rsidRPr="008C78FA">
        <w:rPr>
          <w:sz w:val="22"/>
          <w:szCs w:val="22"/>
          <w:lang w:val="en-GB"/>
        </w:rPr>
        <w:t>s</w:t>
      </w:r>
      <w:r w:rsidR="00F77EB7" w:rsidRPr="008C78FA">
        <w:rPr>
          <w:sz w:val="22"/>
          <w:szCs w:val="22"/>
          <w:lang w:val="en-GB"/>
        </w:rPr>
        <w:t xml:space="preserve"> been </w:t>
      </w:r>
      <w:r w:rsidR="009612D5" w:rsidRPr="008C78FA">
        <w:rPr>
          <w:sz w:val="22"/>
          <w:szCs w:val="22"/>
          <w:lang w:val="en-GB"/>
        </w:rPr>
        <w:t>launched</w:t>
      </w:r>
      <w:r w:rsidRPr="008C78FA">
        <w:rPr>
          <w:sz w:val="22"/>
          <w:szCs w:val="22"/>
          <w:lang w:val="en-GB"/>
        </w:rPr>
        <w:t xml:space="preserve"> by the Secretariat</w:t>
      </w:r>
      <w:r w:rsidR="00F77EB7" w:rsidRPr="008C78FA">
        <w:rPr>
          <w:sz w:val="22"/>
          <w:szCs w:val="22"/>
          <w:lang w:val="en-GB"/>
        </w:rPr>
        <w:t xml:space="preserve"> during the current reporting period</w:t>
      </w:r>
      <w:r w:rsidRPr="008C78FA">
        <w:rPr>
          <w:sz w:val="22"/>
          <w:szCs w:val="22"/>
          <w:lang w:val="en-GB"/>
        </w:rPr>
        <w:t xml:space="preserve">. </w:t>
      </w:r>
      <w:r w:rsidR="009612D5" w:rsidRPr="008C78FA">
        <w:rPr>
          <w:sz w:val="22"/>
          <w:szCs w:val="22"/>
          <w:lang w:val="en-GB"/>
        </w:rPr>
        <w:t xml:space="preserve">In February 2021, the substance and layout of the </w:t>
      </w:r>
      <w:hyperlink r:id="rId11" w:history="1">
        <w:r w:rsidR="009612D5" w:rsidRPr="008C78FA">
          <w:rPr>
            <w:rStyle w:val="Hyperlink"/>
            <w:sz w:val="22"/>
            <w:szCs w:val="22"/>
            <w:lang w:val="en-GB"/>
          </w:rPr>
          <w:t>AEWA SGF website</w:t>
        </w:r>
      </w:hyperlink>
      <w:r w:rsidR="009612D5" w:rsidRPr="008C78FA">
        <w:rPr>
          <w:sz w:val="22"/>
          <w:szCs w:val="22"/>
          <w:lang w:val="en-GB"/>
        </w:rPr>
        <w:t xml:space="preserve"> was however updated to better portray the outcomes of all SGF-funded projects and facilitate access to these. </w:t>
      </w:r>
    </w:p>
    <w:p w14:paraId="05E286F1" w14:textId="0B787812" w:rsidR="00683E9F" w:rsidRDefault="00683E9F" w:rsidP="00B71F08">
      <w:pPr>
        <w:spacing w:line="276" w:lineRule="auto"/>
        <w:jc w:val="both"/>
        <w:rPr>
          <w:lang w:val="en-GB"/>
        </w:rPr>
      </w:pPr>
    </w:p>
    <w:p w14:paraId="27A308CE" w14:textId="77777777" w:rsidR="00B71F08" w:rsidRPr="00702087" w:rsidRDefault="00B71F08" w:rsidP="00B71F08">
      <w:pPr>
        <w:spacing w:line="276" w:lineRule="auto"/>
        <w:jc w:val="both"/>
        <w:rPr>
          <w:lang w:val="en-GB"/>
        </w:rPr>
      </w:pPr>
    </w:p>
    <w:p w14:paraId="5E5F8C83" w14:textId="1092154D" w:rsidR="00683E9F" w:rsidRPr="00702087" w:rsidRDefault="00683E9F" w:rsidP="00B71F08">
      <w:pPr>
        <w:pStyle w:val="ListParagraph"/>
        <w:numPr>
          <w:ilvl w:val="1"/>
          <w:numId w:val="18"/>
        </w:numPr>
        <w:spacing w:after="60" w:line="276" w:lineRule="auto"/>
        <w:ind w:left="426" w:hanging="426"/>
        <w:jc w:val="both"/>
        <w:rPr>
          <w:b/>
          <w:lang w:val="en-GB"/>
        </w:rPr>
      </w:pPr>
      <w:r w:rsidRPr="00702087">
        <w:rPr>
          <w:b/>
          <w:lang w:val="en-GB"/>
        </w:rPr>
        <w:lastRenderedPageBreak/>
        <w:t>Expanding membership to AEWA in Africa</w:t>
      </w:r>
    </w:p>
    <w:p w14:paraId="129E69F0" w14:textId="02B3DE66" w:rsidR="00683E9F" w:rsidRPr="008C78FA" w:rsidRDefault="00683E9F" w:rsidP="00B71F08">
      <w:pPr>
        <w:spacing w:line="276" w:lineRule="auto"/>
        <w:jc w:val="both"/>
        <w:rPr>
          <w:sz w:val="22"/>
          <w:szCs w:val="22"/>
          <w:lang w:val="en-GB"/>
        </w:rPr>
      </w:pPr>
      <w:r w:rsidRPr="008C78FA">
        <w:rPr>
          <w:sz w:val="22"/>
          <w:szCs w:val="22"/>
          <w:lang w:val="en-GB"/>
        </w:rPr>
        <w:t xml:space="preserve">The UNEP/AEWA Secretariat continued to promote the accession of new Contracting Parties, with a focus on the Central and Southern African regions, as well as on Portuguese-speaking African countries, where major gaps in membership to AEWA in Africa </w:t>
      </w:r>
      <w:r w:rsidR="004D7EE4" w:rsidRPr="008C78FA">
        <w:rPr>
          <w:sz w:val="22"/>
          <w:szCs w:val="22"/>
          <w:lang w:val="en-GB"/>
        </w:rPr>
        <w:t>have been identified</w:t>
      </w:r>
      <w:r w:rsidRPr="008C78FA">
        <w:rPr>
          <w:sz w:val="22"/>
          <w:szCs w:val="22"/>
          <w:lang w:val="en-GB"/>
        </w:rPr>
        <w:t xml:space="preserve">. </w:t>
      </w:r>
    </w:p>
    <w:p w14:paraId="6252E8B0" w14:textId="77777777" w:rsidR="00683E9F" w:rsidRPr="008C78FA" w:rsidRDefault="00683E9F" w:rsidP="00B71F08">
      <w:pPr>
        <w:spacing w:line="276" w:lineRule="auto"/>
        <w:jc w:val="both"/>
        <w:rPr>
          <w:sz w:val="22"/>
          <w:szCs w:val="22"/>
          <w:lang w:val="en-GB"/>
        </w:rPr>
      </w:pPr>
    </w:p>
    <w:p w14:paraId="21B5933D" w14:textId="04B0E143" w:rsidR="00683E9F" w:rsidRPr="008C78FA" w:rsidRDefault="00B72231" w:rsidP="00B71F08">
      <w:pPr>
        <w:spacing w:line="276" w:lineRule="auto"/>
        <w:jc w:val="both"/>
        <w:rPr>
          <w:sz w:val="22"/>
          <w:szCs w:val="22"/>
          <w:lang w:val="en-GB"/>
        </w:rPr>
      </w:pPr>
      <w:r w:rsidRPr="008C78FA">
        <w:rPr>
          <w:sz w:val="22"/>
          <w:szCs w:val="22"/>
          <w:lang w:val="en-GB"/>
        </w:rPr>
        <w:t xml:space="preserve">During the current reporting period, </w:t>
      </w:r>
      <w:r w:rsidR="00683E9F" w:rsidRPr="008C78FA">
        <w:rPr>
          <w:sz w:val="22"/>
          <w:szCs w:val="22"/>
          <w:lang w:val="en-GB"/>
        </w:rPr>
        <w:t>Central African Republic joined AEWA on 1 January 2019</w:t>
      </w:r>
      <w:r w:rsidR="00683E9F" w:rsidRPr="008C78FA">
        <w:rPr>
          <w:sz w:val="22"/>
          <w:szCs w:val="22"/>
          <w:vertAlign w:val="superscript"/>
          <w:lang w:val="en-GB"/>
        </w:rPr>
        <w:footnoteReference w:id="4"/>
      </w:r>
      <w:r w:rsidR="00683E9F" w:rsidRPr="008C78FA">
        <w:rPr>
          <w:sz w:val="22"/>
          <w:szCs w:val="22"/>
          <w:lang w:val="en-GB"/>
        </w:rPr>
        <w:t xml:space="preserve"> while Malawi became Party no. 80 to AEWA on 1 September 2019</w:t>
      </w:r>
      <w:r w:rsidR="00683E9F" w:rsidRPr="008C78FA">
        <w:rPr>
          <w:sz w:val="22"/>
          <w:szCs w:val="22"/>
          <w:vertAlign w:val="superscript"/>
          <w:lang w:val="en-GB"/>
        </w:rPr>
        <w:footnoteReference w:id="5"/>
      </w:r>
      <w:r w:rsidR="00683E9F" w:rsidRPr="008C78FA">
        <w:rPr>
          <w:sz w:val="22"/>
          <w:szCs w:val="22"/>
          <w:lang w:val="en-GB"/>
        </w:rPr>
        <w:t>.</w:t>
      </w:r>
    </w:p>
    <w:p w14:paraId="4DDE42D5" w14:textId="77777777" w:rsidR="00683E9F" w:rsidRDefault="00683E9F" w:rsidP="00B71F08">
      <w:pPr>
        <w:spacing w:line="276" w:lineRule="auto"/>
        <w:jc w:val="both"/>
        <w:rPr>
          <w:lang w:val="en-GB"/>
        </w:rPr>
      </w:pPr>
    </w:p>
    <w:p w14:paraId="7F53B6EF" w14:textId="7963850D" w:rsidR="00F53284" w:rsidRPr="008C78FA" w:rsidRDefault="00683E9F" w:rsidP="00B71F08">
      <w:pPr>
        <w:spacing w:line="276" w:lineRule="auto"/>
        <w:jc w:val="both"/>
        <w:rPr>
          <w:sz w:val="22"/>
          <w:szCs w:val="22"/>
          <w:lang w:val="en-GB"/>
        </w:rPr>
      </w:pPr>
      <w:r w:rsidRPr="008C78FA">
        <w:rPr>
          <w:sz w:val="22"/>
          <w:szCs w:val="22"/>
          <w:lang w:val="en-GB"/>
        </w:rPr>
        <w:t xml:space="preserve">The Secretariat </w:t>
      </w:r>
      <w:r w:rsidR="004D7EE4" w:rsidRPr="008C78FA">
        <w:rPr>
          <w:sz w:val="22"/>
          <w:szCs w:val="22"/>
          <w:lang w:val="en-GB"/>
        </w:rPr>
        <w:t xml:space="preserve">worked closely </w:t>
      </w:r>
      <w:r w:rsidR="00B72231" w:rsidRPr="008C78FA">
        <w:rPr>
          <w:sz w:val="22"/>
          <w:szCs w:val="22"/>
          <w:lang w:val="en-GB"/>
        </w:rPr>
        <w:t xml:space="preserve">with </w:t>
      </w:r>
      <w:r w:rsidR="004D7EE4" w:rsidRPr="008C78FA">
        <w:rPr>
          <w:sz w:val="22"/>
          <w:szCs w:val="22"/>
          <w:lang w:val="en-GB"/>
        </w:rPr>
        <w:t>other non-Party African Range States</w:t>
      </w:r>
      <w:r w:rsidR="00E55271" w:rsidRPr="008C78FA">
        <w:rPr>
          <w:sz w:val="22"/>
          <w:szCs w:val="22"/>
          <w:lang w:val="en-GB"/>
        </w:rPr>
        <w:t xml:space="preserve"> to support and facilitate accession</w:t>
      </w:r>
      <w:r w:rsidR="004F108A" w:rsidRPr="008C78FA">
        <w:rPr>
          <w:sz w:val="22"/>
          <w:szCs w:val="22"/>
          <w:lang w:val="en-GB"/>
        </w:rPr>
        <w:t xml:space="preserve">, including </w:t>
      </w:r>
      <w:r w:rsidR="009612D5" w:rsidRPr="008C78FA">
        <w:rPr>
          <w:sz w:val="22"/>
          <w:szCs w:val="22"/>
          <w:lang w:val="en-GB"/>
        </w:rPr>
        <w:t xml:space="preserve">Angola, Cameroon, </w:t>
      </w:r>
      <w:r w:rsidR="004F108A" w:rsidRPr="008C78FA">
        <w:rPr>
          <w:sz w:val="22"/>
          <w:szCs w:val="22"/>
          <w:lang w:val="en-GB"/>
        </w:rPr>
        <w:t>the Democratic Republic of the Congo, Mozambique, Namibia, Seychelles, Sierra Leone, South Sudan and Zambia, while</w:t>
      </w:r>
      <w:r w:rsidR="00F53284" w:rsidRPr="008C78FA">
        <w:rPr>
          <w:sz w:val="22"/>
          <w:szCs w:val="22"/>
          <w:lang w:val="en-GB"/>
        </w:rPr>
        <w:t xml:space="preserve"> significant progress </w:t>
      </w:r>
      <w:r w:rsidR="009612D5" w:rsidRPr="008C78FA">
        <w:rPr>
          <w:sz w:val="22"/>
          <w:szCs w:val="22"/>
          <w:lang w:val="en-GB"/>
        </w:rPr>
        <w:t xml:space="preserve">was </w:t>
      </w:r>
      <w:r w:rsidR="00F53284" w:rsidRPr="008C78FA">
        <w:rPr>
          <w:sz w:val="22"/>
          <w:szCs w:val="22"/>
          <w:lang w:val="en-GB"/>
        </w:rPr>
        <w:t>registered in the following:</w:t>
      </w:r>
    </w:p>
    <w:p w14:paraId="60016804" w14:textId="77777777" w:rsidR="00AE4127" w:rsidRPr="008C78FA" w:rsidRDefault="00AE4127" w:rsidP="00B71F08">
      <w:pPr>
        <w:spacing w:line="276" w:lineRule="auto"/>
        <w:jc w:val="both"/>
        <w:rPr>
          <w:sz w:val="22"/>
          <w:szCs w:val="22"/>
          <w:lang w:val="en-GB"/>
        </w:rPr>
      </w:pPr>
    </w:p>
    <w:p w14:paraId="44FE9EF7" w14:textId="28F94771" w:rsidR="00F53284" w:rsidRPr="008C78FA" w:rsidRDefault="00683E9F" w:rsidP="00B71F08">
      <w:pPr>
        <w:pStyle w:val="ListParagraph"/>
        <w:numPr>
          <w:ilvl w:val="0"/>
          <w:numId w:val="19"/>
        </w:numPr>
        <w:spacing w:line="276" w:lineRule="auto"/>
        <w:jc w:val="both"/>
        <w:rPr>
          <w:sz w:val="22"/>
          <w:szCs w:val="22"/>
          <w:lang w:val="en-GB"/>
        </w:rPr>
      </w:pPr>
      <w:r w:rsidRPr="008C78FA">
        <w:rPr>
          <w:b/>
          <w:bCs/>
          <w:i/>
          <w:iCs/>
          <w:sz w:val="22"/>
          <w:szCs w:val="22"/>
          <w:lang w:val="en-GB"/>
        </w:rPr>
        <w:t>Cameroon</w:t>
      </w:r>
      <w:r w:rsidR="00F53284" w:rsidRPr="008C78FA">
        <w:rPr>
          <w:sz w:val="22"/>
          <w:szCs w:val="22"/>
          <w:lang w:val="en-GB"/>
        </w:rPr>
        <w:t>:</w:t>
      </w:r>
      <w:r w:rsidRPr="008C78FA">
        <w:rPr>
          <w:sz w:val="22"/>
          <w:szCs w:val="22"/>
          <w:lang w:val="en-GB"/>
        </w:rPr>
        <w:t xml:space="preserve"> where </w:t>
      </w:r>
      <w:r w:rsidR="00F53284" w:rsidRPr="008C78FA">
        <w:rPr>
          <w:sz w:val="22"/>
          <w:szCs w:val="22"/>
          <w:lang w:val="en-GB"/>
        </w:rPr>
        <w:t>the decree on accession was signed by the President in July 2019 and the instrument of accession deposited for his signature in November 2019;</w:t>
      </w:r>
    </w:p>
    <w:p w14:paraId="797E5823" w14:textId="68C22DD0" w:rsidR="00683E9F" w:rsidRPr="008C78FA" w:rsidRDefault="00683E9F" w:rsidP="00B71F08">
      <w:pPr>
        <w:pStyle w:val="ListParagraph"/>
        <w:numPr>
          <w:ilvl w:val="0"/>
          <w:numId w:val="19"/>
        </w:numPr>
        <w:spacing w:line="276" w:lineRule="auto"/>
        <w:jc w:val="both"/>
        <w:rPr>
          <w:sz w:val="22"/>
          <w:szCs w:val="22"/>
          <w:lang w:val="en-GB"/>
        </w:rPr>
      </w:pPr>
      <w:r w:rsidRPr="008C78FA">
        <w:rPr>
          <w:b/>
          <w:bCs/>
          <w:i/>
          <w:iCs/>
          <w:sz w:val="22"/>
          <w:szCs w:val="22"/>
          <w:lang w:val="en-GB"/>
        </w:rPr>
        <w:t>Angola</w:t>
      </w:r>
      <w:r w:rsidR="000A299E" w:rsidRPr="008C78FA">
        <w:rPr>
          <w:sz w:val="22"/>
          <w:szCs w:val="22"/>
          <w:lang w:val="en-GB"/>
        </w:rPr>
        <w:t>:</w:t>
      </w:r>
      <w:r w:rsidRPr="008C78FA">
        <w:rPr>
          <w:sz w:val="22"/>
          <w:szCs w:val="22"/>
          <w:lang w:val="en-GB"/>
        </w:rPr>
        <w:t xml:space="preserve"> </w:t>
      </w:r>
      <w:r w:rsidR="00F53284" w:rsidRPr="008C78FA">
        <w:rPr>
          <w:sz w:val="22"/>
          <w:szCs w:val="22"/>
          <w:lang w:val="en-GB"/>
        </w:rPr>
        <w:t xml:space="preserve">where </w:t>
      </w:r>
      <w:r w:rsidRPr="008C78FA">
        <w:rPr>
          <w:sz w:val="22"/>
          <w:szCs w:val="22"/>
          <w:lang w:val="en-GB"/>
        </w:rPr>
        <w:t xml:space="preserve">the request for accession to AEWA was </w:t>
      </w:r>
      <w:r w:rsidR="00F53284" w:rsidRPr="008C78FA">
        <w:rPr>
          <w:sz w:val="22"/>
          <w:szCs w:val="22"/>
          <w:lang w:val="en-GB"/>
        </w:rPr>
        <w:t xml:space="preserve">submitted to </w:t>
      </w:r>
      <w:r w:rsidRPr="008C78FA">
        <w:rPr>
          <w:sz w:val="22"/>
          <w:szCs w:val="22"/>
          <w:lang w:val="en-GB"/>
        </w:rPr>
        <w:t xml:space="preserve">the National Assembly in October 2019. </w:t>
      </w:r>
    </w:p>
    <w:p w14:paraId="34A77EC2" w14:textId="77777777" w:rsidR="00683E9F" w:rsidRPr="00702087" w:rsidRDefault="00683E9F" w:rsidP="00B71F08">
      <w:pPr>
        <w:spacing w:line="276" w:lineRule="auto"/>
        <w:jc w:val="both"/>
        <w:rPr>
          <w:lang w:val="en-GB"/>
        </w:rPr>
      </w:pPr>
    </w:p>
    <w:p w14:paraId="18B6BB4F" w14:textId="6C114F06" w:rsidR="00683E9F" w:rsidRPr="00702087" w:rsidRDefault="00683E9F" w:rsidP="00B71F08">
      <w:pPr>
        <w:pStyle w:val="ListParagraph"/>
        <w:numPr>
          <w:ilvl w:val="1"/>
          <w:numId w:val="18"/>
        </w:numPr>
        <w:spacing w:after="60" w:line="276" w:lineRule="auto"/>
        <w:ind w:left="426" w:hanging="426"/>
        <w:jc w:val="both"/>
        <w:rPr>
          <w:b/>
          <w:lang w:val="en-GB"/>
        </w:rPr>
      </w:pPr>
      <w:r w:rsidRPr="00702087">
        <w:rPr>
          <w:b/>
          <w:lang w:val="en-GB"/>
        </w:rPr>
        <w:t xml:space="preserve">Capacity-Building </w:t>
      </w:r>
      <w:r>
        <w:rPr>
          <w:b/>
          <w:lang w:val="en-GB"/>
        </w:rPr>
        <w:t xml:space="preserve">and CEPA </w:t>
      </w:r>
      <w:r w:rsidRPr="00702087">
        <w:rPr>
          <w:b/>
          <w:lang w:val="en-GB"/>
        </w:rPr>
        <w:t>in Africa</w:t>
      </w:r>
    </w:p>
    <w:p w14:paraId="31E9C6D9" w14:textId="0A49CA4E" w:rsidR="003D774F" w:rsidRPr="008C78FA" w:rsidRDefault="003D774F" w:rsidP="00B71F08">
      <w:pPr>
        <w:spacing w:after="80" w:line="276" w:lineRule="auto"/>
        <w:jc w:val="both"/>
        <w:rPr>
          <w:i/>
          <w:iCs/>
          <w:sz w:val="22"/>
          <w:szCs w:val="22"/>
          <w:u w:val="single"/>
          <w:lang w:val="en-GB"/>
        </w:rPr>
      </w:pPr>
      <w:r w:rsidRPr="008C78FA">
        <w:rPr>
          <w:i/>
          <w:iCs/>
          <w:sz w:val="22"/>
          <w:szCs w:val="22"/>
          <w:u w:val="single"/>
          <w:lang w:val="en-GB"/>
        </w:rPr>
        <w:t>Training</w:t>
      </w:r>
    </w:p>
    <w:p w14:paraId="2457A2A7" w14:textId="41A8832A" w:rsidR="00BC7413" w:rsidRPr="008C78FA" w:rsidRDefault="00BC7413" w:rsidP="00B71F08">
      <w:pPr>
        <w:spacing w:line="276" w:lineRule="auto"/>
        <w:jc w:val="both"/>
        <w:rPr>
          <w:sz w:val="22"/>
          <w:szCs w:val="22"/>
          <w:lang w:val="en-GB"/>
        </w:rPr>
      </w:pPr>
      <w:r w:rsidRPr="008C78FA">
        <w:rPr>
          <w:sz w:val="22"/>
          <w:szCs w:val="22"/>
          <w:lang w:val="en-GB"/>
        </w:rPr>
        <w:t>In follow-up on the AEWA Flyway Training of Trainers course which was conducted for 44 experts from 18 francophone West and Central African countries and reginal wildlife training institutions, (Benin, May 2019)</w:t>
      </w:r>
      <w:r w:rsidR="00486B98" w:rsidRPr="008C78FA">
        <w:rPr>
          <w:rStyle w:val="FootnoteReference"/>
          <w:sz w:val="22"/>
          <w:szCs w:val="22"/>
          <w:lang w:val="en-GB"/>
        </w:rPr>
        <w:footnoteReference w:id="6"/>
      </w:r>
      <w:r w:rsidRPr="008C78FA">
        <w:rPr>
          <w:sz w:val="22"/>
          <w:szCs w:val="22"/>
          <w:lang w:val="en-GB"/>
        </w:rPr>
        <w:t>, a survey was conducted in February 2020 to assess dissemination of the knowledge and skills gained at national level</w:t>
      </w:r>
      <w:r w:rsidR="00425C93" w:rsidRPr="008C78FA">
        <w:rPr>
          <w:sz w:val="22"/>
          <w:szCs w:val="22"/>
          <w:lang w:val="en-GB"/>
        </w:rPr>
        <w:t>, given that this was considered the main means of ensuring the sustainability of the regional flyway ToT courses</w:t>
      </w:r>
      <w:r w:rsidRPr="008C78FA">
        <w:rPr>
          <w:sz w:val="22"/>
          <w:szCs w:val="22"/>
          <w:lang w:val="en-GB"/>
        </w:rPr>
        <w:t>. Base</w:t>
      </w:r>
      <w:r w:rsidR="00425C93" w:rsidRPr="008C78FA">
        <w:rPr>
          <w:sz w:val="22"/>
          <w:szCs w:val="22"/>
          <w:lang w:val="en-GB"/>
        </w:rPr>
        <w:t xml:space="preserve">d on this survey, out of the 18 countries represented at the Benin Flyway ToT course, </w:t>
      </w:r>
      <w:r w:rsidRPr="008C78FA">
        <w:rPr>
          <w:sz w:val="22"/>
          <w:szCs w:val="22"/>
          <w:lang w:val="en-GB"/>
        </w:rPr>
        <w:t xml:space="preserve">seven countries reported </w:t>
      </w:r>
      <w:r w:rsidR="00425C93" w:rsidRPr="008C78FA">
        <w:rPr>
          <w:sz w:val="22"/>
          <w:szCs w:val="22"/>
          <w:lang w:val="en-GB"/>
        </w:rPr>
        <w:t xml:space="preserve">having conducted </w:t>
      </w:r>
      <w:r w:rsidRPr="008C78FA">
        <w:rPr>
          <w:sz w:val="22"/>
          <w:szCs w:val="22"/>
          <w:lang w:val="en-GB"/>
        </w:rPr>
        <w:t>follow-up national training courses</w:t>
      </w:r>
      <w:r w:rsidR="00425C93" w:rsidRPr="008C78FA">
        <w:rPr>
          <w:sz w:val="22"/>
          <w:szCs w:val="22"/>
          <w:lang w:val="en-GB"/>
        </w:rPr>
        <w:t xml:space="preserve">. Meanwhile, in other </w:t>
      </w:r>
      <w:r w:rsidRPr="008C78FA">
        <w:rPr>
          <w:sz w:val="22"/>
          <w:szCs w:val="22"/>
          <w:lang w:val="en-GB"/>
        </w:rPr>
        <w:t>countries</w:t>
      </w:r>
      <w:r w:rsidR="00425C93" w:rsidRPr="008C78FA">
        <w:rPr>
          <w:sz w:val="22"/>
          <w:szCs w:val="22"/>
          <w:lang w:val="en-GB"/>
        </w:rPr>
        <w:t xml:space="preserve">, other methods/means of sharing/using the knowledge and skills gained were applies, including </w:t>
      </w:r>
      <w:r w:rsidRPr="008C78FA">
        <w:rPr>
          <w:sz w:val="22"/>
          <w:szCs w:val="22"/>
          <w:lang w:val="en-GB"/>
        </w:rPr>
        <w:t>restitution information sessions, awareness campaigns, conduct of related field activities</w:t>
      </w:r>
      <w:r w:rsidR="00425C93" w:rsidRPr="008C78FA">
        <w:rPr>
          <w:sz w:val="22"/>
          <w:szCs w:val="22"/>
          <w:lang w:val="en-GB"/>
        </w:rPr>
        <w:t xml:space="preserve"> (such as waterbird monitoring)</w:t>
      </w:r>
      <w:r w:rsidRPr="008C78FA">
        <w:rPr>
          <w:sz w:val="22"/>
          <w:szCs w:val="22"/>
          <w:lang w:val="en-GB"/>
        </w:rPr>
        <w:t>, information sessions at education institutions or incorporation of flyway conservation in educational curricula.</w:t>
      </w:r>
      <w:r w:rsidR="00425C93" w:rsidRPr="008C78FA">
        <w:rPr>
          <w:sz w:val="22"/>
          <w:szCs w:val="22"/>
          <w:lang w:val="en-GB"/>
        </w:rPr>
        <w:t xml:space="preserve"> Details on the reported follow-up national ToT courses can be found here: </w:t>
      </w:r>
      <w:hyperlink r:id="rId12" w:history="1">
        <w:r w:rsidR="00425C93" w:rsidRPr="008C78FA">
          <w:rPr>
            <w:rStyle w:val="Hyperlink"/>
            <w:sz w:val="22"/>
            <w:szCs w:val="22"/>
            <w:lang w:val="en-GB"/>
          </w:rPr>
          <w:t>https://www.unep-aewa.org/en/news/aewa-training-trainers-flyway-conservation</w:t>
        </w:r>
      </w:hyperlink>
      <w:r w:rsidR="00425C93" w:rsidRPr="008C78FA">
        <w:rPr>
          <w:sz w:val="22"/>
          <w:szCs w:val="22"/>
          <w:lang w:val="en-GB"/>
        </w:rPr>
        <w:t xml:space="preserve"> </w:t>
      </w:r>
    </w:p>
    <w:p w14:paraId="608F1AA5" w14:textId="6CFE1583" w:rsidR="00F44137" w:rsidRPr="008C78FA" w:rsidRDefault="00F44137" w:rsidP="00B71F08">
      <w:pPr>
        <w:spacing w:line="276" w:lineRule="auto"/>
        <w:jc w:val="both"/>
        <w:rPr>
          <w:sz w:val="22"/>
          <w:szCs w:val="22"/>
          <w:lang w:val="en-GB"/>
        </w:rPr>
      </w:pPr>
    </w:p>
    <w:p w14:paraId="6A8C402B" w14:textId="7B06C846" w:rsidR="00F44137" w:rsidRPr="008C78FA" w:rsidRDefault="00F44137" w:rsidP="00B71F08">
      <w:pPr>
        <w:spacing w:line="276" w:lineRule="auto"/>
        <w:jc w:val="both"/>
        <w:rPr>
          <w:sz w:val="22"/>
          <w:szCs w:val="22"/>
          <w:lang w:val="en-GB"/>
        </w:rPr>
      </w:pPr>
      <w:r w:rsidRPr="008C78FA">
        <w:rPr>
          <w:sz w:val="22"/>
          <w:szCs w:val="22"/>
          <w:lang w:val="en-GB"/>
        </w:rPr>
        <w:t xml:space="preserve">In the framework of </w:t>
      </w:r>
      <w:r w:rsidR="00461706" w:rsidRPr="008C78FA">
        <w:rPr>
          <w:sz w:val="22"/>
          <w:szCs w:val="22"/>
          <w:lang w:val="en-GB"/>
        </w:rPr>
        <w:t xml:space="preserve">the 2020-2023 EC GPGC </w:t>
      </w:r>
      <w:r w:rsidR="00311A5C" w:rsidRPr="008C78FA">
        <w:rPr>
          <w:sz w:val="22"/>
          <w:szCs w:val="22"/>
          <w:lang w:val="en-GB"/>
        </w:rPr>
        <w:t xml:space="preserve">funded </w:t>
      </w:r>
      <w:r w:rsidR="00461706" w:rsidRPr="008C78FA">
        <w:rPr>
          <w:sz w:val="22"/>
          <w:szCs w:val="22"/>
          <w:lang w:val="en-GB"/>
        </w:rPr>
        <w:t xml:space="preserve">project, the AEWA Secretariat has initiated preparations for a similar </w:t>
      </w:r>
      <w:r w:rsidR="003D774F" w:rsidRPr="008C78FA">
        <w:rPr>
          <w:sz w:val="22"/>
          <w:szCs w:val="22"/>
          <w:lang w:val="en-GB"/>
        </w:rPr>
        <w:t>f</w:t>
      </w:r>
      <w:r w:rsidR="00461706" w:rsidRPr="008C78FA">
        <w:rPr>
          <w:sz w:val="22"/>
          <w:szCs w:val="22"/>
          <w:lang w:val="en-GB"/>
        </w:rPr>
        <w:t xml:space="preserve">lyway ToT course, targeting experts from the African Small Island Developing States </w:t>
      </w:r>
      <w:r w:rsidR="003D774F" w:rsidRPr="008C78FA">
        <w:rPr>
          <w:sz w:val="22"/>
          <w:szCs w:val="22"/>
          <w:lang w:val="en-GB"/>
        </w:rPr>
        <w:t xml:space="preserve">(SIDS) </w:t>
      </w:r>
      <w:r w:rsidR="00461706" w:rsidRPr="008C78FA">
        <w:rPr>
          <w:sz w:val="22"/>
          <w:szCs w:val="22"/>
          <w:lang w:val="en-GB"/>
        </w:rPr>
        <w:t>and Madagascar</w:t>
      </w:r>
      <w:r w:rsidR="003D774F" w:rsidRPr="008C78FA">
        <w:rPr>
          <w:sz w:val="22"/>
          <w:szCs w:val="22"/>
          <w:lang w:val="en-GB"/>
        </w:rPr>
        <w:t xml:space="preserve"> and </w:t>
      </w:r>
      <w:r w:rsidR="00461706" w:rsidRPr="008C78FA">
        <w:rPr>
          <w:sz w:val="22"/>
          <w:szCs w:val="22"/>
          <w:lang w:val="en-GB"/>
        </w:rPr>
        <w:t>scheduled for the second quarter of 2022.</w:t>
      </w:r>
      <w:r w:rsidR="003D774F" w:rsidRPr="008C78FA">
        <w:rPr>
          <w:sz w:val="22"/>
          <w:szCs w:val="22"/>
          <w:lang w:val="en-GB"/>
        </w:rPr>
        <w:t xml:space="preserve"> </w:t>
      </w:r>
      <w:proofErr w:type="gramStart"/>
      <w:r w:rsidR="00311A5C" w:rsidRPr="008C78FA">
        <w:rPr>
          <w:sz w:val="22"/>
          <w:szCs w:val="22"/>
          <w:lang w:val="en-GB"/>
        </w:rPr>
        <w:t>Also</w:t>
      </w:r>
      <w:proofErr w:type="gramEnd"/>
      <w:r w:rsidR="00311A5C" w:rsidRPr="008C78FA">
        <w:rPr>
          <w:sz w:val="22"/>
          <w:szCs w:val="22"/>
          <w:lang w:val="en-GB"/>
        </w:rPr>
        <w:t xml:space="preserve"> u</w:t>
      </w:r>
      <w:r w:rsidR="003D774F" w:rsidRPr="008C78FA">
        <w:rPr>
          <w:sz w:val="22"/>
          <w:szCs w:val="22"/>
          <w:lang w:val="en-GB"/>
        </w:rPr>
        <w:t xml:space="preserve">nder the same </w:t>
      </w:r>
      <w:r w:rsidR="00311A5C" w:rsidRPr="008C78FA">
        <w:rPr>
          <w:sz w:val="22"/>
          <w:szCs w:val="22"/>
          <w:lang w:val="en-GB"/>
        </w:rPr>
        <w:t xml:space="preserve">EC GPGC funded </w:t>
      </w:r>
      <w:r w:rsidR="003D774F" w:rsidRPr="008C78FA">
        <w:rPr>
          <w:sz w:val="22"/>
          <w:szCs w:val="22"/>
          <w:lang w:val="en-GB"/>
        </w:rPr>
        <w:t>project, the Secretariat will deliver dedicated training on National Reporting for some African Contracting Parties in 2023, in view of reporting to AEWA MOP9.</w:t>
      </w:r>
    </w:p>
    <w:p w14:paraId="2398F38E" w14:textId="4BE2CFC7" w:rsidR="00A037E7" w:rsidRDefault="00A037E7" w:rsidP="00B71F08">
      <w:pPr>
        <w:spacing w:line="276" w:lineRule="auto"/>
        <w:jc w:val="both"/>
        <w:rPr>
          <w:lang w:val="en-GB"/>
        </w:rPr>
      </w:pPr>
    </w:p>
    <w:p w14:paraId="5749DD08" w14:textId="622BD49F" w:rsidR="003D774F" w:rsidRPr="008C78FA" w:rsidRDefault="003D774F" w:rsidP="00B71F08">
      <w:pPr>
        <w:spacing w:line="276" w:lineRule="auto"/>
        <w:jc w:val="both"/>
        <w:rPr>
          <w:i/>
          <w:iCs/>
          <w:sz w:val="22"/>
          <w:szCs w:val="22"/>
          <w:u w:val="single"/>
          <w:lang w:val="en-GB"/>
        </w:rPr>
      </w:pPr>
      <w:r w:rsidRPr="008C78FA">
        <w:rPr>
          <w:i/>
          <w:iCs/>
          <w:sz w:val="22"/>
          <w:szCs w:val="22"/>
          <w:u w:val="single"/>
          <w:lang w:val="en-GB"/>
        </w:rPr>
        <w:t>Communication</w:t>
      </w:r>
    </w:p>
    <w:p w14:paraId="6E61F3CC" w14:textId="4E3E1898" w:rsidR="001557A5" w:rsidRPr="008C78FA" w:rsidRDefault="00FA14D6" w:rsidP="00B71F08">
      <w:pPr>
        <w:spacing w:line="276" w:lineRule="auto"/>
        <w:jc w:val="both"/>
        <w:rPr>
          <w:sz w:val="22"/>
          <w:szCs w:val="22"/>
          <w:lang w:val="en-GB"/>
        </w:rPr>
      </w:pPr>
      <w:r w:rsidRPr="008C78FA">
        <w:rPr>
          <w:sz w:val="22"/>
          <w:szCs w:val="22"/>
          <w:lang w:val="en-GB"/>
        </w:rPr>
        <w:t xml:space="preserve">In response to the request from the African Contracting Parties for a professional and vibrant layout for the Plan of Action for Africa in order to make it appealing and user-friendly for the wide range of stakeholders involved in its implementation, the Secretariat produced a new </w:t>
      </w:r>
      <w:hyperlink r:id="rId13" w:history="1">
        <w:r w:rsidRPr="008C78FA">
          <w:rPr>
            <w:rStyle w:val="Hyperlink"/>
            <w:sz w:val="22"/>
            <w:szCs w:val="22"/>
            <w:lang w:val="en-GB"/>
          </w:rPr>
          <w:t>layout</w:t>
        </w:r>
        <w:r w:rsidR="00900777" w:rsidRPr="008C78FA">
          <w:rPr>
            <w:rStyle w:val="FootnoteReference"/>
            <w:color w:val="0000FF"/>
            <w:sz w:val="22"/>
            <w:szCs w:val="22"/>
            <w:u w:val="single"/>
            <w:lang w:val="en-GB"/>
          </w:rPr>
          <w:footnoteReference w:id="7"/>
        </w:r>
        <w:r w:rsidR="00900777" w:rsidRPr="008C78FA">
          <w:rPr>
            <w:rStyle w:val="Hyperlink"/>
            <w:sz w:val="22"/>
            <w:szCs w:val="22"/>
            <w:lang w:val="en-GB"/>
          </w:rPr>
          <w:t xml:space="preserve"> for the PoAA 2019-2027</w:t>
        </w:r>
      </w:hyperlink>
      <w:r w:rsidR="00900777" w:rsidRPr="008C78FA">
        <w:rPr>
          <w:sz w:val="22"/>
          <w:szCs w:val="22"/>
          <w:lang w:val="en-GB"/>
        </w:rPr>
        <w:t>, which was published in June 2020</w:t>
      </w:r>
      <w:r w:rsidR="00F13847" w:rsidRPr="008C78FA">
        <w:rPr>
          <w:sz w:val="22"/>
          <w:szCs w:val="22"/>
          <w:lang w:val="en-GB"/>
        </w:rPr>
        <w:t xml:space="preserve">. A generous financial contribution was received from the government of Germany in </w:t>
      </w:r>
      <w:r w:rsidR="001557A5" w:rsidRPr="008C78FA">
        <w:rPr>
          <w:sz w:val="22"/>
          <w:szCs w:val="22"/>
          <w:lang w:val="en-GB"/>
        </w:rPr>
        <w:lastRenderedPageBreak/>
        <w:t xml:space="preserve">November </w:t>
      </w:r>
      <w:r w:rsidR="00F13847" w:rsidRPr="008C78FA">
        <w:rPr>
          <w:sz w:val="22"/>
          <w:szCs w:val="22"/>
          <w:lang w:val="en-GB"/>
        </w:rPr>
        <w:t xml:space="preserve">2020 to support printing of this document, which </w:t>
      </w:r>
      <w:r w:rsidR="00F2646F" w:rsidRPr="008C78FA">
        <w:rPr>
          <w:sz w:val="22"/>
          <w:szCs w:val="22"/>
          <w:lang w:val="en-GB"/>
        </w:rPr>
        <w:t>is now available as hard copies, in both French and English language</w:t>
      </w:r>
      <w:r w:rsidR="00F13847" w:rsidRPr="008C78FA">
        <w:rPr>
          <w:sz w:val="22"/>
          <w:szCs w:val="22"/>
          <w:lang w:val="en-GB"/>
        </w:rPr>
        <w:t>.</w:t>
      </w:r>
      <w:r w:rsidR="00EF4A2E" w:rsidRPr="008C78FA">
        <w:rPr>
          <w:sz w:val="22"/>
          <w:szCs w:val="22"/>
          <w:lang w:val="en-GB"/>
        </w:rPr>
        <w:t xml:space="preserve"> </w:t>
      </w:r>
    </w:p>
    <w:p w14:paraId="3694CA17" w14:textId="77777777" w:rsidR="001557A5" w:rsidRPr="008C78FA" w:rsidRDefault="001557A5" w:rsidP="00B71F08">
      <w:pPr>
        <w:spacing w:line="276" w:lineRule="auto"/>
        <w:jc w:val="both"/>
        <w:rPr>
          <w:sz w:val="22"/>
          <w:szCs w:val="22"/>
          <w:lang w:val="en-GB"/>
        </w:rPr>
      </w:pPr>
    </w:p>
    <w:p w14:paraId="35C662AD" w14:textId="0519ACED" w:rsidR="00F13847" w:rsidRPr="008C78FA" w:rsidRDefault="00F13847" w:rsidP="00B71F08">
      <w:pPr>
        <w:spacing w:line="276" w:lineRule="auto"/>
        <w:jc w:val="both"/>
        <w:rPr>
          <w:sz w:val="22"/>
          <w:szCs w:val="22"/>
          <w:lang w:val="en-GB"/>
        </w:rPr>
      </w:pPr>
      <w:r w:rsidRPr="008C78FA">
        <w:rPr>
          <w:sz w:val="22"/>
          <w:szCs w:val="22"/>
          <w:lang w:val="en-GB"/>
        </w:rPr>
        <w:t xml:space="preserve">Furthermore, to better communicate to the wide range of stakeholders involved in the implementation of the AEWA African Initiative, the content and layout of the </w:t>
      </w:r>
      <w:hyperlink r:id="rId14" w:history="1">
        <w:r w:rsidRPr="008C78FA">
          <w:rPr>
            <w:rStyle w:val="Hyperlink"/>
            <w:sz w:val="22"/>
            <w:szCs w:val="22"/>
            <w:lang w:val="en-GB"/>
          </w:rPr>
          <w:t>AEWA African Initiative web pages</w:t>
        </w:r>
      </w:hyperlink>
      <w:r w:rsidRPr="008C78FA">
        <w:rPr>
          <w:rStyle w:val="FootnoteReference"/>
          <w:sz w:val="22"/>
          <w:szCs w:val="22"/>
          <w:lang w:val="en-GB"/>
        </w:rPr>
        <w:footnoteReference w:id="8"/>
      </w:r>
      <w:r w:rsidRPr="008C78FA">
        <w:rPr>
          <w:sz w:val="22"/>
          <w:szCs w:val="22"/>
          <w:lang w:val="en-GB"/>
        </w:rPr>
        <w:t xml:space="preserve"> were updated in July 2020</w:t>
      </w:r>
      <w:r w:rsidR="001557A5" w:rsidRPr="008C78FA">
        <w:rPr>
          <w:sz w:val="22"/>
          <w:szCs w:val="22"/>
          <w:lang w:val="en-GB"/>
        </w:rPr>
        <w:t>.</w:t>
      </w:r>
    </w:p>
    <w:p w14:paraId="332C83E6" w14:textId="4688BE57" w:rsidR="00EF4A2E" w:rsidRPr="008C78FA" w:rsidRDefault="00EF4A2E" w:rsidP="00B71F08">
      <w:pPr>
        <w:spacing w:line="276" w:lineRule="auto"/>
        <w:jc w:val="both"/>
        <w:rPr>
          <w:sz w:val="22"/>
          <w:szCs w:val="22"/>
          <w:lang w:val="en-GB"/>
        </w:rPr>
      </w:pPr>
    </w:p>
    <w:p w14:paraId="06FADCA3" w14:textId="6366C097" w:rsidR="003D774F" w:rsidRPr="008C78FA" w:rsidRDefault="001557A5" w:rsidP="00B71F08">
      <w:pPr>
        <w:spacing w:line="276" w:lineRule="auto"/>
        <w:jc w:val="both"/>
        <w:rPr>
          <w:i/>
          <w:iCs/>
          <w:sz w:val="22"/>
          <w:szCs w:val="22"/>
          <w:u w:val="single"/>
          <w:lang w:val="en-GB"/>
        </w:rPr>
      </w:pPr>
      <w:r w:rsidRPr="008C78FA">
        <w:rPr>
          <w:i/>
          <w:iCs/>
          <w:sz w:val="22"/>
          <w:szCs w:val="22"/>
          <w:u w:val="single"/>
          <w:lang w:val="en-GB"/>
        </w:rPr>
        <w:t>Public awareness</w:t>
      </w:r>
    </w:p>
    <w:p w14:paraId="65EC29CB" w14:textId="3F42601A" w:rsidR="001557A5" w:rsidRPr="008C78FA" w:rsidRDefault="00825369" w:rsidP="00B71F08">
      <w:pPr>
        <w:spacing w:line="276" w:lineRule="auto"/>
        <w:jc w:val="both"/>
        <w:rPr>
          <w:sz w:val="22"/>
          <w:szCs w:val="22"/>
          <w:lang w:val="en-GB"/>
        </w:rPr>
      </w:pPr>
      <w:r w:rsidRPr="008C78FA">
        <w:rPr>
          <w:sz w:val="22"/>
          <w:szCs w:val="22"/>
          <w:lang w:val="en-GB"/>
        </w:rPr>
        <w:t>In October 2020, t</w:t>
      </w:r>
      <w:r w:rsidR="001360C5" w:rsidRPr="008C78FA">
        <w:rPr>
          <w:sz w:val="22"/>
          <w:szCs w:val="22"/>
          <w:lang w:val="en-GB"/>
        </w:rPr>
        <w:t>he AEWA Executive Secretary and the Coordinator for the AEWA African Initiative (AI Coordinator), took part in a Webinar organized by BirdLife International to commemorate World Migratory Bird Day</w:t>
      </w:r>
      <w:r w:rsidR="00E17B44" w:rsidRPr="008C78FA">
        <w:rPr>
          <w:sz w:val="22"/>
          <w:szCs w:val="22"/>
          <w:lang w:val="en-GB"/>
        </w:rPr>
        <w:t xml:space="preserve"> (WMBD)</w:t>
      </w:r>
      <w:r w:rsidR="001360C5" w:rsidRPr="008C78FA">
        <w:rPr>
          <w:sz w:val="22"/>
          <w:szCs w:val="22"/>
          <w:lang w:val="en-GB"/>
        </w:rPr>
        <w:t xml:space="preserve"> 2020 along the East Atlantic Flyway. The Webinar, entitled “</w:t>
      </w:r>
      <w:hyperlink r:id="rId15" w:history="1">
        <w:r w:rsidR="001360C5" w:rsidRPr="008C78FA">
          <w:rPr>
            <w:rStyle w:val="Hyperlink"/>
            <w:sz w:val="22"/>
            <w:szCs w:val="22"/>
            <w:lang w:val="en-GB"/>
          </w:rPr>
          <w:t>Birds connect people along the East Atlantic Flyway</w:t>
        </w:r>
      </w:hyperlink>
      <w:r w:rsidR="001360C5" w:rsidRPr="008C78FA">
        <w:rPr>
          <w:rStyle w:val="FootnoteReference"/>
          <w:sz w:val="22"/>
          <w:szCs w:val="22"/>
          <w:lang w:val="en-GB"/>
        </w:rPr>
        <w:footnoteReference w:id="9"/>
      </w:r>
      <w:r w:rsidR="001360C5" w:rsidRPr="008C78FA">
        <w:rPr>
          <w:sz w:val="22"/>
          <w:szCs w:val="22"/>
          <w:lang w:val="en-GB"/>
        </w:rPr>
        <w:t xml:space="preserve">” brought together a number of national BirdLife partners from across the flyway, and attracted over 100 participants. </w:t>
      </w:r>
    </w:p>
    <w:p w14:paraId="6367CD80" w14:textId="77777777" w:rsidR="001557A5" w:rsidRDefault="001557A5" w:rsidP="00B71F08">
      <w:pPr>
        <w:spacing w:line="276" w:lineRule="auto"/>
        <w:jc w:val="both"/>
        <w:rPr>
          <w:lang w:val="en-GB"/>
        </w:rPr>
      </w:pPr>
    </w:p>
    <w:p w14:paraId="29FA6E7C" w14:textId="48355EA0" w:rsidR="00A037E7" w:rsidRPr="008C78FA" w:rsidRDefault="00E17B44" w:rsidP="00B71F08">
      <w:pPr>
        <w:spacing w:line="276" w:lineRule="auto"/>
        <w:jc w:val="both"/>
        <w:rPr>
          <w:sz w:val="22"/>
          <w:szCs w:val="22"/>
          <w:lang w:val="en-GB"/>
        </w:rPr>
      </w:pPr>
      <w:r w:rsidRPr="008C78FA">
        <w:rPr>
          <w:sz w:val="22"/>
          <w:szCs w:val="22"/>
          <w:lang w:val="en-GB"/>
        </w:rPr>
        <w:t>Also</w:t>
      </w:r>
      <w:r w:rsidR="00825369" w:rsidRPr="008C78FA">
        <w:rPr>
          <w:sz w:val="22"/>
          <w:szCs w:val="22"/>
          <w:lang w:val="en-GB"/>
        </w:rPr>
        <w:t xml:space="preserve"> in October 2020</w:t>
      </w:r>
      <w:r w:rsidRPr="008C78FA">
        <w:rPr>
          <w:sz w:val="22"/>
          <w:szCs w:val="22"/>
          <w:lang w:val="en-GB"/>
        </w:rPr>
        <w:t xml:space="preserve">, in relation to the 2020 WMBD celebration, </w:t>
      </w:r>
      <w:r w:rsidR="001360C5" w:rsidRPr="008C78FA">
        <w:rPr>
          <w:sz w:val="22"/>
          <w:szCs w:val="22"/>
          <w:lang w:val="en-GB"/>
        </w:rPr>
        <w:t xml:space="preserve">the AI Coordinator </w:t>
      </w:r>
      <w:r w:rsidRPr="008C78FA">
        <w:rPr>
          <w:sz w:val="22"/>
          <w:szCs w:val="22"/>
          <w:lang w:val="en-GB"/>
        </w:rPr>
        <w:t xml:space="preserve">attended </w:t>
      </w:r>
      <w:r w:rsidR="001557A5" w:rsidRPr="008C78FA">
        <w:rPr>
          <w:sz w:val="22"/>
          <w:szCs w:val="22"/>
          <w:lang w:val="en-GB"/>
        </w:rPr>
        <w:t>a</w:t>
      </w:r>
      <w:r w:rsidRPr="008C78FA">
        <w:rPr>
          <w:sz w:val="22"/>
          <w:szCs w:val="22"/>
          <w:lang w:val="en-GB"/>
        </w:rPr>
        <w:t xml:space="preserve"> Webinar organised by the Association “</w:t>
      </w:r>
      <w:r w:rsidRPr="008C78FA">
        <w:rPr>
          <w:sz w:val="22"/>
          <w:szCs w:val="22"/>
        </w:rPr>
        <w:t xml:space="preserve">Les Amies des </w:t>
      </w:r>
      <w:proofErr w:type="spellStart"/>
      <w:r w:rsidRPr="008C78FA">
        <w:rPr>
          <w:sz w:val="22"/>
          <w:szCs w:val="22"/>
        </w:rPr>
        <w:t>Oiseaux</w:t>
      </w:r>
      <w:proofErr w:type="spellEnd"/>
      <w:r w:rsidRPr="008C78FA">
        <w:rPr>
          <w:sz w:val="22"/>
          <w:szCs w:val="22"/>
          <w:lang w:val="en-GB"/>
        </w:rPr>
        <w:t xml:space="preserve">” in Tunisia, in collaboration with the Forestry Department, which permitted sharing information on the country’s achievements in relation to the conservation of critical sites for migratory waterbirds for the benefit of a wide range of participants. </w:t>
      </w:r>
    </w:p>
    <w:p w14:paraId="0AE3DFB8" w14:textId="78A296AC" w:rsidR="00A037E7" w:rsidRDefault="00A037E7" w:rsidP="00B71F08">
      <w:pPr>
        <w:spacing w:line="276" w:lineRule="auto"/>
        <w:jc w:val="both"/>
        <w:rPr>
          <w:lang w:val="en-GB"/>
        </w:rPr>
      </w:pPr>
    </w:p>
    <w:p w14:paraId="107B2A9D" w14:textId="11C7BCFB" w:rsidR="00461706" w:rsidRPr="008C78FA" w:rsidRDefault="00461706" w:rsidP="00B71F08">
      <w:pPr>
        <w:pStyle w:val="ListParagraph"/>
        <w:numPr>
          <w:ilvl w:val="1"/>
          <w:numId w:val="18"/>
        </w:numPr>
        <w:spacing w:after="60" w:line="276" w:lineRule="auto"/>
        <w:ind w:left="426" w:hanging="426"/>
        <w:jc w:val="both"/>
        <w:rPr>
          <w:b/>
          <w:lang w:val="en-GB"/>
        </w:rPr>
      </w:pPr>
      <w:r w:rsidRPr="008C78FA">
        <w:rPr>
          <w:b/>
          <w:lang w:val="en-GB"/>
        </w:rPr>
        <w:t>Partnership</w:t>
      </w:r>
    </w:p>
    <w:p w14:paraId="16EDEB2A" w14:textId="7BD1EFA8" w:rsidR="00731435" w:rsidRPr="008C78FA" w:rsidRDefault="00731435" w:rsidP="00B71F08">
      <w:pPr>
        <w:spacing w:line="276" w:lineRule="auto"/>
        <w:jc w:val="both"/>
        <w:rPr>
          <w:sz w:val="22"/>
          <w:szCs w:val="22"/>
          <w:lang w:val="en-GB"/>
        </w:rPr>
      </w:pPr>
      <w:r w:rsidRPr="008C78FA">
        <w:rPr>
          <w:sz w:val="22"/>
          <w:szCs w:val="22"/>
          <w:lang w:val="en-GB"/>
        </w:rPr>
        <w:t xml:space="preserve">In November 2019, the </w:t>
      </w:r>
      <w:r w:rsidR="001360C5" w:rsidRPr="008C78FA">
        <w:rPr>
          <w:sz w:val="22"/>
          <w:szCs w:val="22"/>
          <w:lang w:val="en-GB"/>
        </w:rPr>
        <w:t xml:space="preserve">AWEA </w:t>
      </w:r>
      <w:r w:rsidRPr="008C78FA">
        <w:rPr>
          <w:sz w:val="22"/>
          <w:szCs w:val="22"/>
          <w:lang w:val="en-GB"/>
        </w:rPr>
        <w:t xml:space="preserve">AI Coordinator participated at the CMS </w:t>
      </w:r>
      <w:r w:rsidR="00281DA8" w:rsidRPr="008C78FA">
        <w:rPr>
          <w:sz w:val="22"/>
          <w:szCs w:val="22"/>
          <w:lang w:val="en-GB"/>
        </w:rPr>
        <w:t xml:space="preserve">African Pre-COP13 session which took place in Bonn, Germany. </w:t>
      </w:r>
      <w:r w:rsidR="001557A5" w:rsidRPr="008C78FA">
        <w:rPr>
          <w:sz w:val="22"/>
          <w:szCs w:val="22"/>
          <w:lang w:val="en-GB"/>
        </w:rPr>
        <w:t>During the Pre-COP13</w:t>
      </w:r>
      <w:r w:rsidR="00281DA8" w:rsidRPr="008C78FA">
        <w:rPr>
          <w:sz w:val="22"/>
          <w:szCs w:val="22"/>
          <w:lang w:val="en-GB"/>
        </w:rPr>
        <w:t>, side meetings were held with African representatives to discuss various AEWA-related issues and promote accession in the case of non-Party range states</w:t>
      </w:r>
      <w:r w:rsidR="001557A5" w:rsidRPr="008C78FA">
        <w:rPr>
          <w:sz w:val="22"/>
          <w:szCs w:val="22"/>
          <w:lang w:val="en-GB"/>
        </w:rPr>
        <w:t>, e.g. A</w:t>
      </w:r>
      <w:r w:rsidR="00281DA8" w:rsidRPr="008C78FA">
        <w:rPr>
          <w:sz w:val="22"/>
          <w:szCs w:val="22"/>
          <w:lang w:val="en-GB"/>
        </w:rPr>
        <w:t xml:space="preserve">ngola, Benin, Cabo Verde, Ethiopia, Eritrea, Ghana, Kenya, Liberia, Madagascar, </w:t>
      </w:r>
      <w:r w:rsidR="00B07EF4" w:rsidRPr="008C78FA">
        <w:rPr>
          <w:sz w:val="22"/>
          <w:szCs w:val="22"/>
          <w:lang w:val="en-GB"/>
        </w:rPr>
        <w:t xml:space="preserve">Mozambique, </w:t>
      </w:r>
      <w:r w:rsidR="00281DA8" w:rsidRPr="008C78FA">
        <w:rPr>
          <w:sz w:val="22"/>
          <w:szCs w:val="22"/>
          <w:lang w:val="en-GB"/>
        </w:rPr>
        <w:t>Seychelles,</w:t>
      </w:r>
      <w:r w:rsidR="00B07EF4" w:rsidRPr="008C78FA">
        <w:rPr>
          <w:sz w:val="22"/>
          <w:szCs w:val="22"/>
          <w:lang w:val="en-GB"/>
        </w:rPr>
        <w:t xml:space="preserve"> Senegal, South Africa, Tunisia, Uganda and Zimbabwe. This also served as an opportunity to </w:t>
      </w:r>
      <w:r w:rsidR="001557A5" w:rsidRPr="008C78FA">
        <w:rPr>
          <w:sz w:val="22"/>
          <w:szCs w:val="22"/>
          <w:lang w:val="en-GB"/>
        </w:rPr>
        <w:t>distribute</w:t>
      </w:r>
      <w:r w:rsidR="00B07EF4" w:rsidRPr="008C78FA">
        <w:rPr>
          <w:sz w:val="22"/>
          <w:szCs w:val="22"/>
          <w:lang w:val="en-GB"/>
        </w:rPr>
        <w:t xml:space="preserve"> AEWA MOP</w:t>
      </w:r>
      <w:r w:rsidR="001557A5" w:rsidRPr="008C78FA">
        <w:rPr>
          <w:sz w:val="22"/>
          <w:szCs w:val="22"/>
          <w:lang w:val="en-GB"/>
        </w:rPr>
        <w:t xml:space="preserve">8 </w:t>
      </w:r>
      <w:r w:rsidR="00B07EF4" w:rsidRPr="008C78FA">
        <w:rPr>
          <w:sz w:val="22"/>
          <w:szCs w:val="22"/>
          <w:lang w:val="en-GB"/>
        </w:rPr>
        <w:t xml:space="preserve">proceedings to these countries. </w:t>
      </w:r>
    </w:p>
    <w:p w14:paraId="3F774250" w14:textId="77777777" w:rsidR="00731435" w:rsidRPr="008C78FA" w:rsidRDefault="00731435" w:rsidP="00B71F08">
      <w:pPr>
        <w:spacing w:line="276" w:lineRule="auto"/>
        <w:jc w:val="both"/>
        <w:rPr>
          <w:sz w:val="22"/>
          <w:szCs w:val="22"/>
          <w:lang w:val="en-GB"/>
        </w:rPr>
      </w:pPr>
    </w:p>
    <w:p w14:paraId="312F59A5" w14:textId="21E993A8" w:rsidR="00A85159" w:rsidRPr="008C78FA" w:rsidRDefault="00D427BA" w:rsidP="00B71F08">
      <w:pPr>
        <w:spacing w:line="276" w:lineRule="auto"/>
        <w:jc w:val="both"/>
        <w:rPr>
          <w:sz w:val="22"/>
          <w:szCs w:val="22"/>
          <w:lang w:val="en-GB"/>
        </w:rPr>
      </w:pPr>
      <w:r w:rsidRPr="008C78FA">
        <w:rPr>
          <w:sz w:val="22"/>
          <w:szCs w:val="22"/>
          <w:lang w:val="en-GB"/>
        </w:rPr>
        <w:t xml:space="preserve">In December 2019, </w:t>
      </w:r>
      <w:r w:rsidR="001360C5" w:rsidRPr="008C78FA">
        <w:rPr>
          <w:sz w:val="22"/>
          <w:szCs w:val="22"/>
          <w:lang w:val="en-GB"/>
        </w:rPr>
        <w:t xml:space="preserve">the AEWA </w:t>
      </w:r>
      <w:r w:rsidRPr="008C78FA">
        <w:rPr>
          <w:sz w:val="22"/>
          <w:szCs w:val="22"/>
          <w:lang w:val="en-GB"/>
        </w:rPr>
        <w:t>AI Coordinator represented the Secretariat at workshop</w:t>
      </w:r>
      <w:r w:rsidR="00057305" w:rsidRPr="008C78FA">
        <w:rPr>
          <w:sz w:val="22"/>
          <w:szCs w:val="22"/>
          <w:lang w:val="en-GB"/>
        </w:rPr>
        <w:t xml:space="preserve"> (in Zeist, the Netherlands)</w:t>
      </w:r>
      <w:r w:rsidRPr="008C78FA">
        <w:rPr>
          <w:sz w:val="22"/>
          <w:szCs w:val="22"/>
          <w:lang w:val="en-GB"/>
        </w:rPr>
        <w:t xml:space="preserve"> aimed at developing </w:t>
      </w:r>
      <w:r w:rsidR="00A85159" w:rsidRPr="008C78FA">
        <w:rPr>
          <w:sz w:val="22"/>
          <w:szCs w:val="22"/>
          <w:lang w:val="en-GB"/>
        </w:rPr>
        <w:t>a</w:t>
      </w:r>
      <w:r w:rsidR="00057305" w:rsidRPr="008C78FA">
        <w:rPr>
          <w:sz w:val="22"/>
          <w:szCs w:val="22"/>
          <w:lang w:val="en-GB"/>
        </w:rPr>
        <w:t xml:space="preserve"> proposal</w:t>
      </w:r>
      <w:r w:rsidR="00A85159" w:rsidRPr="008C78FA">
        <w:rPr>
          <w:sz w:val="22"/>
          <w:szCs w:val="22"/>
          <w:lang w:val="en-GB"/>
        </w:rPr>
        <w:t xml:space="preserve"> </w:t>
      </w:r>
      <w:r w:rsidR="00057305" w:rsidRPr="008C78FA">
        <w:rPr>
          <w:sz w:val="22"/>
          <w:szCs w:val="22"/>
          <w:lang w:val="en-GB"/>
        </w:rPr>
        <w:t>which was</w:t>
      </w:r>
      <w:r w:rsidR="001557A5" w:rsidRPr="008C78FA">
        <w:rPr>
          <w:sz w:val="22"/>
          <w:szCs w:val="22"/>
          <w:lang w:val="en-GB"/>
        </w:rPr>
        <w:t xml:space="preserve"> submitted to</w:t>
      </w:r>
      <w:r w:rsidR="00A85159" w:rsidRPr="008C78FA">
        <w:rPr>
          <w:sz w:val="22"/>
          <w:szCs w:val="22"/>
          <w:lang w:val="en-GB"/>
        </w:rPr>
        <w:t xml:space="preserve"> the International Climate Initiative (IKI) for a project entitled “Climate Resilience for Critical Sites for Migratory Birds and People along the East Atlantic Flyway</w:t>
      </w:r>
      <w:r w:rsidR="00BA4F61" w:rsidRPr="008C78FA">
        <w:rPr>
          <w:sz w:val="22"/>
          <w:szCs w:val="22"/>
          <w:lang w:val="en-GB"/>
        </w:rPr>
        <w:t xml:space="preserve">” </w:t>
      </w:r>
      <w:r w:rsidR="00A85159" w:rsidRPr="008C78FA">
        <w:rPr>
          <w:sz w:val="22"/>
          <w:szCs w:val="22"/>
          <w:lang w:val="en-GB"/>
        </w:rPr>
        <w:t>(</w:t>
      </w:r>
      <w:r w:rsidR="001557A5" w:rsidRPr="008C78FA">
        <w:rPr>
          <w:sz w:val="22"/>
          <w:szCs w:val="22"/>
          <w:lang w:val="en-GB"/>
        </w:rPr>
        <w:t>in short,</w:t>
      </w:r>
      <w:r w:rsidR="00A85159" w:rsidRPr="008C78FA">
        <w:rPr>
          <w:sz w:val="22"/>
          <w:szCs w:val="22"/>
          <w:lang w:val="en-GB"/>
        </w:rPr>
        <w:t xml:space="preserve"> </w:t>
      </w:r>
      <w:r w:rsidR="00BA4F61" w:rsidRPr="008C78FA">
        <w:rPr>
          <w:sz w:val="22"/>
          <w:szCs w:val="22"/>
          <w:lang w:val="en-GB"/>
        </w:rPr>
        <w:t>“</w:t>
      </w:r>
      <w:r w:rsidR="00A85159" w:rsidRPr="008C78FA">
        <w:rPr>
          <w:sz w:val="22"/>
          <w:szCs w:val="22"/>
          <w:lang w:val="en-GB"/>
        </w:rPr>
        <w:t>Climate Resilient East Atlantic Flyway</w:t>
      </w:r>
      <w:r w:rsidR="00BA4F61" w:rsidRPr="008C78FA">
        <w:rPr>
          <w:sz w:val="22"/>
          <w:szCs w:val="22"/>
          <w:lang w:val="en-GB"/>
        </w:rPr>
        <w:t>”</w:t>
      </w:r>
      <w:r w:rsidR="00A85159" w:rsidRPr="008C78FA">
        <w:rPr>
          <w:sz w:val="22"/>
          <w:szCs w:val="22"/>
          <w:lang w:val="en-GB"/>
        </w:rPr>
        <w:t>)</w:t>
      </w:r>
      <w:r w:rsidR="00BA4F61" w:rsidRPr="008C78FA">
        <w:rPr>
          <w:sz w:val="22"/>
          <w:szCs w:val="22"/>
          <w:lang w:val="en-GB"/>
        </w:rPr>
        <w:t xml:space="preserve">. The workshop was </w:t>
      </w:r>
      <w:r w:rsidRPr="008C78FA">
        <w:rPr>
          <w:sz w:val="22"/>
          <w:szCs w:val="22"/>
          <w:lang w:val="en-GB"/>
        </w:rPr>
        <w:t xml:space="preserve">organized by the Wadden Sea Flyway Initiative, in collaboration with </w:t>
      </w:r>
      <w:r w:rsidR="00A85159" w:rsidRPr="008C78FA">
        <w:rPr>
          <w:sz w:val="22"/>
          <w:szCs w:val="22"/>
          <w:lang w:val="en-GB"/>
        </w:rPr>
        <w:t xml:space="preserve">Vogelbescherming (the Dutch BirdLife Partner). The AEWA Secretariat was retained as a political </w:t>
      </w:r>
      <w:r w:rsidR="001557A5" w:rsidRPr="008C78FA">
        <w:rPr>
          <w:sz w:val="22"/>
          <w:szCs w:val="22"/>
          <w:lang w:val="en-GB"/>
        </w:rPr>
        <w:t xml:space="preserve">project </w:t>
      </w:r>
      <w:r w:rsidR="00A85159" w:rsidRPr="008C78FA">
        <w:rPr>
          <w:sz w:val="22"/>
          <w:szCs w:val="22"/>
          <w:lang w:val="en-GB"/>
        </w:rPr>
        <w:t>partner</w:t>
      </w:r>
      <w:r w:rsidR="00BA4F61" w:rsidRPr="008C78FA">
        <w:rPr>
          <w:sz w:val="22"/>
          <w:szCs w:val="22"/>
          <w:lang w:val="en-GB"/>
        </w:rPr>
        <w:t>,</w:t>
      </w:r>
      <w:r w:rsidR="00A85159" w:rsidRPr="008C78FA">
        <w:rPr>
          <w:sz w:val="22"/>
          <w:szCs w:val="22"/>
          <w:lang w:val="en-GB"/>
        </w:rPr>
        <w:t xml:space="preserve"> </w:t>
      </w:r>
      <w:proofErr w:type="gramStart"/>
      <w:r w:rsidR="00A85159" w:rsidRPr="008C78FA">
        <w:rPr>
          <w:sz w:val="22"/>
          <w:szCs w:val="22"/>
          <w:lang w:val="en-GB"/>
        </w:rPr>
        <w:t>taking into account</w:t>
      </w:r>
      <w:proofErr w:type="gramEnd"/>
      <w:r w:rsidR="00A85159" w:rsidRPr="008C78FA">
        <w:rPr>
          <w:sz w:val="22"/>
          <w:szCs w:val="22"/>
          <w:lang w:val="en-GB"/>
        </w:rPr>
        <w:t xml:space="preserve"> </w:t>
      </w:r>
      <w:r w:rsidR="00057305" w:rsidRPr="008C78FA">
        <w:rPr>
          <w:sz w:val="22"/>
          <w:szCs w:val="22"/>
          <w:lang w:val="en-GB"/>
        </w:rPr>
        <w:t xml:space="preserve">the useful </w:t>
      </w:r>
      <w:r w:rsidR="00A85159" w:rsidRPr="008C78FA">
        <w:rPr>
          <w:sz w:val="22"/>
          <w:szCs w:val="22"/>
          <w:lang w:val="en-GB"/>
        </w:rPr>
        <w:t xml:space="preserve">intergovernmental framework and </w:t>
      </w:r>
      <w:r w:rsidR="00057305" w:rsidRPr="008C78FA">
        <w:rPr>
          <w:sz w:val="22"/>
          <w:szCs w:val="22"/>
          <w:lang w:val="en-GB"/>
        </w:rPr>
        <w:t xml:space="preserve">policy </w:t>
      </w:r>
      <w:r w:rsidR="00A85159" w:rsidRPr="008C78FA">
        <w:rPr>
          <w:sz w:val="22"/>
          <w:szCs w:val="22"/>
          <w:lang w:val="en-GB"/>
        </w:rPr>
        <w:t xml:space="preserve">mandate for migratory waterbird conservation </w:t>
      </w:r>
      <w:r w:rsidR="001557A5" w:rsidRPr="008C78FA">
        <w:rPr>
          <w:sz w:val="22"/>
          <w:szCs w:val="22"/>
          <w:lang w:val="en-GB"/>
        </w:rPr>
        <w:t>as well as i</w:t>
      </w:r>
      <w:r w:rsidR="00A85159" w:rsidRPr="008C78FA">
        <w:rPr>
          <w:sz w:val="22"/>
          <w:szCs w:val="22"/>
          <w:lang w:val="en-GB"/>
        </w:rPr>
        <w:t>ts established network of Focal Points, experts and partners</w:t>
      </w:r>
      <w:r w:rsidR="001557A5" w:rsidRPr="008C78FA">
        <w:rPr>
          <w:sz w:val="22"/>
          <w:szCs w:val="22"/>
          <w:lang w:val="en-GB"/>
        </w:rPr>
        <w:t xml:space="preserve"> in the flyway</w:t>
      </w:r>
      <w:r w:rsidR="00A85159" w:rsidRPr="008C78FA">
        <w:rPr>
          <w:sz w:val="22"/>
          <w:szCs w:val="22"/>
          <w:lang w:val="en-GB"/>
        </w:rPr>
        <w:t xml:space="preserve">. Delivering priorities of the AEWA PoAA in the framework of such a project </w:t>
      </w:r>
      <w:r w:rsidR="00057305" w:rsidRPr="008C78FA">
        <w:rPr>
          <w:sz w:val="22"/>
          <w:szCs w:val="22"/>
          <w:lang w:val="en-GB"/>
        </w:rPr>
        <w:t xml:space="preserve">have been </w:t>
      </w:r>
      <w:r w:rsidR="001557A5" w:rsidRPr="008C78FA">
        <w:rPr>
          <w:sz w:val="22"/>
          <w:szCs w:val="22"/>
          <w:lang w:val="en-GB"/>
        </w:rPr>
        <w:t>prioritised</w:t>
      </w:r>
      <w:r w:rsidR="00A85159" w:rsidRPr="008C78FA">
        <w:rPr>
          <w:sz w:val="22"/>
          <w:szCs w:val="22"/>
          <w:lang w:val="en-GB"/>
        </w:rPr>
        <w:t xml:space="preserve">, with emphasis on providing support to key African countries along the East Atlantic Flyway. </w:t>
      </w:r>
      <w:r w:rsidR="00BA4F61" w:rsidRPr="008C78FA">
        <w:rPr>
          <w:sz w:val="22"/>
          <w:szCs w:val="22"/>
          <w:lang w:val="en-GB"/>
        </w:rPr>
        <w:t xml:space="preserve">In December 2020, </w:t>
      </w:r>
      <w:r w:rsidR="001557A5" w:rsidRPr="008C78FA">
        <w:rPr>
          <w:sz w:val="22"/>
          <w:szCs w:val="22"/>
          <w:lang w:val="en-GB"/>
        </w:rPr>
        <w:t>the</w:t>
      </w:r>
      <w:r w:rsidR="00A85159" w:rsidRPr="008C78FA">
        <w:rPr>
          <w:sz w:val="22"/>
          <w:szCs w:val="22"/>
          <w:lang w:val="en-GB"/>
        </w:rPr>
        <w:t xml:space="preserve"> project </w:t>
      </w:r>
      <w:r w:rsidR="00BA4F61" w:rsidRPr="008C78FA">
        <w:rPr>
          <w:sz w:val="22"/>
          <w:szCs w:val="22"/>
          <w:lang w:val="en-GB"/>
        </w:rPr>
        <w:t xml:space="preserve">outline was selected by </w:t>
      </w:r>
      <w:r w:rsidR="00057305" w:rsidRPr="008C78FA">
        <w:rPr>
          <w:sz w:val="22"/>
          <w:szCs w:val="22"/>
          <w:lang w:val="en-GB"/>
        </w:rPr>
        <w:t xml:space="preserve">the </w:t>
      </w:r>
      <w:r w:rsidR="00BA4F61" w:rsidRPr="008C78FA">
        <w:rPr>
          <w:sz w:val="22"/>
          <w:szCs w:val="22"/>
          <w:lang w:val="en-GB"/>
        </w:rPr>
        <w:t xml:space="preserve">IKI </w:t>
      </w:r>
      <w:r w:rsidR="00057305" w:rsidRPr="008C78FA">
        <w:rPr>
          <w:sz w:val="22"/>
          <w:szCs w:val="22"/>
          <w:lang w:val="en-GB"/>
        </w:rPr>
        <w:t xml:space="preserve">Secretariat </w:t>
      </w:r>
      <w:r w:rsidR="00BA4F61" w:rsidRPr="008C78FA">
        <w:rPr>
          <w:sz w:val="22"/>
          <w:szCs w:val="22"/>
          <w:lang w:val="en-GB"/>
        </w:rPr>
        <w:t>for the second phase of the concept development</w:t>
      </w:r>
      <w:r w:rsidR="00057305" w:rsidRPr="008C78FA">
        <w:rPr>
          <w:sz w:val="22"/>
          <w:szCs w:val="22"/>
          <w:lang w:val="en-GB"/>
        </w:rPr>
        <w:t xml:space="preserve">. In follow-up, in March 2021 the AI Coordinator participated in a virtual </w:t>
      </w:r>
      <w:r w:rsidR="00C0645A" w:rsidRPr="008C78FA">
        <w:rPr>
          <w:sz w:val="22"/>
          <w:szCs w:val="22"/>
          <w:lang w:val="en-GB"/>
        </w:rPr>
        <w:t>meeting of the project stakeholders, organised by the Common Wadden Sea Secretariat. This meeting aimed at providing responses to the comments and suggestions from the IKI Secretariat aimed at further developing the project proposal</w:t>
      </w:r>
      <w:r w:rsidR="00BA4F61" w:rsidRPr="008C78FA">
        <w:rPr>
          <w:sz w:val="22"/>
          <w:szCs w:val="22"/>
          <w:lang w:val="en-GB"/>
        </w:rPr>
        <w:t xml:space="preserve">.  </w:t>
      </w:r>
      <w:r w:rsidR="00A85159" w:rsidRPr="008C78FA">
        <w:rPr>
          <w:sz w:val="22"/>
          <w:szCs w:val="22"/>
          <w:lang w:val="en-GB"/>
        </w:rPr>
        <w:t xml:space="preserve"> </w:t>
      </w:r>
    </w:p>
    <w:p w14:paraId="041DC27F" w14:textId="77777777" w:rsidR="00A85159" w:rsidRPr="008C78FA" w:rsidRDefault="00A85159" w:rsidP="00B71F08">
      <w:pPr>
        <w:spacing w:line="276" w:lineRule="auto"/>
        <w:jc w:val="both"/>
        <w:rPr>
          <w:sz w:val="22"/>
          <w:szCs w:val="22"/>
          <w:lang w:val="en-GB"/>
        </w:rPr>
      </w:pPr>
    </w:p>
    <w:p w14:paraId="36A99B03" w14:textId="6E20B8D3" w:rsidR="00461706" w:rsidRPr="008C78FA" w:rsidRDefault="00461706" w:rsidP="00B71F08">
      <w:pPr>
        <w:spacing w:line="276" w:lineRule="auto"/>
        <w:jc w:val="both"/>
        <w:rPr>
          <w:sz w:val="22"/>
          <w:szCs w:val="22"/>
          <w:lang w:val="en-GB"/>
        </w:rPr>
      </w:pPr>
      <w:r w:rsidRPr="008C78FA">
        <w:rPr>
          <w:sz w:val="22"/>
          <w:szCs w:val="22"/>
          <w:lang w:val="en-GB"/>
        </w:rPr>
        <w:t xml:space="preserve">In January 2020, the </w:t>
      </w:r>
      <w:r w:rsidR="001360C5" w:rsidRPr="008C78FA">
        <w:rPr>
          <w:sz w:val="22"/>
          <w:szCs w:val="22"/>
          <w:lang w:val="en-GB"/>
        </w:rPr>
        <w:t xml:space="preserve">AEWA </w:t>
      </w:r>
      <w:r w:rsidR="00D427BA" w:rsidRPr="008C78FA">
        <w:rPr>
          <w:sz w:val="22"/>
          <w:szCs w:val="22"/>
          <w:lang w:val="en-GB"/>
        </w:rPr>
        <w:t>AI Coordinator</w:t>
      </w:r>
      <w:r w:rsidRPr="008C78FA">
        <w:rPr>
          <w:sz w:val="22"/>
          <w:szCs w:val="22"/>
          <w:lang w:val="en-GB"/>
        </w:rPr>
        <w:t xml:space="preserve"> participated at the 8</w:t>
      </w:r>
      <w:r w:rsidRPr="008C78FA">
        <w:rPr>
          <w:sz w:val="22"/>
          <w:szCs w:val="22"/>
          <w:vertAlign w:val="superscript"/>
          <w:lang w:val="en-GB"/>
        </w:rPr>
        <w:t>th</w:t>
      </w:r>
      <w:r w:rsidRPr="008C78FA">
        <w:rPr>
          <w:sz w:val="22"/>
          <w:szCs w:val="22"/>
          <w:lang w:val="en-GB"/>
        </w:rPr>
        <w:t xml:space="preserve"> Programme Steering Committee Meeting for the EC GPGC/ENRTP</w:t>
      </w:r>
      <w:r w:rsidR="00D427BA" w:rsidRPr="008C78FA">
        <w:rPr>
          <w:rStyle w:val="FootnoteReference"/>
          <w:sz w:val="22"/>
          <w:szCs w:val="22"/>
          <w:lang w:val="en-GB"/>
        </w:rPr>
        <w:footnoteReference w:id="10"/>
      </w:r>
      <w:r w:rsidRPr="008C78FA">
        <w:rPr>
          <w:sz w:val="22"/>
          <w:szCs w:val="22"/>
          <w:lang w:val="en-GB"/>
        </w:rPr>
        <w:t xml:space="preserve"> corporation </w:t>
      </w:r>
      <w:r w:rsidR="00D427BA" w:rsidRPr="008C78FA">
        <w:rPr>
          <w:sz w:val="22"/>
          <w:szCs w:val="22"/>
          <w:lang w:val="en-GB"/>
        </w:rPr>
        <w:t>agreements with UNEP</w:t>
      </w:r>
      <w:r w:rsidRPr="008C78FA">
        <w:rPr>
          <w:sz w:val="22"/>
          <w:szCs w:val="22"/>
          <w:lang w:val="en-GB"/>
        </w:rPr>
        <w:t>.</w:t>
      </w:r>
      <w:r w:rsidR="00D427BA" w:rsidRPr="008C78FA">
        <w:rPr>
          <w:sz w:val="22"/>
          <w:szCs w:val="22"/>
          <w:lang w:val="en-GB"/>
        </w:rPr>
        <w:t xml:space="preserve"> This resulted in the formal confirmation of </w:t>
      </w:r>
      <w:r w:rsidR="00D427BA" w:rsidRPr="008C78FA">
        <w:rPr>
          <w:sz w:val="22"/>
          <w:szCs w:val="22"/>
          <w:lang w:val="en-GB"/>
        </w:rPr>
        <w:lastRenderedPageBreak/>
        <w:t xml:space="preserve">funding for the AEWA GPGC funded project </w:t>
      </w:r>
      <w:r w:rsidR="001557A5" w:rsidRPr="008C78FA">
        <w:rPr>
          <w:sz w:val="22"/>
          <w:szCs w:val="22"/>
          <w:lang w:val="en-GB"/>
        </w:rPr>
        <w:t>which will span over</w:t>
      </w:r>
      <w:r w:rsidR="00D427BA" w:rsidRPr="008C78FA">
        <w:rPr>
          <w:sz w:val="22"/>
          <w:szCs w:val="22"/>
          <w:lang w:val="en-GB"/>
        </w:rPr>
        <w:t xml:space="preserve"> the period of 2020-2023</w:t>
      </w:r>
      <w:r w:rsidR="001557A5" w:rsidRPr="008C78FA">
        <w:rPr>
          <w:sz w:val="22"/>
          <w:szCs w:val="22"/>
          <w:lang w:val="en-GB"/>
        </w:rPr>
        <w:t xml:space="preserve"> and </w:t>
      </w:r>
      <w:r w:rsidR="00D427BA" w:rsidRPr="008C78FA">
        <w:rPr>
          <w:sz w:val="22"/>
          <w:szCs w:val="22"/>
          <w:lang w:val="en-GB"/>
        </w:rPr>
        <w:t xml:space="preserve">includes capacity building activities (training on National Reporting and SIDS flyway ToT course) and species conservation activities (supporting the implementation of the Slaty Egret and Northern Bald Ibis </w:t>
      </w:r>
      <w:r w:rsidR="001557A5" w:rsidRPr="008C78FA">
        <w:rPr>
          <w:sz w:val="22"/>
          <w:szCs w:val="22"/>
          <w:lang w:val="en-GB"/>
        </w:rPr>
        <w:t>ISSAPs</w:t>
      </w:r>
      <w:r w:rsidR="00D427BA" w:rsidRPr="008C78FA">
        <w:rPr>
          <w:sz w:val="22"/>
          <w:szCs w:val="22"/>
          <w:lang w:val="en-GB"/>
        </w:rPr>
        <w:t>).</w:t>
      </w:r>
    </w:p>
    <w:p w14:paraId="1E192E15" w14:textId="77777777" w:rsidR="00D427BA" w:rsidRPr="008C78FA" w:rsidRDefault="00D427BA" w:rsidP="00B71F08">
      <w:pPr>
        <w:spacing w:line="276" w:lineRule="auto"/>
        <w:jc w:val="both"/>
        <w:rPr>
          <w:sz w:val="22"/>
          <w:szCs w:val="22"/>
          <w:lang w:val="en-GB"/>
        </w:rPr>
      </w:pPr>
    </w:p>
    <w:p w14:paraId="0F72CE1E" w14:textId="288D19D0" w:rsidR="008F24A7" w:rsidRPr="008C78FA" w:rsidRDefault="0070264F" w:rsidP="00B71F08">
      <w:pPr>
        <w:spacing w:line="276" w:lineRule="auto"/>
        <w:jc w:val="both"/>
        <w:rPr>
          <w:sz w:val="22"/>
          <w:szCs w:val="22"/>
          <w:lang w:val="en-GB"/>
        </w:rPr>
      </w:pPr>
      <w:r w:rsidRPr="008C78FA">
        <w:rPr>
          <w:sz w:val="22"/>
          <w:szCs w:val="22"/>
          <w:lang w:val="en-GB"/>
        </w:rPr>
        <w:t>In June 2020, the AEWA Executive Secretary and AI Coordinator participated at the virtual 4</w:t>
      </w:r>
      <w:r w:rsidRPr="008C78FA">
        <w:rPr>
          <w:sz w:val="22"/>
          <w:szCs w:val="22"/>
          <w:vertAlign w:val="superscript"/>
          <w:lang w:val="en-GB"/>
        </w:rPr>
        <w:t>th</w:t>
      </w:r>
      <w:r w:rsidRPr="008C78FA">
        <w:rPr>
          <w:sz w:val="22"/>
          <w:szCs w:val="22"/>
          <w:lang w:val="en-GB"/>
        </w:rPr>
        <w:t xml:space="preserve"> Steering Committee </w:t>
      </w:r>
      <w:r w:rsidR="008F24A7" w:rsidRPr="008C78FA">
        <w:rPr>
          <w:sz w:val="22"/>
          <w:szCs w:val="22"/>
          <w:lang w:val="en-GB"/>
        </w:rPr>
        <w:t xml:space="preserve">(PSC) </w:t>
      </w:r>
      <w:r w:rsidRPr="008C78FA">
        <w:rPr>
          <w:sz w:val="22"/>
          <w:szCs w:val="22"/>
          <w:lang w:val="en-GB"/>
        </w:rPr>
        <w:t xml:space="preserve">meeting </w:t>
      </w:r>
      <w:r w:rsidR="001557A5" w:rsidRPr="008C78FA">
        <w:rPr>
          <w:sz w:val="22"/>
          <w:szCs w:val="22"/>
          <w:lang w:val="en-GB"/>
        </w:rPr>
        <w:t>for the</w:t>
      </w:r>
      <w:r w:rsidRPr="008C78FA">
        <w:rPr>
          <w:sz w:val="22"/>
          <w:szCs w:val="22"/>
          <w:lang w:val="en-GB"/>
        </w:rPr>
        <w:t xml:space="preserve"> RESSOURCE Project</w:t>
      </w:r>
      <w:r w:rsidR="008F24A7" w:rsidRPr="008C78FA">
        <w:rPr>
          <w:sz w:val="22"/>
          <w:szCs w:val="22"/>
          <w:lang w:val="en-GB"/>
        </w:rPr>
        <w:t>. This permitted tak</w:t>
      </w:r>
      <w:r w:rsidR="001557A5" w:rsidRPr="008C78FA">
        <w:rPr>
          <w:sz w:val="22"/>
          <w:szCs w:val="22"/>
          <w:lang w:val="en-GB"/>
        </w:rPr>
        <w:t>ing</w:t>
      </w:r>
      <w:r w:rsidR="008F24A7" w:rsidRPr="008C78FA">
        <w:rPr>
          <w:sz w:val="22"/>
          <w:szCs w:val="22"/>
          <w:lang w:val="en-GB"/>
        </w:rPr>
        <w:t xml:space="preserve"> stock of the project outputs and plan</w:t>
      </w:r>
      <w:r w:rsidR="001557A5" w:rsidRPr="008C78FA">
        <w:rPr>
          <w:sz w:val="22"/>
          <w:szCs w:val="22"/>
          <w:lang w:val="en-GB"/>
        </w:rPr>
        <w:t>ning</w:t>
      </w:r>
      <w:r w:rsidR="008F24A7" w:rsidRPr="008C78FA">
        <w:rPr>
          <w:sz w:val="22"/>
          <w:szCs w:val="22"/>
          <w:lang w:val="en-GB"/>
        </w:rPr>
        <w:t xml:space="preserve"> activities for the rest of the project implementation, which had been extended up to December 2021. In follow up from the PSC meeting, the AI Coordinator attended a July 2020 briefing session on an information service portal developed for the Senegal River Delta waterbird observatory. The tool combines various data types and sources (e.g. from waterbird monitoring, global observatory systems, land use and land allocation in wetlands, etc.) from different institutions which agree to bring the data together for common</w:t>
      </w:r>
      <w:r w:rsidR="00BE6B07" w:rsidRPr="008C78FA">
        <w:rPr>
          <w:sz w:val="22"/>
          <w:szCs w:val="22"/>
          <w:lang w:val="en-GB"/>
        </w:rPr>
        <w:t>/shared</w:t>
      </w:r>
      <w:r w:rsidR="008F24A7" w:rsidRPr="008C78FA">
        <w:rPr>
          <w:sz w:val="22"/>
          <w:szCs w:val="22"/>
          <w:lang w:val="en-GB"/>
        </w:rPr>
        <w:t xml:space="preserve"> </w:t>
      </w:r>
      <w:r w:rsidR="00BE6B07" w:rsidRPr="008C78FA">
        <w:rPr>
          <w:sz w:val="22"/>
          <w:szCs w:val="22"/>
          <w:lang w:val="en-GB"/>
        </w:rPr>
        <w:t>goals</w:t>
      </w:r>
      <w:r w:rsidR="008F24A7" w:rsidRPr="008C78FA">
        <w:rPr>
          <w:sz w:val="22"/>
          <w:szCs w:val="22"/>
          <w:lang w:val="en-GB"/>
        </w:rPr>
        <w:t>. Recommendations were provided to make the data available to a wider range of stakeholders as well as consider input/sharing of data with existing waterbird-related data portals such as the Critical Sites Network Tool and Globe Wetlands Africa Toolbox.</w:t>
      </w:r>
      <w:r w:rsidR="00AE2A8F" w:rsidRPr="008C78FA">
        <w:rPr>
          <w:sz w:val="22"/>
          <w:szCs w:val="22"/>
          <w:lang w:val="en-GB"/>
        </w:rPr>
        <w:t xml:space="preserve"> Also, in follow-up to the PSC meeting, input was provided for the further development of the compliance-related component of the</w:t>
      </w:r>
      <w:r w:rsidR="00BE6B07" w:rsidRPr="008C78FA">
        <w:rPr>
          <w:sz w:val="22"/>
          <w:szCs w:val="22"/>
          <w:lang w:val="en-GB"/>
        </w:rPr>
        <w:t xml:space="preserve"> RESSOURCE</w:t>
      </w:r>
      <w:r w:rsidR="00AE2A8F" w:rsidRPr="008C78FA">
        <w:rPr>
          <w:sz w:val="22"/>
          <w:szCs w:val="22"/>
          <w:lang w:val="en-GB"/>
        </w:rPr>
        <w:t xml:space="preserve"> project, to better reflect AEWA-related compliance indicators</w:t>
      </w:r>
      <w:r w:rsidR="008A57E8" w:rsidRPr="008C78FA">
        <w:rPr>
          <w:sz w:val="22"/>
          <w:szCs w:val="22"/>
          <w:lang w:val="en-GB"/>
        </w:rPr>
        <w:t xml:space="preserve"> aimed at assessing compliance at national level.</w:t>
      </w:r>
    </w:p>
    <w:p w14:paraId="5DBA257F" w14:textId="493D6DCD" w:rsidR="009D5CDB" w:rsidRPr="008C78FA" w:rsidRDefault="009D5CDB" w:rsidP="00B71F08">
      <w:pPr>
        <w:spacing w:line="276" w:lineRule="auto"/>
        <w:jc w:val="both"/>
        <w:rPr>
          <w:sz w:val="22"/>
          <w:szCs w:val="22"/>
          <w:lang w:val="en-GB"/>
        </w:rPr>
      </w:pPr>
    </w:p>
    <w:p w14:paraId="3B2F4D2F" w14:textId="58473E4A" w:rsidR="00A037E7" w:rsidRPr="008C78FA" w:rsidRDefault="009D5CDB" w:rsidP="00B71F08">
      <w:pPr>
        <w:spacing w:line="276" w:lineRule="auto"/>
        <w:jc w:val="both"/>
        <w:rPr>
          <w:sz w:val="22"/>
          <w:szCs w:val="22"/>
          <w:lang w:val="en-GB"/>
        </w:rPr>
      </w:pPr>
      <w:r w:rsidRPr="008C78FA">
        <w:rPr>
          <w:sz w:val="22"/>
          <w:szCs w:val="22"/>
          <w:lang w:val="en-GB"/>
        </w:rPr>
        <w:t>In November 2020, the AEWA AI Coordinator undertook an interview in view of contributi</w:t>
      </w:r>
      <w:r w:rsidR="00BE6B07" w:rsidRPr="008C78FA">
        <w:rPr>
          <w:sz w:val="22"/>
          <w:szCs w:val="22"/>
          <w:lang w:val="en-GB"/>
        </w:rPr>
        <w:t>ng</w:t>
      </w:r>
      <w:r w:rsidRPr="008C78FA">
        <w:rPr>
          <w:sz w:val="22"/>
          <w:szCs w:val="22"/>
          <w:lang w:val="en-GB"/>
        </w:rPr>
        <w:t xml:space="preserve"> towards the development and organisation of an </w:t>
      </w:r>
      <w:hyperlink r:id="rId16" w:history="1">
        <w:r w:rsidRPr="008C78FA">
          <w:rPr>
            <w:rStyle w:val="Hyperlink"/>
            <w:sz w:val="22"/>
            <w:szCs w:val="22"/>
            <w:lang w:val="en-GB"/>
          </w:rPr>
          <w:t>online training course on Multilateral Environmental Agreements</w:t>
        </w:r>
      </w:hyperlink>
      <w:r w:rsidR="00BE6B07" w:rsidRPr="008C78FA">
        <w:rPr>
          <w:sz w:val="22"/>
          <w:szCs w:val="22"/>
          <w:lang w:val="en-GB"/>
        </w:rPr>
        <w:t>. This was</w:t>
      </w:r>
      <w:r w:rsidRPr="008C78FA">
        <w:rPr>
          <w:sz w:val="22"/>
          <w:szCs w:val="22"/>
          <w:lang w:val="en-GB"/>
        </w:rPr>
        <w:t xml:space="preserve"> organized by </w:t>
      </w:r>
      <w:r w:rsidR="00BE6B07" w:rsidRPr="008C78FA">
        <w:rPr>
          <w:sz w:val="22"/>
          <w:szCs w:val="22"/>
          <w:lang w:val="en-GB"/>
        </w:rPr>
        <w:t xml:space="preserve">the UNEP Law Division </w:t>
      </w:r>
      <w:r w:rsidR="00AE2A8F" w:rsidRPr="008C78FA">
        <w:rPr>
          <w:sz w:val="22"/>
          <w:szCs w:val="22"/>
          <w:lang w:val="en-GB"/>
        </w:rPr>
        <w:t xml:space="preserve">team at the Centre for Governance and Sustainability </w:t>
      </w:r>
      <w:r w:rsidR="00BE6B07" w:rsidRPr="008C78FA">
        <w:rPr>
          <w:sz w:val="22"/>
          <w:szCs w:val="22"/>
          <w:lang w:val="en-GB"/>
        </w:rPr>
        <w:t>of</w:t>
      </w:r>
      <w:r w:rsidR="00AE2A8F" w:rsidRPr="008C78FA">
        <w:rPr>
          <w:sz w:val="22"/>
          <w:szCs w:val="22"/>
          <w:lang w:val="en-GB"/>
        </w:rPr>
        <w:t xml:space="preserve"> the University of Massachusetts Boston. In</w:t>
      </w:r>
      <w:r w:rsidR="00036113" w:rsidRPr="008C78FA">
        <w:rPr>
          <w:sz w:val="22"/>
          <w:szCs w:val="22"/>
          <w:lang w:val="en-GB"/>
        </w:rPr>
        <w:t xml:space="preserve"> follow-up, in</w:t>
      </w:r>
      <w:r w:rsidR="00AE2A8F" w:rsidRPr="008C78FA">
        <w:rPr>
          <w:sz w:val="22"/>
          <w:szCs w:val="22"/>
          <w:lang w:val="en-GB"/>
        </w:rPr>
        <w:t xml:space="preserve"> December 2020, the AEWA AI Coordinator attended one of the online MEA course sessions, </w:t>
      </w:r>
      <w:r w:rsidR="00BE6B07" w:rsidRPr="008C78FA">
        <w:rPr>
          <w:sz w:val="22"/>
          <w:szCs w:val="22"/>
          <w:lang w:val="en-GB"/>
        </w:rPr>
        <w:t>partaking in</w:t>
      </w:r>
      <w:r w:rsidR="00AE2A8F" w:rsidRPr="008C78FA">
        <w:rPr>
          <w:sz w:val="22"/>
          <w:szCs w:val="22"/>
          <w:lang w:val="en-GB"/>
        </w:rPr>
        <w:t xml:space="preserve"> a panel discussion with representatives from </w:t>
      </w:r>
      <w:r w:rsidR="00036113" w:rsidRPr="008C78FA">
        <w:rPr>
          <w:sz w:val="22"/>
          <w:szCs w:val="22"/>
          <w:lang w:val="en-GB"/>
        </w:rPr>
        <w:t xml:space="preserve">other </w:t>
      </w:r>
      <w:r w:rsidR="00AE2A8F" w:rsidRPr="008C78FA">
        <w:rPr>
          <w:sz w:val="22"/>
          <w:szCs w:val="22"/>
          <w:lang w:val="en-GB"/>
        </w:rPr>
        <w:t>MEA Secretariats</w:t>
      </w:r>
      <w:r w:rsidR="00BE6B07" w:rsidRPr="008C78FA">
        <w:rPr>
          <w:sz w:val="22"/>
          <w:szCs w:val="22"/>
          <w:lang w:val="en-GB"/>
        </w:rPr>
        <w:t>, to respond to questions from the course participants.</w:t>
      </w:r>
      <w:r w:rsidR="00AE2A8F" w:rsidRPr="008C78FA">
        <w:rPr>
          <w:sz w:val="22"/>
          <w:szCs w:val="22"/>
          <w:lang w:val="en-GB"/>
        </w:rPr>
        <w:t xml:space="preserve"> </w:t>
      </w:r>
    </w:p>
    <w:sectPr w:rsidR="00A037E7" w:rsidRPr="008C78FA" w:rsidSect="00012A95">
      <w:footerReference w:type="default" r:id="rId17"/>
      <w:headerReference w:type="first" r:id="rId18"/>
      <w:footerReference w:type="first" r:id="rId19"/>
      <w:pgSz w:w="11907" w:h="16840" w:code="9"/>
      <w:pgMar w:top="1021" w:right="1134" w:bottom="1440" w:left="1134" w:header="851"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86AA" w14:textId="77777777" w:rsidR="000B6860" w:rsidRDefault="000B6860">
      <w:r>
        <w:separator/>
      </w:r>
    </w:p>
  </w:endnote>
  <w:endnote w:type="continuationSeparator" w:id="0">
    <w:p w14:paraId="19F5903F" w14:textId="77777777" w:rsidR="000B6860" w:rsidRDefault="000B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263577"/>
      <w:docPartObj>
        <w:docPartGallery w:val="Page Numbers (Bottom of Page)"/>
        <w:docPartUnique/>
      </w:docPartObj>
    </w:sdtPr>
    <w:sdtEndPr>
      <w:rPr>
        <w:noProof/>
        <w:sz w:val="20"/>
        <w:szCs w:val="20"/>
      </w:rPr>
    </w:sdtEndPr>
    <w:sdtContent>
      <w:p w14:paraId="5B901E0C" w14:textId="02AAD9AD" w:rsidR="00D427BA" w:rsidRPr="00012A95" w:rsidRDefault="00D427BA" w:rsidP="00012A95">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Pr>
            <w:noProof/>
            <w:sz w:val="20"/>
            <w:szCs w:val="20"/>
          </w:rPr>
          <w:t>4</w:t>
        </w:r>
        <w:r w:rsidRPr="0005480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AEAC4" w14:textId="0C349942" w:rsidR="00D427BA" w:rsidRPr="000E5469" w:rsidRDefault="00D427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2F55D" w14:textId="77777777" w:rsidR="000B6860" w:rsidRDefault="000B6860">
      <w:r>
        <w:separator/>
      </w:r>
    </w:p>
  </w:footnote>
  <w:footnote w:type="continuationSeparator" w:id="0">
    <w:p w14:paraId="5245CB65" w14:textId="77777777" w:rsidR="000B6860" w:rsidRDefault="000B6860">
      <w:r>
        <w:continuationSeparator/>
      </w:r>
    </w:p>
  </w:footnote>
  <w:footnote w:id="1">
    <w:p w14:paraId="12D29B91" w14:textId="4F57693D" w:rsidR="00D427BA" w:rsidRPr="00B32CD8" w:rsidRDefault="00D427BA" w:rsidP="00683E9F">
      <w:pPr>
        <w:pStyle w:val="FootnoteText"/>
        <w:rPr>
          <w:lang w:val="de-DE"/>
        </w:rPr>
      </w:pPr>
      <w:r w:rsidRPr="0018105D">
        <w:rPr>
          <w:rStyle w:val="FootnoteReference"/>
        </w:rPr>
        <w:footnoteRef/>
      </w:r>
      <w:r w:rsidRPr="0018105D">
        <w:rPr>
          <w:lang w:val="de-DE"/>
        </w:rPr>
        <w:t xml:space="preserve"> AEWA SRFPCs: </w:t>
      </w:r>
      <w:hyperlink r:id="rId1" w:history="1">
        <w:r w:rsidR="00486B98" w:rsidRPr="002E2247">
          <w:rPr>
            <w:rStyle w:val="Hyperlink"/>
            <w:lang w:val="de-DE"/>
          </w:rPr>
          <w:t>https://www.unep-aewa.org/sites/default/files/uploads/tor_srfpc_adoptedmop7_en.pdf</w:t>
        </w:r>
      </w:hyperlink>
      <w:r w:rsidR="00486B98">
        <w:rPr>
          <w:lang w:val="de-DE"/>
        </w:rPr>
        <w:t xml:space="preserve"> </w:t>
      </w:r>
      <w:r>
        <w:rPr>
          <w:lang w:val="de-DE"/>
        </w:rPr>
        <w:t xml:space="preserve"> </w:t>
      </w:r>
    </w:p>
  </w:footnote>
  <w:footnote w:id="2">
    <w:p w14:paraId="0B1CD37C" w14:textId="51EEBE5E" w:rsidR="004102AD" w:rsidRPr="00236F18" w:rsidRDefault="004102AD">
      <w:pPr>
        <w:pStyle w:val="FootnoteText"/>
        <w:rPr>
          <w:lang w:val="de-DE"/>
        </w:rPr>
      </w:pPr>
      <w:r>
        <w:rPr>
          <w:rStyle w:val="FootnoteReference"/>
        </w:rPr>
        <w:footnoteRef/>
      </w:r>
      <w:r w:rsidRPr="00236F18">
        <w:rPr>
          <w:lang w:val="de-DE"/>
        </w:rPr>
        <w:t xml:space="preserve"> </w:t>
      </w:r>
      <w:hyperlink r:id="rId2" w:history="1">
        <w:r w:rsidRPr="00410C21">
          <w:rPr>
            <w:rStyle w:val="Hyperlink"/>
            <w:lang w:val="de-DE"/>
          </w:rPr>
          <w:t>http://www.unep-aewa.org/en/activities/african_initiative/poa_for_africa_ai/srfp_coordinators</w:t>
        </w:r>
      </w:hyperlink>
    </w:p>
  </w:footnote>
  <w:footnote w:id="3">
    <w:p w14:paraId="7E0EF7AE" w14:textId="77777777" w:rsidR="00D427BA" w:rsidRPr="00410C21" w:rsidRDefault="00D427BA" w:rsidP="008C78FA">
      <w:pPr>
        <w:pStyle w:val="FootnoteText"/>
        <w:jc w:val="both"/>
        <w:rPr>
          <w:lang w:val="de-DE"/>
        </w:rPr>
      </w:pPr>
      <w:r w:rsidRPr="00410C21">
        <w:rPr>
          <w:rStyle w:val="FootnoteReference"/>
        </w:rPr>
        <w:footnoteRef/>
      </w:r>
      <w:r w:rsidRPr="00410C21">
        <w:rPr>
          <w:lang w:val="de-DE"/>
        </w:rPr>
        <w:t xml:space="preserve"> </w:t>
      </w:r>
      <w:hyperlink r:id="rId3" w:history="1">
        <w:r w:rsidRPr="00410C21">
          <w:rPr>
            <w:rStyle w:val="Hyperlink"/>
            <w:lang w:val="de-DE"/>
          </w:rPr>
          <w:t>https://www.unep-aewa.org/en/news/aewa-sgf-contributes-increased-capacity-conservation-rift-valley-lakes-kenya</w:t>
        </w:r>
      </w:hyperlink>
    </w:p>
  </w:footnote>
  <w:footnote w:id="4">
    <w:p w14:paraId="10F43005" w14:textId="77777777" w:rsidR="00D427BA" w:rsidRPr="00410C21" w:rsidRDefault="00D427BA" w:rsidP="008C78FA">
      <w:pPr>
        <w:pStyle w:val="FootnoteText"/>
        <w:jc w:val="both"/>
      </w:pPr>
      <w:r w:rsidRPr="00410C21">
        <w:rPr>
          <w:rStyle w:val="FootnoteReference"/>
        </w:rPr>
        <w:footnoteRef/>
      </w:r>
      <w:r w:rsidRPr="00410C21">
        <w:t xml:space="preserve"> Accession of Central African Republic to AEWA: </w:t>
      </w:r>
      <w:hyperlink r:id="rId4" w:history="1">
        <w:r w:rsidRPr="00410C21">
          <w:rPr>
            <w:rStyle w:val="Hyperlink"/>
          </w:rPr>
          <w:t>https://www.unep-aewa.org/en/news/central-african-republic-accedes-aewa-party-no-78</w:t>
        </w:r>
      </w:hyperlink>
      <w:r w:rsidRPr="00410C21">
        <w:t xml:space="preserve"> </w:t>
      </w:r>
    </w:p>
  </w:footnote>
  <w:footnote w:id="5">
    <w:p w14:paraId="02E2F7E7" w14:textId="77777777" w:rsidR="00D427BA" w:rsidRPr="00410C21" w:rsidRDefault="00D427BA" w:rsidP="008C78FA">
      <w:pPr>
        <w:pStyle w:val="FootnoteText"/>
        <w:jc w:val="both"/>
      </w:pPr>
      <w:r w:rsidRPr="00410C21">
        <w:rPr>
          <w:rStyle w:val="FootnoteReference"/>
        </w:rPr>
        <w:footnoteRef/>
      </w:r>
      <w:r w:rsidRPr="00410C21">
        <w:t xml:space="preserve"> Accession of Malawi to AEWA: </w:t>
      </w:r>
      <w:hyperlink r:id="rId5" w:history="1">
        <w:r w:rsidRPr="00410C21">
          <w:rPr>
            <w:rStyle w:val="Hyperlink"/>
          </w:rPr>
          <w:t>https://www.unep-aewa.org/en/news/malawi-%E2%80%93-party-no-80-aewa</w:t>
        </w:r>
      </w:hyperlink>
      <w:r w:rsidRPr="00410C21">
        <w:t xml:space="preserve"> </w:t>
      </w:r>
    </w:p>
  </w:footnote>
  <w:footnote w:id="6">
    <w:p w14:paraId="1161CDA3" w14:textId="12DB291A" w:rsidR="00486B98" w:rsidRDefault="00486B98" w:rsidP="008C78FA">
      <w:pPr>
        <w:pStyle w:val="FootnoteText"/>
        <w:jc w:val="both"/>
      </w:pPr>
      <w:r>
        <w:rPr>
          <w:rStyle w:val="FootnoteReference"/>
        </w:rPr>
        <w:footnoteRef/>
      </w:r>
      <w:r>
        <w:t xml:space="preserve"> AEWA Benin ToT workshop: </w:t>
      </w:r>
      <w:hyperlink r:id="rId6" w:history="1">
        <w:r w:rsidRPr="00486B98">
          <w:rPr>
            <w:rStyle w:val="Hyperlink"/>
            <w:lang w:val="en-GB"/>
          </w:rPr>
          <w:t>AEWA Flyway Training of Trainers course which was conducted for 44 experts from 18 francophone West and Central African countries and reginal wildlife training institutions, (Benin, May 2019)</w:t>
        </w:r>
      </w:hyperlink>
    </w:p>
  </w:footnote>
  <w:footnote w:id="7">
    <w:p w14:paraId="71028956" w14:textId="40BDE453" w:rsidR="00D427BA" w:rsidRDefault="00D427BA" w:rsidP="008C78FA">
      <w:pPr>
        <w:pStyle w:val="FootnoteText"/>
        <w:jc w:val="both"/>
      </w:pPr>
      <w:r>
        <w:rPr>
          <w:rStyle w:val="FootnoteReference"/>
        </w:rPr>
        <w:footnoteRef/>
      </w:r>
      <w:r>
        <w:t xml:space="preserve"> New PoAA layout: </w:t>
      </w:r>
      <w:hyperlink r:id="rId7" w:history="1">
        <w:r w:rsidRPr="00284429">
          <w:rPr>
            <w:rStyle w:val="Hyperlink"/>
          </w:rPr>
          <w:t>https://www.unep-aewa.org/en/news/fresh-layout-aewa-plan-action-africa</w:t>
        </w:r>
      </w:hyperlink>
      <w:r>
        <w:t xml:space="preserve"> </w:t>
      </w:r>
    </w:p>
  </w:footnote>
  <w:footnote w:id="8">
    <w:p w14:paraId="5BA6CF99" w14:textId="52A65207" w:rsidR="00D427BA" w:rsidRDefault="00D427BA" w:rsidP="008C78FA">
      <w:pPr>
        <w:pStyle w:val="FootnoteText"/>
        <w:jc w:val="both"/>
      </w:pPr>
      <w:r>
        <w:rPr>
          <w:rStyle w:val="FootnoteReference"/>
        </w:rPr>
        <w:footnoteRef/>
      </w:r>
      <w:r>
        <w:t xml:space="preserve"> Updated AEWA African Initiative web pages: </w:t>
      </w:r>
      <w:hyperlink r:id="rId8" w:history="1">
        <w:r w:rsidR="00AE4127" w:rsidRPr="00284429">
          <w:rPr>
            <w:rStyle w:val="Hyperlink"/>
          </w:rPr>
          <w:t>https://www.unep-aewa.org/en/activities/africaninitiative</w:t>
        </w:r>
      </w:hyperlink>
      <w:r w:rsidR="00AE4127">
        <w:t xml:space="preserve"> </w:t>
      </w:r>
    </w:p>
  </w:footnote>
  <w:footnote w:id="9">
    <w:p w14:paraId="56064D21" w14:textId="22CDD2C3" w:rsidR="001360C5" w:rsidRPr="00AE4127" w:rsidRDefault="001360C5" w:rsidP="008C78FA">
      <w:pPr>
        <w:pStyle w:val="FootnoteText"/>
        <w:jc w:val="both"/>
        <w:rPr>
          <w:lang w:val="de-DE"/>
        </w:rPr>
      </w:pPr>
      <w:r>
        <w:rPr>
          <w:rStyle w:val="FootnoteReference"/>
        </w:rPr>
        <w:footnoteRef/>
      </w:r>
      <w:r w:rsidRPr="00AE4127">
        <w:rPr>
          <w:lang w:val="de-DE"/>
        </w:rPr>
        <w:t xml:space="preserve"> </w:t>
      </w:r>
      <w:r w:rsidRPr="00AE4127">
        <w:rPr>
          <w:lang w:val="de-DE"/>
        </w:rPr>
        <w:t xml:space="preserve">WMBD webinar: </w:t>
      </w:r>
      <w:hyperlink r:id="rId9" w:history="1">
        <w:r w:rsidR="00AE4127" w:rsidRPr="00AE4127">
          <w:rPr>
            <w:rStyle w:val="Hyperlink"/>
            <w:lang w:val="de-DE"/>
          </w:rPr>
          <w:t>https://www.unep-aewa.org/en/news/east-atlantic-flyway-webinar-held-mark-world-migratory-bird-day</w:t>
        </w:r>
      </w:hyperlink>
      <w:r w:rsidR="00AE4127" w:rsidRPr="00AE4127">
        <w:rPr>
          <w:lang w:val="de-DE"/>
        </w:rPr>
        <w:t xml:space="preserve"> </w:t>
      </w:r>
    </w:p>
  </w:footnote>
  <w:footnote w:id="10">
    <w:p w14:paraId="36BC453D" w14:textId="4D1B40E1" w:rsidR="00D427BA" w:rsidRDefault="00D427BA">
      <w:pPr>
        <w:pStyle w:val="FootnoteText"/>
      </w:pPr>
      <w:r>
        <w:rPr>
          <w:rStyle w:val="FootnoteReference"/>
        </w:rPr>
        <w:footnoteRef/>
      </w:r>
      <w:r>
        <w:t xml:space="preserve"> T</w:t>
      </w:r>
      <w:r w:rsidRPr="00D427BA">
        <w:t>hematic Programme for Environment and Sustainable Management of Natural Resources including Energy</w:t>
      </w:r>
      <w:r w:rsidR="00AE412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2" w:space="0" w:color="auto"/>
      </w:tblBorders>
      <w:tblLook w:val="0000" w:firstRow="0" w:lastRow="0" w:firstColumn="0" w:lastColumn="0" w:noHBand="0" w:noVBand="0"/>
    </w:tblPr>
    <w:tblGrid>
      <w:gridCol w:w="2211"/>
      <w:gridCol w:w="5126"/>
      <w:gridCol w:w="2302"/>
    </w:tblGrid>
    <w:tr w:rsidR="00D427BA" w:rsidRPr="00F17A23" w14:paraId="56AD9CB6" w14:textId="77777777" w:rsidTr="0048183F">
      <w:trPr>
        <w:trHeight w:val="1256"/>
      </w:trPr>
      <w:tc>
        <w:tcPr>
          <w:tcW w:w="1147" w:type="pct"/>
        </w:tcPr>
        <w:p w14:paraId="3E3970BE" w14:textId="77777777" w:rsidR="00D427BA" w:rsidRPr="00012A95" w:rsidRDefault="00D427BA" w:rsidP="00D427BA">
          <w:pPr>
            <w:rPr>
              <w:lang w:val="en-GB"/>
            </w:rPr>
          </w:pPr>
          <w:bookmarkStart w:id="2" w:name="_Hlk513643711"/>
          <w:r w:rsidRPr="00012A95">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D427BA" w:rsidRPr="00012A95" w:rsidRDefault="00D427BA" w:rsidP="00D427BA">
          <w:pPr>
            <w:jc w:val="center"/>
            <w:rPr>
              <w:i/>
              <w:sz w:val="22"/>
              <w:szCs w:val="22"/>
              <w:lang w:val="en-GB"/>
            </w:rPr>
          </w:pPr>
          <w:r w:rsidRPr="00012A95">
            <w:rPr>
              <w:i/>
              <w:sz w:val="22"/>
              <w:szCs w:val="22"/>
              <w:lang w:val="en-GB"/>
            </w:rPr>
            <w:t>AGREEMENT ON THE CONSERVATION OF</w:t>
          </w:r>
        </w:p>
        <w:p w14:paraId="6FEBD585" w14:textId="7E09C6DF" w:rsidR="00D427BA" w:rsidRPr="00012A95" w:rsidRDefault="00D427BA" w:rsidP="00D427BA">
          <w:pPr>
            <w:jc w:val="center"/>
            <w:rPr>
              <w:lang w:val="en-GB"/>
            </w:rPr>
          </w:pPr>
          <w:r w:rsidRPr="00012A95">
            <w:rPr>
              <w:i/>
              <w:sz w:val="22"/>
              <w:szCs w:val="22"/>
              <w:lang w:val="en-GB"/>
            </w:rPr>
            <w:t>AFRICAN-EURASIAN MIGRATORY WATERBIRDS</w:t>
          </w:r>
        </w:p>
      </w:tc>
      <w:tc>
        <w:tcPr>
          <w:tcW w:w="1194" w:type="pct"/>
        </w:tcPr>
        <w:p w14:paraId="60266FDC" w14:textId="2FCBD397" w:rsidR="00D427BA" w:rsidRPr="00012A95" w:rsidRDefault="00D427BA" w:rsidP="00ED04D8">
          <w:pPr>
            <w:spacing w:line="276" w:lineRule="auto"/>
            <w:jc w:val="right"/>
            <w:rPr>
              <w:i/>
              <w:iCs/>
              <w:sz w:val="20"/>
              <w:szCs w:val="20"/>
              <w:lang w:val="it-IT"/>
            </w:rPr>
          </w:pPr>
          <w:r w:rsidRPr="00012A95">
            <w:rPr>
              <w:i/>
              <w:iCs/>
              <w:sz w:val="20"/>
              <w:szCs w:val="20"/>
              <w:lang w:val="it-IT"/>
            </w:rPr>
            <w:t>Doc. AEWA/</w:t>
          </w:r>
          <w:r w:rsidR="002E1AD8" w:rsidRPr="00012A95">
            <w:rPr>
              <w:i/>
              <w:iCs/>
              <w:sz w:val="20"/>
              <w:szCs w:val="20"/>
              <w:lang w:val="it-IT"/>
            </w:rPr>
            <w:t>St</w:t>
          </w:r>
          <w:r w:rsidR="00673718" w:rsidRPr="00012A95">
            <w:rPr>
              <w:i/>
              <w:iCs/>
              <w:sz w:val="20"/>
              <w:szCs w:val="20"/>
              <w:lang w:val="it-IT"/>
            </w:rPr>
            <w:t>C 16.6</w:t>
          </w:r>
          <w:r w:rsidRPr="00012A95">
            <w:rPr>
              <w:i/>
              <w:iCs/>
              <w:sz w:val="20"/>
              <w:szCs w:val="20"/>
              <w:lang w:val="it-IT"/>
            </w:rPr>
            <w:t xml:space="preserve"> </w:t>
          </w:r>
        </w:p>
        <w:p w14:paraId="3D4B89C7" w14:textId="4A74065C" w:rsidR="00D427BA" w:rsidRPr="00012A95" w:rsidRDefault="00D427BA" w:rsidP="00ED04D8">
          <w:pPr>
            <w:spacing w:line="276" w:lineRule="auto"/>
            <w:jc w:val="right"/>
            <w:rPr>
              <w:i/>
              <w:iCs/>
              <w:sz w:val="20"/>
              <w:szCs w:val="20"/>
              <w:lang w:val="it-IT"/>
            </w:rPr>
          </w:pPr>
          <w:r w:rsidRPr="00012A95">
            <w:rPr>
              <w:i/>
              <w:iCs/>
              <w:sz w:val="20"/>
              <w:szCs w:val="20"/>
              <w:lang w:val="it-IT"/>
            </w:rPr>
            <w:t>Agenda item</w:t>
          </w:r>
          <w:r w:rsidR="00884733" w:rsidRPr="00012A95">
            <w:rPr>
              <w:i/>
              <w:iCs/>
              <w:sz w:val="20"/>
              <w:szCs w:val="20"/>
              <w:lang w:val="it-IT"/>
            </w:rPr>
            <w:t xml:space="preserve"> 4d</w:t>
          </w:r>
          <w:r w:rsidRPr="00012A95">
            <w:rPr>
              <w:i/>
              <w:iCs/>
              <w:sz w:val="20"/>
              <w:szCs w:val="20"/>
              <w:lang w:val="it-IT"/>
            </w:rPr>
            <w:t xml:space="preserve"> </w:t>
          </w:r>
        </w:p>
        <w:p w14:paraId="703C5C4B" w14:textId="24514FF9" w:rsidR="00D427BA" w:rsidRPr="00012A95" w:rsidRDefault="00012A95" w:rsidP="00ED04D8">
          <w:pPr>
            <w:spacing w:line="276" w:lineRule="auto"/>
            <w:jc w:val="right"/>
            <w:rPr>
              <w:i/>
              <w:iCs/>
            </w:rPr>
          </w:pPr>
          <w:r>
            <w:rPr>
              <w:i/>
              <w:iCs/>
              <w:sz w:val="20"/>
              <w:szCs w:val="20"/>
            </w:rPr>
            <w:t xml:space="preserve">1 April </w:t>
          </w:r>
          <w:r w:rsidR="002E1AD8" w:rsidRPr="00012A95">
            <w:rPr>
              <w:i/>
              <w:iCs/>
              <w:sz w:val="20"/>
              <w:szCs w:val="20"/>
            </w:rPr>
            <w:t>2021</w:t>
          </w:r>
        </w:p>
      </w:tc>
    </w:tr>
    <w:tr w:rsidR="00D427BA" w:rsidRPr="00A61241" w14:paraId="7F558A43" w14:textId="77777777" w:rsidTr="0048183F">
      <w:tc>
        <w:tcPr>
          <w:tcW w:w="5000" w:type="pct"/>
          <w:gridSpan w:val="3"/>
        </w:tcPr>
        <w:p w14:paraId="5D61C882" w14:textId="506024A6" w:rsidR="00D427BA" w:rsidRPr="00012A95" w:rsidRDefault="00D427BA" w:rsidP="00D427BA">
          <w:pPr>
            <w:jc w:val="center"/>
            <w:rPr>
              <w:b/>
              <w:bCs/>
              <w:caps/>
              <w:sz w:val="26"/>
              <w:szCs w:val="26"/>
              <w:lang w:val="en-GB"/>
            </w:rPr>
          </w:pPr>
          <w:r w:rsidRPr="00012A95">
            <w:rPr>
              <w:b/>
              <w:bCs/>
              <w:sz w:val="26"/>
              <w:szCs w:val="26"/>
              <w:lang w:val="en-GB"/>
            </w:rPr>
            <w:t>16</w:t>
          </w:r>
          <w:r w:rsidRPr="00012A95">
            <w:rPr>
              <w:b/>
              <w:bCs/>
              <w:sz w:val="26"/>
              <w:szCs w:val="26"/>
              <w:vertAlign w:val="superscript"/>
              <w:lang w:val="en-GB"/>
            </w:rPr>
            <w:t>th</w:t>
          </w:r>
          <w:r w:rsidRPr="00012A95">
            <w:rPr>
              <w:b/>
              <w:bCs/>
              <w:sz w:val="26"/>
              <w:szCs w:val="26"/>
              <w:lang w:val="en-GB"/>
            </w:rPr>
            <w:t xml:space="preserve"> </w:t>
          </w:r>
          <w:r w:rsidRPr="00012A95">
            <w:rPr>
              <w:b/>
              <w:bCs/>
              <w:caps/>
              <w:sz w:val="26"/>
              <w:szCs w:val="26"/>
              <w:lang w:val="en-GB"/>
            </w:rPr>
            <w:t xml:space="preserve">Meeting of the </w:t>
          </w:r>
          <w:r w:rsidR="002E1AD8" w:rsidRPr="00012A95">
            <w:rPr>
              <w:b/>
              <w:bCs/>
              <w:caps/>
              <w:sz w:val="26"/>
              <w:szCs w:val="26"/>
              <w:lang w:val="en-GB"/>
            </w:rPr>
            <w:t xml:space="preserve">standing </w:t>
          </w:r>
          <w:r w:rsidRPr="00012A95">
            <w:rPr>
              <w:b/>
              <w:bCs/>
              <w:caps/>
              <w:sz w:val="26"/>
              <w:szCs w:val="26"/>
              <w:lang w:val="en-GB"/>
            </w:rPr>
            <w:t>COMMITTEE</w:t>
          </w:r>
        </w:p>
        <w:p w14:paraId="0B560DA1" w14:textId="538DF362" w:rsidR="00D427BA" w:rsidRPr="00012A95" w:rsidRDefault="001656C0" w:rsidP="003F09F2">
          <w:pPr>
            <w:jc w:val="center"/>
            <w:rPr>
              <w:i/>
              <w:sz w:val="22"/>
              <w:szCs w:val="22"/>
              <w:lang w:val="en-GB"/>
            </w:rPr>
          </w:pPr>
          <w:r w:rsidRPr="00012A95">
            <w:rPr>
              <w:i/>
              <w:iCs/>
              <w:sz w:val="22"/>
              <w:szCs w:val="22"/>
              <w:lang w:val="en-GB"/>
            </w:rPr>
            <w:t>4</w:t>
          </w:r>
          <w:r w:rsidR="00D427BA" w:rsidRPr="00012A95">
            <w:rPr>
              <w:i/>
              <w:iCs/>
              <w:sz w:val="22"/>
              <w:szCs w:val="22"/>
              <w:lang w:val="en-GB"/>
            </w:rPr>
            <w:t>-</w:t>
          </w:r>
          <w:r w:rsidRPr="00012A95">
            <w:rPr>
              <w:i/>
              <w:iCs/>
              <w:sz w:val="22"/>
              <w:szCs w:val="22"/>
              <w:lang w:val="en-GB"/>
            </w:rPr>
            <w:t>6</w:t>
          </w:r>
          <w:r w:rsidR="002E1AD8" w:rsidRPr="00012A95">
            <w:rPr>
              <w:i/>
              <w:iCs/>
              <w:sz w:val="22"/>
              <w:szCs w:val="22"/>
              <w:lang w:val="en-GB"/>
            </w:rPr>
            <w:t xml:space="preserve"> May </w:t>
          </w:r>
          <w:r w:rsidR="00D427BA" w:rsidRPr="00012A95">
            <w:rPr>
              <w:i/>
              <w:iCs/>
              <w:sz w:val="22"/>
              <w:szCs w:val="22"/>
              <w:lang w:val="en-GB"/>
            </w:rPr>
            <w:t xml:space="preserve">2021, </w:t>
          </w:r>
          <w:r w:rsidR="00CB3F1C" w:rsidRPr="00012A95">
            <w:rPr>
              <w:i/>
              <w:iCs/>
              <w:sz w:val="22"/>
              <w:szCs w:val="22"/>
              <w:lang w:val="en-GB"/>
            </w:rPr>
            <w:t xml:space="preserve">Virtual </w:t>
          </w:r>
          <w:r w:rsidR="00012A95">
            <w:rPr>
              <w:i/>
              <w:iCs/>
              <w:sz w:val="22"/>
              <w:szCs w:val="22"/>
              <w:lang w:val="en-GB"/>
            </w:rPr>
            <w:t>C</w:t>
          </w:r>
          <w:r w:rsidR="00CB3F1C" w:rsidRPr="00012A95">
            <w:rPr>
              <w:i/>
              <w:iCs/>
              <w:sz w:val="22"/>
              <w:szCs w:val="22"/>
              <w:lang w:val="en-GB"/>
            </w:rPr>
            <w:t xml:space="preserve">onference </w:t>
          </w:r>
          <w:r w:rsidR="00012A95">
            <w:rPr>
              <w:i/>
              <w:iCs/>
              <w:sz w:val="22"/>
              <w:szCs w:val="22"/>
              <w:lang w:val="en-GB"/>
            </w:rPr>
            <w:t>F</w:t>
          </w:r>
          <w:r w:rsidR="00CB3F1C" w:rsidRPr="00012A95">
            <w:rPr>
              <w:i/>
              <w:iCs/>
              <w:sz w:val="22"/>
              <w:szCs w:val="22"/>
              <w:lang w:val="en-GB"/>
            </w:rPr>
            <w:t>ormat</w:t>
          </w:r>
        </w:p>
      </w:tc>
    </w:tr>
    <w:tr w:rsidR="00D427BA" w:rsidRPr="00A61241" w14:paraId="7674B1BE" w14:textId="77777777" w:rsidTr="0048183F">
      <w:trPr>
        <w:trHeight w:val="270"/>
      </w:trPr>
      <w:tc>
        <w:tcPr>
          <w:tcW w:w="5000" w:type="pct"/>
          <w:gridSpan w:val="3"/>
          <w:vAlign w:val="center"/>
        </w:tcPr>
        <w:p w14:paraId="0FA63610" w14:textId="77777777" w:rsidR="00D427BA" w:rsidRPr="00A61241" w:rsidRDefault="00D427BA" w:rsidP="00D427BA">
          <w:pPr>
            <w:rPr>
              <w:bCs/>
              <w:i/>
              <w:lang w:val="en-GB"/>
            </w:rPr>
          </w:pPr>
        </w:p>
      </w:tc>
    </w:tr>
    <w:bookmarkEnd w:id="2"/>
  </w:tbl>
  <w:p w14:paraId="19C494A9" w14:textId="77777777" w:rsidR="00D427BA" w:rsidRDefault="00D42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52A11FA"/>
    <w:multiLevelType w:val="multilevel"/>
    <w:tmpl w:val="5E72BEEC"/>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7E17803"/>
    <w:multiLevelType w:val="hybridMultilevel"/>
    <w:tmpl w:val="A0869B4E"/>
    <w:lvl w:ilvl="0" w:tplc="4F68C4B8">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6"/>
  </w:num>
  <w:num w:numId="5">
    <w:abstractNumId w:val="12"/>
  </w:num>
  <w:num w:numId="6">
    <w:abstractNumId w:val="1"/>
  </w:num>
  <w:num w:numId="7">
    <w:abstractNumId w:val="18"/>
  </w:num>
  <w:num w:numId="8">
    <w:abstractNumId w:val="9"/>
  </w:num>
  <w:num w:numId="9">
    <w:abstractNumId w:val="5"/>
  </w:num>
  <w:num w:numId="10">
    <w:abstractNumId w:val="4"/>
  </w:num>
  <w:num w:numId="11">
    <w:abstractNumId w:val="2"/>
  </w:num>
  <w:num w:numId="12">
    <w:abstractNumId w:val="14"/>
  </w:num>
  <w:num w:numId="13">
    <w:abstractNumId w:val="8"/>
  </w:num>
  <w:num w:numId="14">
    <w:abstractNumId w:val="13"/>
  </w:num>
  <w:num w:numId="15">
    <w:abstractNumId w:val="10"/>
  </w:num>
  <w:num w:numId="16">
    <w:abstractNumId w:val="7"/>
  </w:num>
  <w:num w:numId="17">
    <w:abstractNumId w:val="0"/>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395E"/>
    <w:rsid w:val="00012A95"/>
    <w:rsid w:val="00016E7B"/>
    <w:rsid w:val="00017047"/>
    <w:rsid w:val="000310E1"/>
    <w:rsid w:val="0003240C"/>
    <w:rsid w:val="00036113"/>
    <w:rsid w:val="000406FD"/>
    <w:rsid w:val="0005480D"/>
    <w:rsid w:val="00057305"/>
    <w:rsid w:val="00057456"/>
    <w:rsid w:val="00060494"/>
    <w:rsid w:val="0006129C"/>
    <w:rsid w:val="0006490B"/>
    <w:rsid w:val="0007768A"/>
    <w:rsid w:val="000977BB"/>
    <w:rsid w:val="000A299E"/>
    <w:rsid w:val="000A45B6"/>
    <w:rsid w:val="000A5A47"/>
    <w:rsid w:val="000B5C25"/>
    <w:rsid w:val="000B6860"/>
    <w:rsid w:val="000D4F56"/>
    <w:rsid w:val="000E153E"/>
    <w:rsid w:val="000E5469"/>
    <w:rsid w:val="000E7E27"/>
    <w:rsid w:val="001024AC"/>
    <w:rsid w:val="00104B6D"/>
    <w:rsid w:val="00104C13"/>
    <w:rsid w:val="0010660A"/>
    <w:rsid w:val="00115564"/>
    <w:rsid w:val="0012383C"/>
    <w:rsid w:val="00135DE9"/>
    <w:rsid w:val="001360C5"/>
    <w:rsid w:val="00145E99"/>
    <w:rsid w:val="00147B09"/>
    <w:rsid w:val="001524B5"/>
    <w:rsid w:val="001557A5"/>
    <w:rsid w:val="00161DF4"/>
    <w:rsid w:val="001656C0"/>
    <w:rsid w:val="00167D59"/>
    <w:rsid w:val="00171B8C"/>
    <w:rsid w:val="001734ED"/>
    <w:rsid w:val="00182DCC"/>
    <w:rsid w:val="00186687"/>
    <w:rsid w:val="00196E67"/>
    <w:rsid w:val="001A00B6"/>
    <w:rsid w:val="001B186D"/>
    <w:rsid w:val="001D0931"/>
    <w:rsid w:val="001D13CD"/>
    <w:rsid w:val="001D21F7"/>
    <w:rsid w:val="001E72CB"/>
    <w:rsid w:val="001F1D9A"/>
    <w:rsid w:val="002012D0"/>
    <w:rsid w:val="00203E97"/>
    <w:rsid w:val="00207325"/>
    <w:rsid w:val="0022498F"/>
    <w:rsid w:val="002364D1"/>
    <w:rsid w:val="00236F18"/>
    <w:rsid w:val="00281DA8"/>
    <w:rsid w:val="00286103"/>
    <w:rsid w:val="00294410"/>
    <w:rsid w:val="002A32DC"/>
    <w:rsid w:val="002A3D00"/>
    <w:rsid w:val="002B2A3C"/>
    <w:rsid w:val="002C522F"/>
    <w:rsid w:val="002C5768"/>
    <w:rsid w:val="002D1CC3"/>
    <w:rsid w:val="002E1AD8"/>
    <w:rsid w:val="002E4C1F"/>
    <w:rsid w:val="002E6092"/>
    <w:rsid w:val="002F0141"/>
    <w:rsid w:val="002F7147"/>
    <w:rsid w:val="00303606"/>
    <w:rsid w:val="0030421D"/>
    <w:rsid w:val="003072A9"/>
    <w:rsid w:val="00311A5C"/>
    <w:rsid w:val="00312041"/>
    <w:rsid w:val="00312BA0"/>
    <w:rsid w:val="003209C2"/>
    <w:rsid w:val="00333770"/>
    <w:rsid w:val="003412DF"/>
    <w:rsid w:val="00346E7F"/>
    <w:rsid w:val="00353767"/>
    <w:rsid w:val="00365117"/>
    <w:rsid w:val="003715F6"/>
    <w:rsid w:val="003750FE"/>
    <w:rsid w:val="00377DF9"/>
    <w:rsid w:val="00383FCF"/>
    <w:rsid w:val="00392BD6"/>
    <w:rsid w:val="003A596F"/>
    <w:rsid w:val="003B2918"/>
    <w:rsid w:val="003B4398"/>
    <w:rsid w:val="003C320A"/>
    <w:rsid w:val="003D774F"/>
    <w:rsid w:val="003E0DB9"/>
    <w:rsid w:val="003F09F2"/>
    <w:rsid w:val="00402787"/>
    <w:rsid w:val="00407D1C"/>
    <w:rsid w:val="004102AD"/>
    <w:rsid w:val="00421060"/>
    <w:rsid w:val="0042542E"/>
    <w:rsid w:val="00425C93"/>
    <w:rsid w:val="004313BF"/>
    <w:rsid w:val="004370A6"/>
    <w:rsid w:val="00440D5E"/>
    <w:rsid w:val="004474A8"/>
    <w:rsid w:val="00461706"/>
    <w:rsid w:val="004623B2"/>
    <w:rsid w:val="0048183F"/>
    <w:rsid w:val="00486B98"/>
    <w:rsid w:val="00497689"/>
    <w:rsid w:val="004B57A6"/>
    <w:rsid w:val="004B75C0"/>
    <w:rsid w:val="004D7EE4"/>
    <w:rsid w:val="004E4417"/>
    <w:rsid w:val="004F108A"/>
    <w:rsid w:val="004F4E6A"/>
    <w:rsid w:val="004F71B1"/>
    <w:rsid w:val="00517C62"/>
    <w:rsid w:val="00523D53"/>
    <w:rsid w:val="00534464"/>
    <w:rsid w:val="00536025"/>
    <w:rsid w:val="005426DD"/>
    <w:rsid w:val="005540F3"/>
    <w:rsid w:val="0056236A"/>
    <w:rsid w:val="00567628"/>
    <w:rsid w:val="00575367"/>
    <w:rsid w:val="00592A8C"/>
    <w:rsid w:val="00592B89"/>
    <w:rsid w:val="005970C7"/>
    <w:rsid w:val="005B2E75"/>
    <w:rsid w:val="005B3A7C"/>
    <w:rsid w:val="005B4EA7"/>
    <w:rsid w:val="005C7F7C"/>
    <w:rsid w:val="005D54ED"/>
    <w:rsid w:val="005E62BD"/>
    <w:rsid w:val="005F1012"/>
    <w:rsid w:val="005F11C9"/>
    <w:rsid w:val="006075EE"/>
    <w:rsid w:val="00610330"/>
    <w:rsid w:val="006122CD"/>
    <w:rsid w:val="006308A2"/>
    <w:rsid w:val="00635C47"/>
    <w:rsid w:val="0064241B"/>
    <w:rsid w:val="00643F34"/>
    <w:rsid w:val="00652900"/>
    <w:rsid w:val="00657A1D"/>
    <w:rsid w:val="00673718"/>
    <w:rsid w:val="00683E9F"/>
    <w:rsid w:val="0069010A"/>
    <w:rsid w:val="006A4A6F"/>
    <w:rsid w:val="006B6B98"/>
    <w:rsid w:val="006C0E5D"/>
    <w:rsid w:val="006D7DD4"/>
    <w:rsid w:val="006E3A9D"/>
    <w:rsid w:val="00700178"/>
    <w:rsid w:val="0070257F"/>
    <w:rsid w:val="0070264F"/>
    <w:rsid w:val="00702AA0"/>
    <w:rsid w:val="00703647"/>
    <w:rsid w:val="007040C0"/>
    <w:rsid w:val="0070448A"/>
    <w:rsid w:val="00704B4A"/>
    <w:rsid w:val="00731435"/>
    <w:rsid w:val="007372B1"/>
    <w:rsid w:val="0074524A"/>
    <w:rsid w:val="00760147"/>
    <w:rsid w:val="00786AF1"/>
    <w:rsid w:val="0079698D"/>
    <w:rsid w:val="00796B72"/>
    <w:rsid w:val="007A12E9"/>
    <w:rsid w:val="007B115F"/>
    <w:rsid w:val="007C0034"/>
    <w:rsid w:val="007E054A"/>
    <w:rsid w:val="007E1121"/>
    <w:rsid w:val="007E5503"/>
    <w:rsid w:val="007F17F6"/>
    <w:rsid w:val="008115B4"/>
    <w:rsid w:val="0082215E"/>
    <w:rsid w:val="008235E1"/>
    <w:rsid w:val="008241FA"/>
    <w:rsid w:val="00825369"/>
    <w:rsid w:val="008306FA"/>
    <w:rsid w:val="0084040B"/>
    <w:rsid w:val="008650A4"/>
    <w:rsid w:val="0087707B"/>
    <w:rsid w:val="00884733"/>
    <w:rsid w:val="008851A9"/>
    <w:rsid w:val="008A57E8"/>
    <w:rsid w:val="008B3285"/>
    <w:rsid w:val="008C78FA"/>
    <w:rsid w:val="008D305B"/>
    <w:rsid w:val="008F0DEA"/>
    <w:rsid w:val="008F24A7"/>
    <w:rsid w:val="008F4E75"/>
    <w:rsid w:val="00900777"/>
    <w:rsid w:val="00903E6E"/>
    <w:rsid w:val="009164F2"/>
    <w:rsid w:val="00942798"/>
    <w:rsid w:val="00954FD8"/>
    <w:rsid w:val="00960705"/>
    <w:rsid w:val="009612D5"/>
    <w:rsid w:val="0096757D"/>
    <w:rsid w:val="0096780E"/>
    <w:rsid w:val="00990AB9"/>
    <w:rsid w:val="00991A11"/>
    <w:rsid w:val="009935A8"/>
    <w:rsid w:val="009D5CDB"/>
    <w:rsid w:val="009E0E29"/>
    <w:rsid w:val="009E320C"/>
    <w:rsid w:val="009F6DE5"/>
    <w:rsid w:val="00A037E7"/>
    <w:rsid w:val="00A13B54"/>
    <w:rsid w:val="00A35347"/>
    <w:rsid w:val="00A36A12"/>
    <w:rsid w:val="00A40A67"/>
    <w:rsid w:val="00A41B26"/>
    <w:rsid w:val="00A43C8F"/>
    <w:rsid w:val="00A61241"/>
    <w:rsid w:val="00A82025"/>
    <w:rsid w:val="00A84DF2"/>
    <w:rsid w:val="00A85159"/>
    <w:rsid w:val="00A86EF9"/>
    <w:rsid w:val="00AC55DC"/>
    <w:rsid w:val="00AD596C"/>
    <w:rsid w:val="00AD73E0"/>
    <w:rsid w:val="00AE1EBF"/>
    <w:rsid w:val="00AE2A8F"/>
    <w:rsid w:val="00AE4127"/>
    <w:rsid w:val="00B04408"/>
    <w:rsid w:val="00B07EF4"/>
    <w:rsid w:val="00B160BB"/>
    <w:rsid w:val="00B172AF"/>
    <w:rsid w:val="00B26F85"/>
    <w:rsid w:val="00B30BE0"/>
    <w:rsid w:val="00B37692"/>
    <w:rsid w:val="00B37E95"/>
    <w:rsid w:val="00B56DEB"/>
    <w:rsid w:val="00B607DF"/>
    <w:rsid w:val="00B61FA1"/>
    <w:rsid w:val="00B651B3"/>
    <w:rsid w:val="00B71F08"/>
    <w:rsid w:val="00B71F68"/>
    <w:rsid w:val="00B72231"/>
    <w:rsid w:val="00B953FE"/>
    <w:rsid w:val="00BA4F61"/>
    <w:rsid w:val="00BA790F"/>
    <w:rsid w:val="00BB60C5"/>
    <w:rsid w:val="00BB7DD5"/>
    <w:rsid w:val="00BC7413"/>
    <w:rsid w:val="00BD17AE"/>
    <w:rsid w:val="00BD5453"/>
    <w:rsid w:val="00BE372C"/>
    <w:rsid w:val="00BE6B07"/>
    <w:rsid w:val="00C0645A"/>
    <w:rsid w:val="00C10107"/>
    <w:rsid w:val="00C305FD"/>
    <w:rsid w:val="00C31A30"/>
    <w:rsid w:val="00C37179"/>
    <w:rsid w:val="00C45A1F"/>
    <w:rsid w:val="00C645F5"/>
    <w:rsid w:val="00C72EF1"/>
    <w:rsid w:val="00C814F7"/>
    <w:rsid w:val="00C83EC9"/>
    <w:rsid w:val="00C851CC"/>
    <w:rsid w:val="00CA10E0"/>
    <w:rsid w:val="00CB1CAA"/>
    <w:rsid w:val="00CB1D17"/>
    <w:rsid w:val="00CB37E5"/>
    <w:rsid w:val="00CB3F1C"/>
    <w:rsid w:val="00CC3F9D"/>
    <w:rsid w:val="00CC509F"/>
    <w:rsid w:val="00CF5F07"/>
    <w:rsid w:val="00CF739E"/>
    <w:rsid w:val="00D14D6F"/>
    <w:rsid w:val="00D34AE2"/>
    <w:rsid w:val="00D427BA"/>
    <w:rsid w:val="00D50E2A"/>
    <w:rsid w:val="00D5242E"/>
    <w:rsid w:val="00D801A7"/>
    <w:rsid w:val="00DA2E04"/>
    <w:rsid w:val="00DB6FF8"/>
    <w:rsid w:val="00DC444C"/>
    <w:rsid w:val="00DC4D6C"/>
    <w:rsid w:val="00DE5E56"/>
    <w:rsid w:val="00DE6C76"/>
    <w:rsid w:val="00DF26A5"/>
    <w:rsid w:val="00DF4618"/>
    <w:rsid w:val="00DF5D9A"/>
    <w:rsid w:val="00DF6ADB"/>
    <w:rsid w:val="00E02643"/>
    <w:rsid w:val="00E043A4"/>
    <w:rsid w:val="00E14E9C"/>
    <w:rsid w:val="00E17B44"/>
    <w:rsid w:val="00E30B78"/>
    <w:rsid w:val="00E55271"/>
    <w:rsid w:val="00E55F1B"/>
    <w:rsid w:val="00E719DA"/>
    <w:rsid w:val="00E762B8"/>
    <w:rsid w:val="00E965A8"/>
    <w:rsid w:val="00EA1BA4"/>
    <w:rsid w:val="00EB38A4"/>
    <w:rsid w:val="00ED04D8"/>
    <w:rsid w:val="00EE02FE"/>
    <w:rsid w:val="00EE3937"/>
    <w:rsid w:val="00EE4558"/>
    <w:rsid w:val="00EF4A2E"/>
    <w:rsid w:val="00F13847"/>
    <w:rsid w:val="00F1422E"/>
    <w:rsid w:val="00F17A23"/>
    <w:rsid w:val="00F23DCA"/>
    <w:rsid w:val="00F2646F"/>
    <w:rsid w:val="00F30ED7"/>
    <w:rsid w:val="00F31C06"/>
    <w:rsid w:val="00F44137"/>
    <w:rsid w:val="00F53284"/>
    <w:rsid w:val="00F55236"/>
    <w:rsid w:val="00F627E9"/>
    <w:rsid w:val="00F75FC7"/>
    <w:rsid w:val="00F77EB7"/>
    <w:rsid w:val="00F81B26"/>
    <w:rsid w:val="00F85886"/>
    <w:rsid w:val="00F975E3"/>
    <w:rsid w:val="00FA14D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F0DEA"/>
    <w:rPr>
      <w:sz w:val="20"/>
      <w:szCs w:val="20"/>
    </w:rPr>
  </w:style>
  <w:style w:type="character" w:styleId="FootnoteReference">
    <w:name w:val="footnote reference"/>
    <w:basedOn w:val="DefaultParagraphFont"/>
    <w:uiPriority w:val="99"/>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1B8C"/>
    <w:rPr>
      <w:color w:val="808080"/>
      <w:shd w:val="clear" w:color="auto" w:fill="E6E6E6"/>
    </w:rPr>
  </w:style>
  <w:style w:type="character" w:customStyle="1" w:styleId="FootnoteTextChar">
    <w:name w:val="Footnote Text Char"/>
    <w:basedOn w:val="DefaultParagraphFont"/>
    <w:link w:val="FootnoteText"/>
    <w:uiPriority w:val="99"/>
    <w:semiHidden/>
    <w:rsid w:val="00683E9F"/>
  </w:style>
  <w:style w:type="character" w:styleId="CommentReference">
    <w:name w:val="annotation reference"/>
    <w:basedOn w:val="DefaultParagraphFont"/>
    <w:semiHidden/>
    <w:unhideWhenUsed/>
    <w:rsid w:val="00F17A23"/>
    <w:rPr>
      <w:sz w:val="16"/>
      <w:szCs w:val="16"/>
    </w:rPr>
  </w:style>
  <w:style w:type="paragraph" w:styleId="CommentText">
    <w:name w:val="annotation text"/>
    <w:basedOn w:val="Normal"/>
    <w:link w:val="CommentTextChar"/>
    <w:semiHidden/>
    <w:unhideWhenUsed/>
    <w:rsid w:val="00F17A23"/>
    <w:rPr>
      <w:sz w:val="20"/>
      <w:szCs w:val="20"/>
    </w:rPr>
  </w:style>
  <w:style w:type="character" w:customStyle="1" w:styleId="CommentTextChar">
    <w:name w:val="Comment Text Char"/>
    <w:basedOn w:val="DefaultParagraphFont"/>
    <w:link w:val="CommentText"/>
    <w:semiHidden/>
    <w:rsid w:val="00F17A23"/>
  </w:style>
  <w:style w:type="paragraph" w:styleId="CommentSubject">
    <w:name w:val="annotation subject"/>
    <w:basedOn w:val="CommentText"/>
    <w:next w:val="CommentText"/>
    <w:link w:val="CommentSubjectChar"/>
    <w:semiHidden/>
    <w:unhideWhenUsed/>
    <w:rsid w:val="00F17A23"/>
    <w:rPr>
      <w:b/>
      <w:bCs/>
    </w:rPr>
  </w:style>
  <w:style w:type="character" w:customStyle="1" w:styleId="CommentSubjectChar">
    <w:name w:val="Comment Subject Char"/>
    <w:basedOn w:val="CommentTextChar"/>
    <w:link w:val="CommentSubject"/>
    <w:semiHidden/>
    <w:rsid w:val="00F17A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7160">
      <w:bodyDiv w:val="1"/>
      <w:marLeft w:val="0"/>
      <w:marRight w:val="0"/>
      <w:marTop w:val="0"/>
      <w:marBottom w:val="0"/>
      <w:divBdr>
        <w:top w:val="none" w:sz="0" w:space="0" w:color="auto"/>
        <w:left w:val="none" w:sz="0" w:space="0" w:color="auto"/>
        <w:bottom w:val="none" w:sz="0" w:space="0" w:color="auto"/>
        <w:right w:val="none" w:sz="0" w:space="0" w:color="auto"/>
      </w:divBdr>
    </w:div>
    <w:div w:id="139940290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unep-aewa.org/en/news/fresh-layout-aewa-plan-action-afric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ep-aewa.org/en/news/aewa-training-trainers-flyway-conserv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03.safelinks.protection.outlook.com/?url=https%3A%2F%2Fwww.youtube.com%2Fwatch%3Fv%3D0V8dHikH5dk%26feature%3Demb_logo%26ab_channel%3DCenterforGovernanceandSustainability&amp;data=04%7C01%7Cevelyn.moloko%40unep-aewa.org%7C913852222f4b47bfa90e08d891985332%7Cb3e5db5e2944483799f57488ace54319%7C0%7C0%7C637419430912746793%7CUnknown%7CTWFpbGZsb3d8eyJWIjoiMC4wLjAwMDAiLCJQIjoiV2luMzIiLCJBTiI6Ik1haWwiLCJXVCI6Mn0%3D%7C1000&amp;sdata=vK9HOapVoUy76dcH%2BU9GhA91QARJ6S2uFQCGxTixFMo%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p-aewa.org/en/sgf" TargetMode="External"/><Relationship Id="rId5" Type="http://schemas.openxmlformats.org/officeDocument/2006/relationships/webSettings" Target="webSettings.xml"/><Relationship Id="rId15" Type="http://schemas.openxmlformats.org/officeDocument/2006/relationships/hyperlink" Target="https://www.unep-aewa.org/en/news/east-atlantic-flyway-webinar-held-mark-world-migratory-bird-day" TargetMode="External"/><Relationship Id="rId10" Type="http://schemas.openxmlformats.org/officeDocument/2006/relationships/hyperlink" Target="https://www.unep-aewa.org/en/meeting/1st-meeting-aewa-benguela-coastal-seabirds-international-working-grou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ep-aewa.org/en/meeting/benguela-current-forage-fish-workshop" TargetMode="External"/><Relationship Id="rId14" Type="http://schemas.openxmlformats.org/officeDocument/2006/relationships/hyperlink" Target="https://www.unep-aewa.org/en/activities/africaninitiativ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ep-aewa.org/en/activities/africaninitiative" TargetMode="External"/><Relationship Id="rId3" Type="http://schemas.openxmlformats.org/officeDocument/2006/relationships/hyperlink" Target="https://www.unep-aewa.org/en/news/aewa-sgf-contributes-increased-capacity-conservation-rift-valley-lakes-kenya" TargetMode="External"/><Relationship Id="rId7" Type="http://schemas.openxmlformats.org/officeDocument/2006/relationships/hyperlink" Target="https://www.unep-aewa.org/en/news/fresh-layout-aewa-plan-action-africa" TargetMode="External"/><Relationship Id="rId2" Type="http://schemas.openxmlformats.org/officeDocument/2006/relationships/hyperlink" Target="http://www.unep-aewa.org/en/activities/african_initiative/poa_for_africa_ai/srfp_coordinators" TargetMode="External"/><Relationship Id="rId1" Type="http://schemas.openxmlformats.org/officeDocument/2006/relationships/hyperlink" Target="https://www.unep-aewa.org/sites/default/files/uploads/tor_srfpc_adoptedmop7_en.pdf" TargetMode="External"/><Relationship Id="rId6" Type="http://schemas.openxmlformats.org/officeDocument/2006/relationships/hyperlink" Target="https://www.unep-aewa.org/en/news/training-trainers-flyway-conservation" TargetMode="External"/><Relationship Id="rId5" Type="http://schemas.openxmlformats.org/officeDocument/2006/relationships/hyperlink" Target="https://www.unep-aewa.org/en/news/malawi-%E2%80%93-party-no-80-aewa" TargetMode="External"/><Relationship Id="rId4" Type="http://schemas.openxmlformats.org/officeDocument/2006/relationships/hyperlink" Target="https://www.unep-aewa.org/en/news/central-african-republic-accedes-aewa-party-no-78" TargetMode="External"/><Relationship Id="rId9" Type="http://schemas.openxmlformats.org/officeDocument/2006/relationships/hyperlink" Target="https://www.unep-aewa.org/en/news/east-atlantic-flyway-webinar-held-mark-world-migratory-bird-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velyn.moloko\Documents\Check%20folder\0_PoAA%202019-27_incl%20reporting%20format\PoAA%20Reporting%20format_MOP8\PoAA%20report%20submission%20status_rev%2030%20mar%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pivotSource>
    <c:name>[PoAA report submission status_rev 30 mar 2021.xlsx]Sheet2!PivotTable25</c:name>
    <c:fmtId val="14"/>
  </c:pivotSource>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t>Rate of submission of AEWA PoAA Reports</a:t>
            </a:r>
            <a:r>
              <a:rPr lang="en-US" sz="1200" b="1" baseline="0"/>
              <a:t> to MOP8 as at 24 March 2021</a:t>
            </a:r>
            <a:endParaRPr lang="en-US" sz="1200" b="1"/>
          </a:p>
        </c:rich>
      </c:tx>
      <c:layout>
        <c:manualLayout>
          <c:xMode val="edge"/>
          <c:yMode val="edge"/>
          <c:x val="0.13165037376863839"/>
          <c:y val="6.1618361534595413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rgbClr val="0070C0"/>
          </a:solidFill>
          <a:ln>
            <a:noFill/>
          </a:ln>
          <a:effectLst/>
        </c:spPr>
        <c:marker>
          <c:symbol val="none"/>
        </c:marker>
        <c:dLbl>
          <c:idx val="0"/>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ext>
          </c:extLst>
        </c:dLbl>
      </c:pivotFmt>
      <c:pivotFmt>
        <c:idx val="1"/>
        <c:spPr>
          <a:solidFill>
            <a:srgbClr val="FF0000"/>
          </a:solidFill>
          <a:ln>
            <a:noFill/>
          </a:ln>
          <a:effectLst/>
        </c:spPr>
        <c:dLbl>
          <c:idx val="0"/>
          <c:layout>
            <c:manualLayout>
              <c:x val="2.85181710304028E-2"/>
              <c:y val="-6.3275611007068619E-2"/>
            </c:manualLayout>
          </c:layout>
          <c:tx>
            <c:rich>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fld id="{47A9829B-051E-4ED5-BFC6-3C494EB9482E}" type="VALUE">
                  <a:rPr lang="en-US"/>
                  <a:pPr>
                    <a:defRPr sz="1100" b="1" i="0" u="none" strike="noStrike" kern="1200" baseline="0">
                      <a:solidFill>
                        <a:schemeClr val="dk1">
                          <a:lumMod val="65000"/>
                          <a:lumOff val="35000"/>
                        </a:schemeClr>
                      </a:solidFill>
                      <a:latin typeface="+mn-lt"/>
                      <a:ea typeface="+mn-ea"/>
                      <a:cs typeface="+mn-cs"/>
                    </a:defRPr>
                  </a:pPr>
                  <a:t>[VALUE]</a:t>
                </a:fld>
                <a:r>
                  <a:rPr lang="en-US" baseline="0"/>
                  <a:t> </a:t>
                </a:r>
                <a:fld id="{209CC619-F20A-4E9D-8B47-82B40A20C3AF}" type="CATEGORYNAME">
                  <a:rPr lang="en-US"/>
                  <a:pPr>
                    <a:defRPr sz="1100" b="1" i="0" u="none" strike="noStrike" kern="1200" baseline="0">
                      <a:solidFill>
                        <a:schemeClr val="dk1">
                          <a:lumMod val="65000"/>
                          <a:lumOff val="35000"/>
                        </a:schemeClr>
                      </a:solidFill>
                      <a:latin typeface="+mn-lt"/>
                      <a:ea typeface="+mn-ea"/>
                      <a:cs typeface="+mn-cs"/>
                    </a:defRPr>
                  </a:pPr>
                  <a:t>[CATEGORY NAME]</a:t>
                </a:fld>
                <a:endParaRPr lang="en-US" baseline="0"/>
              </a:p>
              <a:p>
                <a:pPr>
                  <a:defRPr sz="1100" b="1" i="0" u="none" strike="noStrike" kern="1200" baseline="0">
                    <a:solidFill>
                      <a:schemeClr val="dk1">
                        <a:lumMod val="65000"/>
                        <a:lumOff val="35000"/>
                      </a:schemeClr>
                    </a:solidFill>
                    <a:latin typeface="+mn-lt"/>
                    <a:ea typeface="+mn-ea"/>
                    <a:cs typeface="+mn-cs"/>
                  </a:defRPr>
                </a:pPr>
                <a:r>
                  <a:rPr lang="en-US"/>
                  <a:t>(</a:t>
                </a:r>
                <a:fld id="{D3B3A70A-DD28-4EDF-B836-E8D2507CF001}" type="PERCENTAGE">
                  <a:rPr lang="en-US"/>
                  <a:pPr>
                    <a:defRPr sz="1100" b="1" i="0" u="none" strike="noStrike" kern="1200" baseline="0">
                      <a:solidFill>
                        <a:schemeClr val="dk1">
                          <a:lumMod val="65000"/>
                          <a:lumOff val="35000"/>
                        </a:schemeClr>
                      </a:solidFill>
                      <a:latin typeface="+mn-lt"/>
                      <a:ea typeface="+mn-ea"/>
                      <a:cs typeface="+mn-cs"/>
                    </a:defRPr>
                  </a:pPr>
                  <a:t>[PERCENTAGE]</a:t>
                </a:fld>
                <a:r>
                  <a:rPr lang="en-US"/>
                  <a:t>)</a:t>
                </a:r>
              </a:p>
            </c:rich>
          </c:tx>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dlblFieldTable/>
              <c15:showDataLabelsRange val="0"/>
            </c:ext>
          </c:extLst>
        </c:dLbl>
      </c:pivotFmt>
      <c:pivotFmt>
        <c:idx val="2"/>
        <c:spPr>
          <a:solidFill>
            <a:srgbClr val="0070C0"/>
          </a:solidFill>
          <a:ln>
            <a:noFill/>
          </a:ln>
          <a:effectLst/>
        </c:spPr>
        <c:dLbl>
          <c:idx val="0"/>
          <c:layout>
            <c:manualLayout>
              <c:x val="-4.5423849440868969E-2"/>
              <c:y val="-9.4510811145413542E-2"/>
            </c:manualLayout>
          </c:layout>
          <c:tx>
            <c:rich>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fld id="{54FFFDFE-C2EE-4592-A868-95B9C2A9EF4F}" type="VALUE">
                  <a:rPr lang="en-US"/>
                  <a:pPr>
                    <a:defRPr sz="1100" b="1" i="0" u="none" strike="noStrike" kern="1200" baseline="0">
                      <a:solidFill>
                        <a:schemeClr val="dk1">
                          <a:lumMod val="65000"/>
                          <a:lumOff val="35000"/>
                        </a:schemeClr>
                      </a:solidFill>
                      <a:latin typeface="+mn-lt"/>
                      <a:ea typeface="+mn-ea"/>
                      <a:cs typeface="+mn-cs"/>
                    </a:defRPr>
                  </a:pPr>
                  <a:t>[VALUE]</a:t>
                </a:fld>
                <a:r>
                  <a:rPr lang="en-US" baseline="0"/>
                  <a:t> </a:t>
                </a:r>
                <a:fld id="{BE09C824-AAEB-419A-B691-EA32A6D73024}" type="CATEGORYNAME">
                  <a:rPr lang="en-US"/>
                  <a:pPr>
                    <a:defRPr sz="1100" b="1" i="0" u="none" strike="noStrike" kern="1200" baseline="0">
                      <a:solidFill>
                        <a:schemeClr val="dk1">
                          <a:lumMod val="65000"/>
                          <a:lumOff val="35000"/>
                        </a:schemeClr>
                      </a:solidFill>
                      <a:latin typeface="+mn-lt"/>
                      <a:ea typeface="+mn-ea"/>
                      <a:cs typeface="+mn-cs"/>
                    </a:defRPr>
                  </a:pPr>
                  <a:t>[CATEGORY NAME]</a:t>
                </a:fld>
                <a:endParaRPr lang="en-US" baseline="0"/>
              </a:p>
              <a:p>
                <a:pPr>
                  <a:defRPr sz="1100" b="1" i="0" u="none" strike="noStrike" kern="1200" baseline="0">
                    <a:solidFill>
                      <a:schemeClr val="dk1">
                        <a:lumMod val="65000"/>
                        <a:lumOff val="35000"/>
                      </a:schemeClr>
                    </a:solidFill>
                    <a:latin typeface="+mn-lt"/>
                    <a:ea typeface="+mn-ea"/>
                    <a:cs typeface="+mn-cs"/>
                  </a:defRPr>
                </a:pPr>
                <a:r>
                  <a:rPr lang="en-US"/>
                  <a:t>(</a:t>
                </a:r>
                <a:fld id="{91EC7619-620F-4619-B21B-BCF661FA77BB}" type="PERCENTAGE">
                  <a:rPr lang="en-US"/>
                  <a:pPr>
                    <a:defRPr sz="1100" b="1" i="0" u="none" strike="noStrike" kern="1200" baseline="0">
                      <a:solidFill>
                        <a:schemeClr val="dk1">
                          <a:lumMod val="65000"/>
                          <a:lumOff val="35000"/>
                        </a:schemeClr>
                      </a:solidFill>
                      <a:latin typeface="+mn-lt"/>
                      <a:ea typeface="+mn-ea"/>
                      <a:cs typeface="+mn-cs"/>
                    </a:defRPr>
                  </a:pPr>
                  <a:t>[PERCENTAGE]</a:t>
                </a:fld>
                <a:r>
                  <a:rPr lang="en-US"/>
                  <a:t>)</a:t>
                </a:r>
              </a:p>
            </c:rich>
          </c:tx>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layout>
                <c:manualLayout>
                  <c:w val="0.17788673744663386"/>
                  <c:h val="0.12483473033515029"/>
                </c:manualLayout>
              </c15:layout>
              <c15:dlblFieldTable/>
              <c15:showDataLabelsRange val="0"/>
            </c:ext>
          </c:extLst>
        </c:dLbl>
      </c:pivotFmt>
      <c:pivotFmt>
        <c:idx val="3"/>
        <c:spPr>
          <a:solidFill>
            <a:srgbClr val="0070C0"/>
          </a:solidFill>
          <a:ln>
            <a:noFill/>
          </a:ln>
          <a:effectLst/>
        </c:spPr>
        <c:marker>
          <c:symbol val="none"/>
        </c:marker>
        <c:dLbl>
          <c:idx val="0"/>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ext>
          </c:extLst>
        </c:dLbl>
      </c:pivotFmt>
      <c:pivotFmt>
        <c:idx val="4"/>
        <c:spPr>
          <a:solidFill>
            <a:srgbClr val="FF0000"/>
          </a:solidFill>
          <a:ln>
            <a:noFill/>
          </a:ln>
          <a:effectLst/>
        </c:spPr>
        <c:dLbl>
          <c:idx val="0"/>
          <c:layout>
            <c:manualLayout>
              <c:x val="2.85181710304028E-2"/>
              <c:y val="-6.3275611007068619E-2"/>
            </c:manualLayout>
          </c:layout>
          <c:tx>
            <c:rich>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fld id="{47A9829B-051E-4ED5-BFC6-3C494EB9482E}" type="VALUE">
                  <a:rPr lang="en-US"/>
                  <a:pPr>
                    <a:defRPr sz="1100" b="1" i="0" u="none" strike="noStrike" kern="1200" baseline="0">
                      <a:solidFill>
                        <a:schemeClr val="dk1">
                          <a:lumMod val="65000"/>
                          <a:lumOff val="35000"/>
                        </a:schemeClr>
                      </a:solidFill>
                      <a:latin typeface="+mn-lt"/>
                      <a:ea typeface="+mn-ea"/>
                      <a:cs typeface="+mn-cs"/>
                    </a:defRPr>
                  </a:pPr>
                  <a:t>[VALUE]</a:t>
                </a:fld>
                <a:r>
                  <a:rPr lang="en-US" baseline="0"/>
                  <a:t> </a:t>
                </a:r>
                <a:fld id="{209CC619-F20A-4E9D-8B47-82B40A20C3AF}" type="CATEGORYNAME">
                  <a:rPr lang="en-US"/>
                  <a:pPr>
                    <a:defRPr sz="1100" b="1" i="0" u="none" strike="noStrike" kern="1200" baseline="0">
                      <a:solidFill>
                        <a:schemeClr val="dk1">
                          <a:lumMod val="65000"/>
                          <a:lumOff val="35000"/>
                        </a:schemeClr>
                      </a:solidFill>
                      <a:latin typeface="+mn-lt"/>
                      <a:ea typeface="+mn-ea"/>
                      <a:cs typeface="+mn-cs"/>
                    </a:defRPr>
                  </a:pPr>
                  <a:t>[CATEGORY NAME]</a:t>
                </a:fld>
                <a:endParaRPr lang="en-US" baseline="0"/>
              </a:p>
              <a:p>
                <a:pPr>
                  <a:defRPr sz="1100" b="1" i="0" u="none" strike="noStrike" kern="1200" baseline="0">
                    <a:solidFill>
                      <a:schemeClr val="dk1">
                        <a:lumMod val="65000"/>
                        <a:lumOff val="35000"/>
                      </a:schemeClr>
                    </a:solidFill>
                    <a:latin typeface="+mn-lt"/>
                    <a:ea typeface="+mn-ea"/>
                    <a:cs typeface="+mn-cs"/>
                  </a:defRPr>
                </a:pPr>
                <a:r>
                  <a:rPr lang="en-US"/>
                  <a:t>(</a:t>
                </a:r>
                <a:fld id="{D3B3A70A-DD28-4EDF-B836-E8D2507CF001}" type="PERCENTAGE">
                  <a:rPr lang="en-US"/>
                  <a:pPr>
                    <a:defRPr sz="1100" b="1" i="0" u="none" strike="noStrike" kern="1200" baseline="0">
                      <a:solidFill>
                        <a:schemeClr val="dk1">
                          <a:lumMod val="65000"/>
                          <a:lumOff val="35000"/>
                        </a:schemeClr>
                      </a:solidFill>
                      <a:latin typeface="+mn-lt"/>
                      <a:ea typeface="+mn-ea"/>
                      <a:cs typeface="+mn-cs"/>
                    </a:defRPr>
                  </a:pPr>
                  <a:t>[PERCENTAGE]</a:t>
                </a:fld>
                <a:r>
                  <a:rPr lang="en-US"/>
                  <a:t>)</a:t>
                </a:r>
              </a:p>
            </c:rich>
          </c:tx>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dlblFieldTable/>
              <c15:showDataLabelsRange val="0"/>
            </c:ext>
          </c:extLst>
        </c:dLbl>
      </c:pivotFmt>
      <c:pivotFmt>
        <c:idx val="5"/>
        <c:spPr>
          <a:solidFill>
            <a:srgbClr val="0070C0"/>
          </a:solidFill>
          <a:ln>
            <a:noFill/>
          </a:ln>
          <a:effectLst/>
        </c:spPr>
        <c:dLbl>
          <c:idx val="0"/>
          <c:layout>
            <c:manualLayout>
              <c:x val="-4.5423849440868969E-2"/>
              <c:y val="-9.4510811145413542E-2"/>
            </c:manualLayout>
          </c:layout>
          <c:tx>
            <c:rich>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fld id="{54FFFDFE-C2EE-4592-A868-95B9C2A9EF4F}" type="VALUE">
                  <a:rPr lang="en-US"/>
                  <a:pPr>
                    <a:defRPr sz="1100" b="1" i="0" u="none" strike="noStrike" kern="1200" baseline="0">
                      <a:solidFill>
                        <a:schemeClr val="dk1">
                          <a:lumMod val="65000"/>
                          <a:lumOff val="35000"/>
                        </a:schemeClr>
                      </a:solidFill>
                      <a:latin typeface="+mn-lt"/>
                      <a:ea typeface="+mn-ea"/>
                      <a:cs typeface="+mn-cs"/>
                    </a:defRPr>
                  </a:pPr>
                  <a:t>[VALUE]</a:t>
                </a:fld>
                <a:r>
                  <a:rPr lang="en-US" baseline="0"/>
                  <a:t> </a:t>
                </a:r>
                <a:fld id="{BE09C824-AAEB-419A-B691-EA32A6D73024}" type="CATEGORYNAME">
                  <a:rPr lang="en-US"/>
                  <a:pPr>
                    <a:defRPr sz="1100" b="1" i="0" u="none" strike="noStrike" kern="1200" baseline="0">
                      <a:solidFill>
                        <a:schemeClr val="dk1">
                          <a:lumMod val="65000"/>
                          <a:lumOff val="35000"/>
                        </a:schemeClr>
                      </a:solidFill>
                      <a:latin typeface="+mn-lt"/>
                      <a:ea typeface="+mn-ea"/>
                      <a:cs typeface="+mn-cs"/>
                    </a:defRPr>
                  </a:pPr>
                  <a:t>[CATEGORY NAME]</a:t>
                </a:fld>
                <a:endParaRPr lang="en-US" baseline="0"/>
              </a:p>
              <a:p>
                <a:pPr>
                  <a:defRPr sz="1100" b="1" i="0" u="none" strike="noStrike" kern="1200" baseline="0">
                    <a:solidFill>
                      <a:schemeClr val="dk1">
                        <a:lumMod val="65000"/>
                        <a:lumOff val="35000"/>
                      </a:schemeClr>
                    </a:solidFill>
                    <a:latin typeface="+mn-lt"/>
                    <a:ea typeface="+mn-ea"/>
                    <a:cs typeface="+mn-cs"/>
                  </a:defRPr>
                </a:pPr>
                <a:r>
                  <a:rPr lang="en-US"/>
                  <a:t>(</a:t>
                </a:r>
                <a:fld id="{91EC7619-620F-4619-B21B-BCF661FA77BB}" type="PERCENTAGE">
                  <a:rPr lang="en-US"/>
                  <a:pPr>
                    <a:defRPr sz="1100" b="1" i="0" u="none" strike="noStrike" kern="1200" baseline="0">
                      <a:solidFill>
                        <a:schemeClr val="dk1">
                          <a:lumMod val="65000"/>
                          <a:lumOff val="35000"/>
                        </a:schemeClr>
                      </a:solidFill>
                      <a:latin typeface="+mn-lt"/>
                      <a:ea typeface="+mn-ea"/>
                      <a:cs typeface="+mn-cs"/>
                    </a:defRPr>
                  </a:pPr>
                  <a:t>[PERCENTAGE]</a:t>
                </a:fld>
                <a:r>
                  <a:rPr lang="en-US"/>
                  <a:t>)</a:t>
                </a:r>
              </a:p>
            </c:rich>
          </c:tx>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layout>
                <c:manualLayout>
                  <c:w val="0.17788673744663386"/>
                  <c:h val="0.12483473033515029"/>
                </c:manualLayout>
              </c15:layout>
              <c15:dlblFieldTable/>
              <c15:showDataLabelsRange val="0"/>
            </c:ext>
          </c:extLst>
        </c:dLbl>
      </c:pivotFmt>
      <c:pivotFmt>
        <c:idx val="6"/>
        <c:spPr>
          <a:solidFill>
            <a:srgbClr val="0070C0"/>
          </a:solidFill>
          <a:ln>
            <a:noFill/>
          </a:ln>
          <a:effectLst/>
        </c:spPr>
        <c:marker>
          <c:symbol val="none"/>
        </c:marker>
        <c:dLbl>
          <c:idx val="0"/>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ext>
          </c:extLst>
        </c:dLbl>
      </c:pivotFmt>
      <c:pivotFmt>
        <c:idx val="7"/>
        <c:spPr>
          <a:solidFill>
            <a:srgbClr val="FF0000"/>
          </a:solidFill>
          <a:ln>
            <a:noFill/>
          </a:ln>
          <a:effectLst/>
        </c:spPr>
        <c:dLbl>
          <c:idx val="0"/>
          <c:layout>
            <c:manualLayout>
              <c:x val="2.85181710304028E-2"/>
              <c:y val="-6.3275611007068619E-2"/>
            </c:manualLayout>
          </c:layout>
          <c:tx>
            <c:rich>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fld id="{47A9829B-051E-4ED5-BFC6-3C494EB9482E}" type="VALUE">
                  <a:rPr lang="en-US"/>
                  <a:pPr>
                    <a:defRPr sz="1100" b="1" i="0" u="none" strike="noStrike" kern="1200" baseline="0">
                      <a:solidFill>
                        <a:schemeClr val="dk1">
                          <a:lumMod val="65000"/>
                          <a:lumOff val="35000"/>
                        </a:schemeClr>
                      </a:solidFill>
                      <a:latin typeface="+mn-lt"/>
                      <a:ea typeface="+mn-ea"/>
                      <a:cs typeface="+mn-cs"/>
                    </a:defRPr>
                  </a:pPr>
                  <a:t>[VALUE]</a:t>
                </a:fld>
                <a:r>
                  <a:rPr lang="en-US" baseline="0"/>
                  <a:t> </a:t>
                </a:r>
                <a:fld id="{209CC619-F20A-4E9D-8B47-82B40A20C3AF}" type="CATEGORYNAME">
                  <a:rPr lang="en-US"/>
                  <a:pPr>
                    <a:defRPr sz="1100" b="1" i="0" u="none" strike="noStrike" kern="1200" baseline="0">
                      <a:solidFill>
                        <a:schemeClr val="dk1">
                          <a:lumMod val="65000"/>
                          <a:lumOff val="35000"/>
                        </a:schemeClr>
                      </a:solidFill>
                      <a:latin typeface="+mn-lt"/>
                      <a:ea typeface="+mn-ea"/>
                      <a:cs typeface="+mn-cs"/>
                    </a:defRPr>
                  </a:pPr>
                  <a:t>[CATEGORY NAME]</a:t>
                </a:fld>
                <a:endParaRPr lang="en-US" baseline="0"/>
              </a:p>
              <a:p>
                <a:pPr>
                  <a:defRPr sz="1100" b="1" i="0" u="none" strike="noStrike" kern="1200" baseline="0">
                    <a:solidFill>
                      <a:schemeClr val="dk1">
                        <a:lumMod val="65000"/>
                        <a:lumOff val="35000"/>
                      </a:schemeClr>
                    </a:solidFill>
                    <a:latin typeface="+mn-lt"/>
                    <a:ea typeface="+mn-ea"/>
                    <a:cs typeface="+mn-cs"/>
                  </a:defRPr>
                </a:pPr>
                <a:r>
                  <a:rPr lang="en-US"/>
                  <a:t>(</a:t>
                </a:r>
                <a:fld id="{D3B3A70A-DD28-4EDF-B836-E8D2507CF001}" type="PERCENTAGE">
                  <a:rPr lang="en-US"/>
                  <a:pPr>
                    <a:defRPr sz="1100" b="1" i="0" u="none" strike="noStrike" kern="1200" baseline="0">
                      <a:solidFill>
                        <a:schemeClr val="dk1">
                          <a:lumMod val="65000"/>
                          <a:lumOff val="35000"/>
                        </a:schemeClr>
                      </a:solidFill>
                      <a:latin typeface="+mn-lt"/>
                      <a:ea typeface="+mn-ea"/>
                      <a:cs typeface="+mn-cs"/>
                    </a:defRPr>
                  </a:pPr>
                  <a:t>[PERCENTAGE]</a:t>
                </a:fld>
                <a:r>
                  <a:rPr lang="en-US"/>
                  <a:t>)</a:t>
                </a:r>
              </a:p>
            </c:rich>
          </c:tx>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dlblFieldTable/>
              <c15:showDataLabelsRange val="0"/>
            </c:ext>
          </c:extLst>
        </c:dLbl>
      </c:pivotFmt>
      <c:pivotFmt>
        <c:idx val="8"/>
        <c:spPr>
          <a:solidFill>
            <a:srgbClr val="0070C0"/>
          </a:solidFill>
          <a:ln>
            <a:noFill/>
          </a:ln>
          <a:effectLst/>
        </c:spPr>
        <c:dLbl>
          <c:idx val="0"/>
          <c:layout>
            <c:manualLayout>
              <c:x val="-4.5423849440868969E-2"/>
              <c:y val="-9.4510811145413542E-2"/>
            </c:manualLayout>
          </c:layout>
          <c:tx>
            <c:rich>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fld id="{54FFFDFE-C2EE-4592-A868-95B9C2A9EF4F}" type="VALUE">
                  <a:rPr lang="en-US"/>
                  <a:pPr>
                    <a:defRPr sz="1100" b="1" i="0" u="none" strike="noStrike" kern="1200" baseline="0">
                      <a:solidFill>
                        <a:schemeClr val="dk1">
                          <a:lumMod val="65000"/>
                          <a:lumOff val="35000"/>
                        </a:schemeClr>
                      </a:solidFill>
                      <a:latin typeface="+mn-lt"/>
                      <a:ea typeface="+mn-ea"/>
                      <a:cs typeface="+mn-cs"/>
                    </a:defRPr>
                  </a:pPr>
                  <a:t>[VALUE]</a:t>
                </a:fld>
                <a:r>
                  <a:rPr lang="en-US" baseline="0"/>
                  <a:t> </a:t>
                </a:r>
                <a:fld id="{BE09C824-AAEB-419A-B691-EA32A6D73024}" type="CATEGORYNAME">
                  <a:rPr lang="en-US"/>
                  <a:pPr>
                    <a:defRPr sz="1100" b="1" i="0" u="none" strike="noStrike" kern="1200" baseline="0">
                      <a:solidFill>
                        <a:schemeClr val="dk1">
                          <a:lumMod val="65000"/>
                          <a:lumOff val="35000"/>
                        </a:schemeClr>
                      </a:solidFill>
                      <a:latin typeface="+mn-lt"/>
                      <a:ea typeface="+mn-ea"/>
                      <a:cs typeface="+mn-cs"/>
                    </a:defRPr>
                  </a:pPr>
                  <a:t>[CATEGORY NAME]</a:t>
                </a:fld>
                <a:endParaRPr lang="en-US" baseline="0"/>
              </a:p>
              <a:p>
                <a:pPr>
                  <a:defRPr sz="1100" b="1" i="0" u="none" strike="noStrike" kern="1200" baseline="0">
                    <a:solidFill>
                      <a:schemeClr val="dk1">
                        <a:lumMod val="65000"/>
                        <a:lumOff val="35000"/>
                      </a:schemeClr>
                    </a:solidFill>
                    <a:latin typeface="+mn-lt"/>
                    <a:ea typeface="+mn-ea"/>
                    <a:cs typeface="+mn-cs"/>
                  </a:defRPr>
                </a:pPr>
                <a:r>
                  <a:rPr lang="en-US"/>
                  <a:t>(</a:t>
                </a:r>
                <a:fld id="{91EC7619-620F-4619-B21B-BCF661FA77BB}" type="PERCENTAGE">
                  <a:rPr lang="en-US"/>
                  <a:pPr>
                    <a:defRPr sz="1100" b="1" i="0" u="none" strike="noStrike" kern="1200" baseline="0">
                      <a:solidFill>
                        <a:schemeClr val="dk1">
                          <a:lumMod val="65000"/>
                          <a:lumOff val="35000"/>
                        </a:schemeClr>
                      </a:solidFill>
                      <a:latin typeface="+mn-lt"/>
                      <a:ea typeface="+mn-ea"/>
                      <a:cs typeface="+mn-cs"/>
                    </a:defRPr>
                  </a:pPr>
                  <a:t>[PERCENTAGE]</a:t>
                </a:fld>
                <a:r>
                  <a:rPr lang="en-US"/>
                  <a:t>)</a:t>
                </a:r>
              </a:p>
            </c:rich>
          </c:tx>
          <c:spPr>
            <a:noFill/>
            <a:ln>
              <a:noFill/>
            </a:ln>
            <a:effectLst/>
          </c:spPr>
          <c:txPr>
            <a:bodyPr rot="0" spcFirstLastPara="1" vertOverflow="clip" horzOverflow="clip" vert="horz" wrap="square" lIns="36576" tIns="18288" rIns="36576" bIns="18288" anchor="ctr" anchorCtr="1">
              <a:spAutoFit/>
            </a:bodyPr>
            <a:lstStyle/>
            <a:p>
              <a:pPr>
                <a:defRPr sz="11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layout>
                <c:manualLayout>
                  <c:w val="0.17788673744663386"/>
                  <c:h val="0.12483473033515029"/>
                </c:manualLayout>
              </c15:layout>
              <c15:dlblFieldTable/>
              <c15:showDataLabelsRange val="0"/>
            </c:ext>
          </c:extLst>
        </c:dLbl>
      </c:pivotFmt>
    </c:pivotFmts>
    <c:plotArea>
      <c:layout>
        <c:manualLayout>
          <c:layoutTarget val="inner"/>
          <c:xMode val="edge"/>
          <c:yMode val="edge"/>
          <c:x val="0.28624765445521988"/>
          <c:y val="0.20281754976192487"/>
          <c:w val="0.44606343054556935"/>
          <c:h val="0.74977081708009663"/>
        </c:manualLayout>
      </c:layout>
      <c:pieChart>
        <c:varyColors val="1"/>
        <c:ser>
          <c:idx val="0"/>
          <c:order val="0"/>
          <c:tx>
            <c:strRef>
              <c:f>Sheet2!$B$3</c:f>
              <c:strCache>
                <c:ptCount val="1"/>
                <c:pt idx="0">
                  <c:v>Total</c:v>
                </c:pt>
              </c:strCache>
            </c:strRef>
          </c:tx>
          <c:spPr>
            <a:solidFill>
              <a:srgbClr val="0070C0"/>
            </a:solidFill>
          </c:spPr>
          <c:dPt>
            <c:idx val="0"/>
            <c:bubble3D val="0"/>
            <c:spPr>
              <a:solidFill>
                <a:srgbClr val="FF0000"/>
              </a:solidFill>
              <a:ln>
                <a:noFill/>
              </a:ln>
              <a:effectLst/>
            </c:spPr>
            <c:extLst>
              <c:ext xmlns:c16="http://schemas.microsoft.com/office/drawing/2014/chart" uri="{C3380CC4-5D6E-409C-BE32-E72D297353CC}">
                <c16:uniqueId val="{00000001-43FA-449D-8249-C865163196A4}"/>
              </c:ext>
            </c:extLst>
          </c:dPt>
          <c:dPt>
            <c:idx val="1"/>
            <c:bubble3D val="0"/>
            <c:spPr>
              <a:solidFill>
                <a:srgbClr val="0070C0"/>
              </a:solidFill>
              <a:ln>
                <a:noFill/>
              </a:ln>
              <a:effectLst/>
            </c:spPr>
            <c:extLst>
              <c:ext xmlns:c16="http://schemas.microsoft.com/office/drawing/2014/chart" uri="{C3380CC4-5D6E-409C-BE32-E72D297353CC}">
                <c16:uniqueId val="{00000003-43FA-449D-8249-C865163196A4}"/>
              </c:ext>
            </c:extLst>
          </c:dPt>
          <c:dLbls>
            <c:dLbl>
              <c:idx val="0"/>
              <c:layout>
                <c:manualLayout>
                  <c:x val="1.5444147912883439E-3"/>
                  <c:y val="-0.13652285441996764"/>
                </c:manualLayout>
              </c:layout>
              <c:tx>
                <c:rich>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mn-lt"/>
                        <a:ea typeface="+mn-ea"/>
                        <a:cs typeface="+mn-cs"/>
                      </a:defRPr>
                    </a:pPr>
                    <a:fld id="{47A9829B-051E-4ED5-BFC6-3C494EB9482E}" type="VALUE">
                      <a:rPr lang="en-US" b="0"/>
                      <a:pPr>
                        <a:defRPr sz="1200"/>
                      </a:pPr>
                      <a:t>[VALUE]</a:t>
                    </a:fld>
                    <a:r>
                      <a:rPr lang="en-US" b="0" baseline="0"/>
                      <a:t> </a:t>
                    </a:r>
                    <a:fld id="{209CC619-F20A-4E9D-8B47-82B40A20C3AF}" type="CATEGORYNAME">
                      <a:rPr lang="en-US" b="0"/>
                      <a:pPr>
                        <a:defRPr sz="1200"/>
                      </a:pPr>
                      <a:t>[CATEGORY NAME]</a:t>
                    </a:fld>
                    <a:endParaRPr lang="en-US" b="0" baseline="0"/>
                  </a:p>
                  <a:p>
                    <a:pPr>
                      <a:defRPr sz="1200"/>
                    </a:pPr>
                    <a:r>
                      <a:rPr lang="en-US" b="0"/>
                      <a:t>(</a:t>
                    </a:r>
                    <a:fld id="{D3B3A70A-DD28-4EDF-B836-E8D2507CF001}" type="PERCENTAGE">
                      <a:rPr lang="en-US" b="0"/>
                      <a:pPr>
                        <a:defRPr sz="1200"/>
                      </a:pPr>
                      <a:t>[PERCENTAGE]</a:t>
                    </a:fld>
                    <a:r>
                      <a:rPr lang="en-US" b="0"/>
                      <a:t>)</a:t>
                    </a:r>
                  </a:p>
                </c:rich>
              </c:tx>
              <c:spPr>
                <a:noFill/>
                <a:ln>
                  <a:no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dlblFieldTable/>
                  <c15:showDataLabelsRange val="0"/>
                </c:ext>
                <c:ext xmlns:c16="http://schemas.microsoft.com/office/drawing/2014/chart" uri="{C3380CC4-5D6E-409C-BE32-E72D297353CC}">
                  <c16:uniqueId val="{00000001-43FA-449D-8249-C865163196A4}"/>
                </c:ext>
              </c:extLst>
            </c:dLbl>
            <c:dLbl>
              <c:idx val="1"/>
              <c:layout>
                <c:manualLayout>
                  <c:x val="-4.3348911451428052E-2"/>
                  <c:y val="-0.18519783910861864"/>
                </c:manualLayout>
              </c:layout>
              <c:tx>
                <c:rich>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mn-lt"/>
                        <a:ea typeface="+mn-ea"/>
                        <a:cs typeface="+mn-cs"/>
                      </a:defRPr>
                    </a:pPr>
                    <a:fld id="{54FFFDFE-C2EE-4592-A868-95B9C2A9EF4F}" type="VALUE">
                      <a:rPr lang="en-US" b="0"/>
                      <a:pPr>
                        <a:defRPr sz="1200"/>
                      </a:pPr>
                      <a:t>[VALUE]</a:t>
                    </a:fld>
                    <a:r>
                      <a:rPr lang="en-US" b="0" baseline="0"/>
                      <a:t> </a:t>
                    </a:r>
                    <a:fld id="{BE09C824-AAEB-419A-B691-EA32A6D73024}" type="CATEGORYNAME">
                      <a:rPr lang="en-US" b="0"/>
                      <a:pPr>
                        <a:defRPr sz="1200"/>
                      </a:pPr>
                      <a:t>[CATEGORY NAME]</a:t>
                    </a:fld>
                    <a:endParaRPr lang="en-US" b="0" baseline="0"/>
                  </a:p>
                  <a:p>
                    <a:pPr>
                      <a:defRPr sz="1200"/>
                    </a:pPr>
                    <a:r>
                      <a:rPr lang="en-US" b="0"/>
                      <a:t>(</a:t>
                    </a:r>
                    <a:fld id="{91EC7619-620F-4619-B21B-BCF661FA77BB}" type="PERCENTAGE">
                      <a:rPr lang="en-US" b="0"/>
                      <a:pPr>
                        <a:defRPr sz="1200"/>
                      </a:pPr>
                      <a:t>[PERCENTAGE]</a:t>
                    </a:fld>
                    <a:r>
                      <a:rPr lang="en-US" b="0"/>
                      <a:t>)</a:t>
                    </a:r>
                  </a:p>
                </c:rich>
              </c:tx>
              <c:spPr>
                <a:noFill/>
                <a:ln>
                  <a:noFill/>
                </a:ln>
                <a:effectLst/>
              </c:spPr>
              <c:txPr>
                <a:bodyPr rot="0" spcFirstLastPara="1" vertOverflow="clip" horzOverflow="clip" vert="horz" wrap="square" lIns="36576" tIns="18288" rIns="36576" bIns="18288"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borderCallout2">
                      <a:avLst/>
                    </a:prstGeom>
                    <a:noFill/>
                    <a:ln>
                      <a:noFill/>
                    </a:ln>
                  </c15:spPr>
                  <c15:layout>
                    <c:manualLayout>
                      <c:w val="0.17788673744663386"/>
                      <c:h val="0.12483473033515029"/>
                    </c:manualLayout>
                  </c15:layout>
                  <c15:dlblFieldTable/>
                  <c15:showDataLabelsRange val="0"/>
                </c:ext>
                <c:ext xmlns:c16="http://schemas.microsoft.com/office/drawing/2014/chart" uri="{C3380CC4-5D6E-409C-BE32-E72D297353CC}">
                  <c16:uniqueId val="{00000003-43FA-449D-8249-C865163196A4}"/>
                </c:ext>
              </c:extLst>
            </c:dLbl>
            <c:spPr>
              <a:noFill/>
              <a:ln>
                <a:noFill/>
              </a:ln>
              <a:effectLst/>
            </c:spPr>
            <c:txPr>
              <a:bodyPr rot="0" spcFirstLastPara="1" vertOverflow="clip" horzOverflow="clip" vert="horz" wrap="square" lIns="36576" tIns="18288" rIns="36576" bIns="18288" anchor="ctr" anchorCtr="1">
                <a:spAutoFit/>
              </a:bodyPr>
              <a:lstStyle/>
              <a:p>
                <a:pPr>
                  <a:defRPr sz="1200" b="1" i="0" u="none" strike="noStrike" kern="1200" baseline="0">
                    <a:solidFill>
                      <a:schemeClr val="dk1">
                        <a:lumMod val="65000"/>
                        <a:lumOff val="35000"/>
                      </a:schemeClr>
                    </a:solidFill>
                    <a:latin typeface="+mn-lt"/>
                    <a:ea typeface="+mn-ea"/>
                    <a:cs typeface="+mn-cs"/>
                  </a:defRPr>
                </a:pPr>
                <a:endParaRPr lang="en-US"/>
              </a:p>
            </c:txPr>
            <c:dLblPos val="bestFit"/>
            <c:showLegendKey val="1"/>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borderCallout2">
                    <a:avLst/>
                  </a:prstGeom>
                  <a:noFill/>
                  <a:ln>
                    <a:noFill/>
                  </a:ln>
                </c15:spPr>
              </c:ext>
            </c:extLst>
          </c:dLbls>
          <c:cat>
            <c:strRef>
              <c:f>Sheet2!$A$4:$A$5</c:f>
              <c:strCache>
                <c:ptCount val="2"/>
                <c:pt idx="0">
                  <c:v>Not submitted</c:v>
                </c:pt>
                <c:pt idx="1">
                  <c:v>Submitted</c:v>
                </c:pt>
              </c:strCache>
            </c:strRef>
          </c:cat>
          <c:val>
            <c:numRef>
              <c:f>Sheet2!$B$4:$B$5</c:f>
              <c:numCache>
                <c:formatCode>General</c:formatCode>
                <c:ptCount val="2"/>
                <c:pt idx="0">
                  <c:v>18</c:v>
                </c:pt>
                <c:pt idx="1">
                  <c:v>20</c:v>
                </c:pt>
              </c:numCache>
            </c:numRef>
          </c:val>
          <c:extLst>
            <c:ext xmlns:c16="http://schemas.microsoft.com/office/drawing/2014/chart" uri="{C3380CC4-5D6E-409C-BE32-E72D297353CC}">
              <c16:uniqueId val="{00000004-43FA-449D-8249-C865163196A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D9B01-21D1-4634-90BF-6AE543250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3226</Words>
  <Characters>19180</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STC15</vt:lpstr>
      <vt:lpstr>STC15</vt:lpstr>
    </vt:vector>
  </TitlesOfParts>
  <Company>aewa</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STC15</dc:title>
  <dc:subject/>
  <dc:creator>MT Kaemper</dc:creator>
  <cp:keywords/>
  <cp:lastModifiedBy>Jeannine Dicken</cp:lastModifiedBy>
  <cp:revision>2</cp:revision>
  <cp:lastPrinted>2015-04-28T15:01:00Z</cp:lastPrinted>
  <dcterms:created xsi:type="dcterms:W3CDTF">2021-04-01T12:13:00Z</dcterms:created>
  <dcterms:modified xsi:type="dcterms:W3CDTF">2021-04-01T12:13:00Z</dcterms:modified>
</cp:coreProperties>
</file>