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9BA" w:rsidRDefault="006269BA" w:rsidP="00A037E7">
      <w:pPr>
        <w:jc w:val="center"/>
        <w:rPr>
          <w:b/>
          <w:lang w:val="en-GB"/>
        </w:rPr>
      </w:pPr>
    </w:p>
    <w:p w:rsidR="00B20BDE" w:rsidRDefault="00A037E7" w:rsidP="00A037E7">
      <w:pPr>
        <w:jc w:val="center"/>
        <w:rPr>
          <w:b/>
          <w:lang w:val="en-GB"/>
        </w:rPr>
      </w:pPr>
      <w:r>
        <w:rPr>
          <w:b/>
          <w:lang w:val="en-GB"/>
        </w:rPr>
        <w:t xml:space="preserve">AEWA SCALE OF CONTRIBUTIONS FOR 2022 </w:t>
      </w:r>
      <w:r w:rsidR="00B20BDE">
        <w:rPr>
          <w:b/>
          <w:lang w:val="en-GB"/>
        </w:rPr>
        <w:t>–</w:t>
      </w:r>
      <w:r>
        <w:rPr>
          <w:b/>
          <w:lang w:val="en-GB"/>
        </w:rPr>
        <w:t xml:space="preserve"> 2024</w:t>
      </w:r>
      <w:r w:rsidR="00B20BDE">
        <w:rPr>
          <w:b/>
          <w:lang w:val="en-GB"/>
        </w:rPr>
        <w:t xml:space="preserve"> </w:t>
      </w:r>
    </w:p>
    <w:p w:rsidR="00B20BDE" w:rsidRDefault="00B20BDE" w:rsidP="00A037E7">
      <w:pPr>
        <w:jc w:val="center"/>
        <w:rPr>
          <w:b/>
          <w:lang w:val="en-GB"/>
        </w:rPr>
      </w:pPr>
    </w:p>
    <w:p w:rsidR="00B20BDE" w:rsidRPr="00B20BDE" w:rsidRDefault="00B20BDE" w:rsidP="00B20BDE">
      <w:pPr>
        <w:ind w:left="360"/>
        <w:jc w:val="center"/>
        <w:rPr>
          <w:b/>
          <w:lang w:val="en-GB"/>
        </w:rPr>
      </w:pPr>
      <w:r w:rsidRPr="00B20BDE">
        <w:rPr>
          <w:b/>
          <w:lang w:val="en-GB"/>
        </w:rPr>
        <w:t xml:space="preserve">- A first exercise - </w:t>
      </w:r>
    </w:p>
    <w:p w:rsidR="00B20BDE" w:rsidRPr="00B20BDE" w:rsidRDefault="00B20BDE" w:rsidP="00B20BDE">
      <w:pPr>
        <w:pStyle w:val="ListParagraph"/>
        <w:rPr>
          <w:b/>
          <w:lang w:val="en-GB"/>
        </w:rPr>
      </w:pPr>
    </w:p>
    <w:p w:rsidR="00A037E7" w:rsidRPr="00B20BDE" w:rsidRDefault="00B20BDE" w:rsidP="00B20BDE">
      <w:pPr>
        <w:pStyle w:val="ListParagraph"/>
        <w:jc w:val="center"/>
        <w:rPr>
          <w:b/>
          <w:lang w:val="en-GB"/>
        </w:rPr>
      </w:pPr>
      <w:r w:rsidRPr="00B20BDE">
        <w:rPr>
          <w:i/>
          <w:lang w:val="en-GB"/>
        </w:rPr>
        <w:t>p</w:t>
      </w:r>
      <w:r w:rsidR="00A037E7" w:rsidRPr="00B20BDE">
        <w:rPr>
          <w:i/>
          <w:lang w:val="en-GB"/>
        </w:rPr>
        <w:t>repared by the UNEP/AEWA Secretariat</w:t>
      </w:r>
    </w:p>
    <w:p w:rsidR="00A037E7" w:rsidRPr="00A037E7" w:rsidRDefault="00A037E7" w:rsidP="00A037E7">
      <w:pPr>
        <w:rPr>
          <w:lang w:val="en-GB"/>
        </w:rPr>
      </w:pPr>
    </w:p>
    <w:p w:rsidR="006269BA" w:rsidRDefault="006269BA" w:rsidP="00A037E7">
      <w:pPr>
        <w:jc w:val="both"/>
        <w:rPr>
          <w:b/>
          <w:lang w:val="en-GB"/>
        </w:rPr>
      </w:pPr>
    </w:p>
    <w:p w:rsidR="006269BA" w:rsidRDefault="006269BA" w:rsidP="00A037E7">
      <w:pPr>
        <w:jc w:val="both"/>
        <w:rPr>
          <w:b/>
          <w:lang w:val="en-GB"/>
        </w:rPr>
      </w:pPr>
    </w:p>
    <w:p w:rsidR="00A037E7" w:rsidRPr="00A037E7" w:rsidRDefault="00A037E7" w:rsidP="00A037E7">
      <w:pPr>
        <w:jc w:val="both"/>
        <w:rPr>
          <w:b/>
          <w:lang w:val="en-GB"/>
        </w:rPr>
      </w:pPr>
      <w:r w:rsidRPr="00A037E7">
        <w:rPr>
          <w:b/>
          <w:lang w:val="en-GB"/>
        </w:rPr>
        <w:t xml:space="preserve">Introduction </w:t>
      </w:r>
    </w:p>
    <w:p w:rsidR="00A037E7" w:rsidRDefault="00A037E7" w:rsidP="00A037E7">
      <w:pPr>
        <w:jc w:val="both"/>
        <w:rPr>
          <w:lang w:val="en-GB"/>
        </w:rPr>
      </w:pPr>
    </w:p>
    <w:p w:rsidR="00A037E7" w:rsidRPr="00FA6102" w:rsidRDefault="0076672E" w:rsidP="00A037E7">
      <w:pPr>
        <w:spacing w:line="276" w:lineRule="auto"/>
        <w:jc w:val="both"/>
        <w:rPr>
          <w:lang w:val="en-GB"/>
        </w:rPr>
      </w:pPr>
      <w:r>
        <w:rPr>
          <w:lang w:val="en-GB"/>
        </w:rPr>
        <w:t>At the 6</w:t>
      </w:r>
      <w:r w:rsidRPr="0076672E">
        <w:rPr>
          <w:vertAlign w:val="superscript"/>
          <w:lang w:val="en-GB"/>
        </w:rPr>
        <w:t>th</w:t>
      </w:r>
      <w:r>
        <w:rPr>
          <w:lang w:val="en-GB"/>
        </w:rPr>
        <w:t xml:space="preserve"> Session of the Meeting of the Parties</w:t>
      </w:r>
      <w:r w:rsidR="009A1E39">
        <w:rPr>
          <w:lang w:val="en-GB"/>
        </w:rPr>
        <w:t xml:space="preserve"> (MOP6)</w:t>
      </w:r>
      <w:r>
        <w:rPr>
          <w:lang w:val="en-GB"/>
        </w:rPr>
        <w:t xml:space="preserve"> in November 2015 the Parties instructed the </w:t>
      </w:r>
      <w:r w:rsidR="00A037E7" w:rsidRPr="00FA6102">
        <w:rPr>
          <w:lang w:val="en-GB"/>
        </w:rPr>
        <w:t>Secretariat</w:t>
      </w:r>
      <w:r>
        <w:rPr>
          <w:lang w:val="en-GB"/>
        </w:rPr>
        <w:t>,</w:t>
      </w:r>
      <w:r w:rsidR="00A037E7" w:rsidRPr="00FA6102">
        <w:rPr>
          <w:lang w:val="en-GB"/>
        </w:rPr>
        <w:t xml:space="preserve"> </w:t>
      </w:r>
      <w:r>
        <w:rPr>
          <w:lang w:val="en-GB"/>
        </w:rPr>
        <w:t>through Resolution 6.18, t</w:t>
      </w:r>
      <w:r w:rsidR="00A037E7" w:rsidRPr="00FA6102">
        <w:rPr>
          <w:lang w:val="en-GB"/>
        </w:rPr>
        <w:t>o develop a series of budget scenarios for further consideration by Parties at the 7</w:t>
      </w:r>
      <w:r w:rsidR="00A037E7" w:rsidRPr="00FA6102">
        <w:rPr>
          <w:vertAlign w:val="superscript"/>
          <w:lang w:val="en-GB"/>
        </w:rPr>
        <w:t>th</w:t>
      </w:r>
      <w:r w:rsidR="00A037E7" w:rsidRPr="00FA6102">
        <w:rPr>
          <w:lang w:val="en-GB"/>
        </w:rPr>
        <w:t xml:space="preserve"> Session of the Meeting of the Parties and </w:t>
      </w:r>
      <w:r w:rsidR="00A037E7" w:rsidRPr="00FA6102">
        <w:rPr>
          <w:b/>
          <w:lang w:val="en-GB"/>
        </w:rPr>
        <w:t>describe any differences between the UN Scale of Assessments and the current scale used to determine the contributions</w:t>
      </w:r>
      <w:r w:rsidR="00A037E7" w:rsidRPr="00FA6102">
        <w:rPr>
          <w:lang w:val="en-GB"/>
        </w:rPr>
        <w:t xml:space="preserve"> to AEWA.</w:t>
      </w:r>
    </w:p>
    <w:p w:rsidR="00233475" w:rsidRDefault="00233475" w:rsidP="00E32486">
      <w:pPr>
        <w:spacing w:line="276" w:lineRule="auto"/>
        <w:jc w:val="both"/>
        <w:rPr>
          <w:lang w:val="en-GB"/>
        </w:rPr>
      </w:pPr>
    </w:p>
    <w:p w:rsidR="00233475" w:rsidRDefault="00A037E7" w:rsidP="00E32486">
      <w:pPr>
        <w:spacing w:line="276" w:lineRule="auto"/>
        <w:jc w:val="both"/>
        <w:rPr>
          <w:lang w:val="en-GB"/>
        </w:rPr>
      </w:pPr>
      <w:r w:rsidRPr="00FA6102">
        <w:rPr>
          <w:lang w:val="en-GB"/>
        </w:rPr>
        <w:t>On the basis of a report prepared by the Secretariat, the Standing Committee decided at its 12</w:t>
      </w:r>
      <w:r w:rsidRPr="00FA6102">
        <w:rPr>
          <w:vertAlign w:val="superscript"/>
          <w:lang w:val="en-GB"/>
        </w:rPr>
        <w:t>th</w:t>
      </w:r>
      <w:r w:rsidRPr="00FA6102">
        <w:rPr>
          <w:lang w:val="en-GB"/>
        </w:rPr>
        <w:t xml:space="preserve"> Meeting in January 2017, to recommend to the MOP, a move towards using the UN scale to determine the contributions, but to apply a number of criteria, i.e. to keep the minimum contribution of 2,000 EUR; to fix the EU contribution at 2.5 %; and to retain the maximum threshold at 20 %. At its 13</w:t>
      </w:r>
      <w:r w:rsidRPr="00FA6102">
        <w:rPr>
          <w:vertAlign w:val="superscript"/>
          <w:lang w:val="en-GB"/>
        </w:rPr>
        <w:t>th</w:t>
      </w:r>
      <w:r w:rsidRPr="00FA6102">
        <w:rPr>
          <w:lang w:val="en-GB"/>
        </w:rPr>
        <w:t xml:space="preserve"> Meeting in July 2018, the Standing Committee confirmed these criteria and agreed on </w:t>
      </w:r>
      <w:r w:rsidR="00E82BBF">
        <w:rPr>
          <w:lang w:val="en-GB"/>
        </w:rPr>
        <w:t>an</w:t>
      </w:r>
      <w:r w:rsidRPr="00FA6102">
        <w:rPr>
          <w:lang w:val="en-GB"/>
        </w:rPr>
        <w:t xml:space="preserve"> approach to be recommended </w:t>
      </w:r>
      <w:r w:rsidR="00E82BBF">
        <w:rPr>
          <w:lang w:val="en-GB"/>
        </w:rPr>
        <w:t>at</w:t>
      </w:r>
      <w:r w:rsidRPr="00FA6102">
        <w:rPr>
          <w:lang w:val="en-GB"/>
        </w:rPr>
        <w:t xml:space="preserve"> MOP</w:t>
      </w:r>
      <w:r w:rsidR="00E82BBF">
        <w:rPr>
          <w:lang w:val="en-GB"/>
        </w:rPr>
        <w:t>7</w:t>
      </w:r>
      <w:r w:rsidRPr="00FA6102">
        <w:rPr>
          <w:lang w:val="en-GB"/>
        </w:rPr>
        <w:t xml:space="preserve"> for the move towards the UN scale within a transitional period of six years</w:t>
      </w:r>
      <w:r w:rsidR="00DF18B4">
        <w:rPr>
          <w:lang w:val="en-GB"/>
        </w:rPr>
        <w:t xml:space="preserve"> in total</w:t>
      </w:r>
      <w:r w:rsidRPr="00FA6102">
        <w:rPr>
          <w:lang w:val="en-GB"/>
        </w:rPr>
        <w:t>.</w:t>
      </w:r>
      <w:r>
        <w:rPr>
          <w:lang w:val="en-GB"/>
        </w:rPr>
        <w:t xml:space="preserve"> </w:t>
      </w:r>
    </w:p>
    <w:p w:rsidR="00233475" w:rsidRDefault="00233475" w:rsidP="00E32486">
      <w:pPr>
        <w:spacing w:line="276" w:lineRule="auto"/>
        <w:jc w:val="both"/>
        <w:rPr>
          <w:lang w:val="en-GB"/>
        </w:rPr>
      </w:pPr>
    </w:p>
    <w:p w:rsidR="00F26648" w:rsidRDefault="00A037E7" w:rsidP="00E32486">
      <w:pPr>
        <w:spacing w:line="276" w:lineRule="auto"/>
        <w:jc w:val="both"/>
        <w:rPr>
          <w:lang w:val="en-GB"/>
        </w:rPr>
      </w:pPr>
      <w:r>
        <w:rPr>
          <w:lang w:val="en-GB"/>
        </w:rPr>
        <w:t xml:space="preserve">At MOP7 in December 2018, the Parties adopted the Scale of </w:t>
      </w:r>
      <w:r w:rsidR="009A1E39">
        <w:rPr>
          <w:lang w:val="en-GB"/>
        </w:rPr>
        <w:t>c</w:t>
      </w:r>
      <w:r>
        <w:rPr>
          <w:lang w:val="en-GB"/>
        </w:rPr>
        <w:t xml:space="preserve">ontributions for 2019-2021 </w:t>
      </w:r>
      <w:proofErr w:type="gramStart"/>
      <w:r>
        <w:rPr>
          <w:lang w:val="en-GB"/>
        </w:rPr>
        <w:t>on the basis of</w:t>
      </w:r>
      <w:proofErr w:type="gramEnd"/>
      <w:r>
        <w:rPr>
          <w:lang w:val="en-GB"/>
        </w:rPr>
        <w:t xml:space="preserve"> the criteria </w:t>
      </w:r>
      <w:r w:rsidR="00233475">
        <w:rPr>
          <w:lang w:val="en-GB"/>
        </w:rPr>
        <w:t xml:space="preserve">and </w:t>
      </w:r>
      <w:r w:rsidR="009A1E39">
        <w:rPr>
          <w:lang w:val="en-GB"/>
        </w:rPr>
        <w:t>approach</w:t>
      </w:r>
      <w:r w:rsidR="00233475">
        <w:rPr>
          <w:lang w:val="en-GB"/>
        </w:rPr>
        <w:t xml:space="preserve"> </w:t>
      </w:r>
      <w:r>
        <w:rPr>
          <w:lang w:val="en-GB"/>
        </w:rPr>
        <w:t>recommended by the Standing Committee</w:t>
      </w:r>
      <w:r w:rsidR="009A1E39">
        <w:rPr>
          <w:lang w:val="en-GB"/>
        </w:rPr>
        <w:t>.</w:t>
      </w:r>
      <w:r w:rsidR="00F26648">
        <w:rPr>
          <w:lang w:val="en-GB"/>
        </w:rPr>
        <w:t xml:space="preserve"> </w:t>
      </w:r>
    </w:p>
    <w:p w:rsidR="00F26648" w:rsidRDefault="00F26648" w:rsidP="00E32486">
      <w:pPr>
        <w:spacing w:line="276" w:lineRule="auto"/>
        <w:jc w:val="both"/>
        <w:rPr>
          <w:lang w:val="en-GB"/>
        </w:rPr>
      </w:pPr>
    </w:p>
    <w:p w:rsidR="00233475" w:rsidRDefault="00233475" w:rsidP="00E32486">
      <w:pPr>
        <w:spacing w:line="276" w:lineRule="auto"/>
        <w:jc w:val="both"/>
        <w:rPr>
          <w:lang w:val="en-GB"/>
        </w:rPr>
      </w:pPr>
      <w:r>
        <w:rPr>
          <w:lang w:val="en-GB"/>
        </w:rPr>
        <w:t xml:space="preserve">At MOP8 Parties will have to decide if they wish to </w:t>
      </w:r>
      <w:r w:rsidR="008E365A">
        <w:rPr>
          <w:lang w:val="en-GB"/>
        </w:rPr>
        <w:t xml:space="preserve">continue </w:t>
      </w:r>
      <w:r>
        <w:rPr>
          <w:lang w:val="en-GB"/>
        </w:rPr>
        <w:t>return</w:t>
      </w:r>
      <w:r w:rsidR="007463A4">
        <w:rPr>
          <w:lang w:val="en-GB"/>
        </w:rPr>
        <w:t>ing</w:t>
      </w:r>
      <w:r>
        <w:rPr>
          <w:lang w:val="en-GB"/>
        </w:rPr>
        <w:t xml:space="preserve"> to the </w:t>
      </w:r>
      <w:r w:rsidR="006269BA">
        <w:rPr>
          <w:lang w:val="en-GB"/>
        </w:rPr>
        <w:t>UN scale of assessments through a second (and last) transitional period in 2022-2024.</w:t>
      </w:r>
    </w:p>
    <w:p w:rsidR="00233475" w:rsidRDefault="00233475" w:rsidP="00E32486">
      <w:pPr>
        <w:spacing w:line="276" w:lineRule="auto"/>
        <w:jc w:val="both"/>
        <w:rPr>
          <w:lang w:val="en-GB"/>
        </w:rPr>
      </w:pPr>
    </w:p>
    <w:p w:rsidR="00A037E7" w:rsidRPr="00A037E7" w:rsidRDefault="00A037E7" w:rsidP="00A037E7">
      <w:pPr>
        <w:jc w:val="both"/>
        <w:rPr>
          <w:lang w:val="en-GB"/>
        </w:rPr>
      </w:pPr>
    </w:p>
    <w:p w:rsidR="00A037E7" w:rsidRPr="00A037E7" w:rsidRDefault="00A037E7" w:rsidP="00A037E7">
      <w:pPr>
        <w:jc w:val="both"/>
        <w:rPr>
          <w:b/>
          <w:lang w:val="en-GB"/>
        </w:rPr>
      </w:pPr>
      <w:r w:rsidRPr="00A037E7">
        <w:rPr>
          <w:b/>
          <w:lang w:val="en-GB"/>
        </w:rPr>
        <w:t>Action Requested from the Standing Committee:</w:t>
      </w:r>
    </w:p>
    <w:p w:rsidR="00A037E7" w:rsidRDefault="00A037E7" w:rsidP="00A037E7">
      <w:pPr>
        <w:jc w:val="both"/>
        <w:rPr>
          <w:lang w:val="en-GB"/>
        </w:rPr>
      </w:pPr>
    </w:p>
    <w:p w:rsidR="00E14E9C" w:rsidRDefault="00A037E7" w:rsidP="00A037E7">
      <w:pPr>
        <w:jc w:val="both"/>
        <w:rPr>
          <w:lang w:val="en-GB"/>
        </w:rPr>
      </w:pPr>
      <w:r w:rsidRPr="00A037E7">
        <w:rPr>
          <w:lang w:val="en-GB"/>
        </w:rPr>
        <w:t>The Standing Committee is requested to take note of the information provided in the report.</w:t>
      </w:r>
    </w:p>
    <w:p w:rsidR="00233475" w:rsidRDefault="00233475">
      <w:pPr>
        <w:rPr>
          <w:b/>
          <w:lang w:val="en-GB"/>
        </w:rPr>
      </w:pPr>
      <w:r>
        <w:rPr>
          <w:b/>
          <w:lang w:val="en-GB"/>
        </w:rPr>
        <w:br w:type="page"/>
      </w:r>
    </w:p>
    <w:p w:rsidR="00F26648" w:rsidRPr="00A210C0" w:rsidRDefault="000C3F92" w:rsidP="00F26648">
      <w:pPr>
        <w:pStyle w:val="ListParagraph"/>
        <w:numPr>
          <w:ilvl w:val="0"/>
          <w:numId w:val="19"/>
        </w:numPr>
        <w:shd w:val="clear" w:color="auto" w:fill="D9D9D9" w:themeFill="background1" w:themeFillShade="D9"/>
        <w:ind w:left="270" w:hanging="270"/>
        <w:jc w:val="both"/>
        <w:rPr>
          <w:b/>
          <w:lang w:val="en-GB"/>
        </w:rPr>
      </w:pPr>
      <w:r>
        <w:rPr>
          <w:b/>
          <w:lang w:val="en-GB"/>
        </w:rPr>
        <w:lastRenderedPageBreak/>
        <w:t>General introduction</w:t>
      </w:r>
    </w:p>
    <w:p w:rsidR="00F26648" w:rsidRPr="00FA6102" w:rsidRDefault="00F26648" w:rsidP="00F26648">
      <w:pPr>
        <w:spacing w:line="276" w:lineRule="auto"/>
        <w:jc w:val="both"/>
        <w:rPr>
          <w:lang w:val="en-GB"/>
        </w:rPr>
      </w:pPr>
    </w:p>
    <w:p w:rsidR="003A434D" w:rsidRDefault="00F26648" w:rsidP="00F26648">
      <w:pPr>
        <w:spacing w:line="276" w:lineRule="auto"/>
        <w:jc w:val="both"/>
        <w:rPr>
          <w:lang w:val="en-GB"/>
        </w:rPr>
      </w:pPr>
      <w:r w:rsidRPr="00FA6102">
        <w:rPr>
          <w:lang w:val="en-GB"/>
        </w:rPr>
        <w:t xml:space="preserve">The </w:t>
      </w:r>
      <w:r w:rsidR="003A434D">
        <w:rPr>
          <w:lang w:val="en-GB"/>
        </w:rPr>
        <w:t xml:space="preserve">immediate </w:t>
      </w:r>
      <w:r w:rsidRPr="00FA6102">
        <w:rPr>
          <w:lang w:val="en-GB"/>
        </w:rPr>
        <w:t>strict application of the UN scale of assessments for the AEWA budget 2019-2021</w:t>
      </w:r>
      <w:r w:rsidR="003A434D">
        <w:rPr>
          <w:lang w:val="en-GB"/>
        </w:rPr>
        <w:t xml:space="preserve"> adopted at MOP7</w:t>
      </w:r>
      <w:r w:rsidRPr="00FA6102">
        <w:rPr>
          <w:lang w:val="en-GB"/>
        </w:rPr>
        <w:t xml:space="preserve"> would </w:t>
      </w:r>
      <w:r w:rsidR="00BB18CD">
        <w:rPr>
          <w:lang w:val="en-GB"/>
        </w:rPr>
        <w:t xml:space="preserve">have </w:t>
      </w:r>
      <w:r w:rsidRPr="00FA6102">
        <w:rPr>
          <w:lang w:val="en-GB"/>
        </w:rPr>
        <w:t>create</w:t>
      </w:r>
      <w:r w:rsidR="00BB18CD">
        <w:rPr>
          <w:lang w:val="en-GB"/>
        </w:rPr>
        <w:t>d</w:t>
      </w:r>
      <w:r w:rsidRPr="00FA6102">
        <w:rPr>
          <w:lang w:val="en-GB"/>
        </w:rPr>
        <w:t xml:space="preserve"> considerable increases in the case of </w:t>
      </w:r>
      <w:proofErr w:type="gramStart"/>
      <w:r w:rsidRPr="00FA6102">
        <w:rPr>
          <w:lang w:val="en-GB"/>
        </w:rPr>
        <w:t>a number of</w:t>
      </w:r>
      <w:proofErr w:type="gramEnd"/>
      <w:r w:rsidRPr="00FA6102">
        <w:rPr>
          <w:lang w:val="en-GB"/>
        </w:rPr>
        <w:t xml:space="preserve"> Parties, even if the budget was maintained at a zero nominal growth level. Other countries, however, would </w:t>
      </w:r>
      <w:r w:rsidR="00BB18CD">
        <w:rPr>
          <w:lang w:val="en-GB"/>
        </w:rPr>
        <w:t xml:space="preserve">have </w:t>
      </w:r>
      <w:r w:rsidRPr="00FA6102">
        <w:rPr>
          <w:lang w:val="en-GB"/>
        </w:rPr>
        <w:t>benefit</w:t>
      </w:r>
      <w:r w:rsidR="00BB18CD">
        <w:rPr>
          <w:lang w:val="en-GB"/>
        </w:rPr>
        <w:t>ed</w:t>
      </w:r>
      <w:r w:rsidRPr="00FA6102">
        <w:rPr>
          <w:lang w:val="en-GB"/>
        </w:rPr>
        <w:t xml:space="preserve"> from the application of the UN scale of assessments, although they might be willing to, at least, maintain the</w:t>
      </w:r>
      <w:r w:rsidR="003A434D">
        <w:rPr>
          <w:lang w:val="en-GB"/>
        </w:rPr>
        <w:t>ir</w:t>
      </w:r>
      <w:r w:rsidRPr="00FA6102">
        <w:rPr>
          <w:lang w:val="en-GB"/>
        </w:rPr>
        <w:t xml:space="preserve"> </w:t>
      </w:r>
      <w:r w:rsidR="003A434D">
        <w:rPr>
          <w:lang w:val="en-GB"/>
        </w:rPr>
        <w:t xml:space="preserve">present </w:t>
      </w:r>
      <w:r w:rsidRPr="00FA6102">
        <w:rPr>
          <w:lang w:val="en-GB"/>
        </w:rPr>
        <w:t xml:space="preserve">level of financial commitment. </w:t>
      </w:r>
    </w:p>
    <w:p w:rsidR="003A434D" w:rsidRDefault="003A434D" w:rsidP="00F26648">
      <w:pPr>
        <w:spacing w:line="276" w:lineRule="auto"/>
        <w:jc w:val="both"/>
        <w:rPr>
          <w:lang w:val="en-GB"/>
        </w:rPr>
      </w:pPr>
    </w:p>
    <w:p w:rsidR="00F26648" w:rsidRDefault="003A434D" w:rsidP="00F26648">
      <w:pPr>
        <w:spacing w:line="276" w:lineRule="auto"/>
        <w:jc w:val="both"/>
        <w:rPr>
          <w:lang w:val="en-GB"/>
        </w:rPr>
      </w:pPr>
      <w:r>
        <w:rPr>
          <w:lang w:val="en-GB"/>
        </w:rPr>
        <w:t>To keep the move towards the UN scale of assessments and increase of contributions in case of certain countries manageable,</w:t>
      </w:r>
      <w:r w:rsidR="00BB18CD">
        <w:rPr>
          <w:lang w:val="en-GB"/>
        </w:rPr>
        <w:t xml:space="preserve"> </w:t>
      </w:r>
      <w:r>
        <w:rPr>
          <w:lang w:val="en-GB"/>
        </w:rPr>
        <w:t xml:space="preserve">the Parties decided to apply </w:t>
      </w:r>
      <w:r w:rsidR="00F26648" w:rsidRPr="00FA6102">
        <w:rPr>
          <w:lang w:val="en-GB"/>
        </w:rPr>
        <w:t xml:space="preserve">following criteria </w:t>
      </w:r>
      <w:r w:rsidR="00BB18CD">
        <w:rPr>
          <w:lang w:val="en-GB"/>
        </w:rPr>
        <w:t>and</w:t>
      </w:r>
      <w:r>
        <w:rPr>
          <w:lang w:val="en-GB"/>
        </w:rPr>
        <w:t xml:space="preserve"> methods </w:t>
      </w:r>
      <w:r w:rsidR="00F26648" w:rsidRPr="00FA6102">
        <w:rPr>
          <w:lang w:val="en-GB"/>
        </w:rPr>
        <w:t xml:space="preserve">for the </w:t>
      </w:r>
      <w:r w:rsidR="00F26648" w:rsidRPr="003A434D">
        <w:rPr>
          <w:lang w:val="en-GB"/>
        </w:rPr>
        <w:t xml:space="preserve">development of the scale of contributions for 2019-2021: </w:t>
      </w:r>
    </w:p>
    <w:p w:rsidR="00B85CD8" w:rsidRPr="003A434D" w:rsidRDefault="00B85CD8" w:rsidP="00F26648">
      <w:pPr>
        <w:spacing w:line="276" w:lineRule="auto"/>
        <w:jc w:val="both"/>
        <w:rPr>
          <w:lang w:val="en-GB"/>
        </w:rPr>
      </w:pPr>
    </w:p>
    <w:p w:rsidR="00F26648" w:rsidRDefault="00F26648" w:rsidP="00B85CD8">
      <w:pPr>
        <w:pStyle w:val="ListParagraph"/>
        <w:numPr>
          <w:ilvl w:val="0"/>
          <w:numId w:val="20"/>
        </w:numPr>
        <w:spacing w:before="120" w:after="120" w:line="276" w:lineRule="auto"/>
        <w:ind w:left="630"/>
        <w:jc w:val="both"/>
        <w:rPr>
          <w:lang w:val="en-GB"/>
        </w:rPr>
      </w:pPr>
      <w:r w:rsidRPr="003A434D">
        <w:rPr>
          <w:lang w:val="en-GB"/>
        </w:rPr>
        <w:t xml:space="preserve">The minimum contribution </w:t>
      </w:r>
      <w:r w:rsidR="00BB18CD" w:rsidRPr="003A434D">
        <w:rPr>
          <w:lang w:val="en-GB"/>
        </w:rPr>
        <w:t xml:space="preserve">was </w:t>
      </w:r>
      <w:r w:rsidR="00B85CD8">
        <w:rPr>
          <w:lang w:val="en-GB"/>
        </w:rPr>
        <w:t>retained</w:t>
      </w:r>
      <w:r w:rsidR="00BB18CD" w:rsidRPr="003A434D">
        <w:rPr>
          <w:lang w:val="en-GB"/>
        </w:rPr>
        <w:t xml:space="preserve"> </w:t>
      </w:r>
      <w:r w:rsidRPr="003A434D">
        <w:rPr>
          <w:lang w:val="en-GB"/>
        </w:rPr>
        <w:t>at 2,000 EUR;</w:t>
      </w:r>
    </w:p>
    <w:p w:rsidR="00F26648" w:rsidRPr="003A434D" w:rsidRDefault="00F26648" w:rsidP="00B85CD8">
      <w:pPr>
        <w:pStyle w:val="ListParagraph"/>
        <w:numPr>
          <w:ilvl w:val="0"/>
          <w:numId w:val="20"/>
        </w:numPr>
        <w:spacing w:before="120" w:after="120" w:line="276" w:lineRule="auto"/>
        <w:ind w:left="630"/>
        <w:jc w:val="both"/>
        <w:rPr>
          <w:lang w:val="en-GB"/>
        </w:rPr>
      </w:pPr>
      <w:r w:rsidRPr="003A434D">
        <w:rPr>
          <w:lang w:val="en-GB"/>
        </w:rPr>
        <w:t xml:space="preserve">The EU contribution </w:t>
      </w:r>
      <w:r w:rsidR="00BB18CD" w:rsidRPr="003A434D">
        <w:rPr>
          <w:lang w:val="en-GB"/>
        </w:rPr>
        <w:t xml:space="preserve">was fixed </w:t>
      </w:r>
      <w:r w:rsidRPr="003A434D">
        <w:rPr>
          <w:lang w:val="en-GB"/>
        </w:rPr>
        <w:t>at the original 2.5 %;</w:t>
      </w:r>
    </w:p>
    <w:p w:rsidR="00F26648" w:rsidRPr="003A434D" w:rsidRDefault="00F26648" w:rsidP="00B85CD8">
      <w:pPr>
        <w:pStyle w:val="ListParagraph"/>
        <w:numPr>
          <w:ilvl w:val="0"/>
          <w:numId w:val="20"/>
        </w:numPr>
        <w:spacing w:before="120" w:after="120" w:line="276" w:lineRule="auto"/>
        <w:ind w:left="630"/>
        <w:jc w:val="both"/>
        <w:rPr>
          <w:lang w:val="en-GB"/>
        </w:rPr>
      </w:pPr>
      <w:r w:rsidRPr="003A434D">
        <w:rPr>
          <w:lang w:val="en-GB"/>
        </w:rPr>
        <w:t xml:space="preserve">The maximum threshold </w:t>
      </w:r>
      <w:r w:rsidR="00BB18CD" w:rsidRPr="003A434D">
        <w:rPr>
          <w:lang w:val="en-GB"/>
        </w:rPr>
        <w:t xml:space="preserve">was retained </w:t>
      </w:r>
      <w:r w:rsidRPr="003A434D">
        <w:rPr>
          <w:lang w:val="en-GB"/>
        </w:rPr>
        <w:t>at 20 %;</w:t>
      </w:r>
    </w:p>
    <w:p w:rsidR="00BB18CD" w:rsidRPr="0055182D" w:rsidRDefault="00BB18CD" w:rsidP="00B85CD8">
      <w:pPr>
        <w:pStyle w:val="ListParagraph"/>
        <w:numPr>
          <w:ilvl w:val="0"/>
          <w:numId w:val="20"/>
        </w:numPr>
        <w:spacing w:before="120" w:after="120" w:line="276" w:lineRule="auto"/>
        <w:ind w:left="630"/>
        <w:jc w:val="both"/>
        <w:rPr>
          <w:lang w:val="en-GB"/>
        </w:rPr>
      </w:pPr>
      <w:r w:rsidRPr="0055182D">
        <w:rPr>
          <w:lang w:val="en-GB"/>
        </w:rPr>
        <w:t>All contributions that would decrease compared to MOP6 were frozen at their current amount. This led to a "saving".</w:t>
      </w:r>
    </w:p>
    <w:p w:rsidR="00BB18CD" w:rsidRPr="003A434D" w:rsidRDefault="00BB18CD" w:rsidP="00B85CD8">
      <w:pPr>
        <w:pStyle w:val="ListParagraph"/>
        <w:numPr>
          <w:ilvl w:val="0"/>
          <w:numId w:val="20"/>
        </w:numPr>
        <w:spacing w:before="120" w:after="120" w:line="276" w:lineRule="auto"/>
        <w:ind w:left="630"/>
        <w:jc w:val="both"/>
        <w:rPr>
          <w:lang w:val="en-GB"/>
        </w:rPr>
      </w:pPr>
      <w:r w:rsidRPr="0055182D">
        <w:rPr>
          <w:lang w:val="en-GB"/>
        </w:rPr>
        <w:t xml:space="preserve">The </w:t>
      </w:r>
      <w:r w:rsidR="0055182D" w:rsidRPr="0055182D">
        <w:rPr>
          <w:lang w:val="en-GB"/>
        </w:rPr>
        <w:t>“saving”</w:t>
      </w:r>
      <w:r w:rsidRPr="0055182D">
        <w:rPr>
          <w:lang w:val="en-GB"/>
        </w:rPr>
        <w:t xml:space="preserve"> was used to decrease those Parties' contributions that would otherwise contribute more than 10 % to the total budget; contributions that fell below the amount adopted at MOP6 through this exercise</w:t>
      </w:r>
      <w:r w:rsidRPr="003A434D">
        <w:rPr>
          <w:lang w:val="en-GB"/>
        </w:rPr>
        <w:t xml:space="preserve"> were again frozen and the "saving" was used to further decrease the most affected contributions (i.e. with the highest increase);   </w:t>
      </w:r>
    </w:p>
    <w:p w:rsidR="003A434D" w:rsidRDefault="00D16DC8" w:rsidP="00D16DC8">
      <w:pPr>
        <w:pStyle w:val="ListParagraph"/>
        <w:numPr>
          <w:ilvl w:val="0"/>
          <w:numId w:val="20"/>
        </w:numPr>
        <w:spacing w:before="120" w:after="120" w:line="276" w:lineRule="auto"/>
        <w:ind w:left="630"/>
        <w:jc w:val="both"/>
        <w:rPr>
          <w:lang w:val="en-GB"/>
        </w:rPr>
      </w:pPr>
      <w:r w:rsidRPr="0055182D">
        <w:rPr>
          <w:lang w:val="en-GB"/>
        </w:rPr>
        <w:t>The return to the UN scale of assessments was planned to be implemented through a gradual transitional period consisting of two MOP cycles (six years)</w:t>
      </w:r>
      <w:r>
        <w:rPr>
          <w:lang w:val="en-GB"/>
        </w:rPr>
        <w:t xml:space="preserve">, </w:t>
      </w:r>
      <w:r w:rsidR="003A434D" w:rsidRPr="00D16DC8">
        <w:rPr>
          <w:lang w:val="en-GB"/>
        </w:rPr>
        <w:t>through which the Parties experiencing an increase, see their contributions increase gradually year per year, respectively an increase of 30, 33 and 37 %</w:t>
      </w:r>
      <w:r>
        <w:rPr>
          <w:lang w:val="en-GB"/>
        </w:rPr>
        <w:t>;</w:t>
      </w:r>
    </w:p>
    <w:p w:rsidR="00B20BDE" w:rsidRDefault="00D16DC8" w:rsidP="00B20BDE">
      <w:pPr>
        <w:pStyle w:val="ListParagraph"/>
        <w:numPr>
          <w:ilvl w:val="0"/>
          <w:numId w:val="20"/>
        </w:numPr>
        <w:spacing w:before="120" w:after="120" w:line="276" w:lineRule="auto"/>
        <w:ind w:left="630"/>
        <w:jc w:val="both"/>
        <w:rPr>
          <w:lang w:val="en-GB"/>
        </w:rPr>
      </w:pPr>
      <w:r w:rsidRPr="003A434D">
        <w:rPr>
          <w:lang w:val="en-GB"/>
        </w:rPr>
        <w:t>Contributions from new Parties are directed into the AEWA Trust Fund</w:t>
      </w:r>
      <w:r>
        <w:rPr>
          <w:lang w:val="en-GB"/>
        </w:rPr>
        <w:t>.</w:t>
      </w:r>
    </w:p>
    <w:p w:rsidR="00B20BDE" w:rsidRPr="00B20BDE" w:rsidRDefault="00B20BDE" w:rsidP="00B20BDE">
      <w:pPr>
        <w:spacing w:before="120" w:after="120" w:line="276" w:lineRule="auto"/>
        <w:jc w:val="both"/>
        <w:rPr>
          <w:lang w:val="en-GB"/>
        </w:rPr>
      </w:pPr>
      <w:r w:rsidRPr="00B20BDE">
        <w:rPr>
          <w:lang w:val="en-GB"/>
        </w:rPr>
        <w:t xml:space="preserve">Calculations were made on basis of the UN Scale of assessments for the apportionment of the expenses of the United Nations for the period 2015-2018, which was </w:t>
      </w:r>
      <w:r>
        <w:rPr>
          <w:lang w:val="en-GB"/>
        </w:rPr>
        <w:t xml:space="preserve">the </w:t>
      </w:r>
      <w:r w:rsidR="00DF4CAC">
        <w:rPr>
          <w:lang w:val="en-GB"/>
        </w:rPr>
        <w:t xml:space="preserve">currently </w:t>
      </w:r>
      <w:r>
        <w:rPr>
          <w:lang w:val="en-GB"/>
        </w:rPr>
        <w:t>valid version at the time of MOP7. Th</w:t>
      </w:r>
      <w:r w:rsidR="00DF4CAC">
        <w:rPr>
          <w:lang w:val="en-GB"/>
        </w:rPr>
        <w:t>e question whether the UN Scale for</w:t>
      </w:r>
      <w:r>
        <w:rPr>
          <w:lang w:val="en-GB"/>
        </w:rPr>
        <w:t xml:space="preserve"> 2015-2018 or the new </w:t>
      </w:r>
      <w:r w:rsidR="00D82E65">
        <w:rPr>
          <w:lang w:val="en-GB"/>
        </w:rPr>
        <w:t xml:space="preserve">(draft) </w:t>
      </w:r>
      <w:r w:rsidR="00DF4CAC">
        <w:rPr>
          <w:lang w:val="en-GB"/>
        </w:rPr>
        <w:t>Scale</w:t>
      </w:r>
      <w:r>
        <w:rPr>
          <w:lang w:val="en-GB"/>
        </w:rPr>
        <w:t xml:space="preserve"> for 2019-2021 (which was not adopted </w:t>
      </w:r>
      <w:r w:rsidR="00D82E65">
        <w:rPr>
          <w:lang w:val="en-GB"/>
        </w:rPr>
        <w:t xml:space="preserve">yet </w:t>
      </w:r>
      <w:r>
        <w:rPr>
          <w:lang w:val="en-GB"/>
        </w:rPr>
        <w:t xml:space="preserve">at the time of MOP7) </w:t>
      </w:r>
      <w:r w:rsidR="00DF4CAC">
        <w:rPr>
          <w:lang w:val="en-GB"/>
        </w:rPr>
        <w:t>should be used as basis for the AEWA scale of contributions has</w:t>
      </w:r>
      <w:r w:rsidR="00D82E65">
        <w:rPr>
          <w:lang w:val="en-GB"/>
        </w:rPr>
        <w:t xml:space="preserve"> been</w:t>
      </w:r>
      <w:r w:rsidR="00DF4CAC">
        <w:rPr>
          <w:lang w:val="en-GB"/>
        </w:rPr>
        <w:t xml:space="preserve"> discussed controversially</w:t>
      </w:r>
      <w:r>
        <w:rPr>
          <w:lang w:val="en-GB"/>
        </w:rPr>
        <w:t xml:space="preserve"> in the MOP7 Working Group on administrative and financial matters.  </w:t>
      </w:r>
    </w:p>
    <w:p w:rsidR="00F26648" w:rsidRDefault="00F26648" w:rsidP="00B85CD8">
      <w:pPr>
        <w:spacing w:line="276" w:lineRule="auto"/>
        <w:jc w:val="both"/>
        <w:rPr>
          <w:lang w:val="en-GB"/>
        </w:rPr>
      </w:pPr>
    </w:p>
    <w:p w:rsidR="00D41D0D" w:rsidRPr="00FA6102" w:rsidRDefault="00D41D0D" w:rsidP="00B85CD8">
      <w:pPr>
        <w:spacing w:line="276" w:lineRule="auto"/>
        <w:jc w:val="both"/>
        <w:rPr>
          <w:lang w:val="en-GB"/>
        </w:rPr>
      </w:pPr>
    </w:p>
    <w:p w:rsidR="00F26648" w:rsidRPr="00A210C0" w:rsidRDefault="00F26648" w:rsidP="00F26648">
      <w:pPr>
        <w:pStyle w:val="ListParagraph"/>
        <w:numPr>
          <w:ilvl w:val="0"/>
          <w:numId w:val="19"/>
        </w:numPr>
        <w:shd w:val="clear" w:color="auto" w:fill="D9D9D9" w:themeFill="background1" w:themeFillShade="D9"/>
        <w:spacing w:line="276" w:lineRule="auto"/>
        <w:ind w:left="270" w:hanging="270"/>
        <w:jc w:val="both"/>
        <w:rPr>
          <w:b/>
          <w:lang w:val="en-GB"/>
        </w:rPr>
      </w:pPr>
      <w:r w:rsidRPr="00A210C0">
        <w:rPr>
          <w:b/>
          <w:lang w:val="en-GB"/>
        </w:rPr>
        <w:t>Method applied to develop the scale of contributions for 20</w:t>
      </w:r>
      <w:r w:rsidR="000C3F92">
        <w:rPr>
          <w:b/>
          <w:lang w:val="en-GB"/>
        </w:rPr>
        <w:t>22</w:t>
      </w:r>
      <w:r w:rsidRPr="00A210C0">
        <w:rPr>
          <w:b/>
          <w:lang w:val="en-GB"/>
        </w:rPr>
        <w:t>-202</w:t>
      </w:r>
      <w:r w:rsidR="000C3F92">
        <w:rPr>
          <w:b/>
          <w:lang w:val="en-GB"/>
        </w:rPr>
        <w:t>4</w:t>
      </w:r>
    </w:p>
    <w:p w:rsidR="00F26648" w:rsidRPr="00FA6102" w:rsidRDefault="00F26648" w:rsidP="00F26648">
      <w:pPr>
        <w:spacing w:line="276" w:lineRule="auto"/>
        <w:jc w:val="both"/>
        <w:rPr>
          <w:lang w:val="en-GB"/>
        </w:rPr>
      </w:pPr>
    </w:p>
    <w:p w:rsidR="00752CEC" w:rsidRDefault="00E36630" w:rsidP="00752CEC">
      <w:pPr>
        <w:jc w:val="both"/>
        <w:rPr>
          <w:lang w:val="en-GB"/>
        </w:rPr>
      </w:pPr>
      <w:r w:rsidRPr="00E36630">
        <w:rPr>
          <w:lang w:val="en-GB"/>
        </w:rPr>
        <w:t xml:space="preserve">Annex 1 </w:t>
      </w:r>
      <w:r>
        <w:rPr>
          <w:lang w:val="en-GB"/>
        </w:rPr>
        <w:t xml:space="preserve">provides a table reflecting the Parties contributions </w:t>
      </w:r>
      <w:r w:rsidRPr="00E36630">
        <w:rPr>
          <w:lang w:val="en-GB"/>
        </w:rPr>
        <w:t>for 2022-2024</w:t>
      </w:r>
      <w:r w:rsidR="00752CEC">
        <w:rPr>
          <w:lang w:val="en-GB"/>
        </w:rPr>
        <w:t xml:space="preserve"> </w:t>
      </w:r>
      <w:r w:rsidR="00CC2E9A">
        <w:rPr>
          <w:lang w:val="en-GB"/>
        </w:rPr>
        <w:t xml:space="preserve">(zero nominal growth) </w:t>
      </w:r>
      <w:r w:rsidR="00752CEC">
        <w:rPr>
          <w:lang w:val="en-GB"/>
        </w:rPr>
        <w:t>on basis of the same criteria and methods applied for 2019-2021 with following corrections, in order to fully return to the UN scale of assessments:</w:t>
      </w:r>
    </w:p>
    <w:p w:rsidR="00D82E65" w:rsidRDefault="00D82E65" w:rsidP="00752CEC">
      <w:pPr>
        <w:jc w:val="both"/>
        <w:rPr>
          <w:lang w:val="en-GB"/>
        </w:rPr>
      </w:pPr>
    </w:p>
    <w:p w:rsidR="00752CEC" w:rsidRDefault="00752CEC" w:rsidP="00D41D0D">
      <w:pPr>
        <w:pStyle w:val="ListParagraph"/>
        <w:numPr>
          <w:ilvl w:val="0"/>
          <w:numId w:val="24"/>
        </w:numPr>
        <w:spacing w:before="120" w:after="120" w:line="276" w:lineRule="auto"/>
        <w:ind w:left="630"/>
        <w:jc w:val="both"/>
        <w:rPr>
          <w:lang w:val="en-GB"/>
        </w:rPr>
      </w:pPr>
      <w:r>
        <w:rPr>
          <w:lang w:val="en-GB"/>
        </w:rPr>
        <w:t>The contributions that would decrease compared to MOP7 were not frozen;</w:t>
      </w:r>
    </w:p>
    <w:p w:rsidR="00BB400D" w:rsidRDefault="00752CEC" w:rsidP="00BB400D">
      <w:pPr>
        <w:pStyle w:val="ListParagraph"/>
        <w:numPr>
          <w:ilvl w:val="0"/>
          <w:numId w:val="24"/>
        </w:numPr>
        <w:spacing w:before="120" w:after="120" w:line="276" w:lineRule="auto"/>
        <w:ind w:left="630"/>
        <w:jc w:val="both"/>
        <w:rPr>
          <w:lang w:val="en-GB"/>
        </w:rPr>
      </w:pPr>
      <w:r>
        <w:rPr>
          <w:lang w:val="en-GB"/>
        </w:rPr>
        <w:t>The contributions of Parties that contribute more than 10 % to the total budget were not decreased; however, t</w:t>
      </w:r>
      <w:r w:rsidRPr="00752CEC">
        <w:rPr>
          <w:lang w:val="en-GB"/>
        </w:rPr>
        <w:t>he threshold of 20 % for the maximum contributions stays valid.</w:t>
      </w:r>
      <w:r w:rsidR="00D82E65">
        <w:rPr>
          <w:lang w:val="en-GB"/>
        </w:rPr>
        <w:t xml:space="preserve"> </w:t>
      </w:r>
      <w:r w:rsidR="00D82E65">
        <w:rPr>
          <w:lang w:val="en-GB"/>
        </w:rPr>
        <w:lastRenderedPageBreak/>
        <w:t>Contributions were not increased gradually; the an</w:t>
      </w:r>
      <w:r w:rsidR="00CC2E9A">
        <w:rPr>
          <w:lang w:val="en-GB"/>
        </w:rPr>
        <w:t>nual contributions reflect 33</w:t>
      </w:r>
      <w:r w:rsidR="00D82E65">
        <w:rPr>
          <w:lang w:val="en-GB"/>
        </w:rPr>
        <w:t xml:space="preserve"> %</w:t>
      </w:r>
      <w:r w:rsidR="00CC2E9A">
        <w:rPr>
          <w:lang w:val="en-GB"/>
        </w:rPr>
        <w:t xml:space="preserve">, 33 % and 34 % </w:t>
      </w:r>
      <w:r w:rsidR="00D82E65">
        <w:rPr>
          <w:lang w:val="en-GB"/>
        </w:rPr>
        <w:t>of the total triennial due</w:t>
      </w:r>
      <w:r w:rsidR="00CC2E9A">
        <w:rPr>
          <w:lang w:val="en-GB"/>
        </w:rPr>
        <w:t xml:space="preserve"> respectively</w:t>
      </w:r>
      <w:r w:rsidR="00D82E65">
        <w:rPr>
          <w:lang w:val="en-GB"/>
        </w:rPr>
        <w:t xml:space="preserve">, which prevents a decrease in 2022 compared to 2021 in case of </w:t>
      </w:r>
      <w:proofErr w:type="gramStart"/>
      <w:r w:rsidR="00D82E65">
        <w:rPr>
          <w:lang w:val="en-GB"/>
        </w:rPr>
        <w:t>a number of</w:t>
      </w:r>
      <w:proofErr w:type="gramEnd"/>
      <w:r w:rsidR="00D82E65">
        <w:rPr>
          <w:lang w:val="en-GB"/>
        </w:rPr>
        <w:t xml:space="preserve"> Parties. </w:t>
      </w:r>
    </w:p>
    <w:p w:rsidR="00BB400D" w:rsidRPr="00BB400D" w:rsidRDefault="00BB400D" w:rsidP="00BB400D">
      <w:pPr>
        <w:pStyle w:val="ListParagraph"/>
        <w:spacing w:before="120" w:after="120" w:line="276" w:lineRule="auto"/>
        <w:ind w:left="0"/>
        <w:jc w:val="both"/>
        <w:rPr>
          <w:lang w:val="en-GB"/>
        </w:rPr>
      </w:pPr>
      <w:r w:rsidRPr="00BB400D">
        <w:rPr>
          <w:lang w:val="en-GB"/>
        </w:rPr>
        <w:t>The criteria and methods described under a) – d) and g) were fully applied</w:t>
      </w:r>
      <w:r>
        <w:rPr>
          <w:lang w:val="en-GB"/>
        </w:rPr>
        <w:t>.</w:t>
      </w:r>
    </w:p>
    <w:p w:rsidR="00BB400D" w:rsidRDefault="00BB400D" w:rsidP="00D41D0D">
      <w:pPr>
        <w:jc w:val="both"/>
      </w:pPr>
    </w:p>
    <w:p w:rsidR="00D82E65" w:rsidRDefault="00BB400D" w:rsidP="00D41D0D">
      <w:pPr>
        <w:jc w:val="both"/>
      </w:pPr>
      <w:r>
        <w:t>Finally, a</w:t>
      </w:r>
      <w:r w:rsidR="00752CEC">
        <w:t xml:space="preserve">ll calculations were made on basis of the </w:t>
      </w:r>
      <w:r w:rsidR="00E36630" w:rsidRPr="00E36630">
        <w:t xml:space="preserve">UN Scale of assessments for the apportionment of the expenses of the United Nations for the period 2019-2021, as adopted through Resolution 73/271 on 22 December 2018. </w:t>
      </w:r>
      <w:r w:rsidR="00D41D0D">
        <w:t xml:space="preserve">Moreover, </w:t>
      </w:r>
      <w:r w:rsidR="00D82E65">
        <w:t>to facilitate a comparison with the running scale of contributions</w:t>
      </w:r>
      <w:r>
        <w:t>,</w:t>
      </w:r>
      <w:r w:rsidR="00D82E65">
        <w:t xml:space="preserve"> </w:t>
      </w:r>
      <w:r w:rsidR="00D41D0D">
        <w:t>the Secretariat worked on a zero nominal growth basis, thus using the current budget 2019-2021</w:t>
      </w:r>
      <w:r>
        <w:t xml:space="preserve"> as adopted by MOP7</w:t>
      </w:r>
      <w:r w:rsidR="00D41D0D">
        <w:t>.</w:t>
      </w:r>
    </w:p>
    <w:p w:rsidR="00D82E65" w:rsidRDefault="00D82E65" w:rsidP="00D41D0D">
      <w:pPr>
        <w:jc w:val="both"/>
      </w:pPr>
    </w:p>
    <w:p w:rsidR="00CC2E9A" w:rsidRDefault="00D82E65" w:rsidP="00D41D0D">
      <w:pPr>
        <w:jc w:val="both"/>
      </w:pPr>
      <w:r>
        <w:t xml:space="preserve">The Secretariat foresees a discussion at MOP8 with respect to the UN Scale of assessment to be used for calculations. As it was the case at MOP7, the scale valid at the time of discussion will be the </w:t>
      </w:r>
      <w:r w:rsidR="00BB400D">
        <w:t>UN Scale for 2019-2021</w:t>
      </w:r>
      <w:r>
        <w:t xml:space="preserve">, which will be replaced in January 2022 by the new scale for 2022-2024. However, this new scale will not be adopted yet at the time of MOP8. A solution could be to </w:t>
      </w:r>
      <w:r w:rsidR="008C56CF">
        <w:t xml:space="preserve">follow the decision taken by </w:t>
      </w:r>
      <w:r w:rsidR="00BB400D">
        <w:t xml:space="preserve">e.g. </w:t>
      </w:r>
      <w:r w:rsidR="008C56CF">
        <w:t xml:space="preserve">Eurobats Parties and to </w:t>
      </w:r>
      <w:r>
        <w:t>adopt a scale on basis of the valid UN scale</w:t>
      </w:r>
      <w:r w:rsidR="00BB400D">
        <w:t xml:space="preserve"> (2019-2021)</w:t>
      </w:r>
      <w:r>
        <w:t>, subject to revis</w:t>
      </w:r>
      <w:r w:rsidR="008C56CF">
        <w:t>i</w:t>
      </w:r>
      <w:r>
        <w:t>on by the Sec</w:t>
      </w:r>
      <w:r w:rsidR="008C56CF">
        <w:t>retariat as soon as the UN scale for 2022-2024 will become available.</w:t>
      </w:r>
    </w:p>
    <w:p w:rsidR="00CC2E9A" w:rsidRDefault="00CC2E9A" w:rsidP="00D41D0D">
      <w:pPr>
        <w:jc w:val="both"/>
      </w:pPr>
    </w:p>
    <w:p w:rsidR="00CC2E9A" w:rsidRDefault="00CC2E9A" w:rsidP="00D41D0D">
      <w:pPr>
        <w:jc w:val="both"/>
      </w:pPr>
    </w:p>
    <w:p w:rsidR="00E36630" w:rsidRPr="00E36630" w:rsidRDefault="00CC2E9A" w:rsidP="00D41D0D">
      <w:pPr>
        <w:jc w:val="both"/>
        <w:rPr>
          <w:b/>
          <w:lang w:val="en-GB"/>
        </w:rPr>
      </w:pPr>
      <w:r>
        <w:t>Annex 2 provides a table reflecting the same exercise</w:t>
      </w:r>
      <w:r w:rsidR="00BB400D">
        <w:t xml:space="preserve"> as described above</w:t>
      </w:r>
      <w:r>
        <w:t>, but as real growth scenario (MOP7 budget + inflation).</w:t>
      </w:r>
      <w:r w:rsidR="00E36630" w:rsidRPr="00E36630">
        <w:rPr>
          <w:b/>
          <w:lang w:val="en-GB"/>
        </w:rPr>
        <w:br w:type="page"/>
      </w:r>
    </w:p>
    <w:p w:rsidR="00F26648" w:rsidRDefault="00F26648" w:rsidP="00C74AAD">
      <w:pPr>
        <w:jc w:val="center"/>
        <w:rPr>
          <w:b/>
          <w:lang w:val="en-GB"/>
        </w:rPr>
      </w:pPr>
      <w:r>
        <w:rPr>
          <w:b/>
          <w:lang w:val="en-GB"/>
        </w:rPr>
        <w:lastRenderedPageBreak/>
        <w:t>ANNEX 1</w:t>
      </w:r>
    </w:p>
    <w:p w:rsidR="00F26648" w:rsidRDefault="00F26648" w:rsidP="00C74AAD">
      <w:pPr>
        <w:jc w:val="center"/>
        <w:rPr>
          <w:b/>
          <w:lang w:val="en-GB"/>
        </w:rPr>
      </w:pPr>
    </w:p>
    <w:p w:rsidR="00C74AAD" w:rsidRDefault="00A037E7" w:rsidP="00C74AAD">
      <w:pPr>
        <w:jc w:val="center"/>
        <w:rPr>
          <w:b/>
          <w:lang w:val="en-GB"/>
        </w:rPr>
      </w:pPr>
      <w:r w:rsidRPr="00A037E7">
        <w:rPr>
          <w:b/>
          <w:lang w:val="en-GB"/>
        </w:rPr>
        <w:t>S</w:t>
      </w:r>
      <w:r w:rsidR="00C74AAD">
        <w:rPr>
          <w:b/>
          <w:lang w:val="en-GB"/>
        </w:rPr>
        <w:t xml:space="preserve">CALE OF CONTRIBUTIONS FOR </w:t>
      </w:r>
      <w:r w:rsidRPr="00A037E7">
        <w:rPr>
          <w:b/>
          <w:lang w:val="en-GB"/>
        </w:rPr>
        <w:t>2022-202</w:t>
      </w:r>
      <w:r w:rsidR="00C74AAD">
        <w:rPr>
          <w:b/>
          <w:lang w:val="en-GB"/>
        </w:rPr>
        <w:t>4</w:t>
      </w:r>
      <w:r w:rsidR="00A950B9">
        <w:rPr>
          <w:b/>
          <w:lang w:val="en-GB"/>
        </w:rPr>
        <w:t xml:space="preserve"> (zero nominal growth)</w:t>
      </w:r>
      <w:r w:rsidR="00C74AAD">
        <w:rPr>
          <w:rStyle w:val="FootnoteReference"/>
          <w:b/>
          <w:lang w:val="en-GB"/>
        </w:rPr>
        <w:footnoteReference w:id="1"/>
      </w:r>
    </w:p>
    <w:p w:rsidR="000863F6" w:rsidRDefault="000863F6" w:rsidP="00C74AAD">
      <w:pPr>
        <w:jc w:val="center"/>
        <w:rPr>
          <w:b/>
          <w:lang w:val="en-GB"/>
        </w:rPr>
      </w:pPr>
    </w:p>
    <w:p w:rsidR="00C74AAD" w:rsidRDefault="000863F6" w:rsidP="00C74AAD">
      <w:pPr>
        <w:jc w:val="center"/>
        <w:rPr>
          <w:b/>
          <w:lang w:val="en-GB"/>
        </w:rPr>
      </w:pPr>
      <w:r w:rsidRPr="000863F6">
        <w:drawing>
          <wp:inline distT="0" distB="0" distL="0" distR="0">
            <wp:extent cx="6120765" cy="331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331470"/>
                    </a:xfrm>
                    <a:prstGeom prst="rect">
                      <a:avLst/>
                    </a:prstGeom>
                    <a:noFill/>
                    <a:ln>
                      <a:noFill/>
                    </a:ln>
                  </pic:spPr>
                </pic:pic>
              </a:graphicData>
            </a:graphic>
          </wp:inline>
        </w:drawing>
      </w:r>
    </w:p>
    <w:p w:rsidR="00A037E7" w:rsidRDefault="00A950B9" w:rsidP="00A037E7">
      <w:pPr>
        <w:jc w:val="both"/>
        <w:rPr>
          <w:lang w:val="en-GB"/>
        </w:rPr>
      </w:pPr>
      <w:r w:rsidRPr="00A950B9">
        <w:rPr>
          <w:noProof/>
          <w:lang w:val="de-DE" w:eastAsia="de-DE"/>
        </w:rPr>
        <w:drawing>
          <wp:inline distT="0" distB="0" distL="0" distR="0">
            <wp:extent cx="6119377" cy="6471920"/>
            <wp:effectExtent l="1905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6120765" cy="6473388"/>
                    </a:xfrm>
                    <a:prstGeom prst="rect">
                      <a:avLst/>
                    </a:prstGeom>
                    <a:noFill/>
                    <a:ln w="9525">
                      <a:noFill/>
                      <a:miter lim="800000"/>
                      <a:headEnd/>
                      <a:tailEnd/>
                    </a:ln>
                  </pic:spPr>
                </pic:pic>
              </a:graphicData>
            </a:graphic>
          </wp:inline>
        </w:drawing>
      </w:r>
    </w:p>
    <w:p w:rsidR="00A037E7" w:rsidRDefault="00A037E7" w:rsidP="00A037E7">
      <w:pPr>
        <w:jc w:val="both"/>
        <w:rPr>
          <w:lang w:val="en-GB"/>
        </w:rPr>
      </w:pPr>
    </w:p>
    <w:p w:rsidR="00A950B9" w:rsidRDefault="00A950B9" w:rsidP="00A037E7">
      <w:pPr>
        <w:jc w:val="both"/>
        <w:rPr>
          <w:lang w:val="en-GB"/>
        </w:rPr>
      </w:pPr>
    </w:p>
    <w:p w:rsidR="00A950B9" w:rsidRDefault="00A950B9" w:rsidP="00A037E7">
      <w:pPr>
        <w:jc w:val="both"/>
        <w:rPr>
          <w:lang w:val="en-GB"/>
        </w:rPr>
      </w:pPr>
    </w:p>
    <w:p w:rsidR="00A950B9" w:rsidRDefault="00A950B9" w:rsidP="00A037E7">
      <w:pPr>
        <w:jc w:val="both"/>
        <w:rPr>
          <w:lang w:val="en-GB"/>
        </w:rPr>
      </w:pPr>
    </w:p>
    <w:p w:rsidR="00A950B9" w:rsidRDefault="00A950B9" w:rsidP="00A037E7">
      <w:pPr>
        <w:jc w:val="both"/>
        <w:rPr>
          <w:lang w:val="en-GB"/>
        </w:rPr>
      </w:pPr>
    </w:p>
    <w:p w:rsidR="00A950B9" w:rsidRDefault="00A950B9" w:rsidP="00A037E7">
      <w:pPr>
        <w:jc w:val="both"/>
        <w:rPr>
          <w:lang w:val="en-GB"/>
        </w:rPr>
      </w:pPr>
    </w:p>
    <w:p w:rsidR="00A950B9" w:rsidRDefault="00A950B9" w:rsidP="00A037E7">
      <w:pPr>
        <w:jc w:val="both"/>
        <w:rPr>
          <w:lang w:val="en-GB"/>
        </w:rPr>
      </w:pPr>
    </w:p>
    <w:p w:rsidR="00A950B9" w:rsidRDefault="00A950B9" w:rsidP="00A037E7">
      <w:pPr>
        <w:jc w:val="both"/>
        <w:rPr>
          <w:lang w:val="en-GB"/>
        </w:rPr>
      </w:pPr>
    </w:p>
    <w:p w:rsidR="00A950B9" w:rsidRDefault="00A950B9" w:rsidP="00A037E7">
      <w:pPr>
        <w:jc w:val="both"/>
        <w:rPr>
          <w:lang w:val="en-GB"/>
        </w:rPr>
      </w:pPr>
    </w:p>
    <w:p w:rsidR="00A950B9" w:rsidRDefault="00A950B9" w:rsidP="00A037E7">
      <w:pPr>
        <w:jc w:val="both"/>
        <w:rPr>
          <w:lang w:val="en-GB"/>
        </w:rPr>
      </w:pPr>
    </w:p>
    <w:p w:rsidR="00A950B9" w:rsidRDefault="000863F6" w:rsidP="00A037E7">
      <w:pPr>
        <w:jc w:val="both"/>
        <w:rPr>
          <w:lang w:val="en-GB"/>
        </w:rPr>
      </w:pPr>
      <w:r w:rsidRPr="000863F6">
        <w:drawing>
          <wp:inline distT="0" distB="0" distL="0" distR="0">
            <wp:extent cx="6120765" cy="331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31470"/>
                    </a:xfrm>
                    <a:prstGeom prst="rect">
                      <a:avLst/>
                    </a:prstGeom>
                    <a:noFill/>
                    <a:ln>
                      <a:noFill/>
                    </a:ln>
                  </pic:spPr>
                </pic:pic>
              </a:graphicData>
            </a:graphic>
          </wp:inline>
        </w:drawing>
      </w:r>
      <w:r w:rsidRPr="000863F6">
        <w:drawing>
          <wp:inline distT="0" distB="0" distL="0" distR="0">
            <wp:extent cx="6120765" cy="647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6476365"/>
                    </a:xfrm>
                    <a:prstGeom prst="rect">
                      <a:avLst/>
                    </a:prstGeom>
                    <a:noFill/>
                    <a:ln>
                      <a:noFill/>
                    </a:ln>
                  </pic:spPr>
                </pic:pic>
              </a:graphicData>
            </a:graphic>
          </wp:inline>
        </w:drawing>
      </w:r>
    </w:p>
    <w:p w:rsidR="00A950B9" w:rsidRDefault="00A950B9" w:rsidP="00A037E7">
      <w:pPr>
        <w:jc w:val="both"/>
        <w:rPr>
          <w:lang w:val="en-GB"/>
        </w:rPr>
      </w:pPr>
    </w:p>
    <w:p w:rsidR="00A037E7" w:rsidRDefault="00A037E7" w:rsidP="00A037E7">
      <w:pPr>
        <w:jc w:val="both"/>
        <w:rPr>
          <w:lang w:val="en-GB"/>
        </w:rPr>
      </w:pPr>
    </w:p>
    <w:p w:rsidR="00700178" w:rsidRDefault="00700178" w:rsidP="00A037E7">
      <w:pPr>
        <w:jc w:val="both"/>
        <w:rPr>
          <w:lang w:val="en-GB"/>
        </w:rPr>
      </w:pPr>
    </w:p>
    <w:p w:rsidR="00700178" w:rsidRPr="007463A4" w:rsidRDefault="00700178" w:rsidP="00A037E7">
      <w:pPr>
        <w:jc w:val="both"/>
        <w:rPr>
          <w:noProof/>
          <w:lang w:eastAsia="de-DE"/>
        </w:rPr>
      </w:pPr>
      <w:r w:rsidRPr="00700178">
        <w:rPr>
          <w:lang w:val="en-GB"/>
        </w:rPr>
        <w:t xml:space="preserve"> </w:t>
      </w:r>
    </w:p>
    <w:p w:rsidR="00A950B9" w:rsidRPr="007463A4" w:rsidRDefault="00A950B9" w:rsidP="00A037E7">
      <w:pPr>
        <w:jc w:val="both"/>
        <w:rPr>
          <w:noProof/>
          <w:lang w:eastAsia="de-DE"/>
        </w:rPr>
      </w:pPr>
    </w:p>
    <w:p w:rsidR="00A950B9" w:rsidRPr="007463A4" w:rsidRDefault="00A950B9" w:rsidP="00A037E7">
      <w:pPr>
        <w:jc w:val="both"/>
        <w:rPr>
          <w:noProof/>
          <w:lang w:eastAsia="de-DE"/>
        </w:rPr>
      </w:pPr>
    </w:p>
    <w:p w:rsidR="00A950B9" w:rsidRPr="007463A4" w:rsidRDefault="00A950B9" w:rsidP="00A037E7">
      <w:pPr>
        <w:jc w:val="both"/>
        <w:rPr>
          <w:noProof/>
          <w:lang w:eastAsia="de-DE"/>
        </w:rPr>
      </w:pPr>
    </w:p>
    <w:p w:rsidR="00A950B9" w:rsidRPr="007463A4" w:rsidRDefault="00A950B9" w:rsidP="00A037E7">
      <w:pPr>
        <w:jc w:val="both"/>
        <w:rPr>
          <w:noProof/>
          <w:lang w:eastAsia="de-DE"/>
        </w:rPr>
      </w:pPr>
    </w:p>
    <w:p w:rsidR="00A950B9" w:rsidRPr="007463A4" w:rsidRDefault="00A950B9" w:rsidP="00A037E7">
      <w:pPr>
        <w:jc w:val="both"/>
        <w:rPr>
          <w:noProof/>
          <w:lang w:eastAsia="de-DE"/>
        </w:rPr>
      </w:pPr>
    </w:p>
    <w:p w:rsidR="00A950B9" w:rsidRPr="007463A4" w:rsidRDefault="00A950B9" w:rsidP="00A037E7">
      <w:pPr>
        <w:jc w:val="both"/>
        <w:rPr>
          <w:noProof/>
          <w:lang w:eastAsia="de-DE"/>
        </w:rPr>
      </w:pPr>
    </w:p>
    <w:p w:rsidR="00A950B9" w:rsidRPr="007463A4" w:rsidRDefault="00A950B9" w:rsidP="00A037E7">
      <w:pPr>
        <w:jc w:val="both"/>
        <w:rPr>
          <w:noProof/>
          <w:lang w:eastAsia="de-DE"/>
        </w:rPr>
      </w:pPr>
    </w:p>
    <w:p w:rsidR="00A950B9" w:rsidRPr="007463A4" w:rsidRDefault="00A950B9" w:rsidP="00A037E7">
      <w:pPr>
        <w:jc w:val="both"/>
        <w:rPr>
          <w:noProof/>
          <w:lang w:eastAsia="de-DE"/>
        </w:rPr>
      </w:pPr>
    </w:p>
    <w:p w:rsidR="00A950B9" w:rsidRPr="007463A4" w:rsidRDefault="00A950B9" w:rsidP="00A037E7">
      <w:pPr>
        <w:jc w:val="both"/>
        <w:rPr>
          <w:noProof/>
          <w:lang w:eastAsia="de-DE"/>
        </w:rPr>
      </w:pPr>
    </w:p>
    <w:p w:rsidR="005801AD" w:rsidRPr="007463A4" w:rsidRDefault="005801AD" w:rsidP="00A950B9">
      <w:pPr>
        <w:jc w:val="center"/>
        <w:rPr>
          <w:b/>
          <w:noProof/>
          <w:lang w:eastAsia="de-DE"/>
        </w:rPr>
      </w:pPr>
    </w:p>
    <w:p w:rsidR="00A950B9" w:rsidRPr="007463A4" w:rsidRDefault="00A950B9" w:rsidP="00A950B9">
      <w:pPr>
        <w:jc w:val="center"/>
        <w:rPr>
          <w:b/>
          <w:noProof/>
          <w:lang w:eastAsia="de-DE"/>
        </w:rPr>
      </w:pPr>
      <w:r w:rsidRPr="007463A4">
        <w:rPr>
          <w:b/>
          <w:noProof/>
          <w:lang w:eastAsia="de-DE"/>
        </w:rPr>
        <w:t>ANNEX 2</w:t>
      </w:r>
    </w:p>
    <w:p w:rsidR="00A950B9" w:rsidRPr="007463A4" w:rsidRDefault="00A950B9" w:rsidP="00A950B9">
      <w:pPr>
        <w:jc w:val="center"/>
        <w:rPr>
          <w:b/>
          <w:noProof/>
          <w:lang w:eastAsia="de-DE"/>
        </w:rPr>
      </w:pPr>
    </w:p>
    <w:p w:rsidR="00A950B9" w:rsidRDefault="00A950B9" w:rsidP="00A950B9">
      <w:pPr>
        <w:jc w:val="center"/>
        <w:rPr>
          <w:b/>
          <w:lang w:val="en-GB"/>
        </w:rPr>
      </w:pPr>
      <w:r w:rsidRPr="00A037E7">
        <w:rPr>
          <w:b/>
          <w:lang w:val="en-GB"/>
        </w:rPr>
        <w:t>S</w:t>
      </w:r>
      <w:r>
        <w:rPr>
          <w:b/>
          <w:lang w:val="en-GB"/>
        </w:rPr>
        <w:t xml:space="preserve">CALE OF CONTRIBUTIONS FOR </w:t>
      </w:r>
      <w:r w:rsidRPr="00A037E7">
        <w:rPr>
          <w:b/>
          <w:lang w:val="en-GB"/>
        </w:rPr>
        <w:t>2022-202</w:t>
      </w:r>
      <w:r>
        <w:rPr>
          <w:b/>
          <w:lang w:val="en-GB"/>
        </w:rPr>
        <w:t>4 (real nominal growth)</w:t>
      </w:r>
      <w:r>
        <w:rPr>
          <w:rStyle w:val="FootnoteReference"/>
          <w:b/>
          <w:lang w:val="en-GB"/>
        </w:rPr>
        <w:footnoteReference w:id="2"/>
      </w:r>
    </w:p>
    <w:p w:rsidR="00A950B9" w:rsidRDefault="00A950B9" w:rsidP="00A950B9">
      <w:pPr>
        <w:jc w:val="center"/>
        <w:rPr>
          <w:b/>
          <w:lang w:val="en-GB"/>
        </w:rPr>
      </w:pPr>
    </w:p>
    <w:p w:rsidR="00A950B9" w:rsidRDefault="000863F6" w:rsidP="00A950B9">
      <w:pPr>
        <w:jc w:val="center"/>
        <w:rPr>
          <w:b/>
          <w:lang w:val="en-GB"/>
        </w:rPr>
      </w:pPr>
      <w:r w:rsidRPr="000863F6">
        <w:drawing>
          <wp:inline distT="0" distB="0" distL="0" distR="0">
            <wp:extent cx="6139815" cy="334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9815" cy="334010"/>
                    </a:xfrm>
                    <a:prstGeom prst="rect">
                      <a:avLst/>
                    </a:prstGeom>
                    <a:noFill/>
                    <a:ln>
                      <a:noFill/>
                    </a:ln>
                  </pic:spPr>
                </pic:pic>
              </a:graphicData>
            </a:graphic>
          </wp:inline>
        </w:drawing>
      </w:r>
      <w:r w:rsidR="00A950B9" w:rsidRPr="00A950B9">
        <w:rPr>
          <w:noProof/>
          <w:lang w:val="de-DE" w:eastAsia="de-DE"/>
        </w:rPr>
        <w:drawing>
          <wp:inline distT="0" distB="0" distL="0" distR="0">
            <wp:extent cx="6120765" cy="6492539"/>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120765" cy="6492539"/>
                    </a:xfrm>
                    <a:prstGeom prst="rect">
                      <a:avLst/>
                    </a:prstGeom>
                    <a:noFill/>
                    <a:ln w="9525">
                      <a:noFill/>
                      <a:miter lim="800000"/>
                      <a:headEnd/>
                      <a:tailEnd/>
                    </a:ln>
                  </pic:spPr>
                </pic:pic>
              </a:graphicData>
            </a:graphic>
          </wp:inline>
        </w:drawing>
      </w:r>
    </w:p>
    <w:p w:rsidR="00A950B9" w:rsidRDefault="00A950B9" w:rsidP="00A950B9">
      <w:pPr>
        <w:jc w:val="center"/>
        <w:rPr>
          <w:b/>
          <w:lang w:val="en-GB"/>
        </w:rPr>
      </w:pPr>
    </w:p>
    <w:p w:rsidR="00A950B9" w:rsidRDefault="00A950B9" w:rsidP="00A950B9">
      <w:pPr>
        <w:jc w:val="center"/>
        <w:rPr>
          <w:b/>
          <w:lang w:val="en-GB"/>
        </w:rPr>
      </w:pPr>
    </w:p>
    <w:p w:rsidR="00A950B9" w:rsidRDefault="00A950B9" w:rsidP="00A950B9">
      <w:pPr>
        <w:jc w:val="center"/>
        <w:rPr>
          <w:b/>
          <w:lang w:val="en-GB"/>
        </w:rPr>
      </w:pPr>
    </w:p>
    <w:p w:rsidR="00A950B9" w:rsidRDefault="00A950B9" w:rsidP="00A950B9">
      <w:pPr>
        <w:jc w:val="center"/>
        <w:rPr>
          <w:b/>
          <w:lang w:val="en-GB"/>
        </w:rPr>
      </w:pPr>
    </w:p>
    <w:p w:rsidR="005801AD" w:rsidRDefault="005801AD" w:rsidP="00A950B9">
      <w:pPr>
        <w:jc w:val="center"/>
        <w:rPr>
          <w:b/>
          <w:lang w:val="en-GB"/>
        </w:rPr>
      </w:pPr>
    </w:p>
    <w:p w:rsidR="005801AD" w:rsidRDefault="005801AD" w:rsidP="00A950B9">
      <w:pPr>
        <w:jc w:val="center"/>
        <w:rPr>
          <w:b/>
          <w:lang w:val="en-GB"/>
        </w:rPr>
      </w:pPr>
    </w:p>
    <w:p w:rsidR="005801AD" w:rsidRDefault="005801AD" w:rsidP="00A950B9">
      <w:pPr>
        <w:jc w:val="center"/>
        <w:rPr>
          <w:b/>
          <w:lang w:val="en-GB"/>
        </w:rPr>
      </w:pPr>
    </w:p>
    <w:p w:rsidR="00A950B9" w:rsidRDefault="000863F6" w:rsidP="00A950B9">
      <w:pPr>
        <w:jc w:val="center"/>
        <w:rPr>
          <w:b/>
          <w:lang w:val="en-GB"/>
        </w:rPr>
      </w:pPr>
      <w:r w:rsidRPr="000863F6">
        <w:drawing>
          <wp:inline distT="0" distB="0" distL="0" distR="0">
            <wp:extent cx="6120765" cy="334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34010"/>
                    </a:xfrm>
                    <a:prstGeom prst="rect">
                      <a:avLst/>
                    </a:prstGeom>
                    <a:noFill/>
                    <a:ln>
                      <a:noFill/>
                    </a:ln>
                  </pic:spPr>
                </pic:pic>
              </a:graphicData>
            </a:graphic>
          </wp:inline>
        </w:drawing>
      </w:r>
      <w:r w:rsidRPr="000863F6">
        <w:drawing>
          <wp:inline distT="0" distB="0" distL="0" distR="0">
            <wp:extent cx="6120765" cy="65195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6519545"/>
                    </a:xfrm>
                    <a:prstGeom prst="rect">
                      <a:avLst/>
                    </a:prstGeom>
                    <a:noFill/>
                    <a:ln>
                      <a:noFill/>
                    </a:ln>
                  </pic:spPr>
                </pic:pic>
              </a:graphicData>
            </a:graphic>
          </wp:inline>
        </w:drawing>
      </w:r>
      <w:bookmarkStart w:id="0" w:name="_GoBack"/>
      <w:bookmarkEnd w:id="0"/>
    </w:p>
    <w:p w:rsidR="00A950B9" w:rsidRDefault="00A950B9" w:rsidP="00A950B9">
      <w:pPr>
        <w:jc w:val="center"/>
        <w:rPr>
          <w:b/>
          <w:lang w:val="en-GB"/>
        </w:rPr>
      </w:pPr>
    </w:p>
    <w:p w:rsidR="00A950B9" w:rsidRDefault="00A950B9" w:rsidP="00A950B9">
      <w:pPr>
        <w:jc w:val="center"/>
        <w:rPr>
          <w:b/>
          <w:lang w:val="en-GB"/>
        </w:rPr>
      </w:pPr>
    </w:p>
    <w:p w:rsidR="00A950B9" w:rsidRDefault="00A950B9" w:rsidP="00A037E7">
      <w:pPr>
        <w:jc w:val="both"/>
        <w:rPr>
          <w:noProof/>
          <w:lang w:val="de-DE" w:eastAsia="de-DE"/>
        </w:rPr>
      </w:pPr>
    </w:p>
    <w:p w:rsidR="00A950B9" w:rsidRDefault="00A950B9" w:rsidP="00A037E7">
      <w:pPr>
        <w:jc w:val="both"/>
        <w:rPr>
          <w:noProof/>
          <w:lang w:val="de-DE" w:eastAsia="de-DE"/>
        </w:rPr>
      </w:pPr>
    </w:p>
    <w:p w:rsidR="00A950B9" w:rsidRDefault="00A950B9" w:rsidP="00A037E7">
      <w:pPr>
        <w:jc w:val="both"/>
        <w:rPr>
          <w:lang w:val="en-GB"/>
        </w:rPr>
      </w:pPr>
    </w:p>
    <w:p w:rsidR="00A037E7" w:rsidRPr="00A037E7" w:rsidRDefault="00A037E7" w:rsidP="00A037E7">
      <w:pPr>
        <w:jc w:val="both"/>
        <w:rPr>
          <w:lang w:val="en-GB"/>
        </w:rPr>
      </w:pPr>
    </w:p>
    <w:sectPr w:rsidR="00A037E7" w:rsidRPr="00A037E7" w:rsidSect="00D41D0D">
      <w:footerReference w:type="default" r:id="rId16"/>
      <w:headerReference w:type="first" r:id="rId17"/>
      <w:footerReference w:type="first" r:id="rId18"/>
      <w:pgSz w:w="11907" w:h="16840" w:code="9"/>
      <w:pgMar w:top="1021" w:right="1134" w:bottom="990"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9CD" w:rsidRDefault="00FA69CD">
      <w:r>
        <w:separator/>
      </w:r>
    </w:p>
  </w:endnote>
  <w:endnote w:type="continuationSeparator" w:id="0">
    <w:p w:rsidR="00FA69CD" w:rsidRDefault="00FA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078006"/>
      <w:docPartObj>
        <w:docPartGallery w:val="Page Numbers (Bottom of Page)"/>
        <w:docPartUnique/>
      </w:docPartObj>
    </w:sdtPr>
    <w:sdtEndPr>
      <w:rPr>
        <w:noProof/>
        <w:sz w:val="20"/>
        <w:szCs w:val="20"/>
      </w:rPr>
    </w:sdtEndPr>
    <w:sdtContent>
      <w:p w:rsidR="005540F3" w:rsidRPr="0005480D" w:rsidRDefault="001F4BF3">
        <w:pPr>
          <w:pStyle w:val="Footer"/>
          <w:jc w:val="center"/>
          <w:rPr>
            <w:sz w:val="20"/>
            <w:szCs w:val="20"/>
          </w:rPr>
        </w:pPr>
        <w:r w:rsidRPr="0005480D">
          <w:rPr>
            <w:sz w:val="20"/>
            <w:szCs w:val="20"/>
          </w:rPr>
          <w:fldChar w:fldCharType="begin"/>
        </w:r>
        <w:r w:rsidR="005540F3" w:rsidRPr="0005480D">
          <w:rPr>
            <w:sz w:val="20"/>
            <w:szCs w:val="20"/>
          </w:rPr>
          <w:instrText xml:space="preserve"> PAGE   \* MERGEFORMAT </w:instrText>
        </w:r>
        <w:r w:rsidRPr="0005480D">
          <w:rPr>
            <w:sz w:val="20"/>
            <w:szCs w:val="20"/>
          </w:rPr>
          <w:fldChar w:fldCharType="separate"/>
        </w:r>
        <w:r w:rsidR="007463A4">
          <w:rPr>
            <w:noProof/>
            <w:sz w:val="20"/>
            <w:szCs w:val="20"/>
          </w:rPr>
          <w:t>2</w:t>
        </w:r>
        <w:r w:rsidRPr="0005480D">
          <w:rPr>
            <w:noProof/>
            <w:sz w:val="20"/>
            <w:szCs w:val="20"/>
          </w:rPr>
          <w:fldChar w:fldCharType="end"/>
        </w:r>
      </w:p>
    </w:sdtContent>
  </w:sdt>
  <w:p w:rsidR="005540F3" w:rsidRDefault="00554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469" w:rsidRPr="000E5469" w:rsidRDefault="000E5469">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9CD" w:rsidRDefault="00FA69CD">
      <w:r>
        <w:separator/>
      </w:r>
    </w:p>
  </w:footnote>
  <w:footnote w:type="continuationSeparator" w:id="0">
    <w:p w:rsidR="00FA69CD" w:rsidRDefault="00FA69CD">
      <w:r>
        <w:continuationSeparator/>
      </w:r>
    </w:p>
  </w:footnote>
  <w:footnote w:id="1">
    <w:p w:rsidR="00C74AAD" w:rsidRPr="00C74AAD" w:rsidRDefault="00C74AAD">
      <w:pPr>
        <w:pStyle w:val="FootnoteText"/>
      </w:pPr>
      <w:r>
        <w:rPr>
          <w:rStyle w:val="FootnoteReference"/>
        </w:rPr>
        <w:footnoteRef/>
      </w:r>
      <w:r>
        <w:t xml:space="preserve"> </w:t>
      </w:r>
      <w:r w:rsidRPr="00C74AAD">
        <w:t>The calculations are based on t</w:t>
      </w:r>
      <w:r>
        <w:t xml:space="preserve">he UN Scale of assessments for the apportionment of the expenses of the United Nations for the period 2019-2021, as adopted through Resolution 73/271 on 22 December 2018. </w:t>
      </w:r>
    </w:p>
  </w:footnote>
  <w:footnote w:id="2">
    <w:p w:rsidR="00A950B9" w:rsidRPr="00C74AAD" w:rsidRDefault="00A950B9" w:rsidP="00A950B9">
      <w:pPr>
        <w:pStyle w:val="FootnoteText"/>
      </w:pPr>
      <w:r>
        <w:rPr>
          <w:rStyle w:val="FootnoteReference"/>
        </w:rPr>
        <w:footnoteRef/>
      </w:r>
      <w:r>
        <w:t xml:space="preserve"> </w:t>
      </w:r>
      <w:r w:rsidRPr="00C74AAD">
        <w:t>The calculations are based on t</w:t>
      </w:r>
      <w:r>
        <w:t xml:space="preserve">he UN Scale of assessments for the apportionment of the expenses of the United Nations for the period 2019-2021, as adopted through Resolution 73/271 on 22 December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61"/>
      <w:gridCol w:w="5241"/>
      <w:gridCol w:w="2353"/>
    </w:tblGrid>
    <w:tr w:rsidR="0010660A" w:rsidRPr="00A61241" w:rsidTr="0048183F">
      <w:trPr>
        <w:trHeight w:val="1256"/>
      </w:trPr>
      <w:tc>
        <w:tcPr>
          <w:tcW w:w="1147" w:type="pct"/>
        </w:tcPr>
        <w:p w:rsidR="0010660A" w:rsidRPr="00A61241" w:rsidRDefault="0010660A" w:rsidP="00601DA5">
          <w:pPr>
            <w:rPr>
              <w:lang w:val="en-GB"/>
            </w:rPr>
          </w:pPr>
          <w:bookmarkStart w:id="1" w:name="_Hlk513643711"/>
          <w:r w:rsidRPr="00A61241">
            <w:rPr>
              <w:noProof/>
              <w:lang w:val="de-DE" w:eastAsia="de-DE"/>
            </w:rPr>
            <w:drawing>
              <wp:inline distT="0" distB="0" distL="0" distR="0">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10660A" w:rsidRPr="00CF739E" w:rsidRDefault="00CF739E" w:rsidP="00601DA5">
          <w:pPr>
            <w:jc w:val="center"/>
            <w:rPr>
              <w:i/>
              <w:sz w:val="22"/>
              <w:szCs w:val="22"/>
              <w:lang w:val="en-GB"/>
            </w:rPr>
          </w:pPr>
          <w:r w:rsidRPr="00CF739E">
            <w:rPr>
              <w:i/>
              <w:sz w:val="22"/>
              <w:szCs w:val="22"/>
              <w:lang w:val="en-GB"/>
            </w:rPr>
            <w:t>AGREEMENT ON THE CONSERVATION OF</w:t>
          </w:r>
        </w:p>
        <w:p w:rsidR="00CF739E" w:rsidRPr="00A61241" w:rsidRDefault="00CF739E" w:rsidP="00601DA5">
          <w:pPr>
            <w:jc w:val="center"/>
            <w:rPr>
              <w:lang w:val="en-GB"/>
            </w:rPr>
          </w:pPr>
          <w:r w:rsidRPr="00CF739E">
            <w:rPr>
              <w:i/>
              <w:sz w:val="22"/>
              <w:szCs w:val="22"/>
              <w:lang w:val="en-GB"/>
            </w:rPr>
            <w:t>AFRICAN-EURASIAN MIGRATORY WATERBIRDS</w:t>
          </w:r>
        </w:p>
      </w:tc>
      <w:tc>
        <w:tcPr>
          <w:tcW w:w="1194" w:type="pct"/>
        </w:tcPr>
        <w:p w:rsidR="0010660A" w:rsidRPr="00ED04D8" w:rsidRDefault="00CA10E0" w:rsidP="00ED04D8">
          <w:pPr>
            <w:spacing w:line="276" w:lineRule="auto"/>
            <w:jc w:val="right"/>
            <w:rPr>
              <w:i/>
              <w:iCs/>
              <w:sz w:val="20"/>
              <w:szCs w:val="20"/>
              <w:lang w:val="it-IT"/>
            </w:rPr>
          </w:pPr>
          <w:r w:rsidRPr="00ED04D8">
            <w:rPr>
              <w:i/>
              <w:iCs/>
              <w:sz w:val="20"/>
              <w:szCs w:val="20"/>
              <w:lang w:val="it-IT"/>
            </w:rPr>
            <w:t xml:space="preserve">Doc. </w:t>
          </w:r>
          <w:r w:rsidR="00C814F7" w:rsidRPr="00ED04D8">
            <w:rPr>
              <w:i/>
              <w:iCs/>
              <w:sz w:val="20"/>
              <w:szCs w:val="20"/>
              <w:lang w:val="it-IT"/>
            </w:rPr>
            <w:t>AEWA/</w:t>
          </w:r>
          <w:r w:rsidR="0010660A" w:rsidRPr="00ED04D8">
            <w:rPr>
              <w:i/>
              <w:iCs/>
              <w:sz w:val="20"/>
              <w:szCs w:val="20"/>
              <w:lang w:val="it-IT"/>
            </w:rPr>
            <w:t>StC1</w:t>
          </w:r>
          <w:r w:rsidR="00A037E7">
            <w:rPr>
              <w:i/>
              <w:iCs/>
              <w:sz w:val="20"/>
              <w:szCs w:val="20"/>
              <w:lang w:val="it-IT"/>
            </w:rPr>
            <w:t>5</w:t>
          </w:r>
          <w:r w:rsidRPr="00ED04D8">
            <w:rPr>
              <w:i/>
              <w:iCs/>
              <w:sz w:val="20"/>
              <w:szCs w:val="20"/>
              <w:lang w:val="it-IT"/>
            </w:rPr>
            <w:t>.</w:t>
          </w:r>
          <w:r w:rsidR="00A037E7">
            <w:rPr>
              <w:i/>
              <w:iCs/>
              <w:sz w:val="20"/>
              <w:szCs w:val="20"/>
              <w:lang w:val="it-IT"/>
            </w:rPr>
            <w:t>9</w:t>
          </w:r>
          <w:r w:rsidR="000863F6">
            <w:rPr>
              <w:i/>
              <w:iCs/>
              <w:sz w:val="20"/>
              <w:szCs w:val="20"/>
              <w:lang w:val="it-IT"/>
            </w:rPr>
            <w:t xml:space="preserve"> rev.1</w:t>
          </w:r>
          <w:r w:rsidR="00171B8C" w:rsidRPr="00ED04D8">
            <w:rPr>
              <w:i/>
              <w:iCs/>
              <w:sz w:val="20"/>
              <w:szCs w:val="20"/>
              <w:lang w:val="it-IT"/>
            </w:rPr>
            <w:t xml:space="preserve"> </w:t>
          </w:r>
        </w:p>
        <w:p w:rsidR="0005480D" w:rsidRPr="00ED04D8" w:rsidRDefault="0005480D" w:rsidP="00ED04D8">
          <w:pPr>
            <w:spacing w:line="276" w:lineRule="auto"/>
            <w:jc w:val="right"/>
            <w:rPr>
              <w:i/>
              <w:iCs/>
              <w:sz w:val="20"/>
              <w:szCs w:val="20"/>
              <w:lang w:val="it-IT"/>
            </w:rPr>
          </w:pPr>
          <w:r w:rsidRPr="00ED04D8">
            <w:rPr>
              <w:i/>
              <w:iCs/>
              <w:sz w:val="20"/>
              <w:szCs w:val="20"/>
              <w:lang w:val="it-IT"/>
            </w:rPr>
            <w:t xml:space="preserve">Agenda item </w:t>
          </w:r>
          <w:r w:rsidR="00A037E7">
            <w:rPr>
              <w:i/>
              <w:iCs/>
              <w:sz w:val="20"/>
              <w:szCs w:val="20"/>
              <w:lang w:val="it-IT"/>
            </w:rPr>
            <w:t>9e</w:t>
          </w:r>
        </w:p>
        <w:p w:rsidR="0010660A" w:rsidRPr="00A61241" w:rsidRDefault="00B20BDE" w:rsidP="00ED04D8">
          <w:pPr>
            <w:spacing w:line="276" w:lineRule="auto"/>
            <w:jc w:val="right"/>
            <w:rPr>
              <w:lang w:val="en-GB"/>
            </w:rPr>
          </w:pPr>
          <w:r>
            <w:rPr>
              <w:i/>
              <w:iCs/>
              <w:sz w:val="20"/>
              <w:szCs w:val="20"/>
              <w:lang w:val="en-GB"/>
            </w:rPr>
            <w:t>1</w:t>
          </w:r>
          <w:r w:rsidR="000863F6">
            <w:rPr>
              <w:i/>
              <w:iCs/>
              <w:sz w:val="20"/>
              <w:szCs w:val="20"/>
              <w:lang w:val="en-GB"/>
            </w:rPr>
            <w:t>9</w:t>
          </w:r>
          <w:r w:rsidR="00A037E7">
            <w:rPr>
              <w:i/>
              <w:iCs/>
              <w:sz w:val="20"/>
              <w:szCs w:val="20"/>
              <w:lang w:val="en-GB"/>
            </w:rPr>
            <w:t xml:space="preserve"> Novemb</w:t>
          </w:r>
          <w:r w:rsidR="00610330">
            <w:rPr>
              <w:i/>
              <w:iCs/>
              <w:sz w:val="20"/>
              <w:szCs w:val="20"/>
              <w:lang w:val="en-GB"/>
            </w:rPr>
            <w:t>er</w:t>
          </w:r>
          <w:r w:rsidR="005B3A7C">
            <w:rPr>
              <w:i/>
              <w:iCs/>
              <w:sz w:val="20"/>
              <w:szCs w:val="20"/>
              <w:lang w:val="en-GB"/>
            </w:rPr>
            <w:t xml:space="preserve"> 201</w:t>
          </w:r>
          <w:r w:rsidR="00610330">
            <w:rPr>
              <w:i/>
              <w:iCs/>
              <w:sz w:val="20"/>
              <w:szCs w:val="20"/>
              <w:lang w:val="en-GB"/>
            </w:rPr>
            <w:t>9</w:t>
          </w:r>
        </w:p>
      </w:tc>
    </w:tr>
    <w:tr w:rsidR="0010660A" w:rsidRPr="00A61241" w:rsidTr="0048183F">
      <w:tc>
        <w:tcPr>
          <w:tcW w:w="5000" w:type="pct"/>
          <w:gridSpan w:val="3"/>
        </w:tcPr>
        <w:p w:rsidR="0010660A" w:rsidRPr="00A61241" w:rsidRDefault="0010660A" w:rsidP="00601DA5">
          <w:pPr>
            <w:jc w:val="center"/>
            <w:rPr>
              <w:b/>
              <w:bCs/>
              <w:caps/>
              <w:sz w:val="26"/>
              <w:szCs w:val="26"/>
              <w:lang w:val="en-GB"/>
            </w:rPr>
          </w:pPr>
          <w:r>
            <w:rPr>
              <w:b/>
              <w:bCs/>
              <w:sz w:val="26"/>
              <w:szCs w:val="26"/>
              <w:lang w:val="en-GB"/>
            </w:rPr>
            <w:t>1</w:t>
          </w:r>
          <w:r w:rsidR="00610330">
            <w:rPr>
              <w:b/>
              <w:bCs/>
              <w:sz w:val="26"/>
              <w:szCs w:val="26"/>
              <w:lang w:val="en-GB"/>
            </w:rPr>
            <w:t>5</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rsidR="0010660A" w:rsidRPr="0010660A" w:rsidRDefault="00610330" w:rsidP="003F09F2">
          <w:pPr>
            <w:jc w:val="center"/>
            <w:rPr>
              <w:i/>
              <w:sz w:val="22"/>
              <w:szCs w:val="22"/>
              <w:lang w:val="en-GB"/>
            </w:rPr>
          </w:pPr>
          <w:r>
            <w:rPr>
              <w:i/>
              <w:iCs/>
              <w:sz w:val="22"/>
              <w:szCs w:val="22"/>
              <w:lang w:val="en-GB"/>
            </w:rPr>
            <w:t>11</w:t>
          </w:r>
          <w:r w:rsidR="005B3A7C">
            <w:rPr>
              <w:i/>
              <w:iCs/>
              <w:sz w:val="22"/>
              <w:szCs w:val="22"/>
              <w:lang w:val="en-GB"/>
            </w:rPr>
            <w:t xml:space="preserve"> - </w:t>
          </w:r>
          <w:r>
            <w:rPr>
              <w:i/>
              <w:iCs/>
              <w:sz w:val="22"/>
              <w:szCs w:val="22"/>
              <w:lang w:val="en-GB"/>
            </w:rPr>
            <w:t>13</w:t>
          </w:r>
          <w:r w:rsidR="005B3A7C">
            <w:rPr>
              <w:i/>
              <w:iCs/>
              <w:sz w:val="22"/>
              <w:szCs w:val="22"/>
              <w:lang w:val="en-GB"/>
            </w:rPr>
            <w:t xml:space="preserve"> </w:t>
          </w:r>
          <w:r>
            <w:rPr>
              <w:i/>
              <w:iCs/>
              <w:sz w:val="22"/>
              <w:szCs w:val="22"/>
              <w:lang w:val="en-GB"/>
            </w:rPr>
            <w:t>December</w:t>
          </w:r>
          <w:r w:rsidR="00C305FD">
            <w:rPr>
              <w:i/>
              <w:iCs/>
              <w:sz w:val="22"/>
              <w:szCs w:val="22"/>
              <w:lang w:val="en-GB"/>
            </w:rPr>
            <w:t xml:space="preserve"> 201</w:t>
          </w:r>
          <w:r>
            <w:rPr>
              <w:i/>
              <w:iCs/>
              <w:sz w:val="22"/>
              <w:szCs w:val="22"/>
              <w:lang w:val="en-GB"/>
            </w:rPr>
            <w:t>9</w:t>
          </w:r>
          <w:r w:rsidR="005B3A7C">
            <w:rPr>
              <w:i/>
              <w:iCs/>
              <w:sz w:val="22"/>
              <w:szCs w:val="22"/>
              <w:lang w:val="en-GB"/>
            </w:rPr>
            <w:t xml:space="preserve">, </w:t>
          </w:r>
          <w:r>
            <w:rPr>
              <w:i/>
              <w:iCs/>
              <w:sz w:val="22"/>
              <w:szCs w:val="22"/>
              <w:lang w:val="en-GB"/>
            </w:rPr>
            <w:t>Bristol</w:t>
          </w:r>
          <w:r w:rsidR="005B3A7C">
            <w:rPr>
              <w:i/>
              <w:iCs/>
              <w:sz w:val="22"/>
              <w:szCs w:val="22"/>
              <w:lang w:val="en-GB"/>
            </w:rPr>
            <w:t xml:space="preserve">, </w:t>
          </w:r>
          <w:r>
            <w:rPr>
              <w:i/>
              <w:iCs/>
              <w:sz w:val="22"/>
              <w:szCs w:val="22"/>
              <w:lang w:val="en-GB"/>
            </w:rPr>
            <w:t>United Kingdom</w:t>
          </w:r>
        </w:p>
      </w:tc>
    </w:tr>
    <w:tr w:rsidR="0010660A" w:rsidRPr="00A61241" w:rsidTr="0048183F">
      <w:trPr>
        <w:trHeight w:val="270"/>
      </w:trPr>
      <w:tc>
        <w:tcPr>
          <w:tcW w:w="5000" w:type="pct"/>
          <w:gridSpan w:val="3"/>
          <w:vAlign w:val="center"/>
        </w:tcPr>
        <w:p w:rsidR="0010660A" w:rsidRPr="00A61241" w:rsidRDefault="0010660A" w:rsidP="00601DA5">
          <w:pPr>
            <w:rPr>
              <w:bCs/>
              <w:i/>
              <w:lang w:val="en-GB"/>
            </w:rPr>
          </w:pPr>
        </w:p>
      </w:tc>
    </w:tr>
    <w:bookmarkEnd w:id="1"/>
  </w:tbl>
  <w:p w:rsidR="000E5469" w:rsidRDefault="000E5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32C"/>
    <w:multiLevelType w:val="hybridMultilevel"/>
    <w:tmpl w:val="D62E2AD0"/>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774A70"/>
    <w:multiLevelType w:val="hybridMultilevel"/>
    <w:tmpl w:val="79508BAA"/>
    <w:lvl w:ilvl="0" w:tplc="8BC0BB0A">
      <w:start w:val="1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1A2B217E"/>
    <w:multiLevelType w:val="hybridMultilevel"/>
    <w:tmpl w:val="3BCC949C"/>
    <w:lvl w:ilvl="0" w:tplc="8B5A6990">
      <w:start w:val="5"/>
      <w:numFmt w:val="lowerLetter"/>
      <w:lvlText w:val="%1)"/>
      <w:lvlJc w:val="left"/>
      <w:pPr>
        <w:ind w:left="1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24AE6786"/>
    <w:multiLevelType w:val="hybridMultilevel"/>
    <w:tmpl w:val="8A1252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6C7EFA"/>
    <w:multiLevelType w:val="hybridMultilevel"/>
    <w:tmpl w:val="5D4A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5"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7"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8"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63532D88"/>
    <w:multiLevelType w:val="hybridMultilevel"/>
    <w:tmpl w:val="264EEF56"/>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0" w15:restartNumberingAfterBreak="0">
    <w:nsid w:val="66517F02"/>
    <w:multiLevelType w:val="hybridMultilevel"/>
    <w:tmpl w:val="91DC2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92095F"/>
    <w:multiLevelType w:val="hybridMultilevel"/>
    <w:tmpl w:val="4C3E4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23C3537"/>
    <w:multiLevelType w:val="hybridMultilevel"/>
    <w:tmpl w:val="E47E437C"/>
    <w:lvl w:ilvl="0" w:tplc="04090017">
      <w:start w:val="1"/>
      <w:numFmt w:val="lowerLetter"/>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5"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21"/>
  </w:num>
  <w:num w:numId="5">
    <w:abstractNumId w:val="16"/>
  </w:num>
  <w:num w:numId="6">
    <w:abstractNumId w:val="2"/>
  </w:num>
  <w:num w:numId="7">
    <w:abstractNumId w:val="25"/>
  </w:num>
  <w:num w:numId="8">
    <w:abstractNumId w:val="12"/>
  </w:num>
  <w:num w:numId="9">
    <w:abstractNumId w:val="7"/>
  </w:num>
  <w:num w:numId="10">
    <w:abstractNumId w:val="5"/>
  </w:num>
  <w:num w:numId="11">
    <w:abstractNumId w:val="4"/>
  </w:num>
  <w:num w:numId="12">
    <w:abstractNumId w:val="18"/>
  </w:num>
  <w:num w:numId="13">
    <w:abstractNumId w:val="11"/>
  </w:num>
  <w:num w:numId="14">
    <w:abstractNumId w:val="17"/>
  </w:num>
  <w:num w:numId="15">
    <w:abstractNumId w:val="14"/>
  </w:num>
  <w:num w:numId="16">
    <w:abstractNumId w:val="10"/>
  </w:num>
  <w:num w:numId="17">
    <w:abstractNumId w:val="1"/>
  </w:num>
  <w:num w:numId="18">
    <w:abstractNumId w:val="0"/>
  </w:num>
  <w:num w:numId="19">
    <w:abstractNumId w:val="13"/>
  </w:num>
  <w:num w:numId="20">
    <w:abstractNumId w:val="19"/>
  </w:num>
  <w:num w:numId="21">
    <w:abstractNumId w:val="8"/>
  </w:num>
  <w:num w:numId="22">
    <w:abstractNumId w:val="20"/>
  </w:num>
  <w:num w:numId="23">
    <w:abstractNumId w:val="22"/>
  </w:num>
  <w:num w:numId="24">
    <w:abstractNumId w:val="6"/>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FA1"/>
    <w:rsid w:val="00001541"/>
    <w:rsid w:val="00016E7B"/>
    <w:rsid w:val="0005480D"/>
    <w:rsid w:val="00060494"/>
    <w:rsid w:val="0006129C"/>
    <w:rsid w:val="000863F6"/>
    <w:rsid w:val="000977BB"/>
    <w:rsid w:val="000A037B"/>
    <w:rsid w:val="000A5A47"/>
    <w:rsid w:val="000C3F92"/>
    <w:rsid w:val="000D4F56"/>
    <w:rsid w:val="000E153E"/>
    <w:rsid w:val="000E5469"/>
    <w:rsid w:val="001024AC"/>
    <w:rsid w:val="00104B6D"/>
    <w:rsid w:val="00104C13"/>
    <w:rsid w:val="0010660A"/>
    <w:rsid w:val="00145E99"/>
    <w:rsid w:val="00147B09"/>
    <w:rsid w:val="001524B5"/>
    <w:rsid w:val="00167D59"/>
    <w:rsid w:val="00171B8C"/>
    <w:rsid w:val="00182DCC"/>
    <w:rsid w:val="00186687"/>
    <w:rsid w:val="00196E67"/>
    <w:rsid w:val="001A00B6"/>
    <w:rsid w:val="001B186D"/>
    <w:rsid w:val="001D13CD"/>
    <w:rsid w:val="001D21F7"/>
    <w:rsid w:val="001E72CB"/>
    <w:rsid w:val="001F1D9A"/>
    <w:rsid w:val="001F4BF3"/>
    <w:rsid w:val="00207325"/>
    <w:rsid w:val="00233475"/>
    <w:rsid w:val="002364D1"/>
    <w:rsid w:val="00286103"/>
    <w:rsid w:val="002A32DC"/>
    <w:rsid w:val="002A3D00"/>
    <w:rsid w:val="002C522F"/>
    <w:rsid w:val="002C5768"/>
    <w:rsid w:val="002D1CC3"/>
    <w:rsid w:val="002E4C1F"/>
    <w:rsid w:val="002E6092"/>
    <w:rsid w:val="002F0141"/>
    <w:rsid w:val="002F7147"/>
    <w:rsid w:val="00303606"/>
    <w:rsid w:val="003072A9"/>
    <w:rsid w:val="00312BA0"/>
    <w:rsid w:val="003209C2"/>
    <w:rsid w:val="003412DF"/>
    <w:rsid w:val="00346E7F"/>
    <w:rsid w:val="00353767"/>
    <w:rsid w:val="00365117"/>
    <w:rsid w:val="003715F6"/>
    <w:rsid w:val="00377DF9"/>
    <w:rsid w:val="00383FCF"/>
    <w:rsid w:val="003A434D"/>
    <w:rsid w:val="003A596F"/>
    <w:rsid w:val="003B2918"/>
    <w:rsid w:val="003B4398"/>
    <w:rsid w:val="003C320A"/>
    <w:rsid w:val="003E0DB9"/>
    <w:rsid w:val="003F09F2"/>
    <w:rsid w:val="00402787"/>
    <w:rsid w:val="00407D1C"/>
    <w:rsid w:val="004313BF"/>
    <w:rsid w:val="004370A6"/>
    <w:rsid w:val="00440D5E"/>
    <w:rsid w:val="004623B2"/>
    <w:rsid w:val="0048183F"/>
    <w:rsid w:val="00497689"/>
    <w:rsid w:val="004B57A6"/>
    <w:rsid w:val="004B75C0"/>
    <w:rsid w:val="004F4E6A"/>
    <w:rsid w:val="004F71B1"/>
    <w:rsid w:val="00517C62"/>
    <w:rsid w:val="00523D53"/>
    <w:rsid w:val="005426DD"/>
    <w:rsid w:val="0055182D"/>
    <w:rsid w:val="005540F3"/>
    <w:rsid w:val="00567628"/>
    <w:rsid w:val="00575367"/>
    <w:rsid w:val="005801AD"/>
    <w:rsid w:val="00592A8C"/>
    <w:rsid w:val="005970C7"/>
    <w:rsid w:val="005B3A7C"/>
    <w:rsid w:val="005C7F7C"/>
    <w:rsid w:val="005D54ED"/>
    <w:rsid w:val="005E62BD"/>
    <w:rsid w:val="005F1012"/>
    <w:rsid w:val="005F11C9"/>
    <w:rsid w:val="006075EE"/>
    <w:rsid w:val="00610330"/>
    <w:rsid w:val="006122CD"/>
    <w:rsid w:val="006269BA"/>
    <w:rsid w:val="006308A2"/>
    <w:rsid w:val="00652900"/>
    <w:rsid w:val="00657A1D"/>
    <w:rsid w:val="0069010A"/>
    <w:rsid w:val="006A4A6F"/>
    <w:rsid w:val="006B6B98"/>
    <w:rsid w:val="006C0E5D"/>
    <w:rsid w:val="00700178"/>
    <w:rsid w:val="0070257F"/>
    <w:rsid w:val="00702AA0"/>
    <w:rsid w:val="00703647"/>
    <w:rsid w:val="007040C0"/>
    <w:rsid w:val="0070448A"/>
    <w:rsid w:val="00704B4A"/>
    <w:rsid w:val="007107B3"/>
    <w:rsid w:val="007372B1"/>
    <w:rsid w:val="0074524A"/>
    <w:rsid w:val="007463A4"/>
    <w:rsid w:val="00752CEC"/>
    <w:rsid w:val="0076672E"/>
    <w:rsid w:val="00786AF1"/>
    <w:rsid w:val="0079698D"/>
    <w:rsid w:val="00796B72"/>
    <w:rsid w:val="007B115F"/>
    <w:rsid w:val="007C0034"/>
    <w:rsid w:val="007E054A"/>
    <w:rsid w:val="007E1121"/>
    <w:rsid w:val="007E5503"/>
    <w:rsid w:val="007F17F6"/>
    <w:rsid w:val="008115B4"/>
    <w:rsid w:val="0082215E"/>
    <w:rsid w:val="008235E1"/>
    <w:rsid w:val="0082360A"/>
    <w:rsid w:val="008241FA"/>
    <w:rsid w:val="008650A4"/>
    <w:rsid w:val="0087707B"/>
    <w:rsid w:val="008851A9"/>
    <w:rsid w:val="008B3285"/>
    <w:rsid w:val="008C56CF"/>
    <w:rsid w:val="008D305B"/>
    <w:rsid w:val="008D4F25"/>
    <w:rsid w:val="008E365A"/>
    <w:rsid w:val="008F0DEA"/>
    <w:rsid w:val="008F4E75"/>
    <w:rsid w:val="00903E6E"/>
    <w:rsid w:val="009164F2"/>
    <w:rsid w:val="00942798"/>
    <w:rsid w:val="00954311"/>
    <w:rsid w:val="00954FD8"/>
    <w:rsid w:val="00960705"/>
    <w:rsid w:val="0096757D"/>
    <w:rsid w:val="0096780E"/>
    <w:rsid w:val="00990AB9"/>
    <w:rsid w:val="00991A11"/>
    <w:rsid w:val="009A1E39"/>
    <w:rsid w:val="009E320C"/>
    <w:rsid w:val="009F6DE5"/>
    <w:rsid w:val="00A037E7"/>
    <w:rsid w:val="00A13B54"/>
    <w:rsid w:val="00A36A12"/>
    <w:rsid w:val="00A41B26"/>
    <w:rsid w:val="00A43C8F"/>
    <w:rsid w:val="00A61241"/>
    <w:rsid w:val="00A84DF2"/>
    <w:rsid w:val="00A86EF9"/>
    <w:rsid w:val="00A950B9"/>
    <w:rsid w:val="00AC55DC"/>
    <w:rsid w:val="00AD596C"/>
    <w:rsid w:val="00B04408"/>
    <w:rsid w:val="00B20BDE"/>
    <w:rsid w:val="00B30BE0"/>
    <w:rsid w:val="00B37692"/>
    <w:rsid w:val="00B37E95"/>
    <w:rsid w:val="00B56DEB"/>
    <w:rsid w:val="00B607DF"/>
    <w:rsid w:val="00B61FA1"/>
    <w:rsid w:val="00B71F68"/>
    <w:rsid w:val="00B85CD8"/>
    <w:rsid w:val="00BA790F"/>
    <w:rsid w:val="00BB18CD"/>
    <w:rsid w:val="00BB400D"/>
    <w:rsid w:val="00BB60C5"/>
    <w:rsid w:val="00BB7DD5"/>
    <w:rsid w:val="00BD17AE"/>
    <w:rsid w:val="00C10107"/>
    <w:rsid w:val="00C305FD"/>
    <w:rsid w:val="00C31A30"/>
    <w:rsid w:val="00C37179"/>
    <w:rsid w:val="00C645F5"/>
    <w:rsid w:val="00C72EF1"/>
    <w:rsid w:val="00C74AAD"/>
    <w:rsid w:val="00C814F7"/>
    <w:rsid w:val="00C83EC9"/>
    <w:rsid w:val="00C851CC"/>
    <w:rsid w:val="00CA10E0"/>
    <w:rsid w:val="00CB1CAA"/>
    <w:rsid w:val="00CC2E9A"/>
    <w:rsid w:val="00CC3F9D"/>
    <w:rsid w:val="00CC509F"/>
    <w:rsid w:val="00CF5F07"/>
    <w:rsid w:val="00CF739E"/>
    <w:rsid w:val="00D16DC8"/>
    <w:rsid w:val="00D34AE2"/>
    <w:rsid w:val="00D41D0D"/>
    <w:rsid w:val="00D50E2A"/>
    <w:rsid w:val="00D5242E"/>
    <w:rsid w:val="00D55C94"/>
    <w:rsid w:val="00D801A7"/>
    <w:rsid w:val="00D82E65"/>
    <w:rsid w:val="00DA2E04"/>
    <w:rsid w:val="00DB6FF8"/>
    <w:rsid w:val="00DC444C"/>
    <w:rsid w:val="00DC4D6C"/>
    <w:rsid w:val="00DE6C76"/>
    <w:rsid w:val="00DF18B4"/>
    <w:rsid w:val="00DF26A5"/>
    <w:rsid w:val="00DF4618"/>
    <w:rsid w:val="00DF4CAC"/>
    <w:rsid w:val="00DF6ADB"/>
    <w:rsid w:val="00E02643"/>
    <w:rsid w:val="00E043A4"/>
    <w:rsid w:val="00E14E9C"/>
    <w:rsid w:val="00E30B78"/>
    <w:rsid w:val="00E32486"/>
    <w:rsid w:val="00E36630"/>
    <w:rsid w:val="00E55F1B"/>
    <w:rsid w:val="00E719DA"/>
    <w:rsid w:val="00E762B8"/>
    <w:rsid w:val="00E82BBF"/>
    <w:rsid w:val="00E965A8"/>
    <w:rsid w:val="00EA1BA4"/>
    <w:rsid w:val="00EB38A4"/>
    <w:rsid w:val="00ED04D8"/>
    <w:rsid w:val="00EE02FE"/>
    <w:rsid w:val="00F26648"/>
    <w:rsid w:val="00F30ED7"/>
    <w:rsid w:val="00F55236"/>
    <w:rsid w:val="00F627E9"/>
    <w:rsid w:val="00F81B26"/>
    <w:rsid w:val="00F85886"/>
    <w:rsid w:val="00FA69CD"/>
    <w:rsid w:val="00FC7AB1"/>
    <w:rsid w:val="00FE4106"/>
    <w:rsid w:val="00FF1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951075B"/>
  <w15:docId w15:val="{743C9D06-7081-480C-A882-0CA1E696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1B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7270">
      <w:bodyDiv w:val="1"/>
      <w:marLeft w:val="0"/>
      <w:marRight w:val="0"/>
      <w:marTop w:val="0"/>
      <w:marBottom w:val="0"/>
      <w:divBdr>
        <w:top w:val="none" w:sz="0" w:space="0" w:color="auto"/>
        <w:left w:val="none" w:sz="0" w:space="0" w:color="auto"/>
        <w:bottom w:val="none" w:sz="0" w:space="0" w:color="auto"/>
        <w:right w:val="none" w:sz="0" w:space="0" w:color="auto"/>
      </w:divBdr>
    </w:div>
    <w:div w:id="495220836">
      <w:bodyDiv w:val="1"/>
      <w:marLeft w:val="0"/>
      <w:marRight w:val="0"/>
      <w:marTop w:val="0"/>
      <w:marBottom w:val="0"/>
      <w:divBdr>
        <w:top w:val="none" w:sz="0" w:space="0" w:color="auto"/>
        <w:left w:val="none" w:sz="0" w:space="0" w:color="auto"/>
        <w:bottom w:val="none" w:sz="0" w:space="0" w:color="auto"/>
        <w:right w:val="none" w:sz="0" w:space="0" w:color="auto"/>
      </w:divBdr>
    </w:div>
    <w:div w:id="980844535">
      <w:bodyDiv w:val="1"/>
      <w:marLeft w:val="0"/>
      <w:marRight w:val="0"/>
      <w:marTop w:val="0"/>
      <w:marBottom w:val="0"/>
      <w:divBdr>
        <w:top w:val="none" w:sz="0" w:space="0" w:color="auto"/>
        <w:left w:val="none" w:sz="0" w:space="0" w:color="auto"/>
        <w:bottom w:val="none" w:sz="0" w:space="0" w:color="auto"/>
        <w:right w:val="none" w:sz="0" w:space="0" w:color="auto"/>
      </w:divBdr>
    </w:div>
    <w:div w:id="1541086606">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93A61-0538-4EC3-AB08-BAA3AB9C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899</Words>
  <Characters>5128</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STC15</vt:lpstr>
      <vt:lpstr>The quick brown fox jumps over the lazy dog</vt:lpstr>
    </vt:vector>
  </TitlesOfParts>
  <Company>aewa</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STC15</dc:title>
  <dc:creator>MT Kaemper</dc:creator>
  <cp:lastModifiedBy>Catherine Lehmann</cp:lastModifiedBy>
  <cp:revision>2</cp:revision>
  <cp:lastPrinted>2019-11-07T11:09:00Z</cp:lastPrinted>
  <dcterms:created xsi:type="dcterms:W3CDTF">2019-11-19T08:33:00Z</dcterms:created>
  <dcterms:modified xsi:type="dcterms:W3CDTF">2019-11-19T08:33:00Z</dcterms:modified>
</cp:coreProperties>
</file>