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9A0E03" w14:textId="2F0D30CB" w:rsidR="00801A8D" w:rsidRPr="001567E1" w:rsidRDefault="00801A8D" w:rsidP="00F41E89">
      <w:pPr>
        <w:tabs>
          <w:tab w:val="center" w:pos="4513"/>
        </w:tabs>
        <w:jc w:val="center"/>
        <w:rPr>
          <w:b/>
          <w:lang w:val="fr-FR"/>
        </w:rPr>
      </w:pPr>
      <w:bookmarkStart w:id="0" w:name="_GoBack"/>
      <w:bookmarkEnd w:id="0"/>
    </w:p>
    <w:p w14:paraId="34138F96" w14:textId="77777777" w:rsidR="00801A8D" w:rsidRPr="001567E1" w:rsidRDefault="00801A8D" w:rsidP="00172437">
      <w:pPr>
        <w:rPr>
          <w:lang w:val="fr-FR"/>
        </w:rPr>
      </w:pPr>
    </w:p>
    <w:p w14:paraId="6D784634" w14:textId="2877A704" w:rsidR="00801A8D" w:rsidRPr="001567E1" w:rsidRDefault="007A194E" w:rsidP="00172437">
      <w:pPr>
        <w:tabs>
          <w:tab w:val="center" w:pos="4513"/>
        </w:tabs>
        <w:jc w:val="center"/>
        <w:rPr>
          <w:b/>
          <w:lang w:val="fr-FR"/>
        </w:rPr>
      </w:pPr>
      <w:r w:rsidRPr="001567E1">
        <w:rPr>
          <w:b/>
          <w:lang w:val="fr-FR"/>
        </w:rPr>
        <w:t>RAPPORT SUR L’ÉTAT DE CONSERVATION DES OISEAUX D’EAU MIGRATEURS DANS L</w:t>
      </w:r>
      <w:r w:rsidR="004E3BA2">
        <w:rPr>
          <w:b/>
          <w:lang w:val="fr-FR"/>
        </w:rPr>
        <w:t>A ZONE</w:t>
      </w:r>
      <w:r w:rsidRPr="001567E1">
        <w:rPr>
          <w:b/>
          <w:lang w:val="fr-FR"/>
        </w:rPr>
        <w:t xml:space="preserve"> DE L’ACCORD</w:t>
      </w:r>
      <w:r w:rsidR="00801A8D" w:rsidRPr="001567E1">
        <w:rPr>
          <w:b/>
          <w:lang w:val="fr-FR"/>
        </w:rPr>
        <w:t xml:space="preserve"> </w:t>
      </w:r>
    </w:p>
    <w:p w14:paraId="3A2A3B7E" w14:textId="6F24CA53" w:rsidR="00801A8D" w:rsidRPr="001567E1" w:rsidRDefault="00801A8D" w:rsidP="00172437">
      <w:pPr>
        <w:tabs>
          <w:tab w:val="center" w:pos="4513"/>
        </w:tabs>
        <w:jc w:val="center"/>
        <w:rPr>
          <w:lang w:val="fr-FR"/>
        </w:rPr>
      </w:pPr>
      <w:r w:rsidRPr="001567E1">
        <w:rPr>
          <w:b/>
          <w:lang w:val="fr-FR"/>
        </w:rPr>
        <w:t xml:space="preserve"> </w:t>
      </w:r>
    </w:p>
    <w:p w14:paraId="06DA3518" w14:textId="78147013" w:rsidR="00801A8D" w:rsidRPr="001567E1" w:rsidRDefault="004E6A0C" w:rsidP="00172437">
      <w:pPr>
        <w:tabs>
          <w:tab w:val="center" w:pos="4513"/>
        </w:tabs>
        <w:jc w:val="center"/>
        <w:rPr>
          <w:lang w:val="fr-FR"/>
        </w:rPr>
      </w:pPr>
      <w:r>
        <w:rPr>
          <w:lang w:val="fr-FR"/>
        </w:rPr>
        <w:t>Septième édition</w:t>
      </w:r>
    </w:p>
    <w:p w14:paraId="7C338972" w14:textId="77777777" w:rsidR="00801A8D" w:rsidRPr="001567E1" w:rsidRDefault="00801A8D" w:rsidP="00172437">
      <w:pPr>
        <w:tabs>
          <w:tab w:val="left" w:pos="-720"/>
        </w:tabs>
        <w:jc w:val="both"/>
        <w:rPr>
          <w:lang w:val="fr-FR"/>
        </w:rPr>
      </w:pPr>
    </w:p>
    <w:p w14:paraId="602CDACD" w14:textId="77777777" w:rsidR="00801A8D" w:rsidRPr="001567E1" w:rsidRDefault="00801A8D" w:rsidP="00172437">
      <w:pPr>
        <w:rPr>
          <w:lang w:val="fr-FR"/>
        </w:rPr>
      </w:pPr>
    </w:p>
    <w:p w14:paraId="33D2E0C9" w14:textId="68C373D9" w:rsidR="00801A8D" w:rsidRPr="001567E1" w:rsidRDefault="009B14FE" w:rsidP="00172437">
      <w:pPr>
        <w:rPr>
          <w:lang w:val="fr-FR"/>
        </w:rPr>
      </w:pPr>
      <w:r>
        <w:rPr>
          <w:b/>
          <w:lang w:val="fr-FR"/>
        </w:rPr>
        <w:t>Introduction</w:t>
      </w:r>
    </w:p>
    <w:p w14:paraId="3C065197" w14:textId="77777777" w:rsidR="00801A8D" w:rsidRPr="001567E1" w:rsidRDefault="00801A8D" w:rsidP="00172437">
      <w:pPr>
        <w:rPr>
          <w:lang w:val="fr-FR"/>
        </w:rPr>
      </w:pPr>
    </w:p>
    <w:p w14:paraId="5974EE23" w14:textId="53E75D03" w:rsidR="00801A8D" w:rsidRPr="001567E1" w:rsidRDefault="007A194E" w:rsidP="00FB148F">
      <w:pPr>
        <w:spacing w:line="280" w:lineRule="auto"/>
        <w:jc w:val="both"/>
        <w:rPr>
          <w:sz w:val="22"/>
          <w:szCs w:val="22"/>
          <w:lang w:val="fr-FR"/>
        </w:rPr>
      </w:pPr>
      <w:r w:rsidRPr="001567E1">
        <w:rPr>
          <w:sz w:val="22"/>
          <w:szCs w:val="22"/>
          <w:lang w:val="fr-FR"/>
        </w:rPr>
        <w:t>L</w:t>
      </w:r>
      <w:r w:rsidR="00723907" w:rsidRPr="001567E1">
        <w:rPr>
          <w:sz w:val="22"/>
          <w:szCs w:val="22"/>
          <w:lang w:val="fr-FR"/>
        </w:rPr>
        <w:t>’</w:t>
      </w:r>
      <w:r w:rsidRPr="001567E1">
        <w:rPr>
          <w:sz w:val="22"/>
          <w:szCs w:val="22"/>
          <w:lang w:val="fr-FR"/>
        </w:rPr>
        <w:t>Article IV du texte de l</w:t>
      </w:r>
      <w:r w:rsidR="00723907" w:rsidRPr="001567E1">
        <w:rPr>
          <w:sz w:val="22"/>
          <w:szCs w:val="22"/>
          <w:lang w:val="fr-FR"/>
        </w:rPr>
        <w:t>’</w:t>
      </w:r>
      <w:r w:rsidRPr="001567E1">
        <w:rPr>
          <w:sz w:val="22"/>
          <w:szCs w:val="22"/>
          <w:lang w:val="fr-FR"/>
        </w:rPr>
        <w:t>Accord introduit le Plan d</w:t>
      </w:r>
      <w:r w:rsidR="00723907" w:rsidRPr="001567E1">
        <w:rPr>
          <w:sz w:val="22"/>
          <w:szCs w:val="22"/>
          <w:lang w:val="fr-FR"/>
        </w:rPr>
        <w:t>’</w:t>
      </w:r>
      <w:r w:rsidRPr="001567E1">
        <w:rPr>
          <w:sz w:val="22"/>
          <w:szCs w:val="22"/>
          <w:lang w:val="fr-FR"/>
        </w:rPr>
        <w:t>action de l</w:t>
      </w:r>
      <w:r w:rsidR="00723907" w:rsidRPr="001567E1">
        <w:rPr>
          <w:sz w:val="22"/>
          <w:szCs w:val="22"/>
          <w:lang w:val="fr-FR"/>
        </w:rPr>
        <w:t>’</w:t>
      </w:r>
      <w:r w:rsidRPr="001567E1">
        <w:rPr>
          <w:sz w:val="22"/>
          <w:szCs w:val="22"/>
          <w:lang w:val="fr-FR"/>
        </w:rPr>
        <w:t>AEWA (Annexe 3 de l</w:t>
      </w:r>
      <w:r w:rsidR="00723907" w:rsidRPr="001567E1">
        <w:rPr>
          <w:sz w:val="22"/>
          <w:szCs w:val="22"/>
          <w:lang w:val="fr-FR"/>
        </w:rPr>
        <w:t>’</w:t>
      </w:r>
      <w:r w:rsidRPr="001567E1">
        <w:rPr>
          <w:sz w:val="22"/>
          <w:szCs w:val="22"/>
          <w:lang w:val="fr-FR"/>
        </w:rPr>
        <w:t>Accord).</w:t>
      </w:r>
      <w:r w:rsidR="00801A8D" w:rsidRPr="001567E1">
        <w:rPr>
          <w:sz w:val="22"/>
          <w:szCs w:val="22"/>
          <w:lang w:val="fr-FR"/>
        </w:rPr>
        <w:t xml:space="preserve"> </w:t>
      </w:r>
      <w:r w:rsidRPr="001567E1">
        <w:rPr>
          <w:sz w:val="22"/>
          <w:szCs w:val="22"/>
          <w:lang w:val="fr-FR"/>
        </w:rPr>
        <w:t>Le Paragraphe 7.4 du Plan d’action de l’AEWA demande au Secrétariat de l’Accord, en coordination avec le Comité technique et les Parties, de préparer une série de sept études internationales sur la mise en œuvre du Plan d’action.</w:t>
      </w:r>
      <w:r w:rsidR="00801A8D" w:rsidRPr="001567E1">
        <w:rPr>
          <w:sz w:val="22"/>
          <w:szCs w:val="22"/>
          <w:lang w:val="fr-FR"/>
        </w:rPr>
        <w:t xml:space="preserve"> </w:t>
      </w:r>
      <w:r w:rsidRPr="001567E1">
        <w:rPr>
          <w:sz w:val="22"/>
          <w:szCs w:val="22"/>
          <w:lang w:val="fr-FR"/>
        </w:rPr>
        <w:t>Ces études doivent être ré</w:t>
      </w:r>
      <w:r w:rsidR="00FB148F" w:rsidRPr="001567E1">
        <w:rPr>
          <w:sz w:val="22"/>
          <w:szCs w:val="22"/>
          <w:lang w:val="fr-FR"/>
        </w:rPr>
        <w:t>dig</w:t>
      </w:r>
      <w:r w:rsidRPr="001567E1">
        <w:rPr>
          <w:sz w:val="22"/>
          <w:szCs w:val="22"/>
          <w:lang w:val="fr-FR"/>
        </w:rPr>
        <w:t>ées à différents intervalles, comme prévu au paragraphe 7.5, et doivent être soumises à la Réunion des Parties (MOP) pour examen.</w:t>
      </w:r>
    </w:p>
    <w:p w14:paraId="75E09E36" w14:textId="77777777" w:rsidR="00801A8D" w:rsidRPr="001567E1" w:rsidRDefault="00801A8D" w:rsidP="00C305F0">
      <w:pPr>
        <w:spacing w:line="276" w:lineRule="auto"/>
        <w:jc w:val="both"/>
        <w:rPr>
          <w:sz w:val="22"/>
          <w:szCs w:val="22"/>
          <w:lang w:val="fr-FR"/>
        </w:rPr>
      </w:pPr>
    </w:p>
    <w:p w14:paraId="4522743B" w14:textId="2938C6D7" w:rsidR="00801A8D" w:rsidRPr="001567E1" w:rsidRDefault="007A194E" w:rsidP="00FB148F">
      <w:pPr>
        <w:spacing w:line="280" w:lineRule="auto"/>
        <w:jc w:val="both"/>
        <w:rPr>
          <w:sz w:val="22"/>
          <w:szCs w:val="22"/>
          <w:lang w:val="fr-FR"/>
        </w:rPr>
      </w:pPr>
      <w:r w:rsidRPr="001567E1">
        <w:rPr>
          <w:sz w:val="22"/>
          <w:szCs w:val="22"/>
          <w:lang w:val="fr-FR"/>
        </w:rPr>
        <w:t xml:space="preserve">Le </w:t>
      </w:r>
      <w:r w:rsidRPr="001567E1">
        <w:rPr>
          <w:i/>
          <w:sz w:val="22"/>
          <w:szCs w:val="22"/>
          <w:lang w:val="fr-FR"/>
        </w:rPr>
        <w:t>Rapport sur l’état de conservation des oiseaux d'eau migrateurs dans l</w:t>
      </w:r>
      <w:r w:rsidR="004E3BA2">
        <w:rPr>
          <w:i/>
          <w:sz w:val="22"/>
          <w:szCs w:val="22"/>
          <w:lang w:val="fr-FR"/>
        </w:rPr>
        <w:t>a zone</w:t>
      </w:r>
      <w:r w:rsidRPr="001567E1">
        <w:rPr>
          <w:i/>
          <w:sz w:val="22"/>
          <w:szCs w:val="22"/>
          <w:lang w:val="fr-FR"/>
        </w:rPr>
        <w:t xml:space="preserve"> de l’Accord</w:t>
      </w:r>
      <w:r w:rsidRPr="001567E1">
        <w:rPr>
          <w:sz w:val="22"/>
          <w:szCs w:val="22"/>
          <w:lang w:val="fr-FR"/>
        </w:rPr>
        <w:t xml:space="preserve"> (ou Rapport sur l’état de conservation - CSR) est l’une de ces sept études internationales.</w:t>
      </w:r>
      <w:r w:rsidR="00801A8D" w:rsidRPr="001567E1">
        <w:rPr>
          <w:sz w:val="22"/>
          <w:szCs w:val="22"/>
          <w:lang w:val="fr-FR"/>
        </w:rPr>
        <w:t xml:space="preserve"> </w:t>
      </w:r>
      <w:r w:rsidRPr="001567E1">
        <w:rPr>
          <w:sz w:val="22"/>
          <w:szCs w:val="22"/>
          <w:lang w:val="fr-FR"/>
        </w:rPr>
        <w:t>Cette étude a été régulièrement produite et soumise à chaque session de la MOP jusqu’à ce jour.</w:t>
      </w:r>
      <w:r w:rsidR="00801A8D" w:rsidRPr="001567E1">
        <w:rPr>
          <w:sz w:val="22"/>
          <w:szCs w:val="22"/>
          <w:lang w:val="fr-FR"/>
        </w:rPr>
        <w:t xml:space="preserve"> </w:t>
      </w:r>
    </w:p>
    <w:p w14:paraId="55D1C397" w14:textId="77777777" w:rsidR="00801A8D" w:rsidRPr="001567E1" w:rsidRDefault="00801A8D" w:rsidP="00C305F0">
      <w:pPr>
        <w:spacing w:line="276" w:lineRule="auto"/>
        <w:jc w:val="both"/>
        <w:rPr>
          <w:sz w:val="22"/>
          <w:szCs w:val="22"/>
          <w:lang w:val="fr-FR"/>
        </w:rPr>
      </w:pPr>
    </w:p>
    <w:p w14:paraId="6B494E9F" w14:textId="73277CCC" w:rsidR="00801A8D" w:rsidRPr="001567E1" w:rsidRDefault="007A194E" w:rsidP="00FB148F">
      <w:pPr>
        <w:spacing w:line="280" w:lineRule="auto"/>
        <w:jc w:val="both"/>
        <w:rPr>
          <w:sz w:val="22"/>
          <w:szCs w:val="22"/>
          <w:lang w:val="fr-FR"/>
        </w:rPr>
      </w:pPr>
      <w:r w:rsidRPr="001567E1">
        <w:rPr>
          <w:sz w:val="22"/>
          <w:szCs w:val="22"/>
          <w:lang w:val="fr-FR"/>
        </w:rPr>
        <w:t>Conformément au paragraphe 7.5, qui détermine la fréquence de chaque étude internationale, ce rapport doit être produit pour chaque session de la MOP.</w:t>
      </w:r>
      <w:r w:rsidR="00801A8D" w:rsidRPr="001567E1">
        <w:rPr>
          <w:sz w:val="22"/>
          <w:szCs w:val="22"/>
          <w:lang w:val="fr-FR"/>
        </w:rPr>
        <w:t xml:space="preserve"> </w:t>
      </w:r>
      <w:r w:rsidRPr="001567E1">
        <w:rPr>
          <w:sz w:val="22"/>
          <w:szCs w:val="22"/>
          <w:lang w:val="fr-FR"/>
        </w:rPr>
        <w:t>La 7</w:t>
      </w:r>
      <w:r w:rsidR="00BC4D45">
        <w:rPr>
          <w:sz w:val="22"/>
          <w:szCs w:val="22"/>
          <w:vertAlign w:val="superscript"/>
          <w:lang w:val="fr-FR"/>
        </w:rPr>
        <w:t>ème</w:t>
      </w:r>
      <w:r w:rsidRPr="001567E1">
        <w:rPr>
          <w:sz w:val="22"/>
          <w:szCs w:val="22"/>
          <w:lang w:val="fr-FR"/>
        </w:rPr>
        <w:t xml:space="preserve"> édition du Rapport sur l’état de conservation des oiseaux d'eau migrateurs dans l</w:t>
      </w:r>
      <w:r w:rsidR="004E3BA2">
        <w:rPr>
          <w:sz w:val="22"/>
          <w:szCs w:val="22"/>
          <w:lang w:val="fr-FR"/>
        </w:rPr>
        <w:t>a zone</w:t>
      </w:r>
      <w:r w:rsidRPr="001567E1">
        <w:rPr>
          <w:sz w:val="22"/>
          <w:szCs w:val="22"/>
          <w:lang w:val="fr-FR"/>
        </w:rPr>
        <w:t xml:space="preserve"> de l’Accord (CSR7), comme prévu au point 7.4(a) du Plan d’action de l’Accord, sera soumise à la 7</w:t>
      </w:r>
      <w:r w:rsidR="00BC4D45">
        <w:rPr>
          <w:sz w:val="22"/>
          <w:szCs w:val="22"/>
          <w:vertAlign w:val="superscript"/>
          <w:lang w:val="fr-FR"/>
        </w:rPr>
        <w:t>ème</w:t>
      </w:r>
      <w:r w:rsidRPr="001567E1">
        <w:rPr>
          <w:sz w:val="22"/>
          <w:szCs w:val="22"/>
          <w:lang w:val="fr-FR"/>
        </w:rPr>
        <w:t xml:space="preserve"> session de la Réunion des Parties à l’AEWA en décembre 2018.</w:t>
      </w:r>
    </w:p>
    <w:p w14:paraId="765A10A3" w14:textId="77777777" w:rsidR="00801A8D" w:rsidRPr="001567E1" w:rsidRDefault="00801A8D" w:rsidP="00C305F0">
      <w:pPr>
        <w:spacing w:line="276" w:lineRule="auto"/>
        <w:jc w:val="both"/>
        <w:rPr>
          <w:sz w:val="22"/>
          <w:szCs w:val="22"/>
          <w:lang w:val="fr-FR"/>
        </w:rPr>
      </w:pPr>
    </w:p>
    <w:p w14:paraId="783D2630" w14:textId="7140980F" w:rsidR="00801A8D" w:rsidRPr="001567E1" w:rsidRDefault="007A194E" w:rsidP="00FB148F">
      <w:pPr>
        <w:spacing w:line="280" w:lineRule="auto"/>
        <w:jc w:val="both"/>
        <w:rPr>
          <w:sz w:val="22"/>
          <w:szCs w:val="22"/>
          <w:lang w:val="fr-FR"/>
        </w:rPr>
      </w:pPr>
      <w:r w:rsidRPr="001567E1">
        <w:rPr>
          <w:sz w:val="22"/>
          <w:szCs w:val="22"/>
          <w:lang w:val="fr-FR"/>
        </w:rPr>
        <w:t xml:space="preserve">Le Secretariat a </w:t>
      </w:r>
      <w:r w:rsidR="004E3BA2">
        <w:rPr>
          <w:sz w:val="22"/>
          <w:szCs w:val="22"/>
          <w:lang w:val="fr-FR"/>
        </w:rPr>
        <w:t>confié à</w:t>
      </w:r>
      <w:r w:rsidRPr="001567E1">
        <w:rPr>
          <w:sz w:val="22"/>
          <w:szCs w:val="22"/>
          <w:lang w:val="fr-FR"/>
        </w:rPr>
        <w:t xml:space="preserve"> Wetlands International la production du CSR7 en juin 2017. Pour s’assurer que les meilleures connaissances disponibles sont utilisées, les Parties contractantes à l’AEWA ont été invitées à examiner les avant-projets d’évaluation de l’état</w:t>
      </w:r>
      <w:r w:rsidR="005A125E" w:rsidRPr="001567E1">
        <w:rPr>
          <w:sz w:val="22"/>
          <w:szCs w:val="22"/>
          <w:lang w:val="fr-FR"/>
        </w:rPr>
        <w:t xml:space="preserve"> de conservation</w:t>
      </w:r>
      <w:r w:rsidRPr="001567E1">
        <w:rPr>
          <w:sz w:val="22"/>
          <w:szCs w:val="22"/>
          <w:lang w:val="fr-FR"/>
        </w:rPr>
        <w:t xml:space="preserve"> produits (tailles et tendances des populations révisées) </w:t>
      </w:r>
      <w:r w:rsidR="005A125E" w:rsidRPr="001567E1">
        <w:rPr>
          <w:sz w:val="22"/>
          <w:szCs w:val="22"/>
          <w:lang w:val="fr-FR"/>
        </w:rPr>
        <w:t>e</w:t>
      </w:r>
      <w:r w:rsidRPr="001567E1">
        <w:rPr>
          <w:sz w:val="22"/>
          <w:szCs w:val="22"/>
          <w:lang w:val="fr-FR"/>
        </w:rPr>
        <w:t xml:space="preserve">n </w:t>
      </w:r>
      <w:r w:rsidR="005A125E" w:rsidRPr="001567E1">
        <w:rPr>
          <w:sz w:val="22"/>
          <w:szCs w:val="22"/>
          <w:lang w:val="fr-FR"/>
        </w:rPr>
        <w:t>n</w:t>
      </w:r>
      <w:r w:rsidRPr="001567E1">
        <w:rPr>
          <w:sz w:val="22"/>
          <w:szCs w:val="22"/>
          <w:lang w:val="fr-FR"/>
        </w:rPr>
        <w:t>ovembr</w:t>
      </w:r>
      <w:r w:rsidR="005A125E" w:rsidRPr="001567E1">
        <w:rPr>
          <w:sz w:val="22"/>
          <w:szCs w:val="22"/>
          <w:lang w:val="fr-FR"/>
        </w:rPr>
        <w:t>e</w:t>
      </w:r>
      <w:r w:rsidRPr="001567E1">
        <w:rPr>
          <w:sz w:val="22"/>
          <w:szCs w:val="22"/>
          <w:lang w:val="fr-FR"/>
        </w:rPr>
        <w:t xml:space="preserve"> 2017, </w:t>
      </w:r>
      <w:r w:rsidR="005A125E" w:rsidRPr="001567E1">
        <w:rPr>
          <w:sz w:val="22"/>
          <w:szCs w:val="22"/>
          <w:lang w:val="fr-FR"/>
        </w:rPr>
        <w:t>qui</w:t>
      </w:r>
      <w:r w:rsidRPr="001567E1">
        <w:rPr>
          <w:sz w:val="22"/>
          <w:szCs w:val="22"/>
          <w:lang w:val="fr-FR"/>
        </w:rPr>
        <w:t xml:space="preserve">, </w:t>
      </w:r>
      <w:r w:rsidR="005A125E" w:rsidRPr="001567E1">
        <w:rPr>
          <w:sz w:val="22"/>
          <w:szCs w:val="22"/>
          <w:lang w:val="fr-FR"/>
        </w:rPr>
        <w:t>après l’incorporation des leurs commentaires</w:t>
      </w:r>
      <w:r w:rsidRPr="001567E1">
        <w:rPr>
          <w:sz w:val="22"/>
          <w:szCs w:val="22"/>
          <w:lang w:val="fr-FR"/>
        </w:rPr>
        <w:t xml:space="preserve">, </w:t>
      </w:r>
      <w:r w:rsidR="005A125E" w:rsidRPr="001567E1">
        <w:rPr>
          <w:sz w:val="22"/>
          <w:szCs w:val="22"/>
          <w:lang w:val="fr-FR"/>
        </w:rPr>
        <w:t>ont formé la base</w:t>
      </w:r>
      <w:r w:rsidRPr="001567E1">
        <w:rPr>
          <w:sz w:val="22"/>
          <w:szCs w:val="22"/>
          <w:lang w:val="fr-FR"/>
        </w:rPr>
        <w:t xml:space="preserve"> </w:t>
      </w:r>
      <w:r w:rsidR="005A125E" w:rsidRPr="001567E1">
        <w:rPr>
          <w:sz w:val="22"/>
          <w:szCs w:val="22"/>
          <w:lang w:val="fr-FR"/>
        </w:rPr>
        <w:t>servant à produire le premier avant-projet de rapport.</w:t>
      </w:r>
      <w:r w:rsidR="00801A8D" w:rsidRPr="001567E1">
        <w:rPr>
          <w:sz w:val="22"/>
          <w:szCs w:val="22"/>
          <w:lang w:val="fr-FR"/>
        </w:rPr>
        <w:t xml:space="preserve"> </w:t>
      </w:r>
    </w:p>
    <w:p w14:paraId="5CEEEBB5" w14:textId="77777777" w:rsidR="00801A8D" w:rsidRPr="001567E1" w:rsidRDefault="00801A8D" w:rsidP="00C305F0">
      <w:pPr>
        <w:spacing w:line="276" w:lineRule="auto"/>
        <w:jc w:val="both"/>
        <w:rPr>
          <w:sz w:val="22"/>
          <w:szCs w:val="22"/>
          <w:lang w:val="fr-FR"/>
        </w:rPr>
      </w:pPr>
    </w:p>
    <w:p w14:paraId="54D56ABA" w14:textId="70C50675" w:rsidR="00801A8D" w:rsidRPr="001567E1" w:rsidRDefault="005A125E" w:rsidP="00FB148F">
      <w:pPr>
        <w:spacing w:line="280" w:lineRule="auto"/>
        <w:jc w:val="both"/>
        <w:rPr>
          <w:sz w:val="22"/>
          <w:szCs w:val="22"/>
          <w:lang w:val="fr-FR"/>
        </w:rPr>
      </w:pPr>
      <w:r w:rsidRPr="001567E1">
        <w:rPr>
          <w:sz w:val="22"/>
          <w:szCs w:val="22"/>
          <w:lang w:val="fr-FR"/>
        </w:rPr>
        <w:t>Cet avant-projet a été examiné et approuvé par le Comité technique lors de sa 14</w:t>
      </w:r>
      <w:r w:rsidR="00BC4D45">
        <w:rPr>
          <w:sz w:val="22"/>
          <w:szCs w:val="22"/>
          <w:vertAlign w:val="superscript"/>
          <w:lang w:val="fr-FR"/>
        </w:rPr>
        <w:t>ème</w:t>
      </w:r>
      <w:r w:rsidRPr="001567E1">
        <w:rPr>
          <w:sz w:val="22"/>
          <w:szCs w:val="22"/>
          <w:lang w:val="fr-FR"/>
        </w:rPr>
        <w:t xml:space="preserve"> réunion, en avril 2018, pour soumission à la StC13 et à la MOP7.</w:t>
      </w:r>
    </w:p>
    <w:p w14:paraId="1A6C3199" w14:textId="4F8C1A84" w:rsidR="00801A8D" w:rsidRPr="001567E1" w:rsidRDefault="00801A8D" w:rsidP="00172437">
      <w:pPr>
        <w:rPr>
          <w:lang w:val="fr-FR"/>
        </w:rPr>
      </w:pPr>
    </w:p>
    <w:p w14:paraId="4CE20B7A" w14:textId="77777777" w:rsidR="00172437" w:rsidRPr="001567E1" w:rsidRDefault="00172437" w:rsidP="00172437">
      <w:pPr>
        <w:rPr>
          <w:lang w:val="fr-FR"/>
        </w:rPr>
      </w:pPr>
    </w:p>
    <w:p w14:paraId="43B76DC2" w14:textId="1C0C4B72" w:rsidR="00801A8D" w:rsidRPr="001567E1" w:rsidRDefault="005A125E" w:rsidP="00172437">
      <w:pPr>
        <w:rPr>
          <w:b/>
          <w:lang w:val="fr-FR"/>
        </w:rPr>
      </w:pPr>
      <w:r w:rsidRPr="001567E1">
        <w:rPr>
          <w:b/>
          <w:lang w:val="fr-FR"/>
        </w:rPr>
        <w:t>Action requise du Comité permanent</w:t>
      </w:r>
    </w:p>
    <w:p w14:paraId="6EFA87A3" w14:textId="77777777" w:rsidR="00801A8D" w:rsidRPr="001567E1" w:rsidRDefault="00801A8D" w:rsidP="00172437">
      <w:pPr>
        <w:rPr>
          <w:lang w:val="fr-FR"/>
        </w:rPr>
      </w:pPr>
    </w:p>
    <w:p w14:paraId="6272AD71" w14:textId="6D11E1B4" w:rsidR="00801A8D" w:rsidRPr="001567E1" w:rsidRDefault="005A125E" w:rsidP="00FB148F">
      <w:pPr>
        <w:spacing w:line="280" w:lineRule="auto"/>
        <w:jc w:val="both"/>
        <w:rPr>
          <w:sz w:val="22"/>
          <w:szCs w:val="22"/>
          <w:lang w:val="fr-FR"/>
        </w:rPr>
      </w:pPr>
      <w:r w:rsidRPr="001567E1">
        <w:rPr>
          <w:sz w:val="22"/>
          <w:szCs w:val="22"/>
          <w:lang w:val="fr-FR"/>
        </w:rPr>
        <w:t>Le Comité permanent est prié de prendre note de la 7</w:t>
      </w:r>
      <w:r w:rsidR="00BC4D45">
        <w:rPr>
          <w:sz w:val="22"/>
          <w:szCs w:val="22"/>
          <w:vertAlign w:val="superscript"/>
          <w:lang w:val="fr-FR"/>
        </w:rPr>
        <w:t>ème</w:t>
      </w:r>
      <w:r w:rsidRPr="001567E1">
        <w:rPr>
          <w:sz w:val="22"/>
          <w:szCs w:val="22"/>
          <w:lang w:val="fr-FR"/>
        </w:rPr>
        <w:t xml:space="preserve"> édition du Rapport de l’AEWA sur l’état de conservation, pour soumission à la 7</w:t>
      </w:r>
      <w:r w:rsidR="00BC4D45">
        <w:rPr>
          <w:sz w:val="22"/>
          <w:szCs w:val="22"/>
          <w:vertAlign w:val="superscript"/>
          <w:lang w:val="fr-FR"/>
        </w:rPr>
        <w:t>ème</w:t>
      </w:r>
      <w:r w:rsidRPr="001567E1">
        <w:rPr>
          <w:sz w:val="22"/>
          <w:szCs w:val="22"/>
          <w:lang w:val="fr-FR"/>
        </w:rPr>
        <w:t xml:space="preserve"> session de la Réunion des Parties à </w:t>
      </w:r>
      <w:r w:rsidR="001567E1" w:rsidRPr="001567E1">
        <w:rPr>
          <w:sz w:val="22"/>
          <w:szCs w:val="22"/>
          <w:lang w:val="fr-FR"/>
        </w:rPr>
        <w:t>l’AEWA.</w:t>
      </w:r>
    </w:p>
    <w:p w14:paraId="3A4AE948" w14:textId="77777777" w:rsidR="00C305F0" w:rsidRPr="001567E1" w:rsidRDefault="00C305F0" w:rsidP="00801A8D">
      <w:pPr>
        <w:spacing w:line="276" w:lineRule="auto"/>
        <w:jc w:val="both"/>
        <w:rPr>
          <w:sz w:val="22"/>
          <w:szCs w:val="22"/>
          <w:lang w:val="fr-FR"/>
        </w:rPr>
        <w:sectPr w:rsidR="00C305F0" w:rsidRPr="001567E1" w:rsidSect="00801A8D">
          <w:headerReference w:type="default" r:id="rId8"/>
          <w:footerReference w:type="default" r:id="rId9"/>
          <w:pgSz w:w="11907" w:h="16840" w:code="9"/>
          <w:pgMar w:top="1134" w:right="1134" w:bottom="1134" w:left="1134" w:header="720" w:footer="720" w:gutter="0"/>
          <w:pgNumType w:start="1"/>
          <w:cols w:space="720"/>
        </w:sectPr>
      </w:pPr>
    </w:p>
    <w:p w14:paraId="50857672" w14:textId="26719CD3" w:rsidR="00F71FDF" w:rsidRPr="001567E1" w:rsidRDefault="00F71FDF" w:rsidP="00F41E89">
      <w:pPr>
        <w:tabs>
          <w:tab w:val="center" w:pos="4513"/>
        </w:tabs>
        <w:jc w:val="center"/>
        <w:rPr>
          <w:b/>
          <w:lang w:val="fr-FR"/>
        </w:rPr>
      </w:pPr>
    </w:p>
    <w:p w14:paraId="00DBED65" w14:textId="77777777" w:rsidR="00741F7A" w:rsidRPr="001567E1" w:rsidRDefault="00741F7A">
      <w:pPr>
        <w:pStyle w:val="Normal1"/>
        <w:rPr>
          <w:lang w:val="fr-FR"/>
        </w:rPr>
      </w:pPr>
    </w:p>
    <w:p w14:paraId="102EEF3F" w14:textId="77777777" w:rsidR="00741F7A" w:rsidRPr="001567E1" w:rsidRDefault="00741F7A">
      <w:pPr>
        <w:pStyle w:val="Normal1"/>
        <w:widowControl w:val="0"/>
        <w:spacing w:line="276" w:lineRule="auto"/>
        <w:rPr>
          <w:lang w:val="fr-FR"/>
        </w:rPr>
      </w:pPr>
    </w:p>
    <w:p w14:paraId="739CF629" w14:textId="77777777" w:rsidR="00741F7A" w:rsidRPr="001567E1" w:rsidRDefault="00741F7A">
      <w:pPr>
        <w:pStyle w:val="Normal1"/>
        <w:tabs>
          <w:tab w:val="center" w:pos="4513"/>
        </w:tabs>
        <w:jc w:val="center"/>
        <w:rPr>
          <w:lang w:val="fr-FR"/>
        </w:rPr>
      </w:pPr>
    </w:p>
    <w:p w14:paraId="679C8A07" w14:textId="77777777" w:rsidR="00741F7A" w:rsidRPr="001567E1" w:rsidRDefault="00741F7A">
      <w:pPr>
        <w:pStyle w:val="Normal1"/>
        <w:tabs>
          <w:tab w:val="center" w:pos="4513"/>
        </w:tabs>
        <w:jc w:val="center"/>
        <w:rPr>
          <w:lang w:val="fr-FR"/>
        </w:rPr>
      </w:pPr>
    </w:p>
    <w:p w14:paraId="7B680BD3" w14:textId="77777777" w:rsidR="00741F7A" w:rsidRPr="001567E1" w:rsidRDefault="00741F7A">
      <w:pPr>
        <w:pStyle w:val="Normal1"/>
        <w:tabs>
          <w:tab w:val="center" w:pos="4513"/>
        </w:tabs>
        <w:jc w:val="center"/>
        <w:rPr>
          <w:lang w:val="fr-FR"/>
        </w:rPr>
      </w:pPr>
    </w:p>
    <w:p w14:paraId="619AA353" w14:textId="77777777" w:rsidR="00741F7A" w:rsidRPr="001567E1" w:rsidRDefault="00741F7A">
      <w:pPr>
        <w:pStyle w:val="Normal1"/>
        <w:tabs>
          <w:tab w:val="center" w:pos="4513"/>
        </w:tabs>
        <w:jc w:val="center"/>
        <w:rPr>
          <w:lang w:val="fr-FR"/>
        </w:rPr>
      </w:pPr>
    </w:p>
    <w:p w14:paraId="047882CB" w14:textId="09B23818" w:rsidR="00741F7A" w:rsidRPr="001567E1" w:rsidRDefault="00346745">
      <w:pPr>
        <w:pStyle w:val="Normal1"/>
        <w:tabs>
          <w:tab w:val="center" w:pos="4513"/>
        </w:tabs>
        <w:jc w:val="center"/>
        <w:rPr>
          <w:lang w:val="fr-FR"/>
        </w:rPr>
      </w:pPr>
      <w:r w:rsidRPr="001567E1">
        <w:rPr>
          <w:b/>
          <w:sz w:val="36"/>
          <w:lang w:val="fr-FR"/>
        </w:rPr>
        <w:t>Rapport sur l’état de conservation des oiseaux d’eau migrateurs dans l</w:t>
      </w:r>
      <w:r w:rsidR="004E3BA2">
        <w:rPr>
          <w:b/>
          <w:sz w:val="36"/>
          <w:lang w:val="fr-FR"/>
        </w:rPr>
        <w:t>a zone</w:t>
      </w:r>
      <w:r w:rsidRPr="001567E1">
        <w:rPr>
          <w:b/>
          <w:sz w:val="36"/>
          <w:lang w:val="fr-FR"/>
        </w:rPr>
        <w:t xml:space="preserve"> de l’</w:t>
      </w:r>
      <w:r w:rsidR="004E3BA2">
        <w:rPr>
          <w:b/>
          <w:sz w:val="36"/>
          <w:lang w:val="fr-FR"/>
        </w:rPr>
        <w:t>A</w:t>
      </w:r>
      <w:r w:rsidRPr="001567E1">
        <w:rPr>
          <w:b/>
          <w:sz w:val="36"/>
          <w:lang w:val="fr-FR"/>
        </w:rPr>
        <w:t>ccord</w:t>
      </w:r>
    </w:p>
    <w:p w14:paraId="1E3E5ED8" w14:textId="77777777" w:rsidR="00741F7A" w:rsidRPr="001567E1" w:rsidRDefault="00741F7A">
      <w:pPr>
        <w:pStyle w:val="Normal1"/>
        <w:tabs>
          <w:tab w:val="center" w:pos="4513"/>
        </w:tabs>
        <w:jc w:val="both"/>
        <w:rPr>
          <w:lang w:val="fr-FR"/>
        </w:rPr>
      </w:pPr>
    </w:p>
    <w:p w14:paraId="59C947AE" w14:textId="77777777" w:rsidR="00741F7A" w:rsidRPr="001567E1" w:rsidRDefault="00741F7A">
      <w:pPr>
        <w:pStyle w:val="Normal1"/>
        <w:tabs>
          <w:tab w:val="left" w:pos="-720"/>
        </w:tabs>
        <w:jc w:val="both"/>
        <w:rPr>
          <w:lang w:val="fr-FR"/>
        </w:rPr>
      </w:pPr>
    </w:p>
    <w:p w14:paraId="19CFB56E" w14:textId="1CBAC741" w:rsidR="00741F7A" w:rsidRPr="001567E1" w:rsidRDefault="00346745">
      <w:pPr>
        <w:pStyle w:val="Normal1"/>
        <w:jc w:val="center"/>
        <w:rPr>
          <w:lang w:val="fr-FR"/>
        </w:rPr>
      </w:pPr>
      <w:r w:rsidRPr="001567E1">
        <w:rPr>
          <w:sz w:val="28"/>
          <w:lang w:val="fr-FR"/>
        </w:rPr>
        <w:t>Septième édition</w:t>
      </w:r>
    </w:p>
    <w:p w14:paraId="507000EC" w14:textId="77777777" w:rsidR="00741F7A" w:rsidRPr="001567E1" w:rsidRDefault="00741F7A">
      <w:pPr>
        <w:pStyle w:val="Normal1"/>
        <w:jc w:val="center"/>
        <w:rPr>
          <w:lang w:val="fr-FR"/>
        </w:rPr>
      </w:pPr>
    </w:p>
    <w:p w14:paraId="73E02DE8" w14:textId="77777777" w:rsidR="00741F7A" w:rsidRPr="001567E1" w:rsidRDefault="00741F7A">
      <w:pPr>
        <w:pStyle w:val="Normal1"/>
        <w:jc w:val="center"/>
        <w:rPr>
          <w:lang w:val="fr-FR"/>
        </w:rPr>
      </w:pPr>
    </w:p>
    <w:p w14:paraId="7A4E04C1" w14:textId="77777777" w:rsidR="00741F7A" w:rsidRPr="001567E1" w:rsidRDefault="00741F7A">
      <w:pPr>
        <w:pStyle w:val="Normal1"/>
        <w:jc w:val="center"/>
        <w:rPr>
          <w:lang w:val="fr-FR"/>
        </w:rPr>
      </w:pPr>
    </w:p>
    <w:p w14:paraId="1E195A79" w14:textId="77777777" w:rsidR="00741F7A" w:rsidRPr="001567E1" w:rsidRDefault="00741F7A">
      <w:pPr>
        <w:pStyle w:val="Normal1"/>
        <w:jc w:val="center"/>
        <w:rPr>
          <w:lang w:val="fr-FR"/>
        </w:rPr>
      </w:pPr>
    </w:p>
    <w:p w14:paraId="4DB09F42" w14:textId="37DB7E7F" w:rsidR="00741F7A" w:rsidRPr="001567E1" w:rsidRDefault="00346745">
      <w:pPr>
        <w:pStyle w:val="Normal1"/>
        <w:jc w:val="center"/>
        <w:rPr>
          <w:lang w:val="fr-FR"/>
        </w:rPr>
      </w:pPr>
      <w:r w:rsidRPr="001567E1">
        <w:rPr>
          <w:sz w:val="28"/>
          <w:lang w:val="fr-FR"/>
        </w:rPr>
        <w:t>Février 2018</w:t>
      </w:r>
    </w:p>
    <w:p w14:paraId="0BDA95E0" w14:textId="77777777" w:rsidR="00741F7A" w:rsidRPr="001567E1" w:rsidRDefault="00741F7A">
      <w:pPr>
        <w:pStyle w:val="Normal1"/>
        <w:jc w:val="center"/>
        <w:rPr>
          <w:lang w:val="fr-FR"/>
        </w:rPr>
      </w:pPr>
    </w:p>
    <w:p w14:paraId="5BB45F41" w14:textId="77777777" w:rsidR="00741F7A" w:rsidRPr="001567E1" w:rsidRDefault="00741F7A">
      <w:pPr>
        <w:pStyle w:val="Normal1"/>
        <w:jc w:val="center"/>
        <w:rPr>
          <w:lang w:val="fr-FR"/>
        </w:rPr>
      </w:pPr>
    </w:p>
    <w:p w14:paraId="31B73940" w14:textId="77777777" w:rsidR="00741F7A" w:rsidRPr="001567E1" w:rsidRDefault="00741F7A">
      <w:pPr>
        <w:pStyle w:val="Normal1"/>
        <w:jc w:val="center"/>
        <w:rPr>
          <w:lang w:val="fr-FR"/>
        </w:rPr>
      </w:pPr>
    </w:p>
    <w:p w14:paraId="5D1C10A8" w14:textId="77777777" w:rsidR="00741F7A" w:rsidRPr="001567E1" w:rsidRDefault="00741F7A">
      <w:pPr>
        <w:pStyle w:val="Normal1"/>
        <w:jc w:val="center"/>
        <w:rPr>
          <w:lang w:val="fr-FR"/>
        </w:rPr>
      </w:pPr>
    </w:p>
    <w:p w14:paraId="18B7F704" w14:textId="77777777" w:rsidR="00741F7A" w:rsidRPr="001567E1" w:rsidRDefault="00741F7A">
      <w:pPr>
        <w:pStyle w:val="Normal1"/>
        <w:jc w:val="center"/>
        <w:rPr>
          <w:lang w:val="fr-FR"/>
        </w:rPr>
      </w:pPr>
    </w:p>
    <w:p w14:paraId="648C2333" w14:textId="77777777" w:rsidR="00741F7A" w:rsidRPr="001567E1" w:rsidRDefault="00741F7A">
      <w:pPr>
        <w:pStyle w:val="Normal1"/>
        <w:jc w:val="center"/>
        <w:rPr>
          <w:lang w:val="fr-FR"/>
        </w:rPr>
      </w:pPr>
    </w:p>
    <w:p w14:paraId="6F2F580E" w14:textId="77777777" w:rsidR="00741F7A" w:rsidRPr="001567E1" w:rsidRDefault="00741F7A">
      <w:pPr>
        <w:pStyle w:val="Normal1"/>
        <w:jc w:val="center"/>
        <w:rPr>
          <w:lang w:val="fr-FR"/>
        </w:rPr>
      </w:pPr>
    </w:p>
    <w:p w14:paraId="06520CF2" w14:textId="77777777" w:rsidR="00741F7A" w:rsidRPr="001567E1" w:rsidRDefault="00741F7A">
      <w:pPr>
        <w:pStyle w:val="Normal1"/>
        <w:jc w:val="center"/>
        <w:rPr>
          <w:lang w:val="fr-FR"/>
        </w:rPr>
      </w:pPr>
    </w:p>
    <w:p w14:paraId="14C75D22" w14:textId="77777777" w:rsidR="00741F7A" w:rsidRPr="001567E1" w:rsidRDefault="00741F7A">
      <w:pPr>
        <w:pStyle w:val="Normal1"/>
        <w:jc w:val="center"/>
        <w:rPr>
          <w:lang w:val="fr-FR"/>
        </w:rPr>
      </w:pPr>
    </w:p>
    <w:p w14:paraId="3F4CA430" w14:textId="77777777" w:rsidR="00741F7A" w:rsidRPr="001567E1" w:rsidRDefault="00741F7A">
      <w:pPr>
        <w:pStyle w:val="Normal1"/>
        <w:jc w:val="center"/>
        <w:rPr>
          <w:lang w:val="fr-FR"/>
        </w:rPr>
      </w:pPr>
    </w:p>
    <w:p w14:paraId="7A43A02C" w14:textId="77777777" w:rsidR="00741F7A" w:rsidRPr="001567E1" w:rsidRDefault="00741F7A">
      <w:pPr>
        <w:pStyle w:val="Normal1"/>
        <w:jc w:val="center"/>
        <w:rPr>
          <w:lang w:val="fr-FR"/>
        </w:rPr>
      </w:pPr>
    </w:p>
    <w:p w14:paraId="0F64B6EB" w14:textId="77777777" w:rsidR="00741F7A" w:rsidRPr="001567E1" w:rsidRDefault="00741F7A">
      <w:pPr>
        <w:pStyle w:val="Normal1"/>
        <w:jc w:val="center"/>
        <w:rPr>
          <w:lang w:val="fr-FR"/>
        </w:rPr>
      </w:pPr>
    </w:p>
    <w:p w14:paraId="25C9FD76" w14:textId="77777777" w:rsidR="00741F7A" w:rsidRPr="001567E1" w:rsidRDefault="00741F7A">
      <w:pPr>
        <w:pStyle w:val="Normal1"/>
        <w:jc w:val="center"/>
        <w:rPr>
          <w:lang w:val="fr-FR"/>
        </w:rPr>
      </w:pPr>
    </w:p>
    <w:p w14:paraId="510D5229" w14:textId="77777777" w:rsidR="00741F7A" w:rsidRPr="001567E1" w:rsidRDefault="00741F7A">
      <w:pPr>
        <w:pStyle w:val="Normal1"/>
        <w:jc w:val="center"/>
        <w:rPr>
          <w:lang w:val="fr-FR"/>
        </w:rPr>
      </w:pPr>
    </w:p>
    <w:p w14:paraId="0715D4E0" w14:textId="19A5DDB6" w:rsidR="00741F7A" w:rsidRPr="001567E1" w:rsidRDefault="00346745">
      <w:pPr>
        <w:pStyle w:val="Normal1"/>
        <w:jc w:val="center"/>
        <w:rPr>
          <w:lang w:val="fr-FR"/>
        </w:rPr>
      </w:pPr>
      <w:r w:rsidRPr="001567E1">
        <w:rPr>
          <w:b/>
          <w:lang w:val="fr-FR"/>
        </w:rPr>
        <w:t>Rapport rédigé par Wetlands International</w:t>
      </w:r>
    </w:p>
    <w:p w14:paraId="6B945104" w14:textId="77777777" w:rsidR="00741F7A" w:rsidRPr="001567E1" w:rsidRDefault="00741F7A">
      <w:pPr>
        <w:pStyle w:val="Normal1"/>
        <w:jc w:val="center"/>
        <w:rPr>
          <w:lang w:val="fr-FR"/>
        </w:rPr>
      </w:pPr>
    </w:p>
    <w:p w14:paraId="33F4F6C6" w14:textId="64BFF355" w:rsidR="00741F7A" w:rsidRPr="001567E1" w:rsidRDefault="00346745">
      <w:pPr>
        <w:pStyle w:val="Normal1"/>
        <w:jc w:val="center"/>
        <w:rPr>
          <w:lang w:val="fr-FR"/>
        </w:rPr>
      </w:pPr>
      <w:r w:rsidRPr="001567E1">
        <w:rPr>
          <w:i/>
          <w:lang w:val="fr-FR"/>
        </w:rPr>
        <w:t>Szabolcs Nagy et Tom Langendoen</w:t>
      </w:r>
      <w:r w:rsidR="00832DD4" w:rsidRPr="001567E1">
        <w:rPr>
          <w:i/>
          <w:lang w:val="fr-FR"/>
        </w:rPr>
        <w:t xml:space="preserve"> </w:t>
      </w:r>
    </w:p>
    <w:p w14:paraId="57ABC832" w14:textId="77777777" w:rsidR="00741F7A" w:rsidRPr="001567E1" w:rsidRDefault="00741F7A">
      <w:pPr>
        <w:pStyle w:val="Normal1"/>
        <w:jc w:val="center"/>
        <w:rPr>
          <w:lang w:val="fr-FR"/>
        </w:rPr>
      </w:pPr>
    </w:p>
    <w:p w14:paraId="742BFDD4" w14:textId="624CBA0B" w:rsidR="00741F7A" w:rsidRPr="001567E1" w:rsidRDefault="00346745">
      <w:pPr>
        <w:pStyle w:val="Normal1"/>
        <w:jc w:val="center"/>
        <w:rPr>
          <w:lang w:val="fr-FR"/>
        </w:rPr>
      </w:pPr>
      <w:r w:rsidRPr="001567E1">
        <w:rPr>
          <w:b/>
          <w:lang w:val="fr-FR"/>
        </w:rPr>
        <w:t>avec la contribution de</w:t>
      </w:r>
      <w:r w:rsidR="00832DD4" w:rsidRPr="001567E1">
        <w:rPr>
          <w:b/>
          <w:lang w:val="fr-FR"/>
        </w:rPr>
        <w:t xml:space="preserve"> </w:t>
      </w:r>
    </w:p>
    <w:p w14:paraId="56B59BC9" w14:textId="313400E5" w:rsidR="00741F7A" w:rsidRPr="00396BA4" w:rsidRDefault="00832DD4">
      <w:pPr>
        <w:pStyle w:val="Normal1"/>
        <w:jc w:val="center"/>
        <w:rPr>
          <w:lang w:val="fr-FR"/>
        </w:rPr>
      </w:pPr>
      <w:r w:rsidRPr="00396BA4">
        <w:rPr>
          <w:i/>
          <w:lang w:val="fr-FR"/>
        </w:rPr>
        <w:br/>
        <w:t xml:space="preserve"> </w:t>
      </w:r>
      <w:r w:rsidR="00346745" w:rsidRPr="00396BA4">
        <w:rPr>
          <w:i/>
          <w:lang w:val="fr-FR"/>
        </w:rPr>
        <w:t>Marc van Roomen, Erik van Winden, Per-Arvid Berglund, Jonas Hentati-Sundberg, Andrea Angel, Ross Wanless, Stuart Butchart, Ian Burfield, Tim Dodman, Rob Sheldon et Tony Fox</w:t>
      </w:r>
      <w:r w:rsidRPr="00396BA4">
        <w:rPr>
          <w:i/>
          <w:lang w:val="fr-FR"/>
        </w:rPr>
        <w:t xml:space="preserve"> </w:t>
      </w:r>
    </w:p>
    <w:p w14:paraId="10264BE8" w14:textId="77777777" w:rsidR="00741F7A" w:rsidRPr="00396BA4" w:rsidRDefault="00741F7A">
      <w:pPr>
        <w:pStyle w:val="Normal1"/>
        <w:jc w:val="center"/>
        <w:rPr>
          <w:lang w:val="fr-FR"/>
        </w:rPr>
      </w:pPr>
    </w:p>
    <w:p w14:paraId="283ACD9D" w14:textId="77777777" w:rsidR="00741F7A" w:rsidRPr="00396BA4" w:rsidRDefault="00832DD4">
      <w:pPr>
        <w:pStyle w:val="Normal1"/>
        <w:rPr>
          <w:lang w:val="fr-FR"/>
        </w:rPr>
      </w:pPr>
      <w:r w:rsidRPr="00396BA4">
        <w:rPr>
          <w:lang w:val="fr-FR"/>
        </w:rPr>
        <w:br w:type="page"/>
      </w:r>
    </w:p>
    <w:p w14:paraId="72EEBAB4" w14:textId="77777777" w:rsidR="00741F7A" w:rsidRPr="00396BA4" w:rsidRDefault="00741F7A">
      <w:pPr>
        <w:pStyle w:val="Normal1"/>
        <w:widowControl w:val="0"/>
        <w:spacing w:line="276" w:lineRule="auto"/>
        <w:rPr>
          <w:lang w:val="fr-FR"/>
        </w:rPr>
      </w:pPr>
    </w:p>
    <w:bookmarkStart w:id="2" w:name="h.gjdgxs" w:colFirst="0" w:colLast="0" w:displacedByCustomXml="next"/>
    <w:bookmarkEnd w:id="2" w:displacedByCustomXml="next"/>
    <w:sdt>
      <w:sdtPr>
        <w:rPr>
          <w:rFonts w:ascii="Times New Roman" w:eastAsia="Times New Roman" w:hAnsi="Times New Roman" w:cs="Times New Roman"/>
          <w:b w:val="0"/>
          <w:bCs w:val="0"/>
          <w:color w:val="000000"/>
          <w:sz w:val="24"/>
          <w:szCs w:val="20"/>
          <w:lang w:val="fr-FR"/>
        </w:rPr>
        <w:id w:val="-1792743643"/>
        <w:docPartObj>
          <w:docPartGallery w:val="Table of Contents"/>
          <w:docPartUnique/>
        </w:docPartObj>
      </w:sdtPr>
      <w:sdtEndPr>
        <w:rPr>
          <w:noProof/>
        </w:rPr>
      </w:sdtEndPr>
      <w:sdtContent>
        <w:p w14:paraId="4B7D6DD9" w14:textId="28903508" w:rsidR="00122B92" w:rsidRPr="001567E1" w:rsidRDefault="00346745" w:rsidP="00FB148F">
          <w:pPr>
            <w:pStyle w:val="TOCHeading"/>
            <w:spacing w:line="280" w:lineRule="auto"/>
            <w:rPr>
              <w:lang w:val="fr-FR"/>
            </w:rPr>
          </w:pPr>
          <w:r w:rsidRPr="001567E1">
            <w:rPr>
              <w:lang w:val="fr-FR"/>
            </w:rPr>
            <w:t>Table des matières</w:t>
          </w:r>
        </w:p>
        <w:p w14:paraId="376D2417" w14:textId="6FEA1D21" w:rsidR="004C05BB" w:rsidRDefault="00122B92" w:rsidP="004C05BB">
          <w:pPr>
            <w:pStyle w:val="TOC1"/>
            <w:rPr>
              <w:rFonts w:eastAsiaTheme="minorEastAsia" w:cstheme="minorBidi"/>
              <w:noProof/>
              <w:color w:val="auto"/>
              <w:sz w:val="22"/>
              <w:szCs w:val="22"/>
              <w:lang w:eastAsia="en-GB"/>
            </w:rPr>
          </w:pPr>
          <w:r w:rsidRPr="001567E1">
            <w:rPr>
              <w:lang w:val="fr-FR"/>
            </w:rPr>
            <w:fldChar w:fldCharType="begin"/>
          </w:r>
          <w:r w:rsidRPr="001567E1">
            <w:rPr>
              <w:lang w:val="fr-FR"/>
            </w:rPr>
            <w:instrText xml:space="preserve"> TOC \o "1-3" \h \z \u </w:instrText>
          </w:r>
          <w:r w:rsidRPr="001567E1">
            <w:rPr>
              <w:lang w:val="fr-FR"/>
            </w:rPr>
            <w:fldChar w:fldCharType="separate"/>
          </w:r>
          <w:hyperlink w:anchor="_Toc517261999" w:history="1">
            <w:r w:rsidR="004C05BB" w:rsidRPr="008E43CD">
              <w:rPr>
                <w:rStyle w:val="Hyperlink"/>
                <w:noProof/>
                <w:lang w:val="fr-FR"/>
              </w:rPr>
              <w:t>Résumé analytique</w:t>
            </w:r>
            <w:r w:rsidR="004C05BB">
              <w:rPr>
                <w:noProof/>
                <w:webHidden/>
              </w:rPr>
              <w:tab/>
            </w:r>
            <w:r w:rsidR="004C05BB">
              <w:rPr>
                <w:noProof/>
                <w:webHidden/>
              </w:rPr>
              <w:fldChar w:fldCharType="begin"/>
            </w:r>
            <w:r w:rsidR="004C05BB">
              <w:rPr>
                <w:noProof/>
                <w:webHidden/>
              </w:rPr>
              <w:instrText xml:space="preserve"> PAGEREF _Toc517261999 \h </w:instrText>
            </w:r>
            <w:r w:rsidR="004C05BB">
              <w:rPr>
                <w:noProof/>
                <w:webHidden/>
              </w:rPr>
            </w:r>
            <w:r w:rsidR="004C05BB">
              <w:rPr>
                <w:noProof/>
                <w:webHidden/>
              </w:rPr>
              <w:fldChar w:fldCharType="separate"/>
            </w:r>
            <w:r w:rsidR="005E65A5">
              <w:rPr>
                <w:noProof/>
                <w:webHidden/>
              </w:rPr>
              <w:t>4</w:t>
            </w:r>
            <w:r w:rsidR="004C05BB">
              <w:rPr>
                <w:noProof/>
                <w:webHidden/>
              </w:rPr>
              <w:fldChar w:fldCharType="end"/>
            </w:r>
          </w:hyperlink>
        </w:p>
        <w:p w14:paraId="710E4584" w14:textId="7476D045" w:rsidR="004C05BB" w:rsidRDefault="005E65A5" w:rsidP="004C05BB">
          <w:pPr>
            <w:pStyle w:val="TOC1"/>
            <w:rPr>
              <w:rFonts w:eastAsiaTheme="minorEastAsia" w:cstheme="minorBidi"/>
              <w:noProof/>
              <w:color w:val="auto"/>
              <w:sz w:val="22"/>
              <w:szCs w:val="22"/>
              <w:lang w:eastAsia="en-GB"/>
            </w:rPr>
          </w:pPr>
          <w:hyperlink w:anchor="_Toc517262000" w:history="1">
            <w:r w:rsidR="004C05BB" w:rsidRPr="008E43CD">
              <w:rPr>
                <w:rStyle w:val="Hyperlink"/>
                <w:noProof/>
                <w:lang w:val="fr-FR"/>
              </w:rPr>
              <w:t>Remerciements</w:t>
            </w:r>
            <w:r w:rsidR="004C05BB">
              <w:rPr>
                <w:noProof/>
                <w:webHidden/>
              </w:rPr>
              <w:tab/>
            </w:r>
            <w:r w:rsidR="004C05BB">
              <w:rPr>
                <w:noProof/>
                <w:webHidden/>
              </w:rPr>
              <w:fldChar w:fldCharType="begin"/>
            </w:r>
            <w:r w:rsidR="004C05BB">
              <w:rPr>
                <w:noProof/>
                <w:webHidden/>
              </w:rPr>
              <w:instrText xml:space="preserve"> PAGEREF _Toc517262000 \h </w:instrText>
            </w:r>
            <w:r w:rsidR="004C05BB">
              <w:rPr>
                <w:noProof/>
                <w:webHidden/>
              </w:rPr>
            </w:r>
            <w:r w:rsidR="004C05BB">
              <w:rPr>
                <w:noProof/>
                <w:webHidden/>
              </w:rPr>
              <w:fldChar w:fldCharType="separate"/>
            </w:r>
            <w:r>
              <w:rPr>
                <w:noProof/>
                <w:webHidden/>
              </w:rPr>
              <w:t>7</w:t>
            </w:r>
            <w:r w:rsidR="004C05BB">
              <w:rPr>
                <w:noProof/>
                <w:webHidden/>
              </w:rPr>
              <w:fldChar w:fldCharType="end"/>
            </w:r>
          </w:hyperlink>
        </w:p>
        <w:p w14:paraId="4B8DDDE0" w14:textId="3E476293" w:rsidR="004C05BB" w:rsidRDefault="005E65A5" w:rsidP="004C05BB">
          <w:pPr>
            <w:pStyle w:val="TOC1"/>
            <w:rPr>
              <w:rFonts w:eastAsiaTheme="minorEastAsia" w:cstheme="minorBidi"/>
              <w:noProof/>
              <w:color w:val="auto"/>
              <w:sz w:val="22"/>
              <w:szCs w:val="22"/>
              <w:lang w:eastAsia="en-GB"/>
            </w:rPr>
          </w:pPr>
          <w:hyperlink w:anchor="_Toc517262001" w:history="1">
            <w:r w:rsidR="004C05BB" w:rsidRPr="008E43CD">
              <w:rPr>
                <w:rStyle w:val="Hyperlink"/>
                <w:noProof/>
                <w:lang w:val="fr-FR"/>
              </w:rPr>
              <w:t>Introduction</w:t>
            </w:r>
            <w:r w:rsidR="004C05BB">
              <w:rPr>
                <w:noProof/>
                <w:webHidden/>
              </w:rPr>
              <w:tab/>
            </w:r>
            <w:r w:rsidR="004C05BB">
              <w:rPr>
                <w:noProof/>
                <w:webHidden/>
              </w:rPr>
              <w:fldChar w:fldCharType="begin"/>
            </w:r>
            <w:r w:rsidR="004C05BB">
              <w:rPr>
                <w:noProof/>
                <w:webHidden/>
              </w:rPr>
              <w:instrText xml:space="preserve"> PAGEREF _Toc517262001 \h </w:instrText>
            </w:r>
            <w:r w:rsidR="004C05BB">
              <w:rPr>
                <w:noProof/>
                <w:webHidden/>
              </w:rPr>
            </w:r>
            <w:r w:rsidR="004C05BB">
              <w:rPr>
                <w:noProof/>
                <w:webHidden/>
              </w:rPr>
              <w:fldChar w:fldCharType="separate"/>
            </w:r>
            <w:r>
              <w:rPr>
                <w:noProof/>
                <w:webHidden/>
              </w:rPr>
              <w:t>9</w:t>
            </w:r>
            <w:r w:rsidR="004C05BB">
              <w:rPr>
                <w:noProof/>
                <w:webHidden/>
              </w:rPr>
              <w:fldChar w:fldCharType="end"/>
            </w:r>
          </w:hyperlink>
        </w:p>
        <w:p w14:paraId="1C85BD35" w14:textId="5C4E6287" w:rsidR="004C05BB" w:rsidRDefault="005E65A5" w:rsidP="004C05BB">
          <w:pPr>
            <w:pStyle w:val="TOC1"/>
            <w:rPr>
              <w:rFonts w:eastAsiaTheme="minorEastAsia" w:cstheme="minorBidi"/>
              <w:noProof/>
              <w:color w:val="auto"/>
              <w:sz w:val="22"/>
              <w:szCs w:val="22"/>
              <w:lang w:eastAsia="en-GB"/>
            </w:rPr>
          </w:pPr>
          <w:hyperlink w:anchor="_Toc517262002" w:history="1">
            <w:r w:rsidR="004C05BB" w:rsidRPr="008E43CD">
              <w:rPr>
                <w:rStyle w:val="Hyperlink"/>
                <w:noProof/>
                <w:lang w:val="fr-FR"/>
              </w:rPr>
              <w:t xml:space="preserve">Partie 1. </w:t>
            </w:r>
            <w:r w:rsidR="004C05BB">
              <w:rPr>
                <w:rFonts w:eastAsiaTheme="minorEastAsia" w:cstheme="minorBidi"/>
                <w:noProof/>
                <w:color w:val="auto"/>
                <w:sz w:val="22"/>
                <w:szCs w:val="22"/>
                <w:lang w:eastAsia="en-GB"/>
              </w:rPr>
              <w:tab/>
            </w:r>
            <w:r w:rsidR="004C05BB" w:rsidRPr="008E43CD">
              <w:rPr>
                <w:rStyle w:val="Hyperlink"/>
                <w:noProof/>
                <w:lang w:val="fr-FR"/>
              </w:rPr>
              <w:t>Découpages taxonomiques et géographiques des populations d'oiseaux d'eau incluses dans l’Accord.</w:t>
            </w:r>
            <w:r w:rsidR="004C05BB">
              <w:rPr>
                <w:noProof/>
                <w:webHidden/>
              </w:rPr>
              <w:tab/>
            </w:r>
            <w:r w:rsidR="004C05BB">
              <w:rPr>
                <w:noProof/>
                <w:webHidden/>
              </w:rPr>
              <w:fldChar w:fldCharType="begin"/>
            </w:r>
            <w:r w:rsidR="004C05BB">
              <w:rPr>
                <w:noProof/>
                <w:webHidden/>
              </w:rPr>
              <w:instrText xml:space="preserve"> PAGEREF _Toc517262002 \h </w:instrText>
            </w:r>
            <w:r w:rsidR="004C05BB">
              <w:rPr>
                <w:noProof/>
                <w:webHidden/>
              </w:rPr>
            </w:r>
            <w:r w:rsidR="004C05BB">
              <w:rPr>
                <w:noProof/>
                <w:webHidden/>
              </w:rPr>
              <w:fldChar w:fldCharType="separate"/>
            </w:r>
            <w:r>
              <w:rPr>
                <w:noProof/>
                <w:webHidden/>
              </w:rPr>
              <w:t>11</w:t>
            </w:r>
            <w:r w:rsidR="004C05BB">
              <w:rPr>
                <w:noProof/>
                <w:webHidden/>
              </w:rPr>
              <w:fldChar w:fldCharType="end"/>
            </w:r>
          </w:hyperlink>
        </w:p>
        <w:p w14:paraId="51B86422" w14:textId="599C1165" w:rsidR="004C05BB" w:rsidRDefault="005E65A5">
          <w:pPr>
            <w:pStyle w:val="TOC3"/>
            <w:tabs>
              <w:tab w:val="right" w:leader="dot" w:pos="9629"/>
            </w:tabs>
            <w:rPr>
              <w:rFonts w:eastAsiaTheme="minorEastAsia" w:cstheme="minorBidi"/>
              <w:noProof/>
              <w:color w:val="auto"/>
              <w:lang w:eastAsia="en-GB"/>
            </w:rPr>
          </w:pPr>
          <w:hyperlink w:anchor="_Toc517262003" w:history="1">
            <w:r w:rsidR="004C05BB" w:rsidRPr="008E43CD">
              <w:rPr>
                <w:rStyle w:val="Hyperlink"/>
                <w:rFonts w:ascii="Times New Roman" w:hAnsi="Times New Roman"/>
                <w:noProof/>
                <w:lang w:val="fr-FR"/>
              </w:rPr>
              <w:t>Presque 70 % des populations de l’AEWA sont des échassiers ou des gibiers d’eau</w:t>
            </w:r>
            <w:r w:rsidR="004C05BB">
              <w:rPr>
                <w:noProof/>
                <w:webHidden/>
              </w:rPr>
              <w:tab/>
            </w:r>
            <w:r w:rsidR="004C05BB">
              <w:rPr>
                <w:noProof/>
                <w:webHidden/>
              </w:rPr>
              <w:fldChar w:fldCharType="begin"/>
            </w:r>
            <w:r w:rsidR="004C05BB">
              <w:rPr>
                <w:noProof/>
                <w:webHidden/>
              </w:rPr>
              <w:instrText xml:space="preserve"> PAGEREF _Toc517262003 \h </w:instrText>
            </w:r>
            <w:r w:rsidR="004C05BB">
              <w:rPr>
                <w:noProof/>
                <w:webHidden/>
              </w:rPr>
            </w:r>
            <w:r w:rsidR="004C05BB">
              <w:rPr>
                <w:noProof/>
                <w:webHidden/>
              </w:rPr>
              <w:fldChar w:fldCharType="separate"/>
            </w:r>
            <w:r>
              <w:rPr>
                <w:noProof/>
                <w:webHidden/>
              </w:rPr>
              <w:t>11</w:t>
            </w:r>
            <w:r w:rsidR="004C05BB">
              <w:rPr>
                <w:noProof/>
                <w:webHidden/>
              </w:rPr>
              <w:fldChar w:fldCharType="end"/>
            </w:r>
          </w:hyperlink>
        </w:p>
        <w:p w14:paraId="29E649F0" w14:textId="61901822" w:rsidR="004C05BB" w:rsidRDefault="005E65A5">
          <w:pPr>
            <w:pStyle w:val="TOC3"/>
            <w:tabs>
              <w:tab w:val="right" w:leader="dot" w:pos="9629"/>
            </w:tabs>
            <w:rPr>
              <w:rFonts w:eastAsiaTheme="minorEastAsia" w:cstheme="minorBidi"/>
              <w:noProof/>
              <w:color w:val="auto"/>
              <w:lang w:eastAsia="en-GB"/>
            </w:rPr>
          </w:pPr>
          <w:hyperlink w:anchor="_Toc517262004" w:history="1">
            <w:r w:rsidR="004C05BB" w:rsidRPr="008E43CD">
              <w:rPr>
                <w:rStyle w:val="Hyperlink"/>
                <w:rFonts w:ascii="Times New Roman" w:hAnsi="Times New Roman"/>
                <w:noProof/>
                <w:lang w:val="fr-FR"/>
              </w:rPr>
              <w:t>70 % des populations de l’AEWA se reproduisent dans le Paléarctique</w:t>
            </w:r>
            <w:r w:rsidR="004C05BB">
              <w:rPr>
                <w:noProof/>
                <w:webHidden/>
              </w:rPr>
              <w:tab/>
            </w:r>
            <w:r w:rsidR="004C05BB">
              <w:rPr>
                <w:noProof/>
                <w:webHidden/>
              </w:rPr>
              <w:fldChar w:fldCharType="begin"/>
            </w:r>
            <w:r w:rsidR="004C05BB">
              <w:rPr>
                <w:noProof/>
                <w:webHidden/>
              </w:rPr>
              <w:instrText xml:space="preserve"> PAGEREF _Toc517262004 \h </w:instrText>
            </w:r>
            <w:r w:rsidR="004C05BB">
              <w:rPr>
                <w:noProof/>
                <w:webHidden/>
              </w:rPr>
            </w:r>
            <w:r w:rsidR="004C05BB">
              <w:rPr>
                <w:noProof/>
                <w:webHidden/>
              </w:rPr>
              <w:fldChar w:fldCharType="separate"/>
            </w:r>
            <w:r>
              <w:rPr>
                <w:noProof/>
                <w:webHidden/>
              </w:rPr>
              <w:t>12</w:t>
            </w:r>
            <w:r w:rsidR="004C05BB">
              <w:rPr>
                <w:noProof/>
                <w:webHidden/>
              </w:rPr>
              <w:fldChar w:fldCharType="end"/>
            </w:r>
          </w:hyperlink>
        </w:p>
        <w:p w14:paraId="02AF5103" w14:textId="00FDAD58" w:rsidR="004C05BB" w:rsidRDefault="005E65A5" w:rsidP="004C05BB">
          <w:pPr>
            <w:pStyle w:val="TOC1"/>
            <w:rPr>
              <w:rFonts w:eastAsiaTheme="minorEastAsia" w:cstheme="minorBidi"/>
              <w:noProof/>
              <w:color w:val="auto"/>
              <w:sz w:val="22"/>
              <w:szCs w:val="22"/>
              <w:lang w:eastAsia="en-GB"/>
            </w:rPr>
          </w:pPr>
          <w:hyperlink w:anchor="_Toc517262005" w:history="1">
            <w:r w:rsidR="004C05BB" w:rsidRPr="008E43CD">
              <w:rPr>
                <w:rStyle w:val="Hyperlink"/>
                <w:noProof/>
                <w:lang w:val="fr-FR"/>
              </w:rPr>
              <w:t>Partie 2. Tailles des populations</w:t>
            </w:r>
            <w:r w:rsidR="004C05BB">
              <w:rPr>
                <w:noProof/>
                <w:webHidden/>
              </w:rPr>
              <w:tab/>
            </w:r>
            <w:r w:rsidR="004C05BB">
              <w:rPr>
                <w:noProof/>
                <w:webHidden/>
              </w:rPr>
              <w:fldChar w:fldCharType="begin"/>
            </w:r>
            <w:r w:rsidR="004C05BB">
              <w:rPr>
                <w:noProof/>
                <w:webHidden/>
              </w:rPr>
              <w:instrText xml:space="preserve"> PAGEREF _Toc517262005 \h </w:instrText>
            </w:r>
            <w:r w:rsidR="004C05BB">
              <w:rPr>
                <w:noProof/>
                <w:webHidden/>
              </w:rPr>
            </w:r>
            <w:r w:rsidR="004C05BB">
              <w:rPr>
                <w:noProof/>
                <w:webHidden/>
              </w:rPr>
              <w:fldChar w:fldCharType="separate"/>
            </w:r>
            <w:r>
              <w:rPr>
                <w:noProof/>
                <w:webHidden/>
              </w:rPr>
              <w:t>14</w:t>
            </w:r>
            <w:r w:rsidR="004C05BB">
              <w:rPr>
                <w:noProof/>
                <w:webHidden/>
              </w:rPr>
              <w:fldChar w:fldCharType="end"/>
            </w:r>
          </w:hyperlink>
        </w:p>
        <w:p w14:paraId="1AC384E2" w14:textId="6DE3B5AC" w:rsidR="004C05BB" w:rsidRDefault="005E65A5">
          <w:pPr>
            <w:pStyle w:val="TOC3"/>
            <w:tabs>
              <w:tab w:val="right" w:leader="dot" w:pos="9629"/>
            </w:tabs>
            <w:rPr>
              <w:rFonts w:eastAsiaTheme="minorEastAsia" w:cstheme="minorBidi"/>
              <w:noProof/>
              <w:color w:val="auto"/>
              <w:lang w:eastAsia="en-GB"/>
            </w:rPr>
          </w:pPr>
          <w:hyperlink w:anchor="_Toc517262006" w:history="1">
            <w:r w:rsidR="004C05BB" w:rsidRPr="008E43CD">
              <w:rPr>
                <w:rStyle w:val="Hyperlink"/>
                <w:rFonts w:ascii="Times New Roman" w:hAnsi="Times New Roman"/>
                <w:noProof/>
                <w:lang w:val="fr-FR"/>
              </w:rPr>
              <w:t>Deux-tiers des estimations des populations sont basés sur la surveillance</w:t>
            </w:r>
            <w:r w:rsidR="004C05BB">
              <w:rPr>
                <w:noProof/>
                <w:webHidden/>
              </w:rPr>
              <w:tab/>
            </w:r>
            <w:r w:rsidR="004C05BB">
              <w:rPr>
                <w:noProof/>
                <w:webHidden/>
              </w:rPr>
              <w:fldChar w:fldCharType="begin"/>
            </w:r>
            <w:r w:rsidR="004C05BB">
              <w:rPr>
                <w:noProof/>
                <w:webHidden/>
              </w:rPr>
              <w:instrText xml:space="preserve"> PAGEREF _Toc517262006 \h </w:instrText>
            </w:r>
            <w:r w:rsidR="004C05BB">
              <w:rPr>
                <w:noProof/>
                <w:webHidden/>
              </w:rPr>
            </w:r>
            <w:r w:rsidR="004C05BB">
              <w:rPr>
                <w:noProof/>
                <w:webHidden/>
              </w:rPr>
              <w:fldChar w:fldCharType="separate"/>
            </w:r>
            <w:r>
              <w:rPr>
                <w:noProof/>
                <w:webHidden/>
              </w:rPr>
              <w:t>14</w:t>
            </w:r>
            <w:r w:rsidR="004C05BB">
              <w:rPr>
                <w:noProof/>
                <w:webHidden/>
              </w:rPr>
              <w:fldChar w:fldCharType="end"/>
            </w:r>
          </w:hyperlink>
        </w:p>
        <w:p w14:paraId="59CD8CB2" w14:textId="25CDF209" w:rsidR="004C05BB" w:rsidRDefault="005E65A5">
          <w:pPr>
            <w:pStyle w:val="TOC3"/>
            <w:tabs>
              <w:tab w:val="right" w:leader="dot" w:pos="9629"/>
            </w:tabs>
            <w:rPr>
              <w:rFonts w:eastAsiaTheme="minorEastAsia" w:cstheme="minorBidi"/>
              <w:noProof/>
              <w:color w:val="auto"/>
              <w:lang w:eastAsia="en-GB"/>
            </w:rPr>
          </w:pPr>
          <w:hyperlink w:anchor="_Toc517262007" w:history="1">
            <w:r w:rsidR="004C05BB" w:rsidRPr="008E43CD">
              <w:rPr>
                <w:rStyle w:val="Hyperlink"/>
                <w:rFonts w:ascii="Times New Roman" w:hAnsi="Times New Roman"/>
                <w:noProof/>
                <w:lang w:val="fr-FR"/>
              </w:rPr>
              <w:t>Huit populations sans estimation de taille</w:t>
            </w:r>
            <w:r w:rsidR="004C05BB">
              <w:rPr>
                <w:noProof/>
                <w:webHidden/>
              </w:rPr>
              <w:tab/>
            </w:r>
            <w:r w:rsidR="004C05BB">
              <w:rPr>
                <w:noProof/>
                <w:webHidden/>
              </w:rPr>
              <w:fldChar w:fldCharType="begin"/>
            </w:r>
            <w:r w:rsidR="004C05BB">
              <w:rPr>
                <w:noProof/>
                <w:webHidden/>
              </w:rPr>
              <w:instrText xml:space="preserve"> PAGEREF _Toc517262007 \h </w:instrText>
            </w:r>
            <w:r w:rsidR="004C05BB">
              <w:rPr>
                <w:noProof/>
                <w:webHidden/>
              </w:rPr>
            </w:r>
            <w:r w:rsidR="004C05BB">
              <w:rPr>
                <w:noProof/>
                <w:webHidden/>
              </w:rPr>
              <w:fldChar w:fldCharType="separate"/>
            </w:r>
            <w:r>
              <w:rPr>
                <w:noProof/>
                <w:webHidden/>
              </w:rPr>
              <w:t>15</w:t>
            </w:r>
            <w:r w:rsidR="004C05BB">
              <w:rPr>
                <w:noProof/>
                <w:webHidden/>
              </w:rPr>
              <w:fldChar w:fldCharType="end"/>
            </w:r>
          </w:hyperlink>
        </w:p>
        <w:p w14:paraId="3D9B7B28" w14:textId="4EDB9E60" w:rsidR="004C05BB" w:rsidRDefault="005E65A5">
          <w:pPr>
            <w:pStyle w:val="TOC3"/>
            <w:tabs>
              <w:tab w:val="right" w:leader="dot" w:pos="9629"/>
            </w:tabs>
            <w:rPr>
              <w:rFonts w:eastAsiaTheme="minorEastAsia" w:cstheme="minorBidi"/>
              <w:noProof/>
              <w:color w:val="auto"/>
              <w:lang w:eastAsia="en-GB"/>
            </w:rPr>
          </w:pPr>
          <w:hyperlink w:anchor="_Toc517262008" w:history="1">
            <w:r w:rsidR="004C05BB" w:rsidRPr="008E43CD">
              <w:rPr>
                <w:rStyle w:val="Hyperlink"/>
                <w:rFonts w:ascii="Times New Roman" w:hAnsi="Times New Roman"/>
                <w:noProof/>
                <w:lang w:val="fr-FR"/>
              </w:rPr>
              <w:t>Les familles d’oiseaux d’eau pour lesquelles les connaissances de la taille sont limitées</w:t>
            </w:r>
            <w:r w:rsidR="004C05BB">
              <w:rPr>
                <w:noProof/>
                <w:webHidden/>
              </w:rPr>
              <w:tab/>
            </w:r>
            <w:r w:rsidR="004C05BB">
              <w:rPr>
                <w:noProof/>
                <w:webHidden/>
              </w:rPr>
              <w:fldChar w:fldCharType="begin"/>
            </w:r>
            <w:r w:rsidR="004C05BB">
              <w:rPr>
                <w:noProof/>
                <w:webHidden/>
              </w:rPr>
              <w:instrText xml:space="preserve"> PAGEREF _Toc517262008 \h </w:instrText>
            </w:r>
            <w:r w:rsidR="004C05BB">
              <w:rPr>
                <w:noProof/>
                <w:webHidden/>
              </w:rPr>
            </w:r>
            <w:r w:rsidR="004C05BB">
              <w:rPr>
                <w:noProof/>
                <w:webHidden/>
              </w:rPr>
              <w:fldChar w:fldCharType="separate"/>
            </w:r>
            <w:r>
              <w:rPr>
                <w:noProof/>
                <w:webHidden/>
              </w:rPr>
              <w:t>16</w:t>
            </w:r>
            <w:r w:rsidR="004C05BB">
              <w:rPr>
                <w:noProof/>
                <w:webHidden/>
              </w:rPr>
              <w:fldChar w:fldCharType="end"/>
            </w:r>
          </w:hyperlink>
        </w:p>
        <w:p w14:paraId="10D075FD" w14:textId="6FCAAF7C" w:rsidR="004C05BB" w:rsidRDefault="005E65A5">
          <w:pPr>
            <w:pStyle w:val="TOC3"/>
            <w:tabs>
              <w:tab w:val="right" w:leader="dot" w:pos="9629"/>
            </w:tabs>
            <w:rPr>
              <w:rFonts w:eastAsiaTheme="minorEastAsia" w:cstheme="minorBidi"/>
              <w:noProof/>
              <w:color w:val="auto"/>
              <w:lang w:eastAsia="en-GB"/>
            </w:rPr>
          </w:pPr>
          <w:hyperlink w:anchor="_Toc517262009" w:history="1">
            <w:r w:rsidR="004C05BB" w:rsidRPr="008E43CD">
              <w:rPr>
                <w:rStyle w:val="Hyperlink"/>
                <w:rFonts w:ascii="Times New Roman" w:hAnsi="Times New Roman"/>
                <w:noProof/>
                <w:lang w:val="fr-FR"/>
              </w:rPr>
              <w:t>Des projets à l’échelle de la voie de migration ont aidé à combler des lacunes en termes de connaissances</w:t>
            </w:r>
            <w:r w:rsidR="004C05BB">
              <w:rPr>
                <w:noProof/>
                <w:webHidden/>
              </w:rPr>
              <w:tab/>
            </w:r>
            <w:r w:rsidR="004C05BB">
              <w:rPr>
                <w:noProof/>
                <w:webHidden/>
              </w:rPr>
              <w:fldChar w:fldCharType="begin"/>
            </w:r>
            <w:r w:rsidR="004C05BB">
              <w:rPr>
                <w:noProof/>
                <w:webHidden/>
              </w:rPr>
              <w:instrText xml:space="preserve"> PAGEREF _Toc517262009 \h </w:instrText>
            </w:r>
            <w:r w:rsidR="004C05BB">
              <w:rPr>
                <w:noProof/>
                <w:webHidden/>
              </w:rPr>
            </w:r>
            <w:r w:rsidR="004C05BB">
              <w:rPr>
                <w:noProof/>
                <w:webHidden/>
              </w:rPr>
              <w:fldChar w:fldCharType="separate"/>
            </w:r>
            <w:r>
              <w:rPr>
                <w:noProof/>
                <w:webHidden/>
              </w:rPr>
              <w:t>18</w:t>
            </w:r>
            <w:r w:rsidR="004C05BB">
              <w:rPr>
                <w:noProof/>
                <w:webHidden/>
              </w:rPr>
              <w:fldChar w:fldCharType="end"/>
            </w:r>
          </w:hyperlink>
        </w:p>
        <w:p w14:paraId="284B3730" w14:textId="1ED05EC3" w:rsidR="004C05BB" w:rsidRDefault="005E65A5">
          <w:pPr>
            <w:pStyle w:val="TOC3"/>
            <w:tabs>
              <w:tab w:val="right" w:leader="dot" w:pos="9629"/>
            </w:tabs>
            <w:rPr>
              <w:rFonts w:eastAsiaTheme="minorEastAsia" w:cstheme="minorBidi"/>
              <w:noProof/>
              <w:color w:val="auto"/>
              <w:lang w:eastAsia="en-GB"/>
            </w:rPr>
          </w:pPr>
          <w:hyperlink w:anchor="_Toc517262010" w:history="1">
            <w:r w:rsidR="004C05BB" w:rsidRPr="008E43CD">
              <w:rPr>
                <w:rStyle w:val="Hyperlink"/>
                <w:rFonts w:ascii="Times New Roman" w:hAnsi="Times New Roman"/>
                <w:noProof/>
                <w:lang w:val="fr-FR"/>
              </w:rPr>
              <w:t>Les estimations de taille se sont améliorées pour 83 populations</w:t>
            </w:r>
            <w:r w:rsidR="004C05BB">
              <w:rPr>
                <w:noProof/>
                <w:webHidden/>
              </w:rPr>
              <w:tab/>
            </w:r>
            <w:r w:rsidR="004C05BB">
              <w:rPr>
                <w:noProof/>
                <w:webHidden/>
              </w:rPr>
              <w:fldChar w:fldCharType="begin"/>
            </w:r>
            <w:r w:rsidR="004C05BB">
              <w:rPr>
                <w:noProof/>
                <w:webHidden/>
              </w:rPr>
              <w:instrText xml:space="preserve"> PAGEREF _Toc517262010 \h </w:instrText>
            </w:r>
            <w:r w:rsidR="004C05BB">
              <w:rPr>
                <w:noProof/>
                <w:webHidden/>
              </w:rPr>
            </w:r>
            <w:r w:rsidR="004C05BB">
              <w:rPr>
                <w:noProof/>
                <w:webHidden/>
              </w:rPr>
              <w:fldChar w:fldCharType="separate"/>
            </w:r>
            <w:r>
              <w:rPr>
                <w:noProof/>
                <w:webHidden/>
              </w:rPr>
              <w:t>20</w:t>
            </w:r>
            <w:r w:rsidR="004C05BB">
              <w:rPr>
                <w:noProof/>
                <w:webHidden/>
              </w:rPr>
              <w:fldChar w:fldCharType="end"/>
            </w:r>
          </w:hyperlink>
        </w:p>
        <w:p w14:paraId="689102D4" w14:textId="5E217F27" w:rsidR="004C05BB" w:rsidRDefault="005E65A5">
          <w:pPr>
            <w:pStyle w:val="TOC3"/>
            <w:tabs>
              <w:tab w:val="right" w:leader="dot" w:pos="9629"/>
            </w:tabs>
            <w:rPr>
              <w:rFonts w:eastAsiaTheme="minorEastAsia" w:cstheme="minorBidi"/>
              <w:noProof/>
              <w:color w:val="auto"/>
              <w:lang w:eastAsia="en-GB"/>
            </w:rPr>
          </w:pPr>
          <w:hyperlink w:anchor="_Toc517262011" w:history="1">
            <w:r w:rsidR="004C05BB" w:rsidRPr="008E43CD">
              <w:rPr>
                <w:rStyle w:val="Hyperlink"/>
                <w:rFonts w:ascii="Times New Roman" w:hAnsi="Times New Roman"/>
                <w:noProof/>
                <w:lang w:val="fr-FR"/>
              </w:rPr>
              <w:t>Plus de la moitié de toutes les populations se compose de moins de 100 000 individus</w:t>
            </w:r>
            <w:r w:rsidR="004C05BB">
              <w:rPr>
                <w:noProof/>
                <w:webHidden/>
              </w:rPr>
              <w:tab/>
            </w:r>
            <w:r w:rsidR="004C05BB">
              <w:rPr>
                <w:noProof/>
                <w:webHidden/>
              </w:rPr>
              <w:fldChar w:fldCharType="begin"/>
            </w:r>
            <w:r w:rsidR="004C05BB">
              <w:rPr>
                <w:noProof/>
                <w:webHidden/>
              </w:rPr>
              <w:instrText xml:space="preserve"> PAGEREF _Toc517262011 \h </w:instrText>
            </w:r>
            <w:r w:rsidR="004C05BB">
              <w:rPr>
                <w:noProof/>
                <w:webHidden/>
              </w:rPr>
            </w:r>
            <w:r w:rsidR="004C05BB">
              <w:rPr>
                <w:noProof/>
                <w:webHidden/>
              </w:rPr>
              <w:fldChar w:fldCharType="separate"/>
            </w:r>
            <w:r>
              <w:rPr>
                <w:noProof/>
                <w:webHidden/>
              </w:rPr>
              <w:t>22</w:t>
            </w:r>
            <w:r w:rsidR="004C05BB">
              <w:rPr>
                <w:noProof/>
                <w:webHidden/>
              </w:rPr>
              <w:fldChar w:fldCharType="end"/>
            </w:r>
          </w:hyperlink>
        </w:p>
        <w:p w14:paraId="1E26696B" w14:textId="1DF14145" w:rsidR="004C05BB" w:rsidRDefault="005E65A5">
          <w:pPr>
            <w:pStyle w:val="TOC3"/>
            <w:tabs>
              <w:tab w:val="right" w:leader="dot" w:pos="9629"/>
            </w:tabs>
            <w:rPr>
              <w:rFonts w:eastAsiaTheme="minorEastAsia" w:cstheme="minorBidi"/>
              <w:noProof/>
              <w:color w:val="auto"/>
              <w:lang w:eastAsia="en-GB"/>
            </w:rPr>
          </w:pPr>
          <w:hyperlink w:anchor="_Toc517262012" w:history="1">
            <w:r w:rsidR="004C05BB" w:rsidRPr="008E43CD">
              <w:rPr>
                <w:rStyle w:val="Hyperlink"/>
                <w:rFonts w:ascii="Times New Roman" w:hAnsi="Times New Roman"/>
                <w:noProof/>
                <w:lang w:val="fr-FR"/>
              </w:rPr>
              <w:t>L’AEWA protège près d’un demi-milliard d’oiseaux d’eau et d’oiseaux marins</w:t>
            </w:r>
            <w:r w:rsidR="004C05BB">
              <w:rPr>
                <w:noProof/>
                <w:webHidden/>
              </w:rPr>
              <w:tab/>
            </w:r>
            <w:r w:rsidR="004C05BB">
              <w:rPr>
                <w:noProof/>
                <w:webHidden/>
              </w:rPr>
              <w:fldChar w:fldCharType="begin"/>
            </w:r>
            <w:r w:rsidR="004C05BB">
              <w:rPr>
                <w:noProof/>
                <w:webHidden/>
              </w:rPr>
              <w:instrText xml:space="preserve"> PAGEREF _Toc517262012 \h </w:instrText>
            </w:r>
            <w:r w:rsidR="004C05BB">
              <w:rPr>
                <w:noProof/>
                <w:webHidden/>
              </w:rPr>
            </w:r>
            <w:r w:rsidR="004C05BB">
              <w:rPr>
                <w:noProof/>
                <w:webHidden/>
              </w:rPr>
              <w:fldChar w:fldCharType="separate"/>
            </w:r>
            <w:r>
              <w:rPr>
                <w:noProof/>
                <w:webHidden/>
              </w:rPr>
              <w:t>23</w:t>
            </w:r>
            <w:r w:rsidR="004C05BB">
              <w:rPr>
                <w:noProof/>
                <w:webHidden/>
              </w:rPr>
              <w:fldChar w:fldCharType="end"/>
            </w:r>
          </w:hyperlink>
        </w:p>
        <w:p w14:paraId="42A6DEA6" w14:textId="7C28F3E1" w:rsidR="004C05BB" w:rsidRDefault="005E65A5" w:rsidP="004C05BB">
          <w:pPr>
            <w:pStyle w:val="TOC1"/>
            <w:rPr>
              <w:rFonts w:eastAsiaTheme="minorEastAsia" w:cstheme="minorBidi"/>
              <w:noProof/>
              <w:color w:val="auto"/>
              <w:sz w:val="22"/>
              <w:szCs w:val="22"/>
              <w:lang w:eastAsia="en-GB"/>
            </w:rPr>
          </w:pPr>
          <w:hyperlink w:anchor="_Toc517262013" w:history="1">
            <w:r w:rsidR="004C05BB" w:rsidRPr="008E43CD">
              <w:rPr>
                <w:rStyle w:val="Hyperlink"/>
                <w:noProof/>
                <w:lang w:val="fr-FR"/>
              </w:rPr>
              <w:t>Partie 3. Tendances des populations</w:t>
            </w:r>
            <w:r w:rsidR="004C05BB">
              <w:rPr>
                <w:noProof/>
                <w:webHidden/>
              </w:rPr>
              <w:tab/>
            </w:r>
            <w:r w:rsidR="004C05BB">
              <w:rPr>
                <w:noProof/>
                <w:webHidden/>
              </w:rPr>
              <w:fldChar w:fldCharType="begin"/>
            </w:r>
            <w:r w:rsidR="004C05BB">
              <w:rPr>
                <w:noProof/>
                <w:webHidden/>
              </w:rPr>
              <w:instrText xml:space="preserve"> PAGEREF _Toc517262013 \h </w:instrText>
            </w:r>
            <w:r w:rsidR="004C05BB">
              <w:rPr>
                <w:noProof/>
                <w:webHidden/>
              </w:rPr>
            </w:r>
            <w:r w:rsidR="004C05BB">
              <w:rPr>
                <w:noProof/>
                <w:webHidden/>
              </w:rPr>
              <w:fldChar w:fldCharType="separate"/>
            </w:r>
            <w:r>
              <w:rPr>
                <w:noProof/>
                <w:webHidden/>
              </w:rPr>
              <w:t>24</w:t>
            </w:r>
            <w:r w:rsidR="004C05BB">
              <w:rPr>
                <w:noProof/>
                <w:webHidden/>
              </w:rPr>
              <w:fldChar w:fldCharType="end"/>
            </w:r>
          </w:hyperlink>
        </w:p>
        <w:p w14:paraId="16B869AA" w14:textId="7048850E" w:rsidR="004C05BB" w:rsidRDefault="005E65A5">
          <w:pPr>
            <w:pStyle w:val="TOC3"/>
            <w:tabs>
              <w:tab w:val="right" w:leader="dot" w:pos="9629"/>
            </w:tabs>
            <w:rPr>
              <w:rFonts w:eastAsiaTheme="minorEastAsia" w:cstheme="minorBidi"/>
              <w:noProof/>
              <w:color w:val="auto"/>
              <w:lang w:eastAsia="en-GB"/>
            </w:rPr>
          </w:pPr>
          <w:hyperlink w:anchor="_Toc517262014" w:history="1">
            <w:r w:rsidR="004C05BB" w:rsidRPr="008E43CD">
              <w:rPr>
                <w:rStyle w:val="Hyperlink"/>
                <w:rFonts w:ascii="Times New Roman" w:hAnsi="Times New Roman"/>
                <w:noProof/>
                <w:lang w:val="fr-FR"/>
              </w:rPr>
              <w:t>Nous en savons peu sur les tendances de plus de la moitié des populations de l’AEWA</w:t>
            </w:r>
            <w:r w:rsidR="004C05BB">
              <w:rPr>
                <w:noProof/>
                <w:webHidden/>
              </w:rPr>
              <w:tab/>
            </w:r>
            <w:r w:rsidR="004C05BB">
              <w:rPr>
                <w:noProof/>
                <w:webHidden/>
              </w:rPr>
              <w:fldChar w:fldCharType="begin"/>
            </w:r>
            <w:r w:rsidR="004C05BB">
              <w:rPr>
                <w:noProof/>
                <w:webHidden/>
              </w:rPr>
              <w:instrText xml:space="preserve"> PAGEREF _Toc517262014 \h </w:instrText>
            </w:r>
            <w:r w:rsidR="004C05BB">
              <w:rPr>
                <w:noProof/>
                <w:webHidden/>
              </w:rPr>
            </w:r>
            <w:r w:rsidR="004C05BB">
              <w:rPr>
                <w:noProof/>
                <w:webHidden/>
              </w:rPr>
              <w:fldChar w:fldCharType="separate"/>
            </w:r>
            <w:r>
              <w:rPr>
                <w:noProof/>
                <w:webHidden/>
              </w:rPr>
              <w:t>24</w:t>
            </w:r>
            <w:r w:rsidR="004C05BB">
              <w:rPr>
                <w:noProof/>
                <w:webHidden/>
              </w:rPr>
              <w:fldChar w:fldCharType="end"/>
            </w:r>
          </w:hyperlink>
        </w:p>
        <w:p w14:paraId="3BBA4CB0" w14:textId="18E4A7CE" w:rsidR="004C05BB" w:rsidRDefault="005E65A5">
          <w:pPr>
            <w:pStyle w:val="TOC3"/>
            <w:tabs>
              <w:tab w:val="right" w:leader="dot" w:pos="9629"/>
            </w:tabs>
            <w:rPr>
              <w:rFonts w:eastAsiaTheme="minorEastAsia" w:cstheme="minorBidi"/>
              <w:noProof/>
              <w:color w:val="auto"/>
              <w:lang w:eastAsia="en-GB"/>
            </w:rPr>
          </w:pPr>
          <w:hyperlink w:anchor="_Toc517262015" w:history="1">
            <w:r w:rsidR="004C05BB" w:rsidRPr="008E43CD">
              <w:rPr>
                <w:rStyle w:val="Hyperlink"/>
                <w:rFonts w:ascii="Times New Roman" w:hAnsi="Times New Roman"/>
                <w:noProof/>
                <w:lang w:val="fr-FR"/>
              </w:rPr>
              <w:t>La qualité des estimations de tendance est la meilleure dans les régions où des programmes de surveillance bien établis, utilisant le savoir de la population, sont en place</w:t>
            </w:r>
            <w:r w:rsidR="004C05BB">
              <w:rPr>
                <w:noProof/>
                <w:webHidden/>
              </w:rPr>
              <w:tab/>
            </w:r>
            <w:r w:rsidR="004C05BB">
              <w:rPr>
                <w:noProof/>
                <w:webHidden/>
              </w:rPr>
              <w:fldChar w:fldCharType="begin"/>
            </w:r>
            <w:r w:rsidR="004C05BB">
              <w:rPr>
                <w:noProof/>
                <w:webHidden/>
              </w:rPr>
              <w:instrText xml:space="preserve"> PAGEREF _Toc517262015 \h </w:instrText>
            </w:r>
            <w:r w:rsidR="004C05BB">
              <w:rPr>
                <w:noProof/>
                <w:webHidden/>
              </w:rPr>
            </w:r>
            <w:r w:rsidR="004C05BB">
              <w:rPr>
                <w:noProof/>
                <w:webHidden/>
              </w:rPr>
              <w:fldChar w:fldCharType="separate"/>
            </w:r>
            <w:r>
              <w:rPr>
                <w:noProof/>
                <w:webHidden/>
              </w:rPr>
              <w:t>26</w:t>
            </w:r>
            <w:r w:rsidR="004C05BB">
              <w:rPr>
                <w:noProof/>
                <w:webHidden/>
              </w:rPr>
              <w:fldChar w:fldCharType="end"/>
            </w:r>
          </w:hyperlink>
        </w:p>
        <w:p w14:paraId="751CE309" w14:textId="686A7534" w:rsidR="004C05BB" w:rsidRDefault="005E65A5">
          <w:pPr>
            <w:pStyle w:val="TOC3"/>
            <w:tabs>
              <w:tab w:val="right" w:leader="dot" w:pos="9629"/>
            </w:tabs>
            <w:rPr>
              <w:rFonts w:eastAsiaTheme="minorEastAsia" w:cstheme="minorBidi"/>
              <w:noProof/>
              <w:color w:val="auto"/>
              <w:lang w:eastAsia="en-GB"/>
            </w:rPr>
          </w:pPr>
          <w:hyperlink w:anchor="_Toc517262016" w:history="1">
            <w:r w:rsidR="004C05BB" w:rsidRPr="008E43CD">
              <w:rPr>
                <w:rStyle w:val="Hyperlink"/>
                <w:rFonts w:ascii="Times New Roman" w:hAnsi="Times New Roman"/>
                <w:noProof/>
                <w:lang w:val="fr-FR"/>
              </w:rPr>
              <w:t>Les tendances des glaréoles, des râles, des laridés et des pluviers sont mal connues</w:t>
            </w:r>
            <w:r w:rsidR="004C05BB">
              <w:rPr>
                <w:noProof/>
                <w:webHidden/>
              </w:rPr>
              <w:tab/>
            </w:r>
            <w:r w:rsidR="004C05BB">
              <w:rPr>
                <w:noProof/>
                <w:webHidden/>
              </w:rPr>
              <w:fldChar w:fldCharType="begin"/>
            </w:r>
            <w:r w:rsidR="004C05BB">
              <w:rPr>
                <w:noProof/>
                <w:webHidden/>
              </w:rPr>
              <w:instrText xml:space="preserve"> PAGEREF _Toc517262016 \h </w:instrText>
            </w:r>
            <w:r w:rsidR="004C05BB">
              <w:rPr>
                <w:noProof/>
                <w:webHidden/>
              </w:rPr>
            </w:r>
            <w:r w:rsidR="004C05BB">
              <w:rPr>
                <w:noProof/>
                <w:webHidden/>
              </w:rPr>
              <w:fldChar w:fldCharType="separate"/>
            </w:r>
            <w:r>
              <w:rPr>
                <w:noProof/>
                <w:webHidden/>
              </w:rPr>
              <w:t>27</w:t>
            </w:r>
            <w:r w:rsidR="004C05BB">
              <w:rPr>
                <w:noProof/>
                <w:webHidden/>
              </w:rPr>
              <w:fldChar w:fldCharType="end"/>
            </w:r>
          </w:hyperlink>
        </w:p>
        <w:p w14:paraId="703ECE12" w14:textId="62BA944D" w:rsidR="004C05BB" w:rsidRDefault="005E65A5">
          <w:pPr>
            <w:pStyle w:val="TOC3"/>
            <w:tabs>
              <w:tab w:val="right" w:leader="dot" w:pos="9629"/>
            </w:tabs>
            <w:rPr>
              <w:rFonts w:eastAsiaTheme="minorEastAsia" w:cstheme="minorBidi"/>
              <w:noProof/>
              <w:color w:val="auto"/>
              <w:lang w:eastAsia="en-GB"/>
            </w:rPr>
          </w:pPr>
          <w:hyperlink w:anchor="_Toc517262017" w:history="1">
            <w:r w:rsidR="004C05BB" w:rsidRPr="008E43CD">
              <w:rPr>
                <w:rStyle w:val="Hyperlink"/>
                <w:rFonts w:ascii="Calibri" w:hAnsi="Calibri" w:cs="Calibri"/>
                <w:noProof/>
                <w:lang w:val="fr-FR"/>
              </w:rPr>
              <w:t>Mouette de Heuglin Larus fuscus heuglini, Europe du Nord-Est et Sibérie occidentale/Asie du Sud-Ouest et Afrique du Nord-Est</w:t>
            </w:r>
            <w:r w:rsidR="004C05BB">
              <w:rPr>
                <w:noProof/>
                <w:webHidden/>
              </w:rPr>
              <w:tab/>
            </w:r>
            <w:r w:rsidR="004C05BB">
              <w:rPr>
                <w:noProof/>
                <w:webHidden/>
              </w:rPr>
              <w:fldChar w:fldCharType="begin"/>
            </w:r>
            <w:r w:rsidR="004C05BB">
              <w:rPr>
                <w:noProof/>
                <w:webHidden/>
              </w:rPr>
              <w:instrText xml:space="preserve"> PAGEREF _Toc517262017 \h </w:instrText>
            </w:r>
            <w:r w:rsidR="004C05BB">
              <w:rPr>
                <w:noProof/>
                <w:webHidden/>
              </w:rPr>
            </w:r>
            <w:r w:rsidR="004C05BB">
              <w:rPr>
                <w:noProof/>
                <w:webHidden/>
              </w:rPr>
              <w:fldChar w:fldCharType="separate"/>
            </w:r>
            <w:r>
              <w:rPr>
                <w:noProof/>
                <w:webHidden/>
              </w:rPr>
              <w:t>30</w:t>
            </w:r>
            <w:r w:rsidR="004C05BB">
              <w:rPr>
                <w:noProof/>
                <w:webHidden/>
              </w:rPr>
              <w:fldChar w:fldCharType="end"/>
            </w:r>
          </w:hyperlink>
        </w:p>
        <w:p w14:paraId="347487D8" w14:textId="42314016" w:rsidR="004C05BB" w:rsidRDefault="005E65A5">
          <w:pPr>
            <w:pStyle w:val="TOC3"/>
            <w:tabs>
              <w:tab w:val="right" w:leader="dot" w:pos="9629"/>
            </w:tabs>
            <w:rPr>
              <w:rFonts w:eastAsiaTheme="minorEastAsia" w:cstheme="minorBidi"/>
              <w:noProof/>
              <w:color w:val="auto"/>
              <w:lang w:eastAsia="en-GB"/>
            </w:rPr>
          </w:pPr>
          <w:hyperlink w:anchor="_Toc517262018" w:history="1">
            <w:r w:rsidR="004C05BB" w:rsidRPr="008E43CD">
              <w:rPr>
                <w:rStyle w:val="Hyperlink"/>
                <w:rFonts w:ascii="Times New Roman" w:hAnsi="Times New Roman"/>
                <w:noProof/>
                <w:lang w:val="fr-FR"/>
              </w:rPr>
              <w:t>Plus d’un tiers de l’ensemble des populations de l’AEWA est en déclin</w:t>
            </w:r>
            <w:r w:rsidR="004C05BB">
              <w:rPr>
                <w:noProof/>
                <w:webHidden/>
              </w:rPr>
              <w:tab/>
            </w:r>
            <w:r w:rsidR="004C05BB">
              <w:rPr>
                <w:noProof/>
                <w:webHidden/>
              </w:rPr>
              <w:fldChar w:fldCharType="begin"/>
            </w:r>
            <w:r w:rsidR="004C05BB">
              <w:rPr>
                <w:noProof/>
                <w:webHidden/>
              </w:rPr>
              <w:instrText xml:space="preserve"> PAGEREF _Toc517262018 \h </w:instrText>
            </w:r>
            <w:r w:rsidR="004C05BB">
              <w:rPr>
                <w:noProof/>
                <w:webHidden/>
              </w:rPr>
            </w:r>
            <w:r w:rsidR="004C05BB">
              <w:rPr>
                <w:noProof/>
                <w:webHidden/>
              </w:rPr>
              <w:fldChar w:fldCharType="separate"/>
            </w:r>
            <w:r>
              <w:rPr>
                <w:noProof/>
                <w:webHidden/>
              </w:rPr>
              <w:t>33</w:t>
            </w:r>
            <w:r w:rsidR="004C05BB">
              <w:rPr>
                <w:noProof/>
                <w:webHidden/>
              </w:rPr>
              <w:fldChar w:fldCharType="end"/>
            </w:r>
          </w:hyperlink>
        </w:p>
        <w:p w14:paraId="758C3452" w14:textId="6BB83F6F" w:rsidR="004C05BB" w:rsidRDefault="005E65A5">
          <w:pPr>
            <w:pStyle w:val="TOC3"/>
            <w:tabs>
              <w:tab w:val="right" w:leader="dot" w:pos="9629"/>
            </w:tabs>
            <w:rPr>
              <w:rFonts w:eastAsiaTheme="minorEastAsia" w:cstheme="minorBidi"/>
              <w:noProof/>
              <w:color w:val="auto"/>
              <w:lang w:eastAsia="en-GB"/>
            </w:rPr>
          </w:pPr>
          <w:hyperlink w:anchor="_Toc517262019" w:history="1">
            <w:r w:rsidR="004C05BB" w:rsidRPr="008E43CD">
              <w:rPr>
                <w:rStyle w:val="Hyperlink"/>
                <w:rFonts w:ascii="Times New Roman" w:hAnsi="Times New Roman"/>
                <w:noProof/>
                <w:lang w:val="fr-FR"/>
              </w:rPr>
              <w:t>L’état de 143 populations s’est amélioré et celui de 176 populations s’est détérioré</w:t>
            </w:r>
            <w:r w:rsidR="004C05BB">
              <w:rPr>
                <w:noProof/>
                <w:webHidden/>
              </w:rPr>
              <w:tab/>
            </w:r>
            <w:r w:rsidR="004C05BB">
              <w:rPr>
                <w:noProof/>
                <w:webHidden/>
              </w:rPr>
              <w:fldChar w:fldCharType="begin"/>
            </w:r>
            <w:r w:rsidR="004C05BB">
              <w:rPr>
                <w:noProof/>
                <w:webHidden/>
              </w:rPr>
              <w:instrText xml:space="preserve"> PAGEREF _Toc517262019 \h </w:instrText>
            </w:r>
            <w:r w:rsidR="004C05BB">
              <w:rPr>
                <w:noProof/>
                <w:webHidden/>
              </w:rPr>
            </w:r>
            <w:r w:rsidR="004C05BB">
              <w:rPr>
                <w:noProof/>
                <w:webHidden/>
              </w:rPr>
              <w:fldChar w:fldCharType="separate"/>
            </w:r>
            <w:r>
              <w:rPr>
                <w:noProof/>
                <w:webHidden/>
              </w:rPr>
              <w:t>34</w:t>
            </w:r>
            <w:r w:rsidR="004C05BB">
              <w:rPr>
                <w:noProof/>
                <w:webHidden/>
              </w:rPr>
              <w:fldChar w:fldCharType="end"/>
            </w:r>
          </w:hyperlink>
        </w:p>
        <w:p w14:paraId="1EC0193D" w14:textId="7542E79E" w:rsidR="004C05BB" w:rsidRDefault="005E65A5">
          <w:pPr>
            <w:pStyle w:val="TOC3"/>
            <w:tabs>
              <w:tab w:val="right" w:leader="dot" w:pos="9629"/>
            </w:tabs>
            <w:rPr>
              <w:rFonts w:eastAsiaTheme="minorEastAsia" w:cstheme="minorBidi"/>
              <w:noProof/>
              <w:color w:val="auto"/>
              <w:lang w:eastAsia="en-GB"/>
            </w:rPr>
          </w:pPr>
          <w:hyperlink w:anchor="_Toc517262020" w:history="1">
            <w:r w:rsidR="004C05BB" w:rsidRPr="008E43CD">
              <w:rPr>
                <w:rStyle w:val="Hyperlink"/>
                <w:rFonts w:ascii="Calibri" w:hAnsi="Calibri"/>
                <w:noProof/>
                <w:lang w:val="fr-FR"/>
              </w:rPr>
              <w:t>Goéland marin Larus marinus, Europe du Nord et de l’Ouest</w:t>
            </w:r>
            <w:r w:rsidR="004C05BB">
              <w:rPr>
                <w:noProof/>
                <w:webHidden/>
              </w:rPr>
              <w:tab/>
            </w:r>
            <w:r w:rsidR="004C05BB">
              <w:rPr>
                <w:noProof/>
                <w:webHidden/>
              </w:rPr>
              <w:fldChar w:fldCharType="begin"/>
            </w:r>
            <w:r w:rsidR="004C05BB">
              <w:rPr>
                <w:noProof/>
                <w:webHidden/>
              </w:rPr>
              <w:instrText xml:space="preserve"> PAGEREF _Toc517262020 \h </w:instrText>
            </w:r>
            <w:r w:rsidR="004C05BB">
              <w:rPr>
                <w:noProof/>
                <w:webHidden/>
              </w:rPr>
            </w:r>
            <w:r w:rsidR="004C05BB">
              <w:rPr>
                <w:noProof/>
                <w:webHidden/>
              </w:rPr>
              <w:fldChar w:fldCharType="separate"/>
            </w:r>
            <w:r>
              <w:rPr>
                <w:noProof/>
                <w:webHidden/>
              </w:rPr>
              <w:t>35</w:t>
            </w:r>
            <w:r w:rsidR="004C05BB">
              <w:rPr>
                <w:noProof/>
                <w:webHidden/>
              </w:rPr>
              <w:fldChar w:fldCharType="end"/>
            </w:r>
          </w:hyperlink>
        </w:p>
        <w:p w14:paraId="4A94FEEB" w14:textId="3462E9DE" w:rsidR="004C05BB" w:rsidRDefault="005E65A5">
          <w:pPr>
            <w:pStyle w:val="TOC3"/>
            <w:tabs>
              <w:tab w:val="right" w:leader="dot" w:pos="9629"/>
            </w:tabs>
            <w:rPr>
              <w:rFonts w:eastAsiaTheme="minorEastAsia" w:cstheme="minorBidi"/>
              <w:noProof/>
              <w:color w:val="auto"/>
              <w:lang w:eastAsia="en-GB"/>
            </w:rPr>
          </w:pPr>
          <w:hyperlink w:anchor="_Toc517262021" w:history="1">
            <w:r w:rsidR="004C05BB" w:rsidRPr="008E43CD">
              <w:rPr>
                <w:rStyle w:val="Hyperlink"/>
                <w:rFonts w:ascii="Times New Roman" w:hAnsi="Times New Roman"/>
                <w:noProof/>
                <w:lang w:val="fr-FR"/>
              </w:rPr>
              <w:t>Plus de la moitié des populations de pingouins et de grues est en déclin</w:t>
            </w:r>
            <w:r w:rsidR="004C05BB">
              <w:rPr>
                <w:noProof/>
                <w:webHidden/>
              </w:rPr>
              <w:tab/>
            </w:r>
            <w:r w:rsidR="004C05BB">
              <w:rPr>
                <w:noProof/>
                <w:webHidden/>
              </w:rPr>
              <w:fldChar w:fldCharType="begin"/>
            </w:r>
            <w:r w:rsidR="004C05BB">
              <w:rPr>
                <w:noProof/>
                <w:webHidden/>
              </w:rPr>
              <w:instrText xml:space="preserve"> PAGEREF _Toc517262021 \h </w:instrText>
            </w:r>
            <w:r w:rsidR="004C05BB">
              <w:rPr>
                <w:noProof/>
                <w:webHidden/>
              </w:rPr>
            </w:r>
            <w:r w:rsidR="004C05BB">
              <w:rPr>
                <w:noProof/>
                <w:webHidden/>
              </w:rPr>
              <w:fldChar w:fldCharType="separate"/>
            </w:r>
            <w:r>
              <w:rPr>
                <w:noProof/>
                <w:webHidden/>
              </w:rPr>
              <w:t>36</w:t>
            </w:r>
            <w:r w:rsidR="004C05BB">
              <w:rPr>
                <w:noProof/>
                <w:webHidden/>
              </w:rPr>
              <w:fldChar w:fldCharType="end"/>
            </w:r>
          </w:hyperlink>
        </w:p>
        <w:p w14:paraId="51045B55" w14:textId="51E8853F" w:rsidR="004C05BB" w:rsidRDefault="005E65A5">
          <w:pPr>
            <w:pStyle w:val="TOC3"/>
            <w:tabs>
              <w:tab w:val="right" w:leader="dot" w:pos="9629"/>
            </w:tabs>
            <w:rPr>
              <w:rFonts w:eastAsiaTheme="minorEastAsia" w:cstheme="minorBidi"/>
              <w:noProof/>
              <w:color w:val="auto"/>
              <w:lang w:eastAsia="en-GB"/>
            </w:rPr>
          </w:pPr>
          <w:hyperlink w:anchor="_Toc517262022" w:history="1">
            <w:r w:rsidR="004C05BB" w:rsidRPr="008E43CD">
              <w:rPr>
                <w:rStyle w:val="Hyperlink"/>
                <w:rFonts w:ascii="Times New Roman" w:hAnsi="Times New Roman"/>
                <w:noProof/>
                <w:lang w:val="fr-FR"/>
              </w:rPr>
              <w:t>Plus de la moitié des populations de l’Asie centrale et du Sud-Ouest est en déclin</w:t>
            </w:r>
            <w:r w:rsidR="004C05BB">
              <w:rPr>
                <w:noProof/>
                <w:webHidden/>
              </w:rPr>
              <w:tab/>
            </w:r>
            <w:r w:rsidR="004C05BB">
              <w:rPr>
                <w:noProof/>
                <w:webHidden/>
              </w:rPr>
              <w:fldChar w:fldCharType="begin"/>
            </w:r>
            <w:r w:rsidR="004C05BB">
              <w:rPr>
                <w:noProof/>
                <w:webHidden/>
              </w:rPr>
              <w:instrText xml:space="preserve"> PAGEREF _Toc517262022 \h </w:instrText>
            </w:r>
            <w:r w:rsidR="004C05BB">
              <w:rPr>
                <w:noProof/>
                <w:webHidden/>
              </w:rPr>
            </w:r>
            <w:r w:rsidR="004C05BB">
              <w:rPr>
                <w:noProof/>
                <w:webHidden/>
              </w:rPr>
              <w:fldChar w:fldCharType="separate"/>
            </w:r>
            <w:r>
              <w:rPr>
                <w:noProof/>
                <w:webHidden/>
              </w:rPr>
              <w:t>37</w:t>
            </w:r>
            <w:r w:rsidR="004C05BB">
              <w:rPr>
                <w:noProof/>
                <w:webHidden/>
              </w:rPr>
              <w:fldChar w:fldCharType="end"/>
            </w:r>
          </w:hyperlink>
        </w:p>
        <w:p w14:paraId="2F309D2D" w14:textId="75BCE337" w:rsidR="004C05BB" w:rsidRDefault="005E65A5">
          <w:pPr>
            <w:pStyle w:val="TOC3"/>
            <w:tabs>
              <w:tab w:val="right" w:leader="dot" w:pos="9629"/>
            </w:tabs>
            <w:rPr>
              <w:rFonts w:eastAsiaTheme="minorEastAsia" w:cstheme="minorBidi"/>
              <w:noProof/>
              <w:color w:val="auto"/>
              <w:lang w:eastAsia="en-GB"/>
            </w:rPr>
          </w:pPr>
          <w:hyperlink w:anchor="_Toc517262023" w:history="1">
            <w:r w:rsidR="004C05BB" w:rsidRPr="008E43CD">
              <w:rPr>
                <w:rStyle w:val="Hyperlink"/>
                <w:rFonts w:ascii="Times New Roman" w:hAnsi="Times New Roman"/>
                <w:noProof/>
                <w:lang w:val="fr-FR"/>
              </w:rPr>
              <w:t>Plus d’un quart des populations de l’AEWA présente un déclin significatif à long terme</w:t>
            </w:r>
            <w:r w:rsidR="004C05BB">
              <w:rPr>
                <w:noProof/>
                <w:webHidden/>
              </w:rPr>
              <w:tab/>
            </w:r>
            <w:r w:rsidR="004C05BB">
              <w:rPr>
                <w:noProof/>
                <w:webHidden/>
              </w:rPr>
              <w:fldChar w:fldCharType="begin"/>
            </w:r>
            <w:r w:rsidR="004C05BB">
              <w:rPr>
                <w:noProof/>
                <w:webHidden/>
              </w:rPr>
              <w:instrText xml:space="preserve"> PAGEREF _Toc517262023 \h </w:instrText>
            </w:r>
            <w:r w:rsidR="004C05BB">
              <w:rPr>
                <w:noProof/>
                <w:webHidden/>
              </w:rPr>
            </w:r>
            <w:r w:rsidR="004C05BB">
              <w:rPr>
                <w:noProof/>
                <w:webHidden/>
              </w:rPr>
              <w:fldChar w:fldCharType="separate"/>
            </w:r>
            <w:r>
              <w:rPr>
                <w:noProof/>
                <w:webHidden/>
              </w:rPr>
              <w:t>38</w:t>
            </w:r>
            <w:r w:rsidR="004C05BB">
              <w:rPr>
                <w:noProof/>
                <w:webHidden/>
              </w:rPr>
              <w:fldChar w:fldCharType="end"/>
            </w:r>
          </w:hyperlink>
        </w:p>
        <w:p w14:paraId="770AA441" w14:textId="57C861B8" w:rsidR="004C05BB" w:rsidRDefault="005E65A5">
          <w:pPr>
            <w:pStyle w:val="TOC3"/>
            <w:tabs>
              <w:tab w:val="right" w:leader="dot" w:pos="9629"/>
            </w:tabs>
            <w:rPr>
              <w:rFonts w:eastAsiaTheme="minorEastAsia" w:cstheme="minorBidi"/>
              <w:noProof/>
              <w:color w:val="auto"/>
              <w:lang w:eastAsia="en-GB"/>
            </w:rPr>
          </w:pPr>
          <w:hyperlink w:anchor="_Toc517262024" w:history="1">
            <w:r w:rsidR="004C05BB" w:rsidRPr="008E43CD">
              <w:rPr>
                <w:rStyle w:val="Hyperlink"/>
                <w:rFonts w:ascii="Times New Roman" w:hAnsi="Times New Roman"/>
                <w:noProof/>
                <w:lang w:val="fr-FR"/>
              </w:rPr>
              <w:t>La surveillance à long terme est essentielle pour évaluer les tendances à long terme</w:t>
            </w:r>
            <w:r w:rsidR="004C05BB">
              <w:rPr>
                <w:noProof/>
                <w:webHidden/>
              </w:rPr>
              <w:tab/>
            </w:r>
            <w:r w:rsidR="004C05BB">
              <w:rPr>
                <w:noProof/>
                <w:webHidden/>
              </w:rPr>
              <w:fldChar w:fldCharType="begin"/>
            </w:r>
            <w:r w:rsidR="004C05BB">
              <w:rPr>
                <w:noProof/>
                <w:webHidden/>
              </w:rPr>
              <w:instrText xml:space="preserve"> PAGEREF _Toc517262024 \h </w:instrText>
            </w:r>
            <w:r w:rsidR="004C05BB">
              <w:rPr>
                <w:noProof/>
                <w:webHidden/>
              </w:rPr>
            </w:r>
            <w:r w:rsidR="004C05BB">
              <w:rPr>
                <w:noProof/>
                <w:webHidden/>
              </w:rPr>
              <w:fldChar w:fldCharType="separate"/>
            </w:r>
            <w:r>
              <w:rPr>
                <w:noProof/>
                <w:webHidden/>
              </w:rPr>
              <w:t>46</w:t>
            </w:r>
            <w:r w:rsidR="004C05BB">
              <w:rPr>
                <w:noProof/>
                <w:webHidden/>
              </w:rPr>
              <w:fldChar w:fldCharType="end"/>
            </w:r>
          </w:hyperlink>
        </w:p>
        <w:p w14:paraId="6E4C5ACE" w14:textId="346D8922" w:rsidR="004C05BB" w:rsidRDefault="005E65A5">
          <w:pPr>
            <w:pStyle w:val="TOC3"/>
            <w:tabs>
              <w:tab w:val="right" w:leader="dot" w:pos="9629"/>
            </w:tabs>
            <w:rPr>
              <w:rFonts w:eastAsiaTheme="minorEastAsia" w:cstheme="minorBidi"/>
              <w:noProof/>
              <w:color w:val="auto"/>
              <w:lang w:eastAsia="en-GB"/>
            </w:rPr>
          </w:pPr>
          <w:hyperlink w:anchor="_Toc517262025" w:history="1">
            <w:r w:rsidR="004C05BB" w:rsidRPr="008E43CD">
              <w:rPr>
                <w:rStyle w:val="Hyperlink"/>
                <w:rFonts w:ascii="Times New Roman" w:hAnsi="Times New Roman"/>
                <w:noProof/>
                <w:lang w:val="fr-FR"/>
              </w:rPr>
              <w:t>Comment les populations de l’AEWA ont-elles changé au fil du temps ?</w:t>
            </w:r>
            <w:r w:rsidR="004C05BB">
              <w:rPr>
                <w:noProof/>
                <w:webHidden/>
              </w:rPr>
              <w:tab/>
            </w:r>
            <w:r w:rsidR="004C05BB">
              <w:rPr>
                <w:noProof/>
                <w:webHidden/>
              </w:rPr>
              <w:fldChar w:fldCharType="begin"/>
            </w:r>
            <w:r w:rsidR="004C05BB">
              <w:rPr>
                <w:noProof/>
                <w:webHidden/>
              </w:rPr>
              <w:instrText xml:space="preserve"> PAGEREF _Toc517262025 \h </w:instrText>
            </w:r>
            <w:r w:rsidR="004C05BB">
              <w:rPr>
                <w:noProof/>
                <w:webHidden/>
              </w:rPr>
            </w:r>
            <w:r w:rsidR="004C05BB">
              <w:rPr>
                <w:noProof/>
                <w:webHidden/>
              </w:rPr>
              <w:fldChar w:fldCharType="separate"/>
            </w:r>
            <w:r>
              <w:rPr>
                <w:noProof/>
                <w:webHidden/>
              </w:rPr>
              <w:t>47</w:t>
            </w:r>
            <w:r w:rsidR="004C05BB">
              <w:rPr>
                <w:noProof/>
                <w:webHidden/>
              </w:rPr>
              <w:fldChar w:fldCharType="end"/>
            </w:r>
          </w:hyperlink>
        </w:p>
        <w:p w14:paraId="02448128" w14:textId="5A207F2B" w:rsidR="004C05BB" w:rsidRDefault="005E65A5">
          <w:pPr>
            <w:pStyle w:val="TOC3"/>
            <w:tabs>
              <w:tab w:val="right" w:leader="dot" w:pos="9629"/>
            </w:tabs>
            <w:rPr>
              <w:rFonts w:eastAsiaTheme="minorEastAsia" w:cstheme="minorBidi"/>
              <w:noProof/>
              <w:color w:val="auto"/>
              <w:lang w:eastAsia="en-GB"/>
            </w:rPr>
          </w:pPr>
          <w:hyperlink w:anchor="_Toc517262026" w:history="1">
            <w:r w:rsidR="004C05BB" w:rsidRPr="008E43CD">
              <w:rPr>
                <w:rStyle w:val="Hyperlink"/>
                <w:rFonts w:ascii="Times New Roman" w:hAnsi="Times New Roman"/>
                <w:noProof/>
                <w:lang w:val="fr-FR"/>
              </w:rPr>
              <w:t>La réussite de la conservation des oiseaux d’eau dépend de l’efficacité de la gouvernance</w:t>
            </w:r>
            <w:r w:rsidR="004C05BB">
              <w:rPr>
                <w:noProof/>
                <w:webHidden/>
              </w:rPr>
              <w:tab/>
            </w:r>
            <w:r w:rsidR="004C05BB">
              <w:rPr>
                <w:noProof/>
                <w:webHidden/>
              </w:rPr>
              <w:fldChar w:fldCharType="begin"/>
            </w:r>
            <w:r w:rsidR="004C05BB">
              <w:rPr>
                <w:noProof/>
                <w:webHidden/>
              </w:rPr>
              <w:instrText xml:space="preserve"> PAGEREF _Toc517262026 \h </w:instrText>
            </w:r>
            <w:r w:rsidR="004C05BB">
              <w:rPr>
                <w:noProof/>
                <w:webHidden/>
              </w:rPr>
            </w:r>
            <w:r w:rsidR="004C05BB">
              <w:rPr>
                <w:noProof/>
                <w:webHidden/>
              </w:rPr>
              <w:fldChar w:fldCharType="separate"/>
            </w:r>
            <w:r>
              <w:rPr>
                <w:noProof/>
                <w:webHidden/>
              </w:rPr>
              <w:t>50</w:t>
            </w:r>
            <w:r w:rsidR="004C05BB">
              <w:rPr>
                <w:noProof/>
                <w:webHidden/>
              </w:rPr>
              <w:fldChar w:fldCharType="end"/>
            </w:r>
          </w:hyperlink>
        </w:p>
        <w:p w14:paraId="191B99CD" w14:textId="53E4EFDF" w:rsidR="004C05BB" w:rsidRDefault="005E65A5" w:rsidP="004C05BB">
          <w:pPr>
            <w:pStyle w:val="TOC1"/>
            <w:rPr>
              <w:rFonts w:eastAsiaTheme="minorEastAsia" w:cstheme="minorBidi"/>
              <w:noProof/>
              <w:color w:val="auto"/>
              <w:sz w:val="22"/>
              <w:szCs w:val="22"/>
              <w:lang w:eastAsia="en-GB"/>
            </w:rPr>
          </w:pPr>
          <w:hyperlink w:anchor="_Toc517262027" w:history="1">
            <w:r w:rsidR="004C05BB" w:rsidRPr="008E43CD">
              <w:rPr>
                <w:rStyle w:val="Hyperlink"/>
                <w:noProof/>
                <w:lang w:val="fr-FR"/>
              </w:rPr>
              <w:t>Partie 4. Menaces pesant sur les espèces d’oiseaux d’eau dans la région de l’AEWA</w:t>
            </w:r>
            <w:r w:rsidR="004C05BB">
              <w:rPr>
                <w:noProof/>
                <w:webHidden/>
              </w:rPr>
              <w:tab/>
            </w:r>
            <w:r w:rsidR="004C05BB">
              <w:rPr>
                <w:noProof/>
                <w:webHidden/>
              </w:rPr>
              <w:fldChar w:fldCharType="begin"/>
            </w:r>
            <w:r w:rsidR="004C05BB">
              <w:rPr>
                <w:noProof/>
                <w:webHidden/>
              </w:rPr>
              <w:instrText xml:space="preserve"> PAGEREF _Toc517262027 \h </w:instrText>
            </w:r>
            <w:r w:rsidR="004C05BB">
              <w:rPr>
                <w:noProof/>
                <w:webHidden/>
              </w:rPr>
            </w:r>
            <w:r w:rsidR="004C05BB">
              <w:rPr>
                <w:noProof/>
                <w:webHidden/>
              </w:rPr>
              <w:fldChar w:fldCharType="separate"/>
            </w:r>
            <w:r>
              <w:rPr>
                <w:noProof/>
                <w:webHidden/>
              </w:rPr>
              <w:t>52</w:t>
            </w:r>
            <w:r w:rsidR="004C05BB">
              <w:rPr>
                <w:noProof/>
                <w:webHidden/>
              </w:rPr>
              <w:fldChar w:fldCharType="end"/>
            </w:r>
          </w:hyperlink>
        </w:p>
        <w:p w14:paraId="52E7FEC7" w14:textId="0C864089" w:rsidR="004C05BB" w:rsidRDefault="005E65A5" w:rsidP="004C05BB">
          <w:pPr>
            <w:pStyle w:val="TOC1"/>
            <w:rPr>
              <w:rFonts w:eastAsiaTheme="minorEastAsia" w:cstheme="minorBidi"/>
              <w:noProof/>
              <w:color w:val="auto"/>
              <w:sz w:val="22"/>
              <w:szCs w:val="22"/>
              <w:lang w:eastAsia="en-GB"/>
            </w:rPr>
          </w:pPr>
          <w:hyperlink w:anchor="_Toc517262028" w:history="1">
            <w:r w:rsidR="004C05BB" w:rsidRPr="008E43CD">
              <w:rPr>
                <w:rStyle w:val="Hyperlink"/>
                <w:noProof/>
                <w:lang w:val="fr-FR"/>
              </w:rPr>
              <w:t>Partie 5. Espèces dont l’état de conservation est préoccupant au niveau mondial</w:t>
            </w:r>
            <w:r w:rsidR="004C05BB">
              <w:rPr>
                <w:noProof/>
                <w:webHidden/>
              </w:rPr>
              <w:tab/>
            </w:r>
            <w:r w:rsidR="004C05BB">
              <w:rPr>
                <w:noProof/>
                <w:webHidden/>
              </w:rPr>
              <w:fldChar w:fldCharType="begin"/>
            </w:r>
            <w:r w:rsidR="004C05BB">
              <w:rPr>
                <w:noProof/>
                <w:webHidden/>
              </w:rPr>
              <w:instrText xml:space="preserve"> PAGEREF _Toc517262028 \h </w:instrText>
            </w:r>
            <w:r w:rsidR="004C05BB">
              <w:rPr>
                <w:noProof/>
                <w:webHidden/>
              </w:rPr>
            </w:r>
            <w:r w:rsidR="004C05BB">
              <w:rPr>
                <w:noProof/>
                <w:webHidden/>
              </w:rPr>
              <w:fldChar w:fldCharType="separate"/>
            </w:r>
            <w:r>
              <w:rPr>
                <w:noProof/>
                <w:webHidden/>
              </w:rPr>
              <w:t>53</w:t>
            </w:r>
            <w:r w:rsidR="004C05BB">
              <w:rPr>
                <w:noProof/>
                <w:webHidden/>
              </w:rPr>
              <w:fldChar w:fldCharType="end"/>
            </w:r>
          </w:hyperlink>
        </w:p>
        <w:p w14:paraId="2925F6B4" w14:textId="18A40546" w:rsidR="004C05BB" w:rsidRDefault="005E65A5">
          <w:pPr>
            <w:pStyle w:val="TOC3"/>
            <w:tabs>
              <w:tab w:val="right" w:leader="dot" w:pos="9629"/>
            </w:tabs>
            <w:rPr>
              <w:rFonts w:eastAsiaTheme="minorEastAsia" w:cstheme="minorBidi"/>
              <w:noProof/>
              <w:color w:val="auto"/>
              <w:lang w:eastAsia="en-GB"/>
            </w:rPr>
          </w:pPr>
          <w:hyperlink w:anchor="_Toc517262029" w:history="1">
            <w:r w:rsidR="004C05BB" w:rsidRPr="008E43CD">
              <w:rPr>
                <w:rStyle w:val="Hyperlink"/>
                <w:rFonts w:ascii="Times New Roman" w:hAnsi="Times New Roman"/>
                <w:noProof/>
                <w:lang w:val="fr-FR"/>
              </w:rPr>
              <w:t>Un nombre croissant de populations de populations de l’AEWA apparaissent sur la Liste rouge</w:t>
            </w:r>
            <w:r w:rsidR="004C05BB">
              <w:rPr>
                <w:noProof/>
                <w:webHidden/>
              </w:rPr>
              <w:tab/>
            </w:r>
            <w:r w:rsidR="004C05BB">
              <w:rPr>
                <w:noProof/>
                <w:webHidden/>
              </w:rPr>
              <w:fldChar w:fldCharType="begin"/>
            </w:r>
            <w:r w:rsidR="004C05BB">
              <w:rPr>
                <w:noProof/>
                <w:webHidden/>
              </w:rPr>
              <w:instrText xml:space="preserve"> PAGEREF _Toc517262029 \h </w:instrText>
            </w:r>
            <w:r w:rsidR="004C05BB">
              <w:rPr>
                <w:noProof/>
                <w:webHidden/>
              </w:rPr>
            </w:r>
            <w:r w:rsidR="004C05BB">
              <w:rPr>
                <w:noProof/>
                <w:webHidden/>
              </w:rPr>
              <w:fldChar w:fldCharType="separate"/>
            </w:r>
            <w:r>
              <w:rPr>
                <w:noProof/>
                <w:webHidden/>
              </w:rPr>
              <w:t>53</w:t>
            </w:r>
            <w:r w:rsidR="004C05BB">
              <w:rPr>
                <w:noProof/>
                <w:webHidden/>
              </w:rPr>
              <w:fldChar w:fldCharType="end"/>
            </w:r>
          </w:hyperlink>
        </w:p>
        <w:p w14:paraId="30762C23" w14:textId="13B59F19" w:rsidR="004C05BB" w:rsidRDefault="005E65A5">
          <w:pPr>
            <w:pStyle w:val="TOC3"/>
            <w:tabs>
              <w:tab w:val="right" w:leader="dot" w:pos="9629"/>
            </w:tabs>
            <w:rPr>
              <w:rFonts w:eastAsiaTheme="minorEastAsia" w:cstheme="minorBidi"/>
              <w:noProof/>
              <w:color w:val="auto"/>
              <w:lang w:eastAsia="en-GB"/>
            </w:rPr>
          </w:pPr>
          <w:hyperlink w:anchor="_Toc517262030" w:history="1">
            <w:r w:rsidR="004C05BB" w:rsidRPr="008E43CD">
              <w:rPr>
                <w:rStyle w:val="Hyperlink"/>
                <w:rFonts w:ascii="Times New Roman" w:hAnsi="Times New Roman"/>
                <w:noProof/>
                <w:lang w:val="fr-FR"/>
              </w:rPr>
              <w:t>La proportion la plus élevée de populations figurant sur la Liste rouge se trouve en Afrique orientale et australe</w:t>
            </w:r>
            <w:r w:rsidR="004C05BB">
              <w:rPr>
                <w:noProof/>
                <w:webHidden/>
              </w:rPr>
              <w:tab/>
            </w:r>
            <w:r w:rsidR="004C05BB">
              <w:rPr>
                <w:noProof/>
                <w:webHidden/>
              </w:rPr>
              <w:fldChar w:fldCharType="begin"/>
            </w:r>
            <w:r w:rsidR="004C05BB">
              <w:rPr>
                <w:noProof/>
                <w:webHidden/>
              </w:rPr>
              <w:instrText xml:space="preserve"> PAGEREF _Toc517262030 \h </w:instrText>
            </w:r>
            <w:r w:rsidR="004C05BB">
              <w:rPr>
                <w:noProof/>
                <w:webHidden/>
              </w:rPr>
            </w:r>
            <w:r w:rsidR="004C05BB">
              <w:rPr>
                <w:noProof/>
                <w:webHidden/>
              </w:rPr>
              <w:fldChar w:fldCharType="separate"/>
            </w:r>
            <w:r>
              <w:rPr>
                <w:noProof/>
                <w:webHidden/>
              </w:rPr>
              <w:t>55</w:t>
            </w:r>
            <w:r w:rsidR="004C05BB">
              <w:rPr>
                <w:noProof/>
                <w:webHidden/>
              </w:rPr>
              <w:fldChar w:fldCharType="end"/>
            </w:r>
          </w:hyperlink>
        </w:p>
        <w:p w14:paraId="4087FEE6" w14:textId="11832672" w:rsidR="004C05BB" w:rsidRDefault="005E65A5">
          <w:pPr>
            <w:pStyle w:val="TOC3"/>
            <w:tabs>
              <w:tab w:val="right" w:leader="dot" w:pos="9629"/>
            </w:tabs>
            <w:rPr>
              <w:rFonts w:eastAsiaTheme="minorEastAsia" w:cstheme="minorBidi"/>
              <w:noProof/>
              <w:color w:val="auto"/>
              <w:lang w:eastAsia="en-GB"/>
            </w:rPr>
          </w:pPr>
          <w:hyperlink w:anchor="_Toc517262031" w:history="1">
            <w:r w:rsidR="004C05BB" w:rsidRPr="008E43CD">
              <w:rPr>
                <w:rStyle w:val="Hyperlink"/>
                <w:rFonts w:ascii="Times New Roman" w:hAnsi="Times New Roman"/>
                <w:noProof/>
                <w:lang w:val="fr-FR"/>
              </w:rPr>
              <w:t>Les plans d’action fonctionnent, mais exigent un engagement à long terme</w:t>
            </w:r>
            <w:r w:rsidR="004C05BB">
              <w:rPr>
                <w:noProof/>
                <w:webHidden/>
              </w:rPr>
              <w:tab/>
            </w:r>
            <w:r w:rsidR="004C05BB">
              <w:rPr>
                <w:noProof/>
                <w:webHidden/>
              </w:rPr>
              <w:fldChar w:fldCharType="begin"/>
            </w:r>
            <w:r w:rsidR="004C05BB">
              <w:rPr>
                <w:noProof/>
                <w:webHidden/>
              </w:rPr>
              <w:instrText xml:space="preserve"> PAGEREF _Toc517262031 \h </w:instrText>
            </w:r>
            <w:r w:rsidR="004C05BB">
              <w:rPr>
                <w:noProof/>
                <w:webHidden/>
              </w:rPr>
            </w:r>
            <w:r w:rsidR="004C05BB">
              <w:rPr>
                <w:noProof/>
                <w:webHidden/>
              </w:rPr>
              <w:fldChar w:fldCharType="separate"/>
            </w:r>
            <w:r>
              <w:rPr>
                <w:noProof/>
                <w:webHidden/>
              </w:rPr>
              <w:t>56</w:t>
            </w:r>
            <w:r w:rsidR="004C05BB">
              <w:rPr>
                <w:noProof/>
                <w:webHidden/>
              </w:rPr>
              <w:fldChar w:fldCharType="end"/>
            </w:r>
          </w:hyperlink>
        </w:p>
        <w:p w14:paraId="3C4AA2A2" w14:textId="4CB1E645" w:rsidR="004C05BB" w:rsidRDefault="005E65A5" w:rsidP="004C05BB">
          <w:pPr>
            <w:pStyle w:val="TOC1"/>
            <w:rPr>
              <w:rFonts w:eastAsiaTheme="minorEastAsia" w:cstheme="minorBidi"/>
              <w:noProof/>
              <w:color w:val="auto"/>
              <w:sz w:val="22"/>
              <w:szCs w:val="22"/>
              <w:lang w:eastAsia="en-GB"/>
            </w:rPr>
          </w:pPr>
          <w:hyperlink w:anchor="_Toc517262032" w:history="1">
            <w:r w:rsidR="004C05BB" w:rsidRPr="008E43CD">
              <w:rPr>
                <w:rStyle w:val="Hyperlink"/>
                <w:noProof/>
                <w:lang w:val="fr-FR"/>
              </w:rPr>
              <w:t xml:space="preserve">Partie 6. </w:t>
            </w:r>
            <w:r w:rsidR="004C05BB">
              <w:rPr>
                <w:rFonts w:eastAsiaTheme="minorEastAsia" w:cstheme="minorBidi"/>
                <w:noProof/>
                <w:color w:val="auto"/>
                <w:sz w:val="22"/>
                <w:szCs w:val="22"/>
                <w:lang w:eastAsia="en-GB"/>
              </w:rPr>
              <w:tab/>
            </w:r>
            <w:r w:rsidR="004C05BB" w:rsidRPr="008E43CD">
              <w:rPr>
                <w:rStyle w:val="Hyperlink"/>
                <w:noProof/>
                <w:lang w:val="fr-FR"/>
              </w:rPr>
              <w:t>Progrès accomplis dans la réalisation des objectifs définis dans le Plan stratégique de l’AEWA</w:t>
            </w:r>
            <w:r w:rsidR="004C05BB">
              <w:rPr>
                <w:noProof/>
                <w:webHidden/>
              </w:rPr>
              <w:tab/>
            </w:r>
            <w:r w:rsidR="004C05BB">
              <w:rPr>
                <w:noProof/>
                <w:webHidden/>
              </w:rPr>
              <w:fldChar w:fldCharType="begin"/>
            </w:r>
            <w:r w:rsidR="004C05BB">
              <w:rPr>
                <w:noProof/>
                <w:webHidden/>
              </w:rPr>
              <w:instrText xml:space="preserve"> PAGEREF _Toc517262032 \h </w:instrText>
            </w:r>
            <w:r w:rsidR="004C05BB">
              <w:rPr>
                <w:noProof/>
                <w:webHidden/>
              </w:rPr>
            </w:r>
            <w:r w:rsidR="004C05BB">
              <w:rPr>
                <w:noProof/>
                <w:webHidden/>
              </w:rPr>
              <w:fldChar w:fldCharType="separate"/>
            </w:r>
            <w:r>
              <w:rPr>
                <w:noProof/>
                <w:webHidden/>
              </w:rPr>
              <w:t>57</w:t>
            </w:r>
            <w:r w:rsidR="004C05BB">
              <w:rPr>
                <w:noProof/>
                <w:webHidden/>
              </w:rPr>
              <w:fldChar w:fldCharType="end"/>
            </w:r>
          </w:hyperlink>
        </w:p>
        <w:p w14:paraId="164DFBF8" w14:textId="0ADEAB7A" w:rsidR="004C05BB" w:rsidRDefault="005E65A5">
          <w:pPr>
            <w:pStyle w:val="TOC3"/>
            <w:tabs>
              <w:tab w:val="right" w:leader="dot" w:pos="9629"/>
            </w:tabs>
            <w:rPr>
              <w:rFonts w:eastAsiaTheme="minorEastAsia" w:cstheme="minorBidi"/>
              <w:noProof/>
              <w:color w:val="auto"/>
              <w:lang w:eastAsia="en-GB"/>
            </w:rPr>
          </w:pPr>
          <w:hyperlink w:anchor="_Toc517262033" w:history="1">
            <w:r w:rsidR="004C05BB" w:rsidRPr="008E43CD">
              <w:rPr>
                <w:rStyle w:val="Hyperlink"/>
                <w:rFonts w:ascii="Times New Roman" w:hAnsi="Times New Roman"/>
                <w:noProof/>
                <w:lang w:val="fr-FR"/>
              </w:rPr>
              <w:t>G. 1 Il n’y a eu aucune extinction de populations d’oiseaux d’eau de l’AEWA dans la zone de l’Accord.</w:t>
            </w:r>
            <w:r w:rsidR="004C05BB">
              <w:rPr>
                <w:noProof/>
                <w:webHidden/>
              </w:rPr>
              <w:tab/>
            </w:r>
            <w:r w:rsidR="004C05BB">
              <w:rPr>
                <w:noProof/>
                <w:webHidden/>
              </w:rPr>
              <w:fldChar w:fldCharType="begin"/>
            </w:r>
            <w:r w:rsidR="004C05BB">
              <w:rPr>
                <w:noProof/>
                <w:webHidden/>
              </w:rPr>
              <w:instrText xml:space="preserve"> PAGEREF _Toc517262033 \h </w:instrText>
            </w:r>
            <w:r w:rsidR="004C05BB">
              <w:rPr>
                <w:noProof/>
                <w:webHidden/>
              </w:rPr>
            </w:r>
            <w:r w:rsidR="004C05BB">
              <w:rPr>
                <w:noProof/>
                <w:webHidden/>
              </w:rPr>
              <w:fldChar w:fldCharType="separate"/>
            </w:r>
            <w:r>
              <w:rPr>
                <w:noProof/>
                <w:webHidden/>
              </w:rPr>
              <w:t>58</w:t>
            </w:r>
            <w:r w:rsidR="004C05BB">
              <w:rPr>
                <w:noProof/>
                <w:webHidden/>
              </w:rPr>
              <w:fldChar w:fldCharType="end"/>
            </w:r>
          </w:hyperlink>
        </w:p>
        <w:p w14:paraId="48C807C6" w14:textId="100F9DCD" w:rsidR="004C05BB" w:rsidRDefault="005E65A5">
          <w:pPr>
            <w:pStyle w:val="TOC3"/>
            <w:tabs>
              <w:tab w:val="right" w:leader="dot" w:pos="9629"/>
            </w:tabs>
            <w:rPr>
              <w:rFonts w:eastAsiaTheme="minorEastAsia" w:cstheme="minorBidi"/>
              <w:noProof/>
              <w:color w:val="auto"/>
              <w:lang w:eastAsia="en-GB"/>
            </w:rPr>
          </w:pPr>
          <w:hyperlink w:anchor="_Toc517262034" w:history="1">
            <w:r w:rsidR="004C05BB" w:rsidRPr="008E43CD">
              <w:rPr>
                <w:rStyle w:val="Hyperlink"/>
                <w:rFonts w:ascii="Times New Roman" w:hAnsi="Times New Roman"/>
                <w:noProof/>
                <w:lang w:val="fr-FR"/>
              </w:rPr>
              <w:t>G2 Toutes les populations d’oiseaux d’eau de l’AEWA dont l’état de conservation est favorable ont conservé cet état</w:t>
            </w:r>
            <w:r w:rsidR="004C05BB">
              <w:rPr>
                <w:noProof/>
                <w:webHidden/>
              </w:rPr>
              <w:tab/>
            </w:r>
            <w:r w:rsidR="004C05BB">
              <w:rPr>
                <w:noProof/>
                <w:webHidden/>
              </w:rPr>
              <w:fldChar w:fldCharType="begin"/>
            </w:r>
            <w:r w:rsidR="004C05BB">
              <w:rPr>
                <w:noProof/>
                <w:webHidden/>
              </w:rPr>
              <w:instrText xml:space="preserve"> PAGEREF _Toc517262034 \h </w:instrText>
            </w:r>
            <w:r w:rsidR="004C05BB">
              <w:rPr>
                <w:noProof/>
                <w:webHidden/>
              </w:rPr>
            </w:r>
            <w:r w:rsidR="004C05BB">
              <w:rPr>
                <w:noProof/>
                <w:webHidden/>
              </w:rPr>
              <w:fldChar w:fldCharType="separate"/>
            </w:r>
            <w:r>
              <w:rPr>
                <w:noProof/>
                <w:webHidden/>
              </w:rPr>
              <w:t>59</w:t>
            </w:r>
            <w:r w:rsidR="004C05BB">
              <w:rPr>
                <w:noProof/>
                <w:webHidden/>
              </w:rPr>
              <w:fldChar w:fldCharType="end"/>
            </w:r>
          </w:hyperlink>
        </w:p>
        <w:p w14:paraId="3CDF16FD" w14:textId="35BEB504" w:rsidR="004C05BB" w:rsidRDefault="005E65A5">
          <w:pPr>
            <w:pStyle w:val="TOC3"/>
            <w:tabs>
              <w:tab w:val="right" w:leader="dot" w:pos="9629"/>
            </w:tabs>
            <w:rPr>
              <w:rFonts w:eastAsiaTheme="minorEastAsia" w:cstheme="minorBidi"/>
              <w:noProof/>
              <w:color w:val="auto"/>
              <w:lang w:eastAsia="en-GB"/>
            </w:rPr>
          </w:pPr>
          <w:hyperlink w:anchor="_Toc517262035" w:history="1">
            <w:r w:rsidR="004C05BB" w:rsidRPr="008E43CD">
              <w:rPr>
                <w:rStyle w:val="Hyperlink"/>
                <w:rFonts w:ascii="Times New Roman" w:hAnsi="Times New Roman"/>
                <w:noProof/>
                <w:lang w:val="fr-FR"/>
              </w:rPr>
              <w:t>G.3 Au moins 75 % des populations d’oiseaux d’eau de l’AEWA ont une tendance positive (croissante ou stable).</w:t>
            </w:r>
            <w:r w:rsidR="004C05BB">
              <w:rPr>
                <w:noProof/>
                <w:webHidden/>
              </w:rPr>
              <w:tab/>
            </w:r>
            <w:r w:rsidR="004C05BB">
              <w:rPr>
                <w:noProof/>
                <w:webHidden/>
              </w:rPr>
              <w:fldChar w:fldCharType="begin"/>
            </w:r>
            <w:r w:rsidR="004C05BB">
              <w:rPr>
                <w:noProof/>
                <w:webHidden/>
              </w:rPr>
              <w:instrText xml:space="preserve"> PAGEREF _Toc517262035 \h </w:instrText>
            </w:r>
            <w:r w:rsidR="004C05BB">
              <w:rPr>
                <w:noProof/>
                <w:webHidden/>
              </w:rPr>
            </w:r>
            <w:r w:rsidR="004C05BB">
              <w:rPr>
                <w:noProof/>
                <w:webHidden/>
              </w:rPr>
              <w:fldChar w:fldCharType="separate"/>
            </w:r>
            <w:r>
              <w:rPr>
                <w:noProof/>
                <w:webHidden/>
              </w:rPr>
              <w:t>62</w:t>
            </w:r>
            <w:r w:rsidR="004C05BB">
              <w:rPr>
                <w:noProof/>
                <w:webHidden/>
              </w:rPr>
              <w:fldChar w:fldCharType="end"/>
            </w:r>
          </w:hyperlink>
        </w:p>
        <w:p w14:paraId="5581BC81" w14:textId="73875FA9" w:rsidR="004C05BB" w:rsidRDefault="005E65A5">
          <w:pPr>
            <w:pStyle w:val="TOC3"/>
            <w:tabs>
              <w:tab w:val="right" w:leader="dot" w:pos="9629"/>
            </w:tabs>
            <w:rPr>
              <w:rFonts w:eastAsiaTheme="minorEastAsia" w:cstheme="minorBidi"/>
              <w:noProof/>
              <w:color w:val="auto"/>
              <w:lang w:eastAsia="en-GB"/>
            </w:rPr>
          </w:pPr>
          <w:hyperlink w:anchor="_Toc517262036" w:history="1">
            <w:r w:rsidR="004C05BB" w:rsidRPr="008E43CD">
              <w:rPr>
                <w:rStyle w:val="Hyperlink"/>
                <w:rFonts w:ascii="Times New Roman" w:hAnsi="Times New Roman"/>
                <w:noProof/>
                <w:lang w:val="fr-FR"/>
              </w:rPr>
              <w:t>G.4 L’état général des espèces indicatrices s’est amélioré, comme cela a été mesuré par l’Indicateur des oiseaux d’eau.</w:t>
            </w:r>
            <w:r w:rsidR="004C05BB">
              <w:rPr>
                <w:noProof/>
                <w:webHidden/>
              </w:rPr>
              <w:tab/>
            </w:r>
            <w:r w:rsidR="004C05BB">
              <w:rPr>
                <w:noProof/>
                <w:webHidden/>
              </w:rPr>
              <w:fldChar w:fldCharType="begin"/>
            </w:r>
            <w:r w:rsidR="004C05BB">
              <w:rPr>
                <w:noProof/>
                <w:webHidden/>
              </w:rPr>
              <w:instrText xml:space="preserve"> PAGEREF _Toc517262036 \h </w:instrText>
            </w:r>
            <w:r w:rsidR="004C05BB">
              <w:rPr>
                <w:noProof/>
                <w:webHidden/>
              </w:rPr>
            </w:r>
            <w:r w:rsidR="004C05BB">
              <w:rPr>
                <w:noProof/>
                <w:webHidden/>
              </w:rPr>
              <w:fldChar w:fldCharType="separate"/>
            </w:r>
            <w:r>
              <w:rPr>
                <w:noProof/>
                <w:webHidden/>
              </w:rPr>
              <w:t>63</w:t>
            </w:r>
            <w:r w:rsidR="004C05BB">
              <w:rPr>
                <w:noProof/>
                <w:webHidden/>
              </w:rPr>
              <w:fldChar w:fldCharType="end"/>
            </w:r>
          </w:hyperlink>
        </w:p>
        <w:p w14:paraId="6D297D79" w14:textId="30B472FC" w:rsidR="004C05BB" w:rsidRDefault="005E65A5">
          <w:pPr>
            <w:pStyle w:val="TOC3"/>
            <w:tabs>
              <w:tab w:val="right" w:leader="dot" w:pos="9629"/>
            </w:tabs>
            <w:rPr>
              <w:rFonts w:eastAsiaTheme="minorEastAsia" w:cstheme="minorBidi"/>
              <w:noProof/>
              <w:color w:val="auto"/>
              <w:lang w:eastAsia="en-GB"/>
            </w:rPr>
          </w:pPr>
          <w:hyperlink w:anchor="_Toc517262037" w:history="1">
            <w:r w:rsidR="004C05BB" w:rsidRPr="008E43CD">
              <w:rPr>
                <w:rStyle w:val="Hyperlink"/>
                <w:rFonts w:ascii="Times New Roman" w:hAnsi="Times New Roman"/>
                <w:noProof/>
                <w:lang w:val="fr-FR"/>
              </w:rPr>
              <w:t>G.5 Le risque général d’extinction des oiseaux d’eau a diminué, comme cela a été mesuré par l’Indice Liste rouge.</w:t>
            </w:r>
            <w:r w:rsidR="004C05BB">
              <w:rPr>
                <w:noProof/>
                <w:webHidden/>
              </w:rPr>
              <w:tab/>
            </w:r>
            <w:r w:rsidR="004C05BB">
              <w:rPr>
                <w:noProof/>
                <w:webHidden/>
              </w:rPr>
              <w:fldChar w:fldCharType="begin"/>
            </w:r>
            <w:r w:rsidR="004C05BB">
              <w:rPr>
                <w:noProof/>
                <w:webHidden/>
              </w:rPr>
              <w:instrText xml:space="preserve"> PAGEREF _Toc517262037 \h </w:instrText>
            </w:r>
            <w:r w:rsidR="004C05BB">
              <w:rPr>
                <w:noProof/>
                <w:webHidden/>
              </w:rPr>
            </w:r>
            <w:r w:rsidR="004C05BB">
              <w:rPr>
                <w:noProof/>
                <w:webHidden/>
              </w:rPr>
              <w:fldChar w:fldCharType="separate"/>
            </w:r>
            <w:r>
              <w:rPr>
                <w:noProof/>
                <w:webHidden/>
              </w:rPr>
              <w:t>64</w:t>
            </w:r>
            <w:r w:rsidR="004C05BB">
              <w:rPr>
                <w:noProof/>
                <w:webHidden/>
              </w:rPr>
              <w:fldChar w:fldCharType="end"/>
            </w:r>
          </w:hyperlink>
        </w:p>
        <w:p w14:paraId="6BBF7846" w14:textId="01346EB4" w:rsidR="004C05BB" w:rsidRDefault="005E65A5">
          <w:pPr>
            <w:pStyle w:val="TOC3"/>
            <w:tabs>
              <w:tab w:val="right" w:leader="dot" w:pos="9629"/>
            </w:tabs>
            <w:rPr>
              <w:rFonts w:eastAsiaTheme="minorEastAsia" w:cstheme="minorBidi"/>
              <w:noProof/>
              <w:color w:val="auto"/>
              <w:lang w:eastAsia="en-GB"/>
            </w:rPr>
          </w:pPr>
          <w:hyperlink w:anchor="_Toc517262038" w:history="1">
            <w:r w:rsidR="004C05BB" w:rsidRPr="008E43CD">
              <w:rPr>
                <w:rStyle w:val="Hyperlink"/>
                <w:rFonts w:ascii="Times New Roman" w:hAnsi="Times New Roman"/>
                <w:noProof/>
                <w:lang w:val="fr-FR"/>
              </w:rPr>
              <w:t>G.6 20 % des espèces menacées et Quasi menacées ont été reclassées dans des catégories de menace inférieures.</w:t>
            </w:r>
            <w:r w:rsidR="004C05BB">
              <w:rPr>
                <w:noProof/>
                <w:webHidden/>
              </w:rPr>
              <w:tab/>
            </w:r>
            <w:r w:rsidR="004C05BB">
              <w:rPr>
                <w:noProof/>
                <w:webHidden/>
              </w:rPr>
              <w:fldChar w:fldCharType="begin"/>
            </w:r>
            <w:r w:rsidR="004C05BB">
              <w:rPr>
                <w:noProof/>
                <w:webHidden/>
              </w:rPr>
              <w:instrText xml:space="preserve"> PAGEREF _Toc517262038 \h </w:instrText>
            </w:r>
            <w:r w:rsidR="004C05BB">
              <w:rPr>
                <w:noProof/>
                <w:webHidden/>
              </w:rPr>
            </w:r>
            <w:r w:rsidR="004C05BB">
              <w:rPr>
                <w:noProof/>
                <w:webHidden/>
              </w:rPr>
              <w:fldChar w:fldCharType="separate"/>
            </w:r>
            <w:r>
              <w:rPr>
                <w:noProof/>
                <w:webHidden/>
              </w:rPr>
              <w:t>65</w:t>
            </w:r>
            <w:r w:rsidR="004C05BB">
              <w:rPr>
                <w:noProof/>
                <w:webHidden/>
              </w:rPr>
              <w:fldChar w:fldCharType="end"/>
            </w:r>
          </w:hyperlink>
        </w:p>
        <w:p w14:paraId="2B76163C" w14:textId="1737BC8A" w:rsidR="004C05BB" w:rsidRDefault="005E65A5">
          <w:pPr>
            <w:pStyle w:val="TOC3"/>
            <w:tabs>
              <w:tab w:val="right" w:leader="dot" w:pos="9629"/>
            </w:tabs>
            <w:rPr>
              <w:rFonts w:eastAsiaTheme="minorEastAsia" w:cstheme="minorBidi"/>
              <w:noProof/>
              <w:color w:val="auto"/>
              <w:lang w:eastAsia="en-GB"/>
            </w:rPr>
          </w:pPr>
          <w:hyperlink w:anchor="_Toc517262039" w:history="1">
            <w:r w:rsidR="004C05BB" w:rsidRPr="008E43CD">
              <w:rPr>
                <w:rStyle w:val="Hyperlink"/>
                <w:rFonts w:ascii="Times New Roman" w:hAnsi="Times New Roman"/>
                <w:noProof/>
                <w:lang w:val="fr-FR"/>
              </w:rPr>
              <w:t>G.7 Le nombre de populations figurant dans la catégorie 1, colonne A, a diminué (réduction de 20 %).</w:t>
            </w:r>
            <w:r w:rsidR="004C05BB">
              <w:rPr>
                <w:noProof/>
                <w:webHidden/>
              </w:rPr>
              <w:tab/>
            </w:r>
            <w:r w:rsidR="004C05BB">
              <w:rPr>
                <w:noProof/>
                <w:webHidden/>
              </w:rPr>
              <w:fldChar w:fldCharType="begin"/>
            </w:r>
            <w:r w:rsidR="004C05BB">
              <w:rPr>
                <w:noProof/>
                <w:webHidden/>
              </w:rPr>
              <w:instrText xml:space="preserve"> PAGEREF _Toc517262039 \h </w:instrText>
            </w:r>
            <w:r w:rsidR="004C05BB">
              <w:rPr>
                <w:noProof/>
                <w:webHidden/>
              </w:rPr>
            </w:r>
            <w:r w:rsidR="004C05BB">
              <w:rPr>
                <w:noProof/>
                <w:webHidden/>
              </w:rPr>
              <w:fldChar w:fldCharType="separate"/>
            </w:r>
            <w:r>
              <w:rPr>
                <w:noProof/>
                <w:webHidden/>
              </w:rPr>
              <w:t>66</w:t>
            </w:r>
            <w:r w:rsidR="004C05BB">
              <w:rPr>
                <w:noProof/>
                <w:webHidden/>
              </w:rPr>
              <w:fldChar w:fldCharType="end"/>
            </w:r>
          </w:hyperlink>
        </w:p>
        <w:p w14:paraId="6C3FB890" w14:textId="0E5E952D" w:rsidR="004C05BB" w:rsidRDefault="005E65A5">
          <w:pPr>
            <w:pStyle w:val="TOC3"/>
            <w:tabs>
              <w:tab w:val="right" w:leader="dot" w:pos="9629"/>
            </w:tabs>
            <w:rPr>
              <w:rFonts w:eastAsiaTheme="minorEastAsia" w:cstheme="minorBidi"/>
              <w:noProof/>
              <w:color w:val="auto"/>
              <w:lang w:eastAsia="en-GB"/>
            </w:rPr>
          </w:pPr>
          <w:hyperlink w:anchor="_Toc517262040" w:history="1">
            <w:r w:rsidR="004C05BB" w:rsidRPr="008E43CD">
              <w:rPr>
                <w:rStyle w:val="Hyperlink"/>
                <w:rFonts w:ascii="Times New Roman" w:hAnsi="Times New Roman"/>
                <w:noProof/>
                <w:lang w:val="fr-FR"/>
              </w:rPr>
              <w:t>G.8 Le nombre de populations figurant dans colonne A a diminué (réduction de 5 %).</w:t>
            </w:r>
            <w:r w:rsidR="004C05BB">
              <w:rPr>
                <w:noProof/>
                <w:webHidden/>
              </w:rPr>
              <w:tab/>
            </w:r>
            <w:r w:rsidR="004C05BB">
              <w:rPr>
                <w:noProof/>
                <w:webHidden/>
              </w:rPr>
              <w:fldChar w:fldCharType="begin"/>
            </w:r>
            <w:r w:rsidR="004C05BB">
              <w:rPr>
                <w:noProof/>
                <w:webHidden/>
              </w:rPr>
              <w:instrText xml:space="preserve"> PAGEREF _Toc517262040 \h </w:instrText>
            </w:r>
            <w:r w:rsidR="004C05BB">
              <w:rPr>
                <w:noProof/>
                <w:webHidden/>
              </w:rPr>
            </w:r>
            <w:r w:rsidR="004C05BB">
              <w:rPr>
                <w:noProof/>
                <w:webHidden/>
              </w:rPr>
              <w:fldChar w:fldCharType="separate"/>
            </w:r>
            <w:r>
              <w:rPr>
                <w:noProof/>
                <w:webHidden/>
              </w:rPr>
              <w:t>67</w:t>
            </w:r>
            <w:r w:rsidR="004C05BB">
              <w:rPr>
                <w:noProof/>
                <w:webHidden/>
              </w:rPr>
              <w:fldChar w:fldCharType="end"/>
            </w:r>
          </w:hyperlink>
        </w:p>
        <w:p w14:paraId="63985210" w14:textId="1C26B03D" w:rsidR="004C05BB" w:rsidRDefault="005E65A5">
          <w:pPr>
            <w:pStyle w:val="TOC3"/>
            <w:tabs>
              <w:tab w:val="right" w:leader="dot" w:pos="9629"/>
            </w:tabs>
            <w:rPr>
              <w:rFonts w:eastAsiaTheme="minorEastAsia" w:cstheme="minorBidi"/>
              <w:noProof/>
              <w:color w:val="auto"/>
              <w:lang w:eastAsia="en-GB"/>
            </w:rPr>
          </w:pPr>
          <w:hyperlink w:anchor="_Toc517262041" w:history="1">
            <w:r w:rsidR="004C05BB" w:rsidRPr="008E43CD">
              <w:rPr>
                <w:rStyle w:val="Hyperlink"/>
                <w:rFonts w:asciiTheme="majorHAnsi" w:hAnsiTheme="majorHAnsi" w:cstheme="majorHAnsi"/>
                <w:noProof/>
                <w:lang w:val="it-IT"/>
              </w:rPr>
              <w:t>Plongeon arctique Gavia arctica arctica, Sibérie centrale/mer Caspienne</w:t>
            </w:r>
            <w:r w:rsidR="004C05BB">
              <w:rPr>
                <w:noProof/>
                <w:webHidden/>
              </w:rPr>
              <w:tab/>
            </w:r>
            <w:r w:rsidR="004C05BB">
              <w:rPr>
                <w:noProof/>
                <w:webHidden/>
              </w:rPr>
              <w:fldChar w:fldCharType="begin"/>
            </w:r>
            <w:r w:rsidR="004C05BB">
              <w:rPr>
                <w:noProof/>
                <w:webHidden/>
              </w:rPr>
              <w:instrText xml:space="preserve"> PAGEREF _Toc517262041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6591236D" w14:textId="2DCF618A" w:rsidR="004C05BB" w:rsidRDefault="005E65A5">
          <w:pPr>
            <w:pStyle w:val="TOC3"/>
            <w:tabs>
              <w:tab w:val="right" w:leader="dot" w:pos="9629"/>
            </w:tabs>
            <w:rPr>
              <w:rFonts w:eastAsiaTheme="minorEastAsia" w:cstheme="minorBidi"/>
              <w:noProof/>
              <w:color w:val="auto"/>
              <w:lang w:eastAsia="en-GB"/>
            </w:rPr>
          </w:pPr>
          <w:hyperlink w:anchor="_Toc517262042" w:history="1">
            <w:r w:rsidR="004C05BB" w:rsidRPr="008E43CD">
              <w:rPr>
                <w:rStyle w:val="Hyperlink"/>
                <w:rFonts w:asciiTheme="majorHAnsi" w:hAnsiTheme="majorHAnsi" w:cstheme="majorHAnsi"/>
                <w:noProof/>
                <w:lang w:val="fr-FR"/>
              </w:rPr>
              <w:t xml:space="preserve">Oie des moissons Anser fabalis johanseni, Sibérie occidentale et centrale/ </w:t>
            </w:r>
            <w:r w:rsidR="004C05BB" w:rsidRPr="008E43CD">
              <w:rPr>
                <w:rStyle w:val="Hyperlink"/>
                <w:rFonts w:asciiTheme="majorHAnsi" w:hAnsiTheme="majorHAnsi" w:cstheme="majorHAnsi"/>
                <w:noProof/>
                <w:spacing w:val="-2"/>
                <w:lang w:val="fr-FR"/>
              </w:rPr>
              <w:t>Turkménistan à l’ouest de la Chine</w:t>
            </w:r>
            <w:r w:rsidR="004C05BB">
              <w:rPr>
                <w:noProof/>
                <w:webHidden/>
              </w:rPr>
              <w:tab/>
            </w:r>
            <w:r w:rsidR="004C05BB">
              <w:rPr>
                <w:noProof/>
                <w:webHidden/>
              </w:rPr>
              <w:fldChar w:fldCharType="begin"/>
            </w:r>
            <w:r w:rsidR="004C05BB">
              <w:rPr>
                <w:noProof/>
                <w:webHidden/>
              </w:rPr>
              <w:instrText xml:space="preserve"> PAGEREF _Toc517262042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0C08F0DB" w14:textId="5ED2390C" w:rsidR="004C05BB" w:rsidRDefault="005E65A5">
          <w:pPr>
            <w:pStyle w:val="TOC3"/>
            <w:tabs>
              <w:tab w:val="right" w:leader="dot" w:pos="9629"/>
            </w:tabs>
            <w:rPr>
              <w:rFonts w:eastAsiaTheme="minorEastAsia" w:cstheme="minorBidi"/>
              <w:noProof/>
              <w:color w:val="auto"/>
              <w:lang w:eastAsia="en-GB"/>
            </w:rPr>
          </w:pPr>
          <w:hyperlink w:anchor="_Toc517262043" w:history="1">
            <w:r w:rsidR="004C05BB" w:rsidRPr="008E43CD">
              <w:rPr>
                <w:rStyle w:val="Hyperlink"/>
                <w:rFonts w:asciiTheme="majorHAnsi" w:hAnsiTheme="majorHAnsi" w:cstheme="majorHAnsi"/>
                <w:noProof/>
                <w:lang w:val="fr-FR"/>
              </w:rPr>
              <w:t>Harle huppé Mergus serrator, Europe du Nord-Ouest et Europe centrale (hiv)</w:t>
            </w:r>
            <w:r w:rsidR="004C05BB">
              <w:rPr>
                <w:noProof/>
                <w:webHidden/>
              </w:rPr>
              <w:tab/>
            </w:r>
            <w:r w:rsidR="004C05BB">
              <w:rPr>
                <w:noProof/>
                <w:webHidden/>
              </w:rPr>
              <w:fldChar w:fldCharType="begin"/>
            </w:r>
            <w:r w:rsidR="004C05BB">
              <w:rPr>
                <w:noProof/>
                <w:webHidden/>
              </w:rPr>
              <w:instrText xml:space="preserve"> PAGEREF _Toc517262043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4E0CB662" w14:textId="4A2305B7" w:rsidR="004C05BB" w:rsidRDefault="005E65A5">
          <w:pPr>
            <w:pStyle w:val="TOC3"/>
            <w:tabs>
              <w:tab w:val="right" w:leader="dot" w:pos="9629"/>
            </w:tabs>
            <w:rPr>
              <w:rFonts w:eastAsiaTheme="minorEastAsia" w:cstheme="minorBidi"/>
              <w:noProof/>
              <w:color w:val="auto"/>
              <w:lang w:eastAsia="en-GB"/>
            </w:rPr>
          </w:pPr>
          <w:hyperlink w:anchor="_Toc517262044" w:history="1">
            <w:r w:rsidR="004C05BB" w:rsidRPr="008E43CD">
              <w:rPr>
                <w:rStyle w:val="Hyperlink"/>
                <w:rFonts w:asciiTheme="majorHAnsi" w:hAnsiTheme="majorHAnsi" w:cstheme="majorHAnsi"/>
                <w:noProof/>
                <w:lang w:val="fr-FR"/>
              </w:rPr>
              <w:t>Chevalier arlequin Tringa erythropus, N Europe/ Europe du Sud, Afrique du Nord et de l’Ouest</w:t>
            </w:r>
            <w:r w:rsidR="004C05BB">
              <w:rPr>
                <w:noProof/>
                <w:webHidden/>
              </w:rPr>
              <w:tab/>
            </w:r>
            <w:r w:rsidR="004C05BB">
              <w:rPr>
                <w:noProof/>
                <w:webHidden/>
              </w:rPr>
              <w:fldChar w:fldCharType="begin"/>
            </w:r>
            <w:r w:rsidR="004C05BB">
              <w:rPr>
                <w:noProof/>
                <w:webHidden/>
              </w:rPr>
              <w:instrText xml:space="preserve"> PAGEREF _Toc517262044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58BDA99D" w14:textId="40B59AC9" w:rsidR="004C05BB" w:rsidRDefault="005E65A5">
          <w:pPr>
            <w:pStyle w:val="TOC3"/>
            <w:tabs>
              <w:tab w:val="right" w:leader="dot" w:pos="9629"/>
            </w:tabs>
            <w:rPr>
              <w:rFonts w:eastAsiaTheme="minorEastAsia" w:cstheme="minorBidi"/>
              <w:noProof/>
              <w:color w:val="auto"/>
              <w:lang w:eastAsia="en-GB"/>
            </w:rPr>
          </w:pPr>
          <w:hyperlink w:anchor="_Toc517262045" w:history="1">
            <w:r w:rsidR="004C05BB" w:rsidRPr="008E43CD">
              <w:rPr>
                <w:rStyle w:val="Hyperlink"/>
                <w:rFonts w:asciiTheme="majorHAnsi" w:hAnsiTheme="majorHAnsi" w:cstheme="majorHAnsi"/>
                <w:noProof/>
                <w:lang w:val="fr-FR"/>
              </w:rPr>
              <w:t>Tournepierre à collier Arenaria interpres interpres, Europe du Nord/Afrique de l’Ouest</w:t>
            </w:r>
            <w:r w:rsidR="004C05BB">
              <w:rPr>
                <w:noProof/>
                <w:webHidden/>
              </w:rPr>
              <w:tab/>
            </w:r>
            <w:r w:rsidR="004C05BB">
              <w:rPr>
                <w:noProof/>
                <w:webHidden/>
              </w:rPr>
              <w:fldChar w:fldCharType="begin"/>
            </w:r>
            <w:r w:rsidR="004C05BB">
              <w:rPr>
                <w:noProof/>
                <w:webHidden/>
              </w:rPr>
              <w:instrText xml:space="preserve"> PAGEREF _Toc517262045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7F20C7F8" w14:textId="21E1CB99" w:rsidR="004C05BB" w:rsidRDefault="005E65A5">
          <w:pPr>
            <w:pStyle w:val="TOC3"/>
            <w:tabs>
              <w:tab w:val="right" w:leader="dot" w:pos="9629"/>
            </w:tabs>
            <w:rPr>
              <w:rFonts w:eastAsiaTheme="minorEastAsia" w:cstheme="minorBidi"/>
              <w:noProof/>
              <w:color w:val="auto"/>
              <w:lang w:eastAsia="en-GB"/>
            </w:rPr>
          </w:pPr>
          <w:hyperlink w:anchor="_Toc517262046" w:history="1">
            <w:r w:rsidR="004C05BB" w:rsidRPr="008E43CD">
              <w:rPr>
                <w:rStyle w:val="Hyperlink"/>
                <w:rFonts w:ascii="Calibri" w:hAnsi="Calibri"/>
                <w:noProof/>
                <w:lang w:val="fr-FR"/>
              </w:rPr>
              <w:t>Fuligule milouin Aythya ferina, Europe du Nord-Est/Europe du Nord-Ouest</w:t>
            </w:r>
            <w:r w:rsidR="004C05BB">
              <w:rPr>
                <w:noProof/>
                <w:webHidden/>
              </w:rPr>
              <w:tab/>
            </w:r>
            <w:r w:rsidR="004C05BB">
              <w:rPr>
                <w:noProof/>
                <w:webHidden/>
              </w:rPr>
              <w:fldChar w:fldCharType="begin"/>
            </w:r>
            <w:r w:rsidR="004C05BB">
              <w:rPr>
                <w:noProof/>
                <w:webHidden/>
              </w:rPr>
              <w:instrText xml:space="preserve"> PAGEREF _Toc517262046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27A4706D" w14:textId="02FCB1E7" w:rsidR="004C05BB" w:rsidRDefault="005E65A5">
          <w:pPr>
            <w:pStyle w:val="TOC3"/>
            <w:tabs>
              <w:tab w:val="right" w:leader="dot" w:pos="9629"/>
            </w:tabs>
            <w:rPr>
              <w:rFonts w:eastAsiaTheme="minorEastAsia" w:cstheme="minorBidi"/>
              <w:noProof/>
              <w:color w:val="auto"/>
              <w:lang w:eastAsia="en-GB"/>
            </w:rPr>
          </w:pPr>
          <w:hyperlink w:anchor="_Toc517262047" w:history="1">
            <w:r w:rsidR="004C05BB" w:rsidRPr="008E43CD">
              <w:rPr>
                <w:rStyle w:val="Hyperlink"/>
                <w:rFonts w:ascii="Calibri" w:hAnsi="Calibri"/>
                <w:noProof/>
                <w:lang w:val="fr-FR"/>
              </w:rPr>
              <w:t>Fuligule milouin Aythya ferina Europe centrale et NE /mer Noire et Méditerrané</w:t>
            </w:r>
            <w:r w:rsidR="004C05BB">
              <w:rPr>
                <w:noProof/>
                <w:webHidden/>
              </w:rPr>
              <w:tab/>
            </w:r>
            <w:r w:rsidR="004C05BB">
              <w:rPr>
                <w:noProof/>
                <w:webHidden/>
              </w:rPr>
              <w:fldChar w:fldCharType="begin"/>
            </w:r>
            <w:r w:rsidR="004C05BB">
              <w:rPr>
                <w:noProof/>
                <w:webHidden/>
              </w:rPr>
              <w:instrText xml:space="preserve"> PAGEREF _Toc517262047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6A79DED6" w14:textId="7549F2AD" w:rsidR="004C05BB" w:rsidRDefault="005E65A5">
          <w:pPr>
            <w:pStyle w:val="TOC3"/>
            <w:tabs>
              <w:tab w:val="right" w:leader="dot" w:pos="9629"/>
            </w:tabs>
            <w:rPr>
              <w:rFonts w:eastAsiaTheme="minorEastAsia" w:cstheme="minorBidi"/>
              <w:noProof/>
              <w:color w:val="auto"/>
              <w:lang w:eastAsia="en-GB"/>
            </w:rPr>
          </w:pPr>
          <w:hyperlink w:anchor="_Toc517262048" w:history="1">
            <w:r w:rsidR="004C05BB" w:rsidRPr="008E43CD">
              <w:rPr>
                <w:rStyle w:val="Hyperlink"/>
                <w:rFonts w:ascii="Calibri" w:hAnsi="Calibri"/>
                <w:noProof/>
                <w:lang w:val="fr-FR"/>
              </w:rPr>
              <w:t>Eider à duvet Somateria mollissima mollissima, Norvège et Russie</w:t>
            </w:r>
            <w:r w:rsidR="004C05BB">
              <w:rPr>
                <w:noProof/>
                <w:webHidden/>
              </w:rPr>
              <w:tab/>
            </w:r>
            <w:r w:rsidR="004C05BB">
              <w:rPr>
                <w:noProof/>
                <w:webHidden/>
              </w:rPr>
              <w:fldChar w:fldCharType="begin"/>
            </w:r>
            <w:r w:rsidR="004C05BB">
              <w:rPr>
                <w:noProof/>
                <w:webHidden/>
              </w:rPr>
              <w:instrText xml:space="preserve"> PAGEREF _Toc517262048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60669E64" w14:textId="7ADACDBF" w:rsidR="004C05BB" w:rsidRDefault="005E65A5">
          <w:pPr>
            <w:pStyle w:val="TOC3"/>
            <w:tabs>
              <w:tab w:val="right" w:leader="dot" w:pos="9629"/>
            </w:tabs>
            <w:rPr>
              <w:rFonts w:eastAsiaTheme="minorEastAsia" w:cstheme="minorBidi"/>
              <w:noProof/>
              <w:color w:val="auto"/>
              <w:lang w:eastAsia="en-GB"/>
            </w:rPr>
          </w:pPr>
          <w:hyperlink w:anchor="_Toc517262049" w:history="1">
            <w:r w:rsidR="004C05BB" w:rsidRPr="008E43CD">
              <w:rPr>
                <w:rStyle w:val="Hyperlink"/>
                <w:rFonts w:ascii="Calibri" w:hAnsi="Calibri"/>
                <w:noProof/>
                <w:lang w:val="fr-FR"/>
              </w:rPr>
              <w:t>Harelde boréale Clangula hyemalis, Islande et Groenland (rep)</w:t>
            </w:r>
            <w:r w:rsidR="004C05BB">
              <w:rPr>
                <w:noProof/>
                <w:webHidden/>
              </w:rPr>
              <w:tab/>
            </w:r>
            <w:r w:rsidR="004C05BB">
              <w:rPr>
                <w:noProof/>
                <w:webHidden/>
              </w:rPr>
              <w:fldChar w:fldCharType="begin"/>
            </w:r>
            <w:r w:rsidR="004C05BB">
              <w:rPr>
                <w:noProof/>
                <w:webHidden/>
              </w:rPr>
              <w:instrText xml:space="preserve"> PAGEREF _Toc517262049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5BD75CAF" w14:textId="187ED080" w:rsidR="004C05BB" w:rsidRDefault="005E65A5">
          <w:pPr>
            <w:pStyle w:val="TOC3"/>
            <w:tabs>
              <w:tab w:val="right" w:leader="dot" w:pos="9629"/>
            </w:tabs>
            <w:rPr>
              <w:rFonts w:eastAsiaTheme="minorEastAsia" w:cstheme="minorBidi"/>
              <w:noProof/>
              <w:color w:val="auto"/>
              <w:lang w:eastAsia="en-GB"/>
            </w:rPr>
          </w:pPr>
          <w:hyperlink w:anchor="_Toc517262050" w:history="1">
            <w:r w:rsidR="004C05BB" w:rsidRPr="008E43CD">
              <w:rPr>
                <w:rStyle w:val="Hyperlink"/>
                <w:rFonts w:ascii="Calibri" w:hAnsi="Calibri"/>
                <w:noProof/>
                <w:lang w:val="fr-FR"/>
              </w:rPr>
              <w:t>Harelde boréale Clangula hyemalis, Sibérie occidentale/Europe du Nord (rep)</w:t>
            </w:r>
            <w:r w:rsidR="004C05BB">
              <w:rPr>
                <w:noProof/>
                <w:webHidden/>
              </w:rPr>
              <w:tab/>
            </w:r>
            <w:r w:rsidR="004C05BB">
              <w:rPr>
                <w:noProof/>
                <w:webHidden/>
              </w:rPr>
              <w:fldChar w:fldCharType="begin"/>
            </w:r>
            <w:r w:rsidR="004C05BB">
              <w:rPr>
                <w:noProof/>
                <w:webHidden/>
              </w:rPr>
              <w:instrText xml:space="preserve"> PAGEREF _Toc517262050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700B972A" w14:textId="3D5F6935" w:rsidR="004C05BB" w:rsidRDefault="005E65A5">
          <w:pPr>
            <w:pStyle w:val="TOC3"/>
            <w:tabs>
              <w:tab w:val="right" w:leader="dot" w:pos="9629"/>
            </w:tabs>
            <w:rPr>
              <w:rFonts w:eastAsiaTheme="minorEastAsia" w:cstheme="minorBidi"/>
              <w:noProof/>
              <w:color w:val="auto"/>
              <w:lang w:eastAsia="en-GB"/>
            </w:rPr>
          </w:pPr>
          <w:hyperlink w:anchor="_Toc517262051" w:history="1">
            <w:r w:rsidR="004C05BB" w:rsidRPr="008E43CD">
              <w:rPr>
                <w:rStyle w:val="Hyperlink"/>
                <w:rFonts w:ascii="Calibri" w:hAnsi="Calibri"/>
                <w:noProof/>
                <w:lang w:val="fr-FR"/>
              </w:rPr>
              <w:t>Huîtrier pie Haematopus ostralegus ostralegus, Europe/Europe du Sud et de l’Ouest et NO Afrique</w:t>
            </w:r>
            <w:r w:rsidR="004C05BB">
              <w:rPr>
                <w:noProof/>
                <w:webHidden/>
              </w:rPr>
              <w:tab/>
            </w:r>
            <w:r w:rsidR="004C05BB">
              <w:rPr>
                <w:noProof/>
                <w:webHidden/>
              </w:rPr>
              <w:fldChar w:fldCharType="begin"/>
            </w:r>
            <w:r w:rsidR="004C05BB">
              <w:rPr>
                <w:noProof/>
                <w:webHidden/>
              </w:rPr>
              <w:instrText xml:space="preserve"> PAGEREF _Toc517262051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07B30E30" w14:textId="7DEF88BE" w:rsidR="004C05BB" w:rsidRDefault="005E65A5">
          <w:pPr>
            <w:pStyle w:val="TOC3"/>
            <w:tabs>
              <w:tab w:val="right" w:leader="dot" w:pos="9629"/>
            </w:tabs>
            <w:rPr>
              <w:rFonts w:eastAsiaTheme="minorEastAsia" w:cstheme="minorBidi"/>
              <w:noProof/>
              <w:color w:val="auto"/>
              <w:lang w:eastAsia="en-GB"/>
            </w:rPr>
          </w:pPr>
          <w:hyperlink w:anchor="_Toc517262052" w:history="1">
            <w:r w:rsidR="004C05BB" w:rsidRPr="008E43CD">
              <w:rPr>
                <w:rStyle w:val="Hyperlink"/>
                <w:rFonts w:ascii="Calibri" w:hAnsi="Calibri"/>
                <w:noProof/>
                <w:lang w:val="fr-FR"/>
              </w:rPr>
              <w:t>Barge rousse Limosa lapponica taymyrensis, Sibérie centrale/Asie du Sud et du Sud-Ouest et Afrique de l’Est</w:t>
            </w:r>
            <w:r w:rsidR="004C05BB">
              <w:rPr>
                <w:noProof/>
                <w:webHidden/>
              </w:rPr>
              <w:tab/>
            </w:r>
            <w:r w:rsidR="004C05BB">
              <w:rPr>
                <w:noProof/>
                <w:webHidden/>
              </w:rPr>
              <w:fldChar w:fldCharType="begin"/>
            </w:r>
            <w:r w:rsidR="004C05BB">
              <w:rPr>
                <w:noProof/>
                <w:webHidden/>
              </w:rPr>
              <w:instrText xml:space="preserve"> PAGEREF _Toc517262052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7B33F883" w14:textId="5114E5B6" w:rsidR="004C05BB" w:rsidRDefault="005E65A5">
          <w:pPr>
            <w:pStyle w:val="TOC3"/>
            <w:tabs>
              <w:tab w:val="right" w:leader="dot" w:pos="9629"/>
            </w:tabs>
            <w:rPr>
              <w:rFonts w:eastAsiaTheme="minorEastAsia" w:cstheme="minorBidi"/>
              <w:noProof/>
              <w:color w:val="auto"/>
              <w:lang w:eastAsia="en-GB"/>
            </w:rPr>
          </w:pPr>
          <w:hyperlink w:anchor="_Toc517262053" w:history="1">
            <w:r w:rsidR="004C05BB" w:rsidRPr="008E43CD">
              <w:rPr>
                <w:rStyle w:val="Hyperlink"/>
                <w:rFonts w:ascii="Calibri" w:hAnsi="Calibri"/>
                <w:noProof/>
                <w:lang w:val="fr-FR"/>
              </w:rPr>
              <w:t>Courlis cendré Numenius arquata arquata, Europe/Europe, Afrique du Nord et de l’Ouest</w:t>
            </w:r>
            <w:r w:rsidR="004C05BB">
              <w:rPr>
                <w:noProof/>
                <w:webHidden/>
              </w:rPr>
              <w:tab/>
            </w:r>
            <w:r w:rsidR="004C05BB">
              <w:rPr>
                <w:noProof/>
                <w:webHidden/>
              </w:rPr>
              <w:fldChar w:fldCharType="begin"/>
            </w:r>
            <w:r w:rsidR="004C05BB">
              <w:rPr>
                <w:noProof/>
                <w:webHidden/>
              </w:rPr>
              <w:instrText xml:space="preserve"> PAGEREF _Toc517262053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13D1B8D2" w14:textId="5FE8AC63" w:rsidR="004C05BB" w:rsidRDefault="005E65A5">
          <w:pPr>
            <w:pStyle w:val="TOC3"/>
            <w:tabs>
              <w:tab w:val="right" w:leader="dot" w:pos="9629"/>
            </w:tabs>
            <w:rPr>
              <w:rFonts w:eastAsiaTheme="minorEastAsia" w:cstheme="minorBidi"/>
              <w:noProof/>
              <w:color w:val="auto"/>
              <w:lang w:eastAsia="en-GB"/>
            </w:rPr>
          </w:pPr>
          <w:hyperlink w:anchor="_Toc517262054" w:history="1">
            <w:r w:rsidR="004C05BB" w:rsidRPr="008E43CD">
              <w:rPr>
                <w:rStyle w:val="Hyperlink"/>
                <w:rFonts w:ascii="Calibri" w:hAnsi="Calibri"/>
                <w:noProof/>
                <w:lang w:val="fr-FR"/>
              </w:rPr>
              <w:t>Bécasseau cocorli Calidris ferruginea, Sibérie occidentale/Afrique de l’Ouest</w:t>
            </w:r>
            <w:r w:rsidR="004C05BB">
              <w:rPr>
                <w:noProof/>
                <w:webHidden/>
              </w:rPr>
              <w:tab/>
            </w:r>
            <w:r w:rsidR="004C05BB">
              <w:rPr>
                <w:noProof/>
                <w:webHidden/>
              </w:rPr>
              <w:fldChar w:fldCharType="begin"/>
            </w:r>
            <w:r w:rsidR="004C05BB">
              <w:rPr>
                <w:noProof/>
                <w:webHidden/>
              </w:rPr>
              <w:instrText xml:space="preserve"> PAGEREF _Toc517262054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6FAC143F" w14:textId="7D5FFBA5" w:rsidR="004C05BB" w:rsidRDefault="005E65A5">
          <w:pPr>
            <w:pStyle w:val="TOC3"/>
            <w:tabs>
              <w:tab w:val="right" w:leader="dot" w:pos="9629"/>
            </w:tabs>
            <w:rPr>
              <w:rFonts w:eastAsiaTheme="minorEastAsia" w:cstheme="minorBidi"/>
              <w:noProof/>
              <w:color w:val="auto"/>
              <w:lang w:eastAsia="en-GB"/>
            </w:rPr>
          </w:pPr>
          <w:hyperlink w:anchor="_Toc517262055" w:history="1">
            <w:r w:rsidR="004C05BB" w:rsidRPr="008E43CD">
              <w:rPr>
                <w:rStyle w:val="Hyperlink"/>
                <w:rFonts w:ascii="Calibri" w:hAnsi="Calibri"/>
                <w:noProof/>
                <w:lang w:val="fr-FR"/>
              </w:rPr>
              <w:t>Bécasseau cocorli Calidris ferruginea, Sibérie centrale/SO Asie, E et S Afrique</w:t>
            </w:r>
            <w:r w:rsidR="004C05BB">
              <w:rPr>
                <w:noProof/>
                <w:webHidden/>
              </w:rPr>
              <w:tab/>
            </w:r>
            <w:r w:rsidR="004C05BB">
              <w:rPr>
                <w:noProof/>
                <w:webHidden/>
              </w:rPr>
              <w:fldChar w:fldCharType="begin"/>
            </w:r>
            <w:r w:rsidR="004C05BB">
              <w:rPr>
                <w:noProof/>
                <w:webHidden/>
              </w:rPr>
              <w:instrText xml:space="preserve"> PAGEREF _Toc517262055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3791AB6D" w14:textId="228F87E1" w:rsidR="004C05BB" w:rsidRDefault="005E65A5">
          <w:pPr>
            <w:pStyle w:val="TOC3"/>
            <w:tabs>
              <w:tab w:val="right" w:leader="dot" w:pos="9629"/>
            </w:tabs>
            <w:rPr>
              <w:rFonts w:eastAsiaTheme="minorEastAsia" w:cstheme="minorBidi"/>
              <w:noProof/>
              <w:color w:val="auto"/>
              <w:lang w:eastAsia="en-GB"/>
            </w:rPr>
          </w:pPr>
          <w:hyperlink w:anchor="_Toc517262056" w:history="1">
            <w:r w:rsidR="004C05BB" w:rsidRPr="008E43CD">
              <w:rPr>
                <w:rStyle w:val="Hyperlink"/>
                <w:rFonts w:ascii="Calibri" w:hAnsi="Calibri"/>
                <w:noProof/>
                <w:lang w:val="fr-FR"/>
              </w:rPr>
              <w:t>Petit Pingouin Alca torda torda, E Amérique du Nord, Groenland, E à la mer Baltique et mer Blanche</w:t>
            </w:r>
            <w:r w:rsidR="004C05BB">
              <w:rPr>
                <w:noProof/>
                <w:webHidden/>
              </w:rPr>
              <w:tab/>
            </w:r>
            <w:r w:rsidR="004C05BB">
              <w:rPr>
                <w:noProof/>
                <w:webHidden/>
              </w:rPr>
              <w:fldChar w:fldCharType="begin"/>
            </w:r>
            <w:r w:rsidR="004C05BB">
              <w:rPr>
                <w:noProof/>
                <w:webHidden/>
              </w:rPr>
              <w:instrText xml:space="preserve"> PAGEREF _Toc517262056 \h </w:instrText>
            </w:r>
            <w:r w:rsidR="004C05BB">
              <w:rPr>
                <w:noProof/>
                <w:webHidden/>
              </w:rPr>
            </w:r>
            <w:r w:rsidR="004C05BB">
              <w:rPr>
                <w:noProof/>
                <w:webHidden/>
              </w:rPr>
              <w:fldChar w:fldCharType="separate"/>
            </w:r>
            <w:r>
              <w:rPr>
                <w:noProof/>
                <w:webHidden/>
              </w:rPr>
              <w:t>69</w:t>
            </w:r>
            <w:r w:rsidR="004C05BB">
              <w:rPr>
                <w:noProof/>
                <w:webHidden/>
              </w:rPr>
              <w:fldChar w:fldCharType="end"/>
            </w:r>
          </w:hyperlink>
        </w:p>
        <w:p w14:paraId="6A6A35DC" w14:textId="3657524B" w:rsidR="004C05BB" w:rsidRDefault="005E65A5">
          <w:pPr>
            <w:pStyle w:val="TOC3"/>
            <w:tabs>
              <w:tab w:val="right" w:leader="dot" w:pos="9629"/>
            </w:tabs>
            <w:rPr>
              <w:rFonts w:eastAsiaTheme="minorEastAsia" w:cstheme="minorBidi"/>
              <w:noProof/>
              <w:color w:val="auto"/>
              <w:lang w:eastAsia="en-GB"/>
            </w:rPr>
          </w:pPr>
          <w:hyperlink w:anchor="_Toc517262057" w:history="1">
            <w:r w:rsidR="004C05BB" w:rsidRPr="008E43CD">
              <w:rPr>
                <w:rStyle w:val="Hyperlink"/>
                <w:rFonts w:ascii="Times New Roman" w:hAnsi="Times New Roman"/>
                <w:noProof/>
                <w:lang w:val="fr-FR"/>
              </w:rPr>
              <w:t>3.1.2 Augmentation de 50 % des espèces/ populations dont l’état au niveau international fait l’objet d’évaluations sur la base de données de surveillance régulière</w:t>
            </w:r>
            <w:r w:rsidR="004C05BB">
              <w:rPr>
                <w:noProof/>
                <w:webHidden/>
              </w:rPr>
              <w:tab/>
            </w:r>
            <w:r w:rsidR="004C05BB">
              <w:rPr>
                <w:noProof/>
                <w:webHidden/>
              </w:rPr>
              <w:fldChar w:fldCharType="begin"/>
            </w:r>
            <w:r w:rsidR="004C05BB">
              <w:rPr>
                <w:noProof/>
                <w:webHidden/>
              </w:rPr>
              <w:instrText xml:space="preserve"> PAGEREF _Toc517262057 \h </w:instrText>
            </w:r>
            <w:r w:rsidR="004C05BB">
              <w:rPr>
                <w:noProof/>
                <w:webHidden/>
              </w:rPr>
            </w:r>
            <w:r w:rsidR="004C05BB">
              <w:rPr>
                <w:noProof/>
                <w:webHidden/>
              </w:rPr>
              <w:fldChar w:fldCharType="separate"/>
            </w:r>
            <w:r>
              <w:rPr>
                <w:noProof/>
                <w:webHidden/>
              </w:rPr>
              <w:t>70</w:t>
            </w:r>
            <w:r w:rsidR="004C05BB">
              <w:rPr>
                <w:noProof/>
                <w:webHidden/>
              </w:rPr>
              <w:fldChar w:fldCharType="end"/>
            </w:r>
          </w:hyperlink>
        </w:p>
        <w:p w14:paraId="07A11AC8" w14:textId="54822F9D" w:rsidR="004C05BB" w:rsidRDefault="005E65A5" w:rsidP="004C05BB">
          <w:pPr>
            <w:pStyle w:val="TOC1"/>
            <w:rPr>
              <w:rFonts w:eastAsiaTheme="minorEastAsia" w:cstheme="minorBidi"/>
              <w:noProof/>
              <w:color w:val="auto"/>
              <w:sz w:val="22"/>
              <w:szCs w:val="22"/>
              <w:lang w:eastAsia="en-GB"/>
            </w:rPr>
          </w:pPr>
          <w:hyperlink w:anchor="_Toc517262058" w:history="1">
            <w:r w:rsidR="004C05BB" w:rsidRPr="008E43CD">
              <w:rPr>
                <w:rStyle w:val="Hyperlink"/>
                <w:noProof/>
                <w:lang w:val="fr-FR"/>
              </w:rPr>
              <w:t>Annexe 1. Tailles et tendances des espèces d’oiseaux d’eau incluses dans l’Accord</w:t>
            </w:r>
            <w:r w:rsidR="004C05BB">
              <w:rPr>
                <w:noProof/>
                <w:webHidden/>
              </w:rPr>
              <w:tab/>
            </w:r>
            <w:r w:rsidR="004C05BB">
              <w:rPr>
                <w:noProof/>
                <w:webHidden/>
              </w:rPr>
              <w:fldChar w:fldCharType="begin"/>
            </w:r>
            <w:r w:rsidR="004C05BB">
              <w:rPr>
                <w:noProof/>
                <w:webHidden/>
              </w:rPr>
              <w:instrText xml:space="preserve"> PAGEREF _Toc517262058 \h </w:instrText>
            </w:r>
            <w:r w:rsidR="004C05BB">
              <w:rPr>
                <w:noProof/>
                <w:webHidden/>
              </w:rPr>
            </w:r>
            <w:r w:rsidR="004C05BB">
              <w:rPr>
                <w:noProof/>
                <w:webHidden/>
              </w:rPr>
              <w:fldChar w:fldCharType="separate"/>
            </w:r>
            <w:r>
              <w:rPr>
                <w:noProof/>
                <w:webHidden/>
              </w:rPr>
              <w:t>72</w:t>
            </w:r>
            <w:r w:rsidR="004C05BB">
              <w:rPr>
                <w:noProof/>
                <w:webHidden/>
              </w:rPr>
              <w:fldChar w:fldCharType="end"/>
            </w:r>
          </w:hyperlink>
        </w:p>
        <w:p w14:paraId="4A8D26AC" w14:textId="67CE102E" w:rsidR="004C05BB" w:rsidRDefault="005E65A5" w:rsidP="004C05BB">
          <w:pPr>
            <w:pStyle w:val="TOC1"/>
            <w:rPr>
              <w:rFonts w:eastAsiaTheme="minorEastAsia" w:cstheme="minorBidi"/>
              <w:noProof/>
              <w:color w:val="auto"/>
              <w:sz w:val="22"/>
              <w:szCs w:val="22"/>
              <w:lang w:eastAsia="en-GB"/>
            </w:rPr>
          </w:pPr>
          <w:hyperlink w:anchor="_Toc517262059" w:history="1">
            <w:r w:rsidR="004C05BB" w:rsidRPr="008E43CD">
              <w:rPr>
                <w:rStyle w:val="Hyperlink"/>
                <w:noProof/>
                <w:lang w:val="fr-FR"/>
              </w:rPr>
              <w:t>Annexe 2. Rapport sur l’état et les tendances des espèces couvertes par l’AEWA inscrites sur la Liste rouge</w:t>
            </w:r>
            <w:r w:rsidR="004C05BB">
              <w:rPr>
                <w:noProof/>
                <w:webHidden/>
              </w:rPr>
              <w:tab/>
            </w:r>
            <w:r w:rsidR="004C05BB">
              <w:rPr>
                <w:noProof/>
                <w:webHidden/>
              </w:rPr>
              <w:fldChar w:fldCharType="begin"/>
            </w:r>
            <w:r w:rsidR="004C05BB">
              <w:rPr>
                <w:noProof/>
                <w:webHidden/>
              </w:rPr>
              <w:instrText xml:space="preserve"> PAGEREF _Toc517262059 \h </w:instrText>
            </w:r>
            <w:r w:rsidR="004C05BB">
              <w:rPr>
                <w:noProof/>
                <w:webHidden/>
              </w:rPr>
            </w:r>
            <w:r w:rsidR="004C05BB">
              <w:rPr>
                <w:noProof/>
                <w:webHidden/>
              </w:rPr>
              <w:fldChar w:fldCharType="separate"/>
            </w:r>
            <w:r>
              <w:rPr>
                <w:noProof/>
                <w:webHidden/>
              </w:rPr>
              <w:t>72</w:t>
            </w:r>
            <w:r w:rsidR="004C05BB">
              <w:rPr>
                <w:noProof/>
                <w:webHidden/>
              </w:rPr>
              <w:fldChar w:fldCharType="end"/>
            </w:r>
          </w:hyperlink>
        </w:p>
        <w:p w14:paraId="24118148" w14:textId="75022787" w:rsidR="004C05BB" w:rsidRDefault="005E65A5" w:rsidP="004C05BB">
          <w:pPr>
            <w:pStyle w:val="TOC1"/>
            <w:rPr>
              <w:rFonts w:eastAsiaTheme="minorEastAsia" w:cstheme="minorBidi"/>
              <w:noProof/>
              <w:color w:val="auto"/>
              <w:sz w:val="22"/>
              <w:szCs w:val="22"/>
              <w:lang w:eastAsia="en-GB"/>
            </w:rPr>
          </w:pPr>
          <w:hyperlink w:anchor="_Toc517262060" w:history="1">
            <w:r w:rsidR="004C05BB" w:rsidRPr="008E43CD">
              <w:rPr>
                <w:rStyle w:val="Hyperlink"/>
                <w:noProof/>
                <w:lang w:val="fr-FR"/>
              </w:rPr>
              <w:t>Annexe 3. Liste des contributeurs à l’IWC</w:t>
            </w:r>
            <w:r w:rsidR="004C05BB">
              <w:rPr>
                <w:noProof/>
                <w:webHidden/>
              </w:rPr>
              <w:tab/>
            </w:r>
            <w:r w:rsidR="004C05BB">
              <w:rPr>
                <w:noProof/>
                <w:webHidden/>
              </w:rPr>
              <w:fldChar w:fldCharType="begin"/>
            </w:r>
            <w:r w:rsidR="004C05BB">
              <w:rPr>
                <w:noProof/>
                <w:webHidden/>
              </w:rPr>
              <w:instrText xml:space="preserve"> PAGEREF _Toc517262060 \h </w:instrText>
            </w:r>
            <w:r w:rsidR="004C05BB">
              <w:rPr>
                <w:noProof/>
                <w:webHidden/>
              </w:rPr>
            </w:r>
            <w:r w:rsidR="004C05BB">
              <w:rPr>
                <w:noProof/>
                <w:webHidden/>
              </w:rPr>
              <w:fldChar w:fldCharType="separate"/>
            </w:r>
            <w:r>
              <w:rPr>
                <w:noProof/>
                <w:webHidden/>
              </w:rPr>
              <w:t>72</w:t>
            </w:r>
            <w:r w:rsidR="004C05BB">
              <w:rPr>
                <w:noProof/>
                <w:webHidden/>
              </w:rPr>
              <w:fldChar w:fldCharType="end"/>
            </w:r>
          </w:hyperlink>
        </w:p>
        <w:p w14:paraId="7ACD66F4" w14:textId="5D08D8AC" w:rsidR="00122B92" w:rsidRPr="001567E1" w:rsidRDefault="00122B92">
          <w:pPr>
            <w:rPr>
              <w:lang w:val="fr-FR"/>
            </w:rPr>
          </w:pPr>
          <w:r w:rsidRPr="001567E1">
            <w:rPr>
              <w:b/>
              <w:bCs/>
              <w:noProof/>
              <w:lang w:val="fr-FR"/>
            </w:rPr>
            <w:fldChar w:fldCharType="end"/>
          </w:r>
        </w:p>
      </w:sdtContent>
    </w:sdt>
    <w:p w14:paraId="34F3A1FE" w14:textId="77777777" w:rsidR="00122B92" w:rsidRPr="001567E1" w:rsidRDefault="00122B92">
      <w:pPr>
        <w:pStyle w:val="Normal1"/>
        <w:rPr>
          <w:lang w:val="fr-FR"/>
        </w:rPr>
      </w:pPr>
    </w:p>
    <w:p w14:paraId="019A50CA" w14:textId="77777777" w:rsidR="00741F7A" w:rsidRPr="001567E1" w:rsidRDefault="00832DD4">
      <w:pPr>
        <w:pStyle w:val="Normal1"/>
        <w:rPr>
          <w:lang w:val="fr-FR"/>
        </w:rPr>
      </w:pPr>
      <w:r w:rsidRPr="001567E1">
        <w:rPr>
          <w:lang w:val="fr-FR"/>
        </w:rPr>
        <w:br w:type="page"/>
      </w:r>
    </w:p>
    <w:p w14:paraId="1819FBC0" w14:textId="3E3B93D5" w:rsidR="00741F7A" w:rsidRPr="001567E1" w:rsidRDefault="00346745" w:rsidP="00FB148F">
      <w:pPr>
        <w:pStyle w:val="Heading1"/>
        <w:rPr>
          <w:lang w:val="fr-FR"/>
        </w:rPr>
      </w:pPr>
      <w:bookmarkStart w:id="3" w:name="_Toc517261999"/>
      <w:r w:rsidRPr="001567E1">
        <w:rPr>
          <w:lang w:val="fr-FR"/>
        </w:rPr>
        <w:lastRenderedPageBreak/>
        <w:t>Résumé analytique</w:t>
      </w:r>
      <w:bookmarkEnd w:id="3"/>
    </w:p>
    <w:p w14:paraId="00D1963F" w14:textId="561658C8" w:rsidR="00741F7A" w:rsidRPr="001567E1" w:rsidRDefault="00346745">
      <w:pPr>
        <w:pStyle w:val="Normal1"/>
        <w:jc w:val="both"/>
        <w:rPr>
          <w:szCs w:val="24"/>
          <w:lang w:val="fr-FR"/>
        </w:rPr>
      </w:pPr>
      <w:r w:rsidRPr="001567E1">
        <w:rPr>
          <w:szCs w:val="24"/>
          <w:lang w:val="fr-FR"/>
        </w:rPr>
        <w:t xml:space="preserve">Le présent document est la septième édition du Rapport de l’AEWA sur l’état de conservation, permettant d’acquérir une vue d’ensemble à </w:t>
      </w:r>
      <w:r w:rsidR="00723907" w:rsidRPr="001567E1">
        <w:rPr>
          <w:szCs w:val="24"/>
          <w:lang w:val="fr-FR"/>
        </w:rPr>
        <w:t xml:space="preserve">plus </w:t>
      </w:r>
      <w:r w:rsidRPr="001567E1">
        <w:rPr>
          <w:szCs w:val="24"/>
          <w:lang w:val="fr-FR"/>
        </w:rPr>
        <w:t>long terme de l’état changeant des populations d’oiseaux d’eau migrateurs figurant au tableau 1 du Plan d’action de l’AEWA.</w:t>
      </w:r>
      <w:r w:rsidR="00832DD4" w:rsidRPr="001567E1">
        <w:rPr>
          <w:szCs w:val="24"/>
          <w:lang w:val="fr-FR"/>
        </w:rPr>
        <w:t xml:space="preserve"> </w:t>
      </w:r>
      <w:r w:rsidRPr="001567E1">
        <w:rPr>
          <w:szCs w:val="24"/>
          <w:lang w:val="fr-FR"/>
        </w:rPr>
        <w:t xml:space="preserve">L’AEWA fournit un cadre pour </w:t>
      </w:r>
      <w:r w:rsidR="00723907" w:rsidRPr="001567E1">
        <w:rPr>
          <w:szCs w:val="24"/>
          <w:lang w:val="fr-FR"/>
        </w:rPr>
        <w:t>la protection d’</w:t>
      </w:r>
      <w:r w:rsidRPr="001567E1">
        <w:rPr>
          <w:szCs w:val="24"/>
          <w:lang w:val="fr-FR"/>
        </w:rPr>
        <w:t>environ un demi-milliard (entre 338 et 464 millions) d’oiseaux d’eau et marins en Afrique et en Eurasie, et la présente évaluation procède à une estimation de l’état de ce</w:t>
      </w:r>
      <w:r w:rsidR="007E0EE7" w:rsidRPr="001567E1">
        <w:rPr>
          <w:szCs w:val="24"/>
          <w:lang w:val="fr-FR"/>
        </w:rPr>
        <w:t>t élément</w:t>
      </w:r>
      <w:r w:rsidRPr="001567E1">
        <w:rPr>
          <w:szCs w:val="24"/>
          <w:lang w:val="fr-FR"/>
        </w:rPr>
        <w:t xml:space="preserve"> important de la biodiversité mondiale.</w:t>
      </w:r>
    </w:p>
    <w:p w14:paraId="037DB087" w14:textId="77777777" w:rsidR="00741F7A" w:rsidRPr="001567E1" w:rsidRDefault="00741F7A">
      <w:pPr>
        <w:pStyle w:val="Normal1"/>
        <w:jc w:val="both"/>
        <w:rPr>
          <w:szCs w:val="24"/>
          <w:lang w:val="fr-FR"/>
        </w:rPr>
      </w:pPr>
    </w:p>
    <w:p w14:paraId="07E9E305" w14:textId="24E9ED5E" w:rsidR="00741F7A" w:rsidRPr="001567E1" w:rsidRDefault="00346745" w:rsidP="00832DD4">
      <w:pPr>
        <w:pStyle w:val="Normal1"/>
        <w:shd w:val="clear" w:color="auto" w:fill="D9D9D9"/>
        <w:jc w:val="both"/>
        <w:rPr>
          <w:szCs w:val="24"/>
          <w:lang w:val="fr-FR"/>
        </w:rPr>
      </w:pPr>
      <w:r w:rsidRPr="001567E1">
        <w:rPr>
          <w:szCs w:val="24"/>
          <w:lang w:val="fr-FR"/>
        </w:rPr>
        <w:t>Les nouvelles conclusions majeures de cette évaluation sont :</w:t>
      </w:r>
    </w:p>
    <w:p w14:paraId="32B6E9BA" w14:textId="70DE1FD8" w:rsidR="00B0570A" w:rsidRPr="001567E1" w:rsidRDefault="00346745" w:rsidP="00832DD4">
      <w:pPr>
        <w:pStyle w:val="Normal1"/>
        <w:numPr>
          <w:ilvl w:val="0"/>
          <w:numId w:val="1"/>
        </w:numPr>
        <w:shd w:val="clear" w:color="auto" w:fill="D9D9D9"/>
        <w:ind w:left="426" w:hanging="426"/>
        <w:contextualSpacing/>
        <w:jc w:val="both"/>
        <w:rPr>
          <w:szCs w:val="24"/>
          <w:lang w:val="fr-FR"/>
        </w:rPr>
      </w:pPr>
      <w:r w:rsidRPr="001567E1">
        <w:rPr>
          <w:szCs w:val="24"/>
          <w:lang w:val="fr-FR"/>
        </w:rPr>
        <w:t>L’état général des populations d’oiseaux d’eau de l’AEWA s’est amélioré au cours de la durée du Plan stratégique 2008-2018, bien qu’il soit question à la fois d’augmentation et de déclins des populations.</w:t>
      </w:r>
      <w:r w:rsidR="00B0570A" w:rsidRPr="001567E1">
        <w:rPr>
          <w:szCs w:val="24"/>
          <w:lang w:val="fr-FR"/>
        </w:rPr>
        <w:t xml:space="preserve"> </w:t>
      </w:r>
    </w:p>
    <w:p w14:paraId="2E3153E7" w14:textId="73241220" w:rsidR="00741F7A" w:rsidRPr="001567E1" w:rsidRDefault="00346745" w:rsidP="00832DD4">
      <w:pPr>
        <w:pStyle w:val="Normal1"/>
        <w:numPr>
          <w:ilvl w:val="0"/>
          <w:numId w:val="1"/>
        </w:numPr>
        <w:shd w:val="clear" w:color="auto" w:fill="D9D9D9"/>
        <w:ind w:left="426" w:hanging="426"/>
        <w:contextualSpacing/>
        <w:jc w:val="both"/>
        <w:rPr>
          <w:szCs w:val="24"/>
          <w:lang w:val="fr-FR"/>
        </w:rPr>
      </w:pPr>
      <w:r w:rsidRPr="001567E1">
        <w:rPr>
          <w:szCs w:val="24"/>
          <w:lang w:val="fr-FR"/>
        </w:rPr>
        <w:t>Toutefois, un nombre croissant, notamment d’espèces présentes dans les milieux marins et agricoles, sont classées Mondialement menacées et Quasi menacées</w:t>
      </w:r>
      <w:r w:rsidR="00066161" w:rsidRPr="001567E1">
        <w:rPr>
          <w:szCs w:val="24"/>
          <w:lang w:val="fr-FR"/>
        </w:rPr>
        <w:t>,</w:t>
      </w:r>
      <w:r w:rsidRPr="001567E1">
        <w:rPr>
          <w:szCs w:val="24"/>
          <w:lang w:val="fr-FR"/>
        </w:rPr>
        <w:t xml:space="preserve"> et </w:t>
      </w:r>
      <w:r w:rsidR="00066161" w:rsidRPr="001567E1">
        <w:rPr>
          <w:szCs w:val="24"/>
          <w:lang w:val="fr-FR"/>
        </w:rPr>
        <w:t>connaissent</w:t>
      </w:r>
      <w:r w:rsidRPr="001567E1">
        <w:rPr>
          <w:szCs w:val="24"/>
          <w:lang w:val="fr-FR"/>
        </w:rPr>
        <w:t xml:space="preserve"> un déclin significatif à long terme, </w:t>
      </w:r>
      <w:r w:rsidR="00066161" w:rsidRPr="001567E1">
        <w:rPr>
          <w:szCs w:val="24"/>
          <w:lang w:val="fr-FR"/>
        </w:rPr>
        <w:t>ce qui souligne l’importance</w:t>
      </w:r>
      <w:r w:rsidRPr="001567E1">
        <w:rPr>
          <w:szCs w:val="24"/>
          <w:lang w:val="fr-FR"/>
        </w:rPr>
        <w:t xml:space="preserve"> </w:t>
      </w:r>
      <w:r w:rsidR="00066161" w:rsidRPr="001567E1">
        <w:rPr>
          <w:szCs w:val="24"/>
          <w:lang w:val="fr-FR"/>
        </w:rPr>
        <w:t>d’une gestion durable au-delà des zones protégées</w:t>
      </w:r>
      <w:r w:rsidRPr="001567E1">
        <w:rPr>
          <w:szCs w:val="24"/>
          <w:lang w:val="fr-FR"/>
        </w:rPr>
        <w:t>.</w:t>
      </w:r>
      <w:r w:rsidR="00B0570A" w:rsidRPr="001567E1">
        <w:rPr>
          <w:szCs w:val="24"/>
          <w:lang w:val="fr-FR"/>
        </w:rPr>
        <w:t xml:space="preserve"> </w:t>
      </w:r>
    </w:p>
    <w:p w14:paraId="356C8DF9" w14:textId="0908B2B8" w:rsidR="00B0570A" w:rsidRPr="001567E1" w:rsidRDefault="00066161" w:rsidP="00832DD4">
      <w:pPr>
        <w:pStyle w:val="Normal1"/>
        <w:numPr>
          <w:ilvl w:val="0"/>
          <w:numId w:val="1"/>
        </w:numPr>
        <w:shd w:val="clear" w:color="auto" w:fill="D9D9D9"/>
        <w:ind w:left="426" w:hanging="426"/>
        <w:contextualSpacing/>
        <w:jc w:val="both"/>
        <w:rPr>
          <w:szCs w:val="24"/>
          <w:lang w:val="fr-FR"/>
        </w:rPr>
      </w:pPr>
      <w:r w:rsidRPr="001567E1">
        <w:rPr>
          <w:szCs w:val="24"/>
          <w:lang w:val="fr-FR"/>
        </w:rPr>
        <w:t>Une bonne gouvernance est le principal déterminant de la tendance des populations d’oiseaux d’eau.</w:t>
      </w:r>
    </w:p>
    <w:p w14:paraId="208F671F" w14:textId="28467AD3" w:rsidR="00FA1FE6" w:rsidRPr="001567E1" w:rsidRDefault="00066161" w:rsidP="00832DD4">
      <w:pPr>
        <w:pStyle w:val="Normal1"/>
        <w:numPr>
          <w:ilvl w:val="0"/>
          <w:numId w:val="1"/>
        </w:numPr>
        <w:shd w:val="clear" w:color="auto" w:fill="D9D9D9"/>
        <w:ind w:left="426" w:hanging="426"/>
        <w:contextualSpacing/>
        <w:jc w:val="both"/>
        <w:rPr>
          <w:szCs w:val="24"/>
          <w:lang w:val="fr-FR"/>
        </w:rPr>
      </w:pPr>
      <w:r w:rsidRPr="001567E1">
        <w:rPr>
          <w:szCs w:val="24"/>
          <w:lang w:val="fr-FR"/>
        </w:rPr>
        <w:t>Les plans de rétablissement des espèces influent de façon positive sur la tendance des populations d’oiseaux d’eau à long terme.</w:t>
      </w:r>
      <w:r w:rsidR="00FA1FE6" w:rsidRPr="001567E1">
        <w:rPr>
          <w:szCs w:val="24"/>
          <w:lang w:val="fr-FR"/>
        </w:rPr>
        <w:t xml:space="preserve"> </w:t>
      </w:r>
      <w:r w:rsidRPr="001567E1">
        <w:rPr>
          <w:szCs w:val="24"/>
          <w:lang w:val="fr-FR"/>
        </w:rPr>
        <w:t>Cependant, les espèces deviennent plus rapidement mondialement menacées qu’elles ne peuvent se rétablir.</w:t>
      </w:r>
      <w:r w:rsidR="00FA1FE6" w:rsidRPr="001567E1">
        <w:rPr>
          <w:szCs w:val="24"/>
          <w:lang w:val="fr-FR"/>
        </w:rPr>
        <w:t xml:space="preserve"> </w:t>
      </w:r>
    </w:p>
    <w:p w14:paraId="3873C5B0" w14:textId="415F76DE" w:rsidR="00741F7A" w:rsidRPr="001567E1" w:rsidRDefault="00066161" w:rsidP="00832DD4">
      <w:pPr>
        <w:pStyle w:val="Normal1"/>
        <w:numPr>
          <w:ilvl w:val="0"/>
          <w:numId w:val="1"/>
        </w:numPr>
        <w:shd w:val="clear" w:color="auto" w:fill="D9D9D9"/>
        <w:ind w:left="426" w:hanging="426"/>
        <w:contextualSpacing/>
        <w:jc w:val="both"/>
        <w:rPr>
          <w:szCs w:val="24"/>
          <w:lang w:val="fr-FR"/>
        </w:rPr>
      </w:pPr>
      <w:r w:rsidRPr="001567E1">
        <w:rPr>
          <w:szCs w:val="24"/>
          <w:lang w:val="fr-FR"/>
        </w:rPr>
        <w:t>Pour atteindre les buts fixés par l’AEWA et assurer sa contribution aux Objectifs d’Aïchi et aux Objectifs de développement durable, des stratégies proactives intégrant la conservation des oiseaux dans un vaste éventail d’autres politiques d’utilisation des terres doivent être adoptées.</w:t>
      </w:r>
    </w:p>
    <w:p w14:paraId="31CD020A" w14:textId="77777777" w:rsidR="00AE16C5" w:rsidRPr="001567E1" w:rsidRDefault="00AE16C5" w:rsidP="00AE16C5">
      <w:pPr>
        <w:pStyle w:val="Normal1"/>
        <w:shd w:val="clear" w:color="auto" w:fill="D9D9D9"/>
        <w:contextualSpacing/>
        <w:jc w:val="both"/>
        <w:rPr>
          <w:szCs w:val="24"/>
          <w:lang w:val="fr-FR"/>
        </w:rPr>
      </w:pPr>
    </w:p>
    <w:p w14:paraId="4C73B7F8" w14:textId="77777777" w:rsidR="00741F7A" w:rsidRPr="001567E1" w:rsidRDefault="00741F7A">
      <w:pPr>
        <w:pStyle w:val="Normal1"/>
        <w:jc w:val="both"/>
        <w:rPr>
          <w:szCs w:val="24"/>
          <w:lang w:val="fr-FR"/>
        </w:rPr>
      </w:pPr>
    </w:p>
    <w:p w14:paraId="0E65866E" w14:textId="2C602DD5" w:rsidR="00741F7A" w:rsidRPr="001567E1" w:rsidRDefault="00066161">
      <w:pPr>
        <w:pStyle w:val="Normal1"/>
        <w:jc w:val="both"/>
        <w:rPr>
          <w:szCs w:val="24"/>
          <w:lang w:val="fr-FR"/>
        </w:rPr>
      </w:pPr>
      <w:r w:rsidRPr="001567E1">
        <w:rPr>
          <w:b/>
          <w:szCs w:val="24"/>
          <w:lang w:val="fr-FR"/>
        </w:rPr>
        <w:t>État des connaissances</w:t>
      </w:r>
    </w:p>
    <w:p w14:paraId="67E2DB90" w14:textId="46006AD3" w:rsidR="00741F7A" w:rsidRPr="001567E1" w:rsidRDefault="00066161">
      <w:pPr>
        <w:pStyle w:val="Normal1"/>
        <w:jc w:val="both"/>
        <w:rPr>
          <w:szCs w:val="24"/>
          <w:lang w:val="fr-FR"/>
        </w:rPr>
      </w:pPr>
      <w:r w:rsidRPr="001567E1">
        <w:rPr>
          <w:szCs w:val="24"/>
          <w:lang w:val="fr-FR"/>
        </w:rPr>
        <w:t>L’état des connaissances s’est fortement amélioré à la fois au cours de</w:t>
      </w:r>
      <w:r w:rsidR="0076795F" w:rsidRPr="001567E1">
        <w:rPr>
          <w:szCs w:val="24"/>
          <w:lang w:val="fr-FR"/>
        </w:rPr>
        <w:t xml:space="preserve"> ce</w:t>
      </w:r>
      <w:r w:rsidRPr="001567E1">
        <w:rPr>
          <w:szCs w:val="24"/>
          <w:lang w:val="fr-FR"/>
        </w:rPr>
        <w:t xml:space="preserve">s trois dernières années et pendant la durée du Plan Stratégique 2008-2018 de l’AEWA. Des programmes centrés sur le renforcement des capacités le long des voies de migration de l’Atlantique Est et de la mer Noire-Méditerranée (Initiative de la voie de migration de la mer des Wadden, projets de l’Initiative des oiseaux méditerranéens et de la voie de </w:t>
      </w:r>
      <w:r w:rsidR="0076795F" w:rsidRPr="001567E1">
        <w:rPr>
          <w:szCs w:val="24"/>
          <w:lang w:val="fr-FR"/>
        </w:rPr>
        <w:t>migration de l’Adriatique</w:t>
      </w:r>
      <w:r w:rsidRPr="001567E1">
        <w:rPr>
          <w:szCs w:val="24"/>
          <w:lang w:val="fr-FR"/>
        </w:rPr>
        <w:t xml:space="preserve">) </w:t>
      </w:r>
      <w:r w:rsidR="0076795F" w:rsidRPr="001567E1">
        <w:rPr>
          <w:szCs w:val="24"/>
          <w:lang w:val="fr-FR"/>
        </w:rPr>
        <w:t>ainsi que les nouvelles obligations de communication de l’état des oiseaux découlant de l’Article 12 de la Directive Oiseaux de l’UE, de même que la publication de la Liste</w:t>
      </w:r>
      <w:r w:rsidRPr="001567E1">
        <w:rPr>
          <w:szCs w:val="24"/>
          <w:lang w:val="fr-FR"/>
        </w:rPr>
        <w:t xml:space="preserve"> </w:t>
      </w:r>
      <w:r w:rsidR="0076795F" w:rsidRPr="001567E1">
        <w:rPr>
          <w:szCs w:val="24"/>
          <w:lang w:val="fr-FR"/>
        </w:rPr>
        <w:t>rouge européenne des oiseaux afférente, sont d’une importance cruciale à cet égard</w:t>
      </w:r>
      <w:r w:rsidRPr="001567E1">
        <w:rPr>
          <w:szCs w:val="24"/>
          <w:lang w:val="fr-FR"/>
        </w:rPr>
        <w:t>.</w:t>
      </w:r>
      <w:r w:rsidR="00832DD4" w:rsidRPr="001567E1">
        <w:rPr>
          <w:szCs w:val="24"/>
          <w:lang w:val="fr-FR"/>
        </w:rPr>
        <w:t xml:space="preserve"> </w:t>
      </w:r>
      <w:r w:rsidR="0076795F" w:rsidRPr="001567E1">
        <w:rPr>
          <w:szCs w:val="24"/>
          <w:lang w:val="fr-FR"/>
        </w:rPr>
        <w:t>Le nombre de populations dont l’état international est évalué par le biais d’une surveillance régulière a augmenté, passant de 102 dans le CSR4 à 221, c’est-à-dire plus du double.</w:t>
      </w:r>
      <w:r w:rsidR="00832DD4" w:rsidRPr="001567E1">
        <w:rPr>
          <w:szCs w:val="24"/>
          <w:lang w:val="fr-FR"/>
        </w:rPr>
        <w:t xml:space="preserve">  </w:t>
      </w:r>
      <w:r w:rsidR="0076795F" w:rsidRPr="001567E1">
        <w:rPr>
          <w:szCs w:val="24"/>
          <w:lang w:val="fr-FR"/>
        </w:rPr>
        <w:t>Ceci représente 40 % de toutes les populations figurant à la liste de l’AEWA.</w:t>
      </w:r>
      <w:r w:rsidR="00832DD4" w:rsidRPr="001567E1">
        <w:rPr>
          <w:szCs w:val="24"/>
          <w:lang w:val="fr-FR"/>
        </w:rPr>
        <w:t xml:space="preserve"> </w:t>
      </w:r>
      <w:r w:rsidR="0076795F" w:rsidRPr="001567E1">
        <w:rPr>
          <w:szCs w:val="24"/>
          <w:lang w:val="fr-FR"/>
        </w:rPr>
        <w:t>Le nombre de populations de l’AEWA ne bénéficiant pas d’évaluations récentes des tendances a diminué, passant à 14 %, mais la tendance de 38 % des populations est toujours mal évaluée.</w:t>
      </w:r>
      <w:r w:rsidR="00832DD4" w:rsidRPr="001567E1">
        <w:rPr>
          <w:szCs w:val="24"/>
          <w:lang w:val="fr-FR"/>
        </w:rPr>
        <w:t xml:space="preserve"> </w:t>
      </w:r>
      <w:r w:rsidR="0076795F" w:rsidRPr="001567E1">
        <w:rPr>
          <w:szCs w:val="24"/>
          <w:lang w:val="fr-FR"/>
        </w:rPr>
        <w:t>La majorité des populations dont la tendance n’est pas évaluée viennent de la région biogéographique afro</w:t>
      </w:r>
      <w:r w:rsidR="00232ED8" w:rsidRPr="001567E1">
        <w:rPr>
          <w:szCs w:val="24"/>
          <w:lang w:val="fr-FR"/>
        </w:rPr>
        <w:t>-</w:t>
      </w:r>
      <w:r w:rsidR="0076795F" w:rsidRPr="001567E1">
        <w:rPr>
          <w:szCs w:val="24"/>
          <w:lang w:val="fr-FR"/>
        </w:rPr>
        <w:t>tropicale et de la voie de migration d’Asie de l’</w:t>
      </w:r>
      <w:r w:rsidR="001D13E4" w:rsidRPr="001567E1">
        <w:rPr>
          <w:szCs w:val="24"/>
          <w:lang w:val="fr-FR"/>
        </w:rPr>
        <w:t>E</w:t>
      </w:r>
      <w:r w:rsidR="0076795F" w:rsidRPr="001567E1">
        <w:rPr>
          <w:szCs w:val="24"/>
          <w:lang w:val="fr-FR"/>
        </w:rPr>
        <w:t>st-Afrique de l’</w:t>
      </w:r>
      <w:r w:rsidR="001D13E4" w:rsidRPr="001567E1">
        <w:rPr>
          <w:szCs w:val="24"/>
          <w:lang w:val="fr-FR"/>
        </w:rPr>
        <w:t>E</w:t>
      </w:r>
      <w:r w:rsidR="0076795F" w:rsidRPr="001567E1">
        <w:rPr>
          <w:szCs w:val="24"/>
          <w:lang w:val="fr-FR"/>
        </w:rPr>
        <w:t>st.</w:t>
      </w:r>
      <w:r w:rsidR="00832DD4" w:rsidRPr="001567E1">
        <w:rPr>
          <w:szCs w:val="24"/>
          <w:lang w:val="fr-FR"/>
        </w:rPr>
        <w:t xml:space="preserve">  </w:t>
      </w:r>
      <w:r w:rsidR="0076795F" w:rsidRPr="001567E1">
        <w:rPr>
          <w:szCs w:val="24"/>
          <w:lang w:val="fr-FR"/>
        </w:rPr>
        <w:t xml:space="preserve">La plupart des estimations de taille des populations sont basées sur un </w:t>
      </w:r>
      <w:r w:rsidR="004E3BA2">
        <w:rPr>
          <w:szCs w:val="24"/>
          <w:lang w:val="fr-FR"/>
        </w:rPr>
        <w:t>type</w:t>
      </w:r>
      <w:r w:rsidR="0076795F" w:rsidRPr="001567E1">
        <w:rPr>
          <w:szCs w:val="24"/>
          <w:lang w:val="fr-FR"/>
        </w:rPr>
        <w:t xml:space="preserve"> de surveillance, mais de nombreuses autres sont dérivées de l’opinion d’experts plutôt que d’un échantillonnage représentatif du point de vue statistique ou de recensements complets.</w:t>
      </w:r>
      <w:r w:rsidR="00832DD4" w:rsidRPr="001567E1">
        <w:rPr>
          <w:szCs w:val="24"/>
          <w:lang w:val="fr-FR"/>
        </w:rPr>
        <w:t xml:space="preserve"> </w:t>
      </w:r>
      <w:r w:rsidR="00A332C3" w:rsidRPr="001567E1">
        <w:rPr>
          <w:szCs w:val="24"/>
          <w:lang w:val="fr-FR"/>
        </w:rPr>
        <w:t>La connaissance de l’état des populations d'oiseaux d'eau est spécialement médiocre en Asie de l’Ouest et dans la région afro</w:t>
      </w:r>
      <w:r w:rsidR="00232ED8" w:rsidRPr="001567E1">
        <w:rPr>
          <w:szCs w:val="24"/>
          <w:lang w:val="fr-FR"/>
        </w:rPr>
        <w:t>-</w:t>
      </w:r>
      <w:r w:rsidR="00A332C3" w:rsidRPr="001567E1">
        <w:rPr>
          <w:szCs w:val="24"/>
          <w:lang w:val="fr-FR"/>
        </w:rPr>
        <w:t>tropicale, à l’exception de l’Afrique australe et du littoral atlantique.</w:t>
      </w:r>
      <w:r w:rsidR="00832DD4" w:rsidRPr="001567E1">
        <w:rPr>
          <w:szCs w:val="24"/>
          <w:lang w:val="fr-FR"/>
        </w:rPr>
        <w:t xml:space="preserve"> </w:t>
      </w:r>
      <w:r w:rsidR="004E3BA2">
        <w:rPr>
          <w:szCs w:val="24"/>
          <w:lang w:val="fr-FR"/>
        </w:rPr>
        <w:t>Pour</w:t>
      </w:r>
      <w:r w:rsidR="00A332C3" w:rsidRPr="001567E1">
        <w:rPr>
          <w:szCs w:val="24"/>
          <w:lang w:val="fr-FR"/>
        </w:rPr>
        <w:t xml:space="preserve"> 13 des 26 familles d’oiseaux d’eau, l’estimation des tendances est inexistante pour certaines espèces.</w:t>
      </w:r>
      <w:r w:rsidR="00832DD4" w:rsidRPr="001567E1">
        <w:rPr>
          <w:szCs w:val="24"/>
          <w:lang w:val="fr-FR"/>
        </w:rPr>
        <w:t xml:space="preserve"> </w:t>
      </w:r>
      <w:bookmarkStart w:id="4" w:name="h.49ca9tb2y67s" w:colFirst="0" w:colLast="0"/>
      <w:bookmarkEnd w:id="4"/>
    </w:p>
    <w:p w14:paraId="050E0699" w14:textId="402496DC" w:rsidR="00741F7A" w:rsidRPr="001567E1" w:rsidRDefault="00741F7A">
      <w:pPr>
        <w:pStyle w:val="Normal1"/>
        <w:jc w:val="both"/>
        <w:rPr>
          <w:szCs w:val="24"/>
          <w:lang w:val="fr-FR"/>
        </w:rPr>
      </w:pPr>
      <w:bookmarkStart w:id="5" w:name="h.ag2qddj529m" w:colFirst="0" w:colLast="0"/>
      <w:bookmarkEnd w:id="5"/>
    </w:p>
    <w:p w14:paraId="08DFF845" w14:textId="77777777" w:rsidR="00AE16C5" w:rsidRPr="001567E1" w:rsidRDefault="00AE16C5">
      <w:pPr>
        <w:pStyle w:val="Normal1"/>
        <w:jc w:val="both"/>
        <w:rPr>
          <w:szCs w:val="24"/>
          <w:lang w:val="fr-FR"/>
        </w:rPr>
      </w:pPr>
    </w:p>
    <w:p w14:paraId="061FC28C" w14:textId="7CAE4626" w:rsidR="00741F7A" w:rsidRDefault="00A332C3">
      <w:pPr>
        <w:pStyle w:val="Normal1"/>
        <w:jc w:val="both"/>
        <w:rPr>
          <w:szCs w:val="24"/>
          <w:lang w:val="fr-FR"/>
        </w:rPr>
      </w:pPr>
      <w:bookmarkStart w:id="6" w:name="h.cwoke0ru0kov" w:colFirst="0" w:colLast="0"/>
      <w:bookmarkEnd w:id="6"/>
      <w:r w:rsidRPr="001567E1">
        <w:rPr>
          <w:szCs w:val="24"/>
          <w:lang w:val="fr-FR"/>
        </w:rPr>
        <w:lastRenderedPageBreak/>
        <w:t>Actions recommandées :</w:t>
      </w:r>
      <w:r w:rsidR="00832DD4" w:rsidRPr="001567E1">
        <w:rPr>
          <w:szCs w:val="24"/>
          <w:lang w:val="fr-FR"/>
        </w:rPr>
        <w:t xml:space="preserve"> </w:t>
      </w:r>
    </w:p>
    <w:p w14:paraId="44C62B9F" w14:textId="77777777" w:rsidR="00D95894" w:rsidRPr="001567E1" w:rsidRDefault="00D95894">
      <w:pPr>
        <w:pStyle w:val="Normal1"/>
        <w:jc w:val="both"/>
        <w:rPr>
          <w:szCs w:val="24"/>
          <w:lang w:val="fr-FR"/>
        </w:rPr>
      </w:pPr>
    </w:p>
    <w:p w14:paraId="0B7739B9" w14:textId="70396290" w:rsidR="00741F7A" w:rsidRPr="001567E1" w:rsidRDefault="00A332C3">
      <w:pPr>
        <w:pStyle w:val="Normal1"/>
        <w:numPr>
          <w:ilvl w:val="0"/>
          <w:numId w:val="3"/>
        </w:numPr>
        <w:ind w:hanging="360"/>
        <w:contextualSpacing/>
        <w:jc w:val="both"/>
        <w:rPr>
          <w:szCs w:val="24"/>
          <w:lang w:val="fr-FR"/>
        </w:rPr>
      </w:pPr>
      <w:bookmarkStart w:id="7" w:name="h.tn3tytwzu4fc" w:colFirst="0" w:colLast="0"/>
      <w:bookmarkEnd w:id="7"/>
      <w:r w:rsidRPr="001567E1">
        <w:rPr>
          <w:szCs w:val="24"/>
          <w:lang w:val="fr-FR"/>
        </w:rPr>
        <w:t>Adopter et mettre en œuvre les Lignes directrices de l’AEWA relatives aux programmes de surveillance adéquats pour les populations figurant au tableau 1 du Plan d’action de l’AEWA, pour aider les États de l</w:t>
      </w:r>
      <w:r w:rsidR="007E0EE7" w:rsidRPr="001567E1">
        <w:rPr>
          <w:szCs w:val="24"/>
          <w:lang w:val="fr-FR"/>
        </w:rPr>
        <w:t>’</w:t>
      </w:r>
      <w:r w:rsidRPr="001567E1">
        <w:rPr>
          <w:szCs w:val="24"/>
          <w:lang w:val="fr-FR"/>
        </w:rPr>
        <w:t>aire de répartition à recueillir des données compatibles en vue des estimations internationales de l’état de conservation.</w:t>
      </w:r>
      <w:r w:rsidR="00832DD4" w:rsidRPr="001567E1">
        <w:rPr>
          <w:szCs w:val="24"/>
          <w:lang w:val="fr-FR"/>
        </w:rPr>
        <w:t xml:space="preserve"> </w:t>
      </w:r>
    </w:p>
    <w:p w14:paraId="77EE1EE8" w14:textId="3CC95BC4" w:rsidR="00500674" w:rsidRPr="001567E1" w:rsidRDefault="00A332C3">
      <w:pPr>
        <w:pStyle w:val="Normal1"/>
        <w:numPr>
          <w:ilvl w:val="0"/>
          <w:numId w:val="3"/>
        </w:numPr>
        <w:ind w:hanging="360"/>
        <w:contextualSpacing/>
        <w:jc w:val="both"/>
        <w:rPr>
          <w:szCs w:val="24"/>
          <w:lang w:val="fr-FR"/>
        </w:rPr>
      </w:pPr>
      <w:r w:rsidRPr="001567E1">
        <w:rPr>
          <w:szCs w:val="24"/>
          <w:lang w:val="fr-FR"/>
        </w:rPr>
        <w:t xml:space="preserve">Mettre en place un système de rapport sur les estimations de taille et de tendance des populations nationales, </w:t>
      </w:r>
      <w:r w:rsidR="004E3BA2">
        <w:rPr>
          <w:szCs w:val="24"/>
          <w:lang w:val="fr-FR"/>
        </w:rPr>
        <w:t>dans le cadre</w:t>
      </w:r>
      <w:r w:rsidRPr="001567E1">
        <w:rPr>
          <w:szCs w:val="24"/>
          <w:lang w:val="fr-FR"/>
        </w:rPr>
        <w:t xml:space="preserve"> du </w:t>
      </w:r>
      <w:r w:rsidR="004E3BA2">
        <w:rPr>
          <w:szCs w:val="24"/>
          <w:lang w:val="fr-FR"/>
        </w:rPr>
        <w:t>processus</w:t>
      </w:r>
      <w:r w:rsidRPr="001567E1">
        <w:rPr>
          <w:szCs w:val="24"/>
          <w:lang w:val="fr-FR"/>
        </w:rPr>
        <w:t xml:space="preserve"> de remise des rapports nationaux.</w:t>
      </w:r>
      <w:r w:rsidR="00500674" w:rsidRPr="001567E1">
        <w:rPr>
          <w:szCs w:val="24"/>
          <w:lang w:val="fr-FR"/>
        </w:rPr>
        <w:t xml:space="preserve"> </w:t>
      </w:r>
    </w:p>
    <w:p w14:paraId="0524AD09" w14:textId="6C25A511" w:rsidR="00741F7A" w:rsidRPr="001567E1" w:rsidRDefault="00A332C3">
      <w:pPr>
        <w:pStyle w:val="Normal1"/>
        <w:numPr>
          <w:ilvl w:val="0"/>
          <w:numId w:val="3"/>
        </w:numPr>
        <w:ind w:hanging="360"/>
        <w:contextualSpacing/>
        <w:jc w:val="both"/>
        <w:rPr>
          <w:szCs w:val="24"/>
          <w:lang w:val="fr-FR"/>
        </w:rPr>
      </w:pPr>
      <w:bookmarkStart w:id="8" w:name="h.v0rid5l0egfg" w:colFirst="0" w:colLast="0"/>
      <w:bookmarkEnd w:id="8"/>
      <w:r w:rsidRPr="001567E1">
        <w:rPr>
          <w:szCs w:val="24"/>
          <w:lang w:val="fr-FR"/>
        </w:rPr>
        <w:t>Établir des programmes d’atlas nationaux des oiseaux</w:t>
      </w:r>
      <w:r w:rsidR="001D13E4" w:rsidRPr="001567E1">
        <w:rPr>
          <w:szCs w:val="24"/>
          <w:lang w:val="fr-FR"/>
        </w:rPr>
        <w:t>,</w:t>
      </w:r>
      <w:r w:rsidRPr="001567E1">
        <w:rPr>
          <w:szCs w:val="24"/>
          <w:lang w:val="fr-FR"/>
        </w:rPr>
        <w:t xml:space="preserve"> similaires au </w:t>
      </w:r>
      <w:r w:rsidR="001F3E92" w:rsidRPr="001567E1">
        <w:rPr>
          <w:szCs w:val="24"/>
          <w:lang w:val="fr-FR"/>
        </w:rPr>
        <w:t xml:space="preserve">deuxième </w:t>
      </w:r>
      <w:r w:rsidRPr="001567E1">
        <w:rPr>
          <w:szCs w:val="24"/>
          <w:lang w:val="fr-FR"/>
        </w:rPr>
        <w:t>projet d</w:t>
      </w:r>
      <w:r w:rsidR="001F3E92" w:rsidRPr="001567E1">
        <w:rPr>
          <w:szCs w:val="24"/>
          <w:lang w:val="fr-FR"/>
        </w:rPr>
        <w:t>’</w:t>
      </w:r>
      <w:r w:rsidRPr="001567E1">
        <w:rPr>
          <w:szCs w:val="24"/>
          <w:lang w:val="fr-FR"/>
        </w:rPr>
        <w:t xml:space="preserve">atlas des oiseaux d’Afrique australe, d’Asie centrale et du </w:t>
      </w:r>
      <w:r w:rsidR="004E3BA2">
        <w:rPr>
          <w:szCs w:val="24"/>
          <w:lang w:val="fr-FR"/>
        </w:rPr>
        <w:t>S</w:t>
      </w:r>
      <w:r w:rsidRPr="001567E1">
        <w:rPr>
          <w:szCs w:val="24"/>
          <w:lang w:val="fr-FR"/>
        </w:rPr>
        <w:t>ud-</w:t>
      </w:r>
      <w:r w:rsidR="004E3BA2">
        <w:rPr>
          <w:szCs w:val="24"/>
          <w:lang w:val="fr-FR"/>
        </w:rPr>
        <w:t>O</w:t>
      </w:r>
      <w:r w:rsidRPr="001567E1">
        <w:rPr>
          <w:szCs w:val="24"/>
          <w:lang w:val="fr-FR"/>
        </w:rPr>
        <w:t>uest.</w:t>
      </w:r>
      <w:r w:rsidR="00832DD4" w:rsidRPr="001567E1">
        <w:rPr>
          <w:szCs w:val="24"/>
          <w:lang w:val="fr-FR"/>
        </w:rPr>
        <w:t xml:space="preserve">     </w:t>
      </w:r>
    </w:p>
    <w:p w14:paraId="6B0EE465" w14:textId="7B1BEBA0" w:rsidR="00741F7A" w:rsidRPr="001567E1" w:rsidRDefault="00A332C3">
      <w:pPr>
        <w:pStyle w:val="Normal1"/>
        <w:numPr>
          <w:ilvl w:val="0"/>
          <w:numId w:val="3"/>
        </w:numPr>
        <w:ind w:hanging="360"/>
        <w:contextualSpacing/>
        <w:jc w:val="both"/>
        <w:rPr>
          <w:szCs w:val="24"/>
          <w:lang w:val="fr-FR"/>
        </w:rPr>
      </w:pPr>
      <w:bookmarkStart w:id="9" w:name="h.7tuhd1ta6n60" w:colFirst="0" w:colLast="0"/>
      <w:bookmarkStart w:id="10" w:name="h.96alwr5z12s7" w:colFirst="0" w:colLast="0"/>
      <w:bookmarkEnd w:id="9"/>
      <w:bookmarkEnd w:id="10"/>
      <w:r w:rsidRPr="001567E1">
        <w:rPr>
          <w:szCs w:val="24"/>
          <w:lang w:val="fr-FR"/>
        </w:rPr>
        <w:t>Les Parties contractantes ayant les plus haut</w:t>
      </w:r>
      <w:r w:rsidR="008F67F3">
        <w:rPr>
          <w:szCs w:val="24"/>
          <w:lang w:val="fr-FR"/>
        </w:rPr>
        <w:t>s</w:t>
      </w:r>
      <w:r w:rsidRPr="001567E1">
        <w:rPr>
          <w:szCs w:val="24"/>
          <w:lang w:val="fr-FR"/>
        </w:rPr>
        <w:t xml:space="preserve"> revenus doivent aider les Parties contractantes ayant des revenus faibles ou moyens, au niveau </w:t>
      </w:r>
      <w:r w:rsidR="00FA39E2" w:rsidRPr="001567E1">
        <w:rPr>
          <w:szCs w:val="24"/>
          <w:lang w:val="fr-FR"/>
        </w:rPr>
        <w:t>bilatéral ou par l’intermédiaire du Fonds pour les oiseaux d’eau</w:t>
      </w:r>
      <w:r w:rsidRPr="001567E1">
        <w:rPr>
          <w:szCs w:val="24"/>
          <w:lang w:val="fr-FR"/>
        </w:rPr>
        <w:t xml:space="preserve">, </w:t>
      </w:r>
      <w:r w:rsidR="00FA39E2" w:rsidRPr="001567E1">
        <w:rPr>
          <w:szCs w:val="24"/>
          <w:lang w:val="fr-FR"/>
        </w:rPr>
        <w:t>afin de mettre en œuvre des programmes adéquats de surveillance des oiseaux d’eau</w:t>
      </w:r>
      <w:r w:rsidRPr="001567E1">
        <w:rPr>
          <w:szCs w:val="24"/>
          <w:lang w:val="fr-FR"/>
        </w:rPr>
        <w:t xml:space="preserve"> </w:t>
      </w:r>
      <w:r w:rsidR="00FA39E2" w:rsidRPr="001567E1">
        <w:rPr>
          <w:szCs w:val="24"/>
          <w:lang w:val="fr-FR"/>
        </w:rPr>
        <w:t>apportant des données aux programmes internationaux en vue de la production d’évaluations au niveau des populations</w:t>
      </w:r>
      <w:r w:rsidRPr="001567E1">
        <w:rPr>
          <w:szCs w:val="24"/>
          <w:lang w:val="fr-FR"/>
        </w:rPr>
        <w:t>.</w:t>
      </w:r>
      <w:r w:rsidR="00832DD4" w:rsidRPr="001567E1">
        <w:rPr>
          <w:szCs w:val="24"/>
          <w:lang w:val="fr-FR"/>
        </w:rPr>
        <w:t xml:space="preserve"> </w:t>
      </w:r>
    </w:p>
    <w:p w14:paraId="355CE463" w14:textId="24868EF3" w:rsidR="00741F7A" w:rsidRPr="001567E1" w:rsidRDefault="00741F7A">
      <w:pPr>
        <w:pStyle w:val="Normal1"/>
        <w:jc w:val="both"/>
        <w:rPr>
          <w:szCs w:val="24"/>
          <w:lang w:val="fr-FR"/>
        </w:rPr>
      </w:pPr>
      <w:bookmarkStart w:id="11" w:name="h.30j0zll" w:colFirst="0" w:colLast="0"/>
      <w:bookmarkEnd w:id="11"/>
    </w:p>
    <w:p w14:paraId="26044CAF" w14:textId="44AB530B" w:rsidR="00741F7A" w:rsidRPr="001567E1" w:rsidRDefault="00FA39E2">
      <w:pPr>
        <w:pStyle w:val="Normal1"/>
        <w:jc w:val="both"/>
        <w:rPr>
          <w:szCs w:val="24"/>
          <w:lang w:val="fr-FR"/>
        </w:rPr>
      </w:pPr>
      <w:r w:rsidRPr="001567E1">
        <w:rPr>
          <w:b/>
          <w:szCs w:val="24"/>
          <w:lang w:val="fr-FR"/>
        </w:rPr>
        <w:t>Tendances</w:t>
      </w:r>
      <w:r w:rsidR="00832DD4" w:rsidRPr="001567E1">
        <w:rPr>
          <w:szCs w:val="24"/>
          <w:lang w:val="fr-FR"/>
        </w:rPr>
        <w:t xml:space="preserve"> </w:t>
      </w:r>
    </w:p>
    <w:p w14:paraId="0DFE93FE" w14:textId="16272679" w:rsidR="00741F7A" w:rsidRPr="001567E1" w:rsidRDefault="00FA39E2">
      <w:pPr>
        <w:pStyle w:val="Normal1"/>
        <w:jc w:val="both"/>
        <w:rPr>
          <w:szCs w:val="24"/>
          <w:lang w:val="fr-FR"/>
        </w:rPr>
      </w:pPr>
      <w:r w:rsidRPr="001567E1">
        <w:rPr>
          <w:szCs w:val="24"/>
          <w:lang w:val="fr-FR"/>
        </w:rPr>
        <w:t xml:space="preserve">Sur 445 populations </w:t>
      </w:r>
      <w:r w:rsidR="001D13E4" w:rsidRPr="001567E1">
        <w:rPr>
          <w:szCs w:val="24"/>
          <w:lang w:val="fr-FR"/>
        </w:rPr>
        <w:t>pou</w:t>
      </w:r>
      <w:r w:rsidRPr="001567E1">
        <w:rPr>
          <w:szCs w:val="24"/>
          <w:lang w:val="fr-FR"/>
        </w:rPr>
        <w:t>r lesquelles des informations sur les tendances sont disponibles, 36 % sont en déclin.</w:t>
      </w:r>
      <w:r w:rsidR="00832DD4" w:rsidRPr="001567E1">
        <w:rPr>
          <w:szCs w:val="24"/>
          <w:lang w:val="fr-FR"/>
        </w:rPr>
        <w:t xml:space="preserve"> </w:t>
      </w:r>
      <w:r w:rsidRPr="001567E1">
        <w:rPr>
          <w:szCs w:val="24"/>
          <w:lang w:val="fr-FR"/>
        </w:rPr>
        <w:t>Ceci signifie qu’il y a plus de populations en déclin que de populations en augmentation.</w:t>
      </w:r>
      <w:r w:rsidR="00832DD4" w:rsidRPr="001567E1">
        <w:rPr>
          <w:szCs w:val="24"/>
          <w:lang w:val="fr-FR"/>
        </w:rPr>
        <w:t xml:space="preserve"> </w:t>
      </w:r>
      <w:r w:rsidRPr="001567E1">
        <w:rPr>
          <w:szCs w:val="24"/>
          <w:lang w:val="fr-FR"/>
        </w:rPr>
        <w:t>En conséquence, la tendance générale des populations d’oiseaux d’eau figurant au tableau 1 du Plan d’action de l’AEWA est toujours légèrement négative, mais il y a eu quelques améliorations.</w:t>
      </w:r>
      <w:r w:rsidR="00832DD4" w:rsidRPr="001567E1">
        <w:rPr>
          <w:szCs w:val="24"/>
          <w:lang w:val="fr-FR"/>
        </w:rPr>
        <w:t xml:space="preserve"> </w:t>
      </w:r>
      <w:r w:rsidRPr="001567E1">
        <w:rPr>
          <w:szCs w:val="24"/>
          <w:lang w:val="fr-FR"/>
        </w:rPr>
        <w:t>Depuis 1999, la proportion de populations en déclin a diminué, passant de 42 % à 36 %.</w:t>
      </w:r>
      <w:r w:rsidR="00832DD4" w:rsidRPr="001567E1">
        <w:rPr>
          <w:szCs w:val="24"/>
          <w:lang w:val="fr-FR"/>
        </w:rPr>
        <w:t xml:space="preserve"> </w:t>
      </w:r>
      <w:r w:rsidRPr="001567E1">
        <w:rPr>
          <w:szCs w:val="24"/>
          <w:lang w:val="fr-FR"/>
        </w:rPr>
        <w:t>Depuis le CSR4, l’état de 143 populations s’est amélioré et celui de 176 populations a empiré.</w:t>
      </w:r>
      <w:r w:rsidR="00832DD4" w:rsidRPr="001567E1">
        <w:rPr>
          <w:szCs w:val="24"/>
          <w:lang w:val="fr-FR"/>
        </w:rPr>
        <w:t xml:space="preserve"> </w:t>
      </w:r>
      <w:r w:rsidRPr="001567E1">
        <w:rPr>
          <w:szCs w:val="24"/>
          <w:lang w:val="fr-FR"/>
        </w:rPr>
        <w:t xml:space="preserve">La plus forte proportion de populations </w:t>
      </w:r>
      <w:r w:rsidR="00A8755E" w:rsidRPr="001567E1">
        <w:rPr>
          <w:szCs w:val="24"/>
          <w:lang w:val="fr-FR"/>
        </w:rPr>
        <w:t xml:space="preserve">qui ont décliné au cours de ces </w:t>
      </w:r>
      <w:r w:rsidRPr="001567E1">
        <w:rPr>
          <w:szCs w:val="24"/>
          <w:lang w:val="fr-FR"/>
        </w:rPr>
        <w:t xml:space="preserve">10 </w:t>
      </w:r>
      <w:r w:rsidR="00A8755E" w:rsidRPr="001567E1">
        <w:rPr>
          <w:szCs w:val="24"/>
          <w:lang w:val="fr-FR"/>
        </w:rPr>
        <w:t>dernières années se trouve dans la p</w:t>
      </w:r>
      <w:r w:rsidR="004E3BA2">
        <w:rPr>
          <w:szCs w:val="24"/>
          <w:lang w:val="fr-FR"/>
        </w:rPr>
        <w:t>artie de l’Asie centrale et du S</w:t>
      </w:r>
      <w:r w:rsidR="00A8755E" w:rsidRPr="001567E1">
        <w:rPr>
          <w:szCs w:val="24"/>
          <w:lang w:val="fr-FR"/>
        </w:rPr>
        <w:t>ud-</w:t>
      </w:r>
      <w:r w:rsidR="004E3BA2">
        <w:rPr>
          <w:szCs w:val="24"/>
          <w:lang w:val="fr-FR"/>
        </w:rPr>
        <w:t>O</w:t>
      </w:r>
      <w:r w:rsidR="00A8755E" w:rsidRPr="001567E1">
        <w:rPr>
          <w:szCs w:val="24"/>
          <w:lang w:val="fr-FR"/>
        </w:rPr>
        <w:t>uest</w:t>
      </w:r>
      <w:r w:rsidRPr="001567E1">
        <w:rPr>
          <w:szCs w:val="24"/>
          <w:lang w:val="fr-FR"/>
        </w:rPr>
        <w:t xml:space="preserve"> </w:t>
      </w:r>
      <w:r w:rsidR="00A8755E" w:rsidRPr="001567E1">
        <w:rPr>
          <w:szCs w:val="24"/>
          <w:lang w:val="fr-FR"/>
        </w:rPr>
        <w:t>du Paléarctique occidental</w:t>
      </w:r>
      <w:r w:rsidRPr="001567E1">
        <w:rPr>
          <w:szCs w:val="24"/>
          <w:lang w:val="fr-FR"/>
        </w:rPr>
        <w:t xml:space="preserve">, </w:t>
      </w:r>
      <w:r w:rsidR="00A8755E" w:rsidRPr="001567E1">
        <w:rPr>
          <w:szCs w:val="24"/>
          <w:lang w:val="fr-FR"/>
        </w:rPr>
        <w:t>où plus de la moitié des populations sont en déclin</w:t>
      </w:r>
      <w:r w:rsidRPr="001567E1">
        <w:rPr>
          <w:szCs w:val="24"/>
          <w:lang w:val="fr-FR"/>
        </w:rPr>
        <w:t>.</w:t>
      </w:r>
      <w:r w:rsidR="00832DD4" w:rsidRPr="001567E1">
        <w:rPr>
          <w:szCs w:val="24"/>
          <w:lang w:val="fr-FR"/>
        </w:rPr>
        <w:t xml:space="preserve"> </w:t>
      </w:r>
      <w:r w:rsidR="00A8755E" w:rsidRPr="001567E1">
        <w:rPr>
          <w:szCs w:val="24"/>
          <w:lang w:val="fr-FR"/>
        </w:rPr>
        <w:t xml:space="preserve">Toutefois, la plus forte proportion de populations affichant un déclin significatif à long terme se trouve le long de la voie de migration de l’Atlantique Est, </w:t>
      </w:r>
      <w:r w:rsidR="00886D52" w:rsidRPr="001567E1">
        <w:rPr>
          <w:szCs w:val="24"/>
          <w:lang w:val="fr-FR"/>
        </w:rPr>
        <w:t>suivie de près</w:t>
      </w:r>
      <w:r w:rsidR="00A8755E" w:rsidRPr="001567E1">
        <w:rPr>
          <w:szCs w:val="24"/>
          <w:lang w:val="fr-FR"/>
        </w:rPr>
        <w:t xml:space="preserve"> </w:t>
      </w:r>
      <w:r w:rsidR="00886D52" w:rsidRPr="001567E1">
        <w:rPr>
          <w:szCs w:val="24"/>
          <w:lang w:val="fr-FR"/>
        </w:rPr>
        <w:t>par la partie de l’Asie centrale et du sud-ouest du Paléarctique occidental</w:t>
      </w:r>
      <w:r w:rsidR="00A8755E" w:rsidRPr="001567E1">
        <w:rPr>
          <w:szCs w:val="24"/>
          <w:lang w:val="fr-FR"/>
        </w:rPr>
        <w:t xml:space="preserve">, </w:t>
      </w:r>
      <w:r w:rsidR="00886D52" w:rsidRPr="001567E1">
        <w:rPr>
          <w:szCs w:val="24"/>
          <w:lang w:val="fr-FR"/>
        </w:rPr>
        <w:t>la partie orientale et australe de la région afro</w:t>
      </w:r>
      <w:r w:rsidR="00232ED8" w:rsidRPr="001567E1">
        <w:rPr>
          <w:szCs w:val="24"/>
          <w:lang w:val="fr-FR"/>
        </w:rPr>
        <w:t>-</w:t>
      </w:r>
      <w:r w:rsidR="00886D52" w:rsidRPr="001567E1">
        <w:rPr>
          <w:szCs w:val="24"/>
          <w:lang w:val="fr-FR"/>
        </w:rPr>
        <w:t>tropicale</w:t>
      </w:r>
      <w:r w:rsidR="00A8755E" w:rsidRPr="001567E1">
        <w:rPr>
          <w:szCs w:val="24"/>
          <w:lang w:val="fr-FR"/>
        </w:rPr>
        <w:t xml:space="preserve"> </w:t>
      </w:r>
      <w:r w:rsidR="00886D52" w:rsidRPr="001567E1">
        <w:rPr>
          <w:szCs w:val="24"/>
          <w:lang w:val="fr-FR"/>
        </w:rPr>
        <w:t>et la voie de migration de la mer Noire</w:t>
      </w:r>
      <w:r w:rsidR="00A8755E" w:rsidRPr="001567E1">
        <w:rPr>
          <w:szCs w:val="24"/>
          <w:lang w:val="fr-FR"/>
        </w:rPr>
        <w:t>-M</w:t>
      </w:r>
      <w:r w:rsidR="00886D52" w:rsidRPr="001567E1">
        <w:rPr>
          <w:szCs w:val="24"/>
          <w:lang w:val="fr-FR"/>
        </w:rPr>
        <w:t>é</w:t>
      </w:r>
      <w:r w:rsidR="00A8755E" w:rsidRPr="001567E1">
        <w:rPr>
          <w:szCs w:val="24"/>
          <w:lang w:val="fr-FR"/>
        </w:rPr>
        <w:t>diterran</w:t>
      </w:r>
      <w:r w:rsidR="00886D52" w:rsidRPr="001567E1">
        <w:rPr>
          <w:szCs w:val="24"/>
          <w:lang w:val="fr-FR"/>
        </w:rPr>
        <w:t>é</w:t>
      </w:r>
      <w:r w:rsidR="00A8755E" w:rsidRPr="001567E1">
        <w:rPr>
          <w:szCs w:val="24"/>
          <w:lang w:val="fr-FR"/>
        </w:rPr>
        <w:t>e.</w:t>
      </w:r>
      <w:r w:rsidR="001B100A" w:rsidRPr="001567E1">
        <w:rPr>
          <w:szCs w:val="24"/>
          <w:lang w:val="fr-FR"/>
        </w:rPr>
        <w:t xml:space="preserve"> </w:t>
      </w:r>
      <w:r w:rsidR="00886D52" w:rsidRPr="001567E1">
        <w:rPr>
          <w:szCs w:val="24"/>
          <w:lang w:val="fr-FR"/>
        </w:rPr>
        <w:t>Les populations faisant l’objet d’un déclin significatif à long terme sont principalement associées aux environnements marin et agricole.</w:t>
      </w:r>
      <w:r w:rsidR="001B100A" w:rsidRPr="001567E1">
        <w:rPr>
          <w:szCs w:val="24"/>
          <w:lang w:val="fr-FR"/>
        </w:rPr>
        <w:t xml:space="preserve"> </w:t>
      </w:r>
      <w:r w:rsidR="00886D52" w:rsidRPr="001567E1">
        <w:rPr>
          <w:szCs w:val="24"/>
          <w:lang w:val="fr-FR"/>
        </w:rPr>
        <w:t>Des analyses statistiques ont démontré qu’une bonne gouvernance est un déterminant essentiel des tendances des oiseaux d’eau.</w:t>
      </w:r>
      <w:r w:rsidR="001B100A" w:rsidRPr="001567E1">
        <w:rPr>
          <w:szCs w:val="24"/>
          <w:lang w:val="fr-FR"/>
        </w:rPr>
        <w:t xml:space="preserve">  </w:t>
      </w:r>
    </w:p>
    <w:p w14:paraId="7A803682" w14:textId="77777777" w:rsidR="00741F7A" w:rsidRPr="001567E1" w:rsidRDefault="00741F7A">
      <w:pPr>
        <w:pStyle w:val="Normal1"/>
        <w:jc w:val="both"/>
        <w:rPr>
          <w:szCs w:val="24"/>
          <w:lang w:val="fr-FR"/>
        </w:rPr>
      </w:pPr>
    </w:p>
    <w:p w14:paraId="23B8251F" w14:textId="7A30E3E4" w:rsidR="00741F7A" w:rsidRDefault="00886D52">
      <w:pPr>
        <w:pStyle w:val="Normal1"/>
        <w:jc w:val="both"/>
        <w:rPr>
          <w:szCs w:val="24"/>
          <w:lang w:val="fr-FR"/>
        </w:rPr>
      </w:pPr>
      <w:r w:rsidRPr="001567E1">
        <w:rPr>
          <w:szCs w:val="24"/>
          <w:lang w:val="fr-FR"/>
        </w:rPr>
        <w:t>Actions recommandées :</w:t>
      </w:r>
    </w:p>
    <w:p w14:paraId="40A3A9F9" w14:textId="77777777" w:rsidR="00D95894" w:rsidRPr="001567E1" w:rsidRDefault="00D95894">
      <w:pPr>
        <w:pStyle w:val="Normal1"/>
        <w:jc w:val="both"/>
        <w:rPr>
          <w:szCs w:val="24"/>
          <w:lang w:val="fr-FR"/>
        </w:rPr>
      </w:pPr>
    </w:p>
    <w:p w14:paraId="6A74CE88" w14:textId="13F68433" w:rsidR="00741F7A" w:rsidRPr="001567E1" w:rsidRDefault="00886D52">
      <w:pPr>
        <w:pStyle w:val="Normal1"/>
        <w:numPr>
          <w:ilvl w:val="0"/>
          <w:numId w:val="3"/>
        </w:numPr>
        <w:ind w:hanging="360"/>
        <w:contextualSpacing/>
        <w:jc w:val="both"/>
        <w:rPr>
          <w:szCs w:val="24"/>
          <w:lang w:val="fr-FR"/>
        </w:rPr>
      </w:pPr>
      <w:bookmarkStart w:id="12" w:name="h.spcecxqb9sfr" w:colFirst="0" w:colLast="0"/>
      <w:bookmarkStart w:id="13" w:name="h.6cuahy33b4p1" w:colFirst="0" w:colLast="0"/>
      <w:bookmarkEnd w:id="12"/>
      <w:bookmarkEnd w:id="13"/>
      <w:r w:rsidRPr="001567E1">
        <w:rPr>
          <w:szCs w:val="24"/>
          <w:lang w:val="fr-FR"/>
        </w:rPr>
        <w:t xml:space="preserve">Élaborer des programmes de renforcement de la capacité similaires à ceux de l’Initiative de la voie de migration de la mer des Wadden </w:t>
      </w:r>
      <w:r w:rsidR="007E0EE7" w:rsidRPr="001567E1">
        <w:rPr>
          <w:szCs w:val="24"/>
          <w:lang w:val="fr-FR"/>
        </w:rPr>
        <w:t>pour</w:t>
      </w:r>
      <w:r w:rsidRPr="001567E1">
        <w:rPr>
          <w:szCs w:val="24"/>
          <w:lang w:val="fr-FR"/>
        </w:rPr>
        <w:t xml:space="preserve"> la région de la mer Noire, le long de la voie de migration d’Asie de l’Ouest-Afrique de l’Est et </w:t>
      </w:r>
      <w:r w:rsidR="007E0EE7" w:rsidRPr="001567E1">
        <w:rPr>
          <w:szCs w:val="24"/>
          <w:lang w:val="fr-FR"/>
        </w:rPr>
        <w:t>pour</w:t>
      </w:r>
      <w:r w:rsidRPr="001567E1">
        <w:rPr>
          <w:szCs w:val="24"/>
          <w:lang w:val="fr-FR"/>
        </w:rPr>
        <w:t xml:space="preserve"> la zone du Sahel.</w:t>
      </w:r>
    </w:p>
    <w:p w14:paraId="1E24210F" w14:textId="5C8A572E" w:rsidR="00741F7A" w:rsidRPr="001567E1" w:rsidRDefault="004E3BA2" w:rsidP="00832DD4">
      <w:pPr>
        <w:pStyle w:val="Normal1"/>
        <w:numPr>
          <w:ilvl w:val="0"/>
          <w:numId w:val="3"/>
        </w:numPr>
        <w:ind w:hanging="360"/>
        <w:contextualSpacing/>
        <w:jc w:val="both"/>
        <w:rPr>
          <w:szCs w:val="24"/>
          <w:lang w:val="fr-FR"/>
        </w:rPr>
      </w:pPr>
      <w:r>
        <w:rPr>
          <w:szCs w:val="24"/>
          <w:lang w:val="fr-FR"/>
        </w:rPr>
        <w:t>Concerter les</w:t>
      </w:r>
      <w:r w:rsidR="00886D52" w:rsidRPr="001567E1">
        <w:rPr>
          <w:szCs w:val="24"/>
          <w:lang w:val="fr-FR"/>
        </w:rPr>
        <w:t xml:space="preserve"> efforts pour élargir </w:t>
      </w:r>
      <w:r w:rsidR="000648AA" w:rsidRPr="001567E1">
        <w:rPr>
          <w:szCs w:val="24"/>
          <w:lang w:val="fr-FR"/>
        </w:rPr>
        <w:t>l’adhésion à l’Accord</w:t>
      </w:r>
      <w:r w:rsidR="00886D52" w:rsidRPr="001567E1">
        <w:rPr>
          <w:szCs w:val="24"/>
          <w:lang w:val="fr-FR"/>
        </w:rPr>
        <w:t xml:space="preserve"> </w:t>
      </w:r>
      <w:r w:rsidR="000648AA" w:rsidRPr="001567E1">
        <w:rPr>
          <w:szCs w:val="24"/>
          <w:lang w:val="fr-FR"/>
        </w:rPr>
        <w:t>le long de la voie de migration d’Asie de l’Ouest</w:t>
      </w:r>
      <w:r w:rsidR="00886D52" w:rsidRPr="001567E1">
        <w:rPr>
          <w:szCs w:val="24"/>
          <w:lang w:val="fr-FR"/>
        </w:rPr>
        <w:t>-</w:t>
      </w:r>
      <w:r w:rsidR="000648AA" w:rsidRPr="001567E1">
        <w:rPr>
          <w:szCs w:val="24"/>
          <w:lang w:val="fr-FR"/>
        </w:rPr>
        <w:t>Afrique de l’Est</w:t>
      </w:r>
      <w:r w:rsidR="00886D52" w:rsidRPr="001567E1">
        <w:rPr>
          <w:szCs w:val="24"/>
          <w:lang w:val="fr-FR"/>
        </w:rPr>
        <w:t>.</w:t>
      </w:r>
      <w:r w:rsidR="00832DD4" w:rsidRPr="001567E1">
        <w:rPr>
          <w:szCs w:val="24"/>
          <w:lang w:val="fr-FR"/>
        </w:rPr>
        <w:t xml:space="preserve"> </w:t>
      </w:r>
    </w:p>
    <w:p w14:paraId="0F7B32C5" w14:textId="77777777" w:rsidR="007C275D" w:rsidRDefault="000648AA" w:rsidP="00832DD4">
      <w:pPr>
        <w:pStyle w:val="Normal1"/>
        <w:numPr>
          <w:ilvl w:val="0"/>
          <w:numId w:val="3"/>
        </w:numPr>
        <w:ind w:hanging="360"/>
        <w:contextualSpacing/>
        <w:jc w:val="both"/>
        <w:rPr>
          <w:szCs w:val="24"/>
          <w:lang w:val="fr-FR"/>
        </w:rPr>
      </w:pPr>
      <w:r w:rsidRPr="001567E1">
        <w:rPr>
          <w:szCs w:val="24"/>
          <w:lang w:val="fr-FR"/>
        </w:rPr>
        <w:t>Accorde</w:t>
      </w:r>
      <w:r w:rsidR="001D13E4" w:rsidRPr="001567E1">
        <w:rPr>
          <w:szCs w:val="24"/>
          <w:lang w:val="fr-FR"/>
        </w:rPr>
        <w:t>r</w:t>
      </w:r>
      <w:r w:rsidRPr="001567E1">
        <w:rPr>
          <w:szCs w:val="24"/>
          <w:lang w:val="fr-FR"/>
        </w:rPr>
        <w:t xml:space="preserve"> davantage d’attention à l’intégration de la conservation des oiseaux et de leurs habitats dans d’autres politiques sectorielles.</w:t>
      </w:r>
    </w:p>
    <w:p w14:paraId="6B14F445" w14:textId="7ED6AE1F" w:rsidR="001B100A" w:rsidRPr="001567E1" w:rsidRDefault="000648AA" w:rsidP="00832DD4">
      <w:pPr>
        <w:pStyle w:val="Normal1"/>
        <w:numPr>
          <w:ilvl w:val="0"/>
          <w:numId w:val="3"/>
        </w:numPr>
        <w:ind w:hanging="360"/>
        <w:contextualSpacing/>
        <w:jc w:val="both"/>
        <w:rPr>
          <w:szCs w:val="24"/>
          <w:lang w:val="fr-FR"/>
        </w:rPr>
      </w:pPr>
      <w:r w:rsidRPr="001567E1">
        <w:rPr>
          <w:szCs w:val="24"/>
          <w:lang w:val="fr-FR"/>
        </w:rPr>
        <w:br w:type="page"/>
      </w:r>
    </w:p>
    <w:p w14:paraId="1DEBE145" w14:textId="77777777" w:rsidR="00741F7A" w:rsidRPr="001567E1" w:rsidRDefault="00741F7A">
      <w:pPr>
        <w:pStyle w:val="Normal1"/>
        <w:jc w:val="both"/>
        <w:rPr>
          <w:szCs w:val="24"/>
          <w:lang w:val="fr-FR"/>
        </w:rPr>
      </w:pPr>
    </w:p>
    <w:p w14:paraId="7D2DE49C" w14:textId="7BF153CE" w:rsidR="00741F7A" w:rsidRPr="001567E1" w:rsidRDefault="000648AA">
      <w:pPr>
        <w:pStyle w:val="Normal1"/>
        <w:jc w:val="both"/>
        <w:rPr>
          <w:szCs w:val="24"/>
          <w:lang w:val="fr-FR"/>
        </w:rPr>
      </w:pPr>
      <w:r w:rsidRPr="001567E1">
        <w:rPr>
          <w:b/>
          <w:szCs w:val="24"/>
          <w:lang w:val="fr-FR"/>
        </w:rPr>
        <w:t>Indicateurs d’efficacité :</w:t>
      </w:r>
      <w:r w:rsidR="00832DD4" w:rsidRPr="001567E1">
        <w:rPr>
          <w:szCs w:val="24"/>
          <w:lang w:val="fr-FR"/>
        </w:rPr>
        <w:t xml:space="preserve"> </w:t>
      </w:r>
    </w:p>
    <w:p w14:paraId="64A83EFD" w14:textId="14B7A10F" w:rsidR="00741F7A" w:rsidRDefault="000648AA">
      <w:pPr>
        <w:pStyle w:val="Normal1"/>
        <w:jc w:val="both"/>
        <w:rPr>
          <w:szCs w:val="24"/>
          <w:lang w:val="fr-FR"/>
        </w:rPr>
      </w:pPr>
      <w:r w:rsidRPr="001567E1">
        <w:rPr>
          <w:szCs w:val="24"/>
          <w:lang w:val="fr-FR"/>
        </w:rPr>
        <w:t>Neuf indicateurs d’efficacité de l’AEWA</w:t>
      </w:r>
      <w:r w:rsidR="001D13E4" w:rsidRPr="001567E1">
        <w:rPr>
          <w:szCs w:val="24"/>
          <w:lang w:val="fr-FR"/>
        </w:rPr>
        <w:t>,</w:t>
      </w:r>
      <w:r w:rsidRPr="001567E1">
        <w:rPr>
          <w:szCs w:val="24"/>
          <w:lang w:val="fr-FR"/>
        </w:rPr>
        <w:t xml:space="preserve"> définis dans le Plan stratégique 2009-2018 de l’AEWA</w:t>
      </w:r>
      <w:r w:rsidR="001D13E4" w:rsidRPr="001567E1">
        <w:rPr>
          <w:szCs w:val="24"/>
          <w:lang w:val="fr-FR"/>
        </w:rPr>
        <w:t>,</w:t>
      </w:r>
      <w:r w:rsidRPr="001567E1">
        <w:rPr>
          <w:szCs w:val="24"/>
          <w:lang w:val="fr-FR"/>
        </w:rPr>
        <w:t xml:space="preserve"> ont été évalués à partir des informations générées par ce rapport.</w:t>
      </w:r>
      <w:r w:rsidR="00832DD4" w:rsidRPr="001567E1">
        <w:rPr>
          <w:szCs w:val="24"/>
          <w:lang w:val="fr-FR"/>
        </w:rPr>
        <w:t xml:space="preserve"> </w:t>
      </w:r>
      <w:r w:rsidRPr="001567E1">
        <w:rPr>
          <w:szCs w:val="24"/>
          <w:lang w:val="fr-FR"/>
        </w:rPr>
        <w:t xml:space="preserve">Seuls deux d’entre eux (« G.4 </w:t>
      </w:r>
      <w:r w:rsidRPr="001567E1">
        <w:rPr>
          <w:szCs w:val="24"/>
          <w:lang w:val="fr-FR" w:eastAsia="nl-NL"/>
        </w:rPr>
        <w:t>L’état général des espèces indicatrices s’est amélioré, comme cela a été mesuré par l’Indicateur des oiseaux d’eau »</w:t>
      </w:r>
      <w:r w:rsidRPr="001567E1">
        <w:rPr>
          <w:szCs w:val="24"/>
          <w:lang w:val="fr-FR"/>
        </w:rPr>
        <w:t xml:space="preserve"> et « 3.1.2. </w:t>
      </w:r>
      <w:r w:rsidRPr="001567E1">
        <w:rPr>
          <w:szCs w:val="24"/>
          <w:lang w:val="fr-FR" w:eastAsia="nl-NL"/>
        </w:rPr>
        <w:t>Augmentation de 50 % des espèces/populations dont l’état au niveau international fait l’objet d’évaluations sur la base de données de suivis réguliers »</w:t>
      </w:r>
      <w:r w:rsidRPr="001567E1">
        <w:rPr>
          <w:szCs w:val="24"/>
          <w:lang w:val="fr-FR"/>
        </w:rPr>
        <w:t>), ont été atteints.</w:t>
      </w:r>
      <w:r w:rsidR="00832DD4" w:rsidRPr="001567E1">
        <w:rPr>
          <w:szCs w:val="24"/>
          <w:lang w:val="fr-FR"/>
        </w:rPr>
        <w:t xml:space="preserve"> </w:t>
      </w:r>
      <w:r w:rsidRPr="001567E1">
        <w:rPr>
          <w:szCs w:val="24"/>
          <w:lang w:val="fr-FR"/>
        </w:rPr>
        <w:t>Dans l’un des cas (« Au moins 75 % des populations d’oiseaux d’eau de l’AEWA affichent une tendance positive), le but a presque été atteint.</w:t>
      </w:r>
      <w:r w:rsidR="00F74154" w:rsidRPr="001567E1">
        <w:rPr>
          <w:szCs w:val="24"/>
          <w:lang w:val="fr-FR"/>
        </w:rPr>
        <w:t xml:space="preserve"> </w:t>
      </w:r>
      <w:r w:rsidRPr="001567E1">
        <w:rPr>
          <w:szCs w:val="24"/>
          <w:lang w:val="fr-FR"/>
        </w:rPr>
        <w:t>Toutefois, des changements négatifs ont été enregistrés pour six indicateurs.</w:t>
      </w:r>
      <w:r w:rsidR="00832DD4" w:rsidRPr="001567E1">
        <w:rPr>
          <w:szCs w:val="24"/>
          <w:lang w:val="fr-FR"/>
        </w:rPr>
        <w:t xml:space="preserve"> </w:t>
      </w:r>
      <w:r w:rsidRPr="001567E1">
        <w:rPr>
          <w:szCs w:val="24"/>
          <w:lang w:val="fr-FR"/>
        </w:rPr>
        <w:t xml:space="preserve">Les changements négatifs </w:t>
      </w:r>
      <w:r w:rsidR="001D13E4" w:rsidRPr="001567E1">
        <w:rPr>
          <w:szCs w:val="24"/>
          <w:lang w:val="fr-FR"/>
        </w:rPr>
        <w:t>au niveau des</w:t>
      </w:r>
      <w:r w:rsidRPr="001567E1">
        <w:rPr>
          <w:szCs w:val="24"/>
          <w:lang w:val="fr-FR"/>
        </w:rPr>
        <w:t xml:space="preserve"> indicateurs d’efficacité sont principalement </w:t>
      </w:r>
      <w:r w:rsidR="0026058A" w:rsidRPr="001567E1">
        <w:rPr>
          <w:szCs w:val="24"/>
          <w:lang w:val="fr-FR"/>
        </w:rPr>
        <w:t>liés</w:t>
      </w:r>
      <w:r w:rsidRPr="001567E1">
        <w:rPr>
          <w:szCs w:val="24"/>
          <w:lang w:val="fr-FR"/>
        </w:rPr>
        <w:t xml:space="preserve"> au nombre croissant d’espèces Mondialement menacées et Quasi menacées, et </w:t>
      </w:r>
      <w:r w:rsidR="0026058A" w:rsidRPr="001567E1">
        <w:rPr>
          <w:szCs w:val="24"/>
          <w:lang w:val="fr-FR"/>
        </w:rPr>
        <w:t>au nombre croissant</w:t>
      </w:r>
      <w:r w:rsidRPr="001567E1">
        <w:rPr>
          <w:szCs w:val="24"/>
          <w:lang w:val="fr-FR"/>
        </w:rPr>
        <w:t xml:space="preserve"> de populations </w:t>
      </w:r>
      <w:r w:rsidR="0026058A" w:rsidRPr="001567E1">
        <w:rPr>
          <w:szCs w:val="24"/>
          <w:lang w:val="fr-FR"/>
        </w:rPr>
        <w:t>subissant un déclin significatif à long terme</w:t>
      </w:r>
      <w:r w:rsidRPr="001567E1">
        <w:rPr>
          <w:szCs w:val="24"/>
          <w:lang w:val="fr-FR"/>
        </w:rPr>
        <w:t xml:space="preserve"> </w:t>
      </w:r>
      <w:r w:rsidR="0026058A" w:rsidRPr="001567E1">
        <w:rPr>
          <w:szCs w:val="24"/>
          <w:lang w:val="fr-FR"/>
        </w:rPr>
        <w:t>et dont la taille est faiblement estimée</w:t>
      </w:r>
      <w:r w:rsidRPr="001567E1">
        <w:rPr>
          <w:szCs w:val="24"/>
          <w:lang w:val="fr-FR"/>
        </w:rPr>
        <w:t>.</w:t>
      </w:r>
    </w:p>
    <w:p w14:paraId="63AA7AA3" w14:textId="77777777" w:rsidR="00D95894" w:rsidRPr="001567E1" w:rsidRDefault="00D95894">
      <w:pPr>
        <w:pStyle w:val="Normal1"/>
        <w:jc w:val="both"/>
        <w:rPr>
          <w:szCs w:val="24"/>
          <w:lang w:val="fr-FR"/>
        </w:rPr>
      </w:pPr>
    </w:p>
    <w:p w14:paraId="073707BC" w14:textId="64FCAC3E" w:rsidR="00741F7A" w:rsidRDefault="0026058A">
      <w:pPr>
        <w:pStyle w:val="Normal1"/>
        <w:jc w:val="both"/>
        <w:rPr>
          <w:szCs w:val="24"/>
          <w:lang w:val="fr-FR"/>
        </w:rPr>
      </w:pPr>
      <w:r w:rsidRPr="001567E1">
        <w:rPr>
          <w:szCs w:val="24"/>
          <w:lang w:val="fr-FR"/>
        </w:rPr>
        <w:t>Actions recommandées :</w:t>
      </w:r>
      <w:r w:rsidR="00832DD4" w:rsidRPr="001567E1">
        <w:rPr>
          <w:szCs w:val="24"/>
          <w:lang w:val="fr-FR"/>
        </w:rPr>
        <w:t xml:space="preserve">  </w:t>
      </w:r>
    </w:p>
    <w:p w14:paraId="4C68BF9B" w14:textId="77777777" w:rsidR="00D95894" w:rsidRPr="001567E1" w:rsidRDefault="00D95894">
      <w:pPr>
        <w:pStyle w:val="Normal1"/>
        <w:jc w:val="both"/>
        <w:rPr>
          <w:szCs w:val="24"/>
          <w:lang w:val="fr-FR"/>
        </w:rPr>
      </w:pPr>
    </w:p>
    <w:p w14:paraId="65306321" w14:textId="69242A7D" w:rsidR="00741F7A" w:rsidRPr="001567E1" w:rsidRDefault="0026058A">
      <w:pPr>
        <w:pStyle w:val="Normal1"/>
        <w:numPr>
          <w:ilvl w:val="0"/>
          <w:numId w:val="2"/>
        </w:numPr>
        <w:ind w:hanging="360"/>
        <w:contextualSpacing/>
        <w:jc w:val="both"/>
        <w:rPr>
          <w:szCs w:val="24"/>
          <w:lang w:val="fr-FR"/>
        </w:rPr>
      </w:pPr>
      <w:r w:rsidRPr="001567E1">
        <w:rPr>
          <w:szCs w:val="24"/>
          <w:lang w:val="fr-FR"/>
        </w:rPr>
        <w:t>Intensifier la mise en œuvre de plans d’action par espèce et multi-espèces de l’AEWA, y compris une protection et une gestion adéquates de leurs principaux sites et habitats, pour aider au rétablissement des espèces Mondialement menacées et Quasi menacées.</w:t>
      </w:r>
    </w:p>
    <w:p w14:paraId="0C57CCCC" w14:textId="3FC9193F" w:rsidR="00741F7A" w:rsidRPr="001567E1" w:rsidRDefault="0026058A">
      <w:pPr>
        <w:pStyle w:val="Normal1"/>
        <w:numPr>
          <w:ilvl w:val="0"/>
          <w:numId w:val="2"/>
        </w:numPr>
        <w:ind w:hanging="360"/>
        <w:contextualSpacing/>
        <w:jc w:val="both"/>
        <w:rPr>
          <w:szCs w:val="24"/>
          <w:lang w:val="fr-FR"/>
        </w:rPr>
      </w:pPr>
      <w:r w:rsidRPr="001567E1">
        <w:rPr>
          <w:szCs w:val="24"/>
          <w:lang w:val="fr-FR"/>
        </w:rPr>
        <w:t>Promouvoir des mesures de conservation dans l’environnement au sens large pour prendre en main les causes de déclin des espèces des milieux agricole et marin.</w:t>
      </w:r>
      <w:r w:rsidR="00F74154" w:rsidRPr="001567E1">
        <w:rPr>
          <w:szCs w:val="24"/>
          <w:lang w:val="fr-FR"/>
        </w:rPr>
        <w:t xml:space="preserve"> </w:t>
      </w:r>
    </w:p>
    <w:p w14:paraId="1F585F7D" w14:textId="71F0D2C3" w:rsidR="00741F7A" w:rsidRPr="001567E1" w:rsidRDefault="0026058A">
      <w:pPr>
        <w:pStyle w:val="Normal1"/>
        <w:numPr>
          <w:ilvl w:val="0"/>
          <w:numId w:val="2"/>
        </w:numPr>
        <w:ind w:hanging="360"/>
        <w:contextualSpacing/>
        <w:jc w:val="both"/>
        <w:rPr>
          <w:szCs w:val="24"/>
          <w:lang w:val="fr-FR"/>
        </w:rPr>
      </w:pPr>
      <w:r w:rsidRPr="001567E1">
        <w:rPr>
          <w:szCs w:val="24"/>
          <w:lang w:val="fr-FR"/>
        </w:rPr>
        <w:t>Appliquer plus largement une gestion adaptative des prélèvements pour assurer la durabilité des prélèvements.</w:t>
      </w:r>
      <w:r w:rsidR="00832DD4" w:rsidRPr="001567E1">
        <w:rPr>
          <w:szCs w:val="24"/>
          <w:lang w:val="fr-FR"/>
        </w:rPr>
        <w:t xml:space="preserve"> </w:t>
      </w:r>
    </w:p>
    <w:p w14:paraId="1C540CCA" w14:textId="292E7A75" w:rsidR="00741F7A" w:rsidRPr="001567E1" w:rsidRDefault="0026058A" w:rsidP="00832DD4">
      <w:pPr>
        <w:pStyle w:val="Normal1"/>
        <w:numPr>
          <w:ilvl w:val="0"/>
          <w:numId w:val="2"/>
        </w:numPr>
        <w:ind w:hanging="360"/>
        <w:contextualSpacing/>
        <w:jc w:val="both"/>
        <w:rPr>
          <w:szCs w:val="24"/>
          <w:lang w:val="fr-FR"/>
        </w:rPr>
      </w:pPr>
      <w:r w:rsidRPr="001567E1">
        <w:rPr>
          <w:szCs w:val="24"/>
          <w:lang w:val="fr-FR"/>
        </w:rPr>
        <w:t>Réduire la mortalité inutile des oiseaux d’eau en mettant en œuvre les lignes directrices pertinentes de l’AEWA.</w:t>
      </w:r>
    </w:p>
    <w:p w14:paraId="5F7B54B5" w14:textId="77777777" w:rsidR="00741F7A" w:rsidRPr="001567E1" w:rsidRDefault="00741F7A">
      <w:pPr>
        <w:pStyle w:val="Normal1"/>
        <w:jc w:val="both"/>
        <w:rPr>
          <w:lang w:val="fr-FR"/>
        </w:rPr>
      </w:pPr>
    </w:p>
    <w:p w14:paraId="196D8DDB" w14:textId="77777777" w:rsidR="00741F7A" w:rsidRPr="001567E1" w:rsidRDefault="00741F7A">
      <w:pPr>
        <w:pStyle w:val="Normal1"/>
        <w:jc w:val="both"/>
        <w:rPr>
          <w:lang w:val="fr-FR"/>
        </w:rPr>
      </w:pPr>
    </w:p>
    <w:p w14:paraId="1AE7C5D4" w14:textId="77777777" w:rsidR="00741F7A" w:rsidRPr="001567E1" w:rsidRDefault="00741F7A">
      <w:pPr>
        <w:pStyle w:val="Normal1"/>
        <w:widowControl w:val="0"/>
        <w:spacing w:line="276" w:lineRule="auto"/>
        <w:rPr>
          <w:lang w:val="fr-FR"/>
        </w:rPr>
      </w:pPr>
    </w:p>
    <w:p w14:paraId="489D237E" w14:textId="77777777" w:rsidR="00741F7A" w:rsidRPr="001567E1" w:rsidRDefault="00832DD4">
      <w:pPr>
        <w:pStyle w:val="Normal1"/>
        <w:rPr>
          <w:lang w:val="fr-FR"/>
        </w:rPr>
      </w:pPr>
      <w:r w:rsidRPr="001567E1">
        <w:rPr>
          <w:lang w:val="fr-FR"/>
        </w:rPr>
        <w:br w:type="page"/>
      </w:r>
    </w:p>
    <w:p w14:paraId="4D968EDD" w14:textId="503D28FB" w:rsidR="00741F7A" w:rsidRPr="001567E1" w:rsidRDefault="0026058A" w:rsidP="00D95894">
      <w:pPr>
        <w:pStyle w:val="Heading1"/>
        <w:rPr>
          <w:lang w:val="fr-FR"/>
        </w:rPr>
      </w:pPr>
      <w:bookmarkStart w:id="14" w:name="h.1fob9te" w:colFirst="0" w:colLast="0"/>
      <w:bookmarkEnd w:id="14"/>
      <w:r w:rsidRPr="001567E1">
        <w:rPr>
          <w:sz w:val="28"/>
          <w:lang w:val="fr-FR"/>
        </w:rPr>
        <w:lastRenderedPageBreak/>
        <w:t xml:space="preserve"> </w:t>
      </w:r>
      <w:bookmarkStart w:id="15" w:name="_Toc517262000"/>
      <w:r w:rsidRPr="00D95894">
        <w:rPr>
          <w:lang w:val="fr-FR"/>
        </w:rPr>
        <w:t>Remerciements</w:t>
      </w:r>
      <w:bookmarkEnd w:id="15"/>
    </w:p>
    <w:p w14:paraId="23F3916C" w14:textId="174F1A60" w:rsidR="00741F7A" w:rsidRPr="001567E1" w:rsidRDefault="0026058A">
      <w:pPr>
        <w:pStyle w:val="Normal1"/>
        <w:jc w:val="both"/>
        <w:rPr>
          <w:lang w:val="fr-FR"/>
        </w:rPr>
      </w:pPr>
      <w:r w:rsidRPr="001567E1">
        <w:rPr>
          <w:lang w:val="fr-FR"/>
        </w:rPr>
        <w:t>La 7</w:t>
      </w:r>
      <w:r w:rsidRPr="001567E1">
        <w:rPr>
          <w:vertAlign w:val="superscript"/>
          <w:lang w:val="fr-FR"/>
        </w:rPr>
        <w:t>e</w:t>
      </w:r>
      <w:r w:rsidRPr="001567E1">
        <w:rPr>
          <w:lang w:val="fr-FR"/>
        </w:rPr>
        <w:t xml:space="preserve"> édition du </w:t>
      </w:r>
      <w:r w:rsidRPr="001567E1">
        <w:rPr>
          <w:i/>
          <w:lang w:val="fr-FR"/>
        </w:rPr>
        <w:t>Rapport sur l’État de conservation des oiseaux d’eau migrateurs dans l</w:t>
      </w:r>
      <w:r w:rsidR="004E3BA2">
        <w:rPr>
          <w:i/>
          <w:lang w:val="fr-FR"/>
        </w:rPr>
        <w:t>a zone</w:t>
      </w:r>
      <w:r w:rsidRPr="001567E1">
        <w:rPr>
          <w:i/>
          <w:lang w:val="fr-FR"/>
        </w:rPr>
        <w:t xml:space="preserve"> de l’Accord</w:t>
      </w:r>
      <w:r w:rsidRPr="001567E1">
        <w:rPr>
          <w:lang w:val="fr-FR"/>
        </w:rPr>
        <w:t xml:space="preserve"> est le résultat </w:t>
      </w:r>
      <w:r w:rsidR="001567E1" w:rsidRPr="001567E1">
        <w:rPr>
          <w:lang w:val="fr-FR"/>
        </w:rPr>
        <w:t>des efforts collaboratifs</w:t>
      </w:r>
      <w:r w:rsidRPr="001567E1">
        <w:rPr>
          <w:lang w:val="fr-FR"/>
        </w:rPr>
        <w:t xml:space="preserve"> de Wetlands International, BirdLife International, Sovon, le groupe de spécialistes de l’Oie, RDF Conservation et </w:t>
      </w:r>
      <w:r w:rsidR="007E0477" w:rsidRPr="001567E1">
        <w:rPr>
          <w:lang w:val="fr-FR"/>
        </w:rPr>
        <w:t xml:space="preserve">le groupe CBrid de la </w:t>
      </w:r>
      <w:r w:rsidRPr="001567E1">
        <w:rPr>
          <w:lang w:val="fr-FR"/>
        </w:rPr>
        <w:t>CAFF.</w:t>
      </w:r>
      <w:r w:rsidR="00832DD4" w:rsidRPr="001567E1">
        <w:rPr>
          <w:lang w:val="fr-FR"/>
        </w:rPr>
        <w:t xml:space="preserve"> </w:t>
      </w:r>
      <w:r w:rsidRPr="001567E1">
        <w:rPr>
          <w:lang w:val="fr-FR"/>
        </w:rPr>
        <w:t>Leurs évaluations de l’état de conservation sont disponibles sur le site Web de Wetlands International</w:t>
      </w:r>
      <w:r w:rsidRPr="001567E1">
        <w:rPr>
          <w:vertAlign w:val="superscript"/>
          <w:lang w:val="fr-FR"/>
        </w:rPr>
        <w:footnoteReference w:id="1"/>
      </w:r>
      <w:r w:rsidRPr="001567E1">
        <w:rPr>
          <w:lang w:val="fr-FR"/>
        </w:rPr>
        <w:t xml:space="preserve"> et l’évaluation </w:t>
      </w:r>
      <w:r w:rsidR="004E3BA2">
        <w:rPr>
          <w:lang w:val="fr-FR"/>
        </w:rPr>
        <w:t>sur</w:t>
      </w:r>
      <w:r w:rsidRPr="001567E1">
        <w:rPr>
          <w:lang w:val="fr-FR"/>
        </w:rPr>
        <w:t xml:space="preserve"> la Liste rouge des espèces couvertes par l’AEWA préparée par BirdLife International est jointe à l’Annexe 2 de ce rapport.</w:t>
      </w:r>
      <w:r w:rsidR="00832DD4" w:rsidRPr="001567E1">
        <w:rPr>
          <w:lang w:val="fr-FR"/>
        </w:rPr>
        <w:t xml:space="preserve"> </w:t>
      </w:r>
    </w:p>
    <w:p w14:paraId="521EAD9B" w14:textId="77777777" w:rsidR="00741F7A" w:rsidRPr="001567E1" w:rsidRDefault="00741F7A">
      <w:pPr>
        <w:pStyle w:val="Normal1"/>
        <w:jc w:val="both"/>
        <w:rPr>
          <w:lang w:val="fr-FR"/>
        </w:rPr>
      </w:pPr>
    </w:p>
    <w:p w14:paraId="7DF6F72F" w14:textId="50EE61D9" w:rsidR="00741F7A" w:rsidRPr="001567E1" w:rsidRDefault="0026058A">
      <w:pPr>
        <w:pStyle w:val="Normal1"/>
        <w:jc w:val="both"/>
        <w:rPr>
          <w:lang w:val="fr-FR"/>
        </w:rPr>
      </w:pPr>
      <w:r w:rsidRPr="001567E1">
        <w:rPr>
          <w:lang w:val="fr-FR"/>
        </w:rPr>
        <w:t>Les estimations mises à jour des populations ont largement bénéficié des données sur les populations et les tendances fournies par les États membres de l’UE dans le cadre d</w:t>
      </w:r>
      <w:r w:rsidR="007E0EE7" w:rsidRPr="001567E1">
        <w:rPr>
          <w:lang w:val="fr-FR"/>
        </w:rPr>
        <w:t>es</w:t>
      </w:r>
      <w:r w:rsidRPr="001567E1">
        <w:rPr>
          <w:lang w:val="fr-FR"/>
        </w:rPr>
        <w:t xml:space="preserve"> rapport</w:t>
      </w:r>
      <w:r w:rsidR="007E0EE7" w:rsidRPr="001567E1">
        <w:rPr>
          <w:lang w:val="fr-FR"/>
        </w:rPr>
        <w:t>s</w:t>
      </w:r>
      <w:r w:rsidRPr="001567E1">
        <w:rPr>
          <w:lang w:val="fr-FR"/>
        </w:rPr>
        <w:t xml:space="preserve"> remis conformément à l’Article 12 de la Directive Oiseaux de l’UE </w:t>
      </w:r>
      <w:r w:rsidR="001F3E92" w:rsidRPr="001567E1">
        <w:rPr>
          <w:lang w:val="fr-FR"/>
        </w:rPr>
        <w:t>et</w:t>
      </w:r>
      <w:r w:rsidRPr="001567E1">
        <w:rPr>
          <w:lang w:val="fr-FR"/>
        </w:rPr>
        <w:t xml:space="preserve">, </w:t>
      </w:r>
      <w:r w:rsidR="001F3E92" w:rsidRPr="001567E1">
        <w:rPr>
          <w:lang w:val="fr-FR"/>
        </w:rPr>
        <w:t>dans le cas de pays d’Europe non membres de l’UE</w:t>
      </w:r>
      <w:r w:rsidRPr="001567E1">
        <w:rPr>
          <w:lang w:val="fr-FR"/>
        </w:rPr>
        <w:t xml:space="preserve">, </w:t>
      </w:r>
      <w:r w:rsidR="001F3E92" w:rsidRPr="001567E1">
        <w:rPr>
          <w:lang w:val="fr-FR"/>
        </w:rPr>
        <w:t>par les organisations partenaires de</w:t>
      </w:r>
      <w:r w:rsidRPr="001567E1">
        <w:rPr>
          <w:lang w:val="fr-FR"/>
        </w:rPr>
        <w:t xml:space="preserve"> BirdLife </w:t>
      </w:r>
      <w:r w:rsidR="001F3E92" w:rsidRPr="001567E1">
        <w:rPr>
          <w:lang w:val="fr-FR"/>
        </w:rPr>
        <w:t xml:space="preserve">dans le cadre du projet de Liste rouge </w:t>
      </w:r>
      <w:r w:rsidR="00585CAF" w:rsidRPr="001567E1">
        <w:rPr>
          <w:lang w:val="fr-FR"/>
        </w:rPr>
        <w:t xml:space="preserve">européenne </w:t>
      </w:r>
      <w:r w:rsidR="001F3E92" w:rsidRPr="001567E1">
        <w:rPr>
          <w:lang w:val="fr-FR"/>
        </w:rPr>
        <w:t>des oiseaux, financé par la Commission européenne</w:t>
      </w:r>
      <w:r w:rsidRPr="001567E1">
        <w:rPr>
          <w:lang w:val="fr-FR"/>
        </w:rPr>
        <w:t>.</w:t>
      </w:r>
      <w:r w:rsidR="00832DD4" w:rsidRPr="001567E1">
        <w:rPr>
          <w:lang w:val="fr-FR"/>
        </w:rPr>
        <w:t xml:space="preserve"> </w:t>
      </w:r>
      <w:r w:rsidR="001F3E92" w:rsidRPr="001567E1">
        <w:rPr>
          <w:lang w:val="fr-FR"/>
        </w:rPr>
        <w:t>Nous sommes reconnaissants à Ian Burfield et Anna Staneva, de BirdLife International, de nous avoir donné accès à ces données.</w:t>
      </w:r>
      <w:r w:rsidR="00832DD4" w:rsidRPr="001567E1">
        <w:rPr>
          <w:lang w:val="fr-FR"/>
        </w:rPr>
        <w:t xml:space="preserve"> </w:t>
      </w:r>
      <w:r w:rsidR="001F3E92" w:rsidRPr="001567E1">
        <w:rPr>
          <w:lang w:val="fr-FR"/>
        </w:rPr>
        <w:t>Le programme paneuropéen de surveillance des oiseaux communs (PECMBS</w:t>
      </w:r>
      <w:r w:rsidR="001F3E92" w:rsidRPr="001567E1">
        <w:rPr>
          <w:vertAlign w:val="superscript"/>
          <w:lang w:val="fr-FR"/>
        </w:rPr>
        <w:footnoteReference w:id="2"/>
      </w:r>
      <w:r w:rsidR="001F3E92" w:rsidRPr="001567E1">
        <w:rPr>
          <w:lang w:val="fr-FR"/>
        </w:rPr>
        <w:t>) a fourni des données sur les tendances de reproduction pour un grand nombre d’espèces d’oiseaux d’eau.</w:t>
      </w:r>
      <w:r w:rsidR="00832DD4" w:rsidRPr="001567E1">
        <w:rPr>
          <w:lang w:val="fr-FR"/>
        </w:rPr>
        <w:t xml:space="preserve"> </w:t>
      </w:r>
      <w:r w:rsidR="001F3E92" w:rsidRPr="001567E1">
        <w:rPr>
          <w:lang w:val="fr-FR"/>
        </w:rPr>
        <w:t>Dans certains cas, les résultats du 2</w:t>
      </w:r>
      <w:r w:rsidR="001F3E92" w:rsidRPr="001567E1">
        <w:rPr>
          <w:vertAlign w:val="superscript"/>
          <w:lang w:val="fr-FR"/>
        </w:rPr>
        <w:t>èm</w:t>
      </w:r>
      <w:r w:rsidR="001F3E92" w:rsidRPr="001567E1">
        <w:rPr>
          <w:lang w:val="fr-FR"/>
        </w:rPr>
        <w:t xml:space="preserve"> </w:t>
      </w:r>
      <w:r w:rsidR="001F3E92" w:rsidRPr="001567E1">
        <w:rPr>
          <w:szCs w:val="24"/>
          <w:lang w:val="fr-FR"/>
        </w:rPr>
        <w:t xml:space="preserve">deuxième projet d’atlas des oiseaux d’Afrique australe </w:t>
      </w:r>
      <w:r w:rsidR="001F3E92" w:rsidRPr="001567E1">
        <w:rPr>
          <w:lang w:val="fr-FR"/>
        </w:rPr>
        <w:t>(SABAP2) ont été utilisés pour estimer les tendances des populations d’oiseaux d’eau d'Afrique australe.</w:t>
      </w:r>
      <w:r w:rsidR="006B0209" w:rsidRPr="001567E1">
        <w:rPr>
          <w:lang w:val="fr-FR"/>
        </w:rPr>
        <w:t xml:space="preserve"> </w:t>
      </w:r>
      <w:r w:rsidR="001F3E92" w:rsidRPr="001567E1">
        <w:rPr>
          <w:lang w:val="fr-FR"/>
        </w:rPr>
        <w:t xml:space="preserve">Les estimations de taille et de tendance </w:t>
      </w:r>
      <w:r w:rsidR="003600EF" w:rsidRPr="001567E1">
        <w:rPr>
          <w:lang w:val="fr-FR"/>
        </w:rPr>
        <w:t>des p</w:t>
      </w:r>
      <w:r w:rsidR="001F3E92" w:rsidRPr="001567E1">
        <w:rPr>
          <w:lang w:val="fr-FR"/>
        </w:rPr>
        <w:t>opulation</w:t>
      </w:r>
      <w:r w:rsidR="003600EF" w:rsidRPr="001567E1">
        <w:rPr>
          <w:lang w:val="fr-FR"/>
        </w:rPr>
        <w:t>s ont été fortement améliorées par les efforts soutenus d’études</w:t>
      </w:r>
      <w:r w:rsidR="001F3E92" w:rsidRPr="001567E1">
        <w:rPr>
          <w:lang w:val="fr-FR"/>
        </w:rPr>
        <w:t xml:space="preserve"> </w:t>
      </w:r>
      <w:r w:rsidR="003600EF" w:rsidRPr="001567E1">
        <w:rPr>
          <w:lang w:val="fr-FR"/>
        </w:rPr>
        <w:t>réalisés par l’intermédiaire du Projet pour les oiseaux d’eau de Méditerranée</w:t>
      </w:r>
      <w:r w:rsidR="001F3E92" w:rsidRPr="001567E1">
        <w:rPr>
          <w:vertAlign w:val="superscript"/>
          <w:lang w:val="fr-FR"/>
        </w:rPr>
        <w:footnoteReference w:id="3"/>
      </w:r>
      <w:r w:rsidR="001F3E92" w:rsidRPr="001567E1">
        <w:rPr>
          <w:lang w:val="fr-FR"/>
        </w:rPr>
        <w:t xml:space="preserve"> </w:t>
      </w:r>
      <w:r w:rsidR="003600EF" w:rsidRPr="001567E1">
        <w:rPr>
          <w:lang w:val="fr-FR"/>
        </w:rPr>
        <w:t>en Afrique du Nord</w:t>
      </w:r>
      <w:r w:rsidR="001F3E92" w:rsidRPr="001567E1">
        <w:rPr>
          <w:lang w:val="fr-FR"/>
        </w:rPr>
        <w:t>,</w:t>
      </w:r>
      <w:r w:rsidR="003600EF" w:rsidRPr="001567E1">
        <w:rPr>
          <w:lang w:val="fr-FR"/>
        </w:rPr>
        <w:t> l’Initiative de la voie de migration de la mer des</w:t>
      </w:r>
      <w:r w:rsidR="001F3E92" w:rsidRPr="001567E1">
        <w:rPr>
          <w:lang w:val="fr-FR"/>
        </w:rPr>
        <w:t xml:space="preserve"> Wadden</w:t>
      </w:r>
      <w:r w:rsidR="001F3E92" w:rsidRPr="001567E1">
        <w:rPr>
          <w:vertAlign w:val="superscript"/>
          <w:lang w:val="fr-FR"/>
        </w:rPr>
        <w:footnoteReference w:id="4"/>
      </w:r>
      <w:r w:rsidR="001F3E92" w:rsidRPr="001567E1">
        <w:rPr>
          <w:lang w:val="fr-FR"/>
        </w:rPr>
        <w:t xml:space="preserve"> </w:t>
      </w:r>
      <w:r w:rsidR="003600EF" w:rsidRPr="001567E1">
        <w:rPr>
          <w:lang w:val="fr-FR"/>
        </w:rPr>
        <w:t>en Afrique de l’Ouest</w:t>
      </w:r>
      <w:r w:rsidR="001F3E92" w:rsidRPr="001567E1">
        <w:rPr>
          <w:lang w:val="fr-FR"/>
        </w:rPr>
        <w:t xml:space="preserve"> </w:t>
      </w:r>
      <w:r w:rsidR="003600EF" w:rsidRPr="001567E1">
        <w:rPr>
          <w:lang w:val="fr-FR"/>
        </w:rPr>
        <w:t>et le Projet de la voie de migration de l’Adriatique</w:t>
      </w:r>
      <w:r w:rsidR="001F3E92" w:rsidRPr="001567E1">
        <w:rPr>
          <w:vertAlign w:val="superscript"/>
          <w:lang w:val="fr-FR"/>
        </w:rPr>
        <w:footnoteReference w:id="5"/>
      </w:r>
      <w:r w:rsidR="001F3E92" w:rsidRPr="001567E1">
        <w:rPr>
          <w:lang w:val="fr-FR"/>
        </w:rPr>
        <w:t xml:space="preserve"> </w:t>
      </w:r>
      <w:r w:rsidR="003600EF" w:rsidRPr="001567E1">
        <w:rPr>
          <w:lang w:val="fr-FR"/>
        </w:rPr>
        <w:t>au nord-est de l’Ad</w:t>
      </w:r>
      <w:r w:rsidR="00723907" w:rsidRPr="001567E1">
        <w:rPr>
          <w:lang w:val="fr-FR"/>
        </w:rPr>
        <w:t>r</w:t>
      </w:r>
      <w:r w:rsidR="003600EF" w:rsidRPr="001567E1">
        <w:rPr>
          <w:lang w:val="fr-FR"/>
        </w:rPr>
        <w:t>iatique</w:t>
      </w:r>
      <w:r w:rsidR="001F3E92" w:rsidRPr="001567E1">
        <w:rPr>
          <w:lang w:val="fr-FR"/>
        </w:rPr>
        <w:t>.</w:t>
      </w:r>
      <w:r w:rsidR="006B0209" w:rsidRPr="001567E1">
        <w:rPr>
          <w:lang w:val="fr-FR"/>
        </w:rPr>
        <w:t xml:space="preserve"> </w:t>
      </w:r>
      <w:r w:rsidR="00723907" w:rsidRPr="001567E1">
        <w:rPr>
          <w:lang w:val="fr-FR"/>
        </w:rPr>
        <w:t>Des subventions de l’Agence suédoise de protection de l’environnement</w:t>
      </w:r>
      <w:r w:rsidR="003600EF" w:rsidRPr="001567E1">
        <w:rPr>
          <w:lang w:val="fr-FR"/>
        </w:rPr>
        <w:t xml:space="preserve"> </w:t>
      </w:r>
      <w:r w:rsidR="00723907" w:rsidRPr="001567E1">
        <w:rPr>
          <w:lang w:val="fr-FR"/>
        </w:rPr>
        <w:t>et de l’Agence norvégienne de l’environnement</w:t>
      </w:r>
      <w:r w:rsidR="003600EF" w:rsidRPr="001567E1">
        <w:rPr>
          <w:lang w:val="fr-FR"/>
        </w:rPr>
        <w:t xml:space="preserve"> </w:t>
      </w:r>
      <w:r w:rsidR="00723907" w:rsidRPr="001567E1">
        <w:rPr>
          <w:lang w:val="fr-FR"/>
        </w:rPr>
        <w:t>ont grandement contribué au soutien des compt</w:t>
      </w:r>
      <w:r w:rsidR="00D41A6C">
        <w:rPr>
          <w:lang w:val="fr-FR"/>
        </w:rPr>
        <w:t>ag</w:t>
      </w:r>
      <w:r w:rsidR="00723907" w:rsidRPr="001567E1">
        <w:rPr>
          <w:lang w:val="fr-FR"/>
        </w:rPr>
        <w:t xml:space="preserve">es et à la mobilisation de données en Afrique de l’Est, ainsi que </w:t>
      </w:r>
      <w:r w:rsidR="004E3BA2">
        <w:rPr>
          <w:lang w:val="fr-FR"/>
        </w:rPr>
        <w:t xml:space="preserve">respectivement </w:t>
      </w:r>
      <w:r w:rsidR="00723907" w:rsidRPr="001567E1">
        <w:rPr>
          <w:lang w:val="fr-FR"/>
        </w:rPr>
        <w:t>dans les régions caspienne et de la mer Noire</w:t>
      </w:r>
      <w:r w:rsidR="003600EF" w:rsidRPr="001567E1">
        <w:rPr>
          <w:lang w:val="fr-FR"/>
        </w:rPr>
        <w:t>.</w:t>
      </w:r>
      <w:r w:rsidR="006B0209" w:rsidRPr="001567E1">
        <w:rPr>
          <w:lang w:val="fr-FR"/>
        </w:rPr>
        <w:t xml:space="preserve"> </w:t>
      </w:r>
      <w:r w:rsidR="00723907" w:rsidRPr="001567E1">
        <w:rPr>
          <w:lang w:val="fr-FR"/>
        </w:rPr>
        <w:t>Les activités de l’Unité de soutien technique en faveur du Plan d’action pour l’Afrique ont également contribué au recueil de nouvelles données exploitant ou améliorant les données existantes.</w:t>
      </w:r>
      <w:r w:rsidR="006B0209" w:rsidRPr="001567E1">
        <w:rPr>
          <w:lang w:val="fr-FR"/>
        </w:rPr>
        <w:t xml:space="preserve"> </w:t>
      </w:r>
    </w:p>
    <w:p w14:paraId="0675CB27" w14:textId="77777777" w:rsidR="00741F7A" w:rsidRPr="001567E1" w:rsidRDefault="00741F7A">
      <w:pPr>
        <w:pStyle w:val="Normal1"/>
        <w:jc w:val="both"/>
        <w:rPr>
          <w:lang w:val="fr-FR"/>
        </w:rPr>
      </w:pPr>
    </w:p>
    <w:p w14:paraId="6FFF3B0E" w14:textId="296AB90D" w:rsidR="00741F7A" w:rsidRPr="001567E1" w:rsidRDefault="00723907">
      <w:pPr>
        <w:pStyle w:val="Normal1"/>
        <w:jc w:val="both"/>
        <w:rPr>
          <w:lang w:val="fr-FR"/>
        </w:rPr>
      </w:pPr>
      <w:r w:rsidRPr="001567E1">
        <w:rPr>
          <w:lang w:val="fr-FR"/>
        </w:rPr>
        <w:t>Le recensement des oiseaux d’eau d’Afrique-Eurasie, en tant que mise en œuvre du Recensement international des oiseaux d’eau au niveau de la voie de migration, est l’un des principaux programmes de surveillance contribuant à apporter des données à la présente évaluation et aux évaluations susmentionnées.</w:t>
      </w:r>
      <w:r w:rsidR="00832DD4" w:rsidRPr="001567E1">
        <w:rPr>
          <w:lang w:val="fr-FR"/>
        </w:rPr>
        <w:t xml:space="preserve"> </w:t>
      </w:r>
      <w:r w:rsidR="001D13E4" w:rsidRPr="001567E1">
        <w:rPr>
          <w:lang w:val="fr-FR"/>
        </w:rPr>
        <w:t>Les résultats de l’analyse des tendances de l’IWC sont disponibles sur le portail en ligne de l’IWC</w:t>
      </w:r>
      <w:r w:rsidR="001D13E4" w:rsidRPr="001567E1">
        <w:rPr>
          <w:rStyle w:val="FootnoteReference"/>
          <w:lang w:val="fr-FR"/>
        </w:rPr>
        <w:footnoteReference w:id="6"/>
      </w:r>
      <w:r w:rsidR="001D13E4" w:rsidRPr="001567E1">
        <w:rPr>
          <w:lang w:val="fr-FR"/>
        </w:rPr>
        <w:t>.</w:t>
      </w:r>
      <w:r w:rsidR="000776B9" w:rsidRPr="001567E1">
        <w:rPr>
          <w:lang w:val="fr-FR"/>
        </w:rPr>
        <w:t xml:space="preserve"> </w:t>
      </w:r>
      <w:r w:rsidR="001D13E4" w:rsidRPr="001567E1">
        <w:rPr>
          <w:lang w:val="fr-FR"/>
        </w:rPr>
        <w:t>Nous remercions tout particulièrement les quelque 20 000 observateurs qui ont recueilli des données sur plus de 17 000 sites dans la région de l’AEWA, ainsi que les coordinateurs nationaux de l’IWC (Annexe 3).</w:t>
      </w:r>
      <w:r w:rsidR="00832DD4" w:rsidRPr="001567E1">
        <w:rPr>
          <w:lang w:val="fr-FR"/>
        </w:rPr>
        <w:t xml:space="preserve"> </w:t>
      </w:r>
      <w:r w:rsidR="001D13E4" w:rsidRPr="001567E1">
        <w:rPr>
          <w:lang w:val="fr-FR"/>
        </w:rPr>
        <w:t>No</w:t>
      </w:r>
      <w:r w:rsidR="007E0EE7" w:rsidRPr="001567E1">
        <w:rPr>
          <w:lang w:val="fr-FR"/>
        </w:rPr>
        <w:t>us exprimons</w:t>
      </w:r>
      <w:r w:rsidR="001D13E4" w:rsidRPr="001567E1">
        <w:rPr>
          <w:lang w:val="fr-FR"/>
        </w:rPr>
        <w:t xml:space="preserve"> également </w:t>
      </w:r>
      <w:r w:rsidR="007E0EE7" w:rsidRPr="001567E1">
        <w:rPr>
          <w:lang w:val="fr-FR"/>
        </w:rPr>
        <w:t xml:space="preserve">notre gratitude </w:t>
      </w:r>
      <w:r w:rsidR="001D13E4" w:rsidRPr="001567E1">
        <w:rPr>
          <w:lang w:val="fr-FR"/>
        </w:rPr>
        <w:t>aux membres du groupe de travail sur le Plan stratégique du Partenariat pour la surveillance des oiseaux d’eau d’Afrique-Eurasie</w:t>
      </w:r>
      <w:r w:rsidR="001D13E4" w:rsidRPr="001567E1">
        <w:rPr>
          <w:vertAlign w:val="superscript"/>
          <w:lang w:val="fr-FR"/>
        </w:rPr>
        <w:footnoteReference w:id="7"/>
      </w:r>
      <w:r w:rsidR="001D13E4" w:rsidRPr="001567E1">
        <w:rPr>
          <w:lang w:val="fr-FR"/>
        </w:rPr>
        <w:t xml:space="preserve"> qui ont fourni des conseils stratégiques utiles sur le développement de la surveillance des oiseaux d’eau le long de la voie de migration.</w:t>
      </w:r>
      <w:r w:rsidR="00832DD4" w:rsidRPr="001567E1">
        <w:rPr>
          <w:lang w:val="fr-FR"/>
        </w:rPr>
        <w:t xml:space="preserve"> </w:t>
      </w:r>
    </w:p>
    <w:p w14:paraId="2D898884" w14:textId="77777777" w:rsidR="00741F7A" w:rsidRPr="001567E1" w:rsidRDefault="00741F7A">
      <w:pPr>
        <w:pStyle w:val="Normal1"/>
        <w:jc w:val="both"/>
        <w:rPr>
          <w:lang w:val="fr-FR"/>
        </w:rPr>
      </w:pPr>
    </w:p>
    <w:p w14:paraId="1046F052" w14:textId="20C9EEFD" w:rsidR="00741F7A" w:rsidRPr="001567E1" w:rsidRDefault="001D13E4">
      <w:pPr>
        <w:pStyle w:val="Normal1"/>
        <w:jc w:val="both"/>
        <w:rPr>
          <w:lang w:val="fr-FR"/>
        </w:rPr>
      </w:pPr>
      <w:r w:rsidRPr="001567E1">
        <w:rPr>
          <w:lang w:val="fr-FR"/>
        </w:rPr>
        <w:t xml:space="preserve">Nous sommes reconnaissants </w:t>
      </w:r>
      <w:r w:rsidR="00E856F3" w:rsidRPr="001567E1">
        <w:rPr>
          <w:lang w:val="fr-FR"/>
        </w:rPr>
        <w:t>pour le soutien financier destiné à la gestion des données, qui a été fourni par l’</w:t>
      </w:r>
      <w:r w:rsidRPr="001567E1">
        <w:rPr>
          <w:lang w:val="fr-FR"/>
        </w:rPr>
        <w:t xml:space="preserve">Association </w:t>
      </w:r>
      <w:r w:rsidR="00E856F3" w:rsidRPr="001567E1">
        <w:rPr>
          <w:lang w:val="fr-FR"/>
        </w:rPr>
        <w:t>des membres de</w:t>
      </w:r>
      <w:r w:rsidRPr="001567E1">
        <w:rPr>
          <w:lang w:val="fr-FR"/>
        </w:rPr>
        <w:t xml:space="preserve"> Wetlands International</w:t>
      </w:r>
      <w:r w:rsidR="00E856F3" w:rsidRPr="001567E1">
        <w:rPr>
          <w:lang w:val="fr-FR"/>
        </w:rPr>
        <w:t xml:space="preserve">, et pour la coordination au niveau de </w:t>
      </w:r>
      <w:r w:rsidR="00E856F3" w:rsidRPr="001567E1">
        <w:rPr>
          <w:lang w:val="fr-FR"/>
        </w:rPr>
        <w:lastRenderedPageBreak/>
        <w:t>la voie de migration</w:t>
      </w:r>
      <w:r w:rsidRPr="001567E1">
        <w:rPr>
          <w:lang w:val="fr-FR"/>
        </w:rPr>
        <w:t xml:space="preserve"> </w:t>
      </w:r>
      <w:r w:rsidR="00E856F3" w:rsidRPr="001567E1">
        <w:rPr>
          <w:lang w:val="fr-FR"/>
        </w:rPr>
        <w:t>du Recensement des oiseaux d’eau d’Afrique-Eurasie</w:t>
      </w:r>
      <w:r w:rsidR="007E0EE7" w:rsidRPr="001567E1">
        <w:rPr>
          <w:lang w:val="fr-FR"/>
        </w:rPr>
        <w:t>,</w:t>
      </w:r>
      <w:r w:rsidRPr="001567E1">
        <w:rPr>
          <w:lang w:val="fr-FR"/>
        </w:rPr>
        <w:t xml:space="preserve"> </w:t>
      </w:r>
      <w:r w:rsidR="00E856F3" w:rsidRPr="001567E1">
        <w:rPr>
          <w:lang w:val="fr-FR"/>
        </w:rPr>
        <w:t>fournie par l’Office fédéral suisse pour l’environnement</w:t>
      </w:r>
      <w:r w:rsidRPr="001567E1">
        <w:rPr>
          <w:lang w:val="fr-FR"/>
        </w:rPr>
        <w:t xml:space="preserve">, </w:t>
      </w:r>
      <w:r w:rsidR="00E856F3" w:rsidRPr="001567E1">
        <w:rPr>
          <w:lang w:val="fr-FR"/>
        </w:rPr>
        <w:t>l’Agence norvégienne de l’environnement</w:t>
      </w:r>
      <w:r w:rsidRPr="001567E1">
        <w:rPr>
          <w:lang w:val="fr-FR"/>
        </w:rPr>
        <w:t xml:space="preserve"> </w:t>
      </w:r>
      <w:r w:rsidR="00E856F3" w:rsidRPr="001567E1">
        <w:rPr>
          <w:lang w:val="fr-FR"/>
        </w:rPr>
        <w:t>ainsi que par</w:t>
      </w:r>
      <w:r w:rsidRPr="001567E1">
        <w:rPr>
          <w:lang w:val="fr-FR"/>
        </w:rPr>
        <w:t xml:space="preserve"> LIFE+ </w:t>
      </w:r>
      <w:r w:rsidR="00E856F3" w:rsidRPr="001567E1">
        <w:rPr>
          <w:lang w:val="fr-FR"/>
        </w:rPr>
        <w:t>de l’UE et l’ONG</w:t>
      </w:r>
      <w:r w:rsidRPr="001567E1">
        <w:rPr>
          <w:lang w:val="fr-FR"/>
        </w:rPr>
        <w:t xml:space="preserve"> Operational Grant.</w:t>
      </w:r>
      <w:r w:rsidR="00A7603F" w:rsidRPr="001567E1">
        <w:rPr>
          <w:lang w:val="fr-FR"/>
        </w:rPr>
        <w:t xml:space="preserve"> </w:t>
      </w:r>
      <w:r w:rsidR="00E856F3" w:rsidRPr="001567E1">
        <w:rPr>
          <w:lang w:val="fr-FR"/>
        </w:rPr>
        <w:t xml:space="preserve">Le recueil des données n’aurait pas pu être possible sans le financement fourni par </w:t>
      </w:r>
      <w:r w:rsidR="004E3BA2">
        <w:rPr>
          <w:lang w:val="fr-FR"/>
        </w:rPr>
        <w:t>un large éventail</w:t>
      </w:r>
      <w:r w:rsidR="00E856F3" w:rsidRPr="001567E1">
        <w:rPr>
          <w:lang w:val="fr-FR"/>
        </w:rPr>
        <w:t xml:space="preserve"> d’organisations gouvernementales et non gouvernementales pour la surveillance des oiseaux d’eau au niveau national et régional.</w:t>
      </w:r>
      <w:r w:rsidR="00832DD4" w:rsidRPr="001567E1">
        <w:rPr>
          <w:lang w:val="fr-FR"/>
        </w:rPr>
        <w:t xml:space="preserve"> </w:t>
      </w:r>
    </w:p>
    <w:p w14:paraId="0C7E2E64" w14:textId="77777777" w:rsidR="009B767F" w:rsidRPr="001567E1" w:rsidRDefault="009B767F">
      <w:pPr>
        <w:pStyle w:val="Normal1"/>
        <w:jc w:val="both"/>
        <w:rPr>
          <w:lang w:val="fr-FR"/>
        </w:rPr>
      </w:pPr>
    </w:p>
    <w:p w14:paraId="5FC6796F" w14:textId="296BEAE4" w:rsidR="009B767F" w:rsidRPr="001567E1" w:rsidRDefault="00E856F3" w:rsidP="009B767F">
      <w:pPr>
        <w:rPr>
          <w:lang w:val="fr-FR"/>
        </w:rPr>
      </w:pPr>
      <w:r w:rsidRPr="001567E1">
        <w:rPr>
          <w:lang w:val="fr-FR"/>
        </w:rPr>
        <w:t>L’analyse des tendances de l’IWC, la production d’estimations de la taille et de la tendance des populations basée sur cette analyse et le recueil et l’examen d’autres sources, ainsi que la production du CSR7, ont été rendus possible grâce au généreux soutien financier des gouvernements de l’Allemagne, de la France, du Royaume-Uni, de la République Tchèque et du Fonds d’affectation de l’AEWA.</w:t>
      </w:r>
      <w:r w:rsidR="009B767F" w:rsidRPr="001567E1">
        <w:rPr>
          <w:lang w:val="fr-FR"/>
        </w:rPr>
        <w:t xml:space="preserve"> </w:t>
      </w:r>
    </w:p>
    <w:p w14:paraId="5C2D7F9F" w14:textId="77777777" w:rsidR="00741F7A" w:rsidRPr="001567E1" w:rsidRDefault="00741F7A">
      <w:pPr>
        <w:pStyle w:val="Normal1"/>
        <w:rPr>
          <w:lang w:val="fr-FR"/>
        </w:rPr>
      </w:pPr>
    </w:p>
    <w:p w14:paraId="5885F0F8" w14:textId="787CDB81" w:rsidR="00741F7A" w:rsidRPr="001567E1" w:rsidRDefault="00E856F3">
      <w:pPr>
        <w:pStyle w:val="Normal1"/>
        <w:jc w:val="both"/>
        <w:rPr>
          <w:lang w:val="fr-FR"/>
        </w:rPr>
      </w:pPr>
      <w:r w:rsidRPr="001567E1">
        <w:rPr>
          <w:lang w:val="fr-FR"/>
        </w:rPr>
        <w:t xml:space="preserve">Le texte </w:t>
      </w:r>
      <w:r w:rsidR="00854935" w:rsidRPr="001567E1">
        <w:rPr>
          <w:lang w:val="fr-FR"/>
        </w:rPr>
        <w:t>et les évaluations de l’état de conservation ont été fortement améliorés par les commentaires et autre aide apport</w:t>
      </w:r>
      <w:r w:rsidR="004E3BA2">
        <w:rPr>
          <w:lang w:val="fr-FR"/>
        </w:rPr>
        <w:t>és</w:t>
      </w:r>
      <w:r w:rsidR="00854935" w:rsidRPr="001567E1">
        <w:rPr>
          <w:lang w:val="fr-FR"/>
        </w:rPr>
        <w:t xml:space="preserve"> par</w:t>
      </w:r>
      <w:r w:rsidRPr="001567E1">
        <w:rPr>
          <w:lang w:val="fr-FR"/>
        </w:rPr>
        <w:t xml:space="preserve"> Pierre Defos du Rau, Kees Koffijberg, Lukasz Lawicki, Aleksi Lehikoinen, Jesper Madsen, Alexander Mischenko, Jean-Yves Mondain-Monval, Johan Mooij, Kerryn Morrison, Mohammed Shobrak, David Stroud, Eileen Rees, David Scallan </w:t>
      </w:r>
      <w:r w:rsidR="00854935" w:rsidRPr="001567E1">
        <w:rPr>
          <w:lang w:val="fr-FR"/>
        </w:rPr>
        <w:t>et</w:t>
      </w:r>
      <w:r w:rsidRPr="001567E1">
        <w:rPr>
          <w:lang w:val="fr-FR"/>
        </w:rPr>
        <w:t xml:space="preserve"> Marc van Roomen.</w:t>
      </w:r>
    </w:p>
    <w:p w14:paraId="257A3DC0" w14:textId="77777777" w:rsidR="009B767F" w:rsidRPr="001567E1" w:rsidRDefault="009B767F">
      <w:pPr>
        <w:pStyle w:val="Normal1"/>
        <w:jc w:val="both"/>
        <w:rPr>
          <w:lang w:val="fr-FR"/>
        </w:rPr>
      </w:pPr>
    </w:p>
    <w:p w14:paraId="5D9FB88E" w14:textId="77777777" w:rsidR="00741F7A" w:rsidRPr="001567E1" w:rsidRDefault="00741F7A">
      <w:pPr>
        <w:pStyle w:val="Normal1"/>
        <w:jc w:val="both"/>
        <w:rPr>
          <w:lang w:val="fr-FR"/>
        </w:rPr>
      </w:pPr>
    </w:p>
    <w:p w14:paraId="5377F634" w14:textId="77777777" w:rsidR="00741F7A" w:rsidRPr="001567E1" w:rsidRDefault="00832DD4">
      <w:pPr>
        <w:pStyle w:val="Normal1"/>
        <w:rPr>
          <w:lang w:val="fr-FR"/>
        </w:rPr>
      </w:pPr>
      <w:r w:rsidRPr="001567E1">
        <w:rPr>
          <w:lang w:val="fr-FR"/>
        </w:rPr>
        <w:br w:type="page"/>
      </w:r>
    </w:p>
    <w:p w14:paraId="5567CA02" w14:textId="4C1DF2BF" w:rsidR="00741F7A" w:rsidRPr="001567E1" w:rsidRDefault="00854935" w:rsidP="007E0EE7">
      <w:pPr>
        <w:pStyle w:val="Heading1"/>
        <w:ind w:left="1080" w:hanging="1080"/>
        <w:rPr>
          <w:lang w:val="fr-FR"/>
        </w:rPr>
      </w:pPr>
      <w:bookmarkStart w:id="16" w:name="h.3znysh7" w:colFirst="0" w:colLast="0"/>
      <w:bookmarkStart w:id="17" w:name="_Toc517262001"/>
      <w:bookmarkEnd w:id="16"/>
      <w:r w:rsidRPr="001567E1">
        <w:rPr>
          <w:sz w:val="28"/>
          <w:lang w:val="fr-FR"/>
        </w:rPr>
        <w:lastRenderedPageBreak/>
        <w:t>Introduction</w:t>
      </w:r>
      <w:bookmarkEnd w:id="17"/>
    </w:p>
    <w:p w14:paraId="09BD9ED3" w14:textId="08959B8B" w:rsidR="00741F7A" w:rsidRPr="001567E1" w:rsidRDefault="00854935">
      <w:pPr>
        <w:pStyle w:val="Normal1"/>
        <w:tabs>
          <w:tab w:val="left" w:pos="5580"/>
        </w:tabs>
        <w:jc w:val="both"/>
        <w:rPr>
          <w:szCs w:val="24"/>
          <w:lang w:val="fr-FR"/>
        </w:rPr>
      </w:pPr>
      <w:r w:rsidRPr="001567E1">
        <w:rPr>
          <w:szCs w:val="24"/>
          <w:lang w:val="fr-FR"/>
        </w:rPr>
        <w:t>L’Article IV du texte de l’Accord introduit le Plan d’action de l</w:t>
      </w:r>
      <w:r w:rsidR="007E0EE7" w:rsidRPr="001567E1">
        <w:rPr>
          <w:szCs w:val="24"/>
          <w:lang w:val="fr-FR"/>
        </w:rPr>
        <w:t>’</w:t>
      </w:r>
      <w:r w:rsidRPr="001567E1">
        <w:rPr>
          <w:szCs w:val="24"/>
          <w:lang w:val="fr-FR"/>
        </w:rPr>
        <w:t>AEWA, qui est joint en Annexe 3 à l'Accord.</w:t>
      </w:r>
      <w:r w:rsidR="00832DD4" w:rsidRPr="001567E1">
        <w:rPr>
          <w:szCs w:val="24"/>
          <w:lang w:val="fr-FR"/>
        </w:rPr>
        <w:t xml:space="preserve"> </w:t>
      </w:r>
      <w:r w:rsidRPr="001567E1">
        <w:rPr>
          <w:szCs w:val="24"/>
          <w:lang w:val="fr-FR"/>
        </w:rPr>
        <w:t>Le Paragraphe 7.4 du Plan d’action de l'AEWA demande au Secrétariat de l'Accord, en coordination avec le Comité technique et les Parties, de préparer une série de sept études internationales sur la mise en œuvre du Plan d’action.</w:t>
      </w:r>
      <w:r w:rsidR="00832DD4" w:rsidRPr="001567E1">
        <w:rPr>
          <w:szCs w:val="24"/>
          <w:lang w:val="fr-FR"/>
        </w:rPr>
        <w:t xml:space="preserve"> </w:t>
      </w:r>
      <w:r w:rsidRPr="001567E1">
        <w:rPr>
          <w:szCs w:val="24"/>
          <w:lang w:val="fr-FR"/>
        </w:rPr>
        <w:t>Ces études doivent être préparées à différents intervalles, comme prévu au paragraphe 7.5, et doivent être soumises à la Réunion des Parties (MOP) pour examen.</w:t>
      </w:r>
    </w:p>
    <w:p w14:paraId="4A82ADF0" w14:textId="77777777" w:rsidR="00741F7A" w:rsidRPr="001567E1" w:rsidRDefault="00741F7A">
      <w:pPr>
        <w:pStyle w:val="Normal1"/>
        <w:tabs>
          <w:tab w:val="left" w:pos="5580"/>
        </w:tabs>
        <w:jc w:val="both"/>
        <w:rPr>
          <w:szCs w:val="24"/>
          <w:lang w:val="fr-FR"/>
        </w:rPr>
      </w:pPr>
    </w:p>
    <w:p w14:paraId="1257AD40" w14:textId="63C3073E" w:rsidR="00741F7A" w:rsidRPr="001567E1" w:rsidRDefault="00854935">
      <w:pPr>
        <w:pStyle w:val="Normal1"/>
        <w:tabs>
          <w:tab w:val="left" w:pos="5580"/>
        </w:tabs>
        <w:jc w:val="both"/>
        <w:rPr>
          <w:szCs w:val="24"/>
          <w:lang w:val="fr-FR"/>
        </w:rPr>
      </w:pPr>
      <w:r w:rsidRPr="001567E1">
        <w:rPr>
          <w:szCs w:val="24"/>
          <w:lang w:val="fr-FR"/>
        </w:rPr>
        <w:t>Le Rapport sur l’état de conservation des oiseaux d'eau migrateurs dans l</w:t>
      </w:r>
      <w:r w:rsidR="004E3BA2">
        <w:rPr>
          <w:szCs w:val="24"/>
          <w:lang w:val="fr-FR"/>
        </w:rPr>
        <w:t>a zone</w:t>
      </w:r>
      <w:r w:rsidRPr="001567E1">
        <w:rPr>
          <w:szCs w:val="24"/>
          <w:lang w:val="fr-FR"/>
        </w:rPr>
        <w:t xml:space="preserve"> de l’Accord (ou Rapport sur l’état de conservation - CSR) est l’une de ces sept études internationales.</w:t>
      </w:r>
      <w:r w:rsidR="00832DD4" w:rsidRPr="001567E1">
        <w:rPr>
          <w:szCs w:val="24"/>
          <w:lang w:val="fr-FR"/>
        </w:rPr>
        <w:t xml:space="preserve"> </w:t>
      </w:r>
      <w:r w:rsidRPr="001567E1">
        <w:rPr>
          <w:szCs w:val="24"/>
          <w:lang w:val="fr-FR"/>
        </w:rPr>
        <w:t>Cette étude a été régulièrement produite et jusqu'ici soumise à chaque session de la MOP</w:t>
      </w:r>
      <w:r w:rsidRPr="001567E1">
        <w:rPr>
          <w:szCs w:val="24"/>
          <w:vertAlign w:val="superscript"/>
          <w:lang w:val="fr-FR"/>
        </w:rPr>
        <w:footnoteReference w:id="8"/>
      </w:r>
      <w:r w:rsidRPr="001567E1">
        <w:rPr>
          <w:szCs w:val="24"/>
          <w:lang w:val="fr-FR"/>
        </w:rPr>
        <w:t>.</w:t>
      </w:r>
      <w:r w:rsidR="00832DD4" w:rsidRPr="001567E1">
        <w:rPr>
          <w:szCs w:val="24"/>
          <w:lang w:val="fr-FR"/>
        </w:rPr>
        <w:t xml:space="preserve"> </w:t>
      </w:r>
      <w:r w:rsidRPr="001567E1">
        <w:rPr>
          <w:szCs w:val="24"/>
          <w:lang w:val="fr-FR"/>
        </w:rPr>
        <w:t>Les trois dernières éditions suivent un format amélioré avec davantage de contenu analytique.</w:t>
      </w:r>
    </w:p>
    <w:p w14:paraId="489E3AA7" w14:textId="77777777" w:rsidR="00741F7A" w:rsidRPr="001567E1" w:rsidRDefault="00741F7A">
      <w:pPr>
        <w:pStyle w:val="Normal1"/>
        <w:jc w:val="both"/>
        <w:rPr>
          <w:szCs w:val="24"/>
          <w:lang w:val="fr-FR"/>
        </w:rPr>
      </w:pPr>
    </w:p>
    <w:p w14:paraId="793D00AA" w14:textId="47242B47" w:rsidR="00741F7A" w:rsidRPr="001567E1" w:rsidRDefault="007E0EE7">
      <w:pPr>
        <w:pStyle w:val="Normal1"/>
        <w:jc w:val="both"/>
        <w:rPr>
          <w:szCs w:val="24"/>
          <w:lang w:val="fr-FR"/>
        </w:rPr>
      </w:pPr>
      <w:r w:rsidRPr="001567E1">
        <w:rPr>
          <w:szCs w:val="24"/>
          <w:lang w:val="fr-FR"/>
        </w:rPr>
        <w:t>L</w:t>
      </w:r>
      <w:r w:rsidR="00854935" w:rsidRPr="001567E1">
        <w:rPr>
          <w:szCs w:val="24"/>
          <w:lang w:val="fr-FR"/>
        </w:rPr>
        <w:t xml:space="preserve">e Secrétariat de l’AEWA </w:t>
      </w:r>
      <w:r w:rsidRPr="001567E1">
        <w:rPr>
          <w:szCs w:val="24"/>
          <w:lang w:val="fr-FR"/>
        </w:rPr>
        <w:t xml:space="preserve">a passé un contrat avec Wetlands International </w:t>
      </w:r>
      <w:r w:rsidR="00854935" w:rsidRPr="001567E1">
        <w:rPr>
          <w:szCs w:val="24"/>
          <w:lang w:val="fr-FR"/>
        </w:rPr>
        <w:t>en juin 2017 pour produire la 7</w:t>
      </w:r>
      <w:r w:rsidR="00854935" w:rsidRPr="001567E1">
        <w:rPr>
          <w:szCs w:val="24"/>
          <w:vertAlign w:val="superscript"/>
          <w:lang w:val="fr-FR"/>
        </w:rPr>
        <w:t>e</w:t>
      </w:r>
      <w:r w:rsidR="00854935" w:rsidRPr="001567E1">
        <w:rPr>
          <w:szCs w:val="24"/>
          <w:lang w:val="fr-FR"/>
        </w:rPr>
        <w:t xml:space="preserve"> édition du Rapport sur l’état de conservation.</w:t>
      </w:r>
      <w:r w:rsidR="00832DD4" w:rsidRPr="001567E1">
        <w:rPr>
          <w:szCs w:val="24"/>
          <w:lang w:val="fr-FR"/>
        </w:rPr>
        <w:t xml:space="preserve"> </w:t>
      </w:r>
      <w:r w:rsidR="00854935" w:rsidRPr="001567E1">
        <w:rPr>
          <w:szCs w:val="24"/>
          <w:lang w:val="fr-FR"/>
        </w:rPr>
        <w:t xml:space="preserve">À son tour, Wetlands International </w:t>
      </w:r>
      <w:r w:rsidR="00AD2D66" w:rsidRPr="001567E1">
        <w:rPr>
          <w:szCs w:val="24"/>
          <w:lang w:val="fr-FR"/>
        </w:rPr>
        <w:t>chargé</w:t>
      </w:r>
      <w:r w:rsidR="00854935" w:rsidRPr="001567E1">
        <w:rPr>
          <w:szCs w:val="24"/>
          <w:lang w:val="fr-FR"/>
        </w:rPr>
        <w:t xml:space="preserve"> BirdLife International </w:t>
      </w:r>
      <w:r w:rsidR="00AD2D66" w:rsidRPr="001567E1">
        <w:rPr>
          <w:szCs w:val="24"/>
          <w:lang w:val="fr-FR"/>
        </w:rPr>
        <w:t>d’</w:t>
      </w:r>
      <w:r w:rsidR="00854935" w:rsidRPr="001567E1">
        <w:rPr>
          <w:szCs w:val="24"/>
          <w:lang w:val="fr-FR"/>
        </w:rPr>
        <w:t xml:space="preserve">évaluer l’état à la Liste rouge des espèces de l’AEWA, et Rob Sheldon </w:t>
      </w:r>
      <w:r w:rsidR="00AD2D66" w:rsidRPr="001567E1">
        <w:rPr>
          <w:szCs w:val="24"/>
          <w:lang w:val="fr-FR"/>
        </w:rPr>
        <w:t>d’</w:t>
      </w:r>
      <w:r w:rsidR="00854935" w:rsidRPr="001567E1">
        <w:rPr>
          <w:szCs w:val="24"/>
          <w:lang w:val="fr-FR"/>
        </w:rPr>
        <w:t>évaluer l’état des populations se repro</w:t>
      </w:r>
      <w:r w:rsidR="004E3BA2">
        <w:rPr>
          <w:szCs w:val="24"/>
          <w:lang w:val="fr-FR"/>
        </w:rPr>
        <w:t>duisant en Asie centrale et du S</w:t>
      </w:r>
      <w:r w:rsidR="00854935" w:rsidRPr="001567E1">
        <w:rPr>
          <w:szCs w:val="24"/>
          <w:lang w:val="fr-FR"/>
        </w:rPr>
        <w:t>ud-</w:t>
      </w:r>
      <w:r w:rsidR="004E3BA2">
        <w:rPr>
          <w:szCs w:val="24"/>
          <w:lang w:val="fr-FR"/>
        </w:rPr>
        <w:t>O</w:t>
      </w:r>
      <w:r w:rsidR="00854935" w:rsidRPr="001567E1">
        <w:rPr>
          <w:szCs w:val="24"/>
          <w:lang w:val="fr-FR"/>
        </w:rPr>
        <w:t>uest.</w:t>
      </w:r>
      <w:r w:rsidR="006B0209" w:rsidRPr="001567E1">
        <w:rPr>
          <w:szCs w:val="24"/>
          <w:lang w:val="fr-FR"/>
        </w:rPr>
        <w:t xml:space="preserve"> </w:t>
      </w:r>
      <w:r w:rsidR="00854935" w:rsidRPr="001567E1">
        <w:rPr>
          <w:szCs w:val="24"/>
          <w:lang w:val="fr-FR"/>
        </w:rPr>
        <w:t xml:space="preserve">Cette édition a utilisé des rapports produits par Andrea Angel, au nom du Groupe mondial des oiseaux marins de BirdLife International, pour évaluer l’état des oiseaux marins « tropicaux », par Per-Arvid Berglund et Jonas Hentati-Sundberg, au nom du </w:t>
      </w:r>
      <w:r w:rsidR="007E0477" w:rsidRPr="001567E1">
        <w:rPr>
          <w:szCs w:val="24"/>
          <w:lang w:val="fr-FR"/>
        </w:rPr>
        <w:t xml:space="preserve">groupe </w:t>
      </w:r>
      <w:r w:rsidR="00854935" w:rsidRPr="001567E1">
        <w:rPr>
          <w:szCs w:val="24"/>
          <w:lang w:val="fr-FR"/>
        </w:rPr>
        <w:t xml:space="preserve">CBird </w:t>
      </w:r>
      <w:r w:rsidR="007E0477" w:rsidRPr="001567E1">
        <w:rPr>
          <w:szCs w:val="24"/>
          <w:lang w:val="fr-FR"/>
        </w:rPr>
        <w:t>de la CAFF</w:t>
      </w:r>
      <w:r w:rsidR="00854935" w:rsidRPr="001567E1">
        <w:rPr>
          <w:szCs w:val="24"/>
          <w:lang w:val="fr-FR"/>
        </w:rPr>
        <w:t xml:space="preserve">, pour évaluer l’état des oiseaux de mer « nordiques » ainsi que la mise à jour de l’état de conservation produite par Tim Dodman pour le CSR6, le rapport sur l’état des  populations d’oiseaux d’eau littoraux le long de la voie de migration de l’Atlantique Est, l’audit mondial </w:t>
      </w:r>
      <w:r w:rsidR="007E0477" w:rsidRPr="001567E1">
        <w:rPr>
          <w:szCs w:val="24"/>
          <w:lang w:val="fr-FR"/>
        </w:rPr>
        <w:t xml:space="preserve">de la </w:t>
      </w:r>
      <w:r w:rsidR="00854935" w:rsidRPr="001567E1">
        <w:rPr>
          <w:szCs w:val="24"/>
          <w:lang w:val="fr-FR"/>
        </w:rPr>
        <w:t>CAFF de l’état et des tendances des populations d’oies de l’Arctique et de l’hémisphère Nord révisé par Tony Fox et J. Leafloor.</w:t>
      </w:r>
      <w:r w:rsidR="00015E77" w:rsidRPr="001567E1">
        <w:rPr>
          <w:szCs w:val="24"/>
          <w:lang w:val="fr-FR"/>
        </w:rPr>
        <w:t xml:space="preserve"> </w:t>
      </w:r>
      <w:r w:rsidR="00854935" w:rsidRPr="001567E1">
        <w:rPr>
          <w:szCs w:val="24"/>
          <w:lang w:val="fr-FR"/>
        </w:rPr>
        <w:t>La Fondation Rubicon a mené l’évaluation de l’état d’autres populations.</w:t>
      </w:r>
      <w:r w:rsidR="00832DD4" w:rsidRPr="001567E1">
        <w:rPr>
          <w:szCs w:val="24"/>
          <w:lang w:val="fr-FR"/>
        </w:rPr>
        <w:t xml:space="preserve"> </w:t>
      </w:r>
    </w:p>
    <w:p w14:paraId="344F7E75" w14:textId="77777777" w:rsidR="00741F7A" w:rsidRPr="001567E1" w:rsidRDefault="00741F7A">
      <w:pPr>
        <w:pStyle w:val="Normal1"/>
        <w:jc w:val="both"/>
        <w:rPr>
          <w:szCs w:val="24"/>
          <w:lang w:val="fr-FR"/>
        </w:rPr>
      </w:pPr>
    </w:p>
    <w:p w14:paraId="3A539E55" w14:textId="6B06829E" w:rsidR="00741F7A" w:rsidRPr="001567E1" w:rsidRDefault="00854935">
      <w:pPr>
        <w:pStyle w:val="Normal1"/>
        <w:jc w:val="both"/>
        <w:rPr>
          <w:szCs w:val="24"/>
          <w:lang w:val="fr-FR"/>
        </w:rPr>
      </w:pPr>
      <w:r w:rsidRPr="001567E1">
        <w:rPr>
          <w:b/>
          <w:szCs w:val="24"/>
          <w:lang w:val="fr-FR"/>
        </w:rPr>
        <w:t>Résumé analytique :</w:t>
      </w:r>
      <w:r w:rsidR="00832DD4" w:rsidRPr="001567E1">
        <w:rPr>
          <w:b/>
          <w:szCs w:val="24"/>
          <w:lang w:val="fr-FR"/>
        </w:rPr>
        <w:t xml:space="preserve"> </w:t>
      </w:r>
      <w:r w:rsidRPr="001567E1">
        <w:rPr>
          <w:szCs w:val="24"/>
          <w:lang w:val="fr-FR"/>
        </w:rPr>
        <w:t xml:space="preserve">Cette section inclut les principales conclusions du rapport concernant les connaissances disponibles sur l’état de conservation des populations d'oiseaux d'eau, les menaces qui les affectent et les zones géographiques qui nécessitent une attention toute particulière à la lumière du nombre ou de la proportion </w:t>
      </w:r>
      <w:r w:rsidR="004E3BA2">
        <w:rPr>
          <w:szCs w:val="24"/>
          <w:lang w:val="fr-FR"/>
        </w:rPr>
        <w:t xml:space="preserve">élevés </w:t>
      </w:r>
      <w:r w:rsidRPr="001567E1">
        <w:rPr>
          <w:szCs w:val="24"/>
          <w:lang w:val="fr-FR"/>
        </w:rPr>
        <w:t>de populations en déclin.</w:t>
      </w:r>
      <w:r w:rsidR="00832DD4" w:rsidRPr="001567E1">
        <w:rPr>
          <w:szCs w:val="24"/>
          <w:lang w:val="fr-FR"/>
        </w:rPr>
        <w:t xml:space="preserve"> </w:t>
      </w:r>
      <w:r w:rsidRPr="001567E1">
        <w:rPr>
          <w:szCs w:val="24"/>
          <w:lang w:val="fr-FR"/>
        </w:rPr>
        <w:t>Il contient également un résumé des recommandations pertinentes des politiques clés.</w:t>
      </w:r>
      <w:r w:rsidR="00832DD4" w:rsidRPr="001567E1">
        <w:rPr>
          <w:szCs w:val="24"/>
          <w:lang w:val="fr-FR"/>
        </w:rPr>
        <w:t xml:space="preserve">  </w:t>
      </w:r>
    </w:p>
    <w:p w14:paraId="34EE0376" w14:textId="77777777" w:rsidR="00741F7A" w:rsidRPr="001567E1" w:rsidRDefault="00741F7A">
      <w:pPr>
        <w:pStyle w:val="Normal1"/>
        <w:jc w:val="both"/>
        <w:rPr>
          <w:szCs w:val="24"/>
          <w:lang w:val="fr-FR"/>
        </w:rPr>
      </w:pPr>
    </w:p>
    <w:p w14:paraId="2A07A4E1" w14:textId="29386025" w:rsidR="00741F7A" w:rsidRPr="001567E1" w:rsidRDefault="00854935" w:rsidP="00AD2D66">
      <w:pPr>
        <w:pStyle w:val="Normal1"/>
        <w:spacing w:after="120"/>
        <w:jc w:val="both"/>
        <w:rPr>
          <w:szCs w:val="24"/>
          <w:lang w:val="fr-FR"/>
        </w:rPr>
      </w:pPr>
      <w:r w:rsidRPr="001567E1">
        <w:rPr>
          <w:b/>
          <w:szCs w:val="24"/>
          <w:lang w:val="fr-FR"/>
        </w:rPr>
        <w:t xml:space="preserve">Partie 1 : </w:t>
      </w:r>
      <w:r w:rsidRPr="004E3BA2">
        <w:rPr>
          <w:szCs w:val="24"/>
          <w:lang w:val="fr-FR"/>
        </w:rPr>
        <w:t>résume les découpages taxonomiques et géographiques des populations d</w:t>
      </w:r>
      <w:r w:rsidR="002F5F51" w:rsidRPr="004E3BA2">
        <w:rPr>
          <w:szCs w:val="24"/>
          <w:lang w:val="fr-FR"/>
        </w:rPr>
        <w:t>’</w:t>
      </w:r>
      <w:r w:rsidRPr="004E3BA2">
        <w:rPr>
          <w:szCs w:val="24"/>
          <w:lang w:val="fr-FR"/>
        </w:rPr>
        <w:t>oiseaux d</w:t>
      </w:r>
      <w:r w:rsidR="002F5F51" w:rsidRPr="004E3BA2">
        <w:rPr>
          <w:szCs w:val="24"/>
          <w:lang w:val="fr-FR"/>
        </w:rPr>
        <w:t>’</w:t>
      </w:r>
      <w:r w:rsidRPr="004E3BA2">
        <w:rPr>
          <w:szCs w:val="24"/>
          <w:lang w:val="fr-FR"/>
        </w:rPr>
        <w:t>eau incluses dans l’Accord.</w:t>
      </w:r>
      <w:r w:rsidR="00832DD4" w:rsidRPr="004E3BA2">
        <w:rPr>
          <w:szCs w:val="24"/>
          <w:lang w:val="fr-FR"/>
        </w:rPr>
        <w:t xml:space="preserve"> </w:t>
      </w:r>
    </w:p>
    <w:p w14:paraId="024D0B82" w14:textId="44051993" w:rsidR="00741F7A" w:rsidRPr="004E3BA2" w:rsidRDefault="002F5F51" w:rsidP="00AD2D66">
      <w:pPr>
        <w:pStyle w:val="Normal1"/>
        <w:spacing w:after="120"/>
        <w:jc w:val="both"/>
        <w:rPr>
          <w:szCs w:val="24"/>
          <w:lang w:val="fr-FR"/>
        </w:rPr>
      </w:pPr>
      <w:r w:rsidRPr="001567E1">
        <w:rPr>
          <w:b/>
          <w:szCs w:val="24"/>
          <w:lang w:val="fr-FR"/>
        </w:rPr>
        <w:t xml:space="preserve">Partie 2 : </w:t>
      </w:r>
      <w:r w:rsidRPr="004E3BA2">
        <w:rPr>
          <w:szCs w:val="24"/>
          <w:lang w:val="fr-FR"/>
        </w:rPr>
        <w:t>résume les informations concernant les estimations de tailles des populations et leur découpage taxonomique et géographique.</w:t>
      </w:r>
    </w:p>
    <w:p w14:paraId="60BF1D71" w14:textId="14BAB0CB" w:rsidR="00741F7A" w:rsidRPr="001567E1" w:rsidRDefault="002F5F51" w:rsidP="00AD2D66">
      <w:pPr>
        <w:pStyle w:val="Normal1"/>
        <w:spacing w:after="120"/>
        <w:jc w:val="both"/>
        <w:rPr>
          <w:szCs w:val="24"/>
          <w:lang w:val="fr-FR"/>
        </w:rPr>
      </w:pPr>
      <w:r w:rsidRPr="001567E1">
        <w:rPr>
          <w:b/>
          <w:szCs w:val="24"/>
          <w:lang w:val="fr-FR"/>
        </w:rPr>
        <w:t xml:space="preserve">Partie 3 : </w:t>
      </w:r>
      <w:r w:rsidRPr="004E3BA2">
        <w:rPr>
          <w:szCs w:val="24"/>
          <w:lang w:val="fr-FR"/>
        </w:rPr>
        <w:t>résume les informations concernant les tendances des populations et leur découpage par groupes taxonomiques et zones géographiques.</w:t>
      </w:r>
      <w:r w:rsidR="008A046D" w:rsidRPr="001567E1">
        <w:rPr>
          <w:szCs w:val="24"/>
          <w:lang w:val="fr-FR"/>
        </w:rPr>
        <w:t xml:space="preserve"> </w:t>
      </w:r>
      <w:r w:rsidR="004E3BA2">
        <w:rPr>
          <w:szCs w:val="24"/>
          <w:lang w:val="fr-FR"/>
        </w:rPr>
        <w:t>Aucune nouvelle</w:t>
      </w:r>
      <w:r w:rsidRPr="001567E1">
        <w:rPr>
          <w:szCs w:val="24"/>
          <w:lang w:val="fr-FR"/>
        </w:rPr>
        <w:t xml:space="preserve"> information </w:t>
      </w:r>
      <w:r w:rsidR="004E3BA2">
        <w:rPr>
          <w:szCs w:val="24"/>
          <w:lang w:val="fr-FR"/>
        </w:rPr>
        <w:t>n’est</w:t>
      </w:r>
      <w:r w:rsidRPr="001567E1">
        <w:rPr>
          <w:szCs w:val="24"/>
          <w:lang w:val="fr-FR"/>
        </w:rPr>
        <w:t xml:space="preserve"> disponible sur les habitats.</w:t>
      </w:r>
      <w:r w:rsidR="008A046D" w:rsidRPr="001567E1">
        <w:rPr>
          <w:szCs w:val="24"/>
          <w:lang w:val="fr-FR"/>
        </w:rPr>
        <w:t xml:space="preserve"> </w:t>
      </w:r>
      <w:r w:rsidRPr="001567E1">
        <w:rPr>
          <w:szCs w:val="24"/>
          <w:lang w:val="fr-FR"/>
        </w:rPr>
        <w:t xml:space="preserve">Cette </w:t>
      </w:r>
      <w:hyperlink r:id="rId10" w:history="1">
        <w:r w:rsidRPr="001567E1">
          <w:rPr>
            <w:rStyle w:val="Hyperlink"/>
            <w:szCs w:val="24"/>
            <w:lang w:val="fr-FR"/>
          </w:rPr>
          <w:t>section du CSR5</w:t>
        </w:r>
      </w:hyperlink>
      <w:r w:rsidRPr="001567E1">
        <w:rPr>
          <w:szCs w:val="24"/>
          <w:lang w:val="fr-FR"/>
        </w:rPr>
        <w:t xml:space="preserve"> n’est pas r</w:t>
      </w:r>
      <w:r w:rsidR="004E3BA2">
        <w:rPr>
          <w:szCs w:val="24"/>
          <w:lang w:val="fr-FR"/>
        </w:rPr>
        <w:t>eprise</w:t>
      </w:r>
      <w:r w:rsidRPr="001567E1">
        <w:rPr>
          <w:szCs w:val="24"/>
          <w:lang w:val="fr-FR"/>
        </w:rPr>
        <w:t xml:space="preserve"> dans ce rapport, mais peut être consultée en ligne en cliquant </w:t>
      </w:r>
      <w:hyperlink r:id="rId11" w:history="1">
        <w:r w:rsidRPr="001567E1">
          <w:rPr>
            <w:rStyle w:val="Hyperlink"/>
            <w:szCs w:val="24"/>
            <w:lang w:val="fr-FR"/>
          </w:rPr>
          <w:t>ici</w:t>
        </w:r>
      </w:hyperlink>
      <w:r w:rsidRPr="001567E1">
        <w:rPr>
          <w:szCs w:val="24"/>
          <w:lang w:val="fr-FR"/>
        </w:rPr>
        <w:t>.</w:t>
      </w:r>
    </w:p>
    <w:p w14:paraId="1ED96022" w14:textId="49EC5A3E" w:rsidR="00741F7A" w:rsidRPr="001567E1" w:rsidRDefault="002F5F51" w:rsidP="00AD2D66">
      <w:pPr>
        <w:pStyle w:val="Normal1"/>
        <w:spacing w:after="120"/>
        <w:jc w:val="both"/>
        <w:rPr>
          <w:szCs w:val="24"/>
          <w:lang w:val="fr-FR"/>
        </w:rPr>
      </w:pPr>
      <w:r w:rsidRPr="001567E1">
        <w:rPr>
          <w:b/>
          <w:szCs w:val="24"/>
          <w:lang w:val="fr-FR"/>
        </w:rPr>
        <w:t>Partie 4 :</w:t>
      </w:r>
      <w:r w:rsidRPr="001567E1">
        <w:rPr>
          <w:szCs w:val="24"/>
          <w:lang w:val="fr-FR"/>
        </w:rPr>
        <w:t xml:space="preserve"> aucune information mise à jour complète n’est disponible en ce qui concerne les menaces affectant les espèces figurant </w:t>
      </w:r>
      <w:r w:rsidR="00AD2D66" w:rsidRPr="001567E1">
        <w:rPr>
          <w:szCs w:val="24"/>
          <w:lang w:val="fr-FR"/>
        </w:rPr>
        <w:t>à</w:t>
      </w:r>
      <w:r w:rsidRPr="001567E1">
        <w:rPr>
          <w:szCs w:val="24"/>
          <w:lang w:val="fr-FR"/>
        </w:rPr>
        <w:t xml:space="preserve"> l’Annexe 2 de l’</w:t>
      </w:r>
      <w:r w:rsidR="00AD2D66" w:rsidRPr="001567E1">
        <w:rPr>
          <w:szCs w:val="24"/>
          <w:lang w:val="fr-FR"/>
        </w:rPr>
        <w:t>A</w:t>
      </w:r>
      <w:r w:rsidRPr="001567E1">
        <w:rPr>
          <w:szCs w:val="24"/>
          <w:lang w:val="fr-FR"/>
        </w:rPr>
        <w:t>ccord, par conséquent, aucune nouvelle analyse des menaces n’a été effectuée.</w:t>
      </w:r>
      <w:r w:rsidR="008A046D" w:rsidRPr="001567E1">
        <w:rPr>
          <w:szCs w:val="24"/>
          <w:lang w:val="fr-FR"/>
        </w:rPr>
        <w:t xml:space="preserve"> </w:t>
      </w:r>
      <w:r w:rsidRPr="001567E1">
        <w:rPr>
          <w:szCs w:val="24"/>
          <w:lang w:val="fr-FR"/>
        </w:rPr>
        <w:t xml:space="preserve">La Partie 4 du CSR5 </w:t>
      </w:r>
      <w:r w:rsidRPr="001567E1">
        <w:rPr>
          <w:rStyle w:val="Hyperlink"/>
          <w:color w:val="000000"/>
          <w:szCs w:val="24"/>
          <w:u w:val="none"/>
          <w:lang w:val="fr-FR"/>
        </w:rPr>
        <w:t>n’est pas r</w:t>
      </w:r>
      <w:r w:rsidR="004E3BA2">
        <w:rPr>
          <w:rStyle w:val="Hyperlink"/>
          <w:color w:val="000000"/>
          <w:szCs w:val="24"/>
          <w:u w:val="none"/>
          <w:lang w:val="fr-FR"/>
        </w:rPr>
        <w:t>eprise</w:t>
      </w:r>
      <w:r w:rsidRPr="001567E1">
        <w:rPr>
          <w:rStyle w:val="Hyperlink"/>
          <w:color w:val="000000"/>
          <w:szCs w:val="24"/>
          <w:u w:val="none"/>
          <w:lang w:val="fr-FR"/>
        </w:rPr>
        <w:t xml:space="preserve"> dans ce rapport, mais peut être consultée en ligne en cliquant </w:t>
      </w:r>
      <w:hyperlink r:id="rId12" w:history="1">
        <w:r w:rsidRPr="001567E1">
          <w:rPr>
            <w:rStyle w:val="Hyperlink"/>
            <w:szCs w:val="24"/>
            <w:lang w:val="fr-FR"/>
          </w:rPr>
          <w:t>ici</w:t>
        </w:r>
      </w:hyperlink>
      <w:r w:rsidR="007259C1" w:rsidRPr="001567E1">
        <w:rPr>
          <w:szCs w:val="24"/>
          <w:lang w:val="fr-FR"/>
        </w:rPr>
        <w:t>.</w:t>
      </w:r>
      <w:r w:rsidRPr="001567E1">
        <w:rPr>
          <w:rStyle w:val="Hyperlink"/>
          <w:color w:val="000000"/>
          <w:szCs w:val="24"/>
          <w:u w:val="none"/>
          <w:lang w:val="fr-FR"/>
        </w:rPr>
        <w:t xml:space="preserve"> </w:t>
      </w:r>
    </w:p>
    <w:p w14:paraId="1449A7EF" w14:textId="6A93BEAE" w:rsidR="00741F7A" w:rsidRPr="001567E1" w:rsidRDefault="007259C1" w:rsidP="00AD2D66">
      <w:pPr>
        <w:pStyle w:val="Normal1"/>
        <w:spacing w:after="120"/>
        <w:jc w:val="both"/>
        <w:rPr>
          <w:szCs w:val="24"/>
          <w:lang w:val="fr-FR"/>
        </w:rPr>
      </w:pPr>
      <w:r w:rsidRPr="001567E1">
        <w:rPr>
          <w:b/>
          <w:szCs w:val="24"/>
          <w:lang w:val="fr-FR"/>
        </w:rPr>
        <w:lastRenderedPageBreak/>
        <w:t xml:space="preserve">Partie 5 : </w:t>
      </w:r>
      <w:r w:rsidRPr="001567E1">
        <w:rPr>
          <w:szCs w:val="24"/>
          <w:lang w:val="fr-FR"/>
        </w:rPr>
        <w:t xml:space="preserve">résume les informations d’états </w:t>
      </w:r>
      <w:r w:rsidR="004E3BA2">
        <w:rPr>
          <w:szCs w:val="24"/>
          <w:lang w:val="fr-FR"/>
        </w:rPr>
        <w:t>sur</w:t>
      </w:r>
      <w:r w:rsidRPr="001567E1">
        <w:rPr>
          <w:szCs w:val="24"/>
          <w:lang w:val="fr-FR"/>
        </w:rPr>
        <w:t xml:space="preserve"> la liste Rouge pour les espèces figurant à l’Annexe 2 de l’Accord.</w:t>
      </w:r>
      <w:r w:rsidR="00832DD4" w:rsidRPr="001567E1">
        <w:rPr>
          <w:szCs w:val="24"/>
          <w:lang w:val="fr-FR"/>
        </w:rPr>
        <w:t xml:space="preserve">  </w:t>
      </w:r>
    </w:p>
    <w:p w14:paraId="68BC3C69" w14:textId="6A0A682C" w:rsidR="00741F7A" w:rsidRPr="001567E1" w:rsidRDefault="007259C1" w:rsidP="00AD2D66">
      <w:pPr>
        <w:pStyle w:val="Normal1"/>
        <w:spacing w:after="120"/>
        <w:jc w:val="both"/>
        <w:rPr>
          <w:szCs w:val="24"/>
          <w:lang w:val="fr-FR"/>
        </w:rPr>
      </w:pPr>
      <w:r w:rsidRPr="001567E1">
        <w:rPr>
          <w:b/>
          <w:szCs w:val="24"/>
          <w:lang w:val="fr-FR"/>
        </w:rPr>
        <w:t xml:space="preserve">Partie 6 : </w:t>
      </w:r>
      <w:r w:rsidRPr="001567E1">
        <w:rPr>
          <w:szCs w:val="24"/>
          <w:lang w:val="fr-FR"/>
        </w:rPr>
        <w:t>fait part de l’état actuel des indicateurs du Plan stratégique de l’AEWA par rapport au point de référence de 2008.</w:t>
      </w:r>
      <w:r w:rsidR="00832DD4" w:rsidRPr="001567E1">
        <w:rPr>
          <w:szCs w:val="24"/>
          <w:lang w:val="fr-FR"/>
        </w:rPr>
        <w:t xml:space="preserve"> </w:t>
      </w:r>
    </w:p>
    <w:p w14:paraId="18667804" w14:textId="45A73620" w:rsidR="00741F7A" w:rsidRPr="001567E1" w:rsidRDefault="007259C1">
      <w:pPr>
        <w:pStyle w:val="Normal1"/>
        <w:jc w:val="both"/>
        <w:rPr>
          <w:szCs w:val="24"/>
          <w:lang w:val="fr-FR"/>
        </w:rPr>
      </w:pPr>
      <w:r w:rsidRPr="001567E1">
        <w:rPr>
          <w:b/>
          <w:szCs w:val="24"/>
          <w:lang w:val="fr-FR"/>
        </w:rPr>
        <w:t xml:space="preserve">Annexe 1 : </w:t>
      </w:r>
      <w:r w:rsidRPr="001567E1">
        <w:rPr>
          <w:szCs w:val="24"/>
          <w:lang w:val="fr-FR"/>
        </w:rPr>
        <w:t>contient le tableau documentant les tailles et tendances des populations d’oiseaux d’eau incluses dans l’Accord.</w:t>
      </w:r>
      <w:r w:rsidR="00832DD4" w:rsidRPr="001567E1">
        <w:rPr>
          <w:szCs w:val="24"/>
          <w:lang w:val="fr-FR"/>
        </w:rPr>
        <w:t xml:space="preserve"> </w:t>
      </w:r>
      <w:r w:rsidRPr="001567E1">
        <w:rPr>
          <w:szCs w:val="24"/>
          <w:lang w:val="fr-FR"/>
        </w:rPr>
        <w:t xml:space="preserve">Les mêmes informations sont également disponibles sur le </w:t>
      </w:r>
      <w:hyperlink r:id="rId13">
        <w:r w:rsidRPr="001567E1">
          <w:rPr>
            <w:color w:val="0000FF"/>
            <w:szCs w:val="24"/>
            <w:u w:val="single"/>
            <w:lang w:val="fr-FR"/>
          </w:rPr>
          <w:t>Portail des estimations des populations d’oiseaux d’eau</w:t>
        </w:r>
      </w:hyperlink>
      <w:r w:rsidRPr="001567E1">
        <w:rPr>
          <w:szCs w:val="24"/>
          <w:lang w:val="fr-FR"/>
        </w:rPr>
        <w:t>.</w:t>
      </w:r>
      <w:r w:rsidR="00832DD4" w:rsidRPr="001567E1">
        <w:rPr>
          <w:szCs w:val="24"/>
          <w:lang w:val="fr-FR"/>
        </w:rPr>
        <w:t xml:space="preserve"> </w:t>
      </w:r>
      <w:r w:rsidRPr="001567E1">
        <w:rPr>
          <w:szCs w:val="24"/>
          <w:lang w:val="fr-FR"/>
        </w:rPr>
        <w:t xml:space="preserve">Les instructions sur le moyen d’accès aux données et documents contextuels supplémentaires peuvent être consultées en cliquant </w:t>
      </w:r>
      <w:hyperlink r:id="rId14">
        <w:r w:rsidRPr="001567E1">
          <w:rPr>
            <w:color w:val="0000FF"/>
            <w:szCs w:val="24"/>
            <w:u w:val="single"/>
            <w:lang w:val="fr-FR"/>
          </w:rPr>
          <w:t>ici</w:t>
        </w:r>
      </w:hyperlink>
      <w:r w:rsidRPr="001567E1">
        <w:rPr>
          <w:szCs w:val="24"/>
          <w:lang w:val="fr-FR"/>
        </w:rPr>
        <w:t>.</w:t>
      </w:r>
    </w:p>
    <w:p w14:paraId="2E16EC33" w14:textId="77777777" w:rsidR="00741F7A" w:rsidRPr="001567E1" w:rsidRDefault="00741F7A">
      <w:pPr>
        <w:pStyle w:val="Normal1"/>
        <w:jc w:val="both"/>
        <w:rPr>
          <w:szCs w:val="24"/>
          <w:lang w:val="fr-FR"/>
        </w:rPr>
      </w:pPr>
    </w:p>
    <w:p w14:paraId="40702397" w14:textId="44A0F4A2" w:rsidR="00741F7A" w:rsidRPr="001567E1" w:rsidRDefault="007259C1">
      <w:pPr>
        <w:pStyle w:val="Normal1"/>
        <w:jc w:val="both"/>
        <w:rPr>
          <w:szCs w:val="24"/>
          <w:lang w:val="fr-FR"/>
        </w:rPr>
      </w:pPr>
      <w:r w:rsidRPr="001567E1">
        <w:rPr>
          <w:b/>
          <w:szCs w:val="24"/>
          <w:lang w:val="fr-FR"/>
        </w:rPr>
        <w:t xml:space="preserve">Annexe 2 : </w:t>
      </w:r>
      <w:r w:rsidRPr="001567E1">
        <w:rPr>
          <w:szCs w:val="24"/>
          <w:lang w:val="fr-FR"/>
        </w:rPr>
        <w:t xml:space="preserve">évaluation de l’état des populations de l’AEWA </w:t>
      </w:r>
      <w:r w:rsidR="004E3BA2">
        <w:rPr>
          <w:szCs w:val="24"/>
          <w:lang w:val="fr-FR"/>
        </w:rPr>
        <w:t>sur</w:t>
      </w:r>
      <w:r w:rsidRPr="001567E1">
        <w:rPr>
          <w:szCs w:val="24"/>
          <w:lang w:val="fr-FR"/>
        </w:rPr>
        <w:t xml:space="preserve"> la liste Rouge produite par Bird Life International en avril 2017.</w:t>
      </w:r>
    </w:p>
    <w:p w14:paraId="29122123" w14:textId="77777777" w:rsidR="00741F7A" w:rsidRPr="001567E1" w:rsidRDefault="00741F7A">
      <w:pPr>
        <w:pStyle w:val="Normal1"/>
        <w:jc w:val="both"/>
        <w:rPr>
          <w:szCs w:val="24"/>
          <w:lang w:val="fr-FR"/>
        </w:rPr>
      </w:pPr>
    </w:p>
    <w:p w14:paraId="378E07EB" w14:textId="29BC27BF" w:rsidR="00741F7A" w:rsidRPr="001567E1" w:rsidRDefault="00AD2D66">
      <w:pPr>
        <w:pStyle w:val="Normal1"/>
        <w:jc w:val="both"/>
        <w:rPr>
          <w:szCs w:val="24"/>
          <w:lang w:val="fr-FR"/>
        </w:rPr>
      </w:pPr>
      <w:r w:rsidRPr="001567E1">
        <w:rPr>
          <w:b/>
          <w:szCs w:val="24"/>
          <w:lang w:val="fr-FR"/>
        </w:rPr>
        <w:t xml:space="preserve">Annexe 3 : </w:t>
      </w:r>
      <w:r w:rsidRPr="001567E1">
        <w:rPr>
          <w:szCs w:val="24"/>
          <w:lang w:val="fr-FR"/>
        </w:rPr>
        <w:t>li</w:t>
      </w:r>
      <w:r w:rsidR="007259C1" w:rsidRPr="001567E1">
        <w:rPr>
          <w:szCs w:val="24"/>
          <w:lang w:val="fr-FR"/>
        </w:rPr>
        <w:t>st</w:t>
      </w:r>
      <w:r w:rsidRPr="001567E1">
        <w:rPr>
          <w:szCs w:val="24"/>
          <w:lang w:val="fr-FR"/>
        </w:rPr>
        <w:t>e</w:t>
      </w:r>
      <w:r w:rsidR="007259C1" w:rsidRPr="001567E1">
        <w:rPr>
          <w:szCs w:val="24"/>
          <w:lang w:val="fr-FR"/>
        </w:rPr>
        <w:t xml:space="preserve"> des coordinateurs nationaux de l’IWC</w:t>
      </w:r>
    </w:p>
    <w:p w14:paraId="5ED291CB" w14:textId="77777777" w:rsidR="00741F7A" w:rsidRPr="001567E1" w:rsidRDefault="00741F7A">
      <w:pPr>
        <w:pStyle w:val="Normal1"/>
        <w:jc w:val="both"/>
        <w:rPr>
          <w:lang w:val="fr-FR"/>
        </w:rPr>
      </w:pPr>
    </w:p>
    <w:p w14:paraId="7A5262AC" w14:textId="77777777" w:rsidR="007C0441" w:rsidRPr="001567E1" w:rsidRDefault="007C0441" w:rsidP="00932F0F">
      <w:pPr>
        <w:pStyle w:val="Caption"/>
        <w:rPr>
          <w:lang w:val="fr-FR"/>
        </w:rPr>
      </w:pPr>
    </w:p>
    <w:p w14:paraId="7D05EA62" w14:textId="77777777" w:rsidR="007C0441" w:rsidRPr="001567E1" w:rsidRDefault="005C1ACB" w:rsidP="00932F0F">
      <w:pPr>
        <w:pStyle w:val="Caption"/>
        <w:rPr>
          <w:lang w:val="fr-FR"/>
        </w:rPr>
      </w:pPr>
      <w:r w:rsidRPr="001567E1">
        <w:rPr>
          <w:noProof/>
          <w:lang w:val="nl-NL" w:eastAsia="nl-NL"/>
        </w:rPr>
        <mc:AlternateContent>
          <mc:Choice Requires="wps">
            <w:drawing>
              <wp:anchor distT="0" distB="0" distL="114300" distR="114300" simplePos="0" relativeHeight="251642368" behindDoc="1" locked="0" layoutInCell="1" allowOverlap="1" wp14:anchorId="5C8BD309" wp14:editId="5071EC4D">
                <wp:simplePos x="0" y="0"/>
                <wp:positionH relativeFrom="column">
                  <wp:posOffset>451485</wp:posOffset>
                </wp:positionH>
                <wp:positionV relativeFrom="paragraph">
                  <wp:posOffset>73025</wp:posOffset>
                </wp:positionV>
                <wp:extent cx="5343525" cy="2857500"/>
                <wp:effectExtent l="0" t="0" r="28575" b="19050"/>
                <wp:wrapTight wrapText="bothSides">
                  <wp:wrapPolygon edited="0">
                    <wp:start x="0" y="0"/>
                    <wp:lineTo x="0" y="21600"/>
                    <wp:lineTo x="21639" y="21600"/>
                    <wp:lineTo x="2163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343525" cy="2857500"/>
                        </a:xfrm>
                        <a:prstGeom prst="rect">
                          <a:avLst/>
                        </a:prstGeom>
                        <a:noFill/>
                        <a:ln w="12700">
                          <a:solidFill>
                            <a:schemeClr val="bg1">
                              <a:lumMod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4772EF" w14:textId="77777777" w:rsidR="00BC4D45" w:rsidRDefault="00BC4D45">
                            <w:r>
                              <w:rPr>
                                <w:noProof/>
                                <w:lang w:val="nl-NL" w:eastAsia="nl-NL"/>
                              </w:rPr>
                              <w:drawing>
                                <wp:inline distT="0" distB="0" distL="0" distR="0" wp14:anchorId="78D50141" wp14:editId="1FF31720">
                                  <wp:extent cx="4741545" cy="2766060"/>
                                  <wp:effectExtent l="0" t="0" r="0" b="152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8BD309" id="_x0000_t202" coordsize="21600,21600" o:spt="202" path="m,l,21600r21600,l21600,xe">
                <v:stroke joinstyle="miter"/>
                <v:path gradientshapeok="t" o:connecttype="rect"/>
              </v:shapetype>
              <v:shape id="Text Box 2" o:spid="_x0000_s1026" type="#_x0000_t202" style="position:absolute;margin-left:35.55pt;margin-top:5.75pt;width:420.75pt;height:2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" filled="f" strokecolor="#a5a5a5 [2092]" strokeweight="1pt">
                <v:textbox>
                  <w:txbxContent>
                    <w:p w14:paraId="674772EF" w14:textId="77777777" w:rsidR="00BC4D45" w:rsidRDefault="00BC4D45">
                      <w:r>
                        <w:rPr>
                          <w:noProof/>
                          <w:lang w:val="nl-NL" w:eastAsia="nl-NL"/>
                        </w:rPr>
                        <w:drawing>
                          <wp:inline distT="0" distB="0" distL="0" distR="0" wp14:anchorId="78D50141" wp14:editId="1FF31720">
                            <wp:extent cx="4741545" cy="2766060"/>
                            <wp:effectExtent l="0" t="0" r="0" b="1524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w10:wrap type="tight"/>
              </v:shape>
            </w:pict>
          </mc:Fallback>
        </mc:AlternateContent>
      </w:r>
    </w:p>
    <w:p w14:paraId="0899386B" w14:textId="77777777" w:rsidR="007C0441" w:rsidRPr="001567E1" w:rsidRDefault="007C0441" w:rsidP="00932F0F">
      <w:pPr>
        <w:pStyle w:val="Caption"/>
        <w:rPr>
          <w:lang w:val="fr-FR"/>
        </w:rPr>
      </w:pPr>
    </w:p>
    <w:p w14:paraId="57908AD5" w14:textId="77777777" w:rsidR="007C0441" w:rsidRPr="001567E1" w:rsidRDefault="007C0441" w:rsidP="00932F0F">
      <w:pPr>
        <w:pStyle w:val="Caption"/>
        <w:rPr>
          <w:lang w:val="fr-FR"/>
        </w:rPr>
      </w:pPr>
    </w:p>
    <w:p w14:paraId="460E8F72" w14:textId="77777777" w:rsidR="007C0441" w:rsidRPr="001567E1" w:rsidRDefault="007C0441" w:rsidP="00932F0F">
      <w:pPr>
        <w:pStyle w:val="Caption"/>
        <w:rPr>
          <w:lang w:val="fr-FR"/>
        </w:rPr>
      </w:pPr>
    </w:p>
    <w:p w14:paraId="526E4078" w14:textId="77777777" w:rsidR="007C0441" w:rsidRPr="001567E1" w:rsidRDefault="007C0441" w:rsidP="00932F0F">
      <w:pPr>
        <w:pStyle w:val="Caption"/>
        <w:rPr>
          <w:lang w:val="fr-FR"/>
        </w:rPr>
      </w:pPr>
    </w:p>
    <w:p w14:paraId="23AEB425" w14:textId="77777777" w:rsidR="007C0441" w:rsidRPr="001567E1" w:rsidRDefault="007C0441" w:rsidP="00932F0F">
      <w:pPr>
        <w:pStyle w:val="Caption"/>
        <w:rPr>
          <w:lang w:val="fr-FR"/>
        </w:rPr>
      </w:pPr>
    </w:p>
    <w:p w14:paraId="2A039537" w14:textId="77777777" w:rsidR="007C0441" w:rsidRPr="001567E1" w:rsidRDefault="007C0441" w:rsidP="00932F0F">
      <w:pPr>
        <w:pStyle w:val="Caption"/>
        <w:rPr>
          <w:lang w:val="fr-FR"/>
        </w:rPr>
      </w:pPr>
    </w:p>
    <w:p w14:paraId="29765F3F" w14:textId="77777777" w:rsidR="007C0441" w:rsidRPr="001567E1" w:rsidRDefault="007C0441" w:rsidP="00932F0F">
      <w:pPr>
        <w:pStyle w:val="Caption"/>
        <w:rPr>
          <w:lang w:val="fr-FR"/>
        </w:rPr>
      </w:pPr>
    </w:p>
    <w:p w14:paraId="319CB821" w14:textId="77777777" w:rsidR="007C0441" w:rsidRPr="001567E1" w:rsidRDefault="007C0441" w:rsidP="00932F0F">
      <w:pPr>
        <w:pStyle w:val="Caption"/>
        <w:rPr>
          <w:lang w:val="fr-FR"/>
        </w:rPr>
      </w:pPr>
    </w:p>
    <w:p w14:paraId="7B65657F" w14:textId="77777777" w:rsidR="007C0441" w:rsidRPr="001567E1" w:rsidRDefault="007C0441" w:rsidP="00932F0F">
      <w:pPr>
        <w:pStyle w:val="Caption"/>
        <w:rPr>
          <w:lang w:val="fr-FR"/>
        </w:rPr>
      </w:pPr>
    </w:p>
    <w:p w14:paraId="21ABF987" w14:textId="77777777" w:rsidR="007C0441" w:rsidRPr="001567E1" w:rsidRDefault="007C0441" w:rsidP="00932F0F">
      <w:pPr>
        <w:pStyle w:val="Caption"/>
        <w:rPr>
          <w:lang w:val="fr-FR"/>
        </w:rPr>
      </w:pPr>
    </w:p>
    <w:p w14:paraId="6018559F" w14:textId="08466122" w:rsidR="007C0441" w:rsidRPr="001567E1" w:rsidRDefault="00A2594E" w:rsidP="00932F0F">
      <w:pPr>
        <w:pStyle w:val="Caption"/>
        <w:rPr>
          <w:lang w:val="fr-FR"/>
        </w:rPr>
      </w:pPr>
      <w:r>
        <w:rPr>
          <w:lang w:val="fr-FR"/>
        </w:rPr>
        <w:t xml:space="preserve">     </w:t>
      </w:r>
    </w:p>
    <w:p w14:paraId="6156B69A" w14:textId="77777777" w:rsidR="007C0441" w:rsidRPr="001567E1" w:rsidRDefault="007C0441" w:rsidP="00932F0F">
      <w:pPr>
        <w:pStyle w:val="Caption"/>
        <w:rPr>
          <w:lang w:val="fr-FR"/>
        </w:rPr>
      </w:pPr>
    </w:p>
    <w:p w14:paraId="4F300744" w14:textId="55613B73" w:rsidR="00741F7A" w:rsidRPr="001567E1" w:rsidRDefault="007259C1" w:rsidP="007E54A0">
      <w:pPr>
        <w:pStyle w:val="Caption"/>
        <w:jc w:val="both"/>
        <w:rPr>
          <w:lang w:val="fr-FR"/>
        </w:rPr>
      </w:pPr>
      <w:r w:rsidRPr="001567E1">
        <w:rPr>
          <w:lang w:val="fr-FR"/>
        </w:rPr>
        <w:t xml:space="preserve">Figure </w:t>
      </w:r>
      <w:r w:rsidR="007E54A0">
        <w:rPr>
          <w:lang w:val="fr-FR"/>
        </w:rPr>
        <w:t>1.</w:t>
      </w:r>
      <w:r w:rsidRPr="001567E1">
        <w:rPr>
          <w:lang w:val="fr-FR"/>
        </w:rPr>
        <w:t xml:space="preserve"> Piste de vérification des données sur la taille et la tendance des populations u</w:t>
      </w:r>
      <w:r w:rsidR="0098167C" w:rsidRPr="001567E1">
        <w:rPr>
          <w:lang w:val="fr-FR"/>
        </w:rPr>
        <w:t>tilisée dans le</w:t>
      </w:r>
      <w:r w:rsidRPr="001567E1">
        <w:rPr>
          <w:lang w:val="fr-FR"/>
        </w:rPr>
        <w:t xml:space="preserve"> CSR7. </w:t>
      </w:r>
      <w:r w:rsidR="0098167C" w:rsidRPr="001567E1">
        <w:rPr>
          <w:lang w:val="fr-FR"/>
        </w:rPr>
        <w:t>Les évaluations sont documentées dans les entrées du</w:t>
      </w:r>
      <w:r w:rsidRPr="001567E1">
        <w:rPr>
          <w:lang w:val="fr-FR"/>
        </w:rPr>
        <w:t xml:space="preserve"> CSR7 </w:t>
      </w:r>
      <w:r w:rsidR="0098167C" w:rsidRPr="001567E1">
        <w:rPr>
          <w:lang w:val="fr-FR"/>
        </w:rPr>
        <w:t>sur le Portail des estimations des populations d’oiseaux d’eau</w:t>
      </w:r>
      <w:r w:rsidRPr="001567E1">
        <w:rPr>
          <w:lang w:val="fr-FR"/>
        </w:rPr>
        <w:t>.</w:t>
      </w:r>
      <w:r w:rsidR="007C0441" w:rsidRPr="001567E1">
        <w:rPr>
          <w:lang w:val="fr-FR"/>
        </w:rPr>
        <w:t xml:space="preserve"> </w:t>
      </w:r>
      <w:r w:rsidR="0098167C" w:rsidRPr="001567E1">
        <w:rPr>
          <w:lang w:val="fr-FR"/>
        </w:rPr>
        <w:t>Les analyses d’origine des autres références sont disponibles dans les sources de données.</w:t>
      </w:r>
      <w:r w:rsidR="001C48C6" w:rsidRPr="001567E1">
        <w:rPr>
          <w:lang w:val="fr-FR"/>
        </w:rPr>
        <w:t xml:space="preserve"> </w:t>
      </w:r>
    </w:p>
    <w:p w14:paraId="00939279" w14:textId="77777777" w:rsidR="00677A86" w:rsidRPr="001567E1" w:rsidRDefault="00677A86" w:rsidP="00AE16C5">
      <w:pPr>
        <w:pStyle w:val="Normal1"/>
        <w:jc w:val="both"/>
        <w:rPr>
          <w:sz w:val="18"/>
          <w:szCs w:val="18"/>
          <w:lang w:val="fr-FR"/>
        </w:rPr>
      </w:pPr>
      <w:r w:rsidRPr="001567E1">
        <w:rPr>
          <w:sz w:val="18"/>
          <w:szCs w:val="18"/>
          <w:vertAlign w:val="superscript"/>
          <w:lang w:val="fr-FR"/>
        </w:rPr>
        <w:t>1</w:t>
      </w:r>
      <w:r w:rsidRPr="001567E1">
        <w:rPr>
          <w:sz w:val="18"/>
          <w:szCs w:val="18"/>
          <w:lang w:val="fr-FR"/>
        </w:rPr>
        <w:t xml:space="preserve">: </w:t>
      </w:r>
      <w:hyperlink r:id="rId21" w:history="1">
        <w:r w:rsidRPr="001567E1">
          <w:rPr>
            <w:rStyle w:val="Hyperlink"/>
            <w:sz w:val="18"/>
            <w:szCs w:val="18"/>
            <w:lang w:val="fr-FR"/>
          </w:rPr>
          <w:t>http://wpe.wetlands.org/search?form%5Bspecies%5D=&amp;form%5Bpopulation%5D=&amp;form%5Bpublication%5D=10&amp;form%5Bprotection%5D%5B1%5D=1</w:t>
        </w:r>
      </w:hyperlink>
    </w:p>
    <w:p w14:paraId="3866EC79" w14:textId="77777777" w:rsidR="00677A86" w:rsidRPr="001567E1" w:rsidRDefault="00677A86" w:rsidP="00AE16C5">
      <w:pPr>
        <w:pStyle w:val="Normal1"/>
        <w:jc w:val="both"/>
        <w:rPr>
          <w:sz w:val="18"/>
          <w:szCs w:val="18"/>
          <w:lang w:val="fr-FR"/>
        </w:rPr>
      </w:pPr>
      <w:r w:rsidRPr="001567E1">
        <w:rPr>
          <w:sz w:val="18"/>
          <w:szCs w:val="18"/>
          <w:vertAlign w:val="superscript"/>
          <w:lang w:val="fr-FR"/>
        </w:rPr>
        <w:t>2</w:t>
      </w:r>
      <w:r w:rsidRPr="001567E1">
        <w:rPr>
          <w:sz w:val="18"/>
          <w:szCs w:val="18"/>
          <w:lang w:val="fr-FR"/>
        </w:rPr>
        <w:t xml:space="preserve">: </w:t>
      </w:r>
      <w:hyperlink r:id="rId22" w:history="1">
        <w:r w:rsidRPr="001567E1">
          <w:rPr>
            <w:rStyle w:val="Hyperlink"/>
            <w:sz w:val="18"/>
            <w:szCs w:val="18"/>
            <w:lang w:val="fr-FR"/>
          </w:rPr>
          <w:t>http://iwc.wetlands.org/index.php/aewatrends</w:t>
        </w:r>
      </w:hyperlink>
    </w:p>
    <w:p w14:paraId="5F8AA07E" w14:textId="77777777" w:rsidR="00677A86" w:rsidRPr="001567E1" w:rsidRDefault="00677A86" w:rsidP="00AE16C5">
      <w:pPr>
        <w:pStyle w:val="Normal1"/>
        <w:jc w:val="both"/>
        <w:rPr>
          <w:sz w:val="18"/>
          <w:szCs w:val="18"/>
          <w:lang w:val="fr-FR"/>
        </w:rPr>
      </w:pPr>
      <w:r w:rsidRPr="001567E1">
        <w:rPr>
          <w:sz w:val="18"/>
          <w:szCs w:val="18"/>
          <w:vertAlign w:val="superscript"/>
          <w:lang w:val="fr-FR"/>
        </w:rPr>
        <w:t>3</w:t>
      </w:r>
      <w:r w:rsidRPr="001567E1">
        <w:rPr>
          <w:sz w:val="18"/>
          <w:szCs w:val="18"/>
          <w:lang w:val="fr-FR"/>
        </w:rPr>
        <w:t xml:space="preserve">: </w:t>
      </w:r>
      <w:hyperlink r:id="rId23" w:history="1">
        <w:r w:rsidRPr="001567E1">
          <w:rPr>
            <w:rStyle w:val="Hyperlink"/>
            <w:sz w:val="18"/>
            <w:szCs w:val="18"/>
            <w:lang w:val="fr-FR"/>
          </w:rPr>
          <w:t>http://datazone.birdlife.org/info/euroredlist</w:t>
        </w:r>
      </w:hyperlink>
    </w:p>
    <w:p w14:paraId="643BF277" w14:textId="536019E2" w:rsidR="00677A86" w:rsidRPr="001567E1" w:rsidRDefault="0098167C" w:rsidP="00AE16C5">
      <w:pPr>
        <w:pStyle w:val="Normal1"/>
        <w:jc w:val="both"/>
        <w:rPr>
          <w:sz w:val="18"/>
          <w:szCs w:val="18"/>
          <w:lang w:val="fr-FR"/>
        </w:rPr>
      </w:pPr>
      <w:r w:rsidRPr="001567E1">
        <w:rPr>
          <w:sz w:val="18"/>
          <w:szCs w:val="18"/>
          <w:vertAlign w:val="superscript"/>
          <w:lang w:val="fr-FR"/>
        </w:rPr>
        <w:t>4</w:t>
      </w:r>
      <w:r w:rsidRPr="001567E1">
        <w:rPr>
          <w:sz w:val="18"/>
          <w:szCs w:val="18"/>
          <w:lang w:val="fr-FR"/>
        </w:rPr>
        <w:t>: http://www.waddensea-secretariat.org/sites/default/files/downloads/status_coastal_birds_eaf_2014_1.pdf</w:t>
      </w:r>
    </w:p>
    <w:p w14:paraId="6AD1A043" w14:textId="316FFC3C" w:rsidR="00677A86" w:rsidRPr="001567E1" w:rsidRDefault="00677A86" w:rsidP="00AE16C5">
      <w:pPr>
        <w:pStyle w:val="Normal1"/>
        <w:jc w:val="both"/>
        <w:rPr>
          <w:sz w:val="18"/>
          <w:szCs w:val="18"/>
          <w:lang w:val="fr-FR"/>
        </w:rPr>
      </w:pPr>
      <w:r w:rsidRPr="001567E1">
        <w:rPr>
          <w:sz w:val="18"/>
          <w:szCs w:val="18"/>
          <w:vertAlign w:val="superscript"/>
          <w:lang w:val="fr-FR"/>
        </w:rPr>
        <w:t>5</w:t>
      </w:r>
      <w:r w:rsidR="003A2B9E" w:rsidRPr="001567E1">
        <w:rPr>
          <w:sz w:val="18"/>
          <w:szCs w:val="18"/>
          <w:lang w:val="fr-FR"/>
        </w:rPr>
        <w:t>:</w:t>
      </w:r>
      <w:hyperlink r:id="rId24" w:history="1">
        <w:r w:rsidR="00EE6D14" w:rsidRPr="001567E1">
          <w:rPr>
            <w:rStyle w:val="Hyperlink"/>
            <w:sz w:val="18"/>
            <w:szCs w:val="18"/>
            <w:lang w:val="fr-FR"/>
          </w:rPr>
          <w:t>https://www.caff.is/assessment-series/all-assessment-documents/458-a-global-audit-of-the-status-and-trends-of-arctic-and-northern-hemisphere-goose</w:t>
        </w:r>
      </w:hyperlink>
    </w:p>
    <w:p w14:paraId="06FE0CCD" w14:textId="79E00F5C" w:rsidR="00EE6D14" w:rsidRPr="001567E1" w:rsidRDefault="0098167C" w:rsidP="00AE16C5">
      <w:pPr>
        <w:pStyle w:val="Normal1"/>
        <w:jc w:val="both"/>
        <w:rPr>
          <w:sz w:val="18"/>
          <w:szCs w:val="18"/>
          <w:lang w:val="fr-FR"/>
        </w:rPr>
      </w:pPr>
      <w:r w:rsidRPr="001567E1">
        <w:rPr>
          <w:sz w:val="18"/>
          <w:szCs w:val="18"/>
          <w:vertAlign w:val="superscript"/>
          <w:lang w:val="fr-FR"/>
        </w:rPr>
        <w:t>6</w:t>
      </w:r>
      <w:r w:rsidRPr="001567E1">
        <w:rPr>
          <w:sz w:val="18"/>
          <w:szCs w:val="18"/>
          <w:lang w:val="fr-FR"/>
        </w:rPr>
        <w:t>: https://www.wetlands.org/publications/1304/</w:t>
      </w:r>
    </w:p>
    <w:p w14:paraId="5B3DBBA9" w14:textId="77777777" w:rsidR="00741F7A" w:rsidRPr="001567E1" w:rsidRDefault="00832DD4">
      <w:pPr>
        <w:pStyle w:val="Normal1"/>
        <w:rPr>
          <w:lang w:val="fr-FR"/>
        </w:rPr>
      </w:pPr>
      <w:r w:rsidRPr="001567E1">
        <w:rPr>
          <w:lang w:val="fr-FR"/>
        </w:rPr>
        <w:br w:type="page"/>
      </w:r>
    </w:p>
    <w:p w14:paraId="5E261B99" w14:textId="7080AC7F" w:rsidR="00741F7A" w:rsidRDefault="0098167C" w:rsidP="00A2594E">
      <w:pPr>
        <w:pStyle w:val="Heading1"/>
        <w:ind w:left="1276" w:hanging="1276"/>
        <w:rPr>
          <w:sz w:val="28"/>
          <w:lang w:val="fr-FR"/>
        </w:rPr>
      </w:pPr>
      <w:bookmarkStart w:id="18" w:name="h.2et92p0" w:colFirst="0" w:colLast="0"/>
      <w:bookmarkStart w:id="19" w:name="_Toc517262002"/>
      <w:bookmarkEnd w:id="18"/>
      <w:r w:rsidRPr="001567E1">
        <w:rPr>
          <w:sz w:val="28"/>
          <w:lang w:val="fr-FR"/>
        </w:rPr>
        <w:lastRenderedPageBreak/>
        <w:t>Partie 1.</w:t>
      </w:r>
      <w:r w:rsidR="00832DD4" w:rsidRPr="001567E1">
        <w:rPr>
          <w:sz w:val="28"/>
          <w:lang w:val="fr-FR"/>
        </w:rPr>
        <w:t xml:space="preserve"> </w:t>
      </w:r>
      <w:r w:rsidR="00832DD4" w:rsidRPr="001567E1">
        <w:rPr>
          <w:sz w:val="28"/>
          <w:lang w:val="fr-FR"/>
        </w:rPr>
        <w:tab/>
      </w:r>
      <w:r w:rsidRPr="001567E1">
        <w:rPr>
          <w:sz w:val="28"/>
          <w:lang w:val="fr-FR"/>
        </w:rPr>
        <w:t>Découpages taxonomiques et géographiques des populations d'oiseaux d'eau incluses dans l’Accord.</w:t>
      </w:r>
      <w:bookmarkEnd w:id="19"/>
    </w:p>
    <w:p w14:paraId="13667B6D" w14:textId="77777777" w:rsidR="00A2594E" w:rsidRPr="00A2594E" w:rsidRDefault="00A2594E" w:rsidP="00A2594E">
      <w:pPr>
        <w:pStyle w:val="Normal1"/>
        <w:rPr>
          <w:lang w:val="fr-FR"/>
        </w:rPr>
      </w:pPr>
    </w:p>
    <w:p w14:paraId="76FD9A17" w14:textId="120A434E" w:rsidR="00741F7A" w:rsidRPr="001567E1" w:rsidRDefault="0098167C" w:rsidP="00AD2D66">
      <w:pPr>
        <w:pStyle w:val="Heading3"/>
        <w:rPr>
          <w:lang w:val="fr-FR"/>
        </w:rPr>
      </w:pPr>
      <w:bookmarkStart w:id="20" w:name="h.tyjcwt" w:colFirst="0" w:colLast="0"/>
      <w:bookmarkStart w:id="21" w:name="_Toc517262003"/>
      <w:bookmarkEnd w:id="20"/>
      <w:r w:rsidRPr="001567E1">
        <w:rPr>
          <w:rFonts w:ascii="Times New Roman" w:eastAsia="Times New Roman" w:hAnsi="Times New Roman" w:cs="Times New Roman"/>
          <w:lang w:val="fr-FR"/>
        </w:rPr>
        <w:t>Presque 70 % des populations de l’AEWA sont des échassiers ou des gibiers d’eau</w:t>
      </w:r>
      <w:bookmarkEnd w:id="21"/>
    </w:p>
    <w:p w14:paraId="7A0D5891" w14:textId="4019EC35" w:rsidR="00741F7A" w:rsidRPr="001567E1" w:rsidRDefault="0098167C">
      <w:pPr>
        <w:pStyle w:val="Normal1"/>
        <w:jc w:val="both"/>
        <w:rPr>
          <w:szCs w:val="24"/>
          <w:lang w:val="fr-FR"/>
        </w:rPr>
      </w:pPr>
      <w:r w:rsidRPr="001567E1">
        <w:rPr>
          <w:szCs w:val="24"/>
          <w:lang w:val="fr-FR"/>
        </w:rPr>
        <w:t>Ce rapport a</w:t>
      </w:r>
      <w:r w:rsidR="00AD2D66" w:rsidRPr="001567E1">
        <w:rPr>
          <w:szCs w:val="24"/>
          <w:lang w:val="fr-FR"/>
        </w:rPr>
        <w:t>ttribue</w:t>
      </w:r>
      <w:r w:rsidRPr="001567E1">
        <w:rPr>
          <w:szCs w:val="24"/>
          <w:lang w:val="fr-FR"/>
        </w:rPr>
        <w:t xml:space="preserve"> des espèces à des familles selon la taxonomie utilisée dans la liste de contrôle de BirdLife International</w:t>
      </w:r>
      <w:r w:rsidRPr="001567E1">
        <w:rPr>
          <w:szCs w:val="24"/>
          <w:vertAlign w:val="superscript"/>
          <w:lang w:val="fr-FR"/>
        </w:rPr>
        <w:footnoteReference w:id="9"/>
      </w:r>
      <w:r w:rsidRPr="001567E1">
        <w:rPr>
          <w:szCs w:val="24"/>
          <w:lang w:val="fr-FR"/>
        </w:rPr>
        <w:t>.</w:t>
      </w:r>
    </w:p>
    <w:p w14:paraId="6D0BA863" w14:textId="77777777" w:rsidR="00741F7A" w:rsidRPr="001567E1" w:rsidRDefault="00741F7A">
      <w:pPr>
        <w:pStyle w:val="Normal1"/>
        <w:jc w:val="both"/>
        <w:rPr>
          <w:szCs w:val="24"/>
          <w:lang w:val="fr-FR"/>
        </w:rPr>
      </w:pPr>
    </w:p>
    <w:p w14:paraId="7347C596" w14:textId="44879775" w:rsidR="00741F7A" w:rsidRPr="001567E1" w:rsidRDefault="004E3BA2">
      <w:pPr>
        <w:pStyle w:val="Normal1"/>
        <w:jc w:val="both"/>
        <w:rPr>
          <w:szCs w:val="24"/>
          <w:lang w:val="fr-FR"/>
        </w:rPr>
      </w:pPr>
      <w:r>
        <w:rPr>
          <w:szCs w:val="24"/>
          <w:lang w:val="fr-FR"/>
        </w:rPr>
        <w:t>L’A</w:t>
      </w:r>
      <w:r w:rsidR="0098167C" w:rsidRPr="001567E1">
        <w:rPr>
          <w:szCs w:val="24"/>
          <w:lang w:val="fr-FR"/>
        </w:rPr>
        <w:t xml:space="preserve">ccord inclut 553 populations de 254 espèces appartenant à 26 familles (manchots </w:t>
      </w:r>
      <w:r w:rsidR="0098167C" w:rsidRPr="001567E1">
        <w:rPr>
          <w:i/>
          <w:szCs w:val="24"/>
          <w:lang w:val="fr-FR"/>
        </w:rPr>
        <w:t>Spheniscidae</w:t>
      </w:r>
      <w:r w:rsidR="0098167C" w:rsidRPr="001567E1">
        <w:rPr>
          <w:szCs w:val="24"/>
          <w:lang w:val="fr-FR"/>
        </w:rPr>
        <w:t xml:space="preserve">, huarts et plongeons </w:t>
      </w:r>
      <w:r w:rsidR="0098167C" w:rsidRPr="001567E1">
        <w:rPr>
          <w:i/>
          <w:szCs w:val="24"/>
          <w:lang w:val="fr-FR"/>
        </w:rPr>
        <w:t>Gaviidae</w:t>
      </w:r>
      <w:r w:rsidR="0098167C" w:rsidRPr="001567E1">
        <w:rPr>
          <w:szCs w:val="24"/>
          <w:lang w:val="fr-FR"/>
        </w:rPr>
        <w:t xml:space="preserve">, grèbes </w:t>
      </w:r>
      <w:r w:rsidR="0098167C" w:rsidRPr="001567E1">
        <w:rPr>
          <w:i/>
          <w:szCs w:val="24"/>
          <w:lang w:val="fr-FR"/>
        </w:rPr>
        <w:t>Podicipedidae</w:t>
      </w:r>
      <w:r w:rsidR="0098167C" w:rsidRPr="001567E1">
        <w:rPr>
          <w:szCs w:val="24"/>
          <w:lang w:val="fr-FR"/>
        </w:rPr>
        <w:t xml:space="preserve">, </w:t>
      </w:r>
      <w:r>
        <w:rPr>
          <w:szCs w:val="24"/>
          <w:lang w:val="fr-FR"/>
        </w:rPr>
        <w:t>phaétons</w:t>
      </w:r>
      <w:r w:rsidR="0098167C" w:rsidRPr="001567E1">
        <w:rPr>
          <w:szCs w:val="24"/>
          <w:lang w:val="fr-FR"/>
        </w:rPr>
        <w:t xml:space="preserve"> </w:t>
      </w:r>
      <w:r w:rsidR="0098167C" w:rsidRPr="001567E1">
        <w:rPr>
          <w:i/>
          <w:szCs w:val="24"/>
          <w:lang w:val="fr-FR"/>
        </w:rPr>
        <w:t>Phaethonitidae</w:t>
      </w:r>
      <w:r w:rsidR="0098167C" w:rsidRPr="001567E1">
        <w:rPr>
          <w:szCs w:val="24"/>
          <w:lang w:val="fr-FR"/>
        </w:rPr>
        <w:t xml:space="preserve">, pélicans </w:t>
      </w:r>
      <w:r w:rsidR="0098167C" w:rsidRPr="001567E1">
        <w:rPr>
          <w:i/>
          <w:szCs w:val="24"/>
          <w:lang w:val="fr-FR"/>
        </w:rPr>
        <w:t>Pelicanidae</w:t>
      </w:r>
      <w:r w:rsidR="0098167C" w:rsidRPr="001567E1">
        <w:rPr>
          <w:szCs w:val="24"/>
          <w:lang w:val="fr-FR"/>
        </w:rPr>
        <w:t xml:space="preserve">, fous </w:t>
      </w:r>
      <w:r w:rsidR="0098167C" w:rsidRPr="001567E1">
        <w:rPr>
          <w:i/>
          <w:szCs w:val="24"/>
          <w:lang w:val="fr-FR"/>
        </w:rPr>
        <w:t>Sulidae</w:t>
      </w:r>
      <w:r w:rsidR="0098167C" w:rsidRPr="001567E1">
        <w:rPr>
          <w:szCs w:val="24"/>
          <w:lang w:val="fr-FR"/>
        </w:rPr>
        <w:t xml:space="preserve">, cormorans </w:t>
      </w:r>
      <w:r w:rsidR="0098167C" w:rsidRPr="001567E1">
        <w:rPr>
          <w:i/>
          <w:szCs w:val="24"/>
          <w:lang w:val="fr-FR"/>
        </w:rPr>
        <w:t>Phalacrocoracidae</w:t>
      </w:r>
      <w:r w:rsidR="0098167C" w:rsidRPr="001567E1">
        <w:rPr>
          <w:szCs w:val="24"/>
          <w:lang w:val="fr-FR"/>
        </w:rPr>
        <w:t xml:space="preserve">, frégates </w:t>
      </w:r>
      <w:r w:rsidR="0098167C" w:rsidRPr="001567E1">
        <w:rPr>
          <w:i/>
          <w:szCs w:val="24"/>
          <w:lang w:val="fr-FR"/>
        </w:rPr>
        <w:t>Fregatidae</w:t>
      </w:r>
      <w:r w:rsidR="0098167C" w:rsidRPr="001567E1">
        <w:rPr>
          <w:szCs w:val="24"/>
          <w:lang w:val="fr-FR"/>
        </w:rPr>
        <w:t xml:space="preserve">, hérons et aigrettes </w:t>
      </w:r>
      <w:r w:rsidR="0098167C" w:rsidRPr="001567E1">
        <w:rPr>
          <w:i/>
          <w:szCs w:val="24"/>
          <w:lang w:val="fr-FR"/>
        </w:rPr>
        <w:t>Ardeidae</w:t>
      </w:r>
      <w:r w:rsidR="0098167C" w:rsidRPr="001567E1">
        <w:rPr>
          <w:szCs w:val="24"/>
          <w:lang w:val="fr-FR"/>
        </w:rPr>
        <w:t xml:space="preserve">, cigognes </w:t>
      </w:r>
      <w:r w:rsidR="0098167C" w:rsidRPr="001567E1">
        <w:rPr>
          <w:i/>
          <w:szCs w:val="24"/>
          <w:lang w:val="fr-FR"/>
        </w:rPr>
        <w:t>Ciconiidae</w:t>
      </w:r>
      <w:r w:rsidR="0098167C" w:rsidRPr="001567E1">
        <w:rPr>
          <w:szCs w:val="24"/>
          <w:lang w:val="fr-FR"/>
        </w:rPr>
        <w:t xml:space="preserve">, bec-en-sabot </w:t>
      </w:r>
      <w:r w:rsidR="0098167C" w:rsidRPr="001567E1">
        <w:rPr>
          <w:i/>
          <w:szCs w:val="24"/>
          <w:lang w:val="fr-FR"/>
        </w:rPr>
        <w:t>Balaenicipitidae</w:t>
      </w:r>
      <w:r w:rsidR="0098167C" w:rsidRPr="001567E1">
        <w:rPr>
          <w:szCs w:val="24"/>
          <w:lang w:val="fr-FR"/>
        </w:rPr>
        <w:t xml:space="preserve">, ibis et spatules </w:t>
      </w:r>
      <w:r w:rsidR="0098167C" w:rsidRPr="001567E1">
        <w:rPr>
          <w:i/>
          <w:szCs w:val="24"/>
          <w:lang w:val="fr-FR"/>
        </w:rPr>
        <w:t>Therskiornithidae</w:t>
      </w:r>
      <w:r w:rsidR="0098167C" w:rsidRPr="001567E1">
        <w:rPr>
          <w:szCs w:val="24"/>
          <w:lang w:val="fr-FR"/>
        </w:rPr>
        <w:t xml:space="preserve">, flamants </w:t>
      </w:r>
      <w:r w:rsidR="0098167C" w:rsidRPr="001567E1">
        <w:rPr>
          <w:i/>
          <w:szCs w:val="24"/>
          <w:lang w:val="fr-FR"/>
        </w:rPr>
        <w:t>Phoenicopteridae</w:t>
      </w:r>
      <w:r w:rsidR="0098167C" w:rsidRPr="001567E1">
        <w:rPr>
          <w:szCs w:val="24"/>
          <w:lang w:val="fr-FR"/>
        </w:rPr>
        <w:t xml:space="preserve">, canards, oies et cygnes </w:t>
      </w:r>
      <w:r w:rsidR="0098167C" w:rsidRPr="001567E1">
        <w:rPr>
          <w:i/>
          <w:szCs w:val="24"/>
          <w:lang w:val="fr-FR"/>
        </w:rPr>
        <w:t>Anatidae</w:t>
      </w:r>
      <w:r w:rsidR="0098167C" w:rsidRPr="001567E1">
        <w:rPr>
          <w:szCs w:val="24"/>
          <w:lang w:val="fr-FR"/>
        </w:rPr>
        <w:t xml:space="preserve">, grues </w:t>
      </w:r>
      <w:r w:rsidR="0098167C" w:rsidRPr="001567E1">
        <w:rPr>
          <w:i/>
          <w:szCs w:val="24"/>
          <w:lang w:val="fr-FR"/>
        </w:rPr>
        <w:t>Gruidae</w:t>
      </w:r>
      <w:r w:rsidR="0098167C" w:rsidRPr="001567E1">
        <w:rPr>
          <w:szCs w:val="24"/>
          <w:lang w:val="fr-FR"/>
        </w:rPr>
        <w:t xml:space="preserve">, râles, marouettes et espèces apparentées </w:t>
      </w:r>
      <w:r w:rsidR="0098167C" w:rsidRPr="001567E1">
        <w:rPr>
          <w:i/>
          <w:szCs w:val="24"/>
          <w:lang w:val="fr-FR"/>
        </w:rPr>
        <w:t>Rallidae</w:t>
      </w:r>
      <w:r w:rsidR="0098167C" w:rsidRPr="001567E1">
        <w:rPr>
          <w:szCs w:val="24"/>
          <w:lang w:val="fr-FR"/>
        </w:rPr>
        <w:t xml:space="preserve">, drome ardéole </w:t>
      </w:r>
      <w:r w:rsidR="0098167C" w:rsidRPr="001567E1">
        <w:rPr>
          <w:i/>
          <w:szCs w:val="24"/>
          <w:lang w:val="fr-FR"/>
        </w:rPr>
        <w:t>Dromadidae</w:t>
      </w:r>
      <w:r w:rsidR="0098167C" w:rsidRPr="001567E1">
        <w:rPr>
          <w:szCs w:val="24"/>
          <w:lang w:val="fr-FR"/>
        </w:rPr>
        <w:t xml:space="preserve">, échasses et avocettes </w:t>
      </w:r>
      <w:r w:rsidR="0098167C" w:rsidRPr="001567E1">
        <w:rPr>
          <w:i/>
          <w:szCs w:val="24"/>
          <w:lang w:val="fr-FR"/>
        </w:rPr>
        <w:t>Recurvirostridae</w:t>
      </w:r>
      <w:r w:rsidR="0098167C" w:rsidRPr="001567E1">
        <w:rPr>
          <w:szCs w:val="24"/>
          <w:lang w:val="fr-FR"/>
        </w:rPr>
        <w:t xml:space="preserve">, huîtriers </w:t>
      </w:r>
      <w:r w:rsidR="0098167C" w:rsidRPr="001567E1">
        <w:rPr>
          <w:i/>
          <w:szCs w:val="24"/>
          <w:lang w:val="fr-FR"/>
        </w:rPr>
        <w:t>Haematopodidae</w:t>
      </w:r>
      <w:r w:rsidR="0098167C" w:rsidRPr="001567E1">
        <w:rPr>
          <w:szCs w:val="24"/>
          <w:lang w:val="fr-FR"/>
        </w:rPr>
        <w:t xml:space="preserve">, œdicnèmes </w:t>
      </w:r>
      <w:r w:rsidR="0098167C" w:rsidRPr="001567E1">
        <w:rPr>
          <w:i/>
          <w:szCs w:val="24"/>
          <w:lang w:val="fr-FR"/>
        </w:rPr>
        <w:t>Burhinidae</w:t>
      </w:r>
      <w:r w:rsidR="0098167C" w:rsidRPr="001567E1">
        <w:rPr>
          <w:szCs w:val="24"/>
          <w:lang w:val="fr-FR"/>
        </w:rPr>
        <w:t xml:space="preserve">, courvites et glaréoles </w:t>
      </w:r>
      <w:r w:rsidR="0098167C" w:rsidRPr="001567E1">
        <w:rPr>
          <w:i/>
          <w:szCs w:val="24"/>
          <w:lang w:val="fr-FR"/>
        </w:rPr>
        <w:t>Glareolidae</w:t>
      </w:r>
      <w:r w:rsidR="0098167C" w:rsidRPr="001567E1">
        <w:rPr>
          <w:szCs w:val="24"/>
          <w:lang w:val="fr-FR"/>
        </w:rPr>
        <w:t xml:space="preserve">, pluviers </w:t>
      </w:r>
      <w:r w:rsidR="0098167C" w:rsidRPr="001567E1">
        <w:rPr>
          <w:i/>
          <w:szCs w:val="24"/>
          <w:lang w:val="fr-FR"/>
        </w:rPr>
        <w:t>Charadriidae</w:t>
      </w:r>
      <w:r w:rsidR="0098167C" w:rsidRPr="001567E1">
        <w:rPr>
          <w:szCs w:val="24"/>
          <w:lang w:val="fr-FR"/>
        </w:rPr>
        <w:t xml:space="preserve">, bécasseaux et espèces apparentées </w:t>
      </w:r>
      <w:r w:rsidR="0098167C" w:rsidRPr="001567E1">
        <w:rPr>
          <w:i/>
          <w:szCs w:val="24"/>
          <w:lang w:val="fr-FR"/>
        </w:rPr>
        <w:t>Scolopacidae</w:t>
      </w:r>
      <w:r w:rsidR="0098167C" w:rsidRPr="001567E1">
        <w:rPr>
          <w:szCs w:val="24"/>
          <w:lang w:val="fr-FR"/>
        </w:rPr>
        <w:t xml:space="preserve">, skuas et labbes </w:t>
      </w:r>
      <w:r w:rsidR="0098167C" w:rsidRPr="001567E1">
        <w:rPr>
          <w:i/>
          <w:szCs w:val="24"/>
          <w:lang w:val="fr-FR"/>
        </w:rPr>
        <w:t>Stercorariidae</w:t>
      </w:r>
      <w:r w:rsidR="0098167C" w:rsidRPr="001567E1">
        <w:rPr>
          <w:szCs w:val="24"/>
          <w:lang w:val="fr-FR"/>
        </w:rPr>
        <w:t xml:space="preserve">, goélands et sternes </w:t>
      </w:r>
      <w:r w:rsidR="0098167C" w:rsidRPr="001567E1">
        <w:rPr>
          <w:i/>
          <w:szCs w:val="24"/>
          <w:lang w:val="fr-FR"/>
        </w:rPr>
        <w:t>Laridae</w:t>
      </w:r>
      <w:r w:rsidR="0098167C" w:rsidRPr="001567E1">
        <w:rPr>
          <w:szCs w:val="24"/>
          <w:lang w:val="fr-FR"/>
        </w:rPr>
        <w:t xml:space="preserve"> et mergules </w:t>
      </w:r>
      <w:r w:rsidR="0098167C" w:rsidRPr="001567E1">
        <w:rPr>
          <w:i/>
          <w:szCs w:val="24"/>
          <w:lang w:val="fr-FR"/>
        </w:rPr>
        <w:t>Alcidae</w:t>
      </w:r>
      <w:r w:rsidR="0098167C" w:rsidRPr="001567E1">
        <w:rPr>
          <w:szCs w:val="24"/>
          <w:lang w:val="fr-FR"/>
        </w:rPr>
        <w:t>)</w:t>
      </w:r>
      <w:r w:rsidR="00881D95" w:rsidRPr="001567E1">
        <w:rPr>
          <w:szCs w:val="24"/>
          <w:lang w:val="fr-FR"/>
        </w:rPr>
        <w:t xml:space="preserve"> appartenant à 11 ordres</w:t>
      </w:r>
      <w:r w:rsidR="0098167C" w:rsidRPr="001567E1">
        <w:rPr>
          <w:szCs w:val="24"/>
          <w:lang w:val="fr-FR"/>
        </w:rPr>
        <w:t>.</w:t>
      </w:r>
      <w:r w:rsidR="00832DD4" w:rsidRPr="001567E1">
        <w:rPr>
          <w:szCs w:val="24"/>
          <w:lang w:val="fr-FR"/>
        </w:rPr>
        <w:t xml:space="preserve"> </w:t>
      </w:r>
    </w:p>
    <w:p w14:paraId="237413CA" w14:textId="77777777" w:rsidR="00741F7A" w:rsidRPr="001567E1" w:rsidRDefault="00741F7A">
      <w:pPr>
        <w:pStyle w:val="Normal1"/>
        <w:jc w:val="both"/>
        <w:rPr>
          <w:szCs w:val="24"/>
          <w:lang w:val="fr-FR"/>
        </w:rPr>
      </w:pPr>
    </w:p>
    <w:p w14:paraId="3727EF72" w14:textId="4CBF4B66" w:rsidR="00741F7A" w:rsidRPr="001567E1" w:rsidRDefault="00881D95">
      <w:pPr>
        <w:pStyle w:val="Normal1"/>
        <w:jc w:val="both"/>
        <w:rPr>
          <w:szCs w:val="24"/>
          <w:lang w:val="fr-FR"/>
        </w:rPr>
      </w:pPr>
      <w:r w:rsidRPr="001567E1">
        <w:rPr>
          <w:szCs w:val="24"/>
          <w:lang w:val="fr-FR"/>
        </w:rPr>
        <w:t xml:space="preserve">La grande majorité des populations appartiennent à l’ordre des </w:t>
      </w:r>
      <w:r w:rsidRPr="001567E1">
        <w:rPr>
          <w:i/>
          <w:szCs w:val="24"/>
          <w:lang w:val="fr-FR"/>
        </w:rPr>
        <w:t xml:space="preserve">Charadriiformes </w:t>
      </w:r>
      <w:r w:rsidRPr="001567E1">
        <w:rPr>
          <w:szCs w:val="24"/>
          <w:lang w:val="fr-FR"/>
        </w:rPr>
        <w:t>(45 % des populations de l’AEWA, qui inclu</w:t>
      </w:r>
      <w:r w:rsidR="004E3BA2">
        <w:rPr>
          <w:szCs w:val="24"/>
          <w:lang w:val="fr-FR"/>
        </w:rPr>
        <w:t>t</w:t>
      </w:r>
      <w:r w:rsidRPr="001567E1">
        <w:rPr>
          <w:szCs w:val="24"/>
          <w:lang w:val="fr-FR"/>
        </w:rPr>
        <w:t xml:space="preserve"> les goélands et les sternes (16 %) ainsi que les bécasseaux et espèces apparentées (13 %) et à l’ordre des </w:t>
      </w:r>
      <w:r w:rsidRPr="001567E1">
        <w:rPr>
          <w:i/>
          <w:szCs w:val="24"/>
          <w:lang w:val="fr-FR"/>
        </w:rPr>
        <w:t>Anseriformes</w:t>
      </w:r>
      <w:r w:rsidRPr="001567E1">
        <w:rPr>
          <w:szCs w:val="24"/>
          <w:lang w:val="fr-FR"/>
        </w:rPr>
        <w:t xml:space="preserve"> (24 %), avec une seule famille : les ca</w:t>
      </w:r>
      <w:r w:rsidR="00360B48">
        <w:rPr>
          <w:szCs w:val="24"/>
          <w:lang w:val="fr-FR"/>
        </w:rPr>
        <w:t xml:space="preserve">nards, les oies et les cygnes </w:t>
      </w:r>
      <w:r w:rsidR="00D41A6C">
        <w:rPr>
          <w:szCs w:val="24"/>
          <w:lang w:val="fr-FR"/>
        </w:rPr>
        <w:t>(figure</w:t>
      </w:r>
      <w:r w:rsidRPr="001567E1">
        <w:rPr>
          <w:szCs w:val="24"/>
          <w:lang w:val="fr-FR"/>
        </w:rPr>
        <w:t xml:space="preserve"> 2).</w:t>
      </w:r>
    </w:p>
    <w:p w14:paraId="1219B1B2" w14:textId="77777777" w:rsidR="00741F7A" w:rsidRPr="001567E1" w:rsidRDefault="00741F7A">
      <w:pPr>
        <w:pStyle w:val="Normal1"/>
        <w:jc w:val="both"/>
        <w:rPr>
          <w:lang w:val="fr-FR"/>
        </w:rPr>
      </w:pPr>
    </w:p>
    <w:p w14:paraId="7EC2C5DD" w14:textId="6955CD12" w:rsidR="00741F7A" w:rsidRPr="001567E1" w:rsidRDefault="006B0FEA">
      <w:pPr>
        <w:pStyle w:val="Normal1"/>
        <w:keepNext/>
        <w:rPr>
          <w:lang w:val="fr-FR"/>
        </w:rPr>
      </w:pPr>
      <w:r>
        <w:rPr>
          <w:noProof/>
          <w:lang w:val="fr-FR"/>
        </w:rPr>
        <mc:AlternateContent>
          <mc:Choice Requires="wps">
            <w:drawing>
              <wp:anchor distT="0" distB="0" distL="114300" distR="114300" simplePos="0" relativeHeight="251666944" behindDoc="0" locked="0" layoutInCell="1" allowOverlap="1" wp14:anchorId="1BA91DF5" wp14:editId="20481E56">
                <wp:simplePos x="0" y="0"/>
                <wp:positionH relativeFrom="column">
                  <wp:posOffset>5509260</wp:posOffset>
                </wp:positionH>
                <wp:positionV relativeFrom="paragraph">
                  <wp:posOffset>1381124</wp:posOffset>
                </wp:positionV>
                <wp:extent cx="952500" cy="638175"/>
                <wp:effectExtent l="0" t="0" r="0" b="9525"/>
                <wp:wrapNone/>
                <wp:docPr id="63" name="Text Box 63"/>
                <wp:cNvGraphicFramePr/>
                <a:graphic xmlns:a="http://schemas.openxmlformats.org/drawingml/2006/main">
                  <a:graphicData uri="http://schemas.microsoft.com/office/word/2010/wordprocessingShape">
                    <wps:wsp>
                      <wps:cNvSpPr txBox="1"/>
                      <wps:spPr>
                        <a:xfrm>
                          <a:off x="0" y="0"/>
                          <a:ext cx="952500" cy="638175"/>
                        </a:xfrm>
                        <a:prstGeom prst="rect">
                          <a:avLst/>
                        </a:prstGeom>
                        <a:solidFill>
                          <a:schemeClr val="lt1"/>
                        </a:solidFill>
                        <a:ln w="6350">
                          <a:noFill/>
                        </a:ln>
                      </wps:spPr>
                      <wps:txbx>
                        <w:txbxContent>
                          <w:p w14:paraId="6DB6F458" w14:textId="77777777" w:rsidR="00BC4D45" w:rsidRPr="00A2594E" w:rsidRDefault="00BC4D45" w:rsidP="00A2594E">
                            <w:pPr>
                              <w:pStyle w:val="ListParagraph"/>
                              <w:numPr>
                                <w:ilvl w:val="0"/>
                                <w:numId w:val="45"/>
                              </w:numPr>
                              <w:tabs>
                                <w:tab w:val="left" w:pos="3686"/>
                                <w:tab w:val="left" w:pos="6096"/>
                                <w:tab w:val="left" w:pos="7088"/>
                              </w:tabs>
                              <w:ind w:left="142" w:hanging="142"/>
                              <w:rPr>
                                <w:b/>
                                <w:bCs/>
                                <w:color w:val="4F81BD" w:themeColor="accent1"/>
                                <w:sz w:val="18"/>
                                <w:szCs w:val="18"/>
                                <w:lang w:val="fr-FR"/>
                              </w:rPr>
                            </w:pPr>
                            <w:r w:rsidRPr="00A2594E">
                              <w:rPr>
                                <w:b/>
                                <w:bCs/>
                                <w:color w:val="4F81BD" w:themeColor="accent1"/>
                                <w:sz w:val="18"/>
                                <w:szCs w:val="18"/>
                                <w:lang w:val="fr-FR"/>
                              </w:rPr>
                              <w:t>Autres 4 %</w:t>
                            </w:r>
                          </w:p>
                          <w:p w14:paraId="596088F9"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91DF5" id="Text Box 63" o:spid="_x0000_s1027" type="#_x0000_t202" style="position:absolute;margin-left:433.8pt;margin-top:108.75pt;width:75pt;height:5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" fillcolor="white [3201]" stroked="f" strokeweight=".5pt">
                <v:textbox>
                  <w:txbxContent>
                    <w:p w14:paraId="6DB6F458" w14:textId="77777777" w:rsidR="00BC4D45" w:rsidRPr="00A2594E" w:rsidRDefault="00BC4D45" w:rsidP="00A2594E">
                      <w:pPr>
                        <w:pStyle w:val="ListParagraph"/>
                        <w:numPr>
                          <w:ilvl w:val="0"/>
                          <w:numId w:val="45"/>
                        </w:numPr>
                        <w:tabs>
                          <w:tab w:val="left" w:pos="3686"/>
                          <w:tab w:val="left" w:pos="6096"/>
                          <w:tab w:val="left" w:pos="7088"/>
                        </w:tabs>
                        <w:ind w:left="142" w:hanging="142"/>
                        <w:rPr>
                          <w:b/>
                          <w:bCs/>
                          <w:color w:val="4F81BD" w:themeColor="accent1"/>
                          <w:sz w:val="18"/>
                          <w:szCs w:val="18"/>
                          <w:lang w:val="fr-FR"/>
                        </w:rPr>
                      </w:pPr>
                      <w:r w:rsidRPr="00A2594E">
                        <w:rPr>
                          <w:b/>
                          <w:bCs/>
                          <w:color w:val="4F81BD" w:themeColor="accent1"/>
                          <w:sz w:val="18"/>
                          <w:szCs w:val="18"/>
                          <w:lang w:val="fr-FR"/>
                        </w:rPr>
                        <w:t>Autres 4 %</w:t>
                      </w:r>
                    </w:p>
                    <w:p w14:paraId="596088F9" w14:textId="77777777" w:rsidR="00BC4D45" w:rsidRDefault="00BC4D45"/>
                  </w:txbxContent>
                </v:textbox>
              </v:shape>
            </w:pict>
          </mc:Fallback>
        </mc:AlternateContent>
      </w:r>
      <w:r w:rsidR="00F73EA3" w:rsidRPr="001567E1">
        <w:rPr>
          <w:lang w:val="fr-FR"/>
        </w:rPr>
        <w:t xml:space="preserve"> </w:t>
      </w:r>
      <w:r w:rsidR="00F73EA3" w:rsidRPr="001567E1">
        <w:rPr>
          <w:noProof/>
          <w:lang w:val="nl-NL" w:eastAsia="nl-NL"/>
        </w:rPr>
        <w:drawing>
          <wp:inline distT="0" distB="0" distL="0" distR="0" wp14:anchorId="5DEDA3BD" wp14:editId="00AF61B5">
            <wp:extent cx="5274945" cy="3071789"/>
            <wp:effectExtent l="0" t="0" r="8255" b="190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945" cy="3071789"/>
                    </a:xfrm>
                    <a:prstGeom prst="rect">
                      <a:avLst/>
                    </a:prstGeom>
                    <a:noFill/>
                    <a:ln>
                      <a:noFill/>
                    </a:ln>
                  </pic:spPr>
                </pic:pic>
              </a:graphicData>
            </a:graphic>
          </wp:inline>
        </w:drawing>
      </w:r>
    </w:p>
    <w:p w14:paraId="732E5A89" w14:textId="046B0B93" w:rsidR="007C0441" w:rsidRPr="001567E1" w:rsidRDefault="007C0441" w:rsidP="00EF01CE">
      <w:pPr>
        <w:pStyle w:val="Caption"/>
        <w:rPr>
          <w:lang w:val="fr-FR"/>
        </w:rPr>
      </w:pPr>
      <w:bookmarkStart w:id="22" w:name="h.3dy6vkm" w:colFirst="0" w:colLast="0"/>
      <w:bookmarkStart w:id="23" w:name="h.1t3h5sf" w:colFirst="0" w:colLast="0"/>
      <w:bookmarkEnd w:id="22"/>
      <w:bookmarkEnd w:id="23"/>
    </w:p>
    <w:p w14:paraId="112DA513" w14:textId="6EB34123" w:rsidR="00741F7A" w:rsidRPr="001567E1" w:rsidRDefault="00881D95" w:rsidP="00AD2D66">
      <w:pPr>
        <w:pStyle w:val="Caption"/>
        <w:rPr>
          <w:lang w:val="fr-FR"/>
        </w:rPr>
      </w:pPr>
      <w:r w:rsidRPr="001567E1">
        <w:rPr>
          <w:lang w:val="fr-FR"/>
        </w:rPr>
        <w:t>Figure 2. Composition taxonomique des populations d'oiseaux d'eau incluses dans l’AEWA</w:t>
      </w:r>
      <w:r w:rsidR="00832DD4" w:rsidRPr="001567E1">
        <w:rPr>
          <w:lang w:val="fr-FR"/>
        </w:rPr>
        <w:br w:type="page"/>
      </w:r>
    </w:p>
    <w:p w14:paraId="1F229210" w14:textId="379E0F8B" w:rsidR="00741F7A" w:rsidRPr="001567E1" w:rsidRDefault="00881D95" w:rsidP="00AD2D66">
      <w:pPr>
        <w:pStyle w:val="Heading3"/>
        <w:rPr>
          <w:rFonts w:ascii="Times New Roman" w:eastAsia="Times New Roman" w:hAnsi="Times New Roman" w:cs="Times New Roman"/>
          <w:lang w:val="fr-FR"/>
        </w:rPr>
      </w:pPr>
      <w:bookmarkStart w:id="24" w:name="h.4d34og8" w:colFirst="0" w:colLast="0"/>
      <w:bookmarkStart w:id="25" w:name="_Toc517262004"/>
      <w:bookmarkEnd w:id="24"/>
      <w:r w:rsidRPr="001567E1">
        <w:rPr>
          <w:rFonts w:ascii="Times New Roman" w:eastAsia="Times New Roman" w:hAnsi="Times New Roman" w:cs="Times New Roman"/>
          <w:lang w:val="fr-FR"/>
        </w:rPr>
        <w:lastRenderedPageBreak/>
        <w:t>70 % des populations de l’AEWA se reproduisent dans le Paléa</w:t>
      </w:r>
      <w:r w:rsidR="00AD2D66" w:rsidRPr="001567E1">
        <w:rPr>
          <w:rFonts w:ascii="Times New Roman" w:eastAsia="Times New Roman" w:hAnsi="Times New Roman" w:cs="Times New Roman"/>
          <w:lang w:val="fr-FR"/>
        </w:rPr>
        <w:t>r</w:t>
      </w:r>
      <w:r w:rsidRPr="001567E1">
        <w:rPr>
          <w:rFonts w:ascii="Times New Roman" w:eastAsia="Times New Roman" w:hAnsi="Times New Roman" w:cs="Times New Roman"/>
          <w:lang w:val="fr-FR"/>
        </w:rPr>
        <w:t>ctique</w:t>
      </w:r>
      <w:bookmarkEnd w:id="25"/>
    </w:p>
    <w:p w14:paraId="5C712309" w14:textId="77777777" w:rsidR="00AE16C5" w:rsidRPr="001567E1" w:rsidRDefault="00AE16C5" w:rsidP="00AE16C5">
      <w:pPr>
        <w:pStyle w:val="Normal1"/>
        <w:rPr>
          <w:lang w:val="fr-FR"/>
        </w:rPr>
      </w:pPr>
    </w:p>
    <w:p w14:paraId="0C4A2038" w14:textId="1166727D" w:rsidR="00741F7A" w:rsidRPr="001567E1" w:rsidRDefault="00881D95">
      <w:pPr>
        <w:pStyle w:val="Normal1"/>
        <w:jc w:val="both"/>
        <w:rPr>
          <w:szCs w:val="24"/>
          <w:lang w:val="fr-FR"/>
        </w:rPr>
      </w:pPr>
      <w:r w:rsidRPr="001567E1">
        <w:rPr>
          <w:szCs w:val="24"/>
          <w:lang w:val="fr-FR"/>
        </w:rPr>
        <w:t>Les précédentes éditions du Rapport sur l’état de conservation ont évalué le découpage géographique des populations d</w:t>
      </w:r>
      <w:r w:rsidR="005A50C8" w:rsidRPr="001567E1">
        <w:rPr>
          <w:szCs w:val="24"/>
          <w:lang w:val="fr-FR"/>
        </w:rPr>
        <w:t>’</w:t>
      </w:r>
      <w:r w:rsidRPr="001567E1">
        <w:rPr>
          <w:szCs w:val="24"/>
          <w:lang w:val="fr-FR"/>
        </w:rPr>
        <w:t>oiseaux d</w:t>
      </w:r>
      <w:r w:rsidR="0072548E" w:rsidRPr="001567E1">
        <w:rPr>
          <w:szCs w:val="24"/>
          <w:lang w:val="fr-FR"/>
        </w:rPr>
        <w:t>’</w:t>
      </w:r>
      <w:r w:rsidRPr="001567E1">
        <w:rPr>
          <w:szCs w:val="24"/>
          <w:lang w:val="fr-FR"/>
        </w:rPr>
        <w:t xml:space="preserve">eau </w:t>
      </w:r>
      <w:r w:rsidR="004E3BA2">
        <w:rPr>
          <w:szCs w:val="24"/>
          <w:lang w:val="fr-FR"/>
        </w:rPr>
        <w:t>selon les « régions</w:t>
      </w:r>
      <w:r w:rsidRPr="001567E1">
        <w:rPr>
          <w:szCs w:val="24"/>
          <w:lang w:val="fr-FR"/>
        </w:rPr>
        <w:t xml:space="preserve"> Ramsar</w:t>
      </w:r>
      <w:r w:rsidR="004E3BA2">
        <w:rPr>
          <w:szCs w:val="24"/>
          <w:lang w:val="fr-FR"/>
        </w:rPr>
        <w:t> »</w:t>
      </w:r>
      <w:r w:rsidRPr="001567E1">
        <w:rPr>
          <w:szCs w:val="24"/>
          <w:lang w:val="fr-FR"/>
        </w:rPr>
        <w:t xml:space="preserve"> d’Afrique, d’Asie et d’Europe.</w:t>
      </w:r>
      <w:r w:rsidR="00832DD4" w:rsidRPr="001567E1">
        <w:rPr>
          <w:szCs w:val="24"/>
          <w:lang w:val="fr-FR"/>
        </w:rPr>
        <w:t xml:space="preserve"> </w:t>
      </w:r>
      <w:r w:rsidRPr="001567E1">
        <w:rPr>
          <w:szCs w:val="24"/>
          <w:lang w:val="fr-FR"/>
        </w:rPr>
        <w:t xml:space="preserve">Pour surmonter le problème analytique dérivé du fait que la majorité des populations d’oiseaux d'eau appartiennent à de multiples régions de Ramsar, le CSR5 </w:t>
      </w:r>
      <w:r w:rsidR="00671082" w:rsidRPr="001567E1">
        <w:rPr>
          <w:szCs w:val="24"/>
          <w:lang w:val="fr-FR"/>
        </w:rPr>
        <w:t xml:space="preserve">a </w:t>
      </w:r>
      <w:r w:rsidRPr="001567E1">
        <w:rPr>
          <w:szCs w:val="24"/>
          <w:lang w:val="fr-FR"/>
        </w:rPr>
        <w:t xml:space="preserve">introduit une nouvelle classification géographique qui est basée sur </w:t>
      </w:r>
      <w:r w:rsidR="00671082" w:rsidRPr="001567E1">
        <w:rPr>
          <w:szCs w:val="24"/>
          <w:lang w:val="fr-FR"/>
        </w:rPr>
        <w:t xml:space="preserve">(a) </w:t>
      </w:r>
      <w:r w:rsidRPr="001567E1">
        <w:rPr>
          <w:szCs w:val="24"/>
          <w:lang w:val="fr-FR"/>
        </w:rPr>
        <w:t>les écorégions terrestres de la WWF</w:t>
      </w:r>
      <w:r w:rsidRPr="001567E1">
        <w:rPr>
          <w:rStyle w:val="FootnoteReference"/>
          <w:szCs w:val="24"/>
          <w:lang w:val="fr-FR"/>
        </w:rPr>
        <w:footnoteReference w:id="10"/>
      </w:r>
      <w:r w:rsidRPr="001567E1">
        <w:rPr>
          <w:szCs w:val="24"/>
          <w:lang w:val="fr-FR"/>
        </w:rPr>
        <w:t xml:space="preserve"> pour les populations migrant de façon dispersée et sur de courtes distances et (b) sur les voies de migration des échassiers/oiseaux de rivages pour celles migrant sur </w:t>
      </w:r>
      <w:r w:rsidR="00360B48">
        <w:rPr>
          <w:szCs w:val="24"/>
          <w:lang w:val="fr-FR"/>
        </w:rPr>
        <w:t xml:space="preserve">de longues distances </w:t>
      </w:r>
      <w:r w:rsidR="00D41A6C">
        <w:rPr>
          <w:szCs w:val="24"/>
          <w:lang w:val="fr-FR"/>
        </w:rPr>
        <w:t>(figure</w:t>
      </w:r>
      <w:r w:rsidRPr="001567E1">
        <w:rPr>
          <w:szCs w:val="24"/>
          <w:lang w:val="fr-FR"/>
        </w:rPr>
        <w:t xml:space="preserve"> 3). Dans la présente édition, les écorégions terrestres de la WWF ont été subdivisées en parties représentant des populations typiques, telles que l’Atlantique, la mer Noire-Méditerranée, la partie de l’Asie centrale et du </w:t>
      </w:r>
      <w:r w:rsidR="005A50C8" w:rsidRPr="001567E1">
        <w:rPr>
          <w:szCs w:val="24"/>
          <w:lang w:val="fr-FR"/>
        </w:rPr>
        <w:t>S</w:t>
      </w:r>
      <w:r w:rsidRPr="001567E1">
        <w:rPr>
          <w:szCs w:val="24"/>
          <w:lang w:val="fr-FR"/>
        </w:rPr>
        <w:t>ud-</w:t>
      </w:r>
      <w:r w:rsidR="005A50C8" w:rsidRPr="001567E1">
        <w:rPr>
          <w:szCs w:val="24"/>
          <w:lang w:val="fr-FR"/>
        </w:rPr>
        <w:t>O</w:t>
      </w:r>
      <w:r w:rsidRPr="001567E1">
        <w:rPr>
          <w:szCs w:val="24"/>
          <w:lang w:val="fr-FR"/>
        </w:rPr>
        <w:t xml:space="preserve">uest </w:t>
      </w:r>
      <w:r w:rsidR="00671082" w:rsidRPr="001567E1">
        <w:rPr>
          <w:szCs w:val="24"/>
          <w:lang w:val="fr-FR"/>
        </w:rPr>
        <w:t xml:space="preserve">du Paléarctique occidental, la région sub-saharienne, les parties </w:t>
      </w:r>
      <w:r w:rsidR="004E3BA2">
        <w:rPr>
          <w:szCs w:val="24"/>
          <w:lang w:val="fr-FR"/>
        </w:rPr>
        <w:t>occidentale</w:t>
      </w:r>
      <w:r w:rsidR="00671082" w:rsidRPr="001567E1">
        <w:rPr>
          <w:szCs w:val="24"/>
          <w:lang w:val="fr-FR"/>
        </w:rPr>
        <w:t xml:space="preserve"> et centrale, orientale, australe, orientale et australe de la région afro</w:t>
      </w:r>
      <w:r w:rsidR="00232ED8" w:rsidRPr="001567E1">
        <w:rPr>
          <w:szCs w:val="24"/>
          <w:lang w:val="fr-FR"/>
        </w:rPr>
        <w:t>-</w:t>
      </w:r>
      <w:r w:rsidR="00671082" w:rsidRPr="001567E1">
        <w:rPr>
          <w:szCs w:val="24"/>
          <w:lang w:val="fr-FR"/>
        </w:rPr>
        <w:t>tropicale.</w:t>
      </w:r>
      <w:r w:rsidRPr="001567E1">
        <w:rPr>
          <w:szCs w:val="24"/>
          <w:lang w:val="fr-FR"/>
        </w:rPr>
        <w:t xml:space="preserve"> </w:t>
      </w:r>
      <w:r w:rsidR="00363A36" w:rsidRPr="001567E1">
        <w:rPr>
          <w:szCs w:val="24"/>
          <w:lang w:val="fr-FR"/>
        </w:rPr>
        <w:t xml:space="preserve"> </w:t>
      </w:r>
      <w:r w:rsidR="00671082" w:rsidRPr="001567E1">
        <w:rPr>
          <w:szCs w:val="24"/>
          <w:lang w:val="fr-FR"/>
        </w:rPr>
        <w:t>Les populations n’ont été a</w:t>
      </w:r>
      <w:r w:rsidR="00AD2D66" w:rsidRPr="001567E1">
        <w:rPr>
          <w:szCs w:val="24"/>
          <w:lang w:val="fr-FR"/>
        </w:rPr>
        <w:t>ttribuées</w:t>
      </w:r>
      <w:r w:rsidR="00671082" w:rsidRPr="001567E1">
        <w:rPr>
          <w:szCs w:val="24"/>
          <w:lang w:val="fr-FR"/>
        </w:rPr>
        <w:t xml:space="preserve"> qu’à une seule région biogéographique ou à une voie de migration qui recoupe au mieux leur distribution, et cette a</w:t>
      </w:r>
      <w:r w:rsidR="00AD2D66" w:rsidRPr="001567E1">
        <w:rPr>
          <w:szCs w:val="24"/>
          <w:lang w:val="fr-FR"/>
        </w:rPr>
        <w:t>ttribution</w:t>
      </w:r>
      <w:r w:rsidR="00671082" w:rsidRPr="001567E1">
        <w:rPr>
          <w:szCs w:val="24"/>
          <w:lang w:val="fr-FR"/>
        </w:rPr>
        <w:t xml:space="preserve"> a été mise à jour au cours de la production de la 5</w:t>
      </w:r>
      <w:r w:rsidR="00671082" w:rsidRPr="001567E1">
        <w:rPr>
          <w:szCs w:val="24"/>
          <w:vertAlign w:val="superscript"/>
          <w:lang w:val="fr-FR"/>
        </w:rPr>
        <w:t>e</w:t>
      </w:r>
      <w:r w:rsidR="00671082" w:rsidRPr="001567E1">
        <w:rPr>
          <w:szCs w:val="24"/>
          <w:lang w:val="fr-FR"/>
        </w:rPr>
        <w:t xml:space="preserve"> édition des Estimations des populations d’oiseaux d’eau.</w:t>
      </w:r>
      <w:r w:rsidR="00832DD4" w:rsidRPr="001567E1">
        <w:rPr>
          <w:szCs w:val="24"/>
          <w:lang w:val="fr-FR"/>
        </w:rPr>
        <w:t xml:space="preserve"> </w:t>
      </w:r>
    </w:p>
    <w:p w14:paraId="12C2C4DC" w14:textId="61A55041" w:rsidR="00741F7A" w:rsidRPr="001567E1" w:rsidRDefault="00741F7A">
      <w:pPr>
        <w:pStyle w:val="Normal1"/>
        <w:rPr>
          <w:lang w:val="fr-FR"/>
        </w:rPr>
      </w:pPr>
      <w:bookmarkStart w:id="26" w:name="h.2s8eyo1" w:colFirst="0" w:colLast="0"/>
      <w:bookmarkEnd w:id="2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868"/>
      </w:tblGrid>
      <w:tr w:rsidR="002E552B" w:rsidRPr="001567E1" w14:paraId="32DBD437" w14:textId="77777777" w:rsidTr="00A10AB8">
        <w:tc>
          <w:tcPr>
            <w:tcW w:w="2475" w:type="pct"/>
          </w:tcPr>
          <w:p w14:paraId="5506EE75" w14:textId="627AF05C" w:rsidR="002E552B" w:rsidRPr="001567E1" w:rsidRDefault="00671082">
            <w:pPr>
              <w:rPr>
                <w:sz w:val="18"/>
                <w:szCs w:val="18"/>
                <w:lang w:val="fr-FR"/>
              </w:rPr>
            </w:pPr>
            <w:r w:rsidRPr="001567E1">
              <w:rPr>
                <w:b/>
                <w:sz w:val="18"/>
                <w:szCs w:val="18"/>
                <w:lang w:val="fr-FR"/>
              </w:rPr>
              <w:t>a) Régions biogéographiques</w:t>
            </w:r>
          </w:p>
          <w:p w14:paraId="05F6E3BC" w14:textId="77777777" w:rsidR="002E552B" w:rsidRPr="001567E1" w:rsidRDefault="002E552B">
            <w:pPr>
              <w:rPr>
                <w:lang w:val="fr-FR"/>
              </w:rPr>
            </w:pPr>
            <w:r w:rsidRPr="001567E1">
              <w:rPr>
                <w:noProof/>
                <w:lang w:val="nl-NL" w:eastAsia="nl-NL"/>
              </w:rPr>
              <w:drawing>
                <wp:inline distT="0" distB="0" distL="0" distR="0" wp14:anchorId="6343FA46" wp14:editId="41E53F00">
                  <wp:extent cx="2743200" cy="1710690"/>
                  <wp:effectExtent l="0" t="0" r="0" b="0"/>
                  <wp:docPr id="5" name="image28.png" descr="500px-Ecozones"/>
                  <wp:cNvGraphicFramePr/>
                  <a:graphic xmlns:a="http://schemas.openxmlformats.org/drawingml/2006/main">
                    <a:graphicData uri="http://schemas.openxmlformats.org/drawingml/2006/picture">
                      <pic:pic xmlns:pic="http://schemas.openxmlformats.org/drawingml/2006/picture">
                        <pic:nvPicPr>
                          <pic:cNvPr id="0" name="image28.png" descr="500px-Ecozones"/>
                          <pic:cNvPicPr preferRelativeResize="0"/>
                        </pic:nvPicPr>
                        <pic:blipFill>
                          <a:blip r:embed="rId26"/>
                          <a:srcRect l="8264" r="8402"/>
                          <a:stretch>
                            <a:fillRect/>
                          </a:stretch>
                        </pic:blipFill>
                        <pic:spPr>
                          <a:xfrm>
                            <a:off x="0" y="0"/>
                            <a:ext cx="2743200" cy="1710690"/>
                          </a:xfrm>
                          <a:prstGeom prst="rect">
                            <a:avLst/>
                          </a:prstGeom>
                          <a:ln/>
                        </pic:spPr>
                      </pic:pic>
                    </a:graphicData>
                  </a:graphic>
                </wp:inline>
              </w:drawing>
            </w:r>
          </w:p>
        </w:tc>
        <w:tc>
          <w:tcPr>
            <w:tcW w:w="2525" w:type="pct"/>
          </w:tcPr>
          <w:p w14:paraId="6B8B65FB" w14:textId="1083C24C" w:rsidR="002E552B" w:rsidRPr="001567E1" w:rsidRDefault="00671082">
            <w:pPr>
              <w:rPr>
                <w:sz w:val="18"/>
                <w:szCs w:val="18"/>
                <w:lang w:val="fr-FR"/>
              </w:rPr>
            </w:pPr>
            <w:r w:rsidRPr="001567E1">
              <w:rPr>
                <w:b/>
                <w:sz w:val="18"/>
                <w:szCs w:val="18"/>
                <w:lang w:val="fr-FR"/>
              </w:rPr>
              <w:t>b) Voies de migration</w:t>
            </w:r>
          </w:p>
          <w:p w14:paraId="5DD44159" w14:textId="77777777" w:rsidR="002E552B" w:rsidRPr="001567E1" w:rsidRDefault="002E552B">
            <w:pPr>
              <w:rPr>
                <w:lang w:val="fr-FR"/>
              </w:rPr>
            </w:pPr>
            <w:r w:rsidRPr="001567E1">
              <w:rPr>
                <w:noProof/>
                <w:lang w:val="nl-NL" w:eastAsia="nl-NL"/>
              </w:rPr>
              <w:drawing>
                <wp:inline distT="0" distB="0" distL="0" distR="0" wp14:anchorId="12AEB3B3" wp14:editId="39CD1C9D">
                  <wp:extent cx="2757805" cy="1651635"/>
                  <wp:effectExtent l="0" t="0" r="0" b="0"/>
                  <wp:docPr id="6" name="image29.jpg" descr="Shorebird Map (Provided by:   )"/>
                  <wp:cNvGraphicFramePr/>
                  <a:graphic xmlns:a="http://schemas.openxmlformats.org/drawingml/2006/main">
                    <a:graphicData uri="http://schemas.openxmlformats.org/drawingml/2006/picture">
                      <pic:pic xmlns:pic="http://schemas.openxmlformats.org/drawingml/2006/picture">
                        <pic:nvPicPr>
                          <pic:cNvPr id="0" name="image29.jpg" descr="Shorebird Map (Provided by:   )"/>
                          <pic:cNvPicPr preferRelativeResize="0"/>
                        </pic:nvPicPr>
                        <pic:blipFill>
                          <a:blip r:embed="rId27"/>
                          <a:srcRect/>
                          <a:stretch>
                            <a:fillRect/>
                          </a:stretch>
                        </pic:blipFill>
                        <pic:spPr>
                          <a:xfrm>
                            <a:off x="0" y="0"/>
                            <a:ext cx="2757805" cy="1651635"/>
                          </a:xfrm>
                          <a:prstGeom prst="rect">
                            <a:avLst/>
                          </a:prstGeom>
                          <a:ln/>
                        </pic:spPr>
                      </pic:pic>
                    </a:graphicData>
                  </a:graphic>
                </wp:inline>
              </w:drawing>
            </w:r>
          </w:p>
        </w:tc>
      </w:tr>
      <w:tr w:rsidR="007E54A0" w:rsidRPr="001567E1" w14:paraId="693D42AF" w14:textId="77777777" w:rsidTr="00A10AB8">
        <w:tc>
          <w:tcPr>
            <w:tcW w:w="2475" w:type="pct"/>
          </w:tcPr>
          <w:p w14:paraId="1577F390" w14:textId="77777777" w:rsidR="007E54A0" w:rsidRDefault="007E54A0">
            <w:pPr>
              <w:rPr>
                <w:b/>
                <w:sz w:val="18"/>
                <w:szCs w:val="18"/>
                <w:lang w:val="fr-FR"/>
              </w:rPr>
            </w:pPr>
          </w:p>
          <w:p w14:paraId="73D6F0F0" w14:textId="77777777" w:rsidR="007E54A0" w:rsidRDefault="007E54A0">
            <w:pPr>
              <w:rPr>
                <w:b/>
                <w:sz w:val="18"/>
                <w:szCs w:val="18"/>
                <w:lang w:val="fr-FR"/>
              </w:rPr>
            </w:pPr>
          </w:p>
          <w:p w14:paraId="565F20FD" w14:textId="77777777" w:rsidR="007E54A0" w:rsidRDefault="007E54A0">
            <w:pPr>
              <w:rPr>
                <w:b/>
                <w:sz w:val="18"/>
                <w:szCs w:val="18"/>
                <w:lang w:val="fr-FR"/>
              </w:rPr>
            </w:pPr>
          </w:p>
          <w:p w14:paraId="61F256CC" w14:textId="5D3FF19A" w:rsidR="007E54A0" w:rsidRPr="001567E1" w:rsidRDefault="007E54A0">
            <w:pPr>
              <w:rPr>
                <w:b/>
                <w:sz w:val="18"/>
                <w:szCs w:val="18"/>
                <w:lang w:val="fr-FR"/>
              </w:rPr>
            </w:pPr>
          </w:p>
        </w:tc>
        <w:tc>
          <w:tcPr>
            <w:tcW w:w="2525" w:type="pct"/>
          </w:tcPr>
          <w:p w14:paraId="28F8BB7C" w14:textId="75CA3372" w:rsidR="007E54A0" w:rsidRPr="001567E1" w:rsidRDefault="007E54A0">
            <w:pPr>
              <w:rPr>
                <w:b/>
                <w:sz w:val="18"/>
                <w:szCs w:val="18"/>
                <w:lang w:val="fr-FR"/>
              </w:rPr>
            </w:pPr>
            <w:r>
              <w:rPr>
                <w:b/>
                <w:noProof/>
                <w:sz w:val="18"/>
                <w:szCs w:val="18"/>
                <w:lang w:val="fr-FR"/>
              </w:rPr>
              <mc:AlternateContent>
                <mc:Choice Requires="wps">
                  <w:drawing>
                    <wp:anchor distT="0" distB="0" distL="114300" distR="114300" simplePos="0" relativeHeight="251640320" behindDoc="0" locked="0" layoutInCell="1" allowOverlap="1" wp14:anchorId="69249472" wp14:editId="0E12C47A">
                      <wp:simplePos x="0" y="0"/>
                      <wp:positionH relativeFrom="column">
                        <wp:posOffset>9525</wp:posOffset>
                      </wp:positionH>
                      <wp:positionV relativeFrom="paragraph">
                        <wp:posOffset>-41275</wp:posOffset>
                      </wp:positionV>
                      <wp:extent cx="2686050" cy="5810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686050" cy="581025"/>
                              </a:xfrm>
                              <a:prstGeom prst="rect">
                                <a:avLst/>
                              </a:prstGeom>
                              <a:solidFill>
                                <a:schemeClr val="lt1"/>
                              </a:solidFill>
                              <a:ln w="6350">
                                <a:noFill/>
                              </a:ln>
                            </wps:spPr>
                            <wps:txbx>
                              <w:txbxContent>
                                <w:p w14:paraId="7E0FACE6" w14:textId="77777777" w:rsidR="00BC4D45" w:rsidRPr="00A10AB8" w:rsidRDefault="00BC4D45" w:rsidP="00A10AB8">
                                  <w:pPr>
                                    <w:rPr>
                                      <w:color w:val="4F81BD" w:themeColor="accent1"/>
                                      <w:sz w:val="16"/>
                                      <w:szCs w:val="16"/>
                                      <w:lang w:val="fr-FR"/>
                                    </w:rPr>
                                  </w:pPr>
                                  <w:r w:rsidRPr="00A10AB8">
                                    <w:rPr>
                                      <w:color w:val="4F81BD" w:themeColor="accent1"/>
                                      <w:sz w:val="16"/>
                                      <w:szCs w:val="16"/>
                                      <w:lang w:val="fr-FR"/>
                                    </w:rPr>
                                    <w:t>Amérique – Pacifique        Mer Noire - Méditerranée</w:t>
                                  </w:r>
                                </w:p>
                                <w:p w14:paraId="32C0A419" w14:textId="77777777" w:rsidR="00BC4D45" w:rsidRPr="00A10AB8" w:rsidRDefault="00BC4D45" w:rsidP="00A10AB8">
                                  <w:pPr>
                                    <w:rPr>
                                      <w:color w:val="4F81BD" w:themeColor="accent1"/>
                                      <w:sz w:val="16"/>
                                      <w:szCs w:val="16"/>
                                      <w:lang w:val="fr-FR"/>
                                    </w:rPr>
                                  </w:pPr>
                                  <w:r w:rsidRPr="00A10AB8">
                                    <w:rPr>
                                      <w:color w:val="4F81BD" w:themeColor="accent1"/>
                                      <w:sz w:val="16"/>
                                      <w:szCs w:val="16"/>
                                      <w:lang w:val="fr-FR"/>
                                    </w:rPr>
                                    <w:t>Amérique – Mississippi     Asie e l’ouest – Afrique de l’Est</w:t>
                                  </w:r>
                                </w:p>
                                <w:p w14:paraId="433C0C2F" w14:textId="0D901FB8" w:rsidR="00BC4D45" w:rsidRDefault="00BC4D45">
                                  <w:pPr>
                                    <w:rPr>
                                      <w:color w:val="4F81BD" w:themeColor="accent1"/>
                                      <w:sz w:val="16"/>
                                      <w:szCs w:val="16"/>
                                      <w:lang w:val="fr-FR"/>
                                    </w:rPr>
                                  </w:pPr>
                                  <w:r w:rsidRPr="00A10AB8">
                                    <w:rPr>
                                      <w:color w:val="4F81BD" w:themeColor="accent1"/>
                                      <w:sz w:val="16"/>
                                      <w:szCs w:val="16"/>
                                      <w:lang w:val="fr-FR"/>
                                    </w:rPr>
                                    <w:t>Amérique – Atlantique      Asie centrale</w:t>
                                  </w:r>
                                </w:p>
                                <w:p w14:paraId="6D1D865C" w14:textId="0275EAAC" w:rsidR="00BC4D45" w:rsidRPr="00A10AB8" w:rsidRDefault="00BC4D45">
                                  <w:pPr>
                                    <w:rPr>
                                      <w:color w:val="4F81BD" w:themeColor="accent1"/>
                                      <w:sz w:val="16"/>
                                      <w:szCs w:val="16"/>
                                      <w:lang w:val="fr-FR"/>
                                    </w:rPr>
                                  </w:pPr>
                                  <w:r w:rsidRPr="00A10AB8">
                                    <w:rPr>
                                      <w:color w:val="4F81BD" w:themeColor="accent1"/>
                                      <w:sz w:val="16"/>
                                      <w:szCs w:val="16"/>
                                      <w:lang w:val="fr-FR"/>
                                    </w:rPr>
                                    <w:t xml:space="preserve">Atlantique Est </w:t>
                                  </w:r>
                                  <w:r>
                                    <w:rPr>
                                      <w:color w:val="4F81BD" w:themeColor="accent1"/>
                                      <w:sz w:val="16"/>
                                      <w:szCs w:val="16"/>
                                      <w:lang w:val="fr-FR"/>
                                    </w:rPr>
                                    <w:t xml:space="preserve">                   </w:t>
                                  </w:r>
                                  <w:r w:rsidRPr="00A10AB8">
                                    <w:rPr>
                                      <w:color w:val="4F81BD" w:themeColor="accent1"/>
                                      <w:sz w:val="16"/>
                                      <w:szCs w:val="16"/>
                                      <w:lang w:val="fr-FR"/>
                                    </w:rPr>
                                    <w:t>Asie de l’Est-Australasie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49472" id="Text Box 48" o:spid="_x0000_s1028" type="#_x0000_t202" style="position:absolute;margin-left:.75pt;margin-top:-3.25pt;width:211.5pt;height:45.7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" fillcolor="white [3201]" stroked="f" strokeweight=".5pt">
                      <v:textbox>
                        <w:txbxContent>
                          <w:p w14:paraId="7E0FACE6" w14:textId="77777777" w:rsidR="00BC4D45" w:rsidRPr="00A10AB8" w:rsidRDefault="00BC4D45" w:rsidP="00A10AB8">
                            <w:pPr>
                              <w:rPr>
                                <w:color w:val="4F81BD" w:themeColor="accent1"/>
                                <w:sz w:val="16"/>
                                <w:szCs w:val="16"/>
                                <w:lang w:val="fr-FR"/>
                              </w:rPr>
                            </w:pPr>
                            <w:r w:rsidRPr="00A10AB8">
                              <w:rPr>
                                <w:color w:val="4F81BD" w:themeColor="accent1"/>
                                <w:sz w:val="16"/>
                                <w:szCs w:val="16"/>
                                <w:lang w:val="fr-FR"/>
                              </w:rPr>
                              <w:t>Amérique – Pacifique        Mer Noire - Méditerranée</w:t>
                            </w:r>
                          </w:p>
                          <w:p w14:paraId="32C0A419" w14:textId="77777777" w:rsidR="00BC4D45" w:rsidRPr="00A10AB8" w:rsidRDefault="00BC4D45" w:rsidP="00A10AB8">
                            <w:pPr>
                              <w:rPr>
                                <w:color w:val="4F81BD" w:themeColor="accent1"/>
                                <w:sz w:val="16"/>
                                <w:szCs w:val="16"/>
                                <w:lang w:val="fr-FR"/>
                              </w:rPr>
                            </w:pPr>
                            <w:r w:rsidRPr="00A10AB8">
                              <w:rPr>
                                <w:color w:val="4F81BD" w:themeColor="accent1"/>
                                <w:sz w:val="16"/>
                                <w:szCs w:val="16"/>
                                <w:lang w:val="fr-FR"/>
                              </w:rPr>
                              <w:t>Amérique – Mississippi     Asie e l’ouest – Afrique de l’Est</w:t>
                            </w:r>
                          </w:p>
                          <w:p w14:paraId="433C0C2F" w14:textId="0D901FB8" w:rsidR="00BC4D45" w:rsidRDefault="00BC4D45">
                            <w:pPr>
                              <w:rPr>
                                <w:color w:val="4F81BD" w:themeColor="accent1"/>
                                <w:sz w:val="16"/>
                                <w:szCs w:val="16"/>
                                <w:lang w:val="fr-FR"/>
                              </w:rPr>
                            </w:pPr>
                            <w:r w:rsidRPr="00A10AB8">
                              <w:rPr>
                                <w:color w:val="4F81BD" w:themeColor="accent1"/>
                                <w:sz w:val="16"/>
                                <w:szCs w:val="16"/>
                                <w:lang w:val="fr-FR"/>
                              </w:rPr>
                              <w:t>Amérique – Atlantique      Asie centrale</w:t>
                            </w:r>
                          </w:p>
                          <w:p w14:paraId="6D1D865C" w14:textId="0275EAAC" w:rsidR="00BC4D45" w:rsidRPr="00A10AB8" w:rsidRDefault="00BC4D45">
                            <w:pPr>
                              <w:rPr>
                                <w:color w:val="4F81BD" w:themeColor="accent1"/>
                                <w:sz w:val="16"/>
                                <w:szCs w:val="16"/>
                                <w:lang w:val="fr-FR"/>
                              </w:rPr>
                            </w:pPr>
                            <w:r w:rsidRPr="00A10AB8">
                              <w:rPr>
                                <w:color w:val="4F81BD" w:themeColor="accent1"/>
                                <w:sz w:val="16"/>
                                <w:szCs w:val="16"/>
                                <w:lang w:val="fr-FR"/>
                              </w:rPr>
                              <w:t xml:space="preserve">Atlantique Est </w:t>
                            </w:r>
                            <w:r>
                              <w:rPr>
                                <w:color w:val="4F81BD" w:themeColor="accent1"/>
                                <w:sz w:val="16"/>
                                <w:szCs w:val="16"/>
                                <w:lang w:val="fr-FR"/>
                              </w:rPr>
                              <w:t xml:space="preserve">                   </w:t>
                            </w:r>
                            <w:r w:rsidRPr="00A10AB8">
                              <w:rPr>
                                <w:color w:val="4F81BD" w:themeColor="accent1"/>
                                <w:sz w:val="16"/>
                                <w:szCs w:val="16"/>
                                <w:lang w:val="fr-FR"/>
                              </w:rPr>
                              <w:t>Asie de l’Est-Australasie</w:t>
                            </w:r>
                          </w:p>
                        </w:txbxContent>
                      </v:textbox>
                    </v:shape>
                  </w:pict>
                </mc:Fallback>
              </mc:AlternateContent>
            </w:r>
          </w:p>
        </w:tc>
      </w:tr>
      <w:tr w:rsidR="002E552B" w:rsidRPr="001567E1" w14:paraId="12FF87C4" w14:textId="77777777" w:rsidTr="00A10AB8">
        <w:tc>
          <w:tcPr>
            <w:tcW w:w="2475" w:type="pct"/>
          </w:tcPr>
          <w:p w14:paraId="36691680" w14:textId="00D0F736" w:rsidR="002E552B" w:rsidRPr="001567E1" w:rsidRDefault="00671082">
            <w:pPr>
              <w:rPr>
                <w:b/>
                <w:sz w:val="18"/>
                <w:szCs w:val="18"/>
                <w:lang w:val="fr-FR"/>
              </w:rPr>
            </w:pPr>
            <w:r w:rsidRPr="001567E1">
              <w:rPr>
                <w:b/>
                <w:sz w:val="18"/>
                <w:szCs w:val="18"/>
                <w:lang w:val="fr-FR"/>
              </w:rPr>
              <w:t>c) Subdivision du secteur afro-tropical</w:t>
            </w:r>
          </w:p>
          <w:p w14:paraId="78910224" w14:textId="77777777" w:rsidR="002E552B" w:rsidRPr="001567E1" w:rsidRDefault="002E552B">
            <w:pPr>
              <w:rPr>
                <w:b/>
                <w:sz w:val="18"/>
                <w:szCs w:val="18"/>
                <w:lang w:val="fr-FR"/>
              </w:rPr>
            </w:pPr>
            <w:r w:rsidRPr="001567E1">
              <w:rPr>
                <w:b/>
                <w:noProof/>
                <w:sz w:val="18"/>
                <w:szCs w:val="18"/>
                <w:lang w:val="nl-NL" w:eastAsia="nl-NL"/>
              </w:rPr>
              <w:drawing>
                <wp:inline distT="0" distB="0" distL="0" distR="0" wp14:anchorId="0C4C1606" wp14:editId="37F51924">
                  <wp:extent cx="2695575" cy="17875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_Saharan Africa bioregions.png"/>
                          <pic:cNvPicPr/>
                        </pic:nvPicPr>
                        <pic:blipFill rotWithShape="1">
                          <a:blip r:embed="rId28">
                            <a:extLst>
                              <a:ext uri="{28A0092B-C50C-407E-A947-70E740481C1C}">
                                <a14:useLocalDpi xmlns:a14="http://schemas.microsoft.com/office/drawing/2010/main" val="0"/>
                              </a:ext>
                            </a:extLst>
                          </a:blip>
                          <a:srcRect l="-3" r="-3"/>
                          <a:stretch/>
                        </pic:blipFill>
                        <pic:spPr>
                          <a:xfrm>
                            <a:off x="0" y="0"/>
                            <a:ext cx="2697246" cy="1788633"/>
                          </a:xfrm>
                          <a:prstGeom prst="rect">
                            <a:avLst/>
                          </a:prstGeom>
                        </pic:spPr>
                      </pic:pic>
                    </a:graphicData>
                  </a:graphic>
                </wp:inline>
              </w:drawing>
            </w:r>
          </w:p>
        </w:tc>
        <w:tc>
          <w:tcPr>
            <w:tcW w:w="2525" w:type="pct"/>
          </w:tcPr>
          <w:p w14:paraId="6E0C1084" w14:textId="3D85DD5D" w:rsidR="002E552B" w:rsidRPr="001567E1" w:rsidRDefault="00671082" w:rsidP="002E552B">
            <w:pPr>
              <w:rPr>
                <w:b/>
                <w:sz w:val="18"/>
                <w:szCs w:val="18"/>
                <w:lang w:val="fr-FR"/>
              </w:rPr>
            </w:pPr>
            <w:r w:rsidRPr="001567E1">
              <w:rPr>
                <w:b/>
                <w:sz w:val="18"/>
                <w:szCs w:val="18"/>
                <w:lang w:val="fr-FR"/>
              </w:rPr>
              <w:t>d) Subdivision du secteur du Paléarctique occidental</w:t>
            </w:r>
          </w:p>
          <w:p w14:paraId="5FE29874" w14:textId="77777777" w:rsidR="002E552B" w:rsidRPr="001567E1" w:rsidRDefault="002E552B" w:rsidP="002E552B">
            <w:pPr>
              <w:rPr>
                <w:lang w:val="fr-FR"/>
              </w:rPr>
            </w:pPr>
            <w:r w:rsidRPr="001567E1">
              <w:rPr>
                <w:noProof/>
                <w:lang w:val="nl-NL" w:eastAsia="nl-NL"/>
              </w:rPr>
              <w:drawing>
                <wp:inline distT="0" distB="0" distL="0" distR="0" wp14:anchorId="34B05835" wp14:editId="12C263E3">
                  <wp:extent cx="2790825" cy="180657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alearctic bioregions.png"/>
                          <pic:cNvPicPr/>
                        </pic:nvPicPr>
                        <pic:blipFill>
                          <a:blip r:embed="rId29">
                            <a:extLst>
                              <a:ext uri="{28A0092B-C50C-407E-A947-70E740481C1C}">
                                <a14:useLocalDpi xmlns:a14="http://schemas.microsoft.com/office/drawing/2010/main" val="0"/>
                              </a:ext>
                            </a:extLst>
                          </a:blip>
                          <a:stretch>
                            <a:fillRect/>
                          </a:stretch>
                        </pic:blipFill>
                        <pic:spPr>
                          <a:xfrm>
                            <a:off x="0" y="0"/>
                            <a:ext cx="2792796" cy="1807851"/>
                          </a:xfrm>
                          <a:prstGeom prst="rect">
                            <a:avLst/>
                          </a:prstGeom>
                        </pic:spPr>
                      </pic:pic>
                    </a:graphicData>
                  </a:graphic>
                </wp:inline>
              </w:drawing>
            </w:r>
          </w:p>
        </w:tc>
      </w:tr>
    </w:tbl>
    <w:p w14:paraId="734FC166" w14:textId="20AEEBED" w:rsidR="007C0441" w:rsidRPr="00A10AB8" w:rsidRDefault="00A10AB8" w:rsidP="002E552B">
      <w:pPr>
        <w:pStyle w:val="Caption"/>
        <w:rPr>
          <w:b w:val="0"/>
          <w:sz w:val="16"/>
          <w:szCs w:val="16"/>
          <w:lang w:val="fr-FR"/>
        </w:rPr>
      </w:pPr>
      <w:r w:rsidRPr="00A10AB8">
        <w:rPr>
          <w:b w:val="0"/>
          <w:sz w:val="16"/>
          <w:szCs w:val="16"/>
          <w:lang w:val="fr-FR"/>
        </w:rPr>
        <w:t>Afrique de l’Est / Afrique australe / Afrique de l’Ouest</w:t>
      </w:r>
      <w:r>
        <w:rPr>
          <w:b w:val="0"/>
          <w:sz w:val="16"/>
          <w:szCs w:val="16"/>
          <w:lang w:val="fr-FR"/>
        </w:rPr>
        <w:t xml:space="preserve">                          Atlantique / mer Noire et Méditerranée / Asie centrale et du Sud-Ouest</w:t>
      </w:r>
    </w:p>
    <w:p w14:paraId="700813B6" w14:textId="5459B2B6" w:rsidR="002E552B" w:rsidRPr="001567E1" w:rsidRDefault="00671082" w:rsidP="007E54A0">
      <w:pPr>
        <w:pStyle w:val="Caption"/>
        <w:jc w:val="both"/>
        <w:rPr>
          <w:lang w:val="fr-FR"/>
        </w:rPr>
      </w:pPr>
      <w:r w:rsidRPr="001567E1">
        <w:rPr>
          <w:lang w:val="fr-FR"/>
        </w:rPr>
        <w:t>Figure 3. Définitions géographiques utilisées dans ce rapport</w:t>
      </w:r>
      <w:r w:rsidR="004E3BA2">
        <w:rPr>
          <w:lang w:val="fr-FR"/>
        </w:rPr>
        <w:t>.</w:t>
      </w:r>
      <w:r w:rsidR="002E552B" w:rsidRPr="001567E1">
        <w:rPr>
          <w:lang w:val="fr-FR"/>
        </w:rPr>
        <w:t xml:space="preserve"> </w:t>
      </w:r>
      <w:r w:rsidRPr="001567E1">
        <w:rPr>
          <w:szCs w:val="24"/>
          <w:lang w:val="fr-FR"/>
        </w:rPr>
        <w:t>La région sub-saharienne se rapporte aux trois sous-régions combinées du secteur afro</w:t>
      </w:r>
      <w:r w:rsidR="00232ED8" w:rsidRPr="001567E1">
        <w:rPr>
          <w:szCs w:val="24"/>
          <w:lang w:val="fr-FR"/>
        </w:rPr>
        <w:t>-</w:t>
      </w:r>
      <w:r w:rsidRPr="001567E1">
        <w:rPr>
          <w:szCs w:val="24"/>
          <w:lang w:val="fr-FR"/>
        </w:rPr>
        <w:t>tropical.</w:t>
      </w:r>
      <w:r w:rsidR="002E552B" w:rsidRPr="001567E1">
        <w:rPr>
          <w:szCs w:val="24"/>
          <w:lang w:val="fr-FR"/>
        </w:rPr>
        <w:t xml:space="preserve"> </w:t>
      </w:r>
      <w:r w:rsidRPr="001567E1">
        <w:rPr>
          <w:szCs w:val="24"/>
          <w:lang w:val="fr-FR"/>
        </w:rPr>
        <w:t>La sous-région orientale et australe se rapporte à la combinaison des régions d’Afrique orientale et australe.</w:t>
      </w:r>
      <w:r w:rsidR="002E552B" w:rsidRPr="001567E1">
        <w:rPr>
          <w:lang w:val="fr-FR"/>
        </w:rPr>
        <w:tab/>
      </w:r>
    </w:p>
    <w:p w14:paraId="00E91F16" w14:textId="235E4ECD" w:rsidR="00322704" w:rsidRPr="001567E1" w:rsidRDefault="00322704" w:rsidP="007E54A0">
      <w:pPr>
        <w:jc w:val="both"/>
        <w:rPr>
          <w:lang w:val="fr-FR"/>
        </w:rPr>
      </w:pPr>
    </w:p>
    <w:p w14:paraId="454CF4E7" w14:textId="7C27EFDF" w:rsidR="00741F7A" w:rsidRPr="001567E1" w:rsidRDefault="00671082">
      <w:pPr>
        <w:pStyle w:val="Normal1"/>
        <w:jc w:val="both"/>
        <w:rPr>
          <w:szCs w:val="24"/>
          <w:lang w:val="fr-FR"/>
        </w:rPr>
      </w:pPr>
      <w:r w:rsidRPr="001567E1">
        <w:rPr>
          <w:szCs w:val="24"/>
          <w:lang w:val="fr-FR"/>
        </w:rPr>
        <w:t xml:space="preserve">39 % des populations de l’AEWA sont constituées d’oiseaux migrateurs </w:t>
      </w:r>
      <w:r w:rsidR="004E3BA2">
        <w:rPr>
          <w:szCs w:val="24"/>
          <w:lang w:val="fr-FR"/>
        </w:rPr>
        <w:t xml:space="preserve">dont l’aire de répartition </w:t>
      </w:r>
      <w:r w:rsidRPr="001567E1">
        <w:rPr>
          <w:szCs w:val="24"/>
          <w:lang w:val="fr-FR"/>
        </w:rPr>
        <w:t xml:space="preserve">se </w:t>
      </w:r>
      <w:r w:rsidR="004E3BA2">
        <w:rPr>
          <w:szCs w:val="24"/>
          <w:lang w:val="fr-FR"/>
        </w:rPr>
        <w:t>limite</w:t>
      </w:r>
      <w:r w:rsidRPr="001567E1">
        <w:rPr>
          <w:szCs w:val="24"/>
          <w:lang w:val="fr-FR"/>
        </w:rPr>
        <w:t xml:space="preserve"> au Paléarctique, 31 % d</w:t>
      </w:r>
      <w:r w:rsidR="0072548E" w:rsidRPr="001567E1">
        <w:rPr>
          <w:szCs w:val="24"/>
          <w:lang w:val="fr-FR"/>
        </w:rPr>
        <w:t>’</w:t>
      </w:r>
      <w:r w:rsidRPr="001567E1">
        <w:rPr>
          <w:szCs w:val="24"/>
          <w:lang w:val="fr-FR"/>
        </w:rPr>
        <w:t xml:space="preserve">oiseaux migrateurs intra-africains et 29 % </w:t>
      </w:r>
      <w:r w:rsidR="0072548E" w:rsidRPr="001567E1">
        <w:rPr>
          <w:szCs w:val="24"/>
          <w:lang w:val="fr-FR"/>
        </w:rPr>
        <w:t>d’</w:t>
      </w:r>
      <w:r w:rsidRPr="001567E1">
        <w:rPr>
          <w:szCs w:val="24"/>
          <w:lang w:val="fr-FR"/>
        </w:rPr>
        <w:t>oiseaux migrateurs du Paléarctique hivernant en Afrique.</w:t>
      </w:r>
      <w:r w:rsidR="00F67D59" w:rsidRPr="001567E1">
        <w:rPr>
          <w:szCs w:val="24"/>
          <w:lang w:val="fr-FR"/>
        </w:rPr>
        <w:t xml:space="preserve"> </w:t>
      </w:r>
      <w:r w:rsidRPr="001567E1">
        <w:rPr>
          <w:szCs w:val="24"/>
          <w:lang w:val="fr-FR"/>
        </w:rPr>
        <w:t xml:space="preserve">La plupart des populations de l’AEWA (99, soit 18 %) appartiennent à l’Atlantique ou au groupe du nord-ouest de l’Europe du Paléarctique occidental, </w:t>
      </w:r>
      <w:r w:rsidR="00AB5BE5" w:rsidRPr="001567E1">
        <w:rPr>
          <w:szCs w:val="24"/>
          <w:lang w:val="fr-FR"/>
        </w:rPr>
        <w:t>suivi</w:t>
      </w:r>
      <w:r w:rsidR="00E3316E" w:rsidRPr="001567E1">
        <w:rPr>
          <w:szCs w:val="24"/>
          <w:lang w:val="fr-FR"/>
        </w:rPr>
        <w:t>e</w:t>
      </w:r>
      <w:r w:rsidR="00AB5BE5" w:rsidRPr="001567E1">
        <w:rPr>
          <w:szCs w:val="24"/>
          <w:lang w:val="fr-FR"/>
        </w:rPr>
        <w:t xml:space="preserve"> par la voie de migration d’Asie de l’Ouest</w:t>
      </w:r>
      <w:r w:rsidRPr="001567E1">
        <w:rPr>
          <w:szCs w:val="24"/>
          <w:lang w:val="fr-FR"/>
        </w:rPr>
        <w:t>–</w:t>
      </w:r>
      <w:r w:rsidR="00AB5BE5" w:rsidRPr="001567E1">
        <w:rPr>
          <w:szCs w:val="24"/>
          <w:lang w:val="fr-FR"/>
        </w:rPr>
        <w:t xml:space="preserve">Afrique de l’Est </w:t>
      </w:r>
      <w:r w:rsidR="00D41A6C">
        <w:rPr>
          <w:szCs w:val="24"/>
          <w:lang w:val="fr-FR"/>
        </w:rPr>
        <w:t>(figure</w:t>
      </w:r>
      <w:r w:rsidRPr="001567E1">
        <w:rPr>
          <w:szCs w:val="24"/>
          <w:lang w:val="fr-FR"/>
        </w:rPr>
        <w:t xml:space="preserve"> 4).</w:t>
      </w:r>
    </w:p>
    <w:p w14:paraId="345C1D12" w14:textId="77777777" w:rsidR="00322704" w:rsidRPr="001567E1" w:rsidRDefault="00322704">
      <w:pPr>
        <w:pStyle w:val="Normal1"/>
        <w:jc w:val="both"/>
        <w:rPr>
          <w:lang w:val="fr-FR"/>
        </w:rPr>
      </w:pPr>
    </w:p>
    <w:p w14:paraId="4CD400EC" w14:textId="543231D3" w:rsidR="00741F7A" w:rsidRPr="001567E1" w:rsidRDefault="007C0441">
      <w:pPr>
        <w:pStyle w:val="Normal1"/>
        <w:keepNext/>
        <w:rPr>
          <w:lang w:val="fr-FR"/>
        </w:rPr>
      </w:pPr>
      <w:r w:rsidRPr="001567E1">
        <w:rPr>
          <w:noProof/>
          <w:lang w:val="nl-NL" w:eastAsia="nl-NL"/>
        </w:rPr>
        <w:drawing>
          <wp:inline distT="0" distB="0" distL="0" distR="0" wp14:anchorId="40219666" wp14:editId="45045F60">
            <wp:extent cx="5274945" cy="3592363"/>
            <wp:effectExtent l="0" t="0" r="825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945" cy="3592363"/>
                    </a:xfrm>
                    <a:prstGeom prst="rect">
                      <a:avLst/>
                    </a:prstGeom>
                    <a:noFill/>
                    <a:ln>
                      <a:noFill/>
                    </a:ln>
                  </pic:spPr>
                </pic:pic>
              </a:graphicData>
            </a:graphic>
          </wp:inline>
        </w:drawing>
      </w:r>
    </w:p>
    <w:bookmarkStart w:id="27" w:name="h.17dp8vu" w:colFirst="0" w:colLast="0"/>
    <w:bookmarkEnd w:id="27"/>
    <w:p w14:paraId="08803222" w14:textId="47DDEF80" w:rsidR="00BA5A02" w:rsidRDefault="00BA5A02" w:rsidP="00A10AB8">
      <w:pPr>
        <w:pStyle w:val="Caption"/>
        <w:spacing w:after="0"/>
        <w:rPr>
          <w:lang w:val="fr-FR"/>
        </w:rPr>
      </w:pPr>
      <w:r>
        <w:rPr>
          <w:noProof/>
          <w:lang w:val="fr-FR"/>
        </w:rPr>
        <mc:AlternateContent>
          <mc:Choice Requires="wps">
            <w:drawing>
              <wp:anchor distT="0" distB="0" distL="114300" distR="114300" simplePos="0" relativeHeight="251643392" behindDoc="0" locked="0" layoutInCell="1" allowOverlap="1" wp14:anchorId="6D6681F3" wp14:editId="65F862B8">
                <wp:simplePos x="0" y="0"/>
                <wp:positionH relativeFrom="column">
                  <wp:posOffset>2661285</wp:posOffset>
                </wp:positionH>
                <wp:positionV relativeFrom="paragraph">
                  <wp:posOffset>90170</wp:posOffset>
                </wp:positionV>
                <wp:extent cx="2733675" cy="1200150"/>
                <wp:effectExtent l="0" t="0" r="9525" b="0"/>
                <wp:wrapNone/>
                <wp:docPr id="49" name="Text Box 49"/>
                <wp:cNvGraphicFramePr/>
                <a:graphic xmlns:a="http://schemas.openxmlformats.org/drawingml/2006/main">
                  <a:graphicData uri="http://schemas.microsoft.com/office/word/2010/wordprocessingShape">
                    <wps:wsp>
                      <wps:cNvSpPr txBox="1"/>
                      <wps:spPr>
                        <a:xfrm>
                          <a:off x="0" y="0"/>
                          <a:ext cx="2733675" cy="1200150"/>
                        </a:xfrm>
                        <a:prstGeom prst="rect">
                          <a:avLst/>
                        </a:prstGeom>
                        <a:solidFill>
                          <a:schemeClr val="lt1"/>
                        </a:solidFill>
                        <a:ln w="6350">
                          <a:noFill/>
                        </a:ln>
                      </wps:spPr>
                      <wps:txbx>
                        <w:txbxContent>
                          <w:p w14:paraId="2B49B59A"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Voie de migration Asie de l’Ouest – Afrique de l’Est</w:t>
                            </w:r>
                          </w:p>
                          <w:p w14:paraId="45C8917D"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Paléarctique occidental – Atlantique</w:t>
                            </w:r>
                          </w:p>
                          <w:p w14:paraId="3A823942"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Paléarctique occidental – mer Noire–Méditerranée</w:t>
                            </w:r>
                          </w:p>
                          <w:p w14:paraId="30DB7271"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Paléarctique occidental – Asie centrale et du Sud-Ouest</w:t>
                            </w:r>
                          </w:p>
                          <w:p w14:paraId="6DC22E3E"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Autres</w:t>
                            </w:r>
                          </w:p>
                          <w:p w14:paraId="0F77AF72" w14:textId="77777777" w:rsidR="00BC4D45" w:rsidRPr="00BA5A02"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681F3" id="Text Box 49" o:spid="_x0000_s1029" type="#_x0000_t202" style="position:absolute;margin-left:209.55pt;margin-top:7.1pt;width:215.25pt;height:9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" fillcolor="white [3201]" stroked="f" strokeweight=".5pt">
                <v:textbox>
                  <w:txbxContent>
                    <w:p w14:paraId="2B49B59A"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Voie de migration Asie de l’Ouest – Afrique de l’Est</w:t>
                      </w:r>
                    </w:p>
                    <w:p w14:paraId="45C8917D"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Paléarctique occidental – Atlantique</w:t>
                      </w:r>
                    </w:p>
                    <w:p w14:paraId="3A823942"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Paléarctique occidental – mer Noire–Méditerranée</w:t>
                      </w:r>
                    </w:p>
                    <w:p w14:paraId="30DB7271"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Paléarctique occidental – Asie centrale et du Sud-Ouest</w:t>
                      </w:r>
                    </w:p>
                    <w:p w14:paraId="6DC22E3E" w14:textId="77777777" w:rsidR="00BC4D45" w:rsidRPr="00BA5A02" w:rsidRDefault="00BC4D45" w:rsidP="00BA5A02">
                      <w:pPr>
                        <w:pStyle w:val="Caption"/>
                        <w:numPr>
                          <w:ilvl w:val="0"/>
                          <w:numId w:val="11"/>
                        </w:numPr>
                        <w:spacing w:after="0"/>
                        <w:ind w:left="142" w:hanging="142"/>
                        <w:rPr>
                          <w:b w:val="0"/>
                          <w:lang w:val="fr-FR"/>
                        </w:rPr>
                      </w:pPr>
                      <w:r w:rsidRPr="00BA5A02">
                        <w:rPr>
                          <w:b w:val="0"/>
                          <w:lang w:val="fr-FR"/>
                        </w:rPr>
                        <w:t>Autres</w:t>
                      </w:r>
                    </w:p>
                    <w:p w14:paraId="0F77AF72" w14:textId="77777777" w:rsidR="00BC4D45" w:rsidRPr="00BA5A02" w:rsidRDefault="00BC4D45"/>
                  </w:txbxContent>
                </v:textbox>
              </v:shape>
            </w:pict>
          </mc:Fallback>
        </mc:AlternateContent>
      </w:r>
    </w:p>
    <w:p w14:paraId="6FD2D2E9" w14:textId="5147BB01" w:rsidR="00A10AB8" w:rsidRPr="00BA5A02" w:rsidRDefault="00A10AB8" w:rsidP="00BA5A02">
      <w:pPr>
        <w:pStyle w:val="Caption"/>
        <w:numPr>
          <w:ilvl w:val="0"/>
          <w:numId w:val="10"/>
        </w:numPr>
        <w:spacing w:after="0"/>
        <w:ind w:left="284" w:hanging="284"/>
        <w:rPr>
          <w:b w:val="0"/>
          <w:lang w:val="fr-FR"/>
        </w:rPr>
      </w:pPr>
      <w:r w:rsidRPr="00BA5A02">
        <w:rPr>
          <w:b w:val="0"/>
          <w:lang w:val="fr-FR"/>
        </w:rPr>
        <w:t>Région afro-tropicale – Est</w:t>
      </w:r>
    </w:p>
    <w:p w14:paraId="05F21694" w14:textId="2FAAD941" w:rsidR="00A10AB8" w:rsidRPr="00BA5A02" w:rsidRDefault="00A10AB8" w:rsidP="00BA5A02">
      <w:pPr>
        <w:pStyle w:val="Caption"/>
        <w:numPr>
          <w:ilvl w:val="0"/>
          <w:numId w:val="10"/>
        </w:numPr>
        <w:spacing w:after="0"/>
        <w:ind w:left="284" w:hanging="284"/>
        <w:rPr>
          <w:b w:val="0"/>
          <w:lang w:val="fr-FR"/>
        </w:rPr>
      </w:pPr>
      <w:r w:rsidRPr="00BA5A02">
        <w:rPr>
          <w:b w:val="0"/>
          <w:lang w:val="fr-FR"/>
        </w:rPr>
        <w:t>Région afro-tropicale – Est et australe</w:t>
      </w:r>
    </w:p>
    <w:p w14:paraId="3358EED4" w14:textId="77777777" w:rsidR="00A10AB8" w:rsidRPr="00BA5A02" w:rsidRDefault="00A10AB8" w:rsidP="00BA5A02">
      <w:pPr>
        <w:pStyle w:val="Caption"/>
        <w:numPr>
          <w:ilvl w:val="0"/>
          <w:numId w:val="10"/>
        </w:numPr>
        <w:spacing w:after="0"/>
        <w:ind w:left="284" w:hanging="284"/>
        <w:rPr>
          <w:b w:val="0"/>
          <w:lang w:val="fr-FR"/>
        </w:rPr>
      </w:pPr>
      <w:r w:rsidRPr="00BA5A02">
        <w:rPr>
          <w:b w:val="0"/>
          <w:lang w:val="fr-FR"/>
        </w:rPr>
        <w:t>Région afro-tropicale – Australe</w:t>
      </w:r>
    </w:p>
    <w:p w14:paraId="75CF044B" w14:textId="77777777" w:rsidR="00A10AB8" w:rsidRPr="00BA5A02" w:rsidRDefault="00A10AB8" w:rsidP="00BA5A02">
      <w:pPr>
        <w:pStyle w:val="Caption"/>
        <w:numPr>
          <w:ilvl w:val="0"/>
          <w:numId w:val="10"/>
        </w:numPr>
        <w:spacing w:after="0"/>
        <w:ind w:left="284" w:hanging="284"/>
        <w:rPr>
          <w:b w:val="0"/>
          <w:lang w:val="fr-FR"/>
        </w:rPr>
      </w:pPr>
      <w:r w:rsidRPr="00BA5A02">
        <w:rPr>
          <w:b w:val="0"/>
          <w:lang w:val="fr-FR"/>
        </w:rPr>
        <w:t>Région afro-tropicale – Subsaharienne</w:t>
      </w:r>
    </w:p>
    <w:p w14:paraId="21E4A3D0" w14:textId="77777777" w:rsidR="00A10AB8" w:rsidRPr="00BA5A02" w:rsidRDefault="00A10AB8" w:rsidP="00BA5A02">
      <w:pPr>
        <w:pStyle w:val="Caption"/>
        <w:numPr>
          <w:ilvl w:val="0"/>
          <w:numId w:val="10"/>
        </w:numPr>
        <w:spacing w:after="0"/>
        <w:ind w:left="284" w:hanging="284"/>
        <w:rPr>
          <w:b w:val="0"/>
          <w:lang w:val="fr-FR"/>
        </w:rPr>
      </w:pPr>
      <w:r w:rsidRPr="00BA5A02">
        <w:rPr>
          <w:b w:val="0"/>
          <w:lang w:val="fr-FR"/>
        </w:rPr>
        <w:t>Région afro-tropicale – Occidentale et centrale</w:t>
      </w:r>
    </w:p>
    <w:p w14:paraId="5B6D320F" w14:textId="77777777" w:rsidR="00A10AB8" w:rsidRPr="00BA5A02" w:rsidRDefault="00A10AB8" w:rsidP="00BA5A02">
      <w:pPr>
        <w:pStyle w:val="Caption"/>
        <w:numPr>
          <w:ilvl w:val="0"/>
          <w:numId w:val="10"/>
        </w:numPr>
        <w:spacing w:after="0"/>
        <w:ind w:left="284" w:hanging="284"/>
        <w:rPr>
          <w:b w:val="0"/>
          <w:lang w:val="fr-FR"/>
        </w:rPr>
      </w:pPr>
      <w:r w:rsidRPr="00BA5A02">
        <w:rPr>
          <w:b w:val="0"/>
          <w:lang w:val="fr-FR"/>
        </w:rPr>
        <w:t>Voie de migration Mer Noire–Méditerranée</w:t>
      </w:r>
    </w:p>
    <w:p w14:paraId="274FB64A" w14:textId="2E6D5CB0" w:rsidR="00BA5A02" w:rsidRPr="00BA5A02" w:rsidRDefault="00BA5A02" w:rsidP="00BA5A02">
      <w:pPr>
        <w:pStyle w:val="Caption"/>
        <w:numPr>
          <w:ilvl w:val="0"/>
          <w:numId w:val="10"/>
        </w:numPr>
        <w:spacing w:after="0"/>
        <w:ind w:left="284" w:hanging="284"/>
        <w:rPr>
          <w:b w:val="0"/>
          <w:lang w:val="fr-FR"/>
        </w:rPr>
      </w:pPr>
      <w:r w:rsidRPr="00BA5A02">
        <w:rPr>
          <w:b w:val="0"/>
          <w:lang w:val="fr-FR"/>
        </w:rPr>
        <w:t>Voie de migration de l’Atlantique Est</w:t>
      </w:r>
    </w:p>
    <w:p w14:paraId="59EB103E" w14:textId="77777777" w:rsidR="00BA5A02" w:rsidRDefault="00BA5A02" w:rsidP="00BA5A02">
      <w:pPr>
        <w:pStyle w:val="Caption"/>
        <w:rPr>
          <w:lang w:val="fr-FR"/>
        </w:rPr>
      </w:pPr>
    </w:p>
    <w:p w14:paraId="7C343F36" w14:textId="3FFFF872" w:rsidR="00741F7A" w:rsidRPr="001567E1" w:rsidRDefault="00AB5BE5" w:rsidP="00BA5A02">
      <w:pPr>
        <w:pStyle w:val="Caption"/>
        <w:rPr>
          <w:lang w:val="fr-FR"/>
        </w:rPr>
      </w:pPr>
      <w:r w:rsidRPr="001567E1">
        <w:rPr>
          <w:lang w:val="fr-FR"/>
        </w:rPr>
        <w:t xml:space="preserve">Figure 4. </w:t>
      </w:r>
      <w:r w:rsidR="00671082" w:rsidRPr="001567E1">
        <w:rPr>
          <w:lang w:val="fr-FR"/>
        </w:rPr>
        <w:t>Distribution des populations d'oiseaux d'eau couvertes par l’AEWA selon leurs modèles de migration</w:t>
      </w:r>
    </w:p>
    <w:p w14:paraId="7B6A06E1" w14:textId="77777777" w:rsidR="007D3376" w:rsidRPr="001567E1" w:rsidRDefault="007D3376">
      <w:pPr>
        <w:rPr>
          <w:b/>
          <w:sz w:val="20"/>
          <w:lang w:val="fr-FR"/>
        </w:rPr>
      </w:pPr>
      <w:r w:rsidRPr="001567E1">
        <w:rPr>
          <w:b/>
          <w:sz w:val="20"/>
          <w:lang w:val="fr-FR"/>
        </w:rPr>
        <w:br w:type="page"/>
      </w:r>
    </w:p>
    <w:p w14:paraId="112E1E3B" w14:textId="1FDDB1EF" w:rsidR="00741F7A" w:rsidRPr="001567E1" w:rsidRDefault="00AB5BE5" w:rsidP="009D6511">
      <w:pPr>
        <w:pStyle w:val="Heading1"/>
        <w:ind w:left="1080" w:hanging="1080"/>
        <w:rPr>
          <w:lang w:val="fr-FR"/>
        </w:rPr>
      </w:pPr>
      <w:bookmarkStart w:id="28" w:name="h.3rdcrjn" w:colFirst="0" w:colLast="0"/>
      <w:bookmarkStart w:id="29" w:name="_Toc517262005"/>
      <w:bookmarkEnd w:id="28"/>
      <w:r w:rsidRPr="001567E1">
        <w:rPr>
          <w:sz w:val="28"/>
          <w:lang w:val="fr-FR"/>
        </w:rPr>
        <w:lastRenderedPageBreak/>
        <w:t>Partie 2. Tailles des populations</w:t>
      </w:r>
      <w:bookmarkEnd w:id="29"/>
    </w:p>
    <w:p w14:paraId="314A8238" w14:textId="4CC85268" w:rsidR="00741F7A" w:rsidRPr="001567E1" w:rsidRDefault="00AB5BE5" w:rsidP="009D6511">
      <w:pPr>
        <w:pStyle w:val="Heading3"/>
        <w:rPr>
          <w:lang w:val="fr-FR"/>
        </w:rPr>
      </w:pPr>
      <w:bookmarkStart w:id="30" w:name="h.26in1rg" w:colFirst="0" w:colLast="0"/>
      <w:bookmarkStart w:id="31" w:name="_Toc517262006"/>
      <w:bookmarkEnd w:id="30"/>
      <w:r w:rsidRPr="001567E1">
        <w:rPr>
          <w:rFonts w:ascii="Times New Roman" w:eastAsia="Times New Roman" w:hAnsi="Times New Roman" w:cs="Times New Roman"/>
          <w:lang w:val="fr-FR"/>
        </w:rPr>
        <w:t>Deux-tiers des estimations des populations sont basés sur la surveillance</w:t>
      </w:r>
      <w:bookmarkEnd w:id="31"/>
    </w:p>
    <w:p w14:paraId="12726E72" w14:textId="77777777" w:rsidR="00741F7A" w:rsidRPr="001567E1" w:rsidRDefault="00741F7A">
      <w:pPr>
        <w:pStyle w:val="Normal1"/>
        <w:jc w:val="both"/>
        <w:rPr>
          <w:lang w:val="fr-FR"/>
        </w:rPr>
      </w:pPr>
    </w:p>
    <w:p w14:paraId="4B03C58F" w14:textId="718672F3" w:rsidR="00741F7A" w:rsidRPr="001567E1" w:rsidRDefault="00AB5BE5">
      <w:pPr>
        <w:pStyle w:val="Normal1"/>
        <w:jc w:val="both"/>
        <w:rPr>
          <w:szCs w:val="24"/>
          <w:lang w:val="fr-FR"/>
        </w:rPr>
      </w:pPr>
      <w:r w:rsidRPr="001567E1">
        <w:rPr>
          <w:szCs w:val="24"/>
          <w:lang w:val="fr-FR"/>
        </w:rPr>
        <w:t>La qualité des estimations des populations a été évaluée en utilisant quatre catégories.</w:t>
      </w:r>
      <w:r w:rsidR="007D3376" w:rsidRPr="001567E1">
        <w:rPr>
          <w:szCs w:val="24"/>
          <w:lang w:val="fr-FR"/>
        </w:rPr>
        <w:t xml:space="preserve"> </w:t>
      </w:r>
      <w:r w:rsidRPr="001567E1">
        <w:rPr>
          <w:szCs w:val="24"/>
          <w:lang w:val="fr-FR"/>
        </w:rPr>
        <w:t>Les deux dernières sont basées sur des données issues de la surveillance.</w:t>
      </w:r>
      <w:r w:rsidR="00322704" w:rsidRPr="001567E1">
        <w:rPr>
          <w:szCs w:val="24"/>
          <w:lang w:val="fr-FR"/>
        </w:rPr>
        <w:t xml:space="preserve"> </w:t>
      </w:r>
      <w:r w:rsidRPr="001567E1">
        <w:rPr>
          <w:szCs w:val="24"/>
          <w:lang w:val="fr-FR"/>
        </w:rPr>
        <w:t>Elles ne diffèrent que par la complétude des études réalisées et la r</w:t>
      </w:r>
      <w:r w:rsidR="004E3BA2">
        <w:rPr>
          <w:szCs w:val="24"/>
          <w:lang w:val="fr-FR"/>
        </w:rPr>
        <w:t xml:space="preserve">igueur </w:t>
      </w:r>
      <w:r w:rsidR="00D13759">
        <w:rPr>
          <w:szCs w:val="24"/>
          <w:lang w:val="fr-FR"/>
        </w:rPr>
        <w:t>statistique</w:t>
      </w:r>
      <w:r w:rsidRPr="001567E1">
        <w:rPr>
          <w:szCs w:val="24"/>
          <w:lang w:val="fr-FR"/>
        </w:rPr>
        <w:t xml:space="preserve"> des analyses.</w:t>
      </w:r>
      <w:r w:rsidR="007D3376" w:rsidRPr="001567E1">
        <w:rPr>
          <w:szCs w:val="24"/>
          <w:lang w:val="fr-FR"/>
        </w:rPr>
        <w:t xml:space="preserve"> </w:t>
      </w:r>
      <w:r w:rsidRPr="001567E1">
        <w:rPr>
          <w:szCs w:val="24"/>
          <w:lang w:val="fr-FR"/>
        </w:rPr>
        <w:t>La catégorie « meilleure supposition »</w:t>
      </w:r>
      <w:r w:rsidR="004E3BA2">
        <w:rPr>
          <w:szCs w:val="24"/>
          <w:lang w:val="fr-FR"/>
        </w:rPr>
        <w:t>, qui</w:t>
      </w:r>
      <w:r w:rsidRPr="001567E1">
        <w:rPr>
          <w:szCs w:val="24"/>
          <w:lang w:val="fr-FR"/>
        </w:rPr>
        <w:t xml:space="preserve"> inclut à présent une mesure de l’exactitude</w:t>
      </w:r>
      <w:r w:rsidR="004E3BA2">
        <w:rPr>
          <w:szCs w:val="24"/>
          <w:lang w:val="fr-FR"/>
        </w:rPr>
        <w:t>,</w:t>
      </w:r>
      <w:r w:rsidRPr="001567E1">
        <w:rPr>
          <w:szCs w:val="24"/>
          <w:lang w:val="fr-FR"/>
        </w:rPr>
        <w:t xml:space="preserve"> est plus stricte que par le passé.</w:t>
      </w:r>
    </w:p>
    <w:p w14:paraId="6ABED6FD" w14:textId="4D684D64" w:rsidR="007D3376" w:rsidRDefault="007D3376">
      <w:pPr>
        <w:pStyle w:val="Normal1"/>
        <w:jc w:val="both"/>
        <w:rPr>
          <w:lang w:val="fr-FR"/>
        </w:rPr>
      </w:pPr>
    </w:p>
    <w:tbl>
      <w:tblPr>
        <w:tblStyle w:val="TableGrid"/>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7070"/>
      </w:tblGrid>
      <w:tr w:rsidR="00BA5A02" w:rsidRPr="005E65A5" w14:paraId="75AD783C" w14:textId="77777777" w:rsidTr="00BA5A02">
        <w:tc>
          <w:tcPr>
            <w:tcW w:w="1292" w:type="pct"/>
          </w:tcPr>
          <w:p w14:paraId="340EF929" w14:textId="178C8D28" w:rsidR="00BA5A02" w:rsidRDefault="00BA5A02">
            <w:pPr>
              <w:pStyle w:val="Normal1"/>
              <w:jc w:val="both"/>
              <w:rPr>
                <w:lang w:val="fr-FR"/>
              </w:rPr>
            </w:pPr>
            <w:r>
              <w:rPr>
                <w:sz w:val="18"/>
                <w:szCs w:val="18"/>
                <w:lang w:val="fr-FR"/>
              </w:rPr>
              <w:t xml:space="preserve">1.  </w:t>
            </w:r>
            <w:r w:rsidRPr="001567E1">
              <w:rPr>
                <w:i/>
                <w:sz w:val="18"/>
                <w:szCs w:val="18"/>
                <w:lang w:val="fr-FR"/>
              </w:rPr>
              <w:t>Non estimée :</w:t>
            </w:r>
          </w:p>
        </w:tc>
        <w:tc>
          <w:tcPr>
            <w:tcW w:w="3708" w:type="pct"/>
          </w:tcPr>
          <w:p w14:paraId="30B852D5" w14:textId="77777777" w:rsidR="00BA5A02" w:rsidRDefault="00BA5A02" w:rsidP="00BA5A02">
            <w:pPr>
              <w:pStyle w:val="Normal1"/>
              <w:tabs>
                <w:tab w:val="left" w:pos="360"/>
              </w:tabs>
              <w:ind w:left="1980" w:hanging="1980"/>
              <w:jc w:val="both"/>
              <w:rPr>
                <w:sz w:val="18"/>
                <w:szCs w:val="18"/>
                <w:lang w:val="fr-FR"/>
              </w:rPr>
            </w:pPr>
            <w:r w:rsidRPr="001567E1">
              <w:rPr>
                <w:sz w:val="18"/>
                <w:szCs w:val="18"/>
                <w:lang w:val="fr-FR"/>
              </w:rPr>
              <w:t>Aucune estimation n’est disponible pour cette population ;</w:t>
            </w:r>
          </w:p>
          <w:p w14:paraId="3D796892" w14:textId="7A3A7C1D" w:rsidR="00BA5A02" w:rsidRPr="00BA5A02" w:rsidRDefault="00BA5A02" w:rsidP="00BA5A02">
            <w:pPr>
              <w:pStyle w:val="Normal1"/>
              <w:tabs>
                <w:tab w:val="left" w:pos="360"/>
              </w:tabs>
              <w:ind w:left="1980" w:hanging="1980"/>
              <w:jc w:val="both"/>
              <w:rPr>
                <w:sz w:val="10"/>
                <w:szCs w:val="10"/>
                <w:lang w:val="fr-FR"/>
              </w:rPr>
            </w:pPr>
          </w:p>
        </w:tc>
      </w:tr>
      <w:tr w:rsidR="00BA5A02" w:rsidRPr="005E65A5" w14:paraId="47EF1534" w14:textId="77777777" w:rsidTr="00BA5A02">
        <w:tc>
          <w:tcPr>
            <w:tcW w:w="1292" w:type="pct"/>
          </w:tcPr>
          <w:p w14:paraId="1AEA95C7" w14:textId="4B949571" w:rsidR="00BA5A02" w:rsidRDefault="00BA5A02">
            <w:pPr>
              <w:pStyle w:val="Normal1"/>
              <w:jc w:val="both"/>
              <w:rPr>
                <w:lang w:val="fr-FR"/>
              </w:rPr>
            </w:pPr>
            <w:r>
              <w:rPr>
                <w:sz w:val="18"/>
                <w:szCs w:val="18"/>
                <w:lang w:val="fr-FR"/>
              </w:rPr>
              <w:t xml:space="preserve">2.  </w:t>
            </w:r>
            <w:r w:rsidRPr="001567E1">
              <w:rPr>
                <w:i/>
                <w:sz w:val="18"/>
                <w:szCs w:val="18"/>
                <w:lang w:val="fr-FR"/>
              </w:rPr>
              <w:t>Meilleure supposition :</w:t>
            </w:r>
          </w:p>
        </w:tc>
        <w:tc>
          <w:tcPr>
            <w:tcW w:w="3708" w:type="pct"/>
          </w:tcPr>
          <w:p w14:paraId="04B93A6F" w14:textId="77777777" w:rsidR="00BA5A02" w:rsidRDefault="00BA5A02" w:rsidP="00BA5A02">
            <w:pPr>
              <w:pStyle w:val="Normal1"/>
              <w:tabs>
                <w:tab w:val="left" w:pos="360"/>
              </w:tabs>
              <w:jc w:val="both"/>
              <w:rPr>
                <w:sz w:val="18"/>
                <w:szCs w:val="18"/>
                <w:lang w:val="fr-FR"/>
              </w:rPr>
            </w:pPr>
            <w:r w:rsidRPr="001567E1">
              <w:rPr>
                <w:sz w:val="18"/>
                <w:szCs w:val="18"/>
                <w:lang w:val="fr-FR"/>
              </w:rPr>
              <w:t>L’estimation de la population est seulement possible dans des aires de répartition codées en lettres, c’est-à-dire A : 1-10 000, B : 10 000-25 000 individus, etc. comme utilisé dans les livres d’Estimations des</w:t>
            </w:r>
            <w:r>
              <w:rPr>
                <w:sz w:val="18"/>
                <w:szCs w:val="18"/>
                <w:lang w:val="fr-FR"/>
              </w:rPr>
              <w:t xml:space="preserve"> populations d’oiseaux d’eau) où</w:t>
            </w:r>
            <w:r w:rsidRPr="001567E1">
              <w:rPr>
                <w:sz w:val="18"/>
                <w:szCs w:val="18"/>
                <w:lang w:val="fr-FR"/>
              </w:rPr>
              <w:t xml:space="preserve"> le maximum estimé est au </w:t>
            </w:r>
            <w:r w:rsidRPr="00D41A6C">
              <w:rPr>
                <w:sz w:val="18"/>
                <w:szCs w:val="18"/>
                <w:lang w:val="fr-FR"/>
              </w:rPr>
              <w:t>moins 2</w:t>
            </w:r>
            <w:r>
              <w:rPr>
                <w:sz w:val="18"/>
                <w:szCs w:val="18"/>
                <w:lang w:val="fr-FR"/>
              </w:rPr>
              <w:t>,</w:t>
            </w:r>
            <w:r w:rsidRPr="00D41A6C">
              <w:rPr>
                <w:sz w:val="18"/>
                <w:szCs w:val="18"/>
                <w:lang w:val="fr-FR"/>
              </w:rPr>
              <w:t>5 fois supérieur au minimum ;</w:t>
            </w:r>
          </w:p>
          <w:p w14:paraId="3480B010" w14:textId="73905FD4" w:rsidR="00BA5A02" w:rsidRPr="00BA5A02" w:rsidRDefault="00BA5A02" w:rsidP="00BA5A02">
            <w:pPr>
              <w:pStyle w:val="Normal1"/>
              <w:tabs>
                <w:tab w:val="left" w:pos="360"/>
              </w:tabs>
              <w:jc w:val="both"/>
              <w:rPr>
                <w:sz w:val="10"/>
                <w:szCs w:val="10"/>
                <w:lang w:val="fr-FR"/>
              </w:rPr>
            </w:pPr>
          </w:p>
        </w:tc>
      </w:tr>
      <w:tr w:rsidR="00BA5A02" w:rsidRPr="005E65A5" w14:paraId="297E0A49" w14:textId="77777777" w:rsidTr="00BA5A02">
        <w:tc>
          <w:tcPr>
            <w:tcW w:w="1292" w:type="pct"/>
          </w:tcPr>
          <w:p w14:paraId="3A0D38FE" w14:textId="641B3E3E" w:rsidR="00BA5A02" w:rsidRDefault="00BA5A02">
            <w:pPr>
              <w:pStyle w:val="Normal1"/>
              <w:jc w:val="both"/>
              <w:rPr>
                <w:lang w:val="fr-FR"/>
              </w:rPr>
            </w:pPr>
            <w:r>
              <w:rPr>
                <w:sz w:val="18"/>
                <w:szCs w:val="18"/>
                <w:lang w:val="fr-FR"/>
              </w:rPr>
              <w:t xml:space="preserve">3.   </w:t>
            </w:r>
            <w:r w:rsidRPr="001567E1">
              <w:rPr>
                <w:i/>
                <w:sz w:val="18"/>
                <w:szCs w:val="18"/>
                <w:lang w:val="fr-FR"/>
              </w:rPr>
              <w:t>Opinion d’expert :</w:t>
            </w:r>
          </w:p>
        </w:tc>
        <w:tc>
          <w:tcPr>
            <w:tcW w:w="3708" w:type="pct"/>
          </w:tcPr>
          <w:p w14:paraId="3A473D83" w14:textId="77777777" w:rsidR="00BA5A02" w:rsidRDefault="00BA5A02" w:rsidP="00BA5A02">
            <w:pPr>
              <w:pStyle w:val="Normal1"/>
              <w:tabs>
                <w:tab w:val="left" w:pos="360"/>
              </w:tabs>
              <w:ind w:left="33" w:hanging="33"/>
              <w:jc w:val="both"/>
              <w:rPr>
                <w:sz w:val="18"/>
                <w:szCs w:val="18"/>
                <w:lang w:val="fr-FR"/>
              </w:rPr>
            </w:pPr>
            <w:r w:rsidRPr="001567E1">
              <w:rPr>
                <w:sz w:val="18"/>
                <w:szCs w:val="18"/>
                <w:lang w:val="fr-FR"/>
              </w:rPr>
              <w:t>L’estimation de la population s’appuie sur une étude et des données de surveillance incomplètes et l’opinion d’experts a été utilisée pour fournir une estimation à partir de ces données avec davantage d’exactitude qu’avec une « meilleure supposition » ;</w:t>
            </w:r>
          </w:p>
          <w:p w14:paraId="28503E98" w14:textId="12C56884" w:rsidR="00BA5A02" w:rsidRPr="00BA5A02" w:rsidRDefault="00BA5A02" w:rsidP="00BA5A02">
            <w:pPr>
              <w:pStyle w:val="Normal1"/>
              <w:tabs>
                <w:tab w:val="left" w:pos="360"/>
              </w:tabs>
              <w:ind w:left="33" w:hanging="33"/>
              <w:jc w:val="both"/>
              <w:rPr>
                <w:sz w:val="10"/>
                <w:szCs w:val="10"/>
                <w:lang w:val="fr-FR"/>
              </w:rPr>
            </w:pPr>
          </w:p>
        </w:tc>
      </w:tr>
      <w:tr w:rsidR="00BA5A02" w:rsidRPr="005E65A5" w14:paraId="270C6908" w14:textId="77777777" w:rsidTr="00BA5A02">
        <w:tc>
          <w:tcPr>
            <w:tcW w:w="1292" w:type="pct"/>
          </w:tcPr>
          <w:p w14:paraId="635D6DC8" w14:textId="46D70F30" w:rsidR="00BA5A02" w:rsidRDefault="00BA5A02" w:rsidP="00BA5A02">
            <w:pPr>
              <w:pStyle w:val="Normal1"/>
              <w:rPr>
                <w:lang w:val="fr-FR"/>
              </w:rPr>
            </w:pPr>
            <w:r>
              <w:rPr>
                <w:sz w:val="18"/>
                <w:szCs w:val="18"/>
                <w:lang w:val="fr-FR"/>
              </w:rPr>
              <w:t xml:space="preserve">4.  </w:t>
            </w:r>
            <w:r w:rsidRPr="001567E1">
              <w:rPr>
                <w:i/>
                <w:sz w:val="18"/>
                <w:szCs w:val="18"/>
                <w:lang w:val="fr-FR"/>
              </w:rPr>
              <w:t>Basée sur le recensement :</w:t>
            </w:r>
          </w:p>
        </w:tc>
        <w:tc>
          <w:tcPr>
            <w:tcW w:w="3708" w:type="pct"/>
          </w:tcPr>
          <w:p w14:paraId="124974A4" w14:textId="2E808FD8" w:rsidR="00BA5A02" w:rsidRDefault="00BA5A02" w:rsidP="00BA5A02">
            <w:pPr>
              <w:pStyle w:val="Normal1"/>
              <w:tabs>
                <w:tab w:val="left" w:pos="360"/>
              </w:tabs>
              <w:jc w:val="both"/>
              <w:rPr>
                <w:lang w:val="fr-FR"/>
              </w:rPr>
            </w:pPr>
            <w:r w:rsidRPr="001567E1">
              <w:rPr>
                <w:sz w:val="18"/>
                <w:szCs w:val="18"/>
                <w:lang w:val="fr-FR"/>
              </w:rPr>
              <w:t>L’estimation de la population s’appuie sur un recensement presque complet ou sur échantillonnage statistiquement adéquat, capable de produire des estimations avec des intervalles plus fiables que la « meilleure supposition ».</w:t>
            </w:r>
          </w:p>
        </w:tc>
      </w:tr>
    </w:tbl>
    <w:p w14:paraId="356DD384" w14:textId="77777777" w:rsidR="00BA5A02" w:rsidRPr="001567E1" w:rsidRDefault="00BA5A02">
      <w:pPr>
        <w:pStyle w:val="Normal1"/>
        <w:jc w:val="both"/>
        <w:rPr>
          <w:lang w:val="fr-FR"/>
        </w:rPr>
      </w:pPr>
    </w:p>
    <w:p w14:paraId="379A5044" w14:textId="25C71F8F" w:rsidR="00741F7A" w:rsidRPr="001567E1" w:rsidRDefault="00AB5BE5">
      <w:pPr>
        <w:pStyle w:val="Normal1"/>
        <w:jc w:val="both"/>
        <w:rPr>
          <w:szCs w:val="24"/>
          <w:lang w:val="fr-FR"/>
        </w:rPr>
      </w:pPr>
      <w:r w:rsidRPr="001567E1">
        <w:rPr>
          <w:szCs w:val="24"/>
          <w:lang w:val="fr-FR"/>
        </w:rPr>
        <w:t xml:space="preserve">La majorité des estimations de populations </w:t>
      </w:r>
      <w:r w:rsidR="009D6511" w:rsidRPr="001567E1">
        <w:rPr>
          <w:szCs w:val="24"/>
          <w:lang w:val="fr-FR"/>
        </w:rPr>
        <w:t>e</w:t>
      </w:r>
      <w:r w:rsidRPr="001567E1">
        <w:rPr>
          <w:szCs w:val="24"/>
          <w:lang w:val="fr-FR"/>
        </w:rPr>
        <w:t>st basée sur des comptages, mais qui sont extrapolés à partir de l’opinion d’experts à la place de procédures de statistiques officielles.</w:t>
      </w:r>
      <w:r w:rsidR="00832DD4" w:rsidRPr="001567E1">
        <w:rPr>
          <w:szCs w:val="24"/>
          <w:lang w:val="fr-FR"/>
        </w:rPr>
        <w:t xml:space="preserve"> </w:t>
      </w:r>
      <w:r w:rsidR="009D6511" w:rsidRPr="001567E1">
        <w:rPr>
          <w:szCs w:val="24"/>
          <w:lang w:val="fr-FR"/>
        </w:rPr>
        <w:t>Parmi</w:t>
      </w:r>
      <w:r w:rsidR="00C116B6" w:rsidRPr="001567E1">
        <w:rPr>
          <w:szCs w:val="24"/>
          <w:lang w:val="fr-FR"/>
        </w:rPr>
        <w:t xml:space="preserve"> les </w:t>
      </w:r>
      <w:r w:rsidR="009D6511" w:rsidRPr="001567E1">
        <w:rPr>
          <w:szCs w:val="24"/>
          <w:lang w:val="fr-FR"/>
        </w:rPr>
        <w:t xml:space="preserve">estimations de </w:t>
      </w:r>
      <w:r w:rsidR="00C116B6" w:rsidRPr="001567E1">
        <w:rPr>
          <w:szCs w:val="24"/>
          <w:lang w:val="fr-FR"/>
        </w:rPr>
        <w:t>populations</w:t>
      </w:r>
      <w:r w:rsidR="009D6511" w:rsidRPr="001567E1">
        <w:rPr>
          <w:szCs w:val="24"/>
          <w:lang w:val="fr-FR"/>
        </w:rPr>
        <w:t>,</w:t>
      </w:r>
      <w:r w:rsidR="00C116B6" w:rsidRPr="001567E1">
        <w:rPr>
          <w:szCs w:val="24"/>
          <w:lang w:val="fr-FR"/>
        </w:rPr>
        <w:t xml:space="preserve"> 15 % s</w:t>
      </w:r>
      <w:r w:rsidR="009D6511" w:rsidRPr="001567E1">
        <w:rPr>
          <w:szCs w:val="24"/>
          <w:lang w:val="fr-FR"/>
        </w:rPr>
        <w:t>’</w:t>
      </w:r>
      <w:r w:rsidR="00C116B6" w:rsidRPr="001567E1">
        <w:rPr>
          <w:szCs w:val="24"/>
          <w:lang w:val="fr-FR"/>
        </w:rPr>
        <w:t>appuient sur des</w:t>
      </w:r>
      <w:r w:rsidRPr="001567E1">
        <w:rPr>
          <w:szCs w:val="24"/>
          <w:lang w:val="fr-FR"/>
        </w:rPr>
        <w:t xml:space="preserve"> recensements détaillés</w:t>
      </w:r>
      <w:r w:rsidR="00C116B6" w:rsidRPr="001567E1">
        <w:rPr>
          <w:szCs w:val="24"/>
          <w:lang w:val="fr-FR"/>
        </w:rPr>
        <w:t xml:space="preserve"> ou sont dérivées de procédures statistiques</w:t>
      </w:r>
      <w:r w:rsidRPr="001567E1">
        <w:rPr>
          <w:szCs w:val="24"/>
          <w:lang w:val="fr-FR"/>
        </w:rPr>
        <w:t>.</w:t>
      </w:r>
      <w:r w:rsidR="00832DD4" w:rsidRPr="001567E1">
        <w:rPr>
          <w:szCs w:val="24"/>
          <w:lang w:val="fr-FR"/>
        </w:rPr>
        <w:t xml:space="preserve"> </w:t>
      </w:r>
      <w:r w:rsidR="00C116B6" w:rsidRPr="001567E1">
        <w:rPr>
          <w:szCs w:val="24"/>
          <w:lang w:val="fr-FR"/>
        </w:rPr>
        <w:t xml:space="preserve">Ce groupe consiste dans des populations d’oies ou de cygnes localisées au nord-ouest de l’Europe ou </w:t>
      </w:r>
      <w:r w:rsidR="004E3BA2">
        <w:rPr>
          <w:szCs w:val="24"/>
          <w:lang w:val="fr-FR"/>
        </w:rPr>
        <w:t xml:space="preserve">bien </w:t>
      </w:r>
      <w:r w:rsidR="00C116B6" w:rsidRPr="001567E1">
        <w:rPr>
          <w:szCs w:val="24"/>
          <w:lang w:val="fr-FR"/>
        </w:rPr>
        <w:t xml:space="preserve">concerne des espèces </w:t>
      </w:r>
      <w:r w:rsidR="004E3BA2">
        <w:rPr>
          <w:szCs w:val="24"/>
          <w:lang w:val="fr-FR"/>
        </w:rPr>
        <w:t>extrêmement</w:t>
      </w:r>
      <w:r w:rsidR="00C116B6" w:rsidRPr="001567E1">
        <w:rPr>
          <w:szCs w:val="24"/>
          <w:lang w:val="fr-FR"/>
        </w:rPr>
        <w:t xml:space="preserve"> localisées, sujettes à des efforts de conservation intensifs (par ex. </w:t>
      </w:r>
      <w:r w:rsidR="00832DD4" w:rsidRPr="001567E1">
        <w:rPr>
          <w:szCs w:val="24"/>
          <w:lang w:val="fr-FR"/>
        </w:rPr>
        <w:t xml:space="preserve"> </w:t>
      </w:r>
      <w:r w:rsidR="00C116B6" w:rsidRPr="001567E1">
        <w:rPr>
          <w:szCs w:val="24"/>
          <w:lang w:val="fr-FR"/>
        </w:rPr>
        <w:t>l’Ibis chauve).</w:t>
      </w:r>
      <w:r w:rsidR="00832DD4" w:rsidRPr="001567E1">
        <w:rPr>
          <w:szCs w:val="24"/>
          <w:lang w:val="fr-FR"/>
        </w:rPr>
        <w:t xml:space="preserve"> </w:t>
      </w:r>
      <w:r w:rsidR="00C116B6" w:rsidRPr="001567E1">
        <w:rPr>
          <w:szCs w:val="24"/>
          <w:lang w:val="fr-FR"/>
        </w:rPr>
        <w:t xml:space="preserve">En général, 66 % des </w:t>
      </w:r>
      <w:r w:rsidR="009D6511" w:rsidRPr="001567E1">
        <w:rPr>
          <w:szCs w:val="24"/>
          <w:lang w:val="fr-FR"/>
        </w:rPr>
        <w:t xml:space="preserve">estimations de </w:t>
      </w:r>
      <w:r w:rsidR="00C116B6" w:rsidRPr="001567E1">
        <w:rPr>
          <w:szCs w:val="24"/>
          <w:lang w:val="fr-FR"/>
        </w:rPr>
        <w:t>populations sont basées sur des études.</w:t>
      </w:r>
      <w:r w:rsidR="00832DD4" w:rsidRPr="001567E1">
        <w:rPr>
          <w:szCs w:val="24"/>
          <w:lang w:val="fr-FR"/>
        </w:rPr>
        <w:t xml:space="preserve"> </w:t>
      </w:r>
      <w:r w:rsidR="00C116B6" w:rsidRPr="001567E1">
        <w:rPr>
          <w:szCs w:val="24"/>
          <w:lang w:val="fr-FR"/>
        </w:rPr>
        <w:t>Les estimations de 32 % des populations de l’AEWA sont uniquement possibles en utilisant de vastes fourchettes telles que 1-25 000, 25 000-100 000, etc.</w:t>
      </w:r>
      <w:r w:rsidR="00832DD4" w:rsidRPr="001567E1">
        <w:rPr>
          <w:szCs w:val="24"/>
          <w:lang w:val="fr-FR"/>
        </w:rPr>
        <w:t xml:space="preserve"> </w:t>
      </w:r>
      <w:r w:rsidR="00D41A6C">
        <w:rPr>
          <w:szCs w:val="24"/>
          <w:lang w:val="fr-FR"/>
        </w:rPr>
        <w:t>(figure</w:t>
      </w:r>
      <w:r w:rsidR="00C116B6" w:rsidRPr="001567E1">
        <w:rPr>
          <w:szCs w:val="24"/>
          <w:lang w:val="fr-FR"/>
        </w:rPr>
        <w:t xml:space="preserve"> 5).</w:t>
      </w:r>
      <w:r w:rsidR="00832DD4" w:rsidRPr="001567E1">
        <w:rPr>
          <w:szCs w:val="24"/>
          <w:lang w:val="fr-FR"/>
        </w:rPr>
        <w:t xml:space="preserve"> </w:t>
      </w:r>
    </w:p>
    <w:p w14:paraId="360615D3" w14:textId="6706BF0F" w:rsidR="00741F7A" w:rsidRPr="001567E1" w:rsidRDefault="00741F7A">
      <w:pPr>
        <w:pStyle w:val="Normal1"/>
        <w:jc w:val="both"/>
        <w:rPr>
          <w:lang w:val="fr-FR"/>
        </w:rPr>
      </w:pPr>
    </w:p>
    <w:p w14:paraId="22800051" w14:textId="0826F02D" w:rsidR="00741F7A" w:rsidRPr="001567E1" w:rsidRDefault="007C0441">
      <w:pPr>
        <w:pStyle w:val="Normal1"/>
        <w:keepNext/>
        <w:rPr>
          <w:lang w:val="fr-FR"/>
        </w:rPr>
      </w:pPr>
      <w:r w:rsidRPr="001567E1">
        <w:rPr>
          <w:noProof/>
          <w:lang w:val="nl-NL" w:eastAsia="nl-NL"/>
        </w:rPr>
        <w:drawing>
          <wp:anchor distT="0" distB="0" distL="114300" distR="114300" simplePos="0" relativeHeight="251641344" behindDoc="1" locked="0" layoutInCell="1" allowOverlap="1" wp14:anchorId="30C14C2D" wp14:editId="31F9C6BD">
            <wp:simplePos x="0" y="0"/>
            <wp:positionH relativeFrom="column">
              <wp:posOffset>632460</wp:posOffset>
            </wp:positionH>
            <wp:positionV relativeFrom="paragraph">
              <wp:posOffset>27305</wp:posOffset>
            </wp:positionV>
            <wp:extent cx="4714875" cy="3161665"/>
            <wp:effectExtent l="0" t="0" r="9525" b="635"/>
            <wp:wrapTight wrapText="bothSides">
              <wp:wrapPolygon edited="0">
                <wp:start x="0" y="0"/>
                <wp:lineTo x="0" y="21474"/>
                <wp:lineTo x="21556" y="21474"/>
                <wp:lineTo x="21556" y="0"/>
                <wp:lineTo x="0"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4875" cy="316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DD4" w:rsidRPr="001567E1">
        <w:rPr>
          <w:lang w:val="fr-FR"/>
        </w:rPr>
        <w:t xml:space="preserve"> </w:t>
      </w:r>
      <w:r w:rsidR="009426AC" w:rsidRPr="001567E1" w:rsidDel="00F30A50">
        <w:rPr>
          <w:lang w:val="fr-FR"/>
        </w:rPr>
        <w:t xml:space="preserve"> </w:t>
      </w:r>
    </w:p>
    <w:p w14:paraId="4E012701" w14:textId="38137932" w:rsidR="007C0441" w:rsidRPr="001567E1" w:rsidRDefault="007C0441" w:rsidP="00EF01CE">
      <w:pPr>
        <w:pStyle w:val="Caption"/>
        <w:rPr>
          <w:lang w:val="fr-FR"/>
        </w:rPr>
      </w:pPr>
      <w:bookmarkStart w:id="32" w:name="h.lnxbz9" w:colFirst="0" w:colLast="0"/>
      <w:bookmarkEnd w:id="32"/>
    </w:p>
    <w:p w14:paraId="453B56CE" w14:textId="77777777" w:rsidR="007C0441" w:rsidRPr="001567E1" w:rsidRDefault="007C0441" w:rsidP="00EF01CE">
      <w:pPr>
        <w:pStyle w:val="Caption"/>
        <w:rPr>
          <w:lang w:val="fr-FR"/>
        </w:rPr>
      </w:pPr>
    </w:p>
    <w:p w14:paraId="2FC33411" w14:textId="77777777" w:rsidR="007C0441" w:rsidRPr="001567E1" w:rsidRDefault="007C0441" w:rsidP="00EF01CE">
      <w:pPr>
        <w:pStyle w:val="Caption"/>
        <w:rPr>
          <w:lang w:val="fr-FR"/>
        </w:rPr>
      </w:pPr>
    </w:p>
    <w:p w14:paraId="21B158B8" w14:textId="77777777" w:rsidR="007C0441" w:rsidRPr="001567E1" w:rsidRDefault="007C0441" w:rsidP="00EF01CE">
      <w:pPr>
        <w:pStyle w:val="Caption"/>
        <w:rPr>
          <w:lang w:val="fr-FR"/>
        </w:rPr>
      </w:pPr>
    </w:p>
    <w:p w14:paraId="66FCF2D9" w14:textId="77777777" w:rsidR="007C0441" w:rsidRPr="001567E1" w:rsidRDefault="007C0441" w:rsidP="00EF01CE">
      <w:pPr>
        <w:pStyle w:val="Caption"/>
        <w:rPr>
          <w:lang w:val="fr-FR"/>
        </w:rPr>
      </w:pPr>
    </w:p>
    <w:p w14:paraId="47D3FBB2" w14:textId="77777777" w:rsidR="007C0441" w:rsidRPr="001567E1" w:rsidRDefault="007C0441" w:rsidP="00EF01CE">
      <w:pPr>
        <w:pStyle w:val="Caption"/>
        <w:rPr>
          <w:lang w:val="fr-FR"/>
        </w:rPr>
      </w:pPr>
    </w:p>
    <w:p w14:paraId="6DBCEF8B" w14:textId="77777777" w:rsidR="007C0441" w:rsidRPr="001567E1" w:rsidRDefault="007C0441" w:rsidP="00EF01CE">
      <w:pPr>
        <w:pStyle w:val="Caption"/>
        <w:rPr>
          <w:lang w:val="fr-FR"/>
        </w:rPr>
      </w:pPr>
    </w:p>
    <w:p w14:paraId="62425F4E" w14:textId="77777777" w:rsidR="007C0441" w:rsidRPr="001567E1" w:rsidRDefault="007C0441" w:rsidP="00EF01CE">
      <w:pPr>
        <w:pStyle w:val="Caption"/>
        <w:rPr>
          <w:lang w:val="fr-FR"/>
        </w:rPr>
      </w:pPr>
    </w:p>
    <w:p w14:paraId="66A14D30" w14:textId="77777777" w:rsidR="007C0441" w:rsidRPr="001567E1" w:rsidRDefault="007C0441" w:rsidP="00EF01CE">
      <w:pPr>
        <w:pStyle w:val="Caption"/>
        <w:rPr>
          <w:lang w:val="fr-FR"/>
        </w:rPr>
      </w:pPr>
    </w:p>
    <w:p w14:paraId="76A7E9C0" w14:textId="77777777" w:rsidR="007C0441" w:rsidRPr="001567E1" w:rsidRDefault="007C0441" w:rsidP="00EF01CE">
      <w:pPr>
        <w:pStyle w:val="Caption"/>
        <w:rPr>
          <w:lang w:val="fr-FR"/>
        </w:rPr>
      </w:pPr>
    </w:p>
    <w:p w14:paraId="05204A5F" w14:textId="77777777" w:rsidR="007C0441" w:rsidRPr="001567E1" w:rsidRDefault="007C0441" w:rsidP="00EF01CE">
      <w:pPr>
        <w:pStyle w:val="Caption"/>
        <w:rPr>
          <w:lang w:val="fr-FR"/>
        </w:rPr>
      </w:pPr>
    </w:p>
    <w:p w14:paraId="4431D952" w14:textId="77777777" w:rsidR="007C0441" w:rsidRPr="001567E1" w:rsidRDefault="007C0441" w:rsidP="00EF01CE">
      <w:pPr>
        <w:pStyle w:val="Caption"/>
        <w:rPr>
          <w:lang w:val="fr-FR"/>
        </w:rPr>
      </w:pPr>
    </w:p>
    <w:p w14:paraId="0C99608D" w14:textId="63217812" w:rsidR="007C0441" w:rsidRPr="00002C69" w:rsidRDefault="00002C69" w:rsidP="00EF01CE">
      <w:pPr>
        <w:pStyle w:val="Caption"/>
        <w:rPr>
          <w:b w:val="0"/>
          <w:lang w:val="fr-FR"/>
        </w:rPr>
      </w:pPr>
      <w:r>
        <w:rPr>
          <w:b w:val="0"/>
          <w:lang w:val="fr-FR"/>
        </w:rPr>
        <w:t xml:space="preserve">                    </w:t>
      </w:r>
      <w:r w:rsidR="004C05BB" w:rsidRPr="00002C69">
        <w:rPr>
          <w:b w:val="0"/>
          <w:lang w:val="fr-FR"/>
        </w:rPr>
        <w:t xml:space="preserve">Meilleure estimation </w:t>
      </w:r>
      <w:r w:rsidRPr="00002C69">
        <w:rPr>
          <w:b w:val="0"/>
          <w:lang w:val="fr-FR"/>
        </w:rPr>
        <w:t xml:space="preserve">32% </w:t>
      </w:r>
      <w:r w:rsidR="004C05BB" w:rsidRPr="00002C69">
        <w:rPr>
          <w:b w:val="0"/>
          <w:lang w:val="fr-FR"/>
        </w:rPr>
        <w:t>/ Pas</w:t>
      </w:r>
      <w:r w:rsidRPr="00002C69">
        <w:rPr>
          <w:b w:val="0"/>
          <w:lang w:val="fr-FR"/>
        </w:rPr>
        <w:t xml:space="preserve"> d’estimation 2% / Basée sur des recensements 15% / Opinion d’expert 51%</w:t>
      </w:r>
    </w:p>
    <w:p w14:paraId="2398F3E7" w14:textId="19523F3D" w:rsidR="00741F7A" w:rsidRPr="001567E1" w:rsidRDefault="00C116B6" w:rsidP="009D6511">
      <w:pPr>
        <w:pStyle w:val="Caption"/>
        <w:rPr>
          <w:lang w:val="fr-FR"/>
        </w:rPr>
      </w:pPr>
      <w:r w:rsidRPr="001567E1">
        <w:rPr>
          <w:lang w:val="fr-FR"/>
        </w:rPr>
        <w:t>Figure 5. Qualité des estimations de taille des populations (nombre de populations et pourcentage de toutes les populations)</w:t>
      </w:r>
      <w:r w:rsidR="00832DD4" w:rsidRPr="001567E1">
        <w:rPr>
          <w:lang w:val="fr-FR"/>
        </w:rPr>
        <w:br w:type="page"/>
      </w:r>
    </w:p>
    <w:p w14:paraId="2D48E6EF" w14:textId="6702A63E" w:rsidR="00741F7A" w:rsidRPr="001567E1" w:rsidRDefault="004E3BA2" w:rsidP="009D6511">
      <w:pPr>
        <w:pStyle w:val="Heading3"/>
        <w:rPr>
          <w:lang w:val="fr-FR"/>
        </w:rPr>
      </w:pPr>
      <w:bookmarkStart w:id="33" w:name="h.35nkun2" w:colFirst="0" w:colLast="0"/>
      <w:bookmarkStart w:id="34" w:name="_Toc517262007"/>
      <w:bookmarkEnd w:id="33"/>
      <w:r>
        <w:rPr>
          <w:rFonts w:ascii="Times New Roman" w:eastAsia="Times New Roman" w:hAnsi="Times New Roman" w:cs="Times New Roman"/>
          <w:lang w:val="fr-FR"/>
        </w:rPr>
        <w:lastRenderedPageBreak/>
        <w:t>Huit populations sans estimation de taille</w:t>
      </w:r>
      <w:bookmarkEnd w:id="34"/>
    </w:p>
    <w:p w14:paraId="60D02495" w14:textId="77777777" w:rsidR="00741F7A" w:rsidRPr="001567E1" w:rsidRDefault="00741F7A">
      <w:pPr>
        <w:pStyle w:val="Normal1"/>
        <w:jc w:val="both"/>
        <w:rPr>
          <w:lang w:val="fr-FR"/>
        </w:rPr>
      </w:pPr>
    </w:p>
    <w:p w14:paraId="2C184617" w14:textId="2FEB2546" w:rsidR="00741F7A" w:rsidRPr="001567E1" w:rsidRDefault="00C116B6">
      <w:pPr>
        <w:pStyle w:val="Normal1"/>
        <w:jc w:val="both"/>
        <w:rPr>
          <w:szCs w:val="24"/>
          <w:lang w:val="fr-FR"/>
        </w:rPr>
      </w:pPr>
      <w:r w:rsidRPr="001567E1">
        <w:rPr>
          <w:szCs w:val="24"/>
          <w:lang w:val="fr-FR"/>
        </w:rPr>
        <w:t>Des estimations de taille des populations sont à présent disponibles pour 98 % des populations de l’AEWA.</w:t>
      </w:r>
      <w:r w:rsidR="00832DD4" w:rsidRPr="001567E1">
        <w:rPr>
          <w:szCs w:val="24"/>
          <w:lang w:val="fr-FR"/>
        </w:rPr>
        <w:t xml:space="preserve"> </w:t>
      </w:r>
      <w:r w:rsidRPr="001567E1">
        <w:rPr>
          <w:szCs w:val="24"/>
          <w:lang w:val="fr-FR"/>
        </w:rPr>
        <w:t>Le tableau 1 indique les populations restantes, ne bénéficiant pas d’estimations.</w:t>
      </w:r>
      <w:r w:rsidR="00832DD4" w:rsidRPr="001567E1">
        <w:rPr>
          <w:szCs w:val="24"/>
          <w:lang w:val="fr-FR"/>
        </w:rPr>
        <w:t xml:space="preserve"> </w:t>
      </w:r>
    </w:p>
    <w:p w14:paraId="3A45B1A7" w14:textId="77777777" w:rsidR="00741F7A" w:rsidRPr="001567E1" w:rsidRDefault="00741F7A">
      <w:pPr>
        <w:pStyle w:val="Normal1"/>
        <w:jc w:val="both"/>
        <w:rPr>
          <w:lang w:val="fr-FR"/>
        </w:rPr>
      </w:pPr>
    </w:p>
    <w:p w14:paraId="1EBD3095" w14:textId="43424927" w:rsidR="00741F7A" w:rsidRPr="001567E1" w:rsidRDefault="00C116B6" w:rsidP="004A729E">
      <w:pPr>
        <w:pStyle w:val="Normal1"/>
        <w:keepNext/>
        <w:rPr>
          <w:lang w:val="fr-FR"/>
        </w:rPr>
      </w:pPr>
      <w:bookmarkStart w:id="35" w:name="h.1ksv4uv" w:colFirst="0" w:colLast="0"/>
      <w:bookmarkEnd w:id="35"/>
      <w:r w:rsidRPr="001567E1">
        <w:rPr>
          <w:b/>
          <w:sz w:val="20"/>
          <w:lang w:val="fr-FR"/>
        </w:rPr>
        <w:t>Tableau 1. Populations sans estimations</w:t>
      </w:r>
    </w:p>
    <w:tbl>
      <w:tblPr>
        <w:tblStyle w:val="MediumShading1-Accent1"/>
        <w:tblW w:w="5000" w:type="pct"/>
        <w:tblLook w:val="0480" w:firstRow="0" w:lastRow="0" w:firstColumn="1" w:lastColumn="0" w:noHBand="0" w:noVBand="1"/>
      </w:tblPr>
      <w:tblGrid>
        <w:gridCol w:w="9619"/>
      </w:tblGrid>
      <w:tr w:rsidR="00B53125" w:rsidRPr="00396BA4" w14:paraId="4A3B3776" w14:textId="77777777" w:rsidTr="00A2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FD8098" w14:textId="313FB703" w:rsidR="00B53125" w:rsidRPr="001567E1" w:rsidRDefault="00C116B6" w:rsidP="00C767E0">
            <w:pPr>
              <w:pStyle w:val="Normal1"/>
              <w:keepNext/>
              <w:keepLines/>
              <w:spacing w:before="240" w:after="60"/>
              <w:outlineLvl w:val="3"/>
              <w:rPr>
                <w:b w:val="0"/>
                <w:sz w:val="22"/>
                <w:lang w:val="fr-FR"/>
              </w:rPr>
            </w:pPr>
            <w:r w:rsidRPr="001567E1">
              <w:rPr>
                <w:sz w:val="22"/>
                <w:lang w:val="fr-FR"/>
              </w:rPr>
              <w:t xml:space="preserve">Râle ponctué </w:t>
            </w:r>
            <w:r w:rsidRPr="001567E1">
              <w:rPr>
                <w:i/>
                <w:sz w:val="22"/>
                <w:lang w:val="fr-FR"/>
              </w:rPr>
              <w:t>Sarothrura elegans elegans</w:t>
            </w:r>
            <w:r w:rsidRPr="001567E1">
              <w:rPr>
                <w:sz w:val="22"/>
                <w:lang w:val="fr-FR"/>
              </w:rPr>
              <w:t>, Afrique du N</w:t>
            </w:r>
            <w:r w:rsidR="005A50C8" w:rsidRPr="001567E1">
              <w:rPr>
                <w:sz w:val="22"/>
                <w:lang w:val="fr-FR"/>
              </w:rPr>
              <w:t>ord-</w:t>
            </w:r>
            <w:r w:rsidRPr="001567E1">
              <w:rPr>
                <w:sz w:val="22"/>
                <w:lang w:val="fr-FR"/>
              </w:rPr>
              <w:t>E</w:t>
            </w:r>
            <w:r w:rsidR="005A50C8" w:rsidRPr="001567E1">
              <w:rPr>
                <w:sz w:val="22"/>
                <w:lang w:val="fr-FR"/>
              </w:rPr>
              <w:t>st</w:t>
            </w:r>
            <w:r w:rsidR="007C7143" w:rsidRPr="001567E1">
              <w:rPr>
                <w:sz w:val="22"/>
                <w:lang w:val="fr-FR"/>
              </w:rPr>
              <w:t>,</w:t>
            </w:r>
            <w:r w:rsidR="005A50C8" w:rsidRPr="001567E1">
              <w:rPr>
                <w:sz w:val="22"/>
                <w:lang w:val="fr-FR"/>
              </w:rPr>
              <w:t xml:space="preserve"> </w:t>
            </w:r>
            <w:r w:rsidRPr="001567E1">
              <w:rPr>
                <w:sz w:val="22"/>
                <w:lang w:val="fr-FR"/>
              </w:rPr>
              <w:t xml:space="preserve">Afrique </w:t>
            </w:r>
            <w:r w:rsidR="007C7143" w:rsidRPr="001567E1">
              <w:rPr>
                <w:sz w:val="22"/>
                <w:lang w:val="fr-FR"/>
              </w:rPr>
              <w:t xml:space="preserve">de l’Est et </w:t>
            </w:r>
            <w:r w:rsidRPr="001567E1">
              <w:rPr>
                <w:sz w:val="22"/>
                <w:lang w:val="fr-FR"/>
              </w:rPr>
              <w:t>australe</w:t>
            </w:r>
          </w:p>
        </w:tc>
      </w:tr>
      <w:tr w:rsidR="00B53125" w:rsidRPr="00396BA4" w14:paraId="071841F7" w14:textId="77777777" w:rsidTr="00A25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CCB8774" w14:textId="26B983C6" w:rsidR="00B53125" w:rsidRPr="001567E1" w:rsidRDefault="00C116B6" w:rsidP="00C767E0">
            <w:pPr>
              <w:pStyle w:val="Normal1"/>
              <w:keepNext/>
              <w:keepLines/>
              <w:spacing w:before="240" w:after="60"/>
              <w:outlineLvl w:val="3"/>
              <w:rPr>
                <w:b w:val="0"/>
                <w:sz w:val="22"/>
                <w:lang w:val="fr-FR"/>
              </w:rPr>
            </w:pPr>
            <w:r w:rsidRPr="001567E1">
              <w:rPr>
                <w:sz w:val="22"/>
                <w:lang w:val="fr-FR"/>
              </w:rPr>
              <w:t xml:space="preserve">Râle ponctué </w:t>
            </w:r>
            <w:r w:rsidRPr="001567E1">
              <w:rPr>
                <w:i/>
                <w:sz w:val="22"/>
                <w:lang w:val="fr-FR"/>
              </w:rPr>
              <w:t>Sarothrura elegans reichenovi</w:t>
            </w:r>
            <w:r w:rsidRPr="001567E1">
              <w:rPr>
                <w:sz w:val="22"/>
                <w:lang w:val="fr-FR"/>
              </w:rPr>
              <w:t xml:space="preserve">, </w:t>
            </w:r>
            <w:r w:rsidR="005A50C8" w:rsidRPr="001567E1">
              <w:rPr>
                <w:sz w:val="22"/>
                <w:lang w:val="fr-FR"/>
              </w:rPr>
              <w:t>Afrique du S</w:t>
            </w:r>
            <w:r w:rsidRPr="001567E1">
              <w:rPr>
                <w:sz w:val="22"/>
                <w:lang w:val="fr-FR"/>
              </w:rPr>
              <w:t>ud-</w:t>
            </w:r>
            <w:r w:rsidR="005A50C8" w:rsidRPr="001567E1">
              <w:rPr>
                <w:sz w:val="22"/>
                <w:lang w:val="fr-FR"/>
              </w:rPr>
              <w:t>O</w:t>
            </w:r>
            <w:r w:rsidRPr="001567E1">
              <w:rPr>
                <w:sz w:val="22"/>
                <w:lang w:val="fr-FR"/>
              </w:rPr>
              <w:t>uest à Afrique centrale</w:t>
            </w:r>
          </w:p>
        </w:tc>
      </w:tr>
      <w:tr w:rsidR="00B53125" w:rsidRPr="00396BA4" w14:paraId="5422E046" w14:textId="77777777" w:rsidTr="00A2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8A74585" w14:textId="5F193885"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Râle d’eau </w:t>
            </w:r>
            <w:r w:rsidRPr="001567E1">
              <w:rPr>
                <w:i/>
                <w:sz w:val="22"/>
                <w:lang w:val="fr-FR"/>
              </w:rPr>
              <w:t>Rallus aquaticus korejewi</w:t>
            </w:r>
            <w:r w:rsidRPr="001567E1">
              <w:rPr>
                <w:sz w:val="22"/>
                <w:lang w:val="fr-FR"/>
              </w:rPr>
              <w:t xml:space="preserve">, Sibérie occidentale/Asie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uest</w:t>
            </w:r>
          </w:p>
        </w:tc>
      </w:tr>
      <w:tr w:rsidR="00B53125" w:rsidRPr="00396BA4" w14:paraId="587CE0E4" w14:textId="77777777" w:rsidTr="00A25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902B8EA" w14:textId="663A9FE8"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Râle bleuâtre </w:t>
            </w:r>
            <w:r w:rsidRPr="001567E1">
              <w:rPr>
                <w:i/>
                <w:sz w:val="22"/>
                <w:lang w:val="fr-FR"/>
              </w:rPr>
              <w:t>Rallus caerulescens</w:t>
            </w:r>
            <w:r w:rsidRPr="001567E1">
              <w:rPr>
                <w:sz w:val="22"/>
                <w:lang w:val="fr-FR"/>
              </w:rPr>
              <w:t>, Afrique australe et de l’</w:t>
            </w:r>
            <w:r w:rsidR="005A50C8" w:rsidRPr="001567E1">
              <w:rPr>
                <w:sz w:val="22"/>
                <w:lang w:val="fr-FR"/>
              </w:rPr>
              <w:t>E</w:t>
            </w:r>
            <w:r w:rsidRPr="001567E1">
              <w:rPr>
                <w:sz w:val="22"/>
                <w:lang w:val="fr-FR"/>
              </w:rPr>
              <w:t>st</w:t>
            </w:r>
          </w:p>
        </w:tc>
      </w:tr>
      <w:tr w:rsidR="00B53125" w:rsidRPr="00396BA4" w14:paraId="44D69C69" w14:textId="77777777" w:rsidTr="00A2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9CC7CA5" w14:textId="004A4964" w:rsidR="00B53125" w:rsidRPr="001567E1" w:rsidRDefault="00E97214" w:rsidP="004E3BA2">
            <w:pPr>
              <w:pStyle w:val="Normal1"/>
              <w:keepNext/>
              <w:keepLines/>
              <w:spacing w:before="240" w:after="60"/>
              <w:outlineLvl w:val="3"/>
              <w:rPr>
                <w:b w:val="0"/>
                <w:sz w:val="22"/>
                <w:lang w:val="fr-FR"/>
              </w:rPr>
            </w:pPr>
            <w:r w:rsidRPr="001567E1">
              <w:rPr>
                <w:sz w:val="22"/>
                <w:lang w:val="fr-FR"/>
              </w:rPr>
              <w:t xml:space="preserve">Pluvier doré </w:t>
            </w:r>
            <w:r w:rsidRPr="001567E1">
              <w:rPr>
                <w:i/>
                <w:sz w:val="22"/>
                <w:lang w:val="fr-FR"/>
              </w:rPr>
              <w:t>Pluvialis apricaria altifrons</w:t>
            </w:r>
            <w:r w:rsidRPr="001567E1">
              <w:rPr>
                <w:sz w:val="22"/>
                <w:lang w:val="fr-FR"/>
              </w:rPr>
              <w:t>, Sibérie du Nord/</w:t>
            </w:r>
            <w:r w:rsidR="004E3BA2">
              <w:rPr>
                <w:sz w:val="22"/>
                <w:lang w:val="fr-FR"/>
              </w:rPr>
              <w:t>mer</w:t>
            </w:r>
            <w:r w:rsidRPr="001567E1">
              <w:rPr>
                <w:sz w:val="22"/>
                <w:lang w:val="fr-FR"/>
              </w:rPr>
              <w:t xml:space="preserve"> </w:t>
            </w:r>
            <w:r w:rsidR="0004293D">
              <w:rPr>
                <w:sz w:val="22"/>
                <w:lang w:val="fr-FR"/>
              </w:rPr>
              <w:t>C</w:t>
            </w:r>
            <w:r w:rsidRPr="001567E1">
              <w:rPr>
                <w:sz w:val="22"/>
                <w:lang w:val="fr-FR"/>
              </w:rPr>
              <w:t>aspienne et Asie mineure</w:t>
            </w:r>
          </w:p>
        </w:tc>
      </w:tr>
      <w:tr w:rsidR="00B53125" w:rsidRPr="00396BA4" w14:paraId="12260BD4" w14:textId="77777777" w:rsidTr="00A25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83B3325" w14:textId="422E083F"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Pluvier petit-gravelot </w:t>
            </w:r>
            <w:r w:rsidRPr="001567E1">
              <w:rPr>
                <w:i/>
                <w:sz w:val="22"/>
                <w:lang w:val="fr-FR"/>
              </w:rPr>
              <w:t>Charadrius dubius curonicus</w:t>
            </w:r>
            <w:r w:rsidRPr="001567E1">
              <w:rPr>
                <w:sz w:val="22"/>
                <w:lang w:val="fr-FR"/>
              </w:rPr>
              <w:t>, Asie de l’</w:t>
            </w:r>
            <w:r w:rsidR="005A50C8" w:rsidRPr="001567E1">
              <w:rPr>
                <w:sz w:val="22"/>
                <w:lang w:val="fr-FR"/>
              </w:rPr>
              <w:t>O</w:t>
            </w:r>
            <w:r w:rsidRPr="001567E1">
              <w:rPr>
                <w:sz w:val="22"/>
                <w:lang w:val="fr-FR"/>
              </w:rPr>
              <w:t xml:space="preserve">uest et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uest/Afrique de l’</w:t>
            </w:r>
            <w:r w:rsidR="005A50C8" w:rsidRPr="001567E1">
              <w:rPr>
                <w:sz w:val="22"/>
                <w:lang w:val="fr-FR"/>
              </w:rPr>
              <w:t>E</w:t>
            </w:r>
            <w:r w:rsidRPr="001567E1">
              <w:rPr>
                <w:sz w:val="22"/>
                <w:lang w:val="fr-FR"/>
              </w:rPr>
              <w:t>st</w:t>
            </w:r>
          </w:p>
        </w:tc>
      </w:tr>
      <w:tr w:rsidR="00B53125" w:rsidRPr="00396BA4" w14:paraId="20905D60" w14:textId="77777777" w:rsidTr="00A25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8A08161" w14:textId="19DCAF78" w:rsidR="00B53125" w:rsidRPr="001567E1" w:rsidRDefault="00E97214" w:rsidP="0004293D">
            <w:pPr>
              <w:pStyle w:val="Normal1"/>
              <w:keepNext/>
              <w:keepLines/>
              <w:spacing w:before="240" w:after="60"/>
              <w:outlineLvl w:val="3"/>
              <w:rPr>
                <w:b w:val="0"/>
                <w:sz w:val="22"/>
                <w:lang w:val="fr-FR"/>
              </w:rPr>
            </w:pPr>
            <w:r w:rsidRPr="001567E1">
              <w:rPr>
                <w:sz w:val="22"/>
                <w:lang w:val="fr-FR"/>
              </w:rPr>
              <w:t xml:space="preserve">Bécasse des bois </w:t>
            </w:r>
            <w:r w:rsidRPr="001567E1">
              <w:rPr>
                <w:i/>
                <w:sz w:val="22"/>
                <w:lang w:val="fr-FR"/>
              </w:rPr>
              <w:t>Scolopax rusticola</w:t>
            </w:r>
            <w:r w:rsidRPr="001567E1">
              <w:rPr>
                <w:sz w:val="22"/>
                <w:lang w:val="fr-FR"/>
              </w:rPr>
              <w:t xml:space="preserve">, Sibérie occidentale/Asie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uest (</w:t>
            </w:r>
            <w:r w:rsidR="0004293D">
              <w:rPr>
                <w:sz w:val="22"/>
                <w:lang w:val="fr-FR"/>
              </w:rPr>
              <w:t>mer</w:t>
            </w:r>
            <w:r w:rsidRPr="001567E1">
              <w:rPr>
                <w:sz w:val="22"/>
                <w:lang w:val="fr-FR"/>
              </w:rPr>
              <w:t xml:space="preserve"> </w:t>
            </w:r>
            <w:r w:rsidR="0004293D">
              <w:rPr>
                <w:sz w:val="22"/>
                <w:lang w:val="fr-FR"/>
              </w:rPr>
              <w:t>C</w:t>
            </w:r>
            <w:r w:rsidRPr="001567E1">
              <w:rPr>
                <w:sz w:val="22"/>
                <w:lang w:val="fr-FR"/>
              </w:rPr>
              <w:t>aspienne)</w:t>
            </w:r>
          </w:p>
        </w:tc>
      </w:tr>
      <w:tr w:rsidR="00B53125" w:rsidRPr="00396BA4" w14:paraId="06DD5BD4" w14:textId="77777777" w:rsidTr="00A259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5AFE5F" w14:textId="5B5E6C1C" w:rsidR="00B53125" w:rsidRPr="001567E1" w:rsidRDefault="00E97214" w:rsidP="00C767E0">
            <w:pPr>
              <w:pStyle w:val="Normal1"/>
              <w:keepNext/>
              <w:keepLines/>
              <w:spacing w:before="240" w:after="60"/>
              <w:outlineLvl w:val="3"/>
              <w:rPr>
                <w:b w:val="0"/>
                <w:sz w:val="22"/>
                <w:lang w:val="fr-FR"/>
              </w:rPr>
            </w:pPr>
            <w:r w:rsidRPr="001567E1">
              <w:rPr>
                <w:sz w:val="22"/>
                <w:lang w:val="fr-FR"/>
              </w:rPr>
              <w:t xml:space="preserve">Goéland brun </w:t>
            </w:r>
            <w:r w:rsidRPr="001567E1">
              <w:rPr>
                <w:i/>
                <w:sz w:val="22"/>
                <w:lang w:val="fr-FR"/>
              </w:rPr>
              <w:t>Larus fuscus barabensis</w:t>
            </w:r>
            <w:r w:rsidRPr="001567E1">
              <w:rPr>
                <w:sz w:val="22"/>
                <w:lang w:val="fr-FR"/>
              </w:rPr>
              <w:t xml:space="preserve">, Sibérie du </w:t>
            </w:r>
            <w:r w:rsidR="005A50C8" w:rsidRPr="001567E1">
              <w:rPr>
                <w:sz w:val="22"/>
                <w:lang w:val="fr-FR"/>
              </w:rPr>
              <w:t>S</w:t>
            </w:r>
            <w:r w:rsidRPr="001567E1">
              <w:rPr>
                <w:sz w:val="22"/>
                <w:lang w:val="fr-FR"/>
              </w:rPr>
              <w:t>ud-</w:t>
            </w:r>
            <w:r w:rsidR="005A50C8" w:rsidRPr="001567E1">
              <w:rPr>
                <w:sz w:val="22"/>
                <w:lang w:val="fr-FR"/>
              </w:rPr>
              <w:t>O</w:t>
            </w:r>
            <w:r w:rsidRPr="001567E1">
              <w:rPr>
                <w:sz w:val="22"/>
                <w:lang w:val="fr-FR"/>
              </w:rPr>
              <w:t xml:space="preserve">uest/Asie du </w:t>
            </w:r>
            <w:r w:rsidR="005A50C8" w:rsidRPr="001567E1">
              <w:rPr>
                <w:sz w:val="22"/>
                <w:lang w:val="fr-FR"/>
              </w:rPr>
              <w:t>Sud-O</w:t>
            </w:r>
            <w:r w:rsidRPr="001567E1">
              <w:rPr>
                <w:sz w:val="22"/>
                <w:lang w:val="fr-FR"/>
              </w:rPr>
              <w:t>uest</w:t>
            </w:r>
          </w:p>
        </w:tc>
      </w:tr>
    </w:tbl>
    <w:p w14:paraId="75189B45" w14:textId="77777777" w:rsidR="00741F7A" w:rsidRPr="001567E1" w:rsidRDefault="00741F7A">
      <w:pPr>
        <w:pStyle w:val="Normal1"/>
        <w:rPr>
          <w:lang w:val="fr-FR"/>
        </w:rPr>
      </w:pPr>
    </w:p>
    <w:p w14:paraId="4C099C4E" w14:textId="7DFF771B" w:rsidR="00741F7A" w:rsidRPr="001567E1" w:rsidRDefault="00E97214" w:rsidP="004A729E">
      <w:pPr>
        <w:pStyle w:val="Normal1"/>
        <w:jc w:val="both"/>
        <w:rPr>
          <w:szCs w:val="24"/>
          <w:lang w:val="fr-FR"/>
        </w:rPr>
      </w:pPr>
      <w:r w:rsidRPr="001567E1">
        <w:rPr>
          <w:szCs w:val="24"/>
          <w:lang w:val="fr-FR"/>
        </w:rPr>
        <w:t>On manque de connaissances sur la taille de ces populations pour l’une ou plusieurs des raisons suivantes :</w:t>
      </w:r>
      <w:r w:rsidR="00832DD4" w:rsidRPr="001567E1">
        <w:rPr>
          <w:szCs w:val="24"/>
          <w:lang w:val="fr-FR"/>
        </w:rPr>
        <w:t xml:space="preserve"> </w:t>
      </w:r>
    </w:p>
    <w:p w14:paraId="27BE2817" w14:textId="6C4A5528" w:rsidR="00741F7A" w:rsidRPr="001567E1" w:rsidRDefault="00E97214" w:rsidP="004A729E">
      <w:pPr>
        <w:pStyle w:val="Normal1"/>
        <w:ind w:left="360" w:hanging="360"/>
        <w:jc w:val="both"/>
        <w:rPr>
          <w:szCs w:val="24"/>
          <w:lang w:val="fr-FR"/>
        </w:rPr>
      </w:pPr>
      <w:r w:rsidRPr="001567E1">
        <w:rPr>
          <w:szCs w:val="24"/>
          <w:lang w:val="fr-FR"/>
        </w:rPr>
        <w:t>a)</w:t>
      </w:r>
      <w:r w:rsidR="00832DD4" w:rsidRPr="001567E1">
        <w:rPr>
          <w:szCs w:val="24"/>
          <w:lang w:val="fr-FR"/>
        </w:rPr>
        <w:t xml:space="preserve"> </w:t>
      </w:r>
      <w:r w:rsidR="00832DD4" w:rsidRPr="001567E1">
        <w:rPr>
          <w:szCs w:val="24"/>
          <w:lang w:val="fr-FR"/>
        </w:rPr>
        <w:tab/>
      </w:r>
      <w:r w:rsidRPr="001567E1">
        <w:rPr>
          <w:szCs w:val="24"/>
          <w:lang w:val="fr-FR"/>
        </w:rPr>
        <w:t>espèces secrètes, par ex. les râles ou les bécassines,</w:t>
      </w:r>
      <w:r w:rsidR="00832DD4" w:rsidRPr="001567E1">
        <w:rPr>
          <w:szCs w:val="24"/>
          <w:lang w:val="fr-FR"/>
        </w:rPr>
        <w:t xml:space="preserve"> </w:t>
      </w:r>
    </w:p>
    <w:p w14:paraId="4514C655" w14:textId="369A0022" w:rsidR="00741F7A" w:rsidRPr="001567E1" w:rsidRDefault="00E97214" w:rsidP="004A729E">
      <w:pPr>
        <w:pStyle w:val="Normal1"/>
        <w:ind w:left="360" w:hanging="360"/>
        <w:jc w:val="both"/>
        <w:rPr>
          <w:szCs w:val="24"/>
          <w:lang w:val="fr-FR"/>
        </w:rPr>
      </w:pPr>
      <w:r w:rsidRPr="001567E1">
        <w:rPr>
          <w:szCs w:val="24"/>
          <w:lang w:val="fr-FR"/>
        </w:rPr>
        <w:t>b)</w:t>
      </w:r>
      <w:r w:rsidR="00832DD4" w:rsidRPr="001567E1">
        <w:rPr>
          <w:szCs w:val="24"/>
          <w:lang w:val="fr-FR"/>
        </w:rPr>
        <w:t xml:space="preserve"> </w:t>
      </w:r>
      <w:r w:rsidR="00832DD4" w:rsidRPr="001567E1">
        <w:rPr>
          <w:szCs w:val="24"/>
          <w:lang w:val="fr-FR"/>
        </w:rPr>
        <w:tab/>
      </w:r>
      <w:r w:rsidRPr="001567E1">
        <w:rPr>
          <w:szCs w:val="24"/>
          <w:lang w:val="fr-FR"/>
        </w:rPr>
        <w:t xml:space="preserve">difficiles à </w:t>
      </w:r>
      <w:r w:rsidR="009D6511" w:rsidRPr="001567E1">
        <w:rPr>
          <w:szCs w:val="24"/>
          <w:lang w:val="fr-FR"/>
        </w:rPr>
        <w:t>distinguer</w:t>
      </w:r>
      <w:r w:rsidRPr="001567E1">
        <w:rPr>
          <w:szCs w:val="24"/>
          <w:lang w:val="fr-FR"/>
        </w:rPr>
        <w:t xml:space="preserve"> d’autres espèces ou populations sur le terrain, par ex. le Goéland brun  </w:t>
      </w:r>
      <w:r w:rsidRPr="001567E1">
        <w:rPr>
          <w:i/>
          <w:szCs w:val="24"/>
          <w:lang w:val="fr-FR"/>
        </w:rPr>
        <w:t>Larus fuscus barabensis</w:t>
      </w:r>
      <w:r w:rsidRPr="001567E1">
        <w:rPr>
          <w:szCs w:val="24"/>
          <w:lang w:val="fr-FR"/>
        </w:rPr>
        <w:t xml:space="preserve"> et le Goéland de Sibérie </w:t>
      </w:r>
      <w:r w:rsidRPr="001567E1">
        <w:rPr>
          <w:i/>
          <w:szCs w:val="24"/>
          <w:lang w:val="fr-FR"/>
        </w:rPr>
        <w:t>L f. heuglini</w:t>
      </w:r>
      <w:r w:rsidRPr="001567E1">
        <w:rPr>
          <w:szCs w:val="24"/>
          <w:lang w:val="fr-FR"/>
        </w:rPr>
        <w:t>, et autres goélands à tête blanche.</w:t>
      </w:r>
    </w:p>
    <w:p w14:paraId="49098BC3" w14:textId="0B9F41CE" w:rsidR="00741F7A" w:rsidRPr="001567E1" w:rsidRDefault="00E97214" w:rsidP="004A729E">
      <w:pPr>
        <w:pStyle w:val="Normal1"/>
        <w:ind w:left="360" w:hanging="360"/>
        <w:jc w:val="both"/>
        <w:rPr>
          <w:szCs w:val="24"/>
          <w:lang w:val="fr-FR"/>
        </w:rPr>
      </w:pPr>
      <w:r w:rsidRPr="001567E1">
        <w:rPr>
          <w:szCs w:val="24"/>
          <w:lang w:val="fr-FR"/>
        </w:rPr>
        <w:t>c)</w:t>
      </w:r>
      <w:r w:rsidR="00832DD4" w:rsidRPr="001567E1">
        <w:rPr>
          <w:szCs w:val="24"/>
          <w:lang w:val="fr-FR"/>
        </w:rPr>
        <w:t xml:space="preserve"> </w:t>
      </w:r>
      <w:r w:rsidR="00832DD4" w:rsidRPr="001567E1">
        <w:rPr>
          <w:szCs w:val="24"/>
          <w:lang w:val="fr-FR"/>
        </w:rPr>
        <w:tab/>
      </w:r>
      <w:r w:rsidR="009D6511" w:rsidRPr="001567E1">
        <w:rPr>
          <w:szCs w:val="24"/>
          <w:lang w:val="fr-FR"/>
        </w:rPr>
        <w:t>e</w:t>
      </w:r>
      <w:r w:rsidR="00EB64E1" w:rsidRPr="001567E1">
        <w:rPr>
          <w:szCs w:val="24"/>
          <w:lang w:val="fr-FR"/>
        </w:rPr>
        <w:t>lles sont présentes le long de la voie de migration d’Asie de l’</w:t>
      </w:r>
      <w:r w:rsidR="005A50C8" w:rsidRPr="001567E1">
        <w:rPr>
          <w:szCs w:val="24"/>
          <w:lang w:val="fr-FR"/>
        </w:rPr>
        <w:t>O</w:t>
      </w:r>
      <w:r w:rsidR="00EB64E1" w:rsidRPr="001567E1">
        <w:rPr>
          <w:szCs w:val="24"/>
          <w:lang w:val="fr-FR"/>
        </w:rPr>
        <w:t>uest</w:t>
      </w:r>
      <w:r w:rsidRPr="001567E1">
        <w:rPr>
          <w:szCs w:val="24"/>
          <w:lang w:val="fr-FR"/>
        </w:rPr>
        <w:t>-</w:t>
      </w:r>
      <w:r w:rsidR="00EB64E1" w:rsidRPr="001567E1">
        <w:rPr>
          <w:szCs w:val="24"/>
          <w:lang w:val="fr-FR"/>
        </w:rPr>
        <w:t>Afrique de l’</w:t>
      </w:r>
      <w:r w:rsidR="005A50C8" w:rsidRPr="001567E1">
        <w:rPr>
          <w:szCs w:val="24"/>
          <w:lang w:val="fr-FR"/>
        </w:rPr>
        <w:t>E</w:t>
      </w:r>
      <w:r w:rsidR="00EB64E1" w:rsidRPr="001567E1">
        <w:rPr>
          <w:szCs w:val="24"/>
          <w:lang w:val="fr-FR"/>
        </w:rPr>
        <w:t>st ou dans la partie d’Asie centrale et du sud-ouest du Paléarctique occidental, où l’intensité de la surveillance est faible sur les sites de reproduction et d’hivernage</w:t>
      </w:r>
      <w:r w:rsidRPr="001567E1">
        <w:rPr>
          <w:szCs w:val="24"/>
          <w:lang w:val="fr-FR"/>
        </w:rPr>
        <w:t>.</w:t>
      </w:r>
      <w:r w:rsidR="00832DD4" w:rsidRPr="001567E1">
        <w:rPr>
          <w:szCs w:val="24"/>
          <w:lang w:val="fr-FR"/>
        </w:rPr>
        <w:t xml:space="preserve"> </w:t>
      </w:r>
    </w:p>
    <w:p w14:paraId="0E438C5D" w14:textId="77777777" w:rsidR="005E6F4B" w:rsidRPr="001567E1" w:rsidRDefault="005E6F4B" w:rsidP="004A729E">
      <w:pPr>
        <w:pStyle w:val="Normal1"/>
        <w:ind w:left="360" w:hanging="360"/>
        <w:jc w:val="both"/>
        <w:rPr>
          <w:szCs w:val="24"/>
          <w:lang w:val="fr-FR"/>
        </w:rPr>
      </w:pPr>
    </w:p>
    <w:p w14:paraId="506C7B10" w14:textId="057AF933" w:rsidR="00DF001A" w:rsidRPr="001567E1" w:rsidRDefault="00EB64E1" w:rsidP="00CB25EE">
      <w:pPr>
        <w:pStyle w:val="Normal1"/>
        <w:jc w:val="both"/>
        <w:rPr>
          <w:szCs w:val="24"/>
          <w:lang w:val="fr-FR"/>
        </w:rPr>
      </w:pPr>
      <w:r w:rsidRPr="001567E1">
        <w:rPr>
          <w:szCs w:val="24"/>
          <w:lang w:val="fr-FR"/>
        </w:rPr>
        <w:t>Depuis 2008, le nombre de population</w:t>
      </w:r>
      <w:r w:rsidR="009D6511" w:rsidRPr="001567E1">
        <w:rPr>
          <w:szCs w:val="24"/>
          <w:lang w:val="fr-FR"/>
        </w:rPr>
        <w:t>s</w:t>
      </w:r>
      <w:r w:rsidRPr="001567E1">
        <w:rPr>
          <w:szCs w:val="24"/>
          <w:lang w:val="fr-FR"/>
        </w:rPr>
        <w:t xml:space="preserve"> dont la taille n’est pas estimée a diminué de 23 %.</w:t>
      </w:r>
      <w:r w:rsidR="00DF001A" w:rsidRPr="001567E1">
        <w:rPr>
          <w:szCs w:val="24"/>
          <w:lang w:val="fr-FR"/>
        </w:rPr>
        <w:t xml:space="preserve"> </w:t>
      </w:r>
      <w:r w:rsidRPr="001567E1">
        <w:rPr>
          <w:szCs w:val="24"/>
          <w:lang w:val="fr-FR"/>
        </w:rPr>
        <w:t xml:space="preserve">Les premières estimations de populations ont été produites pour la Bécassine sourde </w:t>
      </w:r>
      <w:r w:rsidRPr="001567E1">
        <w:rPr>
          <w:i/>
          <w:szCs w:val="24"/>
          <w:lang w:val="fr-FR"/>
        </w:rPr>
        <w:t>Lymnocryptes minimus</w:t>
      </w:r>
      <w:r w:rsidRPr="001567E1">
        <w:rPr>
          <w:szCs w:val="24"/>
          <w:lang w:val="fr-FR"/>
        </w:rPr>
        <w:t>, Sibérie occidentale/</w:t>
      </w:r>
      <w:r w:rsidR="005A50C8" w:rsidRPr="001567E1">
        <w:rPr>
          <w:szCs w:val="24"/>
          <w:lang w:val="fr-FR"/>
        </w:rPr>
        <w:t>Asie du Sud-O</w:t>
      </w:r>
      <w:r w:rsidRPr="001567E1">
        <w:rPr>
          <w:szCs w:val="24"/>
          <w:lang w:val="fr-FR"/>
        </w:rPr>
        <w:t xml:space="preserve">uest et Afrique du </w:t>
      </w:r>
      <w:r w:rsidR="005A50C8" w:rsidRPr="001567E1">
        <w:rPr>
          <w:szCs w:val="24"/>
          <w:lang w:val="fr-FR"/>
        </w:rPr>
        <w:t>N</w:t>
      </w:r>
      <w:r w:rsidRPr="001567E1">
        <w:rPr>
          <w:szCs w:val="24"/>
          <w:lang w:val="fr-FR"/>
        </w:rPr>
        <w:t>ord-</w:t>
      </w:r>
      <w:r w:rsidR="005A50C8" w:rsidRPr="001567E1">
        <w:rPr>
          <w:szCs w:val="24"/>
          <w:lang w:val="fr-FR"/>
        </w:rPr>
        <w:t>E</w:t>
      </w:r>
      <w:r w:rsidRPr="001567E1">
        <w:rPr>
          <w:szCs w:val="24"/>
          <w:lang w:val="fr-FR"/>
        </w:rPr>
        <w:t xml:space="preserve">st ; le Râle des prés </w:t>
      </w:r>
      <w:r w:rsidRPr="001567E1">
        <w:rPr>
          <w:i/>
          <w:szCs w:val="24"/>
          <w:lang w:val="fr-FR"/>
        </w:rPr>
        <w:t>Crecopsis egregia</w:t>
      </w:r>
      <w:r w:rsidRPr="001567E1">
        <w:rPr>
          <w:szCs w:val="24"/>
          <w:lang w:val="fr-FR"/>
        </w:rPr>
        <w:t xml:space="preserve">, Afrique sub-saharienne ; le Plongeon arctique </w:t>
      </w:r>
      <w:r w:rsidRPr="001567E1">
        <w:rPr>
          <w:i/>
          <w:szCs w:val="24"/>
          <w:lang w:val="fr-FR"/>
        </w:rPr>
        <w:t>Gavia arctica suschkini</w:t>
      </w:r>
      <w:r w:rsidRPr="001567E1">
        <w:rPr>
          <w:szCs w:val="24"/>
          <w:lang w:val="fr-FR"/>
        </w:rPr>
        <w:t xml:space="preserve">, Sibérie centrale/mer Caspienne et le Goéland de Sibérie </w:t>
      </w:r>
      <w:r w:rsidRPr="001567E1">
        <w:rPr>
          <w:i/>
          <w:szCs w:val="24"/>
          <w:lang w:val="fr-FR"/>
        </w:rPr>
        <w:t>Larus heuglini</w:t>
      </w:r>
      <w:r w:rsidRPr="001567E1">
        <w:rPr>
          <w:szCs w:val="24"/>
          <w:lang w:val="fr-FR"/>
        </w:rPr>
        <w:t xml:space="preserve">, Europe du </w:t>
      </w:r>
      <w:r w:rsidR="005A50C8" w:rsidRPr="001567E1">
        <w:rPr>
          <w:szCs w:val="24"/>
          <w:lang w:val="fr-FR"/>
        </w:rPr>
        <w:t>N</w:t>
      </w:r>
      <w:r w:rsidRPr="001567E1">
        <w:rPr>
          <w:szCs w:val="24"/>
          <w:lang w:val="fr-FR"/>
        </w:rPr>
        <w:t>ord-</w:t>
      </w:r>
      <w:r w:rsidR="005A50C8" w:rsidRPr="001567E1">
        <w:rPr>
          <w:szCs w:val="24"/>
          <w:lang w:val="fr-FR"/>
        </w:rPr>
        <w:t>E</w:t>
      </w:r>
      <w:r w:rsidRPr="001567E1">
        <w:rPr>
          <w:szCs w:val="24"/>
          <w:lang w:val="fr-FR"/>
        </w:rPr>
        <w:t xml:space="preserve">st et Sibérie occidentale/Asie du </w:t>
      </w:r>
      <w:r w:rsidR="005A50C8" w:rsidRPr="001567E1">
        <w:rPr>
          <w:szCs w:val="24"/>
          <w:lang w:val="fr-FR"/>
        </w:rPr>
        <w:t>S</w:t>
      </w:r>
      <w:r w:rsidRPr="001567E1">
        <w:rPr>
          <w:szCs w:val="24"/>
          <w:lang w:val="fr-FR"/>
        </w:rPr>
        <w:t>ud-</w:t>
      </w:r>
      <w:r w:rsidR="005A50C8" w:rsidRPr="001567E1">
        <w:rPr>
          <w:szCs w:val="24"/>
          <w:lang w:val="fr-FR"/>
        </w:rPr>
        <w:t>O</w:t>
      </w:r>
      <w:r w:rsidRPr="001567E1">
        <w:rPr>
          <w:szCs w:val="24"/>
          <w:lang w:val="fr-FR"/>
        </w:rPr>
        <w:t xml:space="preserve">uest et Afrique du </w:t>
      </w:r>
      <w:r w:rsidR="005A50C8" w:rsidRPr="001567E1">
        <w:rPr>
          <w:szCs w:val="24"/>
          <w:lang w:val="fr-FR"/>
        </w:rPr>
        <w:t>N</w:t>
      </w:r>
      <w:r w:rsidRPr="001567E1">
        <w:rPr>
          <w:szCs w:val="24"/>
          <w:lang w:val="fr-FR"/>
        </w:rPr>
        <w:t>ord-</w:t>
      </w:r>
      <w:r w:rsidR="005A50C8" w:rsidRPr="001567E1">
        <w:rPr>
          <w:szCs w:val="24"/>
          <w:lang w:val="fr-FR"/>
        </w:rPr>
        <w:t>E</w:t>
      </w:r>
      <w:r w:rsidRPr="001567E1">
        <w:rPr>
          <w:szCs w:val="24"/>
          <w:lang w:val="fr-FR"/>
        </w:rPr>
        <w:t>st dans le CSR6. Dans le CSR1, la taille de seulement 75 % des populations était estimée.</w:t>
      </w:r>
    </w:p>
    <w:p w14:paraId="6CBA0640" w14:textId="77777777" w:rsidR="00741F7A" w:rsidRPr="001567E1" w:rsidRDefault="00741F7A">
      <w:pPr>
        <w:pStyle w:val="Normal1"/>
        <w:rPr>
          <w:lang w:val="fr-FR"/>
        </w:rPr>
      </w:pPr>
    </w:p>
    <w:p w14:paraId="378EC59A" w14:textId="77777777" w:rsidR="00741F7A" w:rsidRPr="001567E1" w:rsidRDefault="00832DD4">
      <w:pPr>
        <w:pStyle w:val="Normal1"/>
        <w:rPr>
          <w:lang w:val="fr-FR"/>
        </w:rPr>
      </w:pPr>
      <w:r w:rsidRPr="001567E1">
        <w:rPr>
          <w:lang w:val="fr-FR"/>
        </w:rPr>
        <w:br w:type="page"/>
      </w:r>
    </w:p>
    <w:p w14:paraId="7B3F84A0" w14:textId="40B4829D" w:rsidR="00741F7A" w:rsidRPr="001567E1" w:rsidRDefault="00EB64E1" w:rsidP="009D6511">
      <w:pPr>
        <w:pStyle w:val="Heading3"/>
        <w:rPr>
          <w:lang w:val="fr-FR"/>
        </w:rPr>
      </w:pPr>
      <w:bookmarkStart w:id="36" w:name="h.44sinio" w:colFirst="0" w:colLast="0"/>
      <w:bookmarkStart w:id="37" w:name="_Toc517262008"/>
      <w:bookmarkEnd w:id="36"/>
      <w:r w:rsidRPr="001567E1">
        <w:rPr>
          <w:rFonts w:ascii="Times New Roman" w:eastAsia="Times New Roman" w:hAnsi="Times New Roman" w:cs="Times New Roman"/>
          <w:lang w:val="fr-FR"/>
        </w:rPr>
        <w:lastRenderedPageBreak/>
        <w:t>Les familles d’oiseaux d’eau pour lesquelles les connaissances de la taille sont limitées</w:t>
      </w:r>
      <w:bookmarkEnd w:id="37"/>
    </w:p>
    <w:p w14:paraId="4ECFEC9A" w14:textId="77777777" w:rsidR="00741F7A" w:rsidRPr="001567E1" w:rsidRDefault="00741F7A">
      <w:pPr>
        <w:pStyle w:val="Normal1"/>
        <w:jc w:val="both"/>
        <w:rPr>
          <w:sz w:val="14"/>
          <w:szCs w:val="14"/>
          <w:lang w:val="fr-FR"/>
        </w:rPr>
      </w:pPr>
    </w:p>
    <w:p w14:paraId="19B4C12A" w14:textId="1FEF0818" w:rsidR="00604747" w:rsidRDefault="00EB64E1">
      <w:pPr>
        <w:pStyle w:val="Normal1"/>
        <w:jc w:val="both"/>
        <w:rPr>
          <w:szCs w:val="24"/>
          <w:lang w:val="fr-FR"/>
        </w:rPr>
      </w:pPr>
      <w:r w:rsidRPr="001567E1">
        <w:rPr>
          <w:szCs w:val="24"/>
          <w:lang w:val="fr-FR"/>
        </w:rPr>
        <w:t xml:space="preserve">Les familles ayant une plus grande proportion </w:t>
      </w:r>
      <w:r w:rsidR="005A50C8" w:rsidRPr="001567E1">
        <w:rPr>
          <w:szCs w:val="24"/>
          <w:lang w:val="fr-FR"/>
        </w:rPr>
        <w:t xml:space="preserve">d’estimations basées sur </w:t>
      </w:r>
      <w:r w:rsidRPr="001567E1">
        <w:rPr>
          <w:szCs w:val="24"/>
          <w:lang w:val="fr-FR"/>
        </w:rPr>
        <w:t>de « meilleur</w:t>
      </w:r>
      <w:r w:rsidR="00232ED8" w:rsidRPr="001567E1">
        <w:rPr>
          <w:szCs w:val="24"/>
          <w:lang w:val="fr-FR"/>
        </w:rPr>
        <w:t xml:space="preserve">es </w:t>
      </w:r>
      <w:r w:rsidR="00360B48">
        <w:rPr>
          <w:szCs w:val="24"/>
          <w:lang w:val="fr-FR"/>
        </w:rPr>
        <w:t xml:space="preserve">suppositions » comprennent </w:t>
      </w:r>
      <w:r w:rsidR="00D41A6C">
        <w:rPr>
          <w:szCs w:val="24"/>
          <w:lang w:val="fr-FR"/>
        </w:rPr>
        <w:t>(figure</w:t>
      </w:r>
      <w:r w:rsidRPr="001567E1">
        <w:rPr>
          <w:szCs w:val="24"/>
          <w:lang w:val="fr-FR"/>
        </w:rPr>
        <w:t xml:space="preserve"> 6)</w:t>
      </w:r>
      <w:r w:rsidR="005A50C8" w:rsidRPr="001567E1">
        <w:rPr>
          <w:szCs w:val="24"/>
          <w:lang w:val="fr-FR"/>
        </w:rPr>
        <w:t xml:space="preserve"> </w:t>
      </w:r>
      <w:r w:rsidRPr="001567E1">
        <w:rPr>
          <w:szCs w:val="24"/>
          <w:lang w:val="fr-FR"/>
        </w:rPr>
        <w:t>:</w:t>
      </w:r>
      <w:r w:rsidR="00604747" w:rsidRPr="001567E1">
        <w:rPr>
          <w:szCs w:val="24"/>
          <w:lang w:val="fr-FR"/>
        </w:rPr>
        <w:t xml:space="preserve"> </w:t>
      </w:r>
    </w:p>
    <w:p w14:paraId="3016505E" w14:textId="77777777" w:rsidR="00002C69" w:rsidRPr="001567E1" w:rsidRDefault="00002C69">
      <w:pPr>
        <w:pStyle w:val="Normal1"/>
        <w:jc w:val="both"/>
        <w:rPr>
          <w:szCs w:val="24"/>
          <w:lang w:val="fr-FR"/>
        </w:rPr>
      </w:pPr>
    </w:p>
    <w:p w14:paraId="46632D57" w14:textId="0E3F48A4" w:rsidR="00604747" w:rsidRPr="001567E1" w:rsidRDefault="005A50C8" w:rsidP="004A729E">
      <w:pPr>
        <w:pStyle w:val="Normal1"/>
        <w:numPr>
          <w:ilvl w:val="0"/>
          <w:numId w:val="4"/>
        </w:numPr>
        <w:jc w:val="both"/>
        <w:rPr>
          <w:szCs w:val="24"/>
          <w:lang w:val="fr-FR"/>
        </w:rPr>
      </w:pPr>
      <w:r w:rsidRPr="001567E1">
        <w:rPr>
          <w:szCs w:val="24"/>
          <w:lang w:val="fr-FR"/>
        </w:rPr>
        <w:t xml:space="preserve">Bec-en-sabot du Nil </w:t>
      </w:r>
      <w:r w:rsidRPr="001567E1">
        <w:rPr>
          <w:i/>
          <w:szCs w:val="24"/>
          <w:lang w:val="fr-FR"/>
        </w:rPr>
        <w:t xml:space="preserve">Balaenaciptidae </w:t>
      </w:r>
      <w:r w:rsidRPr="001567E1">
        <w:rPr>
          <w:szCs w:val="24"/>
          <w:lang w:val="fr-FR"/>
        </w:rPr>
        <w:t>:</w:t>
      </w:r>
      <w:r w:rsidR="00AD0CBE" w:rsidRPr="001567E1">
        <w:rPr>
          <w:szCs w:val="24"/>
          <w:lang w:val="fr-FR"/>
        </w:rPr>
        <w:t xml:space="preserve"> </w:t>
      </w:r>
      <w:r w:rsidRPr="001567E1">
        <w:rPr>
          <w:szCs w:val="24"/>
          <w:lang w:val="fr-FR"/>
        </w:rPr>
        <w:t>relativement secret dans de vastes marais « inaccessibles »,</w:t>
      </w:r>
      <w:r w:rsidR="00604747" w:rsidRPr="001567E1">
        <w:rPr>
          <w:szCs w:val="24"/>
          <w:lang w:val="fr-FR"/>
        </w:rPr>
        <w:t xml:space="preserve"> </w:t>
      </w:r>
    </w:p>
    <w:p w14:paraId="65CF4E93" w14:textId="10019A2D" w:rsidR="00AD0CBE" w:rsidRPr="001567E1" w:rsidRDefault="009D6511" w:rsidP="004A729E">
      <w:pPr>
        <w:pStyle w:val="Normal1"/>
        <w:numPr>
          <w:ilvl w:val="0"/>
          <w:numId w:val="4"/>
        </w:numPr>
        <w:jc w:val="both"/>
        <w:rPr>
          <w:szCs w:val="24"/>
          <w:lang w:val="fr-FR"/>
        </w:rPr>
      </w:pPr>
      <w:r w:rsidRPr="001567E1">
        <w:rPr>
          <w:szCs w:val="24"/>
          <w:lang w:val="fr-FR"/>
        </w:rPr>
        <w:t>Œ</w:t>
      </w:r>
      <w:r w:rsidR="005A50C8" w:rsidRPr="001567E1">
        <w:rPr>
          <w:szCs w:val="24"/>
          <w:lang w:val="fr-FR"/>
        </w:rPr>
        <w:t xml:space="preserve">dicnème </w:t>
      </w:r>
      <w:r w:rsidR="005A50C8" w:rsidRPr="001567E1">
        <w:rPr>
          <w:i/>
          <w:szCs w:val="24"/>
          <w:lang w:val="fr-FR"/>
        </w:rPr>
        <w:t xml:space="preserve">Burhinidae </w:t>
      </w:r>
      <w:r w:rsidR="005A50C8" w:rsidRPr="001567E1">
        <w:rPr>
          <w:szCs w:val="24"/>
          <w:lang w:val="fr-FR"/>
        </w:rPr>
        <w:t>:</w:t>
      </w:r>
      <w:r w:rsidR="001A1F35" w:rsidRPr="001567E1">
        <w:rPr>
          <w:szCs w:val="24"/>
          <w:lang w:val="fr-FR"/>
        </w:rPr>
        <w:t xml:space="preserve"> </w:t>
      </w:r>
      <w:r w:rsidR="005A50C8" w:rsidRPr="001567E1">
        <w:rPr>
          <w:szCs w:val="24"/>
          <w:lang w:val="fr-FR"/>
        </w:rPr>
        <w:t>nocturne, </w:t>
      </w:r>
    </w:p>
    <w:p w14:paraId="5D0653CA" w14:textId="6C981BAD" w:rsidR="00AD0CBE" w:rsidRPr="001567E1" w:rsidRDefault="005A50C8" w:rsidP="004A729E">
      <w:pPr>
        <w:pStyle w:val="Normal1"/>
        <w:numPr>
          <w:ilvl w:val="0"/>
          <w:numId w:val="4"/>
        </w:numPr>
        <w:jc w:val="both"/>
        <w:rPr>
          <w:szCs w:val="24"/>
          <w:lang w:val="fr-FR"/>
        </w:rPr>
      </w:pPr>
      <w:r w:rsidRPr="001567E1">
        <w:rPr>
          <w:szCs w:val="24"/>
          <w:lang w:val="fr-FR"/>
        </w:rPr>
        <w:t xml:space="preserve">Plongeon </w:t>
      </w:r>
      <w:r w:rsidRPr="001567E1">
        <w:rPr>
          <w:i/>
          <w:szCs w:val="24"/>
          <w:lang w:val="fr-FR"/>
        </w:rPr>
        <w:t>Gaviidae</w:t>
      </w:r>
      <w:r w:rsidRPr="001567E1">
        <w:rPr>
          <w:szCs w:val="24"/>
          <w:lang w:val="fr-FR"/>
        </w:rPr>
        <w:t> :</w:t>
      </w:r>
      <w:r w:rsidR="00AD0CBE" w:rsidRPr="001567E1">
        <w:rPr>
          <w:szCs w:val="24"/>
          <w:lang w:val="fr-FR"/>
        </w:rPr>
        <w:t xml:space="preserve"> </w:t>
      </w:r>
      <w:r w:rsidRPr="001567E1">
        <w:rPr>
          <w:szCs w:val="24"/>
          <w:lang w:val="fr-FR"/>
        </w:rPr>
        <w:t>marin,</w:t>
      </w:r>
      <w:r w:rsidR="00832DD4" w:rsidRPr="001567E1">
        <w:rPr>
          <w:szCs w:val="24"/>
          <w:lang w:val="fr-FR"/>
        </w:rPr>
        <w:t xml:space="preserve"> </w:t>
      </w:r>
    </w:p>
    <w:p w14:paraId="56C945EC" w14:textId="78D67033" w:rsidR="00AD0CBE" w:rsidRPr="001567E1" w:rsidRDefault="005A50C8" w:rsidP="004A729E">
      <w:pPr>
        <w:pStyle w:val="Normal1"/>
        <w:numPr>
          <w:ilvl w:val="0"/>
          <w:numId w:val="4"/>
        </w:numPr>
        <w:jc w:val="both"/>
        <w:rPr>
          <w:szCs w:val="24"/>
          <w:lang w:val="fr-FR"/>
        </w:rPr>
      </w:pPr>
      <w:r w:rsidRPr="001567E1">
        <w:rPr>
          <w:szCs w:val="24"/>
          <w:lang w:val="fr-FR"/>
        </w:rPr>
        <w:t xml:space="preserve">Râle </w:t>
      </w:r>
      <w:r w:rsidRPr="001567E1">
        <w:rPr>
          <w:i/>
          <w:szCs w:val="24"/>
          <w:lang w:val="fr-FR"/>
        </w:rPr>
        <w:t xml:space="preserve">Rallidae </w:t>
      </w:r>
      <w:r w:rsidRPr="001567E1">
        <w:rPr>
          <w:szCs w:val="24"/>
          <w:lang w:val="fr-FR"/>
        </w:rPr>
        <w:t>:</w:t>
      </w:r>
      <w:r w:rsidR="00AD0CBE" w:rsidRPr="001567E1">
        <w:rPr>
          <w:szCs w:val="24"/>
          <w:lang w:val="fr-FR"/>
        </w:rPr>
        <w:t xml:space="preserve"> </w:t>
      </w:r>
      <w:r w:rsidRPr="001567E1">
        <w:rPr>
          <w:szCs w:val="24"/>
          <w:lang w:val="fr-FR"/>
        </w:rPr>
        <w:t>secret et souvent nocturne,</w:t>
      </w:r>
      <w:r w:rsidR="00832DD4" w:rsidRPr="001567E1">
        <w:rPr>
          <w:szCs w:val="24"/>
          <w:lang w:val="fr-FR"/>
        </w:rPr>
        <w:t xml:space="preserve"> </w:t>
      </w:r>
    </w:p>
    <w:p w14:paraId="028C4AE6" w14:textId="2AF02BA9" w:rsidR="00AD0CBE" w:rsidRPr="001567E1" w:rsidRDefault="005A50C8" w:rsidP="004A729E">
      <w:pPr>
        <w:pStyle w:val="Normal1"/>
        <w:numPr>
          <w:ilvl w:val="0"/>
          <w:numId w:val="4"/>
        </w:numPr>
        <w:jc w:val="both"/>
        <w:rPr>
          <w:szCs w:val="24"/>
          <w:lang w:val="fr-FR"/>
        </w:rPr>
      </w:pPr>
      <w:r w:rsidRPr="001567E1">
        <w:rPr>
          <w:szCs w:val="24"/>
          <w:lang w:val="fr-FR"/>
        </w:rPr>
        <w:t xml:space="preserve">Héron </w:t>
      </w:r>
      <w:r w:rsidRPr="001567E1">
        <w:rPr>
          <w:i/>
          <w:szCs w:val="24"/>
          <w:lang w:val="fr-FR"/>
        </w:rPr>
        <w:t xml:space="preserve">Ardeidae </w:t>
      </w:r>
      <w:r w:rsidRPr="001567E1">
        <w:rPr>
          <w:szCs w:val="24"/>
          <w:lang w:val="fr-FR"/>
        </w:rPr>
        <w:t>:</w:t>
      </w:r>
      <w:r w:rsidR="00AD0CBE" w:rsidRPr="001567E1">
        <w:rPr>
          <w:szCs w:val="24"/>
          <w:lang w:val="fr-FR"/>
        </w:rPr>
        <w:t xml:space="preserve"> </w:t>
      </w:r>
      <w:r w:rsidR="0004293D">
        <w:rPr>
          <w:szCs w:val="24"/>
          <w:lang w:val="fr-FR"/>
        </w:rPr>
        <w:t xml:space="preserve">à l’exception d’une seule, </w:t>
      </w:r>
      <w:r w:rsidRPr="001567E1">
        <w:rPr>
          <w:szCs w:val="24"/>
          <w:lang w:val="fr-FR"/>
        </w:rPr>
        <w:t>toutes les populations</w:t>
      </w:r>
      <w:r w:rsidR="009D6511" w:rsidRPr="001567E1">
        <w:rPr>
          <w:szCs w:val="24"/>
          <w:lang w:val="fr-FR"/>
        </w:rPr>
        <w:t xml:space="preserve"> </w:t>
      </w:r>
      <w:r w:rsidR="0004293D">
        <w:rPr>
          <w:szCs w:val="24"/>
          <w:lang w:val="fr-FR"/>
        </w:rPr>
        <w:t>correspondant à la catégorie</w:t>
      </w:r>
      <w:r w:rsidRPr="001567E1">
        <w:rPr>
          <w:szCs w:val="24"/>
          <w:lang w:val="fr-FR"/>
        </w:rPr>
        <w:t xml:space="preserve"> « meilleure supposition » sont issues d’Asie centrale et du Sud-Ouest et d’Afrique,</w:t>
      </w:r>
      <w:r w:rsidR="00DF001A" w:rsidRPr="001567E1">
        <w:rPr>
          <w:szCs w:val="24"/>
          <w:lang w:val="fr-FR"/>
        </w:rPr>
        <w:t xml:space="preserve"> </w:t>
      </w:r>
    </w:p>
    <w:p w14:paraId="5B221D10" w14:textId="2EE62FC0" w:rsidR="00AD0CBE" w:rsidRPr="001567E1" w:rsidRDefault="005A50C8" w:rsidP="004A729E">
      <w:pPr>
        <w:pStyle w:val="Normal1"/>
        <w:numPr>
          <w:ilvl w:val="0"/>
          <w:numId w:val="4"/>
        </w:numPr>
        <w:jc w:val="both"/>
        <w:rPr>
          <w:szCs w:val="24"/>
          <w:lang w:val="fr-FR"/>
        </w:rPr>
      </w:pPr>
      <w:r w:rsidRPr="001567E1">
        <w:rPr>
          <w:szCs w:val="24"/>
          <w:lang w:val="fr-FR"/>
        </w:rPr>
        <w:t xml:space="preserve">Glaréole </w:t>
      </w:r>
      <w:r w:rsidRPr="001567E1">
        <w:rPr>
          <w:i/>
          <w:szCs w:val="24"/>
          <w:lang w:val="fr-FR"/>
        </w:rPr>
        <w:t xml:space="preserve">Glareolidae </w:t>
      </w:r>
      <w:r w:rsidRPr="001567E1">
        <w:rPr>
          <w:szCs w:val="24"/>
          <w:lang w:val="fr-FR"/>
        </w:rPr>
        <w:t>:</w:t>
      </w:r>
      <w:r w:rsidR="00AD0CBE" w:rsidRPr="001567E1">
        <w:rPr>
          <w:szCs w:val="24"/>
          <w:lang w:val="fr-FR"/>
        </w:rPr>
        <w:t xml:space="preserve"> </w:t>
      </w:r>
      <w:r w:rsidRPr="001567E1">
        <w:rPr>
          <w:szCs w:val="24"/>
          <w:lang w:val="fr-FR"/>
        </w:rPr>
        <w:t>extrêmement nomade, vastes fleuves et zones arides, principalement en Afrique et en Asie centrale et du Sud-Ouest,</w:t>
      </w:r>
      <w:r w:rsidR="00DF001A" w:rsidRPr="001567E1">
        <w:rPr>
          <w:szCs w:val="24"/>
          <w:lang w:val="fr-FR"/>
        </w:rPr>
        <w:t xml:space="preserve"> </w:t>
      </w:r>
    </w:p>
    <w:p w14:paraId="46C1E1E8" w14:textId="37E3C804" w:rsidR="00AD0CBE" w:rsidRPr="001567E1" w:rsidRDefault="005A50C8" w:rsidP="004A729E">
      <w:pPr>
        <w:pStyle w:val="Normal1"/>
        <w:numPr>
          <w:ilvl w:val="0"/>
          <w:numId w:val="4"/>
        </w:numPr>
        <w:jc w:val="both"/>
        <w:rPr>
          <w:szCs w:val="24"/>
          <w:lang w:val="fr-FR"/>
        </w:rPr>
      </w:pPr>
      <w:r w:rsidRPr="001567E1">
        <w:rPr>
          <w:szCs w:val="24"/>
          <w:lang w:val="fr-FR"/>
        </w:rPr>
        <w:t xml:space="preserve">Pluvier </w:t>
      </w:r>
      <w:r w:rsidRPr="001567E1">
        <w:rPr>
          <w:i/>
          <w:szCs w:val="24"/>
          <w:lang w:val="fr-FR"/>
        </w:rPr>
        <w:t xml:space="preserve">Charadriidae </w:t>
      </w:r>
      <w:r w:rsidRPr="001567E1">
        <w:rPr>
          <w:szCs w:val="24"/>
          <w:lang w:val="fr-FR"/>
        </w:rPr>
        <w:t>:</w:t>
      </w:r>
      <w:r w:rsidR="00AD0CBE" w:rsidRPr="001567E1">
        <w:rPr>
          <w:szCs w:val="24"/>
          <w:lang w:val="fr-FR"/>
        </w:rPr>
        <w:t xml:space="preserve"> </w:t>
      </w:r>
      <w:r w:rsidRPr="001567E1">
        <w:rPr>
          <w:szCs w:val="24"/>
          <w:lang w:val="fr-FR"/>
        </w:rPr>
        <w:t>18 des 21 populations sont originaires d’Asie centrale et du Sud-Ouest et d’Afriq</w:t>
      </w:r>
      <w:r w:rsidR="009D6511" w:rsidRPr="001567E1">
        <w:rPr>
          <w:szCs w:val="24"/>
          <w:lang w:val="fr-FR"/>
        </w:rPr>
        <w:t>ue, et principalement associées aux</w:t>
      </w:r>
      <w:r w:rsidRPr="001567E1">
        <w:rPr>
          <w:szCs w:val="24"/>
          <w:lang w:val="fr-FR"/>
        </w:rPr>
        <w:t xml:space="preserve"> zones arides et </w:t>
      </w:r>
      <w:r w:rsidR="009D6511" w:rsidRPr="001567E1">
        <w:rPr>
          <w:szCs w:val="24"/>
          <w:lang w:val="fr-FR"/>
        </w:rPr>
        <w:t>aux</w:t>
      </w:r>
      <w:r w:rsidRPr="001567E1">
        <w:rPr>
          <w:szCs w:val="24"/>
          <w:lang w:val="fr-FR"/>
        </w:rPr>
        <w:t xml:space="preserve"> vasières côtières,</w:t>
      </w:r>
      <w:r w:rsidR="00DF001A" w:rsidRPr="001567E1">
        <w:rPr>
          <w:szCs w:val="24"/>
          <w:lang w:val="fr-FR"/>
        </w:rPr>
        <w:t xml:space="preserve"> </w:t>
      </w:r>
    </w:p>
    <w:p w14:paraId="17044BC3" w14:textId="7A1CB118" w:rsidR="00AD0CBE" w:rsidRPr="001567E1" w:rsidRDefault="005A50C8" w:rsidP="004A729E">
      <w:pPr>
        <w:pStyle w:val="Normal1"/>
        <w:numPr>
          <w:ilvl w:val="0"/>
          <w:numId w:val="4"/>
        </w:numPr>
        <w:jc w:val="both"/>
        <w:rPr>
          <w:szCs w:val="24"/>
          <w:lang w:val="fr-FR"/>
        </w:rPr>
      </w:pPr>
      <w:r w:rsidRPr="001567E1">
        <w:rPr>
          <w:szCs w:val="24"/>
          <w:lang w:val="fr-FR"/>
        </w:rPr>
        <w:t xml:space="preserve">Labbe </w:t>
      </w:r>
      <w:r w:rsidRPr="001567E1">
        <w:rPr>
          <w:i/>
          <w:szCs w:val="24"/>
          <w:lang w:val="fr-FR"/>
        </w:rPr>
        <w:t xml:space="preserve">Stercorariidae </w:t>
      </w:r>
      <w:r w:rsidRPr="001567E1">
        <w:rPr>
          <w:szCs w:val="24"/>
          <w:lang w:val="fr-FR"/>
        </w:rPr>
        <w:t>:</w:t>
      </w:r>
      <w:r w:rsidR="00AD0CBE" w:rsidRPr="001567E1">
        <w:rPr>
          <w:szCs w:val="24"/>
          <w:lang w:val="fr-FR"/>
        </w:rPr>
        <w:t xml:space="preserve"> </w:t>
      </w:r>
      <w:r w:rsidRPr="001567E1">
        <w:rPr>
          <w:szCs w:val="24"/>
          <w:lang w:val="fr-FR"/>
        </w:rPr>
        <w:t>se reproduisant dans la toundra, pélagique en-dehors de la période de reproduction,</w:t>
      </w:r>
    </w:p>
    <w:p w14:paraId="1ADB4073" w14:textId="40FAB8C9" w:rsidR="00AD0CBE" w:rsidRPr="001567E1" w:rsidRDefault="005A50C8" w:rsidP="004A729E">
      <w:pPr>
        <w:pStyle w:val="Normal1"/>
        <w:numPr>
          <w:ilvl w:val="0"/>
          <w:numId w:val="4"/>
        </w:numPr>
        <w:jc w:val="both"/>
        <w:rPr>
          <w:szCs w:val="24"/>
          <w:lang w:val="fr-FR"/>
        </w:rPr>
      </w:pPr>
      <w:r w:rsidRPr="001567E1">
        <w:rPr>
          <w:szCs w:val="24"/>
          <w:lang w:val="fr-FR"/>
        </w:rPr>
        <w:t xml:space="preserve">Bécasseau et espèces apparentées </w:t>
      </w:r>
      <w:r w:rsidRPr="001567E1">
        <w:rPr>
          <w:i/>
          <w:szCs w:val="24"/>
          <w:lang w:val="fr-FR"/>
        </w:rPr>
        <w:t xml:space="preserve">Scolopacidae </w:t>
      </w:r>
      <w:r w:rsidRPr="001567E1">
        <w:rPr>
          <w:szCs w:val="24"/>
          <w:lang w:val="fr-FR"/>
        </w:rPr>
        <w:t>:</w:t>
      </w:r>
      <w:r w:rsidR="00DF001A" w:rsidRPr="001567E1">
        <w:rPr>
          <w:i/>
          <w:szCs w:val="24"/>
          <w:lang w:val="fr-FR"/>
        </w:rPr>
        <w:t xml:space="preserve"> </w:t>
      </w:r>
      <w:r w:rsidRPr="001567E1">
        <w:rPr>
          <w:szCs w:val="24"/>
          <w:lang w:val="fr-FR"/>
        </w:rPr>
        <w:t xml:space="preserve">toutes les populations sauf une, </w:t>
      </w:r>
      <w:r w:rsidR="005B2D93" w:rsidRPr="001567E1">
        <w:rPr>
          <w:szCs w:val="24"/>
          <w:lang w:val="fr-FR"/>
        </w:rPr>
        <w:t xml:space="preserve">la population de </w:t>
      </w:r>
      <w:r w:rsidRPr="001567E1">
        <w:rPr>
          <w:szCs w:val="24"/>
          <w:lang w:val="fr-FR"/>
        </w:rPr>
        <w:t>d’Europe/Europe du Sud et de l’Ouest, et d’Afrique du Nord</w:t>
      </w:r>
      <w:r w:rsidR="005B2D93" w:rsidRPr="001567E1">
        <w:rPr>
          <w:szCs w:val="24"/>
          <w:lang w:val="fr-FR"/>
        </w:rPr>
        <w:t xml:space="preserve"> de la Bécasse </w:t>
      </w:r>
      <w:r w:rsidR="005B2D93" w:rsidRPr="001567E1">
        <w:rPr>
          <w:i/>
          <w:szCs w:val="24"/>
          <w:lang w:val="fr-FR"/>
        </w:rPr>
        <w:t>Scolopax rusticola</w:t>
      </w:r>
      <w:r w:rsidR="005B2D93" w:rsidRPr="001567E1">
        <w:rPr>
          <w:szCs w:val="24"/>
          <w:lang w:val="fr-FR"/>
        </w:rPr>
        <w:t xml:space="preserve"> se reprodui</w:t>
      </w:r>
      <w:r w:rsidR="009D6511" w:rsidRPr="001567E1">
        <w:rPr>
          <w:szCs w:val="24"/>
          <w:lang w:val="fr-FR"/>
        </w:rPr>
        <w:t>sen</w:t>
      </w:r>
      <w:r w:rsidR="005B2D93" w:rsidRPr="001567E1">
        <w:rPr>
          <w:szCs w:val="24"/>
          <w:lang w:val="fr-FR"/>
        </w:rPr>
        <w:t>t dans la zone (sub-)arctique et hiverne</w:t>
      </w:r>
      <w:r w:rsidR="009D6511" w:rsidRPr="001567E1">
        <w:rPr>
          <w:szCs w:val="24"/>
          <w:lang w:val="fr-FR"/>
        </w:rPr>
        <w:t>nt</w:t>
      </w:r>
      <w:r w:rsidR="005B2D93" w:rsidRPr="001567E1">
        <w:rPr>
          <w:szCs w:val="24"/>
          <w:lang w:val="fr-FR"/>
        </w:rPr>
        <w:t xml:space="preserve"> en Asie du Sud-Ouest, et </w:t>
      </w:r>
    </w:p>
    <w:p w14:paraId="68442FA0" w14:textId="5D0B6873" w:rsidR="00055D98" w:rsidRPr="001567E1" w:rsidRDefault="005B2D93" w:rsidP="004A729E">
      <w:pPr>
        <w:pStyle w:val="Normal1"/>
        <w:numPr>
          <w:ilvl w:val="0"/>
          <w:numId w:val="4"/>
        </w:numPr>
        <w:jc w:val="both"/>
        <w:rPr>
          <w:szCs w:val="24"/>
          <w:lang w:val="fr-FR"/>
        </w:rPr>
      </w:pPr>
      <w:r w:rsidRPr="001567E1">
        <w:rPr>
          <w:szCs w:val="24"/>
          <w:lang w:val="fr-FR"/>
        </w:rPr>
        <w:t xml:space="preserve">Ibis et Spatule </w:t>
      </w:r>
      <w:r w:rsidRPr="001567E1">
        <w:rPr>
          <w:i/>
          <w:szCs w:val="24"/>
          <w:lang w:val="fr-FR"/>
        </w:rPr>
        <w:t xml:space="preserve">Threskiornithidae </w:t>
      </w:r>
      <w:r w:rsidRPr="001567E1">
        <w:rPr>
          <w:szCs w:val="24"/>
          <w:lang w:val="fr-FR"/>
        </w:rPr>
        <w:t>:</w:t>
      </w:r>
      <w:r w:rsidR="00BD5E1E" w:rsidRPr="001567E1">
        <w:rPr>
          <w:szCs w:val="24"/>
          <w:lang w:val="fr-FR"/>
        </w:rPr>
        <w:t xml:space="preserve"> </w:t>
      </w:r>
      <w:r w:rsidRPr="001567E1">
        <w:rPr>
          <w:szCs w:val="24"/>
          <w:lang w:val="fr-FR"/>
        </w:rPr>
        <w:t>tous se reproduisent en Europe de l’Est, en Asie centrale et du Sud-Ouest ou en Afrique, et se mélangent facilement avec d’autres</w:t>
      </w:r>
      <w:r w:rsidR="00232ED8" w:rsidRPr="001567E1">
        <w:rPr>
          <w:szCs w:val="24"/>
          <w:lang w:val="fr-FR"/>
        </w:rPr>
        <w:t xml:space="preserve"> populations de la même espèce </w:t>
      </w:r>
      <w:r w:rsidR="009D6511" w:rsidRPr="001567E1">
        <w:rPr>
          <w:szCs w:val="24"/>
          <w:lang w:val="fr-FR"/>
        </w:rPr>
        <w:t>sur</w:t>
      </w:r>
      <w:r w:rsidRPr="001567E1">
        <w:rPr>
          <w:szCs w:val="24"/>
          <w:lang w:val="fr-FR"/>
        </w:rPr>
        <w:t xml:space="preserve"> les sites de non reproduction</w:t>
      </w:r>
      <w:r w:rsidRPr="001567E1">
        <w:rPr>
          <w:i/>
          <w:szCs w:val="24"/>
          <w:lang w:val="fr-FR"/>
        </w:rPr>
        <w:t>.</w:t>
      </w:r>
    </w:p>
    <w:p w14:paraId="1AE401A4" w14:textId="77777777" w:rsidR="00055D98" w:rsidRPr="00002C69" w:rsidRDefault="00055D98" w:rsidP="004A729E">
      <w:pPr>
        <w:pStyle w:val="Normal1"/>
        <w:ind w:left="360"/>
        <w:jc w:val="both"/>
        <w:rPr>
          <w:sz w:val="14"/>
          <w:szCs w:val="14"/>
          <w:lang w:val="fr-FR"/>
        </w:rPr>
      </w:pPr>
    </w:p>
    <w:p w14:paraId="381FB55D" w14:textId="0F274005" w:rsidR="00002C69" w:rsidRDefault="005B2D93" w:rsidP="004A729E">
      <w:pPr>
        <w:pStyle w:val="Normal1"/>
        <w:ind w:left="360"/>
        <w:jc w:val="both"/>
        <w:rPr>
          <w:i/>
          <w:szCs w:val="24"/>
          <w:lang w:val="fr-FR"/>
        </w:rPr>
      </w:pPr>
      <w:r w:rsidRPr="001567E1">
        <w:rPr>
          <w:szCs w:val="24"/>
          <w:lang w:val="fr-FR"/>
        </w:rPr>
        <w:t xml:space="preserve">En revanche, les populations dont une proportion plus forte que la moyenne bénéficie d’estimations de taille de population « basée sur des recensements » tendent à être l’objet d’actions de conservation (grues, spatules) ou de gestion (par ex. oies, cormorans) et se </w:t>
      </w:r>
      <w:r w:rsidR="0004293D">
        <w:rPr>
          <w:szCs w:val="24"/>
          <w:lang w:val="fr-FR"/>
        </w:rPr>
        <w:t>limitent</w:t>
      </w:r>
      <w:r w:rsidRPr="001567E1">
        <w:rPr>
          <w:szCs w:val="24"/>
          <w:lang w:val="fr-FR"/>
        </w:rPr>
        <w:t xml:space="preserve"> souvent à une zone relativement petite à certains stades de leur cycle annuel.</w:t>
      </w:r>
      <w:r w:rsidR="00832DD4" w:rsidRPr="001567E1">
        <w:rPr>
          <w:i/>
          <w:szCs w:val="24"/>
          <w:lang w:val="fr-FR"/>
        </w:rPr>
        <w:t xml:space="preserve"> </w:t>
      </w:r>
      <w:r w:rsidR="00002C69">
        <w:rPr>
          <w:i/>
          <w:szCs w:val="24"/>
          <w:lang w:val="fr-FR"/>
        </w:rPr>
        <w:br w:type="page"/>
      </w:r>
    </w:p>
    <w:p w14:paraId="5B8B2ED7" w14:textId="650254CC" w:rsidR="00AE16C5" w:rsidRPr="001567E1" w:rsidRDefault="00002C69" w:rsidP="004A729E">
      <w:pPr>
        <w:pStyle w:val="Normal1"/>
        <w:ind w:left="360"/>
        <w:jc w:val="both"/>
        <w:rPr>
          <w:sz w:val="14"/>
          <w:szCs w:val="14"/>
          <w:lang w:val="fr-FR"/>
        </w:rPr>
      </w:pPr>
      <w:r w:rsidRPr="001567E1">
        <w:rPr>
          <w:noProof/>
          <w:lang w:val="nl-NL" w:eastAsia="nl-NL"/>
        </w:rPr>
        <w:lastRenderedPageBreak/>
        <w:drawing>
          <wp:anchor distT="0" distB="0" distL="114300" distR="114300" simplePos="0" relativeHeight="251644416" behindDoc="1" locked="0" layoutInCell="1" allowOverlap="1" wp14:anchorId="090AB97A" wp14:editId="1F2CC606">
            <wp:simplePos x="0" y="0"/>
            <wp:positionH relativeFrom="column">
              <wp:posOffset>3810</wp:posOffset>
            </wp:positionH>
            <wp:positionV relativeFrom="paragraph">
              <wp:posOffset>130810</wp:posOffset>
            </wp:positionV>
            <wp:extent cx="5930900" cy="3887470"/>
            <wp:effectExtent l="0" t="0" r="0" b="0"/>
            <wp:wrapTight wrapText="bothSides">
              <wp:wrapPolygon edited="0">
                <wp:start x="0" y="0"/>
                <wp:lineTo x="0" y="21487"/>
                <wp:lineTo x="21507" y="21487"/>
                <wp:lineTo x="21507"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900" cy="388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85D13" w14:textId="77777777" w:rsidR="007C0441" w:rsidRPr="001567E1" w:rsidRDefault="007C0441" w:rsidP="00002C69">
      <w:pPr>
        <w:pStyle w:val="Caption"/>
        <w:spacing w:after="0"/>
        <w:rPr>
          <w:lang w:val="fr-FR"/>
        </w:rPr>
      </w:pPr>
      <w:bookmarkStart w:id="38" w:name="h.2jxsxqh" w:colFirst="0" w:colLast="0"/>
      <w:bookmarkEnd w:id="38"/>
    </w:p>
    <w:p w14:paraId="5CD82A97" w14:textId="77777777" w:rsidR="00002C69" w:rsidRPr="00002C69" w:rsidRDefault="00002C69" w:rsidP="00002C69">
      <w:pPr>
        <w:pStyle w:val="ListParagraph"/>
        <w:numPr>
          <w:ilvl w:val="0"/>
          <w:numId w:val="12"/>
        </w:numPr>
        <w:tabs>
          <w:tab w:val="left" w:pos="1560"/>
          <w:tab w:val="left" w:pos="3686"/>
          <w:tab w:val="left" w:pos="5245"/>
        </w:tabs>
        <w:rPr>
          <w:rFonts w:cstheme="minorHAnsi"/>
          <w:color w:val="4F81BD" w:themeColor="accent1"/>
          <w:sz w:val="16"/>
          <w:szCs w:val="16"/>
          <w:lang w:val="fr-FR"/>
        </w:rPr>
      </w:pPr>
      <w:r w:rsidRPr="00002C69">
        <w:rPr>
          <w:rFonts w:cstheme="minorHAnsi"/>
          <w:color w:val="4F81BD" w:themeColor="accent1"/>
          <w:sz w:val="16"/>
          <w:szCs w:val="16"/>
          <w:lang w:val="fr-FR"/>
        </w:rPr>
        <w:t>Basée sur des recensements</w:t>
      </w:r>
    </w:p>
    <w:p w14:paraId="6BE6CE60" w14:textId="77777777" w:rsidR="00002C69" w:rsidRPr="00002C69" w:rsidRDefault="00002C69" w:rsidP="00002C69">
      <w:pPr>
        <w:pStyle w:val="ListParagraph"/>
        <w:numPr>
          <w:ilvl w:val="0"/>
          <w:numId w:val="12"/>
        </w:numPr>
        <w:tabs>
          <w:tab w:val="left" w:pos="1560"/>
          <w:tab w:val="left" w:pos="3686"/>
          <w:tab w:val="left" w:pos="5245"/>
        </w:tabs>
        <w:rPr>
          <w:rFonts w:cstheme="minorHAnsi"/>
          <w:color w:val="4F81BD" w:themeColor="accent1"/>
          <w:sz w:val="16"/>
          <w:szCs w:val="16"/>
          <w:lang w:val="fr-FR"/>
        </w:rPr>
      </w:pPr>
      <w:r w:rsidRPr="00002C69">
        <w:rPr>
          <w:rFonts w:cstheme="minorHAnsi"/>
          <w:color w:val="4F81BD" w:themeColor="accent1"/>
          <w:sz w:val="16"/>
          <w:szCs w:val="16"/>
          <w:lang w:val="fr-FR"/>
        </w:rPr>
        <w:t>Opinion d’expert</w:t>
      </w:r>
    </w:p>
    <w:p w14:paraId="10882BD1" w14:textId="77777777" w:rsidR="00002C69" w:rsidRPr="00002C69" w:rsidRDefault="00002C69" w:rsidP="00002C69">
      <w:pPr>
        <w:pStyle w:val="ListParagraph"/>
        <w:numPr>
          <w:ilvl w:val="0"/>
          <w:numId w:val="12"/>
        </w:numPr>
        <w:tabs>
          <w:tab w:val="left" w:pos="1560"/>
          <w:tab w:val="left" w:pos="3686"/>
          <w:tab w:val="left" w:pos="5245"/>
        </w:tabs>
        <w:rPr>
          <w:rFonts w:cstheme="minorHAnsi"/>
          <w:color w:val="4F81BD" w:themeColor="accent1"/>
          <w:sz w:val="16"/>
          <w:szCs w:val="16"/>
          <w:lang w:val="fr-FR"/>
        </w:rPr>
      </w:pPr>
      <w:r w:rsidRPr="00002C69">
        <w:rPr>
          <w:rFonts w:cstheme="minorHAnsi"/>
          <w:color w:val="4F81BD" w:themeColor="accent1"/>
          <w:sz w:val="16"/>
          <w:szCs w:val="16"/>
          <w:lang w:val="fr-FR"/>
        </w:rPr>
        <w:t>Meilleure supposition</w:t>
      </w:r>
    </w:p>
    <w:p w14:paraId="5305BCFA" w14:textId="77777777" w:rsidR="00002C69" w:rsidRPr="00002C69" w:rsidRDefault="00002C69" w:rsidP="00002C69">
      <w:pPr>
        <w:pStyle w:val="ListParagraph"/>
        <w:numPr>
          <w:ilvl w:val="0"/>
          <w:numId w:val="12"/>
        </w:numPr>
        <w:tabs>
          <w:tab w:val="left" w:pos="1560"/>
          <w:tab w:val="left" w:pos="3686"/>
          <w:tab w:val="left" w:pos="5245"/>
        </w:tabs>
        <w:rPr>
          <w:rFonts w:cstheme="minorHAnsi"/>
          <w:color w:val="4F81BD" w:themeColor="accent1"/>
          <w:sz w:val="16"/>
          <w:szCs w:val="16"/>
          <w:lang w:val="fr-FR"/>
        </w:rPr>
      </w:pPr>
      <w:r w:rsidRPr="00002C69">
        <w:rPr>
          <w:rFonts w:cstheme="minorHAnsi"/>
          <w:color w:val="4F81BD" w:themeColor="accent1"/>
          <w:sz w:val="16"/>
          <w:szCs w:val="16"/>
          <w:lang w:val="fr-FR"/>
        </w:rPr>
        <w:t>Pas d’estimation</w:t>
      </w:r>
    </w:p>
    <w:p w14:paraId="79868F7C" w14:textId="77777777" w:rsidR="007C0441" w:rsidRPr="001567E1" w:rsidRDefault="007C0441" w:rsidP="00002C69">
      <w:pPr>
        <w:pStyle w:val="Caption"/>
        <w:spacing w:after="0"/>
        <w:rPr>
          <w:lang w:val="fr-FR"/>
        </w:rPr>
      </w:pPr>
    </w:p>
    <w:p w14:paraId="70C63E9B" w14:textId="60B299D0" w:rsidR="00055D98" w:rsidRDefault="005B2D93" w:rsidP="009D6511">
      <w:pPr>
        <w:pStyle w:val="Caption"/>
        <w:rPr>
          <w:b w:val="0"/>
          <w:lang w:val="fr-FR"/>
        </w:rPr>
      </w:pPr>
      <w:r w:rsidRPr="001567E1">
        <w:rPr>
          <w:lang w:val="fr-FR"/>
        </w:rPr>
        <w:t>Figure 6. Qualité des estimations des populations par familles</w:t>
      </w:r>
      <w:r w:rsidR="00832DD4" w:rsidRPr="001567E1">
        <w:rPr>
          <w:lang w:val="fr-FR"/>
        </w:rPr>
        <w:t xml:space="preserve"> </w:t>
      </w:r>
      <w:r w:rsidRPr="001567E1">
        <w:rPr>
          <w:b w:val="0"/>
          <w:lang w:val="fr-FR"/>
        </w:rPr>
        <w:t>(Les chiffres représentent le nombre de populations dans chaque famille).</w:t>
      </w:r>
    </w:p>
    <w:p w14:paraId="3AAA7D06" w14:textId="14D208F9" w:rsidR="003325A5" w:rsidRDefault="003325A5" w:rsidP="003325A5">
      <w:pPr>
        <w:rPr>
          <w:lang w:val="fr-FR"/>
        </w:rPr>
      </w:pPr>
    </w:p>
    <w:p w14:paraId="005CBEB8" w14:textId="2A1BAB9F" w:rsidR="00741F7A" w:rsidRPr="001567E1" w:rsidRDefault="005B2D93" w:rsidP="006A7CC5">
      <w:pPr>
        <w:pStyle w:val="Heading3"/>
        <w:pageBreakBefore/>
        <w:rPr>
          <w:lang w:val="fr-FR"/>
        </w:rPr>
      </w:pPr>
      <w:bookmarkStart w:id="39" w:name="_Toc517262009"/>
      <w:r w:rsidRPr="001567E1">
        <w:rPr>
          <w:rFonts w:ascii="Times New Roman" w:eastAsia="Times New Roman" w:hAnsi="Times New Roman" w:cs="Times New Roman"/>
          <w:lang w:val="fr-FR"/>
        </w:rPr>
        <w:lastRenderedPageBreak/>
        <w:t>Des projets à l’échelle de la voie de migration ont aidé à combler des lacunes en termes de connaissances</w:t>
      </w:r>
      <w:bookmarkEnd w:id="39"/>
    </w:p>
    <w:p w14:paraId="010D3672" w14:textId="77777777" w:rsidR="00741F7A" w:rsidRPr="001567E1" w:rsidRDefault="00741F7A">
      <w:pPr>
        <w:pStyle w:val="Normal1"/>
        <w:jc w:val="both"/>
        <w:rPr>
          <w:szCs w:val="24"/>
          <w:lang w:val="fr-FR"/>
        </w:rPr>
      </w:pPr>
    </w:p>
    <w:p w14:paraId="72EE5D39" w14:textId="31898CDD" w:rsidR="00C157D9" w:rsidRPr="001567E1" w:rsidRDefault="005B2D93" w:rsidP="004A729E">
      <w:pPr>
        <w:pStyle w:val="Normal1"/>
        <w:jc w:val="both"/>
        <w:rPr>
          <w:szCs w:val="24"/>
          <w:lang w:val="fr-FR"/>
        </w:rPr>
      </w:pPr>
      <w:r w:rsidRPr="001567E1">
        <w:rPr>
          <w:szCs w:val="24"/>
          <w:lang w:val="fr-FR"/>
        </w:rPr>
        <w:t xml:space="preserve">La qualité des estimations de taille des populations est meilleure le long des voies de migration de l’Atlantique Est et de la mer Noire-Méditerranée, dans les régions de l’Atlantique et de la mer Noire-Méditerranée du Paléarctique occidental, ainsi que dans les groupes </w:t>
      </w:r>
      <w:r w:rsidR="00585CAF" w:rsidRPr="001567E1">
        <w:rPr>
          <w:szCs w:val="24"/>
          <w:lang w:val="fr-FR"/>
        </w:rPr>
        <w:t>de l’Est et du Sud de la région afro</w:t>
      </w:r>
      <w:r w:rsidR="00232ED8" w:rsidRPr="001567E1">
        <w:rPr>
          <w:szCs w:val="24"/>
          <w:lang w:val="fr-FR"/>
        </w:rPr>
        <w:t>-</w:t>
      </w:r>
      <w:r w:rsidR="00585CAF" w:rsidRPr="001567E1">
        <w:rPr>
          <w:szCs w:val="24"/>
          <w:lang w:val="fr-FR"/>
        </w:rPr>
        <w:t>tropicale</w:t>
      </w:r>
      <w:r w:rsidRPr="001567E1">
        <w:rPr>
          <w:szCs w:val="24"/>
          <w:lang w:val="fr-FR"/>
        </w:rPr>
        <w:t>.</w:t>
      </w:r>
      <w:r w:rsidR="00AA0932" w:rsidRPr="001567E1">
        <w:rPr>
          <w:szCs w:val="24"/>
          <w:lang w:val="fr-FR"/>
        </w:rPr>
        <w:t xml:space="preserve"> </w:t>
      </w:r>
      <w:r w:rsidR="00585CAF" w:rsidRPr="001567E1">
        <w:rPr>
          <w:szCs w:val="24"/>
          <w:lang w:val="fr-FR"/>
        </w:rPr>
        <w:t>Elle est la moins bonne le long de la voie de migration d’Asie de l’Ouest–Afrique de l’Est, dans les parties d’Asie centrale et du sud-ouest du Paléarctique, en Afrique de l’Ouest et centrale, en Afrique de l’Est et australe et au se</w:t>
      </w:r>
      <w:r w:rsidR="006A7CC5" w:rsidRPr="001567E1">
        <w:rPr>
          <w:szCs w:val="24"/>
          <w:lang w:val="fr-FR"/>
        </w:rPr>
        <w:t>i</w:t>
      </w:r>
      <w:r w:rsidR="00585CAF" w:rsidRPr="001567E1">
        <w:rPr>
          <w:szCs w:val="24"/>
          <w:lang w:val="fr-FR"/>
        </w:rPr>
        <w:t>n des populations réparties à travers t</w:t>
      </w:r>
      <w:r w:rsidR="00360B48">
        <w:rPr>
          <w:szCs w:val="24"/>
          <w:lang w:val="fr-FR"/>
        </w:rPr>
        <w:t xml:space="preserve">oute l’Afrique sub-saharienne </w:t>
      </w:r>
      <w:r w:rsidR="00D41A6C">
        <w:rPr>
          <w:szCs w:val="24"/>
          <w:lang w:val="fr-FR"/>
        </w:rPr>
        <w:t>(figure</w:t>
      </w:r>
      <w:r w:rsidR="00585CAF" w:rsidRPr="001567E1">
        <w:rPr>
          <w:szCs w:val="24"/>
          <w:lang w:val="fr-FR"/>
        </w:rPr>
        <w:t xml:space="preserve"> 7).</w:t>
      </w:r>
      <w:r w:rsidR="00832DD4" w:rsidRPr="001567E1">
        <w:rPr>
          <w:szCs w:val="24"/>
          <w:lang w:val="fr-FR"/>
        </w:rPr>
        <w:t xml:space="preserve"> </w:t>
      </w:r>
    </w:p>
    <w:p w14:paraId="3D7B498F" w14:textId="77777777" w:rsidR="00C157D9" w:rsidRPr="001567E1" w:rsidRDefault="00C157D9" w:rsidP="004A729E">
      <w:pPr>
        <w:pStyle w:val="Normal1"/>
        <w:jc w:val="both"/>
        <w:rPr>
          <w:szCs w:val="24"/>
          <w:lang w:val="fr-FR"/>
        </w:rPr>
      </w:pPr>
    </w:p>
    <w:p w14:paraId="3DC1B6C3" w14:textId="7E0C593A" w:rsidR="00741F7A" w:rsidRPr="001567E1" w:rsidRDefault="00585CAF" w:rsidP="004A729E">
      <w:pPr>
        <w:pStyle w:val="Normal1"/>
        <w:jc w:val="both"/>
        <w:rPr>
          <w:szCs w:val="24"/>
          <w:lang w:val="fr-FR"/>
        </w:rPr>
      </w:pPr>
      <w:r w:rsidRPr="001567E1">
        <w:rPr>
          <w:szCs w:val="24"/>
          <w:lang w:val="fr-FR"/>
        </w:rPr>
        <w:t xml:space="preserve">Les estimations des populations du Paléarctique occidental ont bénéficié des exigences de </w:t>
      </w:r>
      <w:r w:rsidR="006A7CC5" w:rsidRPr="001567E1">
        <w:rPr>
          <w:szCs w:val="24"/>
          <w:lang w:val="fr-FR"/>
        </w:rPr>
        <w:t xml:space="preserve">remise de </w:t>
      </w:r>
      <w:r w:rsidRPr="001567E1">
        <w:rPr>
          <w:szCs w:val="24"/>
          <w:lang w:val="fr-FR"/>
        </w:rPr>
        <w:t>rapport</w:t>
      </w:r>
      <w:r w:rsidR="006A7CC5" w:rsidRPr="001567E1">
        <w:rPr>
          <w:szCs w:val="24"/>
          <w:lang w:val="fr-FR"/>
        </w:rPr>
        <w:t>s,</w:t>
      </w:r>
      <w:r w:rsidRPr="001567E1">
        <w:rPr>
          <w:szCs w:val="24"/>
          <w:lang w:val="fr-FR"/>
        </w:rPr>
        <w:t xml:space="preserve"> conform</w:t>
      </w:r>
      <w:r w:rsidR="006A7CC5" w:rsidRPr="001567E1">
        <w:rPr>
          <w:szCs w:val="24"/>
          <w:lang w:val="fr-FR"/>
        </w:rPr>
        <w:t>ément</w:t>
      </w:r>
      <w:r w:rsidRPr="001567E1">
        <w:rPr>
          <w:szCs w:val="24"/>
          <w:lang w:val="fr-FR"/>
        </w:rPr>
        <w:t xml:space="preserve"> à l’Article 12 de la Directive Oiseaux de l’UE et du projet de Liste rouge européenne des oiseaux de BirdLife International.</w:t>
      </w:r>
      <w:r w:rsidR="008457ED" w:rsidRPr="001567E1">
        <w:rPr>
          <w:szCs w:val="24"/>
          <w:lang w:val="fr-FR"/>
        </w:rPr>
        <w:t xml:space="preserve"> </w:t>
      </w:r>
      <w:r w:rsidRPr="001567E1">
        <w:rPr>
          <w:szCs w:val="24"/>
          <w:lang w:val="fr-FR"/>
        </w:rPr>
        <w:t>Ces rapports ont en outre joué un rôle important dans l’estimation de la taille des populations reproductrices le long des voies de migration de l’Atlantique Est et de la mer Noire-Méditerranée.</w:t>
      </w:r>
      <w:r w:rsidR="00C157D9" w:rsidRPr="001567E1">
        <w:rPr>
          <w:szCs w:val="24"/>
          <w:lang w:val="fr-FR"/>
        </w:rPr>
        <w:t xml:space="preserve"> </w:t>
      </w:r>
      <w:r w:rsidRPr="001567E1">
        <w:rPr>
          <w:szCs w:val="24"/>
          <w:lang w:val="fr-FR"/>
        </w:rPr>
        <w:t xml:space="preserve">Les estimations de populations hivernantes se sont améliorées en résultat des investissements </w:t>
      </w:r>
      <w:r w:rsidR="006A7CC5" w:rsidRPr="001567E1">
        <w:rPr>
          <w:szCs w:val="24"/>
          <w:lang w:val="fr-FR"/>
        </w:rPr>
        <w:t xml:space="preserve">réalisés </w:t>
      </w:r>
      <w:r w:rsidRPr="001567E1">
        <w:rPr>
          <w:szCs w:val="24"/>
          <w:lang w:val="fr-FR"/>
        </w:rPr>
        <w:t>dans l’amélioration des activités de surveillance le long du littoral occidental de l’Afrique grâce à l’Initiative de la voie de migration de la mer des Wadden</w:t>
      </w:r>
      <w:r w:rsidR="006A7CC5" w:rsidRPr="001567E1">
        <w:rPr>
          <w:szCs w:val="24"/>
          <w:lang w:val="fr-FR"/>
        </w:rPr>
        <w:t>,</w:t>
      </w:r>
      <w:r w:rsidRPr="001567E1">
        <w:rPr>
          <w:szCs w:val="24"/>
          <w:lang w:val="fr-FR"/>
        </w:rPr>
        <w:t xml:space="preserve"> en Afrique du Nord grâce à Oiseaux d’eau méditerranéens, ainsi que dans la partie septentrionale de la Méditerranée grâce au projet de la voie de migration de l’Adriatique.</w:t>
      </w:r>
      <w:r w:rsidR="008573AA" w:rsidRPr="001567E1">
        <w:rPr>
          <w:szCs w:val="24"/>
          <w:lang w:val="fr-FR"/>
        </w:rPr>
        <w:t xml:space="preserve"> </w:t>
      </w:r>
      <w:r w:rsidR="00BF1AE4" w:rsidRPr="001567E1">
        <w:rPr>
          <w:szCs w:val="24"/>
          <w:lang w:val="fr-FR"/>
        </w:rPr>
        <w:t>En Afrique australe et de l’Est</w:t>
      </w:r>
      <w:r w:rsidR="0004293D">
        <w:rPr>
          <w:szCs w:val="24"/>
          <w:lang w:val="fr-FR"/>
        </w:rPr>
        <w:t>,</w:t>
      </w:r>
      <w:r w:rsidR="00BF1AE4" w:rsidRPr="001567E1">
        <w:rPr>
          <w:szCs w:val="24"/>
          <w:lang w:val="fr-FR"/>
        </w:rPr>
        <w:t xml:space="preserve"> la qualité des estimations des populations </w:t>
      </w:r>
      <w:r w:rsidR="006A7CC5" w:rsidRPr="001567E1">
        <w:rPr>
          <w:szCs w:val="24"/>
          <w:lang w:val="fr-FR"/>
        </w:rPr>
        <w:t>e</w:t>
      </w:r>
      <w:r w:rsidR="00BF1AE4" w:rsidRPr="001567E1">
        <w:rPr>
          <w:szCs w:val="24"/>
          <w:lang w:val="fr-FR"/>
        </w:rPr>
        <w:t xml:space="preserve">st </w:t>
      </w:r>
      <w:r w:rsidR="006A7CC5" w:rsidRPr="001567E1">
        <w:rPr>
          <w:szCs w:val="24"/>
          <w:lang w:val="fr-FR"/>
        </w:rPr>
        <w:t>meilleure</w:t>
      </w:r>
      <w:r w:rsidR="00BF1AE4" w:rsidRPr="001567E1">
        <w:rPr>
          <w:szCs w:val="24"/>
          <w:lang w:val="fr-FR"/>
        </w:rPr>
        <w:t xml:space="preserve"> que </w:t>
      </w:r>
      <w:r w:rsidR="006A7CC5" w:rsidRPr="001567E1">
        <w:rPr>
          <w:szCs w:val="24"/>
          <w:lang w:val="fr-FR"/>
        </w:rPr>
        <w:t>celles d</w:t>
      </w:r>
      <w:r w:rsidR="00BF1AE4" w:rsidRPr="001567E1">
        <w:rPr>
          <w:szCs w:val="24"/>
          <w:lang w:val="fr-FR"/>
        </w:rPr>
        <w:t>’autres parties de l’Afrique, parce que les oiseaux sont généralement mieux documentés et qu’il est plus facile de produire des estimations pour ces populations plus restreintes que pour celles qui ont une aire de répartition beaucoup plus vaste.</w:t>
      </w:r>
      <w:r w:rsidR="008809DE" w:rsidRPr="001567E1">
        <w:rPr>
          <w:szCs w:val="24"/>
          <w:lang w:val="fr-FR"/>
        </w:rPr>
        <w:t xml:space="preserve"> </w:t>
      </w:r>
      <w:r w:rsidR="00BF1AE4" w:rsidRPr="001567E1">
        <w:rPr>
          <w:szCs w:val="24"/>
          <w:lang w:val="fr-FR"/>
        </w:rPr>
        <w:t xml:space="preserve">La surveillance des oiseaux d’eau </w:t>
      </w:r>
      <w:r w:rsidR="006A7CC5" w:rsidRPr="001567E1">
        <w:rPr>
          <w:szCs w:val="24"/>
          <w:lang w:val="fr-FR"/>
        </w:rPr>
        <w:t xml:space="preserve">est </w:t>
      </w:r>
      <w:r w:rsidR="00BF1AE4" w:rsidRPr="001567E1">
        <w:rPr>
          <w:szCs w:val="24"/>
          <w:lang w:val="fr-FR"/>
        </w:rPr>
        <w:t>plutôt limitée en termes de portée et de régularité dans la partie sahélienne de la voie de migration de la mer Noire-Méditerranée, sauf en ce qui concerne le delta du fleuve Sénégal.</w:t>
      </w:r>
      <w:r w:rsidR="00F23C03" w:rsidRPr="001567E1">
        <w:rPr>
          <w:szCs w:val="24"/>
          <w:lang w:val="fr-FR"/>
        </w:rPr>
        <w:t xml:space="preserve"> </w:t>
      </w:r>
      <w:r w:rsidR="00BF1AE4" w:rsidRPr="001567E1">
        <w:rPr>
          <w:szCs w:val="24"/>
          <w:lang w:val="fr-FR"/>
        </w:rPr>
        <w:t xml:space="preserve">Avec un peu de chance, le projet RESSOURCE permettra de rectifier la situation </w:t>
      </w:r>
      <w:r w:rsidR="00343100" w:rsidRPr="001567E1">
        <w:rPr>
          <w:szCs w:val="24"/>
          <w:lang w:val="fr-FR"/>
        </w:rPr>
        <w:t>et aidera à mettre en place des capacités nationales dédiées à une surveillance régulière</w:t>
      </w:r>
      <w:r w:rsidR="00BF1AE4" w:rsidRPr="001567E1">
        <w:rPr>
          <w:szCs w:val="24"/>
          <w:lang w:val="fr-FR"/>
        </w:rPr>
        <w:t>.</w:t>
      </w:r>
      <w:r w:rsidR="00F23C03" w:rsidRPr="001567E1">
        <w:rPr>
          <w:szCs w:val="24"/>
          <w:lang w:val="fr-FR"/>
        </w:rPr>
        <w:t xml:space="preserve"> </w:t>
      </w:r>
      <w:r w:rsidR="00343100" w:rsidRPr="001567E1">
        <w:rPr>
          <w:szCs w:val="24"/>
          <w:lang w:val="fr-FR"/>
        </w:rPr>
        <w:t>Le long de la voie de migration d’Asie de l’Ouest–Afrique de l’Est, les estimations de la taille des populations se sont améliorées au cours de ces dernières années dans la péninsule arabe, et notamment dans les Émirats Arabes Unis, en Arabie saoudite et en Oman, ainsi qu’en Égypte, au Soudan et en Tanzanie</w:t>
      </w:r>
      <w:r w:rsidR="006A7CC5" w:rsidRPr="001567E1">
        <w:rPr>
          <w:szCs w:val="24"/>
          <w:lang w:val="fr-FR"/>
        </w:rPr>
        <w:t>. Toutefois</w:t>
      </w:r>
      <w:r w:rsidR="00343100" w:rsidRPr="001567E1">
        <w:rPr>
          <w:szCs w:val="24"/>
          <w:lang w:val="fr-FR"/>
        </w:rPr>
        <w:t>, l’Érythrée, le Yémen, la Somalie et le Mozambique présentent des lacunes majeures.</w:t>
      </w:r>
    </w:p>
    <w:p w14:paraId="58ACABF6" w14:textId="77777777" w:rsidR="007C0441" w:rsidRPr="001567E1" w:rsidRDefault="007C0441" w:rsidP="004A729E">
      <w:pPr>
        <w:pStyle w:val="Normal1"/>
        <w:jc w:val="both"/>
        <w:rPr>
          <w:szCs w:val="24"/>
          <w:lang w:val="fr-FR"/>
        </w:rPr>
      </w:pPr>
    </w:p>
    <w:p w14:paraId="4B8D1913" w14:textId="77777777" w:rsidR="00741F7A" w:rsidRPr="001567E1" w:rsidRDefault="00F30A50">
      <w:pPr>
        <w:pStyle w:val="Normal1"/>
        <w:keepNext/>
        <w:rPr>
          <w:lang w:val="fr-FR"/>
        </w:rPr>
      </w:pPr>
      <w:r w:rsidRPr="001567E1">
        <w:rPr>
          <w:noProof/>
          <w:lang w:val="fr-FR"/>
        </w:rPr>
        <w:lastRenderedPageBreak/>
        <w:t xml:space="preserve"> </w:t>
      </w:r>
      <w:r w:rsidR="00FE2CD2" w:rsidRPr="001567E1">
        <w:rPr>
          <w:noProof/>
          <w:lang w:val="nl-NL" w:eastAsia="nl-NL"/>
        </w:rPr>
        <w:drawing>
          <wp:inline distT="0" distB="0" distL="0" distR="0" wp14:anchorId="1B135ABE" wp14:editId="13B5960B">
            <wp:extent cx="5274449" cy="2913149"/>
            <wp:effectExtent l="0" t="0" r="8890" b="825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945" cy="2913423"/>
                    </a:xfrm>
                    <a:prstGeom prst="rect">
                      <a:avLst/>
                    </a:prstGeom>
                    <a:noFill/>
                    <a:ln>
                      <a:noFill/>
                    </a:ln>
                  </pic:spPr>
                </pic:pic>
              </a:graphicData>
            </a:graphic>
          </wp:inline>
        </w:drawing>
      </w:r>
    </w:p>
    <w:p w14:paraId="7EFC54D8" w14:textId="09BC093D" w:rsidR="003325A5" w:rsidRDefault="003325A5" w:rsidP="003325A5">
      <w:pPr>
        <w:tabs>
          <w:tab w:val="left" w:pos="1560"/>
          <w:tab w:val="left" w:pos="3686"/>
          <w:tab w:val="left" w:pos="5245"/>
        </w:tabs>
        <w:rPr>
          <w:rFonts w:cstheme="minorHAnsi"/>
          <w:lang w:val="fr-FR"/>
        </w:rPr>
      </w:pPr>
      <w:r>
        <w:rPr>
          <w:rFonts w:cstheme="minorHAnsi"/>
          <w:noProof/>
          <w:lang w:val="fr-FR"/>
        </w:rPr>
        <mc:AlternateContent>
          <mc:Choice Requires="wps">
            <w:drawing>
              <wp:anchor distT="0" distB="0" distL="114300" distR="114300" simplePos="0" relativeHeight="251651584" behindDoc="0" locked="0" layoutInCell="1" allowOverlap="1" wp14:anchorId="0DBB111A" wp14:editId="3849F0E0">
                <wp:simplePos x="0" y="0"/>
                <wp:positionH relativeFrom="column">
                  <wp:posOffset>3356610</wp:posOffset>
                </wp:positionH>
                <wp:positionV relativeFrom="paragraph">
                  <wp:posOffset>168910</wp:posOffset>
                </wp:positionV>
                <wp:extent cx="2209800" cy="10033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2209800" cy="1003300"/>
                        </a:xfrm>
                        <a:prstGeom prst="rect">
                          <a:avLst/>
                        </a:prstGeom>
                        <a:solidFill>
                          <a:schemeClr val="lt1"/>
                        </a:solidFill>
                        <a:ln w="6350">
                          <a:noFill/>
                        </a:ln>
                      </wps:spPr>
                      <wps:txbx>
                        <w:txbxContent>
                          <w:p w14:paraId="49A72651"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Basée sur des recensements</w:t>
                            </w:r>
                          </w:p>
                          <w:p w14:paraId="2C75C2CD"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Opinion d’expert</w:t>
                            </w:r>
                          </w:p>
                          <w:p w14:paraId="3CBEEFFD"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Meilleure supposition</w:t>
                            </w:r>
                          </w:p>
                          <w:p w14:paraId="04099BA0"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Pas d’estimation</w:t>
                            </w:r>
                          </w:p>
                          <w:p w14:paraId="083FE26D" w14:textId="77777777" w:rsidR="00BC4D45" w:rsidRPr="003325A5" w:rsidRDefault="00BC4D4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B111A" id="Text Box 51" o:spid="_x0000_s1030" type="#_x0000_t202" style="position:absolute;margin-left:264.3pt;margin-top:13.3pt;width:174pt;height:7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" fillcolor="white [3201]" stroked="f" strokeweight=".5pt">
                <v:textbox>
                  <w:txbxContent>
                    <w:p w14:paraId="49A72651"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Basée sur des recensements</w:t>
                      </w:r>
                    </w:p>
                    <w:p w14:paraId="2C75C2CD"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Opinion d’expert</w:t>
                      </w:r>
                    </w:p>
                    <w:p w14:paraId="3CBEEFFD"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Meilleure supposition</w:t>
                      </w:r>
                    </w:p>
                    <w:p w14:paraId="04099BA0" w14:textId="77777777" w:rsidR="00BC4D45" w:rsidRPr="003325A5" w:rsidRDefault="00BC4D45" w:rsidP="003325A5">
                      <w:pPr>
                        <w:pStyle w:val="ListParagraph"/>
                        <w:numPr>
                          <w:ilvl w:val="0"/>
                          <w:numId w:val="13"/>
                        </w:numPr>
                        <w:tabs>
                          <w:tab w:val="left" w:pos="1560"/>
                          <w:tab w:val="left" w:pos="3686"/>
                          <w:tab w:val="left" w:pos="5245"/>
                        </w:tabs>
                        <w:rPr>
                          <w:rFonts w:cstheme="minorHAnsi"/>
                          <w:color w:val="4F81BD" w:themeColor="accent1"/>
                          <w:sz w:val="20"/>
                          <w:lang w:val="fr-FR"/>
                        </w:rPr>
                      </w:pPr>
                      <w:r w:rsidRPr="003325A5">
                        <w:rPr>
                          <w:rFonts w:cstheme="minorHAnsi"/>
                          <w:color w:val="4F81BD" w:themeColor="accent1"/>
                          <w:sz w:val="20"/>
                          <w:lang w:val="fr-FR"/>
                        </w:rPr>
                        <w:t>Pas d’estimation</w:t>
                      </w:r>
                    </w:p>
                    <w:p w14:paraId="083FE26D" w14:textId="77777777" w:rsidR="00BC4D45" w:rsidRPr="003325A5" w:rsidRDefault="00BC4D45">
                      <w:pPr>
                        <w:rPr>
                          <w:lang w:val="fr-FR"/>
                        </w:rPr>
                      </w:pPr>
                    </w:p>
                  </w:txbxContent>
                </v:textbox>
              </v:shape>
            </w:pict>
          </mc:Fallback>
        </mc:AlternateContent>
      </w:r>
    </w:p>
    <w:p w14:paraId="1F80053E" w14:textId="6056DA2A"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Grand total</w:t>
      </w:r>
    </w:p>
    <w:p w14:paraId="0D55E063"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Voie de migration de l’Atlantique Est</w:t>
      </w:r>
    </w:p>
    <w:p w14:paraId="328DE6AB"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Paléarctique occidental – Atlantique</w:t>
      </w:r>
    </w:p>
    <w:p w14:paraId="08D70A83"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Voie de migration mer Noire-Méditerranée</w:t>
      </w:r>
    </w:p>
    <w:p w14:paraId="3CBAF5A4"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Région afro-tropicale – Est</w:t>
      </w:r>
    </w:p>
    <w:p w14:paraId="6B6E7B4D"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Région afro-tropicale – australe</w:t>
      </w:r>
    </w:p>
    <w:p w14:paraId="087D3A4D"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Paléarctique occidental – mer Noire–Méditerranée</w:t>
      </w:r>
    </w:p>
    <w:p w14:paraId="6B16CE77"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Région afro-tropicale – Est et australe</w:t>
      </w:r>
    </w:p>
    <w:p w14:paraId="64FB9DA5"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Région afro-tropicale – Ouest et centrale</w:t>
      </w:r>
    </w:p>
    <w:p w14:paraId="23DBAADE"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Autres</w:t>
      </w:r>
    </w:p>
    <w:p w14:paraId="3D36DE04"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Région afro-tropicale – Subsaharienne</w:t>
      </w:r>
    </w:p>
    <w:p w14:paraId="7CF01159"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Voie de migration Asie de l’Ouest–Afrique de l’Est</w:t>
      </w:r>
    </w:p>
    <w:p w14:paraId="20D671A1" w14:textId="77777777" w:rsidR="003325A5" w:rsidRPr="003325A5" w:rsidRDefault="003325A5" w:rsidP="003325A5">
      <w:pPr>
        <w:pStyle w:val="ListParagraph"/>
        <w:numPr>
          <w:ilvl w:val="0"/>
          <w:numId w:val="15"/>
        </w:numPr>
        <w:tabs>
          <w:tab w:val="left" w:pos="1560"/>
          <w:tab w:val="left" w:pos="3686"/>
          <w:tab w:val="left" w:pos="5245"/>
        </w:tabs>
        <w:ind w:left="567" w:hanging="425"/>
        <w:rPr>
          <w:rFonts w:cstheme="minorHAnsi"/>
          <w:color w:val="4F81BD" w:themeColor="accent1"/>
          <w:sz w:val="20"/>
          <w:lang w:val="fr-FR"/>
        </w:rPr>
      </w:pPr>
      <w:r w:rsidRPr="003325A5">
        <w:rPr>
          <w:rFonts w:cstheme="minorHAnsi"/>
          <w:color w:val="4F81BD" w:themeColor="accent1"/>
          <w:sz w:val="20"/>
          <w:lang w:val="fr-FR"/>
        </w:rPr>
        <w:t>Paléarctique occidental – Asie centrale et du Sud-Ouest</w:t>
      </w:r>
    </w:p>
    <w:p w14:paraId="080C3343" w14:textId="77777777" w:rsidR="007C0441" w:rsidRPr="003325A5" w:rsidRDefault="007C0441" w:rsidP="004A729E">
      <w:pPr>
        <w:pStyle w:val="Caption"/>
        <w:rPr>
          <w:sz w:val="20"/>
          <w:szCs w:val="20"/>
          <w:lang w:val="fr-FR"/>
        </w:rPr>
      </w:pPr>
    </w:p>
    <w:p w14:paraId="7F07DD9E" w14:textId="071B1FAD" w:rsidR="00741F7A" w:rsidRPr="001567E1" w:rsidRDefault="00343100" w:rsidP="006A7CC5">
      <w:pPr>
        <w:pStyle w:val="Caption"/>
        <w:rPr>
          <w:i/>
          <w:lang w:val="fr-FR"/>
        </w:rPr>
      </w:pPr>
      <w:r w:rsidRPr="001567E1">
        <w:rPr>
          <w:lang w:val="fr-FR"/>
        </w:rPr>
        <w:t xml:space="preserve">Figure 7. Qualité des estimations de taille des populations par voie de </w:t>
      </w:r>
      <w:r w:rsidR="003325A5" w:rsidRPr="001567E1">
        <w:rPr>
          <w:lang w:val="fr-FR"/>
        </w:rPr>
        <w:t>migration (</w:t>
      </w:r>
      <w:r w:rsidRPr="001567E1">
        <w:rPr>
          <w:i/>
          <w:lang w:val="fr-FR"/>
        </w:rPr>
        <w:t xml:space="preserve">Les chiffres représentent le nombre de populations dans chaque catégorie). </w:t>
      </w:r>
    </w:p>
    <w:p w14:paraId="6BCDEFEE" w14:textId="1234922C" w:rsidR="00741F7A" w:rsidRPr="001567E1" w:rsidRDefault="00FE2CD2" w:rsidP="006A7CC5">
      <w:pPr>
        <w:pStyle w:val="Heading3"/>
        <w:rPr>
          <w:lang w:val="fr-FR"/>
        </w:rPr>
      </w:pPr>
      <w:r w:rsidRPr="001567E1">
        <w:rPr>
          <w:lang w:val="fr-FR"/>
        </w:rPr>
        <w:br w:type="page"/>
      </w:r>
      <w:bookmarkStart w:id="40" w:name="h.1y810tw" w:colFirst="0" w:colLast="0"/>
      <w:bookmarkStart w:id="41" w:name="_Toc517262010"/>
      <w:bookmarkEnd w:id="40"/>
      <w:r w:rsidR="007E0477" w:rsidRPr="001567E1">
        <w:rPr>
          <w:rFonts w:ascii="Times New Roman" w:eastAsia="Times New Roman" w:hAnsi="Times New Roman" w:cs="Times New Roman"/>
          <w:lang w:val="fr-FR"/>
        </w:rPr>
        <w:lastRenderedPageBreak/>
        <w:t>Les estimations de taille se sont améliorées pour 83 populations</w:t>
      </w:r>
      <w:bookmarkEnd w:id="41"/>
    </w:p>
    <w:p w14:paraId="567A6F47" w14:textId="77777777" w:rsidR="00741F7A" w:rsidRPr="003325A5" w:rsidRDefault="00741F7A">
      <w:pPr>
        <w:pStyle w:val="Normal1"/>
        <w:jc w:val="both"/>
        <w:rPr>
          <w:sz w:val="14"/>
          <w:szCs w:val="14"/>
          <w:lang w:val="fr-FR"/>
        </w:rPr>
      </w:pPr>
    </w:p>
    <w:p w14:paraId="320BCD56" w14:textId="27F5CDF9" w:rsidR="00AA0932" w:rsidRPr="001567E1" w:rsidRDefault="007E0477">
      <w:pPr>
        <w:pStyle w:val="Normal1"/>
        <w:jc w:val="both"/>
        <w:rPr>
          <w:szCs w:val="24"/>
          <w:lang w:val="fr-FR"/>
        </w:rPr>
      </w:pPr>
      <w:r w:rsidRPr="001567E1">
        <w:rPr>
          <w:szCs w:val="24"/>
          <w:lang w:val="fr-FR"/>
        </w:rPr>
        <w:t>Le changement de qualité des estimations de populations entre le CSR4 (qui représente le point de référence de 2008) et le CSR7 peut être comparé pour 537 populations dont la déli</w:t>
      </w:r>
      <w:r w:rsidR="0004293D">
        <w:rPr>
          <w:szCs w:val="24"/>
          <w:lang w:val="fr-FR"/>
        </w:rPr>
        <w:t>mitation</w:t>
      </w:r>
      <w:r w:rsidRPr="001567E1">
        <w:rPr>
          <w:szCs w:val="24"/>
          <w:lang w:val="fr-FR"/>
        </w:rPr>
        <w:t xml:space="preserve"> n’a pas changé au cours de cette période.</w:t>
      </w:r>
      <w:r w:rsidR="008D527C" w:rsidRPr="001567E1">
        <w:rPr>
          <w:szCs w:val="24"/>
          <w:lang w:val="fr-FR"/>
        </w:rPr>
        <w:t xml:space="preserve"> </w:t>
      </w:r>
    </w:p>
    <w:p w14:paraId="09D12E38" w14:textId="77777777" w:rsidR="00AA0932" w:rsidRPr="003325A5" w:rsidRDefault="00AA0932">
      <w:pPr>
        <w:pStyle w:val="Normal1"/>
        <w:jc w:val="both"/>
        <w:rPr>
          <w:sz w:val="14"/>
          <w:szCs w:val="14"/>
          <w:lang w:val="fr-FR"/>
        </w:rPr>
      </w:pPr>
    </w:p>
    <w:p w14:paraId="38E6C2E1" w14:textId="7A032639" w:rsidR="002A383D" w:rsidRPr="001567E1" w:rsidRDefault="007E0477">
      <w:pPr>
        <w:pStyle w:val="Normal1"/>
        <w:jc w:val="both"/>
        <w:rPr>
          <w:szCs w:val="24"/>
          <w:lang w:val="fr-FR"/>
        </w:rPr>
      </w:pPr>
      <w:r w:rsidRPr="001567E1">
        <w:rPr>
          <w:szCs w:val="24"/>
          <w:lang w:val="fr-FR"/>
        </w:rPr>
        <w:t>La qualité d</w:t>
      </w:r>
      <w:r w:rsidR="008F67F3">
        <w:rPr>
          <w:szCs w:val="24"/>
          <w:lang w:val="fr-FR"/>
        </w:rPr>
        <w:t>es estimations de taille s’est améliorée</w:t>
      </w:r>
      <w:r w:rsidRPr="001567E1">
        <w:rPr>
          <w:szCs w:val="24"/>
          <w:lang w:val="fr-FR"/>
        </w:rPr>
        <w:t xml:space="preserve"> pour 83 populations (15%).</w:t>
      </w:r>
    </w:p>
    <w:p w14:paraId="07CF15D9" w14:textId="77777777" w:rsidR="002A383D" w:rsidRPr="003325A5" w:rsidRDefault="002A383D">
      <w:pPr>
        <w:pStyle w:val="Normal1"/>
        <w:jc w:val="both"/>
        <w:rPr>
          <w:sz w:val="14"/>
          <w:szCs w:val="14"/>
          <w:lang w:val="fr-FR"/>
        </w:rPr>
      </w:pPr>
    </w:p>
    <w:p w14:paraId="2E85CCB9" w14:textId="33571CA4" w:rsidR="002A383D" w:rsidRPr="001567E1" w:rsidRDefault="007E0477">
      <w:pPr>
        <w:pStyle w:val="Normal1"/>
        <w:jc w:val="both"/>
        <w:rPr>
          <w:szCs w:val="24"/>
          <w:lang w:val="fr-FR"/>
        </w:rPr>
      </w:pPr>
      <w:r w:rsidRPr="001567E1">
        <w:rPr>
          <w:szCs w:val="24"/>
          <w:lang w:val="fr-FR"/>
        </w:rPr>
        <w:t>Le plus grand nombre de populations pour lesquelles la qualité des estimations de taille s’est améliorée se trouvent dans la partie atlantique du Paléarctique occidental</w:t>
      </w:r>
      <w:r w:rsidR="006A7CC5" w:rsidRPr="001567E1">
        <w:rPr>
          <w:szCs w:val="24"/>
          <w:lang w:val="fr-FR"/>
        </w:rPr>
        <w:t xml:space="preserve"> (</w:t>
      </w:r>
      <w:r w:rsidRPr="001567E1">
        <w:rPr>
          <w:szCs w:val="24"/>
          <w:lang w:val="fr-FR"/>
        </w:rPr>
        <w:t>en résultat de l’évaluation des oiseaux marins de la CAFF et de l’Article 12 de l’UE sur la remise de rapports</w:t>
      </w:r>
      <w:r w:rsidR="006A7CC5" w:rsidRPr="001567E1">
        <w:rPr>
          <w:szCs w:val="24"/>
          <w:lang w:val="fr-FR"/>
        </w:rPr>
        <w:t>)</w:t>
      </w:r>
      <w:r w:rsidRPr="001567E1">
        <w:rPr>
          <w:szCs w:val="24"/>
          <w:lang w:val="fr-FR"/>
        </w:rPr>
        <w:t>, dans la partie Est de la région afro</w:t>
      </w:r>
      <w:r w:rsidR="00232ED8" w:rsidRPr="001567E1">
        <w:rPr>
          <w:szCs w:val="24"/>
          <w:lang w:val="fr-FR"/>
        </w:rPr>
        <w:t>-</w:t>
      </w:r>
      <w:r w:rsidRPr="001567E1">
        <w:rPr>
          <w:szCs w:val="24"/>
          <w:lang w:val="fr-FR"/>
        </w:rPr>
        <w:t xml:space="preserve">tropicale </w:t>
      </w:r>
      <w:r w:rsidR="006A7CC5" w:rsidRPr="001567E1">
        <w:rPr>
          <w:szCs w:val="24"/>
          <w:lang w:val="fr-FR"/>
        </w:rPr>
        <w:t>(</w:t>
      </w:r>
      <w:r w:rsidRPr="001567E1">
        <w:rPr>
          <w:szCs w:val="24"/>
          <w:lang w:val="fr-FR"/>
        </w:rPr>
        <w:t>en résultat d’estimations améliorées des oiseaux marins</w:t>
      </w:r>
      <w:r w:rsidR="006A7CC5" w:rsidRPr="001567E1">
        <w:rPr>
          <w:szCs w:val="24"/>
          <w:lang w:val="fr-FR"/>
        </w:rPr>
        <w:t>)</w:t>
      </w:r>
      <w:r w:rsidRPr="001567E1">
        <w:rPr>
          <w:szCs w:val="24"/>
          <w:lang w:val="fr-FR"/>
        </w:rPr>
        <w:t>, le long des voies de migration d’Asie de l’Ouest–Afrique de l’Est, de la mer Noire-Méditerranée et de l’Atlantique Est</w:t>
      </w:r>
      <w:r w:rsidR="006A7CC5" w:rsidRPr="001567E1">
        <w:rPr>
          <w:szCs w:val="24"/>
          <w:lang w:val="fr-FR"/>
        </w:rPr>
        <w:t xml:space="preserve"> (</w:t>
      </w:r>
      <w:r w:rsidRPr="001567E1">
        <w:rPr>
          <w:szCs w:val="24"/>
          <w:lang w:val="fr-FR"/>
        </w:rPr>
        <w:t xml:space="preserve">en résultat des diverses études et du travail relatif à l’atlas en Arabie, </w:t>
      </w:r>
      <w:r w:rsidR="00E332C2" w:rsidRPr="001567E1">
        <w:rPr>
          <w:szCs w:val="24"/>
          <w:lang w:val="fr-FR"/>
        </w:rPr>
        <w:t>du projet Oiseaux d’eau mé</w:t>
      </w:r>
      <w:r w:rsidRPr="001567E1">
        <w:rPr>
          <w:szCs w:val="24"/>
          <w:lang w:val="fr-FR"/>
        </w:rPr>
        <w:t>diterran</w:t>
      </w:r>
      <w:r w:rsidR="00E332C2" w:rsidRPr="001567E1">
        <w:rPr>
          <w:szCs w:val="24"/>
          <w:lang w:val="fr-FR"/>
        </w:rPr>
        <w:t>éens, ainsi que de l’Initiative de la voie de migration de la mer des</w:t>
      </w:r>
      <w:r w:rsidR="00360B48">
        <w:rPr>
          <w:szCs w:val="24"/>
          <w:lang w:val="fr-FR"/>
        </w:rPr>
        <w:t xml:space="preserve"> Wadden </w:t>
      </w:r>
      <w:r w:rsidR="00D41A6C">
        <w:rPr>
          <w:szCs w:val="24"/>
          <w:lang w:val="fr-FR"/>
        </w:rPr>
        <w:t>(figure</w:t>
      </w:r>
      <w:r w:rsidRPr="001567E1">
        <w:rPr>
          <w:szCs w:val="24"/>
          <w:lang w:val="fr-FR"/>
        </w:rPr>
        <w:t xml:space="preserve"> 8</w:t>
      </w:r>
      <w:r w:rsidR="006A7CC5" w:rsidRPr="001567E1">
        <w:rPr>
          <w:szCs w:val="24"/>
          <w:lang w:val="fr-FR"/>
        </w:rPr>
        <w:t>)</w:t>
      </w:r>
      <w:r w:rsidRPr="001567E1">
        <w:rPr>
          <w:szCs w:val="24"/>
          <w:lang w:val="fr-FR"/>
        </w:rPr>
        <w:t>.</w:t>
      </w:r>
      <w:r w:rsidR="00CE7950" w:rsidRPr="001567E1">
        <w:rPr>
          <w:szCs w:val="24"/>
          <w:lang w:val="fr-FR"/>
        </w:rPr>
        <w:t xml:space="preserve"> </w:t>
      </w:r>
    </w:p>
    <w:p w14:paraId="5E0B9319" w14:textId="77777777" w:rsidR="002A383D" w:rsidRPr="001567E1" w:rsidRDefault="002A383D">
      <w:pPr>
        <w:pStyle w:val="Normal1"/>
        <w:jc w:val="both"/>
        <w:rPr>
          <w:sz w:val="22"/>
          <w:lang w:val="fr-FR"/>
        </w:rPr>
      </w:pPr>
    </w:p>
    <w:p w14:paraId="7D170144" w14:textId="77777777" w:rsidR="00741F7A" w:rsidRPr="001567E1" w:rsidRDefault="006C3885">
      <w:pPr>
        <w:pStyle w:val="Normal1"/>
        <w:jc w:val="both"/>
        <w:rPr>
          <w:lang w:val="fr-FR"/>
        </w:rPr>
      </w:pPr>
      <w:r w:rsidRPr="001567E1">
        <w:rPr>
          <w:noProof/>
          <w:lang w:val="nl-NL" w:eastAsia="nl-NL"/>
        </w:rPr>
        <w:drawing>
          <wp:inline distT="0" distB="0" distL="0" distR="0" wp14:anchorId="477463D8" wp14:editId="07AA82CB">
            <wp:extent cx="5274945" cy="3455717"/>
            <wp:effectExtent l="0" t="0" r="8255"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3455717"/>
                    </a:xfrm>
                    <a:prstGeom prst="rect">
                      <a:avLst/>
                    </a:prstGeom>
                    <a:noFill/>
                    <a:ln>
                      <a:noFill/>
                    </a:ln>
                  </pic:spPr>
                </pic:pic>
              </a:graphicData>
            </a:graphic>
          </wp:inline>
        </w:drawing>
      </w:r>
    </w:p>
    <w:p w14:paraId="0320D8CC" w14:textId="77777777" w:rsidR="003325A5" w:rsidRDefault="003325A5" w:rsidP="003325A5">
      <w:pPr>
        <w:tabs>
          <w:tab w:val="left" w:pos="1560"/>
          <w:tab w:val="left" w:pos="3686"/>
          <w:tab w:val="left" w:pos="5245"/>
        </w:tabs>
        <w:rPr>
          <w:rFonts w:cstheme="minorHAnsi"/>
          <w:color w:val="4F81BD" w:themeColor="accent1"/>
          <w:sz w:val="20"/>
          <w:lang w:val="fr-FR"/>
        </w:rPr>
      </w:pPr>
      <w:bookmarkStart w:id="42" w:name="h.4i7ojhp" w:colFirst="0" w:colLast="0"/>
      <w:bookmarkStart w:id="43" w:name="h.2xcytpi" w:colFirst="0" w:colLast="0"/>
      <w:bookmarkEnd w:id="42"/>
      <w:bookmarkEnd w:id="43"/>
    </w:p>
    <w:p w14:paraId="270006FF" w14:textId="531E05B0"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Pr>
          <w:noProof/>
          <w:lang w:val="fr-FR"/>
        </w:rPr>
        <mc:AlternateContent>
          <mc:Choice Requires="wps">
            <w:drawing>
              <wp:anchor distT="0" distB="0" distL="114300" distR="114300" simplePos="0" relativeHeight="251645440" behindDoc="0" locked="0" layoutInCell="1" allowOverlap="1" wp14:anchorId="41CD09A7" wp14:editId="336848D0">
                <wp:simplePos x="0" y="0"/>
                <wp:positionH relativeFrom="column">
                  <wp:posOffset>4245610</wp:posOffset>
                </wp:positionH>
                <wp:positionV relativeFrom="paragraph">
                  <wp:posOffset>55245</wp:posOffset>
                </wp:positionV>
                <wp:extent cx="1270000" cy="11938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270000" cy="1193800"/>
                        </a:xfrm>
                        <a:prstGeom prst="rect">
                          <a:avLst/>
                        </a:prstGeom>
                        <a:noFill/>
                        <a:ln w="6350">
                          <a:noFill/>
                        </a:ln>
                      </wps:spPr>
                      <wps:txbx>
                        <w:txbxContent>
                          <w:p w14:paraId="05782D0E" w14:textId="77777777" w:rsidR="00BC4D45" w:rsidRPr="003325A5" w:rsidRDefault="00BC4D45" w:rsidP="003325A5">
                            <w:pPr>
                              <w:pStyle w:val="ListParagraph"/>
                              <w:numPr>
                                <w:ilvl w:val="0"/>
                                <w:numId w:val="14"/>
                              </w:numPr>
                              <w:tabs>
                                <w:tab w:val="left" w:pos="851"/>
                                <w:tab w:val="left" w:pos="3686"/>
                                <w:tab w:val="left" w:pos="6096"/>
                                <w:tab w:val="left" w:pos="7088"/>
                              </w:tabs>
                              <w:rPr>
                                <w:rFonts w:cstheme="minorHAnsi"/>
                                <w:color w:val="4F81BD" w:themeColor="accent1"/>
                                <w:sz w:val="20"/>
                                <w:lang w:val="fr-FR"/>
                                <w14:textOutline w14:w="9525" w14:cap="rnd" w14:cmpd="sng" w14:algn="ctr">
                                  <w14:noFill/>
                                  <w14:prstDash w14:val="solid"/>
                                  <w14:bevel/>
                                </w14:textOutline>
                              </w:rPr>
                            </w:pPr>
                            <w:r w:rsidRPr="003325A5">
                              <w:rPr>
                                <w:rFonts w:cstheme="minorHAnsi"/>
                                <w:color w:val="4F81BD" w:themeColor="accent1"/>
                                <w:sz w:val="20"/>
                                <w:lang w:val="fr-FR"/>
                                <w14:textOutline w14:w="9525" w14:cap="rnd" w14:cmpd="sng" w14:algn="ctr">
                                  <w14:noFill/>
                                  <w14:prstDash w14:val="solid"/>
                                  <w14:bevel/>
                                </w14:textOutline>
                              </w:rPr>
                              <w:t>Améliorée</w:t>
                            </w:r>
                          </w:p>
                          <w:p w14:paraId="6E652842" w14:textId="77777777" w:rsidR="00BC4D45" w:rsidRPr="003325A5" w:rsidRDefault="00BC4D45" w:rsidP="003325A5">
                            <w:pPr>
                              <w:pStyle w:val="ListParagraph"/>
                              <w:numPr>
                                <w:ilvl w:val="0"/>
                                <w:numId w:val="14"/>
                              </w:numPr>
                              <w:tabs>
                                <w:tab w:val="left" w:pos="851"/>
                                <w:tab w:val="left" w:pos="3686"/>
                                <w:tab w:val="left" w:pos="6096"/>
                                <w:tab w:val="left" w:pos="7088"/>
                              </w:tabs>
                              <w:rPr>
                                <w:rFonts w:cstheme="minorHAnsi"/>
                                <w:color w:val="4F81BD" w:themeColor="accent1"/>
                                <w:sz w:val="20"/>
                                <w:lang w:val="fr-FR"/>
                                <w14:textOutline w14:w="9525" w14:cap="rnd" w14:cmpd="sng" w14:algn="ctr">
                                  <w14:noFill/>
                                  <w14:prstDash w14:val="solid"/>
                                  <w14:bevel/>
                                </w14:textOutline>
                              </w:rPr>
                            </w:pPr>
                            <w:r w:rsidRPr="003325A5">
                              <w:rPr>
                                <w:rFonts w:cstheme="minorHAnsi"/>
                                <w:color w:val="4F81BD" w:themeColor="accent1"/>
                                <w:sz w:val="20"/>
                                <w:lang w:val="fr-FR"/>
                                <w14:textOutline w14:w="9525" w14:cap="rnd" w14:cmpd="sng" w14:algn="ctr">
                                  <w14:noFill/>
                                  <w14:prstDash w14:val="solid"/>
                                  <w14:bevel/>
                                </w14:textOutline>
                              </w:rPr>
                              <w:t>Inchangée</w:t>
                            </w:r>
                          </w:p>
                          <w:p w14:paraId="44B8452C" w14:textId="77777777" w:rsidR="00BC4D45" w:rsidRPr="003325A5" w:rsidRDefault="00BC4D45">
                            <w:pPr>
                              <w:rPr>
                                <w:rFonts w:cstheme="minorHAnsi"/>
                                <w:color w:val="4F81BD" w:themeColor="accent1"/>
                                <w:sz w:val="20"/>
                                <w:lang w:val="fr-F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D09A7" id="Text Box 53" o:spid="_x0000_s1031" type="#_x0000_t202" style="position:absolute;left:0;text-align:left;margin-left:334.3pt;margin-top:4.35pt;width:100pt;height:94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" filled="f" stroked="f" strokeweight=".5pt">
                <v:textbox>
                  <w:txbxContent>
                    <w:p w14:paraId="05782D0E" w14:textId="77777777" w:rsidR="00BC4D45" w:rsidRPr="003325A5" w:rsidRDefault="00BC4D45" w:rsidP="003325A5">
                      <w:pPr>
                        <w:pStyle w:val="ListParagraph"/>
                        <w:numPr>
                          <w:ilvl w:val="0"/>
                          <w:numId w:val="14"/>
                        </w:numPr>
                        <w:tabs>
                          <w:tab w:val="left" w:pos="851"/>
                          <w:tab w:val="left" w:pos="3686"/>
                          <w:tab w:val="left" w:pos="6096"/>
                          <w:tab w:val="left" w:pos="7088"/>
                        </w:tabs>
                        <w:rPr>
                          <w:rFonts w:cstheme="minorHAnsi"/>
                          <w:color w:val="4F81BD" w:themeColor="accent1"/>
                          <w:sz w:val="20"/>
                          <w:lang w:val="fr-FR"/>
                          <w14:textOutline w14:w="9525" w14:cap="rnd" w14:cmpd="sng" w14:algn="ctr">
                            <w14:noFill/>
                            <w14:prstDash w14:val="solid"/>
                            <w14:bevel/>
                          </w14:textOutline>
                        </w:rPr>
                      </w:pPr>
                      <w:r w:rsidRPr="003325A5">
                        <w:rPr>
                          <w:rFonts w:cstheme="minorHAnsi"/>
                          <w:color w:val="4F81BD" w:themeColor="accent1"/>
                          <w:sz w:val="20"/>
                          <w:lang w:val="fr-FR"/>
                          <w14:textOutline w14:w="9525" w14:cap="rnd" w14:cmpd="sng" w14:algn="ctr">
                            <w14:noFill/>
                            <w14:prstDash w14:val="solid"/>
                            <w14:bevel/>
                          </w14:textOutline>
                        </w:rPr>
                        <w:t>Améliorée</w:t>
                      </w:r>
                    </w:p>
                    <w:p w14:paraId="6E652842" w14:textId="77777777" w:rsidR="00BC4D45" w:rsidRPr="003325A5" w:rsidRDefault="00BC4D45" w:rsidP="003325A5">
                      <w:pPr>
                        <w:pStyle w:val="ListParagraph"/>
                        <w:numPr>
                          <w:ilvl w:val="0"/>
                          <w:numId w:val="14"/>
                        </w:numPr>
                        <w:tabs>
                          <w:tab w:val="left" w:pos="851"/>
                          <w:tab w:val="left" w:pos="3686"/>
                          <w:tab w:val="left" w:pos="6096"/>
                          <w:tab w:val="left" w:pos="7088"/>
                        </w:tabs>
                        <w:rPr>
                          <w:rFonts w:cstheme="minorHAnsi"/>
                          <w:color w:val="4F81BD" w:themeColor="accent1"/>
                          <w:sz w:val="20"/>
                          <w:lang w:val="fr-FR"/>
                          <w14:textOutline w14:w="9525" w14:cap="rnd" w14:cmpd="sng" w14:algn="ctr">
                            <w14:noFill/>
                            <w14:prstDash w14:val="solid"/>
                            <w14:bevel/>
                          </w14:textOutline>
                        </w:rPr>
                      </w:pPr>
                      <w:r w:rsidRPr="003325A5">
                        <w:rPr>
                          <w:rFonts w:cstheme="minorHAnsi"/>
                          <w:color w:val="4F81BD" w:themeColor="accent1"/>
                          <w:sz w:val="20"/>
                          <w:lang w:val="fr-FR"/>
                          <w14:textOutline w14:w="9525" w14:cap="rnd" w14:cmpd="sng" w14:algn="ctr">
                            <w14:noFill/>
                            <w14:prstDash w14:val="solid"/>
                            <w14:bevel/>
                          </w14:textOutline>
                        </w:rPr>
                        <w:t>Inchangée</w:t>
                      </w:r>
                    </w:p>
                    <w:p w14:paraId="44B8452C" w14:textId="77777777" w:rsidR="00BC4D45" w:rsidRPr="003325A5" w:rsidRDefault="00BC4D45">
                      <w:pPr>
                        <w:rPr>
                          <w:rFonts w:cstheme="minorHAnsi"/>
                          <w:color w:val="4F81BD" w:themeColor="accent1"/>
                          <w:sz w:val="20"/>
                          <w:lang w:val="fr-FR"/>
                          <w14:textOutline w14:w="9525" w14:cap="rnd" w14:cmpd="sng" w14:algn="ctr">
                            <w14:noFill/>
                            <w14:prstDash w14:val="solid"/>
                            <w14:bevel/>
                          </w14:textOutline>
                        </w:rPr>
                      </w:pPr>
                    </w:p>
                  </w:txbxContent>
                </v:textbox>
              </v:shape>
            </w:pict>
          </mc:Fallback>
        </mc:AlternateContent>
      </w:r>
      <w:r w:rsidRPr="003325A5">
        <w:rPr>
          <w:rFonts w:cstheme="minorHAnsi"/>
          <w:color w:val="4F81BD" w:themeColor="accent1"/>
          <w:sz w:val="20"/>
          <w:lang w:val="fr-FR"/>
        </w:rPr>
        <w:t>Grand total</w:t>
      </w:r>
    </w:p>
    <w:p w14:paraId="47191E1B"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Paléarctique occidental – Atlantique</w:t>
      </w:r>
    </w:p>
    <w:p w14:paraId="29A4D7DD"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Région afro-tropicale – Est</w:t>
      </w:r>
    </w:p>
    <w:p w14:paraId="33F9FBE6"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Voie de migration Asie de l’Ouest–Afrique de l’Est</w:t>
      </w:r>
    </w:p>
    <w:p w14:paraId="18416C64"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Voie de migration mer Noire-Méditerranée</w:t>
      </w:r>
    </w:p>
    <w:p w14:paraId="20E7F6E5"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Voie de migration de l’Atlantique Est</w:t>
      </w:r>
    </w:p>
    <w:p w14:paraId="7DF77C5D"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Région afro-tropicale – australe</w:t>
      </w:r>
    </w:p>
    <w:p w14:paraId="1A6AFF70"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Région afro-tropicale – Ouest et centrale</w:t>
      </w:r>
    </w:p>
    <w:p w14:paraId="15D624B6"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Paléarctique occidental – mer Noire–Méditerranée</w:t>
      </w:r>
    </w:p>
    <w:p w14:paraId="534B165C"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Paléarctique occidental – Asie centrale et du Sud-Ouest</w:t>
      </w:r>
    </w:p>
    <w:p w14:paraId="02A5A2C3"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Région afro-tropicale – Est et australe</w:t>
      </w:r>
    </w:p>
    <w:p w14:paraId="2761D66D"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Région afro-tropicale – Subsaharienne</w:t>
      </w:r>
    </w:p>
    <w:p w14:paraId="6F6BE74B" w14:textId="77777777" w:rsidR="003325A5" w:rsidRPr="003325A5" w:rsidRDefault="003325A5" w:rsidP="003325A5">
      <w:pPr>
        <w:pStyle w:val="ListParagraph"/>
        <w:numPr>
          <w:ilvl w:val="0"/>
          <w:numId w:val="16"/>
        </w:numPr>
        <w:tabs>
          <w:tab w:val="left" w:pos="1560"/>
          <w:tab w:val="left" w:pos="3686"/>
          <w:tab w:val="left" w:pos="5245"/>
        </w:tabs>
        <w:ind w:left="284" w:hanging="284"/>
        <w:rPr>
          <w:rFonts w:cstheme="minorHAnsi"/>
          <w:color w:val="4F81BD" w:themeColor="accent1"/>
          <w:sz w:val="20"/>
          <w:lang w:val="fr-FR"/>
        </w:rPr>
      </w:pPr>
      <w:r w:rsidRPr="003325A5">
        <w:rPr>
          <w:rFonts w:cstheme="minorHAnsi"/>
          <w:color w:val="4F81BD" w:themeColor="accent1"/>
          <w:sz w:val="20"/>
          <w:lang w:val="fr-FR"/>
        </w:rPr>
        <w:t>Autres</w:t>
      </w:r>
    </w:p>
    <w:p w14:paraId="675FB612" w14:textId="77777777" w:rsidR="003325A5" w:rsidRPr="003325A5" w:rsidRDefault="003325A5" w:rsidP="003325A5">
      <w:pPr>
        <w:tabs>
          <w:tab w:val="left" w:pos="1560"/>
          <w:tab w:val="left" w:pos="3686"/>
          <w:tab w:val="left" w:pos="5245"/>
        </w:tabs>
        <w:rPr>
          <w:rFonts w:cstheme="minorHAnsi"/>
          <w:color w:val="4F81BD" w:themeColor="accent1"/>
          <w:sz w:val="20"/>
          <w:lang w:val="fr-FR"/>
        </w:rPr>
      </w:pPr>
    </w:p>
    <w:p w14:paraId="76989013" w14:textId="08013F56" w:rsidR="00741F7A" w:rsidRPr="001567E1" w:rsidRDefault="00E332C2" w:rsidP="006A7CC5">
      <w:pPr>
        <w:pStyle w:val="Caption"/>
        <w:rPr>
          <w:lang w:val="fr-FR"/>
        </w:rPr>
      </w:pPr>
      <w:r w:rsidRPr="001567E1">
        <w:rPr>
          <w:lang w:val="fr-FR"/>
        </w:rPr>
        <w:t>Figure 8. Proportion et nombre de populations obtenant de meilleures notes de qualité pour les estimations de taille des populations</w:t>
      </w:r>
    </w:p>
    <w:p w14:paraId="55DC2B34" w14:textId="77777777" w:rsidR="00CE7950" w:rsidRPr="001567E1" w:rsidRDefault="00CE7950">
      <w:pPr>
        <w:pStyle w:val="Normal1"/>
        <w:rPr>
          <w:lang w:val="fr-FR"/>
        </w:rPr>
      </w:pPr>
    </w:p>
    <w:p w14:paraId="7A723EEE" w14:textId="3CB0F0F8" w:rsidR="00741F7A" w:rsidRPr="001567E1" w:rsidRDefault="00E332C2" w:rsidP="004A729E">
      <w:pPr>
        <w:pStyle w:val="Normal1"/>
        <w:jc w:val="both"/>
        <w:rPr>
          <w:lang w:val="fr-FR"/>
        </w:rPr>
      </w:pPr>
      <w:r w:rsidRPr="001567E1">
        <w:rPr>
          <w:lang w:val="fr-FR"/>
        </w:rPr>
        <w:t>La qualité des estimati</w:t>
      </w:r>
      <w:r w:rsidR="008F67F3">
        <w:rPr>
          <w:lang w:val="fr-FR"/>
        </w:rPr>
        <w:t>ons de taille des populations s’est</w:t>
      </w:r>
      <w:r w:rsidRPr="001567E1">
        <w:rPr>
          <w:lang w:val="fr-FR"/>
        </w:rPr>
        <w:t xml:space="preserve"> </w:t>
      </w:r>
      <w:r w:rsidR="008F67F3">
        <w:rPr>
          <w:lang w:val="fr-FR"/>
        </w:rPr>
        <w:t>particulièrement améliorée</w:t>
      </w:r>
      <w:r w:rsidRPr="001567E1">
        <w:rPr>
          <w:lang w:val="fr-FR"/>
        </w:rPr>
        <w:t xml:space="preserve"> pour les canards, les oies et les cygnes </w:t>
      </w:r>
      <w:r w:rsidRPr="001567E1">
        <w:rPr>
          <w:i/>
          <w:lang w:val="fr-FR"/>
        </w:rPr>
        <w:t xml:space="preserve">Anatidae </w:t>
      </w:r>
      <w:r w:rsidRPr="001567E1">
        <w:rPr>
          <w:lang w:val="fr-FR"/>
        </w:rPr>
        <w:t xml:space="preserve">(19 populations), les laridés et les sternes </w:t>
      </w:r>
      <w:r w:rsidRPr="001567E1">
        <w:rPr>
          <w:i/>
          <w:lang w:val="fr-FR"/>
        </w:rPr>
        <w:t xml:space="preserve">Laridae </w:t>
      </w:r>
      <w:r w:rsidRPr="001567E1">
        <w:rPr>
          <w:lang w:val="fr-FR"/>
        </w:rPr>
        <w:t xml:space="preserve">(16 populations), les bécasseaux et espèces apparentées </w:t>
      </w:r>
      <w:r w:rsidRPr="001567E1">
        <w:rPr>
          <w:i/>
          <w:lang w:val="fr-FR"/>
        </w:rPr>
        <w:t>Scolopacidae</w:t>
      </w:r>
      <w:r w:rsidRPr="001567E1">
        <w:rPr>
          <w:lang w:val="fr-FR"/>
        </w:rPr>
        <w:t xml:space="preserve"> (14 populations)</w:t>
      </w:r>
      <w:r w:rsidRPr="001567E1">
        <w:rPr>
          <w:i/>
          <w:lang w:val="fr-FR"/>
        </w:rPr>
        <w:t>.</w:t>
      </w:r>
      <w:r w:rsidR="00CE7950" w:rsidRPr="001567E1">
        <w:rPr>
          <w:i/>
          <w:lang w:val="fr-FR"/>
        </w:rPr>
        <w:t xml:space="preserve"> </w:t>
      </w:r>
      <w:r w:rsidR="00CE7950" w:rsidRPr="001567E1">
        <w:rPr>
          <w:lang w:val="fr-FR"/>
        </w:rPr>
        <w:t xml:space="preserve"> </w:t>
      </w:r>
      <w:r w:rsidR="00832DD4" w:rsidRPr="001567E1">
        <w:rPr>
          <w:lang w:val="fr-FR"/>
        </w:rPr>
        <w:br w:type="page"/>
      </w:r>
    </w:p>
    <w:p w14:paraId="0BE536E3" w14:textId="12918DDF" w:rsidR="00741F7A" w:rsidRPr="001567E1" w:rsidRDefault="00E332C2" w:rsidP="006A7CC5">
      <w:pPr>
        <w:pStyle w:val="Heading3"/>
        <w:rPr>
          <w:lang w:val="fr-FR"/>
        </w:rPr>
      </w:pPr>
      <w:bookmarkStart w:id="44" w:name="h.1ci93xb" w:colFirst="0" w:colLast="0"/>
      <w:bookmarkStart w:id="45" w:name="_Toc517262011"/>
      <w:bookmarkEnd w:id="44"/>
      <w:r w:rsidRPr="001567E1">
        <w:rPr>
          <w:rFonts w:ascii="Times New Roman" w:eastAsia="Times New Roman" w:hAnsi="Times New Roman" w:cs="Times New Roman"/>
          <w:lang w:val="fr-FR"/>
        </w:rPr>
        <w:lastRenderedPageBreak/>
        <w:t>Plus de la moitié de toutes les populations se compose de moins de 100 000 individus</w:t>
      </w:r>
      <w:bookmarkEnd w:id="45"/>
    </w:p>
    <w:p w14:paraId="737750D8" w14:textId="77777777" w:rsidR="00741F7A" w:rsidRPr="001567E1" w:rsidRDefault="00741F7A">
      <w:pPr>
        <w:pStyle w:val="Normal1"/>
        <w:jc w:val="both"/>
        <w:rPr>
          <w:lang w:val="fr-FR"/>
        </w:rPr>
      </w:pPr>
    </w:p>
    <w:p w14:paraId="43655904" w14:textId="62C3586F" w:rsidR="00741F7A" w:rsidRPr="001567E1" w:rsidRDefault="00E332C2">
      <w:pPr>
        <w:pStyle w:val="Normal1"/>
        <w:jc w:val="both"/>
        <w:rPr>
          <w:szCs w:val="24"/>
          <w:lang w:val="fr-FR"/>
        </w:rPr>
      </w:pPr>
      <w:r w:rsidRPr="001567E1">
        <w:rPr>
          <w:szCs w:val="24"/>
          <w:lang w:val="fr-FR"/>
        </w:rPr>
        <w:t>Les mêmes catégories que dans les éditions précédentes du Rapport sur l’état de conservation sont utilisées pour résumer les tailles des populations de l’AEWA.</w:t>
      </w:r>
      <w:r w:rsidR="00832DD4" w:rsidRPr="001567E1">
        <w:rPr>
          <w:szCs w:val="24"/>
          <w:lang w:val="fr-FR"/>
        </w:rPr>
        <w:t xml:space="preserve"> </w:t>
      </w:r>
      <w:r w:rsidRPr="001567E1">
        <w:rPr>
          <w:szCs w:val="24"/>
          <w:lang w:val="fr-FR"/>
        </w:rPr>
        <w:t>Celles-ci correspondent aux critères classant les populations dans les catégories A1c, A2, A3, B1, B2 et C1, sauf pour celles dont la taille des populations dépasse les 100 000 individus, qui ont été partagées en deux :</w:t>
      </w:r>
      <w:r w:rsidR="00832DD4" w:rsidRPr="001567E1">
        <w:rPr>
          <w:szCs w:val="24"/>
          <w:lang w:val="fr-FR"/>
        </w:rPr>
        <w:t xml:space="preserve"> </w:t>
      </w:r>
      <w:r w:rsidRPr="001567E1">
        <w:rPr>
          <w:szCs w:val="24"/>
          <w:lang w:val="fr-FR"/>
        </w:rPr>
        <w:t>une pour la tranche de 100 001 à 1 000 000 et une autre à partir de 1 000 000 d’individus.</w:t>
      </w:r>
    </w:p>
    <w:p w14:paraId="2214D3AF" w14:textId="77777777" w:rsidR="00741F7A" w:rsidRPr="001567E1" w:rsidRDefault="00741F7A">
      <w:pPr>
        <w:pStyle w:val="Normal1"/>
        <w:jc w:val="both"/>
        <w:rPr>
          <w:szCs w:val="24"/>
          <w:lang w:val="fr-FR"/>
        </w:rPr>
      </w:pPr>
    </w:p>
    <w:p w14:paraId="1409A343" w14:textId="09A6A787" w:rsidR="00741F7A" w:rsidRPr="001567E1" w:rsidRDefault="00E332C2">
      <w:pPr>
        <w:pStyle w:val="Normal1"/>
        <w:jc w:val="both"/>
        <w:rPr>
          <w:szCs w:val="24"/>
          <w:lang w:val="fr-FR"/>
        </w:rPr>
      </w:pPr>
      <w:r w:rsidRPr="001567E1">
        <w:rPr>
          <w:szCs w:val="24"/>
          <w:lang w:val="fr-FR"/>
        </w:rPr>
        <w:t>Seules 57 populations (10 % des populations de l’AEWA) ont plus de 1 million d’individus.</w:t>
      </w:r>
      <w:r w:rsidR="00832DD4" w:rsidRPr="001567E1">
        <w:rPr>
          <w:szCs w:val="24"/>
          <w:lang w:val="fr-FR"/>
        </w:rPr>
        <w:t xml:space="preserve"> </w:t>
      </w:r>
      <w:r w:rsidRPr="001567E1">
        <w:rPr>
          <w:szCs w:val="24"/>
          <w:lang w:val="fr-FR"/>
        </w:rPr>
        <w:t xml:space="preserve">La taille de la plupart des populations (34 %) est comprise entre 100 001 et 1 000 000 individus, tandis que 160 (30 %) populations ont entre 25 001 et 100 000 individus. La taille de 49 populations est estimée entre 10 001 et 25 000 individus, c’est-à-dire qu’elle </w:t>
      </w:r>
      <w:r w:rsidR="006A7CC5" w:rsidRPr="001567E1">
        <w:rPr>
          <w:szCs w:val="24"/>
          <w:lang w:val="fr-FR"/>
        </w:rPr>
        <w:t>s</w:t>
      </w:r>
      <w:r w:rsidRPr="001567E1">
        <w:rPr>
          <w:szCs w:val="24"/>
          <w:lang w:val="fr-FR"/>
        </w:rPr>
        <w:t>e qualifi</w:t>
      </w:r>
      <w:r w:rsidR="006A7CC5" w:rsidRPr="001567E1">
        <w:rPr>
          <w:szCs w:val="24"/>
          <w:lang w:val="fr-FR"/>
        </w:rPr>
        <w:t>e</w:t>
      </w:r>
      <w:r w:rsidRPr="001567E1">
        <w:rPr>
          <w:szCs w:val="24"/>
          <w:lang w:val="fr-FR"/>
        </w:rPr>
        <w:t xml:space="preserve"> pour la catégorie 2 de la colonne A, et 91 populations (17 %) ont moins de 10 000 individus, c’est-à-dire qu’elle</w:t>
      </w:r>
      <w:r w:rsidR="006A7CC5" w:rsidRPr="001567E1">
        <w:rPr>
          <w:szCs w:val="24"/>
          <w:lang w:val="fr-FR"/>
        </w:rPr>
        <w:t>s</w:t>
      </w:r>
      <w:r w:rsidRPr="001567E1">
        <w:rPr>
          <w:szCs w:val="24"/>
          <w:lang w:val="fr-FR"/>
        </w:rPr>
        <w:t xml:space="preserve"> se qualifierai</w:t>
      </w:r>
      <w:r w:rsidR="006A7CC5" w:rsidRPr="001567E1">
        <w:rPr>
          <w:szCs w:val="24"/>
          <w:lang w:val="fr-FR"/>
        </w:rPr>
        <w:t>en</w:t>
      </w:r>
      <w:r w:rsidRPr="001567E1">
        <w:rPr>
          <w:szCs w:val="24"/>
          <w:lang w:val="fr-FR"/>
        </w:rPr>
        <w:t xml:space="preserve">t pour la catégorie 1c de la </w:t>
      </w:r>
      <w:r w:rsidR="00360B48">
        <w:rPr>
          <w:szCs w:val="24"/>
          <w:lang w:val="fr-FR"/>
        </w:rPr>
        <w:t xml:space="preserve">colonne A </w:t>
      </w:r>
      <w:r w:rsidR="00D41A6C">
        <w:rPr>
          <w:szCs w:val="24"/>
          <w:lang w:val="fr-FR"/>
        </w:rPr>
        <w:t>(figure</w:t>
      </w:r>
      <w:r w:rsidRPr="001567E1">
        <w:rPr>
          <w:szCs w:val="24"/>
          <w:lang w:val="fr-FR"/>
        </w:rPr>
        <w:t xml:space="preserve"> 9).</w:t>
      </w:r>
    </w:p>
    <w:p w14:paraId="50C90E24" w14:textId="77777777" w:rsidR="00741F7A" w:rsidRPr="001567E1" w:rsidRDefault="00741F7A">
      <w:pPr>
        <w:pStyle w:val="Normal1"/>
        <w:jc w:val="both"/>
        <w:rPr>
          <w:lang w:val="fr-FR"/>
        </w:rPr>
      </w:pPr>
    </w:p>
    <w:p w14:paraId="4C305BE3" w14:textId="77777777" w:rsidR="00741F7A" w:rsidRPr="001567E1" w:rsidRDefault="00741F7A">
      <w:pPr>
        <w:pStyle w:val="Normal1"/>
        <w:jc w:val="both"/>
        <w:rPr>
          <w:lang w:val="fr-FR"/>
        </w:rPr>
      </w:pPr>
    </w:p>
    <w:p w14:paraId="7641E103" w14:textId="77777777" w:rsidR="00741F7A" w:rsidRPr="001567E1" w:rsidRDefault="00ED3618" w:rsidP="004A729E">
      <w:pPr>
        <w:pStyle w:val="Normal1"/>
        <w:jc w:val="both"/>
        <w:rPr>
          <w:lang w:val="fr-FR"/>
        </w:rPr>
      </w:pPr>
      <w:r w:rsidRPr="001567E1">
        <w:rPr>
          <w:noProof/>
          <w:lang w:val="nl-NL" w:eastAsia="nl-NL"/>
        </w:rPr>
        <w:drawing>
          <wp:inline distT="0" distB="0" distL="0" distR="0" wp14:anchorId="159F37C1" wp14:editId="42BE2DB4">
            <wp:extent cx="5274945" cy="3596102"/>
            <wp:effectExtent l="0" t="0" r="8255" b="1079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945" cy="3596102"/>
                    </a:xfrm>
                    <a:prstGeom prst="rect">
                      <a:avLst/>
                    </a:prstGeom>
                    <a:noFill/>
                    <a:ln>
                      <a:noFill/>
                    </a:ln>
                  </pic:spPr>
                </pic:pic>
              </a:graphicData>
            </a:graphic>
          </wp:inline>
        </w:drawing>
      </w:r>
    </w:p>
    <w:p w14:paraId="6684C6B3" w14:textId="1EED0EF8" w:rsidR="007C0441" w:rsidRPr="001567E1" w:rsidRDefault="007C0441" w:rsidP="004A729E">
      <w:pPr>
        <w:pStyle w:val="Caption"/>
        <w:rPr>
          <w:lang w:val="fr-FR"/>
        </w:rPr>
      </w:pPr>
      <w:bookmarkStart w:id="46" w:name="h.3whwml4" w:colFirst="0" w:colLast="0"/>
      <w:bookmarkEnd w:id="46"/>
    </w:p>
    <w:p w14:paraId="58623037" w14:textId="6C2739C5" w:rsidR="00741F7A" w:rsidRPr="001567E1" w:rsidRDefault="00E332C2" w:rsidP="006A7CC5">
      <w:pPr>
        <w:pStyle w:val="Caption"/>
        <w:rPr>
          <w:lang w:val="fr-FR"/>
        </w:rPr>
      </w:pPr>
      <w:r w:rsidRPr="001567E1">
        <w:rPr>
          <w:lang w:val="fr-FR"/>
        </w:rPr>
        <w:t>Figure 9. Populations de l’AEWA par taille des populations</w:t>
      </w:r>
    </w:p>
    <w:p w14:paraId="49E09F32" w14:textId="77777777" w:rsidR="00922C6D" w:rsidRPr="001567E1" w:rsidRDefault="00922C6D">
      <w:pPr>
        <w:pStyle w:val="Normal1"/>
        <w:rPr>
          <w:b/>
          <w:sz w:val="20"/>
          <w:lang w:val="fr-FR"/>
        </w:rPr>
      </w:pPr>
    </w:p>
    <w:p w14:paraId="49482C9C" w14:textId="77777777" w:rsidR="007C110A" w:rsidRPr="001567E1" w:rsidRDefault="007C110A">
      <w:pPr>
        <w:rPr>
          <w:b/>
          <w:sz w:val="20"/>
          <w:lang w:val="fr-FR"/>
        </w:rPr>
      </w:pPr>
      <w:r w:rsidRPr="001567E1">
        <w:rPr>
          <w:b/>
          <w:sz w:val="20"/>
          <w:lang w:val="fr-FR"/>
        </w:rPr>
        <w:br w:type="page"/>
      </w:r>
    </w:p>
    <w:p w14:paraId="70E448A4" w14:textId="3069673F" w:rsidR="00922C6D" w:rsidRPr="001567E1" w:rsidRDefault="00E332C2" w:rsidP="006A7CC5">
      <w:pPr>
        <w:pStyle w:val="Heading3"/>
        <w:rPr>
          <w:lang w:val="fr-FR"/>
        </w:rPr>
      </w:pPr>
      <w:bookmarkStart w:id="47" w:name="_Toc517262012"/>
      <w:r w:rsidRPr="001567E1">
        <w:rPr>
          <w:rFonts w:ascii="Times New Roman" w:eastAsia="Times New Roman" w:hAnsi="Times New Roman" w:cs="Times New Roman"/>
          <w:lang w:val="fr-FR"/>
        </w:rPr>
        <w:lastRenderedPageBreak/>
        <w:t>L’AEWA protège près d</w:t>
      </w:r>
      <w:r w:rsidR="006A7CC5" w:rsidRPr="001567E1">
        <w:rPr>
          <w:rFonts w:ascii="Times New Roman" w:eastAsia="Times New Roman" w:hAnsi="Times New Roman" w:cs="Times New Roman"/>
          <w:lang w:val="fr-FR"/>
        </w:rPr>
        <w:t>’</w:t>
      </w:r>
      <w:r w:rsidRPr="001567E1">
        <w:rPr>
          <w:rFonts w:ascii="Times New Roman" w:eastAsia="Times New Roman" w:hAnsi="Times New Roman" w:cs="Times New Roman"/>
          <w:lang w:val="fr-FR"/>
        </w:rPr>
        <w:t>un demi-milliard d’oiseaux d’eau et d’oiseaux marins</w:t>
      </w:r>
      <w:bookmarkEnd w:id="47"/>
      <w:r w:rsidR="007C110A" w:rsidRPr="001567E1">
        <w:rPr>
          <w:rFonts w:ascii="Times New Roman" w:eastAsia="Times New Roman" w:hAnsi="Times New Roman" w:cs="Times New Roman"/>
          <w:lang w:val="fr-FR"/>
        </w:rPr>
        <w:t xml:space="preserve"> </w:t>
      </w:r>
    </w:p>
    <w:p w14:paraId="00C3B1F8" w14:textId="77777777" w:rsidR="00741F7A" w:rsidRPr="001567E1" w:rsidRDefault="00741F7A">
      <w:pPr>
        <w:pStyle w:val="Normal1"/>
        <w:rPr>
          <w:lang w:val="fr-FR"/>
        </w:rPr>
      </w:pPr>
    </w:p>
    <w:p w14:paraId="6E8F2A44" w14:textId="6AE2B695" w:rsidR="00285639" w:rsidRPr="001567E1" w:rsidRDefault="00E332C2" w:rsidP="004A729E">
      <w:pPr>
        <w:pStyle w:val="Normal1"/>
        <w:jc w:val="both"/>
        <w:rPr>
          <w:szCs w:val="24"/>
          <w:lang w:val="fr-FR"/>
        </w:rPr>
      </w:pPr>
      <w:r w:rsidRPr="001567E1">
        <w:rPr>
          <w:szCs w:val="24"/>
          <w:lang w:val="fr-FR"/>
        </w:rPr>
        <w:t xml:space="preserve">Au total, l’AEWA fournit un cadre pour la protection d’environ un demi-milliard (entre 338 et 464 millions) d’individus d’oiseaux d’eau et marins en Afrique et en Eurasie, sur la base de la somme des estimations </w:t>
      </w:r>
      <w:r w:rsidR="006A7CC5" w:rsidRPr="001567E1">
        <w:rPr>
          <w:szCs w:val="24"/>
          <w:lang w:val="fr-FR"/>
        </w:rPr>
        <w:t>minimum et maximum des populations</w:t>
      </w:r>
      <w:r w:rsidRPr="001567E1">
        <w:rPr>
          <w:szCs w:val="24"/>
          <w:lang w:val="fr-FR"/>
        </w:rPr>
        <w:t>.</w:t>
      </w:r>
      <w:r w:rsidR="00285639" w:rsidRPr="001567E1">
        <w:rPr>
          <w:szCs w:val="24"/>
          <w:lang w:val="fr-FR"/>
        </w:rPr>
        <w:t xml:space="preserve"> </w:t>
      </w:r>
    </w:p>
    <w:p w14:paraId="0555753C" w14:textId="77777777" w:rsidR="00285639" w:rsidRPr="001567E1" w:rsidRDefault="00285639">
      <w:pPr>
        <w:pStyle w:val="Normal1"/>
        <w:rPr>
          <w:szCs w:val="24"/>
          <w:lang w:val="fr-FR"/>
        </w:rPr>
      </w:pPr>
    </w:p>
    <w:p w14:paraId="3A7F277C" w14:textId="11723F44" w:rsidR="007C110A" w:rsidRPr="001567E1" w:rsidRDefault="00E332C2" w:rsidP="004A729E">
      <w:pPr>
        <w:pStyle w:val="Normal1"/>
        <w:jc w:val="both"/>
        <w:rPr>
          <w:szCs w:val="24"/>
          <w:lang w:val="fr-FR"/>
        </w:rPr>
      </w:pPr>
      <w:r w:rsidRPr="001567E1">
        <w:rPr>
          <w:szCs w:val="24"/>
          <w:lang w:val="fr-FR"/>
        </w:rPr>
        <w:t xml:space="preserve">Suite à leur ajout au tableau 1 en 2008, les alcidés </w:t>
      </w:r>
      <w:r w:rsidRPr="001567E1">
        <w:rPr>
          <w:i/>
          <w:szCs w:val="24"/>
          <w:lang w:val="fr-FR"/>
        </w:rPr>
        <w:t xml:space="preserve">Alcidae </w:t>
      </w:r>
      <w:r w:rsidRPr="001567E1">
        <w:rPr>
          <w:szCs w:val="24"/>
          <w:lang w:val="fr-FR"/>
        </w:rPr>
        <w:t>sont la famille qui compte de loin le plus grand nombre d’individus.</w:t>
      </w:r>
      <w:r w:rsidR="00285639" w:rsidRPr="001567E1">
        <w:rPr>
          <w:szCs w:val="24"/>
          <w:lang w:val="fr-FR"/>
        </w:rPr>
        <w:t xml:space="preserve"> </w:t>
      </w:r>
      <w:r w:rsidRPr="001567E1">
        <w:rPr>
          <w:szCs w:val="24"/>
          <w:lang w:val="fr-FR"/>
        </w:rPr>
        <w:t xml:space="preserve">Le total des tailles de populations </w:t>
      </w:r>
      <w:r w:rsidR="00BE33B5" w:rsidRPr="001567E1">
        <w:rPr>
          <w:szCs w:val="24"/>
          <w:lang w:val="fr-FR"/>
        </w:rPr>
        <w:t xml:space="preserve">est </w:t>
      </w:r>
      <w:r w:rsidR="001567E1" w:rsidRPr="001567E1">
        <w:rPr>
          <w:szCs w:val="24"/>
          <w:lang w:val="fr-FR"/>
        </w:rPr>
        <w:t>estimé</w:t>
      </w:r>
      <w:r w:rsidRPr="001567E1">
        <w:rPr>
          <w:szCs w:val="24"/>
          <w:lang w:val="fr-FR"/>
        </w:rPr>
        <w:t xml:space="preserve"> autour de 160 millions.</w:t>
      </w:r>
      <w:r w:rsidR="00285639" w:rsidRPr="001567E1">
        <w:rPr>
          <w:szCs w:val="24"/>
          <w:lang w:val="fr-FR"/>
        </w:rPr>
        <w:t xml:space="preserve"> </w:t>
      </w:r>
      <w:r w:rsidRPr="001567E1">
        <w:rPr>
          <w:szCs w:val="24"/>
          <w:lang w:val="fr-FR"/>
        </w:rPr>
        <w:t xml:space="preserve">Ils sont suivis par environ 70 millions de bécasseaux et espèces apparentés </w:t>
      </w:r>
      <w:r w:rsidRPr="001567E1">
        <w:rPr>
          <w:i/>
          <w:szCs w:val="24"/>
          <w:lang w:val="fr-FR"/>
        </w:rPr>
        <w:t>Scolopacidae</w:t>
      </w:r>
      <w:r w:rsidRPr="001567E1">
        <w:rPr>
          <w:szCs w:val="24"/>
          <w:lang w:val="fr-FR"/>
        </w:rPr>
        <w:t xml:space="preserve">, par près de 55 millions de laridés et de sternes </w:t>
      </w:r>
      <w:r w:rsidRPr="001567E1">
        <w:rPr>
          <w:i/>
          <w:szCs w:val="24"/>
          <w:lang w:val="fr-FR"/>
        </w:rPr>
        <w:t>Laridae</w:t>
      </w:r>
      <w:r w:rsidRPr="001567E1">
        <w:rPr>
          <w:szCs w:val="24"/>
          <w:lang w:val="fr-FR"/>
        </w:rPr>
        <w:t xml:space="preserve"> </w:t>
      </w:r>
      <w:r w:rsidR="00CA4FFA" w:rsidRPr="001567E1">
        <w:rPr>
          <w:szCs w:val="24"/>
          <w:lang w:val="fr-FR"/>
        </w:rPr>
        <w:t>et</w:t>
      </w:r>
      <w:r w:rsidRPr="001567E1">
        <w:rPr>
          <w:szCs w:val="24"/>
          <w:lang w:val="fr-FR"/>
        </w:rPr>
        <w:t xml:space="preserve"> </w:t>
      </w:r>
      <w:r w:rsidR="00CA4FFA" w:rsidRPr="001567E1">
        <w:rPr>
          <w:szCs w:val="24"/>
          <w:lang w:val="fr-FR"/>
        </w:rPr>
        <w:t xml:space="preserve">par </w:t>
      </w:r>
      <w:r w:rsidRPr="001567E1">
        <w:rPr>
          <w:szCs w:val="24"/>
          <w:lang w:val="fr-FR"/>
        </w:rPr>
        <w:t>38 million</w:t>
      </w:r>
      <w:r w:rsidR="00CA4FFA" w:rsidRPr="001567E1">
        <w:rPr>
          <w:szCs w:val="24"/>
          <w:lang w:val="fr-FR"/>
        </w:rPr>
        <w:t>s</w:t>
      </w:r>
      <w:r w:rsidRPr="001567E1">
        <w:rPr>
          <w:szCs w:val="24"/>
          <w:lang w:val="fr-FR"/>
        </w:rPr>
        <w:t xml:space="preserve"> </w:t>
      </w:r>
      <w:r w:rsidR="00CA4FFA" w:rsidRPr="001567E1">
        <w:rPr>
          <w:szCs w:val="24"/>
          <w:lang w:val="fr-FR"/>
        </w:rPr>
        <w:t>de canards,</w:t>
      </w:r>
      <w:r w:rsidRPr="001567E1">
        <w:rPr>
          <w:szCs w:val="24"/>
          <w:lang w:val="fr-FR"/>
        </w:rPr>
        <w:t xml:space="preserve"> </w:t>
      </w:r>
      <w:r w:rsidR="00CA4FFA" w:rsidRPr="001567E1">
        <w:rPr>
          <w:szCs w:val="24"/>
          <w:lang w:val="fr-FR"/>
        </w:rPr>
        <w:t>d’oies et de cygnes</w:t>
      </w:r>
      <w:r w:rsidRPr="001567E1">
        <w:rPr>
          <w:szCs w:val="24"/>
          <w:lang w:val="fr-FR"/>
        </w:rPr>
        <w:t xml:space="preserve"> </w:t>
      </w:r>
      <w:r w:rsidRPr="001567E1">
        <w:rPr>
          <w:i/>
          <w:szCs w:val="24"/>
          <w:lang w:val="fr-FR"/>
        </w:rPr>
        <w:t xml:space="preserve">Anatidae </w:t>
      </w:r>
      <w:r w:rsidR="00D41A6C">
        <w:rPr>
          <w:szCs w:val="24"/>
          <w:lang w:val="fr-FR"/>
        </w:rPr>
        <w:t>(figure</w:t>
      </w:r>
      <w:r w:rsidRPr="001567E1">
        <w:rPr>
          <w:szCs w:val="24"/>
          <w:lang w:val="fr-FR"/>
        </w:rPr>
        <w:t xml:space="preserve"> 10).</w:t>
      </w:r>
      <w:r w:rsidR="00285639" w:rsidRPr="001567E1">
        <w:rPr>
          <w:szCs w:val="24"/>
          <w:lang w:val="fr-FR"/>
        </w:rPr>
        <w:t xml:space="preserve">  </w:t>
      </w:r>
    </w:p>
    <w:p w14:paraId="3B1A8BBA" w14:textId="4483D700" w:rsidR="007C110A" w:rsidRPr="001567E1" w:rsidRDefault="007C110A">
      <w:pPr>
        <w:pStyle w:val="Normal1"/>
        <w:rPr>
          <w:lang w:val="fr-FR"/>
        </w:rPr>
      </w:pPr>
    </w:p>
    <w:p w14:paraId="046F2395" w14:textId="10DBE39C" w:rsidR="007C110A" w:rsidRPr="001567E1" w:rsidRDefault="00397ED1" w:rsidP="004A729E">
      <w:pPr>
        <w:pStyle w:val="Normal1"/>
        <w:keepNext/>
        <w:rPr>
          <w:lang w:val="fr-FR"/>
        </w:rPr>
      </w:pPr>
      <w:r w:rsidRPr="001567E1">
        <w:rPr>
          <w:noProof/>
          <w:lang w:val="nl-NL" w:eastAsia="nl-NL"/>
        </w:rPr>
        <w:drawing>
          <wp:anchor distT="0" distB="0" distL="114300" distR="114300" simplePos="0" relativeHeight="251652608" behindDoc="1" locked="0" layoutInCell="1" allowOverlap="1" wp14:anchorId="355CA5D2" wp14:editId="1AEC0B6B">
            <wp:simplePos x="0" y="0"/>
            <wp:positionH relativeFrom="column">
              <wp:posOffset>600710</wp:posOffset>
            </wp:positionH>
            <wp:positionV relativeFrom="paragraph">
              <wp:posOffset>6985</wp:posOffset>
            </wp:positionV>
            <wp:extent cx="5274945" cy="3581725"/>
            <wp:effectExtent l="0" t="0" r="1905" b="0"/>
            <wp:wrapTight wrapText="bothSides">
              <wp:wrapPolygon edited="0">
                <wp:start x="0" y="0"/>
                <wp:lineTo x="0" y="21485"/>
                <wp:lineTo x="21530" y="21485"/>
                <wp:lineTo x="21530" y="0"/>
                <wp:lineTo x="0" y="0"/>
              </wp:wrapPolygon>
            </wp:wrapTight>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945" cy="3581725"/>
                    </a:xfrm>
                    <a:prstGeom prst="rect">
                      <a:avLst/>
                    </a:prstGeom>
                    <a:noFill/>
                    <a:ln>
                      <a:noFill/>
                    </a:ln>
                  </pic:spPr>
                </pic:pic>
              </a:graphicData>
            </a:graphic>
          </wp:anchor>
        </w:drawing>
      </w:r>
    </w:p>
    <w:p w14:paraId="03FEEB55" w14:textId="439D60B6" w:rsidR="007C0441" w:rsidRDefault="007C0441" w:rsidP="00061B40">
      <w:pPr>
        <w:pStyle w:val="Caption"/>
        <w:spacing w:after="0"/>
        <w:rPr>
          <w:lang w:val="fr-FR"/>
        </w:rPr>
      </w:pPr>
    </w:p>
    <w:p w14:paraId="4A6F1429" w14:textId="77777777" w:rsidR="00397ED1" w:rsidRDefault="00397ED1" w:rsidP="00061B40">
      <w:pPr>
        <w:rPr>
          <w:color w:val="4F81BD" w:themeColor="accent1"/>
          <w:sz w:val="18"/>
          <w:szCs w:val="18"/>
          <w:lang w:val="fr-FR"/>
        </w:rPr>
      </w:pPr>
    </w:p>
    <w:p w14:paraId="3795DAB2" w14:textId="77777777" w:rsidR="00397ED1" w:rsidRDefault="00397ED1" w:rsidP="00061B40">
      <w:pPr>
        <w:rPr>
          <w:color w:val="4F81BD" w:themeColor="accent1"/>
          <w:sz w:val="18"/>
          <w:szCs w:val="18"/>
          <w:lang w:val="fr-FR"/>
        </w:rPr>
      </w:pPr>
    </w:p>
    <w:p w14:paraId="2F440DE2" w14:textId="77777777" w:rsidR="00397ED1" w:rsidRDefault="00397ED1" w:rsidP="00061B40">
      <w:pPr>
        <w:rPr>
          <w:color w:val="4F81BD" w:themeColor="accent1"/>
          <w:sz w:val="18"/>
          <w:szCs w:val="18"/>
          <w:lang w:val="fr-FR"/>
        </w:rPr>
      </w:pPr>
    </w:p>
    <w:p w14:paraId="367C27D7" w14:textId="77777777" w:rsidR="00397ED1" w:rsidRDefault="00397ED1" w:rsidP="00061B40">
      <w:pPr>
        <w:rPr>
          <w:color w:val="4F81BD" w:themeColor="accent1"/>
          <w:sz w:val="18"/>
          <w:szCs w:val="18"/>
          <w:lang w:val="fr-FR"/>
        </w:rPr>
      </w:pPr>
    </w:p>
    <w:p w14:paraId="72DEDE99" w14:textId="77777777" w:rsidR="00397ED1" w:rsidRDefault="00397ED1" w:rsidP="00061B40">
      <w:pPr>
        <w:rPr>
          <w:color w:val="4F81BD" w:themeColor="accent1"/>
          <w:sz w:val="18"/>
          <w:szCs w:val="18"/>
          <w:lang w:val="fr-FR"/>
        </w:rPr>
      </w:pPr>
    </w:p>
    <w:p w14:paraId="02BFADD8" w14:textId="77777777" w:rsidR="00397ED1" w:rsidRDefault="00397ED1" w:rsidP="00061B40">
      <w:pPr>
        <w:rPr>
          <w:color w:val="4F81BD" w:themeColor="accent1"/>
          <w:sz w:val="18"/>
          <w:szCs w:val="18"/>
          <w:lang w:val="fr-FR"/>
        </w:rPr>
      </w:pPr>
    </w:p>
    <w:p w14:paraId="4678B84B" w14:textId="77777777" w:rsidR="00397ED1" w:rsidRDefault="00397ED1" w:rsidP="00061B40">
      <w:pPr>
        <w:rPr>
          <w:color w:val="4F81BD" w:themeColor="accent1"/>
          <w:sz w:val="18"/>
          <w:szCs w:val="18"/>
          <w:lang w:val="fr-FR"/>
        </w:rPr>
      </w:pPr>
    </w:p>
    <w:p w14:paraId="7BC16D2D" w14:textId="77777777" w:rsidR="00397ED1" w:rsidRDefault="00397ED1" w:rsidP="00061B40">
      <w:pPr>
        <w:rPr>
          <w:color w:val="4F81BD" w:themeColor="accent1"/>
          <w:sz w:val="18"/>
          <w:szCs w:val="18"/>
          <w:lang w:val="fr-FR"/>
        </w:rPr>
      </w:pPr>
    </w:p>
    <w:p w14:paraId="3A3BE125" w14:textId="77777777" w:rsidR="00397ED1" w:rsidRDefault="00397ED1" w:rsidP="00061B40">
      <w:pPr>
        <w:rPr>
          <w:color w:val="4F81BD" w:themeColor="accent1"/>
          <w:sz w:val="18"/>
          <w:szCs w:val="18"/>
          <w:lang w:val="fr-FR"/>
        </w:rPr>
      </w:pPr>
    </w:p>
    <w:p w14:paraId="0793F984" w14:textId="37971636" w:rsidR="00061B40" w:rsidRDefault="00061B40" w:rsidP="00061B40">
      <w:pPr>
        <w:rPr>
          <w:color w:val="4F81BD" w:themeColor="accent1"/>
          <w:sz w:val="18"/>
          <w:szCs w:val="18"/>
          <w:lang w:val="fr-FR"/>
        </w:rPr>
      </w:pPr>
      <w:r w:rsidRPr="00061B40">
        <w:rPr>
          <w:color w:val="4F81BD" w:themeColor="accent1"/>
          <w:sz w:val="18"/>
          <w:szCs w:val="18"/>
          <w:lang w:val="fr-FR"/>
        </w:rPr>
        <w:t>Individus</w:t>
      </w:r>
    </w:p>
    <w:p w14:paraId="414341F2" w14:textId="77777777" w:rsidR="00061B40" w:rsidRPr="00061B40" w:rsidRDefault="00061B40" w:rsidP="00061B40">
      <w:pPr>
        <w:rPr>
          <w:color w:val="4F81BD" w:themeColor="accent1"/>
          <w:sz w:val="18"/>
          <w:szCs w:val="18"/>
          <w:lang w:val="fr-FR"/>
        </w:rPr>
      </w:pPr>
    </w:p>
    <w:p w14:paraId="54C75C5D" w14:textId="77777777" w:rsidR="00397ED1" w:rsidRDefault="00397ED1" w:rsidP="00BE33B5">
      <w:pPr>
        <w:pStyle w:val="Caption"/>
        <w:rPr>
          <w:lang w:val="fr-FR"/>
        </w:rPr>
      </w:pPr>
    </w:p>
    <w:p w14:paraId="04CBE819" w14:textId="77777777" w:rsidR="00397ED1" w:rsidRDefault="00397ED1" w:rsidP="00BE33B5">
      <w:pPr>
        <w:pStyle w:val="Caption"/>
        <w:rPr>
          <w:lang w:val="fr-FR"/>
        </w:rPr>
      </w:pPr>
    </w:p>
    <w:p w14:paraId="4606FAC6" w14:textId="77777777" w:rsidR="00397ED1" w:rsidRDefault="00397ED1" w:rsidP="00BE33B5">
      <w:pPr>
        <w:pStyle w:val="Caption"/>
        <w:rPr>
          <w:lang w:val="fr-FR"/>
        </w:rPr>
      </w:pPr>
    </w:p>
    <w:p w14:paraId="0DFC756F" w14:textId="77777777" w:rsidR="00397ED1" w:rsidRDefault="00397ED1" w:rsidP="00BE33B5">
      <w:pPr>
        <w:pStyle w:val="Caption"/>
        <w:rPr>
          <w:lang w:val="fr-FR"/>
        </w:rPr>
      </w:pPr>
    </w:p>
    <w:p w14:paraId="122027EC" w14:textId="77777777" w:rsidR="00397ED1" w:rsidRDefault="00397ED1" w:rsidP="00BE33B5">
      <w:pPr>
        <w:pStyle w:val="Caption"/>
        <w:rPr>
          <w:lang w:val="fr-FR"/>
        </w:rPr>
      </w:pPr>
    </w:p>
    <w:p w14:paraId="30B787AB" w14:textId="77777777" w:rsidR="00397ED1" w:rsidRDefault="00397ED1" w:rsidP="00BE33B5">
      <w:pPr>
        <w:pStyle w:val="Caption"/>
        <w:rPr>
          <w:lang w:val="fr-FR"/>
        </w:rPr>
      </w:pPr>
    </w:p>
    <w:p w14:paraId="3A54DC12" w14:textId="77777777" w:rsidR="00397ED1" w:rsidRDefault="00397ED1" w:rsidP="00BE33B5">
      <w:pPr>
        <w:pStyle w:val="Caption"/>
        <w:rPr>
          <w:lang w:val="fr-FR"/>
        </w:rPr>
      </w:pPr>
    </w:p>
    <w:p w14:paraId="5EB270F8" w14:textId="77777777" w:rsidR="00397ED1" w:rsidRDefault="00397ED1" w:rsidP="00BE33B5">
      <w:pPr>
        <w:pStyle w:val="Caption"/>
        <w:rPr>
          <w:lang w:val="fr-FR"/>
        </w:rPr>
      </w:pPr>
    </w:p>
    <w:p w14:paraId="36B4C9C5" w14:textId="4F98072B" w:rsidR="007C110A" w:rsidRPr="001567E1" w:rsidRDefault="00CA4FFA" w:rsidP="00BE33B5">
      <w:pPr>
        <w:pStyle w:val="Caption"/>
        <w:rPr>
          <w:lang w:val="fr-FR"/>
        </w:rPr>
      </w:pPr>
      <w:r w:rsidRPr="001567E1">
        <w:rPr>
          <w:lang w:val="fr-FR"/>
        </w:rPr>
        <w:t>Figure 10. Taille cumulée des populations figurant au tableau 1 de l’AEWA par familles</w:t>
      </w:r>
    </w:p>
    <w:p w14:paraId="50AD5EB6" w14:textId="368EB2B1" w:rsidR="006C3885" w:rsidRPr="001567E1" w:rsidRDefault="00CA4FFA" w:rsidP="004A729E">
      <w:pPr>
        <w:pStyle w:val="Normal1"/>
        <w:jc w:val="both"/>
        <w:rPr>
          <w:szCs w:val="24"/>
          <w:lang w:val="fr-FR"/>
        </w:rPr>
      </w:pPr>
      <w:r w:rsidRPr="001567E1">
        <w:rPr>
          <w:szCs w:val="24"/>
          <w:lang w:val="fr-FR"/>
        </w:rPr>
        <w:t>Reflétant la répartition géographique des familles, et notamment des alcidés, 50</w:t>
      </w:r>
      <w:r w:rsidRPr="001567E1">
        <w:rPr>
          <w:lang w:val="fr-FR"/>
        </w:rPr>
        <w:t> </w:t>
      </w:r>
      <w:r w:rsidRPr="001567E1">
        <w:rPr>
          <w:szCs w:val="24"/>
          <w:lang w:val="fr-FR"/>
        </w:rPr>
        <w:t>% des individus de tous les oiseaux d’eau et oiseaux marins des populations figurant au tableau 1 se trouvent dans la région atlantique du Paléarctique occidental.</w:t>
      </w:r>
      <w:r w:rsidR="00677A68" w:rsidRPr="001567E1">
        <w:rPr>
          <w:szCs w:val="24"/>
          <w:lang w:val="fr-FR"/>
        </w:rPr>
        <w:t xml:space="preserve"> </w:t>
      </w:r>
      <w:r w:rsidRPr="001567E1">
        <w:rPr>
          <w:szCs w:val="24"/>
          <w:lang w:val="fr-FR"/>
        </w:rPr>
        <w:t>Même sans les alcidés, cette région accueille le plus grand nombre d’individus, soit quelque 42 millions d’oiseaux.</w:t>
      </w:r>
      <w:r w:rsidR="00957EA9" w:rsidRPr="001567E1">
        <w:rPr>
          <w:szCs w:val="24"/>
          <w:lang w:val="fr-FR"/>
        </w:rPr>
        <w:t xml:space="preserve"> </w:t>
      </w:r>
      <w:r w:rsidRPr="001567E1">
        <w:rPr>
          <w:szCs w:val="24"/>
          <w:lang w:val="fr-FR"/>
        </w:rPr>
        <w:t>Ceci est largement équivalent au nombre total d’individus de tous les oiseaux migrateurs intra-africains.</w:t>
      </w:r>
      <w:r w:rsidR="00677A68" w:rsidRPr="001567E1">
        <w:rPr>
          <w:szCs w:val="24"/>
          <w:lang w:val="fr-FR"/>
        </w:rPr>
        <w:t xml:space="preserve"> </w:t>
      </w:r>
      <w:r w:rsidRPr="001567E1">
        <w:rPr>
          <w:szCs w:val="24"/>
          <w:lang w:val="fr-FR"/>
        </w:rPr>
        <w:t>La migration annuelle spectaculaire de quelque 77 millions d’oiseaux d’eau migrant sur de longues distances relie l’Afrique sub-saharienne au Paléarctique occidental.</w:t>
      </w:r>
      <w:r w:rsidR="00677A68" w:rsidRPr="001567E1">
        <w:rPr>
          <w:szCs w:val="24"/>
          <w:lang w:val="fr-FR"/>
        </w:rPr>
        <w:t xml:space="preserve"> </w:t>
      </w:r>
    </w:p>
    <w:p w14:paraId="26174549" w14:textId="77777777" w:rsidR="00741F7A" w:rsidRPr="001567E1" w:rsidRDefault="00832DD4">
      <w:pPr>
        <w:pStyle w:val="Normal1"/>
        <w:rPr>
          <w:sz w:val="22"/>
          <w:lang w:val="fr-FR"/>
        </w:rPr>
      </w:pPr>
      <w:r w:rsidRPr="001567E1">
        <w:rPr>
          <w:sz w:val="22"/>
          <w:lang w:val="fr-FR"/>
        </w:rPr>
        <w:br w:type="page"/>
      </w:r>
    </w:p>
    <w:p w14:paraId="65C9BAD6" w14:textId="5A142A56" w:rsidR="00741F7A" w:rsidRPr="001567E1" w:rsidRDefault="00CA4FFA" w:rsidP="00BE33B5">
      <w:pPr>
        <w:pStyle w:val="Heading1"/>
        <w:ind w:left="1080" w:hanging="1080"/>
        <w:rPr>
          <w:lang w:val="fr-FR"/>
        </w:rPr>
      </w:pPr>
      <w:bookmarkStart w:id="48" w:name="h.2bn6wsx" w:colFirst="0" w:colLast="0"/>
      <w:bookmarkStart w:id="49" w:name="_Toc517262013"/>
      <w:bookmarkEnd w:id="48"/>
      <w:r w:rsidRPr="001567E1">
        <w:rPr>
          <w:sz w:val="28"/>
          <w:lang w:val="fr-FR"/>
        </w:rPr>
        <w:lastRenderedPageBreak/>
        <w:t>Partie 3. Tendances des populations</w:t>
      </w:r>
      <w:bookmarkEnd w:id="49"/>
    </w:p>
    <w:p w14:paraId="0711A23A" w14:textId="04A9FD58" w:rsidR="00741F7A" w:rsidRPr="001567E1" w:rsidRDefault="00CA4FFA" w:rsidP="004A729E">
      <w:pPr>
        <w:pStyle w:val="Normal1"/>
        <w:jc w:val="both"/>
        <w:rPr>
          <w:lang w:val="fr-FR"/>
        </w:rPr>
      </w:pPr>
      <w:r w:rsidRPr="001567E1">
        <w:rPr>
          <w:lang w:val="fr-FR"/>
        </w:rPr>
        <w:t xml:space="preserve">Les tendances ont été évaluées pour deux périodes </w:t>
      </w:r>
      <w:r w:rsidR="0004293D">
        <w:rPr>
          <w:lang w:val="fr-FR"/>
        </w:rPr>
        <w:t xml:space="preserve">de </w:t>
      </w:r>
      <w:r w:rsidRPr="001567E1">
        <w:rPr>
          <w:lang w:val="fr-FR"/>
        </w:rPr>
        <w:t>temps :</w:t>
      </w:r>
      <w:r w:rsidR="00832DD4" w:rsidRPr="001567E1">
        <w:rPr>
          <w:lang w:val="fr-FR"/>
        </w:rPr>
        <w:t xml:space="preserve"> </w:t>
      </w:r>
      <w:r w:rsidRPr="001567E1">
        <w:rPr>
          <w:lang w:val="fr-FR"/>
        </w:rPr>
        <w:t>la période de 10 ans de tendances la plus récente disponible pour analyser l’état actuel des populations et les changements à long terme pour appliquer le critère de déclin significatif à long terme.</w:t>
      </w:r>
      <w:r w:rsidR="00832DD4" w:rsidRPr="001567E1">
        <w:rPr>
          <w:lang w:val="fr-FR"/>
        </w:rPr>
        <w:t xml:space="preserve"> </w:t>
      </w:r>
      <w:r w:rsidRPr="001567E1">
        <w:rPr>
          <w:lang w:val="fr-FR"/>
        </w:rPr>
        <w:t>Pour les tendances récentes</w:t>
      </w:r>
      <w:r w:rsidR="002E57AF" w:rsidRPr="001567E1">
        <w:rPr>
          <w:lang w:val="fr-FR"/>
        </w:rPr>
        <w:t xml:space="preserve">, les informations n’ont été prises en compte que si la fin de la période de la tendance se trouvait entre 2006 et </w:t>
      </w:r>
      <w:r w:rsidRPr="001567E1">
        <w:rPr>
          <w:lang w:val="fr-FR"/>
        </w:rPr>
        <w:t>2017.</w:t>
      </w:r>
      <w:r w:rsidR="00832DD4" w:rsidRPr="001567E1">
        <w:rPr>
          <w:lang w:val="fr-FR"/>
        </w:rPr>
        <w:t xml:space="preserve"> </w:t>
      </w:r>
      <w:r w:rsidR="002E57AF" w:rsidRPr="001567E1">
        <w:rPr>
          <w:lang w:val="fr-FR"/>
        </w:rPr>
        <w:t xml:space="preserve">En l’absence de données sur les tendances s’achevant à cette période, la tendance la plus récente a été considérée inconnue </w:t>
      </w:r>
      <w:r w:rsidR="002E57AF" w:rsidRPr="0004293D">
        <w:rPr>
          <w:lang w:val="fr-FR"/>
        </w:rPr>
        <w:t>avec le code de qualité « aucune idée ».</w:t>
      </w:r>
      <w:r w:rsidR="00832DD4" w:rsidRPr="001567E1">
        <w:rPr>
          <w:lang w:val="fr-FR"/>
        </w:rPr>
        <w:t xml:space="preserve">  </w:t>
      </w:r>
    </w:p>
    <w:p w14:paraId="4A892F8F" w14:textId="5BA9C917" w:rsidR="00741F7A" w:rsidRPr="001567E1" w:rsidRDefault="002E57AF" w:rsidP="00BE33B5">
      <w:pPr>
        <w:pStyle w:val="Heading3"/>
        <w:rPr>
          <w:lang w:val="fr-FR"/>
        </w:rPr>
      </w:pPr>
      <w:bookmarkStart w:id="50" w:name="h.qsh70q" w:colFirst="0" w:colLast="0"/>
      <w:bookmarkStart w:id="51" w:name="_Toc517262014"/>
      <w:bookmarkEnd w:id="50"/>
      <w:r w:rsidRPr="001567E1">
        <w:rPr>
          <w:rFonts w:ascii="Times New Roman" w:eastAsia="Times New Roman" w:hAnsi="Times New Roman" w:cs="Times New Roman"/>
          <w:lang w:val="fr-FR"/>
        </w:rPr>
        <w:t>Nous en savons peu sur les tendances de plus de la moitié des populations de l’AEWA</w:t>
      </w:r>
      <w:bookmarkEnd w:id="51"/>
      <w:r w:rsidR="007E5A36" w:rsidRPr="001567E1">
        <w:rPr>
          <w:rFonts w:ascii="Times New Roman" w:eastAsia="Times New Roman" w:hAnsi="Times New Roman" w:cs="Times New Roman"/>
          <w:lang w:val="fr-FR"/>
        </w:rPr>
        <w:t xml:space="preserve"> </w:t>
      </w:r>
    </w:p>
    <w:p w14:paraId="0BF26C66" w14:textId="77777777" w:rsidR="00741F7A" w:rsidRPr="001567E1" w:rsidRDefault="00741F7A">
      <w:pPr>
        <w:pStyle w:val="Normal1"/>
        <w:jc w:val="both"/>
        <w:rPr>
          <w:lang w:val="fr-FR"/>
        </w:rPr>
      </w:pPr>
    </w:p>
    <w:p w14:paraId="6E354AA9" w14:textId="51A70C1E" w:rsidR="00741F7A" w:rsidRPr="001567E1" w:rsidRDefault="002E57AF">
      <w:pPr>
        <w:pStyle w:val="Normal1"/>
        <w:jc w:val="both"/>
        <w:rPr>
          <w:szCs w:val="24"/>
          <w:lang w:val="fr-FR"/>
        </w:rPr>
      </w:pPr>
      <w:r w:rsidRPr="001567E1">
        <w:rPr>
          <w:szCs w:val="24"/>
          <w:lang w:val="fr-FR"/>
        </w:rPr>
        <w:t>La qualité des estimations de tendances à court terme a été évaluée suivant la méthodologie développée par le groupe d</w:t>
      </w:r>
      <w:r w:rsidR="00BE33B5" w:rsidRPr="001567E1">
        <w:rPr>
          <w:szCs w:val="24"/>
          <w:lang w:val="fr-FR"/>
        </w:rPr>
        <w:t>’</w:t>
      </w:r>
      <w:r w:rsidRPr="001567E1">
        <w:rPr>
          <w:szCs w:val="24"/>
          <w:lang w:val="fr-FR"/>
        </w:rPr>
        <w:t>étude international sur les échassiers</w:t>
      </w:r>
      <w:r w:rsidRPr="001567E1">
        <w:rPr>
          <w:szCs w:val="24"/>
          <w:vertAlign w:val="superscript"/>
          <w:lang w:val="fr-FR"/>
        </w:rPr>
        <w:footnoteReference w:id="11"/>
      </w:r>
      <w:r w:rsidRPr="001567E1">
        <w:rPr>
          <w:szCs w:val="24"/>
          <w:lang w:val="fr-FR"/>
        </w:rPr>
        <w:t>.</w:t>
      </w:r>
      <w:r w:rsidR="00832DD4" w:rsidRPr="001567E1">
        <w:rPr>
          <w:szCs w:val="24"/>
          <w:lang w:val="fr-FR"/>
        </w:rPr>
        <w:t xml:space="preserve"> </w:t>
      </w:r>
      <w:r w:rsidRPr="001567E1">
        <w:rPr>
          <w:szCs w:val="24"/>
          <w:lang w:val="fr-FR"/>
        </w:rPr>
        <w:t>Les catégories sont définies comme suit :</w:t>
      </w:r>
    </w:p>
    <w:p w14:paraId="0D7E2BC9" w14:textId="77777777" w:rsidR="006A349E" w:rsidRPr="001567E1" w:rsidRDefault="006A349E">
      <w:pPr>
        <w:pStyle w:val="Normal1"/>
        <w:jc w:val="both"/>
        <w:rPr>
          <w:lang w:val="fr-FR"/>
        </w:rPr>
      </w:pPr>
    </w:p>
    <w:tbl>
      <w:tblPr>
        <w:tblStyle w:val="a1"/>
        <w:tblW w:w="5000" w:type="pct"/>
        <w:tblLook w:val="0000" w:firstRow="0" w:lastRow="0" w:firstColumn="0" w:lastColumn="0" w:noHBand="0" w:noVBand="0"/>
      </w:tblPr>
      <w:tblGrid>
        <w:gridCol w:w="1482"/>
        <w:gridCol w:w="8157"/>
      </w:tblGrid>
      <w:tr w:rsidR="00741F7A" w:rsidRPr="00BC4D45" w14:paraId="5C91C506" w14:textId="77777777" w:rsidTr="00061B40">
        <w:tc>
          <w:tcPr>
            <w:tcW w:w="769" w:type="pct"/>
            <w:shd w:val="clear" w:color="auto" w:fill="FFFFFF"/>
          </w:tcPr>
          <w:p w14:paraId="3C627132" w14:textId="671D4D3F" w:rsidR="00741F7A" w:rsidRPr="001567E1" w:rsidRDefault="002E57AF" w:rsidP="00C767E0">
            <w:pPr>
              <w:pStyle w:val="Normal1"/>
              <w:keepNext/>
              <w:keepLines/>
              <w:outlineLvl w:val="3"/>
              <w:rPr>
                <w:sz w:val="20"/>
                <w:lang w:val="fr-FR"/>
              </w:rPr>
            </w:pPr>
            <w:r w:rsidRPr="001567E1">
              <w:rPr>
                <w:i/>
                <w:sz w:val="20"/>
                <w:lang w:val="fr-FR"/>
              </w:rPr>
              <w:t>Aucune idée :</w:t>
            </w:r>
          </w:p>
        </w:tc>
        <w:tc>
          <w:tcPr>
            <w:tcW w:w="4231" w:type="pct"/>
            <w:shd w:val="clear" w:color="auto" w:fill="FFFFFF"/>
          </w:tcPr>
          <w:p w14:paraId="279D6754" w14:textId="6419A8D4" w:rsidR="00741F7A" w:rsidRPr="001567E1" w:rsidRDefault="002E57AF" w:rsidP="00C767E0">
            <w:pPr>
              <w:pStyle w:val="Normal1"/>
              <w:keepNext/>
              <w:keepLines/>
              <w:outlineLvl w:val="3"/>
              <w:rPr>
                <w:sz w:val="20"/>
                <w:lang w:val="fr-FR"/>
              </w:rPr>
            </w:pPr>
            <w:r w:rsidRPr="001567E1">
              <w:rPr>
                <w:sz w:val="20"/>
                <w:lang w:val="fr-FR"/>
              </w:rPr>
              <w:t>Aucune surveillance à l’échelle internationale pendant les périodes de reproduction et d’hivernage.</w:t>
            </w:r>
            <w:r w:rsidR="00832DD4" w:rsidRPr="001567E1">
              <w:rPr>
                <w:sz w:val="20"/>
                <w:lang w:val="fr-FR"/>
              </w:rPr>
              <w:t xml:space="preserve"> </w:t>
            </w:r>
            <w:r w:rsidRPr="001567E1">
              <w:rPr>
                <w:sz w:val="20"/>
                <w:lang w:val="fr-FR"/>
              </w:rPr>
              <w:t>Tendances inconnues.</w:t>
            </w:r>
            <w:r w:rsidR="00832DD4" w:rsidRPr="001567E1">
              <w:rPr>
                <w:sz w:val="20"/>
                <w:lang w:val="fr-FR"/>
              </w:rPr>
              <w:t xml:space="preserve"> </w:t>
            </w:r>
            <w:r w:rsidRPr="001567E1">
              <w:rPr>
                <w:sz w:val="20"/>
                <w:lang w:val="fr-FR"/>
              </w:rPr>
              <w:t>Cette catégorie inclut également les populations dont les tendances sont incertaines.</w:t>
            </w:r>
            <w:r w:rsidR="00832DD4" w:rsidRPr="001567E1">
              <w:rPr>
                <w:sz w:val="20"/>
                <w:lang w:val="fr-FR"/>
              </w:rPr>
              <w:t xml:space="preserve"> </w:t>
            </w:r>
          </w:p>
        </w:tc>
      </w:tr>
      <w:tr w:rsidR="00741F7A" w:rsidRPr="001567E1" w14:paraId="51913FF4" w14:textId="77777777" w:rsidTr="00061B40">
        <w:tc>
          <w:tcPr>
            <w:tcW w:w="769" w:type="pct"/>
            <w:shd w:val="clear" w:color="auto" w:fill="FFFFFF"/>
          </w:tcPr>
          <w:p w14:paraId="5F406A45" w14:textId="006D72E6" w:rsidR="00741F7A" w:rsidRPr="001567E1" w:rsidRDefault="002E57AF" w:rsidP="00C767E0">
            <w:pPr>
              <w:pStyle w:val="Normal1"/>
              <w:keepNext/>
              <w:keepLines/>
              <w:outlineLvl w:val="3"/>
              <w:rPr>
                <w:sz w:val="20"/>
                <w:lang w:val="fr-FR"/>
              </w:rPr>
            </w:pPr>
            <w:r w:rsidRPr="001567E1">
              <w:rPr>
                <w:i/>
                <w:sz w:val="20"/>
                <w:lang w:val="fr-FR"/>
              </w:rPr>
              <w:t>Médiocre :</w:t>
            </w:r>
          </w:p>
        </w:tc>
        <w:tc>
          <w:tcPr>
            <w:tcW w:w="4231" w:type="pct"/>
            <w:shd w:val="clear" w:color="auto" w:fill="FFFFFF"/>
          </w:tcPr>
          <w:p w14:paraId="4539B2E8" w14:textId="64CA3652" w:rsidR="00741F7A" w:rsidRPr="001567E1" w:rsidRDefault="002E57AF" w:rsidP="0004293D">
            <w:pPr>
              <w:pStyle w:val="Normal1"/>
              <w:keepNext/>
              <w:keepLines/>
              <w:outlineLvl w:val="3"/>
              <w:rPr>
                <w:sz w:val="20"/>
                <w:lang w:val="fr-FR"/>
              </w:rPr>
            </w:pPr>
            <w:r w:rsidRPr="001567E1">
              <w:rPr>
                <w:sz w:val="20"/>
                <w:lang w:val="fr-FR"/>
              </w:rPr>
              <w:t>Quelques activités de surveillance internationale durant la période de reproduction ou d’hivernage, bien qu’inadéquates en termes de qualité ou de portée.</w:t>
            </w:r>
            <w:r w:rsidR="00832DD4" w:rsidRPr="001567E1">
              <w:rPr>
                <w:sz w:val="20"/>
                <w:lang w:val="fr-FR"/>
              </w:rPr>
              <w:t xml:space="preserve"> </w:t>
            </w:r>
            <w:r w:rsidRPr="001567E1">
              <w:rPr>
                <w:sz w:val="20"/>
                <w:lang w:val="fr-FR"/>
              </w:rPr>
              <w:t xml:space="preserve">Tendances supposées </w:t>
            </w:r>
            <w:r w:rsidR="0004293D">
              <w:rPr>
                <w:sz w:val="20"/>
                <w:lang w:val="fr-FR"/>
              </w:rPr>
              <w:t>au moyen</w:t>
            </w:r>
            <w:r w:rsidRPr="001567E1">
              <w:rPr>
                <w:sz w:val="20"/>
                <w:lang w:val="fr-FR"/>
              </w:rPr>
              <w:t xml:space="preserve"> </w:t>
            </w:r>
            <w:r w:rsidR="0004293D">
              <w:rPr>
                <w:sz w:val="20"/>
                <w:lang w:val="fr-FR"/>
              </w:rPr>
              <w:t>d’</w:t>
            </w:r>
            <w:r w:rsidRPr="001567E1">
              <w:rPr>
                <w:sz w:val="20"/>
                <w:lang w:val="fr-FR"/>
              </w:rPr>
              <w:t>informations partielles.</w:t>
            </w:r>
          </w:p>
        </w:tc>
      </w:tr>
      <w:tr w:rsidR="00741F7A" w:rsidRPr="00BC4D45" w14:paraId="6C6AB61A" w14:textId="77777777" w:rsidTr="00061B40">
        <w:tc>
          <w:tcPr>
            <w:tcW w:w="769" w:type="pct"/>
            <w:shd w:val="clear" w:color="auto" w:fill="FFFFFF"/>
          </w:tcPr>
          <w:p w14:paraId="4C4F4D08" w14:textId="2B5791EF" w:rsidR="00741F7A" w:rsidRPr="001567E1" w:rsidRDefault="002E57AF" w:rsidP="00C767E0">
            <w:pPr>
              <w:pStyle w:val="Normal1"/>
              <w:keepNext/>
              <w:keepLines/>
              <w:outlineLvl w:val="3"/>
              <w:rPr>
                <w:sz w:val="20"/>
                <w:lang w:val="fr-FR"/>
              </w:rPr>
            </w:pPr>
            <w:r w:rsidRPr="001567E1">
              <w:rPr>
                <w:i/>
                <w:sz w:val="20"/>
                <w:lang w:val="fr-FR"/>
              </w:rPr>
              <w:t>Raisonnable :</w:t>
            </w:r>
          </w:p>
        </w:tc>
        <w:tc>
          <w:tcPr>
            <w:tcW w:w="4231" w:type="pct"/>
            <w:shd w:val="clear" w:color="auto" w:fill="FFFFFF"/>
          </w:tcPr>
          <w:p w14:paraId="194AFA22" w14:textId="10CCD2B8" w:rsidR="00741F7A" w:rsidRPr="001567E1" w:rsidRDefault="002E57AF" w:rsidP="00C767E0">
            <w:pPr>
              <w:pStyle w:val="Normal1"/>
              <w:keepNext/>
              <w:keepLines/>
              <w:outlineLvl w:val="3"/>
              <w:rPr>
                <w:sz w:val="20"/>
                <w:lang w:val="fr-FR"/>
              </w:rPr>
            </w:pPr>
            <w:r w:rsidRPr="001567E1">
              <w:rPr>
                <w:sz w:val="20"/>
                <w:lang w:val="fr-FR"/>
              </w:rPr>
              <w:t>Activités de surveillance internationale durant la période de reproduction ou d’hivernage, qui sont adéquates en termes de qualité ou de portée et permettent de retracer l'orientation des changements des populations.</w:t>
            </w:r>
          </w:p>
        </w:tc>
      </w:tr>
      <w:tr w:rsidR="00741F7A" w:rsidRPr="00BC4D45" w14:paraId="71E7322D" w14:textId="77777777" w:rsidTr="00061B40">
        <w:tc>
          <w:tcPr>
            <w:tcW w:w="769" w:type="pct"/>
            <w:shd w:val="clear" w:color="auto" w:fill="FFFFFF"/>
          </w:tcPr>
          <w:p w14:paraId="54D8F5C9" w14:textId="0A15FEA9" w:rsidR="00741F7A" w:rsidRPr="001567E1" w:rsidRDefault="002E57AF" w:rsidP="00C767E0">
            <w:pPr>
              <w:pStyle w:val="Normal1"/>
              <w:keepNext/>
              <w:keepLines/>
              <w:outlineLvl w:val="3"/>
              <w:rPr>
                <w:sz w:val="20"/>
                <w:lang w:val="fr-FR"/>
              </w:rPr>
            </w:pPr>
            <w:r w:rsidRPr="001567E1">
              <w:rPr>
                <w:i/>
                <w:sz w:val="20"/>
                <w:lang w:val="fr-FR"/>
              </w:rPr>
              <w:t>Bonne :</w:t>
            </w:r>
          </w:p>
        </w:tc>
        <w:tc>
          <w:tcPr>
            <w:tcW w:w="4231" w:type="pct"/>
            <w:shd w:val="clear" w:color="auto" w:fill="FFFFFF"/>
          </w:tcPr>
          <w:p w14:paraId="225A010E" w14:textId="48B52146" w:rsidR="00741F7A" w:rsidRPr="001567E1" w:rsidRDefault="002E57AF" w:rsidP="00C767E0">
            <w:pPr>
              <w:pStyle w:val="Normal1"/>
              <w:keepNext/>
              <w:keepLines/>
              <w:outlineLvl w:val="3"/>
              <w:rPr>
                <w:sz w:val="20"/>
                <w:lang w:val="fr-FR"/>
              </w:rPr>
            </w:pPr>
            <w:r w:rsidRPr="001567E1">
              <w:rPr>
                <w:sz w:val="20"/>
                <w:lang w:val="fr-FR"/>
              </w:rPr>
              <w:t>Activités de surveillance internationale durant la période de reproduction ou d’hivernage, qui sont adéquates en termes de qualité ou de portée, et permettent de retracer l’orientation des changements des populations avec une précision statistique définie.</w:t>
            </w:r>
          </w:p>
        </w:tc>
      </w:tr>
    </w:tbl>
    <w:p w14:paraId="4D7CDC1D" w14:textId="77777777" w:rsidR="00741F7A" w:rsidRPr="001567E1" w:rsidRDefault="00741F7A">
      <w:pPr>
        <w:pStyle w:val="Normal1"/>
        <w:jc w:val="both"/>
        <w:rPr>
          <w:sz w:val="12"/>
          <w:szCs w:val="12"/>
          <w:lang w:val="fr-FR"/>
        </w:rPr>
      </w:pPr>
    </w:p>
    <w:p w14:paraId="4A151070" w14:textId="30C42874" w:rsidR="00A80900" w:rsidRPr="001567E1" w:rsidRDefault="002E57AF" w:rsidP="004A729E">
      <w:pPr>
        <w:pStyle w:val="Normal1"/>
        <w:jc w:val="both"/>
        <w:rPr>
          <w:szCs w:val="24"/>
          <w:lang w:val="fr-FR"/>
        </w:rPr>
      </w:pPr>
      <w:r w:rsidRPr="001567E1">
        <w:rPr>
          <w:szCs w:val="24"/>
          <w:lang w:val="fr-FR"/>
        </w:rPr>
        <w:t>P</w:t>
      </w:r>
      <w:r w:rsidR="003D51FA" w:rsidRPr="001567E1">
        <w:rPr>
          <w:szCs w:val="24"/>
          <w:lang w:val="fr-FR"/>
        </w:rPr>
        <w:t>our p</w:t>
      </w:r>
      <w:r w:rsidR="0004293D">
        <w:rPr>
          <w:szCs w:val="24"/>
          <w:lang w:val="fr-FR"/>
        </w:rPr>
        <w:t>rès</w:t>
      </w:r>
      <w:r w:rsidRPr="001567E1">
        <w:rPr>
          <w:szCs w:val="24"/>
          <w:lang w:val="fr-FR"/>
        </w:rPr>
        <w:t xml:space="preserve"> de la moitié des populations de l’AEWA</w:t>
      </w:r>
      <w:r w:rsidR="003D51FA" w:rsidRPr="001567E1">
        <w:rPr>
          <w:szCs w:val="24"/>
          <w:lang w:val="fr-FR"/>
        </w:rPr>
        <w:t>, la qualité des estimations des tendances est bonne</w:t>
      </w:r>
      <w:r w:rsidRPr="001567E1">
        <w:rPr>
          <w:szCs w:val="24"/>
          <w:lang w:val="fr-FR"/>
        </w:rPr>
        <w:t xml:space="preserve"> (9</w:t>
      </w:r>
      <w:r w:rsidR="003D51FA" w:rsidRPr="001567E1">
        <w:rPr>
          <w:szCs w:val="24"/>
          <w:lang w:val="fr-FR"/>
        </w:rPr>
        <w:t> </w:t>
      </w:r>
      <w:r w:rsidRPr="001567E1">
        <w:rPr>
          <w:szCs w:val="24"/>
          <w:lang w:val="fr-FR"/>
        </w:rPr>
        <w:t>%) o</w:t>
      </w:r>
      <w:r w:rsidR="003D51FA" w:rsidRPr="001567E1">
        <w:rPr>
          <w:szCs w:val="24"/>
          <w:lang w:val="fr-FR"/>
        </w:rPr>
        <w:t>u raisonnable</w:t>
      </w:r>
      <w:r w:rsidRPr="001567E1">
        <w:rPr>
          <w:szCs w:val="24"/>
          <w:lang w:val="fr-FR"/>
        </w:rPr>
        <w:t xml:space="preserve"> (39</w:t>
      </w:r>
      <w:r w:rsidR="003D51FA" w:rsidRPr="001567E1">
        <w:rPr>
          <w:szCs w:val="24"/>
          <w:lang w:val="fr-FR"/>
        </w:rPr>
        <w:t> </w:t>
      </w:r>
      <w:r w:rsidRPr="001567E1">
        <w:rPr>
          <w:szCs w:val="24"/>
          <w:lang w:val="fr-FR"/>
        </w:rPr>
        <w:t>%)</w:t>
      </w:r>
      <w:r w:rsidR="003D51FA" w:rsidRPr="001567E1">
        <w:rPr>
          <w:szCs w:val="24"/>
          <w:lang w:val="fr-FR"/>
        </w:rPr>
        <w:t>, sur la base de programmes de surveillance adéquats</w:t>
      </w:r>
      <w:r w:rsidRPr="001567E1">
        <w:rPr>
          <w:szCs w:val="24"/>
          <w:lang w:val="fr-FR"/>
        </w:rPr>
        <w:t>.</w:t>
      </w:r>
      <w:r w:rsidR="00832DD4" w:rsidRPr="001567E1">
        <w:rPr>
          <w:szCs w:val="24"/>
          <w:lang w:val="fr-FR"/>
        </w:rPr>
        <w:t xml:space="preserve"> </w:t>
      </w:r>
      <w:r w:rsidR="003D51FA" w:rsidRPr="001567E1">
        <w:rPr>
          <w:szCs w:val="24"/>
          <w:lang w:val="fr-FR"/>
        </w:rPr>
        <w:t xml:space="preserve">Toutefois, plus d’un tiers des estimations des tendances des populations sont médiocres (38 %), c’est-à-dire qu’elles sont supposées </w:t>
      </w:r>
      <w:r w:rsidR="0004293D">
        <w:rPr>
          <w:szCs w:val="24"/>
          <w:lang w:val="fr-FR"/>
        </w:rPr>
        <w:t>sur la</w:t>
      </w:r>
      <w:r w:rsidR="003D51FA" w:rsidRPr="001567E1">
        <w:rPr>
          <w:szCs w:val="24"/>
          <w:lang w:val="fr-FR"/>
        </w:rPr>
        <w:t xml:space="preserve"> base d</w:t>
      </w:r>
      <w:r w:rsidR="0004293D">
        <w:rPr>
          <w:szCs w:val="24"/>
          <w:lang w:val="fr-FR"/>
        </w:rPr>
        <w:t>’</w:t>
      </w:r>
      <w:r w:rsidR="003D51FA" w:rsidRPr="001567E1">
        <w:rPr>
          <w:szCs w:val="24"/>
          <w:lang w:val="fr-FR"/>
        </w:rPr>
        <w:t xml:space="preserve">informations partielles ou tout </w:t>
      </w:r>
      <w:r w:rsidR="00360B48">
        <w:rPr>
          <w:szCs w:val="24"/>
          <w:lang w:val="fr-FR"/>
        </w:rPr>
        <w:t>simplement inexistantes (14 %, F</w:t>
      </w:r>
      <w:r w:rsidR="003D51FA" w:rsidRPr="001567E1">
        <w:rPr>
          <w:szCs w:val="24"/>
          <w:lang w:val="fr-FR"/>
        </w:rPr>
        <w:t>igure 11).</w:t>
      </w:r>
    </w:p>
    <w:p w14:paraId="2CC1C44B" w14:textId="77777777" w:rsidR="00B91DFA" w:rsidRPr="001567E1" w:rsidRDefault="00B91DFA" w:rsidP="004A729E">
      <w:pPr>
        <w:pStyle w:val="Normal1"/>
        <w:jc w:val="both"/>
        <w:rPr>
          <w:sz w:val="12"/>
          <w:szCs w:val="12"/>
          <w:lang w:val="fr-FR"/>
        </w:rPr>
      </w:pPr>
    </w:p>
    <w:p w14:paraId="2524729A" w14:textId="77777777" w:rsidR="00741F7A" w:rsidRPr="001567E1" w:rsidRDefault="006A349E">
      <w:pPr>
        <w:pStyle w:val="Normal1"/>
        <w:keepNext/>
        <w:rPr>
          <w:lang w:val="fr-FR"/>
        </w:rPr>
      </w:pPr>
      <w:r w:rsidRPr="001567E1">
        <w:rPr>
          <w:noProof/>
          <w:lang w:val="nl-NL" w:eastAsia="nl-NL"/>
        </w:rPr>
        <w:lastRenderedPageBreak/>
        <w:drawing>
          <wp:inline distT="0" distB="0" distL="0" distR="0" wp14:anchorId="75421685" wp14:editId="409DE54F">
            <wp:extent cx="5274945" cy="3353619"/>
            <wp:effectExtent l="0" t="0" r="825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945" cy="3353619"/>
                    </a:xfrm>
                    <a:prstGeom prst="rect">
                      <a:avLst/>
                    </a:prstGeom>
                    <a:noFill/>
                    <a:ln>
                      <a:noFill/>
                    </a:ln>
                  </pic:spPr>
                </pic:pic>
              </a:graphicData>
            </a:graphic>
          </wp:inline>
        </w:drawing>
      </w:r>
    </w:p>
    <w:p w14:paraId="0E3A403C" w14:textId="72186423" w:rsidR="007C0441" w:rsidRDefault="007C0441" w:rsidP="004A729E">
      <w:pPr>
        <w:pStyle w:val="Caption"/>
        <w:rPr>
          <w:lang w:val="fr-FR"/>
        </w:rPr>
      </w:pPr>
      <w:bookmarkStart w:id="52" w:name="h.3as4poj" w:colFirst="0" w:colLast="0"/>
      <w:bookmarkEnd w:id="52"/>
    </w:p>
    <w:p w14:paraId="5EF3B836" w14:textId="75D552AC" w:rsidR="00061B40" w:rsidRPr="00061B40" w:rsidRDefault="00061B40" w:rsidP="00061B40">
      <w:pPr>
        <w:tabs>
          <w:tab w:val="left" w:pos="851"/>
          <w:tab w:val="left" w:pos="3686"/>
          <w:tab w:val="left" w:pos="6096"/>
          <w:tab w:val="left" w:pos="7088"/>
        </w:tabs>
        <w:rPr>
          <w:rFonts w:cstheme="minorHAnsi"/>
          <w:color w:val="4F81BD" w:themeColor="accent1"/>
          <w:sz w:val="18"/>
          <w:szCs w:val="18"/>
          <w:lang w:val="fr-FR"/>
        </w:rPr>
      </w:pPr>
      <w:r w:rsidRPr="00061B40">
        <w:rPr>
          <w:rFonts w:cstheme="minorHAnsi"/>
          <w:color w:val="4F81BD" w:themeColor="accent1"/>
          <w:sz w:val="18"/>
          <w:szCs w:val="18"/>
          <w:lang w:val="fr-FR"/>
        </w:rPr>
        <w:t>Aucune idée 14 % / Bonne 9 % / Raisonnable 39 % / Médiocre 38 %</w:t>
      </w:r>
    </w:p>
    <w:p w14:paraId="2CC69444" w14:textId="77777777" w:rsidR="00061B40" w:rsidRPr="00061B40" w:rsidRDefault="00061B40" w:rsidP="00061B40">
      <w:pPr>
        <w:rPr>
          <w:lang w:val="fr-FR"/>
        </w:rPr>
      </w:pPr>
    </w:p>
    <w:p w14:paraId="024D5697" w14:textId="3CE78FC8" w:rsidR="00741F7A" w:rsidRPr="001567E1" w:rsidRDefault="003D51FA" w:rsidP="00BE33B5">
      <w:pPr>
        <w:pStyle w:val="Caption"/>
        <w:rPr>
          <w:lang w:val="fr-FR"/>
        </w:rPr>
      </w:pPr>
      <w:r w:rsidRPr="001567E1">
        <w:rPr>
          <w:lang w:val="fr-FR"/>
        </w:rPr>
        <w:t>Figure 11. Qualités des estimations de tendances des populations de l’AEWA</w:t>
      </w:r>
      <w:r w:rsidR="00832DD4" w:rsidRPr="001567E1">
        <w:rPr>
          <w:lang w:val="fr-FR"/>
        </w:rPr>
        <w:br w:type="page"/>
      </w:r>
    </w:p>
    <w:p w14:paraId="45EE4071" w14:textId="6D4D42AD" w:rsidR="00741F7A" w:rsidRPr="001567E1" w:rsidRDefault="003D51FA" w:rsidP="00BE33B5">
      <w:pPr>
        <w:pStyle w:val="Heading3"/>
        <w:rPr>
          <w:lang w:val="fr-FR"/>
        </w:rPr>
      </w:pPr>
      <w:bookmarkStart w:id="53" w:name="h.1pxezwc" w:colFirst="0" w:colLast="0"/>
      <w:bookmarkStart w:id="54" w:name="_Toc517262015"/>
      <w:bookmarkEnd w:id="53"/>
      <w:r w:rsidRPr="001567E1">
        <w:rPr>
          <w:rFonts w:ascii="Times New Roman" w:eastAsia="Times New Roman" w:hAnsi="Times New Roman" w:cs="Times New Roman"/>
          <w:lang w:val="fr-FR"/>
        </w:rPr>
        <w:lastRenderedPageBreak/>
        <w:t>La qualité des estimations de tendance est la meilleure dans les régions où des programmes de surveillance bien établis, utilisant le savoir de la population, sont en place</w:t>
      </w:r>
      <w:bookmarkEnd w:id="54"/>
    </w:p>
    <w:p w14:paraId="602B0E48" w14:textId="77777777" w:rsidR="00741F7A" w:rsidRPr="00061B40" w:rsidRDefault="00741F7A">
      <w:pPr>
        <w:pStyle w:val="Normal1"/>
        <w:jc w:val="both"/>
        <w:rPr>
          <w:sz w:val="14"/>
          <w:szCs w:val="14"/>
          <w:lang w:val="fr-FR"/>
        </w:rPr>
      </w:pPr>
    </w:p>
    <w:p w14:paraId="6ECFDB30" w14:textId="641CC543" w:rsidR="00F4083C" w:rsidRPr="001567E1" w:rsidRDefault="003D51FA">
      <w:pPr>
        <w:pStyle w:val="Normal1"/>
        <w:jc w:val="both"/>
        <w:rPr>
          <w:szCs w:val="24"/>
          <w:lang w:val="fr-FR"/>
        </w:rPr>
      </w:pPr>
      <w:r w:rsidRPr="001567E1">
        <w:rPr>
          <w:szCs w:val="24"/>
          <w:lang w:val="fr-FR"/>
        </w:rPr>
        <w:t>Le plus grand nombre et la plus grande proportion de populations bénéficiant d</w:t>
      </w:r>
      <w:r w:rsidR="00BE33B5" w:rsidRPr="001567E1">
        <w:rPr>
          <w:szCs w:val="24"/>
          <w:lang w:val="fr-FR"/>
        </w:rPr>
        <w:t>’</w:t>
      </w:r>
      <w:r w:rsidRPr="001567E1">
        <w:rPr>
          <w:szCs w:val="24"/>
          <w:lang w:val="fr-FR"/>
        </w:rPr>
        <w:t xml:space="preserve">estimations de tendances de bonne qualité se trouvent dans la région atlantique du Paléarctique occidental, </w:t>
      </w:r>
      <w:r w:rsidR="00BE33B5" w:rsidRPr="001567E1">
        <w:rPr>
          <w:szCs w:val="24"/>
          <w:lang w:val="fr-FR"/>
        </w:rPr>
        <w:t xml:space="preserve">et ce </w:t>
      </w:r>
      <w:r w:rsidRPr="001567E1">
        <w:rPr>
          <w:szCs w:val="24"/>
          <w:lang w:val="fr-FR"/>
        </w:rPr>
        <w:t>grâce à des programmes de surveillance bien établis, couvrant la saison à la fois de reproduction et de non reproduction, r</w:t>
      </w:r>
      <w:r w:rsidR="0004293D">
        <w:rPr>
          <w:szCs w:val="24"/>
          <w:lang w:val="fr-FR"/>
        </w:rPr>
        <w:t>épondant</w:t>
      </w:r>
      <w:r w:rsidRPr="001567E1">
        <w:rPr>
          <w:szCs w:val="24"/>
          <w:lang w:val="fr-FR"/>
        </w:rPr>
        <w:t xml:space="preserve"> à des exigences en termes de gestion de la population et des sites</w:t>
      </w:r>
      <w:r w:rsidR="0004293D">
        <w:rPr>
          <w:szCs w:val="24"/>
          <w:lang w:val="fr-FR"/>
        </w:rPr>
        <w:t>,</w:t>
      </w:r>
      <w:r w:rsidRPr="001567E1">
        <w:rPr>
          <w:szCs w:val="24"/>
          <w:lang w:val="fr-FR"/>
        </w:rPr>
        <w:t xml:space="preserve"> et à l’obligation de présenter des rapports, conformément aux termes de</w:t>
      </w:r>
      <w:r w:rsidR="00360B48">
        <w:rPr>
          <w:szCs w:val="24"/>
          <w:lang w:val="fr-FR"/>
        </w:rPr>
        <w:t xml:space="preserve"> la Directive Oiseaux de l’UE </w:t>
      </w:r>
      <w:r w:rsidR="00D41A6C">
        <w:rPr>
          <w:szCs w:val="24"/>
          <w:lang w:val="fr-FR"/>
        </w:rPr>
        <w:t>(figure</w:t>
      </w:r>
      <w:r w:rsidRPr="001567E1">
        <w:rPr>
          <w:szCs w:val="24"/>
          <w:lang w:val="fr-FR"/>
        </w:rPr>
        <w:t xml:space="preserve"> 12). </w:t>
      </w:r>
      <w:r w:rsidR="0004293D">
        <w:rPr>
          <w:szCs w:val="24"/>
          <w:lang w:val="fr-FR"/>
        </w:rPr>
        <w:t>Dans ce contexte</w:t>
      </w:r>
      <w:r w:rsidRPr="001567E1">
        <w:rPr>
          <w:szCs w:val="24"/>
          <w:lang w:val="fr-FR"/>
        </w:rPr>
        <w:t>, la qualité des estimations de tendance de plus de 28 % des populations est bonne et celle de près de 50 % des populations est raisonnable.</w:t>
      </w:r>
      <w:r w:rsidR="00F03305" w:rsidRPr="001567E1">
        <w:rPr>
          <w:szCs w:val="24"/>
          <w:lang w:val="fr-FR"/>
        </w:rPr>
        <w:t xml:space="preserve"> </w:t>
      </w:r>
      <w:r w:rsidR="0004293D">
        <w:rPr>
          <w:szCs w:val="24"/>
          <w:lang w:val="fr-FR"/>
        </w:rPr>
        <w:t>Cette</w:t>
      </w:r>
      <w:r w:rsidRPr="001567E1">
        <w:rPr>
          <w:szCs w:val="24"/>
          <w:lang w:val="fr-FR"/>
        </w:rPr>
        <w:t xml:space="preserve"> région est suivie de près par la partie mer Noire–Méditerranée du Paléarctique occidental, où la moitié des populations bénéficient d’estimations de tendance de qualité raisonnable, bien que seuls 15</w:t>
      </w:r>
      <w:r w:rsidR="0004293D">
        <w:rPr>
          <w:szCs w:val="24"/>
          <w:lang w:val="fr-FR"/>
        </w:rPr>
        <w:t> </w:t>
      </w:r>
      <w:r w:rsidRPr="001567E1">
        <w:rPr>
          <w:szCs w:val="24"/>
          <w:lang w:val="fr-FR"/>
        </w:rPr>
        <w:t xml:space="preserve">% des populations </w:t>
      </w:r>
      <w:r w:rsidR="00BE33B5" w:rsidRPr="001567E1">
        <w:rPr>
          <w:szCs w:val="24"/>
          <w:lang w:val="fr-FR"/>
        </w:rPr>
        <w:t>aient</w:t>
      </w:r>
      <w:r w:rsidRPr="001567E1">
        <w:rPr>
          <w:szCs w:val="24"/>
          <w:lang w:val="fr-FR"/>
        </w:rPr>
        <w:t xml:space="preserve"> des estimations de bonne qualité.</w:t>
      </w:r>
      <w:r w:rsidR="00F03305" w:rsidRPr="001567E1">
        <w:rPr>
          <w:szCs w:val="24"/>
          <w:lang w:val="fr-FR"/>
        </w:rPr>
        <w:t xml:space="preserve"> </w:t>
      </w:r>
      <w:r w:rsidRPr="001567E1">
        <w:rPr>
          <w:szCs w:val="24"/>
          <w:lang w:val="fr-FR"/>
        </w:rPr>
        <w:t xml:space="preserve">Cette région inclut également l’Europe de l’Est, </w:t>
      </w:r>
      <w:r w:rsidR="00F2152B" w:rsidRPr="001567E1">
        <w:rPr>
          <w:szCs w:val="24"/>
          <w:lang w:val="fr-FR"/>
        </w:rPr>
        <w:t xml:space="preserve">l’Est et le Sud de la </w:t>
      </w:r>
      <w:r w:rsidRPr="001567E1">
        <w:rPr>
          <w:szCs w:val="24"/>
          <w:lang w:val="fr-FR"/>
        </w:rPr>
        <w:t>M</w:t>
      </w:r>
      <w:r w:rsidR="00F2152B" w:rsidRPr="001567E1">
        <w:rPr>
          <w:szCs w:val="24"/>
          <w:lang w:val="fr-FR"/>
        </w:rPr>
        <w:t>é</w:t>
      </w:r>
      <w:r w:rsidRPr="001567E1">
        <w:rPr>
          <w:szCs w:val="24"/>
          <w:lang w:val="fr-FR"/>
        </w:rPr>
        <w:t>diterran</w:t>
      </w:r>
      <w:r w:rsidR="00F2152B" w:rsidRPr="001567E1">
        <w:rPr>
          <w:szCs w:val="24"/>
          <w:lang w:val="fr-FR"/>
        </w:rPr>
        <w:t>é</w:t>
      </w:r>
      <w:r w:rsidRPr="001567E1">
        <w:rPr>
          <w:szCs w:val="24"/>
          <w:lang w:val="fr-FR"/>
        </w:rPr>
        <w:t>e</w:t>
      </w:r>
      <w:r w:rsidR="00F2152B" w:rsidRPr="001567E1">
        <w:rPr>
          <w:szCs w:val="24"/>
          <w:lang w:val="fr-FR"/>
        </w:rPr>
        <w:t>, o</w:t>
      </w:r>
      <w:r w:rsidR="00BE33B5" w:rsidRPr="001567E1">
        <w:rPr>
          <w:szCs w:val="24"/>
          <w:lang w:val="fr-FR"/>
        </w:rPr>
        <w:t>ù</w:t>
      </w:r>
      <w:r w:rsidR="00F2152B" w:rsidRPr="001567E1">
        <w:rPr>
          <w:szCs w:val="24"/>
          <w:lang w:val="fr-FR"/>
        </w:rPr>
        <w:t xml:space="preserve"> la Directive Oiseaux ne s’applique pas</w:t>
      </w:r>
      <w:r w:rsidRPr="001567E1">
        <w:rPr>
          <w:szCs w:val="24"/>
          <w:lang w:val="fr-FR"/>
        </w:rPr>
        <w:t>.</w:t>
      </w:r>
      <w:r w:rsidR="00F4083C" w:rsidRPr="001567E1">
        <w:rPr>
          <w:szCs w:val="24"/>
          <w:lang w:val="fr-FR"/>
        </w:rPr>
        <w:t xml:space="preserve"> </w:t>
      </w:r>
    </w:p>
    <w:p w14:paraId="3718A405" w14:textId="77777777" w:rsidR="00F4083C" w:rsidRPr="001567E1" w:rsidRDefault="00F4083C">
      <w:pPr>
        <w:pStyle w:val="Normal1"/>
        <w:jc w:val="both"/>
        <w:rPr>
          <w:szCs w:val="24"/>
          <w:lang w:val="fr-FR"/>
        </w:rPr>
      </w:pPr>
    </w:p>
    <w:p w14:paraId="475916BA" w14:textId="052BAE3B" w:rsidR="00F4083C" w:rsidRPr="001567E1" w:rsidRDefault="00F2152B">
      <w:pPr>
        <w:pStyle w:val="Normal1"/>
        <w:jc w:val="both"/>
        <w:rPr>
          <w:szCs w:val="24"/>
          <w:lang w:val="fr-FR"/>
        </w:rPr>
      </w:pPr>
      <w:r w:rsidRPr="001567E1">
        <w:rPr>
          <w:szCs w:val="24"/>
          <w:lang w:val="fr-FR"/>
        </w:rPr>
        <w:t xml:space="preserve">La qualité des estimations de tendances est similaire parmi les oiseaux migrant sur de longue distance </w:t>
      </w:r>
      <w:r w:rsidR="00BE33B5" w:rsidRPr="001567E1">
        <w:rPr>
          <w:szCs w:val="24"/>
          <w:lang w:val="fr-FR"/>
        </w:rPr>
        <w:t>le long des voies de migration de</w:t>
      </w:r>
      <w:r w:rsidRPr="001567E1">
        <w:rPr>
          <w:szCs w:val="24"/>
          <w:lang w:val="fr-FR"/>
        </w:rPr>
        <w:t xml:space="preserve"> l’Atlantique Est et de la mer Noire–Méditerranée, partiellement en raison du fait que certaines des tendances sont estimées </w:t>
      </w:r>
      <w:r w:rsidR="0004293D">
        <w:rPr>
          <w:szCs w:val="24"/>
          <w:lang w:val="fr-FR"/>
        </w:rPr>
        <w:t>en fonction</w:t>
      </w:r>
      <w:r w:rsidRPr="001567E1">
        <w:rPr>
          <w:szCs w:val="24"/>
          <w:lang w:val="fr-FR"/>
        </w:rPr>
        <w:t xml:space="preserve"> des chiffres de reproduction (c’est-à-dire soumises aux mêmes programmes de surveillance) et en partie en raison d’investissements dans la surveillance dans ces pays.</w:t>
      </w:r>
      <w:r w:rsidR="00F4083C" w:rsidRPr="001567E1">
        <w:rPr>
          <w:szCs w:val="24"/>
          <w:lang w:val="fr-FR"/>
        </w:rPr>
        <w:t xml:space="preserve"> </w:t>
      </w:r>
      <w:r w:rsidRPr="001567E1">
        <w:rPr>
          <w:szCs w:val="24"/>
          <w:lang w:val="fr-FR"/>
        </w:rPr>
        <w:t xml:space="preserve">La qualité des estimations des tendances des populations de l’Afrique australe est également similaire à celle </w:t>
      </w:r>
      <w:r w:rsidR="00BE33B5" w:rsidRPr="001567E1">
        <w:rPr>
          <w:szCs w:val="24"/>
          <w:lang w:val="fr-FR"/>
        </w:rPr>
        <w:t>des estimations européennes.</w:t>
      </w:r>
      <w:r w:rsidR="00F4083C" w:rsidRPr="001567E1">
        <w:rPr>
          <w:szCs w:val="24"/>
          <w:lang w:val="fr-FR"/>
        </w:rPr>
        <w:t xml:space="preserve"> </w:t>
      </w:r>
      <w:r w:rsidRPr="001567E1">
        <w:rPr>
          <w:szCs w:val="24"/>
          <w:lang w:val="fr-FR"/>
        </w:rPr>
        <w:t>Toutefois, 70 % des estimations de tendances sont médiocres ou inexistantes pour les populations du reste de la région afro</w:t>
      </w:r>
      <w:r w:rsidR="00232ED8" w:rsidRPr="001567E1">
        <w:rPr>
          <w:szCs w:val="24"/>
          <w:lang w:val="fr-FR"/>
        </w:rPr>
        <w:t>-</w:t>
      </w:r>
      <w:r w:rsidRPr="001567E1">
        <w:rPr>
          <w:szCs w:val="24"/>
          <w:lang w:val="fr-FR"/>
        </w:rPr>
        <w:t>tropicale, l’Asie centrale et du Sud-Ouest, et les populations d’Asie de l’Ouest-Afrique de l’Est.</w:t>
      </w:r>
      <w:r w:rsidR="00F4083C" w:rsidRPr="001567E1">
        <w:rPr>
          <w:szCs w:val="24"/>
          <w:lang w:val="fr-FR"/>
        </w:rPr>
        <w:t xml:space="preserve"> </w:t>
      </w:r>
    </w:p>
    <w:p w14:paraId="3FC9BF47" w14:textId="77777777" w:rsidR="00F4083C" w:rsidRPr="00061B40" w:rsidRDefault="00F4083C">
      <w:pPr>
        <w:pStyle w:val="Normal1"/>
        <w:jc w:val="both"/>
        <w:rPr>
          <w:sz w:val="12"/>
          <w:szCs w:val="12"/>
          <w:lang w:val="fr-FR"/>
        </w:rPr>
      </w:pPr>
    </w:p>
    <w:p w14:paraId="39BBDB3D" w14:textId="77777777" w:rsidR="00741F7A" w:rsidRPr="001567E1" w:rsidRDefault="00D1128C">
      <w:pPr>
        <w:pStyle w:val="Normal1"/>
        <w:rPr>
          <w:lang w:val="fr-FR"/>
        </w:rPr>
      </w:pPr>
      <w:r w:rsidRPr="001567E1">
        <w:rPr>
          <w:noProof/>
          <w:lang w:val="nl-NL" w:eastAsia="nl-NL"/>
        </w:rPr>
        <w:drawing>
          <wp:inline distT="0" distB="0" distL="0" distR="0" wp14:anchorId="1BF759D0" wp14:editId="0472D76D">
            <wp:extent cx="5274945" cy="3045150"/>
            <wp:effectExtent l="0" t="0" r="8255" b="3175"/>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945" cy="3045150"/>
                    </a:xfrm>
                    <a:prstGeom prst="rect">
                      <a:avLst/>
                    </a:prstGeom>
                    <a:noFill/>
                    <a:ln>
                      <a:noFill/>
                    </a:ln>
                  </pic:spPr>
                </pic:pic>
              </a:graphicData>
            </a:graphic>
          </wp:inline>
        </w:drawing>
      </w:r>
    </w:p>
    <w:p w14:paraId="64AF7D32" w14:textId="430E25E8" w:rsidR="00061B40" w:rsidRPr="00061B40" w:rsidRDefault="00061B40" w:rsidP="00061B40">
      <w:pPr>
        <w:tabs>
          <w:tab w:val="left" w:pos="1560"/>
          <w:tab w:val="left" w:pos="3686"/>
          <w:tab w:val="left" w:pos="5245"/>
        </w:tabs>
        <w:rPr>
          <w:rFonts w:cstheme="minorHAnsi"/>
          <w:sz w:val="12"/>
          <w:szCs w:val="12"/>
          <w:lang w:val="fr-FR"/>
        </w:rPr>
      </w:pPr>
      <w:r>
        <w:rPr>
          <w:rFonts w:cstheme="minorHAnsi"/>
          <w:noProof/>
          <w:sz w:val="12"/>
          <w:szCs w:val="12"/>
          <w:lang w:val="fr-FR"/>
        </w:rPr>
        <mc:AlternateContent>
          <mc:Choice Requires="wps">
            <w:drawing>
              <wp:anchor distT="0" distB="0" distL="114300" distR="114300" simplePos="0" relativeHeight="251647488" behindDoc="0" locked="0" layoutInCell="1" allowOverlap="1" wp14:anchorId="77271CE9" wp14:editId="44BF2E44">
                <wp:simplePos x="0" y="0"/>
                <wp:positionH relativeFrom="column">
                  <wp:posOffset>4652010</wp:posOffset>
                </wp:positionH>
                <wp:positionV relativeFrom="paragraph">
                  <wp:posOffset>84138</wp:posOffset>
                </wp:positionV>
                <wp:extent cx="995363" cy="78549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95363" cy="785495"/>
                        </a:xfrm>
                        <a:prstGeom prst="rect">
                          <a:avLst/>
                        </a:prstGeom>
                        <a:solidFill>
                          <a:schemeClr val="lt1"/>
                        </a:solidFill>
                        <a:ln w="6350">
                          <a:noFill/>
                        </a:ln>
                      </wps:spPr>
                      <wps:txbx>
                        <w:txbxContent>
                          <w:p w14:paraId="64686AA7"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Bonne</w:t>
                            </w:r>
                          </w:p>
                          <w:p w14:paraId="14D07BD6"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Raisonnable</w:t>
                            </w:r>
                          </w:p>
                          <w:p w14:paraId="1D2B7B30"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Médiocre</w:t>
                            </w:r>
                          </w:p>
                          <w:p w14:paraId="2821ADFD"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Aucune idée</w:t>
                            </w:r>
                          </w:p>
                          <w:p w14:paraId="20D7F5C7" w14:textId="77777777" w:rsidR="00BC4D45" w:rsidRPr="00061B40" w:rsidRDefault="00BC4D45">
                            <w:pPr>
                              <w:rPr>
                                <w:rFonts w:cstheme="minorHAnsi"/>
                                <w:color w:val="4F81BD" w:themeColor="accent1"/>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1CE9" id="Text Box 55" o:spid="_x0000_s1032" type="#_x0000_t202" style="position:absolute;margin-left:366.3pt;margin-top:6.65pt;width:78.4pt;height:61.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" fillcolor="white [3201]" stroked="f" strokeweight=".5pt">
                <v:textbox>
                  <w:txbxContent>
                    <w:p w14:paraId="64686AA7"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Bonne</w:t>
                      </w:r>
                    </w:p>
                    <w:p w14:paraId="14D07BD6"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Raisonnable</w:t>
                      </w:r>
                    </w:p>
                    <w:p w14:paraId="1D2B7B30"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Médiocre</w:t>
                      </w:r>
                    </w:p>
                    <w:p w14:paraId="2821ADFD" w14:textId="77777777" w:rsidR="00BC4D45" w:rsidRPr="00061B40" w:rsidRDefault="00BC4D45" w:rsidP="00061B40">
                      <w:pPr>
                        <w:pStyle w:val="ListParagraph"/>
                        <w:numPr>
                          <w:ilvl w:val="0"/>
                          <w:numId w:val="19"/>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Aucune idée</w:t>
                      </w:r>
                    </w:p>
                    <w:p w14:paraId="20D7F5C7" w14:textId="77777777" w:rsidR="00BC4D45" w:rsidRPr="00061B40" w:rsidRDefault="00BC4D45">
                      <w:pPr>
                        <w:rPr>
                          <w:rFonts w:cstheme="minorHAnsi"/>
                          <w:color w:val="4F81BD" w:themeColor="accent1"/>
                          <w:sz w:val="16"/>
                          <w:szCs w:val="16"/>
                          <w:lang w:val="fr-FR"/>
                        </w:rPr>
                      </w:pPr>
                    </w:p>
                  </w:txbxContent>
                </v:textbox>
              </v:shape>
            </w:pict>
          </mc:Fallback>
        </mc:AlternateContent>
      </w:r>
      <w:r>
        <w:rPr>
          <w:rFonts w:cstheme="minorHAnsi"/>
          <w:noProof/>
          <w:sz w:val="12"/>
          <w:szCs w:val="12"/>
          <w:lang w:val="fr-FR"/>
        </w:rPr>
        <mc:AlternateContent>
          <mc:Choice Requires="wps">
            <w:drawing>
              <wp:anchor distT="0" distB="0" distL="114300" distR="114300" simplePos="0" relativeHeight="251646464" behindDoc="0" locked="0" layoutInCell="1" allowOverlap="1" wp14:anchorId="11D5A089" wp14:editId="755EACFC">
                <wp:simplePos x="0" y="0"/>
                <wp:positionH relativeFrom="column">
                  <wp:posOffset>2189798</wp:posOffset>
                </wp:positionH>
                <wp:positionV relativeFrom="paragraph">
                  <wp:posOffset>60325</wp:posOffset>
                </wp:positionV>
                <wp:extent cx="2428875" cy="976313"/>
                <wp:effectExtent l="0" t="0" r="9525" b="0"/>
                <wp:wrapNone/>
                <wp:docPr id="54" name="Text Box 54"/>
                <wp:cNvGraphicFramePr/>
                <a:graphic xmlns:a="http://schemas.openxmlformats.org/drawingml/2006/main">
                  <a:graphicData uri="http://schemas.microsoft.com/office/word/2010/wordprocessingShape">
                    <wps:wsp>
                      <wps:cNvSpPr txBox="1"/>
                      <wps:spPr>
                        <a:xfrm>
                          <a:off x="0" y="0"/>
                          <a:ext cx="2428875" cy="976313"/>
                        </a:xfrm>
                        <a:prstGeom prst="rect">
                          <a:avLst/>
                        </a:prstGeom>
                        <a:solidFill>
                          <a:schemeClr val="lt1"/>
                        </a:solidFill>
                        <a:ln w="6350">
                          <a:noFill/>
                        </a:ln>
                      </wps:spPr>
                      <wps:txbx>
                        <w:txbxContent>
                          <w:p w14:paraId="71F1E40F"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Ouest et centrale</w:t>
                            </w:r>
                          </w:p>
                          <w:p w14:paraId="67C7161F"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Paléarctique occidental – Asie centrale et du Sud-Ouest</w:t>
                            </w:r>
                          </w:p>
                          <w:p w14:paraId="5BA89B12"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Subsaharienne</w:t>
                            </w:r>
                          </w:p>
                          <w:p w14:paraId="6E51EC62"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Est et australe</w:t>
                            </w:r>
                          </w:p>
                          <w:p w14:paraId="57E66C8D"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Voie de migration Asie de l’Ouest–Afrique de l’Est</w:t>
                            </w:r>
                          </w:p>
                          <w:p w14:paraId="3DDF4E4A"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sz w:val="16"/>
                                <w:szCs w:val="16"/>
                                <w:lang w:val="fr-FR"/>
                              </w:rPr>
                            </w:pPr>
                            <w:r w:rsidRPr="00061B40">
                              <w:rPr>
                                <w:rFonts w:cstheme="minorHAnsi"/>
                                <w:color w:val="4F81BD" w:themeColor="accent1"/>
                                <w:sz w:val="16"/>
                                <w:szCs w:val="16"/>
                                <w:lang w:val="fr-FR"/>
                              </w:rPr>
                              <w:t>Région afro-tropicale – Est</w:t>
                            </w:r>
                          </w:p>
                          <w:p w14:paraId="4A2C6825"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A089" id="Text Box 54" o:spid="_x0000_s1033" type="#_x0000_t202" style="position:absolute;margin-left:172.45pt;margin-top:4.75pt;width:191.25pt;height:7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" fillcolor="white [3201]" stroked="f" strokeweight=".5pt">
                <v:textbox>
                  <w:txbxContent>
                    <w:p w14:paraId="71F1E40F"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Ouest et centrale</w:t>
                      </w:r>
                    </w:p>
                    <w:p w14:paraId="67C7161F"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Paléarctique occidental – Asie centrale et du Sud-Ouest</w:t>
                      </w:r>
                    </w:p>
                    <w:p w14:paraId="5BA89B12"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Subsaharienne</w:t>
                      </w:r>
                    </w:p>
                    <w:p w14:paraId="6E51EC62"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Est et australe</w:t>
                      </w:r>
                    </w:p>
                    <w:p w14:paraId="57E66C8D"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Voie de migration Asie de l’Ouest–Afrique de l’Est</w:t>
                      </w:r>
                    </w:p>
                    <w:p w14:paraId="3DDF4E4A" w14:textId="77777777" w:rsidR="00BC4D45" w:rsidRPr="00061B40" w:rsidRDefault="00BC4D45" w:rsidP="00061B40">
                      <w:pPr>
                        <w:pStyle w:val="ListParagraph"/>
                        <w:numPr>
                          <w:ilvl w:val="0"/>
                          <w:numId w:val="18"/>
                        </w:numPr>
                        <w:tabs>
                          <w:tab w:val="left" w:pos="1560"/>
                          <w:tab w:val="left" w:pos="3686"/>
                          <w:tab w:val="left" w:pos="5245"/>
                        </w:tabs>
                        <w:ind w:left="142" w:hanging="142"/>
                        <w:rPr>
                          <w:rFonts w:cstheme="minorHAnsi"/>
                          <w:sz w:val="16"/>
                          <w:szCs w:val="16"/>
                          <w:lang w:val="fr-FR"/>
                        </w:rPr>
                      </w:pPr>
                      <w:r w:rsidRPr="00061B40">
                        <w:rPr>
                          <w:rFonts w:cstheme="minorHAnsi"/>
                          <w:color w:val="4F81BD" w:themeColor="accent1"/>
                          <w:sz w:val="16"/>
                          <w:szCs w:val="16"/>
                          <w:lang w:val="fr-FR"/>
                        </w:rPr>
                        <w:t>Région afro-tropicale – Est</w:t>
                      </w:r>
                    </w:p>
                    <w:p w14:paraId="4A2C6825" w14:textId="77777777" w:rsidR="00BC4D45" w:rsidRDefault="00BC4D45"/>
                  </w:txbxContent>
                </v:textbox>
              </v:shape>
            </w:pict>
          </mc:Fallback>
        </mc:AlternateContent>
      </w:r>
    </w:p>
    <w:p w14:paraId="40B29E9B" w14:textId="7912E386" w:rsidR="00061B40" w:rsidRPr="00061B40" w:rsidRDefault="00061B40" w:rsidP="00061B40">
      <w:pPr>
        <w:pStyle w:val="ListParagraph"/>
        <w:numPr>
          <w:ilvl w:val="0"/>
          <w:numId w:val="17"/>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Grand total</w:t>
      </w:r>
    </w:p>
    <w:p w14:paraId="1F7B7AAD" w14:textId="77777777" w:rsidR="00061B40" w:rsidRPr="00061B40" w:rsidRDefault="00061B40" w:rsidP="00061B40">
      <w:pPr>
        <w:pStyle w:val="ListParagraph"/>
        <w:numPr>
          <w:ilvl w:val="0"/>
          <w:numId w:val="17"/>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Paléarctique occidental – Atlantique</w:t>
      </w:r>
    </w:p>
    <w:p w14:paraId="5F1DF492" w14:textId="77777777" w:rsidR="00061B40" w:rsidRPr="00061B40" w:rsidRDefault="00061B40" w:rsidP="00061B40">
      <w:pPr>
        <w:pStyle w:val="ListParagraph"/>
        <w:numPr>
          <w:ilvl w:val="0"/>
          <w:numId w:val="17"/>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Région afro-tropicale – australe</w:t>
      </w:r>
    </w:p>
    <w:p w14:paraId="1B3C67F2" w14:textId="77777777" w:rsidR="00061B40" w:rsidRPr="00061B40" w:rsidRDefault="00061B40" w:rsidP="00061B40">
      <w:pPr>
        <w:pStyle w:val="ListParagraph"/>
        <w:numPr>
          <w:ilvl w:val="0"/>
          <w:numId w:val="17"/>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Voie de migration de l’Atlantique Est</w:t>
      </w:r>
    </w:p>
    <w:p w14:paraId="776C7FC2" w14:textId="77777777" w:rsidR="00061B40" w:rsidRPr="00061B40" w:rsidRDefault="00061B40" w:rsidP="00061B40">
      <w:pPr>
        <w:pStyle w:val="ListParagraph"/>
        <w:numPr>
          <w:ilvl w:val="0"/>
          <w:numId w:val="17"/>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Paléarctique occidental – mer Noire–Méditerranée</w:t>
      </w:r>
    </w:p>
    <w:p w14:paraId="186E354F" w14:textId="77777777" w:rsidR="00061B40" w:rsidRPr="00061B40" w:rsidRDefault="00061B40" w:rsidP="00061B40">
      <w:pPr>
        <w:pStyle w:val="ListParagraph"/>
        <w:numPr>
          <w:ilvl w:val="0"/>
          <w:numId w:val="17"/>
        </w:numPr>
        <w:tabs>
          <w:tab w:val="left" w:pos="1560"/>
          <w:tab w:val="left" w:pos="3686"/>
          <w:tab w:val="left" w:pos="5245"/>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Voie de migration mer Noire-Méditerranée</w:t>
      </w:r>
    </w:p>
    <w:p w14:paraId="56FFC6AE" w14:textId="77777777" w:rsidR="00061B40" w:rsidRPr="00061B40" w:rsidRDefault="00061B40" w:rsidP="00061B40">
      <w:pPr>
        <w:pStyle w:val="ListParagraph"/>
        <w:numPr>
          <w:ilvl w:val="0"/>
          <w:numId w:val="17"/>
        </w:numPr>
        <w:tabs>
          <w:tab w:val="left" w:pos="851"/>
          <w:tab w:val="left" w:pos="3686"/>
          <w:tab w:val="left" w:pos="6096"/>
          <w:tab w:val="left" w:pos="7088"/>
        </w:tabs>
        <w:ind w:left="142" w:hanging="142"/>
        <w:rPr>
          <w:rFonts w:cstheme="minorHAnsi"/>
          <w:color w:val="4F81BD" w:themeColor="accent1"/>
          <w:sz w:val="16"/>
          <w:szCs w:val="16"/>
          <w:lang w:val="fr-FR"/>
        </w:rPr>
      </w:pPr>
      <w:r w:rsidRPr="00061B40">
        <w:rPr>
          <w:rFonts w:cstheme="minorHAnsi"/>
          <w:color w:val="4F81BD" w:themeColor="accent1"/>
          <w:sz w:val="16"/>
          <w:szCs w:val="16"/>
          <w:lang w:val="fr-FR"/>
        </w:rPr>
        <w:t>Autres</w:t>
      </w:r>
    </w:p>
    <w:p w14:paraId="58EE886D" w14:textId="77777777" w:rsidR="00061B40" w:rsidRPr="00061B40" w:rsidRDefault="00061B40" w:rsidP="00061B40">
      <w:pPr>
        <w:tabs>
          <w:tab w:val="left" w:pos="1560"/>
          <w:tab w:val="left" w:pos="3686"/>
          <w:tab w:val="left" w:pos="5245"/>
        </w:tabs>
        <w:rPr>
          <w:rFonts w:cstheme="minorHAnsi"/>
          <w:sz w:val="12"/>
          <w:szCs w:val="12"/>
          <w:lang w:val="fr-FR"/>
        </w:rPr>
      </w:pPr>
    </w:p>
    <w:p w14:paraId="121E2E43" w14:textId="23B50546" w:rsidR="00741F7A" w:rsidRPr="001567E1" w:rsidRDefault="00F2152B" w:rsidP="00061B40">
      <w:pPr>
        <w:pStyle w:val="Caption"/>
        <w:rPr>
          <w:lang w:val="fr-FR"/>
        </w:rPr>
      </w:pPr>
      <w:r w:rsidRPr="001567E1">
        <w:rPr>
          <w:lang w:val="fr-FR"/>
        </w:rPr>
        <w:t>Figure 12. Qualités des estimations de tendance des populations par voie de migration</w:t>
      </w:r>
      <w:r w:rsidR="00832DD4" w:rsidRPr="001567E1">
        <w:rPr>
          <w:lang w:val="fr-FR"/>
        </w:rPr>
        <w:t xml:space="preserve"> </w:t>
      </w:r>
      <w:r w:rsidRPr="001567E1">
        <w:rPr>
          <w:lang w:val="fr-FR"/>
        </w:rPr>
        <w:t xml:space="preserve">(Les chiffres représentent le nombre de populations dans chaque catégorie). </w:t>
      </w:r>
      <w:bookmarkStart w:id="55" w:name="h.49x2ik5" w:colFirst="0" w:colLast="0"/>
      <w:bookmarkEnd w:id="55"/>
      <w:r w:rsidR="00832DD4" w:rsidRPr="001567E1">
        <w:rPr>
          <w:lang w:val="fr-FR"/>
        </w:rPr>
        <w:br w:type="page"/>
      </w:r>
    </w:p>
    <w:p w14:paraId="2AE17B9C" w14:textId="57148BAD" w:rsidR="00741F7A" w:rsidRPr="001567E1" w:rsidRDefault="00F2152B" w:rsidP="00BE33B5">
      <w:pPr>
        <w:pStyle w:val="Heading3"/>
        <w:rPr>
          <w:lang w:val="fr-FR"/>
        </w:rPr>
      </w:pPr>
      <w:bookmarkStart w:id="56" w:name="h.2p2csry" w:colFirst="0" w:colLast="0"/>
      <w:bookmarkStart w:id="57" w:name="_Toc517262016"/>
      <w:bookmarkEnd w:id="56"/>
      <w:r w:rsidRPr="001567E1">
        <w:rPr>
          <w:rFonts w:ascii="Times New Roman" w:eastAsia="Times New Roman" w:hAnsi="Times New Roman" w:cs="Times New Roman"/>
          <w:lang w:val="fr-FR"/>
        </w:rPr>
        <w:lastRenderedPageBreak/>
        <w:t>Les tendances des glaréoles, des râles, des laridés et des pluviers sont mal connues</w:t>
      </w:r>
      <w:bookmarkEnd w:id="57"/>
    </w:p>
    <w:p w14:paraId="274FDD26" w14:textId="77777777" w:rsidR="00741F7A" w:rsidRPr="001567E1" w:rsidRDefault="00741F7A">
      <w:pPr>
        <w:pStyle w:val="Normal1"/>
        <w:rPr>
          <w:lang w:val="fr-FR"/>
        </w:rPr>
      </w:pPr>
    </w:p>
    <w:p w14:paraId="3DE3CD9A" w14:textId="2C7AA96B" w:rsidR="00741F7A" w:rsidRPr="001567E1" w:rsidRDefault="0004293D">
      <w:pPr>
        <w:pStyle w:val="Normal1"/>
        <w:keepNext/>
        <w:jc w:val="both"/>
        <w:rPr>
          <w:szCs w:val="24"/>
          <w:lang w:val="fr-FR"/>
        </w:rPr>
      </w:pPr>
      <w:r>
        <w:rPr>
          <w:szCs w:val="24"/>
          <w:lang w:val="fr-FR"/>
        </w:rPr>
        <w:t>Pour</w:t>
      </w:r>
      <w:r w:rsidR="00F2152B" w:rsidRPr="001567E1">
        <w:rPr>
          <w:szCs w:val="24"/>
          <w:lang w:val="fr-FR"/>
        </w:rPr>
        <w:t xml:space="preserve"> 5 des 26 familles d’oiseaux d’eau (73 %), des estimations des tendances à court terme n’existent pas ou sont uniquement basées sur </w:t>
      </w:r>
      <w:r>
        <w:rPr>
          <w:szCs w:val="24"/>
          <w:lang w:val="fr-FR"/>
        </w:rPr>
        <w:t xml:space="preserve">des </w:t>
      </w:r>
      <w:r w:rsidR="00360B48">
        <w:rPr>
          <w:szCs w:val="24"/>
          <w:lang w:val="fr-FR"/>
        </w:rPr>
        <w:t>données</w:t>
      </w:r>
      <w:r>
        <w:rPr>
          <w:szCs w:val="24"/>
          <w:lang w:val="fr-FR"/>
        </w:rPr>
        <w:t xml:space="preserve"> médiocres</w:t>
      </w:r>
      <w:r w:rsidR="00360B48">
        <w:rPr>
          <w:szCs w:val="24"/>
          <w:lang w:val="fr-FR"/>
        </w:rPr>
        <w:t xml:space="preserve"> </w:t>
      </w:r>
      <w:r w:rsidR="00D41A6C">
        <w:rPr>
          <w:szCs w:val="24"/>
          <w:lang w:val="fr-FR"/>
        </w:rPr>
        <w:t>(figure</w:t>
      </w:r>
      <w:r w:rsidR="00F2152B" w:rsidRPr="001567E1">
        <w:rPr>
          <w:szCs w:val="24"/>
          <w:lang w:val="fr-FR"/>
        </w:rPr>
        <w:t xml:space="preserve"> 13). Il n’y a pas d’estimations de tendance</w:t>
      </w:r>
      <w:r w:rsidR="00232ED8" w:rsidRPr="001567E1">
        <w:rPr>
          <w:szCs w:val="24"/>
          <w:lang w:val="fr-FR"/>
        </w:rPr>
        <w:t xml:space="preserve"> récentes pour 75 populations (t</w:t>
      </w:r>
      <w:r w:rsidR="00F2152B" w:rsidRPr="001567E1">
        <w:rPr>
          <w:szCs w:val="24"/>
          <w:lang w:val="fr-FR"/>
        </w:rPr>
        <w:t xml:space="preserve">ableau </w:t>
      </w:r>
      <w:bookmarkStart w:id="58" w:name="Itt_ma"/>
      <w:bookmarkEnd w:id="58"/>
      <w:r w:rsidR="00F2152B" w:rsidRPr="001567E1">
        <w:rPr>
          <w:szCs w:val="24"/>
          <w:lang w:val="fr-FR"/>
        </w:rPr>
        <w:t>2).</w:t>
      </w:r>
      <w:r w:rsidR="00957EA9" w:rsidRPr="001567E1">
        <w:rPr>
          <w:szCs w:val="24"/>
          <w:lang w:val="fr-FR"/>
        </w:rPr>
        <w:t xml:space="preserve"> </w:t>
      </w:r>
    </w:p>
    <w:p w14:paraId="67535BC5" w14:textId="77777777" w:rsidR="00741F7A" w:rsidRPr="001567E1" w:rsidRDefault="00741F7A">
      <w:pPr>
        <w:pStyle w:val="Normal1"/>
        <w:keepNext/>
        <w:jc w:val="both"/>
        <w:rPr>
          <w:szCs w:val="24"/>
          <w:lang w:val="fr-FR"/>
        </w:rPr>
      </w:pPr>
    </w:p>
    <w:p w14:paraId="03F471B5" w14:textId="6968D93B" w:rsidR="006E46D4" w:rsidRPr="001567E1" w:rsidRDefault="00F2152B">
      <w:pPr>
        <w:pStyle w:val="Normal1"/>
        <w:keepNext/>
        <w:jc w:val="both"/>
        <w:rPr>
          <w:szCs w:val="24"/>
          <w:lang w:val="fr-FR"/>
        </w:rPr>
      </w:pPr>
      <w:r w:rsidRPr="001567E1">
        <w:rPr>
          <w:szCs w:val="24"/>
          <w:lang w:val="fr-FR"/>
        </w:rPr>
        <w:t xml:space="preserve">La plus forte proportion de populations pour lesquelles </w:t>
      </w:r>
      <w:r w:rsidR="00BE33B5" w:rsidRPr="001567E1">
        <w:rPr>
          <w:szCs w:val="24"/>
          <w:lang w:val="fr-FR"/>
        </w:rPr>
        <w:t>nous n’avons</w:t>
      </w:r>
      <w:r w:rsidRPr="001567E1">
        <w:rPr>
          <w:szCs w:val="24"/>
          <w:lang w:val="fr-FR"/>
        </w:rPr>
        <w:t xml:space="preserve"> aucune idée de leurs tendances </w:t>
      </w:r>
      <w:r w:rsidR="007915CD" w:rsidRPr="001567E1">
        <w:rPr>
          <w:szCs w:val="24"/>
          <w:lang w:val="fr-FR"/>
        </w:rPr>
        <w:t>appartient aux</w:t>
      </w:r>
      <w:r w:rsidRPr="001567E1">
        <w:rPr>
          <w:szCs w:val="24"/>
          <w:lang w:val="fr-FR"/>
        </w:rPr>
        <w:t xml:space="preserve"> </w:t>
      </w:r>
      <w:r w:rsidR="007915CD" w:rsidRPr="001567E1">
        <w:rPr>
          <w:szCs w:val="24"/>
          <w:lang w:val="fr-FR"/>
        </w:rPr>
        <w:t>glaréoles</w:t>
      </w:r>
      <w:r w:rsidRPr="001567E1">
        <w:rPr>
          <w:szCs w:val="24"/>
          <w:lang w:val="fr-FR"/>
        </w:rPr>
        <w:t xml:space="preserve"> </w:t>
      </w:r>
      <w:r w:rsidRPr="001567E1">
        <w:rPr>
          <w:i/>
          <w:szCs w:val="24"/>
          <w:lang w:val="fr-FR"/>
        </w:rPr>
        <w:t>Glareolidae</w:t>
      </w:r>
      <w:r w:rsidRPr="001567E1">
        <w:rPr>
          <w:szCs w:val="24"/>
          <w:lang w:val="fr-FR"/>
        </w:rPr>
        <w:t xml:space="preserve"> (</w:t>
      </w:r>
      <w:r w:rsidR="007915CD" w:rsidRPr="001567E1">
        <w:rPr>
          <w:szCs w:val="24"/>
          <w:lang w:val="fr-FR"/>
        </w:rPr>
        <w:t>6</w:t>
      </w:r>
      <w:r w:rsidRPr="001567E1">
        <w:rPr>
          <w:szCs w:val="24"/>
          <w:lang w:val="fr-FR"/>
        </w:rPr>
        <w:t xml:space="preserve"> </w:t>
      </w:r>
      <w:r w:rsidR="007915CD" w:rsidRPr="001567E1">
        <w:rPr>
          <w:szCs w:val="24"/>
          <w:lang w:val="fr-FR"/>
        </w:rPr>
        <w:t>sur</w:t>
      </w:r>
      <w:r w:rsidRPr="001567E1">
        <w:rPr>
          <w:szCs w:val="24"/>
          <w:lang w:val="fr-FR"/>
        </w:rPr>
        <w:t xml:space="preserve"> 11 populations) </w:t>
      </w:r>
      <w:r w:rsidR="007915CD" w:rsidRPr="001567E1">
        <w:rPr>
          <w:szCs w:val="24"/>
          <w:lang w:val="fr-FR"/>
        </w:rPr>
        <w:t xml:space="preserve">et </w:t>
      </w:r>
      <w:r w:rsidR="0004293D">
        <w:rPr>
          <w:szCs w:val="24"/>
          <w:lang w:val="fr-FR"/>
        </w:rPr>
        <w:t>aux</w:t>
      </w:r>
      <w:r w:rsidR="007915CD" w:rsidRPr="001567E1">
        <w:rPr>
          <w:szCs w:val="24"/>
          <w:lang w:val="fr-FR"/>
        </w:rPr>
        <w:t xml:space="preserve"> râles</w:t>
      </w:r>
      <w:r w:rsidRPr="001567E1">
        <w:rPr>
          <w:szCs w:val="24"/>
          <w:lang w:val="fr-FR"/>
        </w:rPr>
        <w:t xml:space="preserve"> </w:t>
      </w:r>
      <w:r w:rsidRPr="001567E1">
        <w:rPr>
          <w:i/>
          <w:szCs w:val="24"/>
          <w:lang w:val="fr-FR"/>
        </w:rPr>
        <w:t xml:space="preserve">Rallidae </w:t>
      </w:r>
      <w:r w:rsidRPr="001567E1">
        <w:rPr>
          <w:szCs w:val="24"/>
          <w:lang w:val="fr-FR"/>
        </w:rPr>
        <w:t xml:space="preserve">(11 </w:t>
      </w:r>
      <w:r w:rsidR="007915CD" w:rsidRPr="001567E1">
        <w:rPr>
          <w:szCs w:val="24"/>
          <w:lang w:val="fr-FR"/>
        </w:rPr>
        <w:t>sur</w:t>
      </w:r>
      <w:r w:rsidRPr="001567E1">
        <w:rPr>
          <w:szCs w:val="24"/>
          <w:lang w:val="fr-FR"/>
        </w:rPr>
        <w:t xml:space="preserve"> 24 populations).</w:t>
      </w:r>
      <w:r w:rsidR="00D20F1B" w:rsidRPr="001567E1">
        <w:rPr>
          <w:szCs w:val="24"/>
          <w:lang w:val="fr-FR"/>
        </w:rPr>
        <w:t xml:space="preserve"> </w:t>
      </w:r>
      <w:r w:rsidR="007915CD" w:rsidRPr="001567E1">
        <w:rPr>
          <w:szCs w:val="24"/>
          <w:lang w:val="fr-FR"/>
        </w:rPr>
        <w:t xml:space="preserve">Les familles dont le plus grand nombre de populations a des tendances inconnues sont celles des laridés et des sternes </w:t>
      </w:r>
      <w:r w:rsidR="007915CD" w:rsidRPr="001567E1">
        <w:rPr>
          <w:i/>
          <w:szCs w:val="24"/>
          <w:lang w:val="fr-FR"/>
        </w:rPr>
        <w:t xml:space="preserve">Laridae </w:t>
      </w:r>
      <w:r w:rsidR="007915CD" w:rsidRPr="001567E1">
        <w:rPr>
          <w:szCs w:val="24"/>
          <w:lang w:val="fr-FR"/>
        </w:rPr>
        <w:t xml:space="preserve">(20 sur 89 populations) et des pluviers </w:t>
      </w:r>
      <w:r w:rsidR="007915CD" w:rsidRPr="001567E1">
        <w:rPr>
          <w:i/>
          <w:szCs w:val="24"/>
          <w:lang w:val="fr-FR"/>
        </w:rPr>
        <w:t xml:space="preserve">Charadriidae </w:t>
      </w:r>
      <w:r w:rsidR="007915CD" w:rsidRPr="001567E1">
        <w:rPr>
          <w:szCs w:val="24"/>
          <w:lang w:val="fr-FR"/>
        </w:rPr>
        <w:t>(13 sur 44 populations).</w:t>
      </w:r>
      <w:r w:rsidR="006E46D4" w:rsidRPr="001567E1">
        <w:rPr>
          <w:szCs w:val="24"/>
          <w:lang w:val="fr-FR"/>
        </w:rPr>
        <w:t xml:space="preserve"> </w:t>
      </w:r>
      <w:r w:rsidR="007915CD" w:rsidRPr="001567E1">
        <w:rPr>
          <w:szCs w:val="24"/>
          <w:lang w:val="fr-FR"/>
        </w:rPr>
        <w:t>Comme les populations pour lesquelles les estimations sont basées sur la « meilleure supposition », ces espèces ne peuvent pas être facilement surveillées par l’intermédiaire de programmes multi-espèces, et elles sont surtout présentes dans des parties de l’Afrique et de l’Asie centrale et de l’Ouest, où la surveillance est insuffisante.</w:t>
      </w:r>
      <w:r w:rsidR="006E46D4" w:rsidRPr="001567E1">
        <w:rPr>
          <w:szCs w:val="24"/>
          <w:lang w:val="fr-FR"/>
        </w:rPr>
        <w:t xml:space="preserve"> </w:t>
      </w:r>
    </w:p>
    <w:p w14:paraId="53BAD7C3" w14:textId="77777777" w:rsidR="006E46D4" w:rsidRPr="001567E1" w:rsidRDefault="006E46D4">
      <w:pPr>
        <w:pStyle w:val="Normal1"/>
        <w:keepNext/>
        <w:jc w:val="both"/>
        <w:rPr>
          <w:szCs w:val="24"/>
          <w:lang w:val="fr-FR"/>
        </w:rPr>
      </w:pPr>
    </w:p>
    <w:p w14:paraId="41F437B8" w14:textId="03A730BA" w:rsidR="00BC18A1" w:rsidRPr="001567E1" w:rsidRDefault="007915CD">
      <w:pPr>
        <w:pStyle w:val="Normal1"/>
        <w:keepNext/>
        <w:jc w:val="both"/>
        <w:rPr>
          <w:szCs w:val="24"/>
          <w:lang w:val="fr-FR"/>
        </w:rPr>
      </w:pPr>
      <w:r w:rsidRPr="001567E1">
        <w:rPr>
          <w:szCs w:val="24"/>
          <w:lang w:val="fr-FR"/>
        </w:rPr>
        <w:t xml:space="preserve">Les familles avec la plus forte proportion de populations dont la qualité de l’estimation des tendances est médiocre comprennent les œdicnèmes </w:t>
      </w:r>
      <w:r w:rsidRPr="001567E1">
        <w:rPr>
          <w:i/>
          <w:szCs w:val="24"/>
          <w:lang w:val="fr-FR"/>
        </w:rPr>
        <w:t>Burhinidae</w:t>
      </w:r>
      <w:r w:rsidRPr="001567E1">
        <w:rPr>
          <w:szCs w:val="24"/>
          <w:lang w:val="fr-FR"/>
        </w:rPr>
        <w:t xml:space="preserve">, les bec-en-sabot </w:t>
      </w:r>
      <w:r w:rsidRPr="001567E1">
        <w:rPr>
          <w:i/>
          <w:szCs w:val="24"/>
          <w:lang w:val="fr-FR"/>
        </w:rPr>
        <w:t>Balaenicipitade</w:t>
      </w:r>
      <w:r w:rsidRPr="001567E1">
        <w:rPr>
          <w:szCs w:val="24"/>
          <w:lang w:val="fr-FR"/>
        </w:rPr>
        <w:t xml:space="preserve">, les plongeons </w:t>
      </w:r>
      <w:r w:rsidRPr="001567E1">
        <w:rPr>
          <w:i/>
          <w:szCs w:val="24"/>
          <w:lang w:val="fr-FR"/>
        </w:rPr>
        <w:t>Gaviidae</w:t>
      </w:r>
      <w:r w:rsidRPr="001567E1">
        <w:rPr>
          <w:szCs w:val="24"/>
          <w:lang w:val="fr-FR"/>
        </w:rPr>
        <w:t xml:space="preserve">, les bécasseaux et espèces apparentées </w:t>
      </w:r>
      <w:r w:rsidRPr="001567E1">
        <w:rPr>
          <w:i/>
          <w:szCs w:val="24"/>
          <w:lang w:val="fr-FR"/>
        </w:rPr>
        <w:t>Scolopacidae</w:t>
      </w:r>
      <w:r w:rsidRPr="001567E1">
        <w:rPr>
          <w:szCs w:val="24"/>
          <w:lang w:val="fr-FR"/>
        </w:rPr>
        <w:t xml:space="preserve">, les hérons </w:t>
      </w:r>
      <w:r w:rsidRPr="001567E1">
        <w:rPr>
          <w:i/>
          <w:szCs w:val="24"/>
          <w:lang w:val="fr-FR"/>
        </w:rPr>
        <w:t xml:space="preserve">Ardeidae </w:t>
      </w:r>
      <w:r w:rsidRPr="001567E1">
        <w:rPr>
          <w:szCs w:val="24"/>
          <w:lang w:val="fr-FR"/>
        </w:rPr>
        <w:t>ainsi que les</w:t>
      </w:r>
      <w:r w:rsidRPr="001567E1">
        <w:rPr>
          <w:i/>
          <w:szCs w:val="24"/>
          <w:lang w:val="fr-FR"/>
        </w:rPr>
        <w:t xml:space="preserve"> </w:t>
      </w:r>
      <w:r w:rsidRPr="001567E1">
        <w:rPr>
          <w:szCs w:val="24"/>
          <w:lang w:val="fr-FR"/>
        </w:rPr>
        <w:t xml:space="preserve">dromes </w:t>
      </w:r>
      <w:r w:rsidRPr="001567E1">
        <w:rPr>
          <w:i/>
          <w:szCs w:val="24"/>
          <w:lang w:val="fr-FR"/>
        </w:rPr>
        <w:t>Dromadidae</w:t>
      </w:r>
      <w:r w:rsidRPr="001567E1">
        <w:rPr>
          <w:szCs w:val="24"/>
          <w:lang w:val="fr-FR"/>
        </w:rPr>
        <w:t xml:space="preserve"> et les</w:t>
      </w:r>
      <w:r w:rsidR="0004293D">
        <w:rPr>
          <w:szCs w:val="24"/>
          <w:lang w:val="fr-FR"/>
        </w:rPr>
        <w:t xml:space="preserve"> phaétons</w:t>
      </w:r>
      <w:r w:rsidRPr="001567E1">
        <w:rPr>
          <w:szCs w:val="24"/>
          <w:lang w:val="fr-FR"/>
        </w:rPr>
        <w:t xml:space="preserve"> </w:t>
      </w:r>
      <w:r w:rsidRPr="001567E1">
        <w:rPr>
          <w:i/>
          <w:szCs w:val="24"/>
          <w:lang w:val="fr-FR"/>
        </w:rPr>
        <w:t>Phaethontidae</w:t>
      </w:r>
      <w:r w:rsidRPr="001567E1">
        <w:rPr>
          <w:szCs w:val="24"/>
          <w:lang w:val="fr-FR"/>
        </w:rPr>
        <w:t>, pour les mêmes raisons que celles énoncées ci-dessus.</w:t>
      </w:r>
      <w:r w:rsidR="00832DD4" w:rsidRPr="001567E1">
        <w:rPr>
          <w:szCs w:val="24"/>
          <w:lang w:val="fr-FR"/>
        </w:rPr>
        <w:t xml:space="preserve"> </w:t>
      </w:r>
    </w:p>
    <w:p w14:paraId="510A6C8D" w14:textId="77777777" w:rsidR="00D1128C" w:rsidRPr="001567E1" w:rsidRDefault="00D1128C">
      <w:pPr>
        <w:pStyle w:val="Normal1"/>
        <w:keepNext/>
        <w:jc w:val="both"/>
        <w:rPr>
          <w:sz w:val="22"/>
          <w:lang w:val="fr-FR"/>
        </w:rPr>
      </w:pPr>
    </w:p>
    <w:p w14:paraId="17F34DD8" w14:textId="77777777" w:rsidR="00741F7A" w:rsidRPr="001567E1" w:rsidRDefault="00D1128C">
      <w:pPr>
        <w:pStyle w:val="Normal1"/>
        <w:keepNext/>
        <w:jc w:val="both"/>
        <w:rPr>
          <w:lang w:val="fr-FR"/>
        </w:rPr>
      </w:pPr>
      <w:r w:rsidRPr="001567E1">
        <w:rPr>
          <w:noProof/>
          <w:lang w:val="nl-NL" w:eastAsia="nl-NL"/>
        </w:rPr>
        <w:drawing>
          <wp:inline distT="0" distB="0" distL="0" distR="0" wp14:anchorId="754D1D73" wp14:editId="4C1F27EC">
            <wp:extent cx="5274945" cy="3780686"/>
            <wp:effectExtent l="0" t="0" r="8255" b="4445"/>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945" cy="3780686"/>
                    </a:xfrm>
                    <a:prstGeom prst="rect">
                      <a:avLst/>
                    </a:prstGeom>
                    <a:noFill/>
                    <a:ln>
                      <a:noFill/>
                    </a:ln>
                  </pic:spPr>
                </pic:pic>
              </a:graphicData>
            </a:graphic>
          </wp:inline>
        </w:drawing>
      </w:r>
    </w:p>
    <w:p w14:paraId="16D707A5" w14:textId="25623B28" w:rsidR="008F3115" w:rsidRDefault="008F3115" w:rsidP="004A729E">
      <w:pPr>
        <w:pStyle w:val="Caption"/>
        <w:rPr>
          <w:lang w:val="fr-FR"/>
        </w:rPr>
      </w:pPr>
    </w:p>
    <w:p w14:paraId="2E7BE97E" w14:textId="77777777" w:rsidR="00F97CD5" w:rsidRPr="00F97CD5" w:rsidRDefault="00F97CD5" w:rsidP="00F97CD5">
      <w:pPr>
        <w:pStyle w:val="ListParagraph"/>
        <w:numPr>
          <w:ilvl w:val="0"/>
          <w:numId w:val="20"/>
        </w:numPr>
        <w:tabs>
          <w:tab w:val="left" w:pos="1560"/>
          <w:tab w:val="left" w:pos="3686"/>
          <w:tab w:val="left" w:pos="5245"/>
        </w:tabs>
        <w:rPr>
          <w:rFonts w:cstheme="minorHAnsi"/>
          <w:color w:val="4F81BD" w:themeColor="accent1"/>
          <w:sz w:val="18"/>
          <w:szCs w:val="18"/>
          <w:lang w:val="fr-FR"/>
        </w:rPr>
      </w:pPr>
      <w:r w:rsidRPr="00F97CD5">
        <w:rPr>
          <w:rFonts w:cstheme="minorHAnsi"/>
          <w:color w:val="4F81BD" w:themeColor="accent1"/>
          <w:sz w:val="18"/>
          <w:szCs w:val="18"/>
          <w:lang w:val="fr-FR"/>
        </w:rPr>
        <w:t>Bonne</w:t>
      </w:r>
    </w:p>
    <w:p w14:paraId="62B94244" w14:textId="77777777" w:rsidR="00F97CD5" w:rsidRPr="00F97CD5" w:rsidRDefault="00F97CD5" w:rsidP="00F97CD5">
      <w:pPr>
        <w:pStyle w:val="ListParagraph"/>
        <w:numPr>
          <w:ilvl w:val="0"/>
          <w:numId w:val="20"/>
        </w:numPr>
        <w:tabs>
          <w:tab w:val="left" w:pos="1560"/>
          <w:tab w:val="left" w:pos="3686"/>
          <w:tab w:val="left" w:pos="5245"/>
        </w:tabs>
        <w:rPr>
          <w:rFonts w:cstheme="minorHAnsi"/>
          <w:color w:val="4F81BD" w:themeColor="accent1"/>
          <w:sz w:val="18"/>
          <w:szCs w:val="18"/>
          <w:lang w:val="fr-FR"/>
        </w:rPr>
      </w:pPr>
      <w:r w:rsidRPr="00F97CD5">
        <w:rPr>
          <w:rFonts w:cstheme="minorHAnsi"/>
          <w:color w:val="4F81BD" w:themeColor="accent1"/>
          <w:sz w:val="18"/>
          <w:szCs w:val="18"/>
          <w:lang w:val="fr-FR"/>
        </w:rPr>
        <w:t>Raisonnable</w:t>
      </w:r>
    </w:p>
    <w:p w14:paraId="78300D15" w14:textId="77777777" w:rsidR="00F97CD5" w:rsidRPr="00F97CD5" w:rsidRDefault="00F97CD5" w:rsidP="00F97CD5">
      <w:pPr>
        <w:pStyle w:val="ListParagraph"/>
        <w:numPr>
          <w:ilvl w:val="0"/>
          <w:numId w:val="20"/>
        </w:numPr>
        <w:tabs>
          <w:tab w:val="left" w:pos="1560"/>
          <w:tab w:val="left" w:pos="3686"/>
          <w:tab w:val="left" w:pos="5245"/>
        </w:tabs>
        <w:rPr>
          <w:rFonts w:cstheme="minorHAnsi"/>
          <w:color w:val="4F81BD" w:themeColor="accent1"/>
          <w:sz w:val="18"/>
          <w:szCs w:val="18"/>
          <w:lang w:val="fr-FR"/>
        </w:rPr>
      </w:pPr>
      <w:r w:rsidRPr="00F97CD5">
        <w:rPr>
          <w:rFonts w:cstheme="minorHAnsi"/>
          <w:color w:val="4F81BD" w:themeColor="accent1"/>
          <w:sz w:val="18"/>
          <w:szCs w:val="18"/>
          <w:lang w:val="fr-FR"/>
        </w:rPr>
        <w:t>Médiocre</w:t>
      </w:r>
    </w:p>
    <w:p w14:paraId="6672CB6C" w14:textId="77777777" w:rsidR="00F97CD5" w:rsidRPr="00F97CD5" w:rsidRDefault="00F97CD5" w:rsidP="00F97CD5">
      <w:pPr>
        <w:pStyle w:val="ListParagraph"/>
        <w:numPr>
          <w:ilvl w:val="0"/>
          <w:numId w:val="20"/>
        </w:numPr>
        <w:tabs>
          <w:tab w:val="left" w:pos="1560"/>
          <w:tab w:val="left" w:pos="3686"/>
          <w:tab w:val="left" w:pos="5245"/>
        </w:tabs>
        <w:rPr>
          <w:rFonts w:cstheme="minorHAnsi"/>
          <w:color w:val="4F81BD" w:themeColor="accent1"/>
          <w:sz w:val="18"/>
          <w:szCs w:val="18"/>
          <w:lang w:val="fr-FR"/>
        </w:rPr>
      </w:pPr>
      <w:r w:rsidRPr="00F97CD5">
        <w:rPr>
          <w:rFonts w:cstheme="minorHAnsi"/>
          <w:color w:val="4F81BD" w:themeColor="accent1"/>
          <w:sz w:val="18"/>
          <w:szCs w:val="18"/>
          <w:lang w:val="fr-FR"/>
        </w:rPr>
        <w:t>Aucune idée</w:t>
      </w:r>
    </w:p>
    <w:p w14:paraId="44844366" w14:textId="03359113" w:rsidR="00F97CD5" w:rsidRPr="00F97CD5" w:rsidRDefault="00F97CD5" w:rsidP="00F97CD5">
      <w:pPr>
        <w:rPr>
          <w:color w:val="4F81BD" w:themeColor="accent1"/>
          <w:sz w:val="18"/>
          <w:szCs w:val="18"/>
          <w:lang w:val="fr-FR"/>
        </w:rPr>
      </w:pPr>
    </w:p>
    <w:p w14:paraId="5DC10CA1" w14:textId="666DC27C" w:rsidR="00D1128C" w:rsidRPr="001567E1" w:rsidRDefault="007915CD" w:rsidP="00F97CD5">
      <w:pPr>
        <w:pStyle w:val="Caption"/>
        <w:rPr>
          <w:lang w:val="fr-FR"/>
        </w:rPr>
      </w:pPr>
      <w:r w:rsidRPr="001567E1">
        <w:rPr>
          <w:lang w:val="fr-FR"/>
        </w:rPr>
        <w:t>Figure 13. Qualité des estimations de tendances par famille</w:t>
      </w:r>
      <w:r w:rsidR="00832DD4" w:rsidRPr="001567E1">
        <w:rPr>
          <w:lang w:val="fr-FR"/>
        </w:rPr>
        <w:t xml:space="preserve"> </w:t>
      </w:r>
      <w:r w:rsidRPr="001567E1">
        <w:rPr>
          <w:b w:val="0"/>
          <w:lang w:val="fr-FR"/>
        </w:rPr>
        <w:t xml:space="preserve">(Les chiffres représentent le nombre de populations dans chaque catégorie). </w:t>
      </w:r>
      <w:bookmarkStart w:id="59" w:name="h.147n2zr" w:colFirst="0" w:colLast="0"/>
      <w:bookmarkEnd w:id="59"/>
      <w:r w:rsidR="00D1128C" w:rsidRPr="001567E1">
        <w:rPr>
          <w:lang w:val="fr-FR"/>
        </w:rPr>
        <w:br w:type="page"/>
      </w:r>
    </w:p>
    <w:p w14:paraId="0A8B8C45" w14:textId="38F90D2E" w:rsidR="00153A35" w:rsidRPr="001567E1" w:rsidRDefault="007915CD" w:rsidP="00BE33B5">
      <w:pPr>
        <w:pStyle w:val="Caption"/>
        <w:keepNext/>
        <w:rPr>
          <w:lang w:val="fr-FR"/>
        </w:rPr>
      </w:pPr>
      <w:r w:rsidRPr="001567E1">
        <w:rPr>
          <w:lang w:val="fr-FR"/>
        </w:rPr>
        <w:lastRenderedPageBreak/>
        <w:t>Tableau 2. Liste des populations dont la tendance actuelle est inconnue</w:t>
      </w:r>
    </w:p>
    <w:tbl>
      <w:tblPr>
        <w:tblStyle w:val="LightGrid-Accent1"/>
        <w:tblW w:w="9700" w:type="dxa"/>
        <w:tblLayout w:type="fixed"/>
        <w:tblLook w:val="0400" w:firstRow="0" w:lastRow="0" w:firstColumn="0" w:lastColumn="0" w:noHBand="0" w:noVBand="1"/>
      </w:tblPr>
      <w:tblGrid>
        <w:gridCol w:w="9700"/>
      </w:tblGrid>
      <w:tr w:rsidR="00B11C6D" w:rsidRPr="001567E1" w14:paraId="201FD1B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690E7F8" w14:textId="2D1F8D94" w:rsidR="00B11C6D" w:rsidRPr="001567E1" w:rsidRDefault="007915CD" w:rsidP="000C610E">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Région afro</w:t>
            </w:r>
            <w:r w:rsidR="00232ED8" w:rsidRPr="001567E1">
              <w:rPr>
                <w:rFonts w:ascii="Calibri" w:hAnsi="Calibri" w:cs="Calibri"/>
                <w:b/>
                <w:color w:val="auto"/>
                <w:szCs w:val="24"/>
                <w:lang w:val="fr-FR"/>
              </w:rPr>
              <w:t>-</w:t>
            </w:r>
            <w:r w:rsidRPr="001567E1">
              <w:rPr>
                <w:rFonts w:ascii="Calibri" w:hAnsi="Calibri" w:cs="Calibri"/>
                <w:b/>
                <w:color w:val="auto"/>
                <w:szCs w:val="24"/>
                <w:lang w:val="fr-FR"/>
              </w:rPr>
              <w:t>tropicale - Orientale</w:t>
            </w:r>
          </w:p>
        </w:tc>
      </w:tr>
      <w:tr w:rsidR="00B11C6D" w:rsidRPr="001567E1" w14:paraId="1259482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FBD0AEE" w14:textId="3C566040" w:rsidR="00B11C6D" w:rsidRPr="001567E1" w:rsidRDefault="007915CD"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57E34EC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6326F45" w14:textId="08E0115D" w:rsidR="00B11C6D" w:rsidRPr="001567E1" w:rsidRDefault="007915CD"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Glareolidae</w:t>
            </w:r>
          </w:p>
        </w:tc>
      </w:tr>
      <w:tr w:rsidR="00B11C6D" w:rsidRPr="00BC4D45" w14:paraId="58EE218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65228A5" w14:textId="7A8A765B" w:rsidR="00B11C6D" w:rsidRPr="001567E1" w:rsidRDefault="007915CD"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Glaréole auréolée </w:t>
            </w:r>
            <w:r w:rsidRPr="001567E1">
              <w:rPr>
                <w:rFonts w:ascii="Calibri" w:hAnsi="Calibri" w:cs="Calibri"/>
                <w:i/>
                <w:szCs w:val="24"/>
                <w:lang w:val="fr-FR"/>
              </w:rPr>
              <w:t>Glareola nuchalis nuchalis</w:t>
            </w:r>
            <w:r w:rsidRPr="001567E1">
              <w:rPr>
                <w:rFonts w:ascii="Calibri" w:hAnsi="Calibri" w:cs="Calibri"/>
                <w:szCs w:val="24"/>
                <w:lang w:val="fr-FR"/>
              </w:rPr>
              <w:t xml:space="preserve">, Afrique de l’Est et centrale </w:t>
            </w:r>
          </w:p>
        </w:tc>
      </w:tr>
      <w:tr w:rsidR="00B11C6D" w:rsidRPr="00BC4D45" w14:paraId="40B0DE7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289EF5F" w14:textId="5F6394C3" w:rsidR="00B11C6D" w:rsidRPr="001567E1" w:rsidRDefault="007915CD"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Pluvian fluviatile</w:t>
            </w:r>
            <w:r w:rsidRPr="001567E1">
              <w:rPr>
                <w:lang w:val="fr-FR"/>
              </w:rPr>
              <w:t xml:space="preserve"> </w:t>
            </w:r>
            <w:r w:rsidRPr="001567E1">
              <w:rPr>
                <w:rFonts w:ascii="Calibri" w:hAnsi="Calibri" w:cs="Calibri"/>
                <w:i/>
                <w:szCs w:val="24"/>
                <w:lang w:val="fr-FR"/>
              </w:rPr>
              <w:t>Pluvianus aegyptius</w:t>
            </w:r>
            <w:r w:rsidRPr="001567E1">
              <w:rPr>
                <w:rFonts w:ascii="Calibri" w:hAnsi="Calibri" w:cs="Calibri"/>
                <w:szCs w:val="24"/>
                <w:lang w:val="fr-FR"/>
              </w:rPr>
              <w:t>, Afrique de l'Est</w:t>
            </w:r>
          </w:p>
        </w:tc>
      </w:tr>
      <w:tr w:rsidR="00B11C6D" w:rsidRPr="001567E1" w14:paraId="23473C6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C54261E" w14:textId="0E777869" w:rsidR="00B11C6D" w:rsidRPr="001567E1" w:rsidRDefault="007915CD"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25CC0AA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EE4ACF4" w14:textId="45FEBD6C" w:rsidR="00B11C6D" w:rsidRPr="001567E1" w:rsidRDefault="007915CD"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Noddi brun </w:t>
            </w:r>
            <w:r w:rsidRPr="001567E1">
              <w:rPr>
                <w:rFonts w:ascii="Calibri" w:hAnsi="Calibri" w:cs="Calibri"/>
                <w:i/>
                <w:szCs w:val="24"/>
                <w:lang w:val="fr-FR"/>
              </w:rPr>
              <w:t>Anous stolidus plumbeigularis</w:t>
            </w:r>
            <w:r w:rsidRPr="001567E1">
              <w:rPr>
                <w:rFonts w:ascii="Calibri" w:hAnsi="Calibri" w:cs="Calibri"/>
                <w:szCs w:val="24"/>
                <w:lang w:val="fr-FR"/>
              </w:rPr>
              <w:t>, mer Rouge et Golfe d’Aden</w:t>
            </w:r>
          </w:p>
        </w:tc>
      </w:tr>
      <w:tr w:rsidR="00B11C6D" w:rsidRPr="00BC4D45" w14:paraId="77B9DB6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FC2300B" w14:textId="4E9FA783"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Guifette moustac </w:t>
            </w:r>
            <w:r w:rsidRPr="001567E1">
              <w:rPr>
                <w:rFonts w:ascii="Calibri" w:hAnsi="Calibri" w:cs="Calibri"/>
                <w:i/>
                <w:szCs w:val="24"/>
                <w:lang w:val="fr-FR"/>
              </w:rPr>
              <w:t>Chlidonias hybrida delalandii</w:t>
            </w:r>
            <w:r w:rsidRPr="001567E1">
              <w:rPr>
                <w:rFonts w:ascii="Calibri" w:hAnsi="Calibri" w:cs="Calibri"/>
                <w:szCs w:val="24"/>
                <w:lang w:val="fr-FR"/>
              </w:rPr>
              <w:t>, Afrique de l'Est (Kenya et Tanzanie)</w:t>
            </w:r>
          </w:p>
        </w:tc>
      </w:tr>
      <w:tr w:rsidR="00B11C6D" w:rsidRPr="00BC4D45" w14:paraId="2275EDD3"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021F9B9" w14:textId="7B9D3273"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Sterne de Dougall </w:t>
            </w:r>
            <w:r w:rsidRPr="001567E1">
              <w:rPr>
                <w:rFonts w:ascii="Calibri" w:hAnsi="Calibri" w:cs="Calibri"/>
                <w:i/>
                <w:szCs w:val="24"/>
                <w:lang w:val="fr-FR"/>
              </w:rPr>
              <w:t>Sterna dougallii dougallii</w:t>
            </w:r>
            <w:r w:rsidRPr="001567E1">
              <w:rPr>
                <w:rFonts w:ascii="Calibri" w:hAnsi="Calibri" w:cs="Calibri"/>
                <w:szCs w:val="24"/>
                <w:lang w:val="fr-FR"/>
              </w:rPr>
              <w:t>, Afrique de l’Est</w:t>
            </w:r>
          </w:p>
        </w:tc>
      </w:tr>
      <w:tr w:rsidR="00B11C6D" w:rsidRPr="001567E1" w14:paraId="0120F49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131734C" w14:textId="589A2A25"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Gruiformes</w:t>
            </w:r>
          </w:p>
        </w:tc>
      </w:tr>
      <w:tr w:rsidR="00B11C6D" w:rsidRPr="001567E1" w14:paraId="5787415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8531CDD" w14:textId="647ADF32"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6978A79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AE2CA52" w14:textId="765A3BF7"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Râle à miroir</w:t>
            </w:r>
            <w:r w:rsidRPr="001567E1">
              <w:rPr>
                <w:rFonts w:ascii="Calibri" w:hAnsi="Calibri" w:cs="Calibri"/>
                <w:i/>
                <w:szCs w:val="24"/>
                <w:lang w:val="fr-FR"/>
              </w:rPr>
              <w:t xml:space="preserve"> Sarothrura ayresi</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Éthiopie</w:t>
            </w:r>
            <w:r w:rsidR="00B11C6D" w:rsidRPr="001567E1">
              <w:rPr>
                <w:rFonts w:ascii="Calibri" w:hAnsi="Calibri" w:cs="Calibri"/>
                <w:szCs w:val="24"/>
                <w:lang w:val="fr-FR"/>
              </w:rPr>
              <w:t xml:space="preserve"> </w:t>
            </w:r>
          </w:p>
        </w:tc>
      </w:tr>
      <w:tr w:rsidR="00B11C6D" w:rsidRPr="001567E1" w14:paraId="1AD5B5C2"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C16893" w14:textId="79741E23"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Suliformes</w:t>
            </w:r>
          </w:p>
        </w:tc>
      </w:tr>
      <w:tr w:rsidR="00B11C6D" w:rsidRPr="001567E1" w14:paraId="10BA484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3AA8B9A" w14:textId="1EB7D8B9"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Sulidae</w:t>
            </w:r>
          </w:p>
        </w:tc>
      </w:tr>
      <w:tr w:rsidR="00B11C6D" w:rsidRPr="00BC4D45" w14:paraId="6987EAE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5744BAC" w14:textId="7CAB7CD8"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Fou masqué</w:t>
            </w:r>
            <w:r w:rsidRPr="001567E1">
              <w:rPr>
                <w:rFonts w:ascii="Calibri" w:hAnsi="Calibri" w:cs="Calibri"/>
                <w:i/>
                <w:szCs w:val="24"/>
                <w:lang w:val="fr-FR"/>
              </w:rPr>
              <w:t xml:space="preserve"> Sula dactylatra melanops</w:t>
            </w:r>
            <w:r w:rsidRPr="001567E1">
              <w:rPr>
                <w:rFonts w:ascii="Calibri" w:hAnsi="Calibri" w:cs="Calibri"/>
                <w:szCs w:val="24"/>
                <w:lang w:val="fr-FR"/>
              </w:rPr>
              <w:t>, Ouest de l’Océan indien</w:t>
            </w:r>
          </w:p>
        </w:tc>
      </w:tr>
      <w:tr w:rsidR="00B11C6D" w:rsidRPr="00BC4D45" w14:paraId="03F2491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E4CD0C8" w14:textId="2E874434" w:rsidR="00B11C6D" w:rsidRPr="001567E1" w:rsidRDefault="007C7143" w:rsidP="000C610E">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Région afro</w:t>
            </w:r>
            <w:r w:rsidR="00232ED8" w:rsidRPr="001567E1">
              <w:rPr>
                <w:rFonts w:ascii="Calibri" w:hAnsi="Calibri" w:cs="Calibri"/>
                <w:b/>
                <w:color w:val="auto"/>
                <w:szCs w:val="24"/>
                <w:lang w:val="fr-FR"/>
              </w:rPr>
              <w:t>-</w:t>
            </w:r>
            <w:r w:rsidRPr="001567E1">
              <w:rPr>
                <w:rFonts w:ascii="Calibri" w:hAnsi="Calibri" w:cs="Calibri"/>
                <w:b/>
                <w:color w:val="auto"/>
                <w:szCs w:val="24"/>
                <w:lang w:val="fr-FR"/>
              </w:rPr>
              <w:t>tropicale – Orientale et australe</w:t>
            </w:r>
          </w:p>
        </w:tc>
      </w:tr>
      <w:tr w:rsidR="00B11C6D" w:rsidRPr="001567E1" w14:paraId="525E6CA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0EAFFA7" w14:textId="3F871E05"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0F3AAAC2"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B7B2B59" w14:textId="791475AC"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4A1BAB8F"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8B59B82" w14:textId="300F1CBD"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Noddi marianne </w:t>
            </w:r>
            <w:r w:rsidRPr="001567E1">
              <w:rPr>
                <w:rFonts w:ascii="Calibri" w:hAnsi="Calibri" w:cs="Calibri"/>
                <w:i/>
                <w:szCs w:val="24"/>
                <w:lang w:val="fr-FR"/>
              </w:rPr>
              <w:t>Anous tenuirostris tenuirostris</w:t>
            </w:r>
            <w:r w:rsidRPr="001567E1">
              <w:rPr>
                <w:rFonts w:ascii="Calibri" w:hAnsi="Calibri" w:cs="Calibri"/>
                <w:szCs w:val="24"/>
                <w:lang w:val="fr-FR"/>
              </w:rPr>
              <w:t>, îles de l’Océan indien jusqu’à l’Afrique de l’Est</w:t>
            </w:r>
          </w:p>
        </w:tc>
      </w:tr>
      <w:tr w:rsidR="00B11C6D" w:rsidRPr="00BC4D45" w14:paraId="3ED9484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29164EB" w14:textId="5DB2D1D5"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Sterne fuligineuse </w:t>
            </w:r>
            <w:r w:rsidRPr="001567E1">
              <w:rPr>
                <w:rFonts w:ascii="Calibri" w:hAnsi="Calibri" w:cs="Calibri"/>
                <w:i/>
                <w:szCs w:val="24"/>
                <w:lang w:val="fr-FR"/>
              </w:rPr>
              <w:t>Onychoprion fuscatus nubilosus</w:t>
            </w:r>
            <w:r w:rsidRPr="001567E1">
              <w:rPr>
                <w:rFonts w:ascii="Calibri" w:hAnsi="Calibri" w:cs="Calibri"/>
                <w:szCs w:val="24"/>
                <w:lang w:val="fr-FR"/>
              </w:rPr>
              <w:t>, mer Rouge, Golfe d’Aden, Est jusqu’au Pacifique</w:t>
            </w:r>
          </w:p>
        </w:tc>
      </w:tr>
      <w:tr w:rsidR="00B11C6D" w:rsidRPr="00BC4D45" w14:paraId="795C3879"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0B70C36" w14:textId="2874500A"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Bec-en-ciseaux d’Afrique </w:t>
            </w:r>
            <w:r w:rsidRPr="001567E1">
              <w:rPr>
                <w:rFonts w:ascii="Calibri" w:hAnsi="Calibri" w:cs="Calibri"/>
                <w:i/>
                <w:szCs w:val="24"/>
                <w:lang w:val="fr-FR"/>
              </w:rPr>
              <w:t>Rynchops flavirostris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de l’Est et Australe</w:t>
            </w:r>
          </w:p>
        </w:tc>
      </w:tr>
      <w:tr w:rsidR="00B11C6D" w:rsidRPr="00BC4D45" w14:paraId="3AC3ED80"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1EF7763" w14:textId="5DF4B1EB"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Sterne de Dougall </w:t>
            </w:r>
            <w:r w:rsidRPr="001567E1">
              <w:rPr>
                <w:rFonts w:ascii="Calibri" w:hAnsi="Calibri" w:cs="Calibri"/>
                <w:i/>
                <w:szCs w:val="24"/>
                <w:lang w:val="fr-FR"/>
              </w:rPr>
              <w:t>Sterna dougallii gracilis</w:t>
            </w:r>
            <w:r w:rsidRPr="001567E1">
              <w:rPr>
                <w:rFonts w:ascii="Calibri" w:hAnsi="Calibri" w:cs="Calibri"/>
                <w:szCs w:val="24"/>
                <w:lang w:val="fr-FR"/>
              </w:rPr>
              <w:t>, Seychelles et Mascareignes</w:t>
            </w:r>
          </w:p>
        </w:tc>
      </w:tr>
      <w:tr w:rsidR="00B11C6D" w:rsidRPr="001567E1" w14:paraId="559AE2A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97B2DDB" w14:textId="1C2D0924"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Gruiformes</w:t>
            </w:r>
          </w:p>
        </w:tc>
      </w:tr>
      <w:tr w:rsidR="00B11C6D" w:rsidRPr="001567E1" w14:paraId="6D1E2C29"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1F708ED" w14:textId="37FDAE79"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0BAD5C1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910659" w14:textId="1DBFEE66"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Râle bleuâtre </w:t>
            </w:r>
            <w:r w:rsidRPr="001567E1">
              <w:rPr>
                <w:rFonts w:ascii="Calibri" w:hAnsi="Calibri" w:cs="Calibri"/>
                <w:i/>
                <w:szCs w:val="24"/>
                <w:lang w:val="fr-FR"/>
              </w:rPr>
              <w:t>Rallus caerulescens</w:t>
            </w:r>
            <w:r w:rsidRPr="001567E1">
              <w:rPr>
                <w:rFonts w:ascii="Calibri" w:hAnsi="Calibri" w:cs="Calibri"/>
                <w:szCs w:val="24"/>
                <w:lang w:val="fr-FR"/>
              </w:rPr>
              <w:t>, Afrique australe et de l’Est</w:t>
            </w:r>
          </w:p>
        </w:tc>
      </w:tr>
      <w:tr w:rsidR="00B11C6D" w:rsidRPr="00BC4D45" w14:paraId="0E9A647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4B21348" w14:textId="3F7CD627"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Râle ponctué </w:t>
            </w:r>
            <w:r w:rsidRPr="001567E1">
              <w:rPr>
                <w:rFonts w:ascii="Calibri" w:hAnsi="Calibri" w:cs="Calibri"/>
                <w:i/>
                <w:szCs w:val="24"/>
                <w:lang w:val="fr-FR"/>
              </w:rPr>
              <w:t>Sarothrura elegans elegans</w:t>
            </w:r>
            <w:r w:rsidRPr="001567E1">
              <w:rPr>
                <w:rFonts w:ascii="Calibri" w:hAnsi="Calibri" w:cs="Calibri"/>
                <w:szCs w:val="24"/>
                <w:lang w:val="fr-FR"/>
              </w:rPr>
              <w:t>, Afrique du NE, Afrique de l’Est et australe</w:t>
            </w:r>
          </w:p>
        </w:tc>
      </w:tr>
      <w:tr w:rsidR="00B11C6D" w:rsidRPr="001567E1" w14:paraId="2BAA564A"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0DACC8" w14:textId="165045C7" w:rsidR="00B11C6D" w:rsidRPr="001567E1" w:rsidRDefault="007C7143" w:rsidP="000C610E">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Région afr</w:t>
            </w:r>
            <w:r w:rsidR="000C610E" w:rsidRPr="001567E1">
              <w:rPr>
                <w:rFonts w:ascii="Calibri" w:hAnsi="Calibri" w:cs="Calibri"/>
                <w:b/>
                <w:color w:val="auto"/>
                <w:szCs w:val="24"/>
                <w:lang w:val="fr-FR"/>
              </w:rPr>
              <w:t>o</w:t>
            </w:r>
            <w:r w:rsidR="00232ED8" w:rsidRPr="001567E1">
              <w:rPr>
                <w:rFonts w:ascii="Calibri" w:hAnsi="Calibri" w:cs="Calibri"/>
                <w:b/>
                <w:color w:val="auto"/>
                <w:szCs w:val="24"/>
                <w:lang w:val="fr-FR"/>
              </w:rPr>
              <w:t>-</w:t>
            </w:r>
            <w:r w:rsidRPr="001567E1">
              <w:rPr>
                <w:rFonts w:ascii="Calibri" w:hAnsi="Calibri" w:cs="Calibri"/>
                <w:b/>
                <w:color w:val="auto"/>
                <w:szCs w:val="24"/>
                <w:lang w:val="fr-FR"/>
              </w:rPr>
              <w:t>tropicale – Australe</w:t>
            </w:r>
          </w:p>
        </w:tc>
      </w:tr>
      <w:tr w:rsidR="00B11C6D" w:rsidRPr="001567E1" w14:paraId="32DBF638"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0BD225C" w14:textId="4F8387C0"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Anseriformes</w:t>
            </w:r>
          </w:p>
        </w:tc>
      </w:tr>
      <w:tr w:rsidR="00B11C6D" w:rsidRPr="001567E1" w14:paraId="74AAFBC1"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B81912B" w14:textId="681CDC6A"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Anatidae</w:t>
            </w:r>
          </w:p>
        </w:tc>
      </w:tr>
      <w:tr w:rsidR="00B11C6D" w:rsidRPr="001567E1" w14:paraId="4BA4F2DC"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E8912D9" w14:textId="6CA36C2E"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Canard à bec rouge</w:t>
            </w:r>
            <w:r w:rsidRPr="001567E1">
              <w:rPr>
                <w:lang w:val="fr-FR"/>
              </w:rPr>
              <w:t xml:space="preserve"> </w:t>
            </w:r>
            <w:r w:rsidRPr="001567E1">
              <w:rPr>
                <w:rFonts w:ascii="Calibri" w:hAnsi="Calibri" w:cs="Calibri"/>
                <w:i/>
                <w:szCs w:val="24"/>
                <w:lang w:val="fr-FR"/>
              </w:rPr>
              <w:t>Anas erythrorhyncha</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Madagascar</w:t>
            </w:r>
          </w:p>
        </w:tc>
      </w:tr>
      <w:tr w:rsidR="00B11C6D" w:rsidRPr="001567E1" w14:paraId="03D2790E"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205CE92" w14:textId="67E3D581"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4C85E14D"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C7AC289" w14:textId="6EFD907B"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605B960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7213784" w14:textId="66A78F67"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Sterne de Dougall </w:t>
            </w:r>
            <w:r w:rsidRPr="001567E1">
              <w:rPr>
                <w:rFonts w:ascii="Calibri" w:hAnsi="Calibri" w:cs="Calibri"/>
                <w:i/>
                <w:szCs w:val="24"/>
                <w:lang w:val="fr-FR"/>
              </w:rPr>
              <w:t>Sterna dougallii dougallii</w:t>
            </w:r>
            <w:r w:rsidRPr="001567E1">
              <w:rPr>
                <w:rFonts w:ascii="Calibri" w:hAnsi="Calibri" w:cs="Calibri"/>
                <w:szCs w:val="24"/>
                <w:lang w:val="fr-FR"/>
              </w:rPr>
              <w:t>, Afrique australe et Madagascar</w:t>
            </w:r>
          </w:p>
        </w:tc>
      </w:tr>
      <w:tr w:rsidR="00B11C6D" w:rsidRPr="00BC4D45" w14:paraId="4E384D1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98350F" w14:textId="2C0C9FD3"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Sterne couronnée</w:t>
            </w:r>
            <w:r w:rsidRPr="001567E1">
              <w:rPr>
                <w:lang w:val="fr-FR"/>
              </w:rPr>
              <w:t xml:space="preserve"> </w:t>
            </w:r>
            <w:r w:rsidRPr="001567E1">
              <w:rPr>
                <w:rFonts w:ascii="Calibri" w:hAnsi="Calibri" w:cs="Calibri"/>
                <w:i/>
                <w:szCs w:val="24"/>
                <w:lang w:val="fr-FR"/>
              </w:rPr>
              <w:t>Sterna vittata tristanensis</w:t>
            </w:r>
            <w:r w:rsidRPr="001567E1">
              <w:rPr>
                <w:rFonts w:ascii="Calibri" w:hAnsi="Calibri" w:cs="Calibri"/>
                <w:szCs w:val="24"/>
                <w:lang w:val="fr-FR"/>
              </w:rPr>
              <w:t>, Tristan da Cunha et Gough/Afrique du Sud</w:t>
            </w:r>
          </w:p>
        </w:tc>
      </w:tr>
      <w:tr w:rsidR="00B11C6D" w:rsidRPr="001567E1" w14:paraId="5989463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0F2B150" w14:textId="186C701A"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lastRenderedPageBreak/>
              <w:t>Gruiformes</w:t>
            </w:r>
          </w:p>
        </w:tc>
      </w:tr>
      <w:tr w:rsidR="00B11C6D" w:rsidRPr="001567E1" w14:paraId="7855BA2A"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257AB5D" w14:textId="32171D5B"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5ADDF55D"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BD3E3FC" w14:textId="695D9EE1"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Râle à miroir</w:t>
            </w:r>
            <w:r w:rsidRPr="001567E1">
              <w:rPr>
                <w:rFonts w:ascii="Calibri" w:hAnsi="Calibri" w:cs="Calibri"/>
                <w:i/>
                <w:szCs w:val="24"/>
                <w:lang w:val="fr-FR"/>
              </w:rPr>
              <w:t xml:space="preserve"> Sarothrura ayresi</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australe</w:t>
            </w:r>
          </w:p>
        </w:tc>
      </w:tr>
      <w:tr w:rsidR="00B11C6D" w:rsidRPr="00BC4D45" w14:paraId="723D66DE"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01AE12E" w14:textId="20919054" w:rsidR="00B11C6D" w:rsidRPr="001567E1" w:rsidRDefault="007C7143" w:rsidP="000C610E">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Région afro</w:t>
            </w:r>
            <w:r w:rsidR="00232ED8" w:rsidRPr="001567E1">
              <w:rPr>
                <w:rFonts w:ascii="Calibri" w:hAnsi="Calibri" w:cs="Calibri"/>
                <w:b/>
                <w:color w:val="auto"/>
                <w:szCs w:val="24"/>
                <w:lang w:val="fr-FR"/>
              </w:rPr>
              <w:t>-</w:t>
            </w:r>
            <w:r w:rsidRPr="001567E1">
              <w:rPr>
                <w:rFonts w:ascii="Calibri" w:hAnsi="Calibri" w:cs="Calibri"/>
                <w:b/>
                <w:color w:val="auto"/>
                <w:szCs w:val="24"/>
                <w:lang w:val="fr-FR"/>
              </w:rPr>
              <w:t>tropicale – Sub-saharienne</w:t>
            </w:r>
          </w:p>
        </w:tc>
      </w:tr>
      <w:tr w:rsidR="00B11C6D" w:rsidRPr="001567E1" w14:paraId="779A7DE8"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8A04597" w14:textId="415EEA4D"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488089E6"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CDD1521" w14:textId="1074520B"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Charadriidae</w:t>
            </w:r>
          </w:p>
        </w:tc>
      </w:tr>
      <w:tr w:rsidR="00B11C6D" w:rsidRPr="00BC4D45" w14:paraId="0BE9E0C7"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6372096" w14:textId="0DB104DE"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Vanneau terne</w:t>
            </w:r>
            <w:r w:rsidRPr="001567E1">
              <w:rPr>
                <w:rFonts w:ascii="Calibri" w:hAnsi="Calibri" w:cs="Calibri"/>
                <w:i/>
                <w:szCs w:val="24"/>
                <w:lang w:val="fr-FR"/>
              </w:rPr>
              <w:t xml:space="preserve"> Vanellus lugubris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centrale et de l’Est</w:t>
            </w:r>
          </w:p>
        </w:tc>
      </w:tr>
      <w:tr w:rsidR="00B11C6D" w:rsidRPr="001567E1" w14:paraId="70892F25"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660F44F" w14:textId="3D16F02C"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Ciconiiformes</w:t>
            </w:r>
          </w:p>
        </w:tc>
      </w:tr>
      <w:tr w:rsidR="00B11C6D" w:rsidRPr="001567E1" w14:paraId="66C767D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9E2A456" w14:textId="4937F8B4"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Ardeidae</w:t>
            </w:r>
          </w:p>
        </w:tc>
      </w:tr>
      <w:tr w:rsidR="00B11C6D" w:rsidRPr="00BC4D45" w14:paraId="0A78762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AE83CFD" w14:textId="3B72AAE1"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Blongios nain</w:t>
            </w:r>
            <w:r w:rsidRPr="001567E1">
              <w:rPr>
                <w:rFonts w:ascii="Calibri" w:hAnsi="Calibri" w:cs="Calibri"/>
                <w:i/>
                <w:szCs w:val="24"/>
                <w:lang w:val="fr-FR"/>
              </w:rPr>
              <w:t xml:space="preserve"> Ixobrychus minutus payesii</w:t>
            </w:r>
            <w:r w:rsidRPr="001567E1">
              <w:rPr>
                <w:rFonts w:ascii="Calibri" w:hAnsi="Calibri" w:cs="Calibri"/>
                <w:szCs w:val="24"/>
                <w:lang w:val="fr-FR"/>
              </w:rPr>
              <w:t>, Afrique sub-saharienne</w:t>
            </w:r>
          </w:p>
        </w:tc>
      </w:tr>
      <w:tr w:rsidR="00B11C6D" w:rsidRPr="00BC4D45" w14:paraId="3ECCB404"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A5876A7" w14:textId="0D73D096"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Blongios de Sturm</w:t>
            </w:r>
            <w:r w:rsidRPr="001567E1">
              <w:rPr>
                <w:rFonts w:ascii="Calibri" w:hAnsi="Calibri" w:cs="Calibri"/>
                <w:i/>
                <w:szCs w:val="24"/>
                <w:lang w:val="fr-FR"/>
              </w:rPr>
              <w:t xml:space="preserve"> Ixobrychus sturmii</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sub-saharienne</w:t>
            </w:r>
          </w:p>
        </w:tc>
      </w:tr>
      <w:tr w:rsidR="00B11C6D" w:rsidRPr="001567E1" w14:paraId="2BB8324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E22E501" w14:textId="6E231BEA" w:rsidR="00B11C6D" w:rsidRPr="001567E1" w:rsidRDefault="007C7143"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Gruiformes</w:t>
            </w:r>
          </w:p>
        </w:tc>
      </w:tr>
      <w:tr w:rsidR="00B11C6D" w:rsidRPr="001567E1" w14:paraId="676C5D2B"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46CA7C0" w14:textId="230F9D27" w:rsidR="00B11C6D" w:rsidRPr="001567E1" w:rsidRDefault="007C7143"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6ACC2D51" w14:textId="77777777" w:rsidTr="004A729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33F3474" w14:textId="630E2B58" w:rsidR="00B11C6D" w:rsidRPr="001567E1" w:rsidRDefault="007C7143"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Râle rayé</w:t>
            </w:r>
            <w:r w:rsidRPr="001567E1">
              <w:rPr>
                <w:rFonts w:ascii="Calibri" w:hAnsi="Calibri" w:cs="Calibri"/>
                <w:i/>
                <w:szCs w:val="24"/>
                <w:lang w:val="fr-FR"/>
              </w:rPr>
              <w:t xml:space="preserve"> Amaurornis marginalis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sub-saharienne</w:t>
            </w:r>
          </w:p>
        </w:tc>
      </w:tr>
      <w:tr w:rsidR="00B11C6D" w:rsidRPr="00BC4D45" w14:paraId="53F0987C" w14:textId="77777777" w:rsidTr="004A729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5F35AD6" w14:textId="24626184" w:rsidR="00B11C6D" w:rsidRPr="001567E1" w:rsidRDefault="00E32381"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Râle des prés</w:t>
            </w:r>
            <w:r w:rsidRPr="001567E1">
              <w:rPr>
                <w:rFonts w:ascii="Calibri" w:hAnsi="Calibri" w:cs="Calibri"/>
                <w:i/>
                <w:szCs w:val="24"/>
                <w:lang w:val="fr-FR"/>
              </w:rPr>
              <w:t xml:space="preserve"> Crex egregia</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sub-saharienne</w:t>
            </w:r>
          </w:p>
        </w:tc>
      </w:tr>
      <w:tr w:rsidR="00B11C6D" w:rsidRPr="00BC4D45" w14:paraId="128E274D"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016B798" w14:textId="5D7F5DAB"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Gallinule africaine</w:t>
            </w:r>
            <w:r w:rsidR="00E32381" w:rsidRPr="001567E1">
              <w:rPr>
                <w:rFonts w:ascii="Calibri" w:hAnsi="Calibri" w:cs="Calibri"/>
                <w:i/>
                <w:szCs w:val="24"/>
                <w:lang w:val="fr-FR"/>
              </w:rPr>
              <w:t xml:space="preserve"> Gallinula angulata, </w:t>
            </w:r>
            <w:r w:rsidRPr="001567E1">
              <w:rPr>
                <w:rFonts w:ascii="Calibri" w:hAnsi="Calibri" w:cs="Calibri"/>
                <w:szCs w:val="24"/>
                <w:lang w:val="fr-FR"/>
              </w:rPr>
              <w:t>Afrique sub-saharienne</w:t>
            </w:r>
          </w:p>
        </w:tc>
      </w:tr>
      <w:tr w:rsidR="00B11C6D" w:rsidRPr="00BC4D45" w14:paraId="2992B34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28669B8" w14:textId="0B5AA05D" w:rsidR="00B11C6D" w:rsidRPr="001567E1" w:rsidRDefault="00161B7F" w:rsidP="000C610E">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Région afro</w:t>
            </w:r>
            <w:r w:rsidR="00232ED8" w:rsidRPr="001567E1">
              <w:rPr>
                <w:rFonts w:ascii="Calibri" w:hAnsi="Calibri" w:cs="Calibri"/>
                <w:b/>
                <w:color w:val="auto"/>
                <w:szCs w:val="24"/>
                <w:lang w:val="fr-FR"/>
              </w:rPr>
              <w:t>-</w:t>
            </w:r>
            <w:r w:rsidRPr="001567E1">
              <w:rPr>
                <w:rFonts w:ascii="Calibri" w:hAnsi="Calibri" w:cs="Calibri"/>
                <w:b/>
                <w:color w:val="auto"/>
                <w:szCs w:val="24"/>
                <w:lang w:val="fr-FR"/>
              </w:rPr>
              <w:t>tropicale – Ouest et centrale</w:t>
            </w:r>
          </w:p>
        </w:tc>
      </w:tr>
      <w:tr w:rsidR="00B11C6D" w:rsidRPr="001567E1" w14:paraId="4744512A"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BF37E61" w14:textId="6FFD8D22"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1BC59CD3"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2EA90E6" w14:textId="6DBA3CA6"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Charadriidae</w:t>
            </w:r>
          </w:p>
        </w:tc>
      </w:tr>
      <w:tr w:rsidR="00B11C6D" w:rsidRPr="00BC4D45" w14:paraId="28BB9AD9"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71E1942" w14:textId="7C91780B"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Pluvier de Forbes</w:t>
            </w:r>
            <w:r w:rsidRPr="001567E1">
              <w:rPr>
                <w:rFonts w:ascii="Calibri" w:hAnsi="Calibri" w:cs="Calibri"/>
                <w:i/>
                <w:szCs w:val="24"/>
                <w:lang w:val="fr-FR"/>
              </w:rPr>
              <w:t xml:space="preserve"> Charadrius forbesi</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de l’Ouest et centrale</w:t>
            </w:r>
          </w:p>
        </w:tc>
      </w:tr>
      <w:tr w:rsidR="00B11C6D" w:rsidRPr="00BC4D45" w14:paraId="136963A6"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0302E34" w14:textId="59698A39"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Vanneau à tête blanche</w:t>
            </w:r>
            <w:r w:rsidRPr="001567E1">
              <w:rPr>
                <w:rFonts w:ascii="Calibri" w:hAnsi="Calibri" w:cs="Calibri"/>
                <w:i/>
                <w:szCs w:val="24"/>
                <w:lang w:val="fr-FR"/>
              </w:rPr>
              <w:t xml:space="preserve"> Vanellus albiceps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de l’Ouest et centrale</w:t>
            </w:r>
          </w:p>
        </w:tc>
      </w:tr>
      <w:tr w:rsidR="00B11C6D" w:rsidRPr="00BC4D45" w14:paraId="76C911AF"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D209A37" w14:textId="33D4B6A7"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Vanneau couronné</w:t>
            </w:r>
            <w:r w:rsidRPr="001567E1">
              <w:rPr>
                <w:rFonts w:ascii="Calibri" w:hAnsi="Calibri" w:cs="Calibri"/>
                <w:i/>
                <w:szCs w:val="24"/>
                <w:lang w:val="fr-FR"/>
              </w:rPr>
              <w:t xml:space="preserve"> Vanellus coronatus coronatus</w:t>
            </w:r>
            <w:r w:rsidRPr="001567E1">
              <w:rPr>
                <w:rFonts w:ascii="Calibri" w:hAnsi="Calibri" w:cs="Calibri"/>
                <w:szCs w:val="24"/>
                <w:lang w:val="fr-FR"/>
              </w:rPr>
              <w:t>, Afrique centrale</w:t>
            </w:r>
            <w:r w:rsidR="00B11C6D" w:rsidRPr="001567E1">
              <w:rPr>
                <w:rFonts w:ascii="Calibri" w:hAnsi="Calibri" w:cs="Calibri"/>
                <w:szCs w:val="24"/>
                <w:lang w:val="fr-FR"/>
              </w:rPr>
              <w:t xml:space="preserve"> </w:t>
            </w:r>
          </w:p>
        </w:tc>
      </w:tr>
      <w:tr w:rsidR="00B11C6D" w:rsidRPr="00BC4D45" w14:paraId="2E7CBB5A"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AB86162" w14:textId="1C2AA26C"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Vanneau terne </w:t>
            </w:r>
            <w:r w:rsidRPr="001567E1">
              <w:rPr>
                <w:rFonts w:ascii="Calibri" w:hAnsi="Calibri" w:cs="Calibri"/>
                <w:i/>
                <w:szCs w:val="24"/>
                <w:lang w:val="fr-FR"/>
              </w:rPr>
              <w:t>Vanellus lugubris</w:t>
            </w:r>
            <w:r w:rsidRPr="001567E1">
              <w:rPr>
                <w:rFonts w:ascii="Calibri" w:hAnsi="Calibri" w:cs="Calibri"/>
                <w:szCs w:val="24"/>
                <w:lang w:val="fr-FR"/>
              </w:rPr>
              <w:t>, Afrique de l’Ouest australe</w:t>
            </w:r>
          </w:p>
        </w:tc>
      </w:tr>
      <w:tr w:rsidR="00B11C6D" w:rsidRPr="00BC4D45" w14:paraId="76E790C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22C41DE" w14:textId="329342D0"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Vanneau du Sénégal</w:t>
            </w:r>
            <w:r w:rsidRPr="001567E1">
              <w:rPr>
                <w:rFonts w:ascii="Calibri" w:hAnsi="Calibri" w:cs="Calibri"/>
                <w:i/>
                <w:szCs w:val="24"/>
                <w:lang w:val="fr-FR"/>
              </w:rPr>
              <w:t xml:space="preserve"> Vanellus senegallus senegallus</w:t>
            </w:r>
            <w:r w:rsidRPr="001567E1">
              <w:rPr>
                <w:rFonts w:ascii="Calibri" w:hAnsi="Calibri" w:cs="Calibri"/>
                <w:szCs w:val="24"/>
                <w:lang w:val="fr-FR"/>
              </w:rPr>
              <w:t>, Afrique de l’Ouest</w:t>
            </w:r>
          </w:p>
        </w:tc>
      </w:tr>
      <w:tr w:rsidR="00B11C6D" w:rsidRPr="00BC4D45" w14:paraId="11AD5C6C"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CAA05CD" w14:textId="2ACFAB05"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Vanneau à poitrine châtaine Lapwing</w:t>
            </w:r>
            <w:r w:rsidRPr="001567E1">
              <w:rPr>
                <w:rFonts w:ascii="Calibri" w:hAnsi="Calibri" w:cs="Calibri"/>
                <w:i/>
                <w:szCs w:val="24"/>
                <w:lang w:val="fr-FR"/>
              </w:rPr>
              <w:t xml:space="preserve"> Vanellus superciliosus, </w:t>
            </w:r>
            <w:r w:rsidRPr="001567E1">
              <w:rPr>
                <w:rFonts w:ascii="Calibri" w:hAnsi="Calibri" w:cs="Calibri"/>
                <w:szCs w:val="24"/>
                <w:lang w:val="fr-FR"/>
              </w:rPr>
              <w:t>Afrique de l’Ouest et centrale</w:t>
            </w:r>
          </w:p>
        </w:tc>
      </w:tr>
      <w:tr w:rsidR="00B11C6D" w:rsidRPr="001567E1" w14:paraId="40AB88BF"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2BF51A2" w14:textId="73336394"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Glareolidae</w:t>
            </w:r>
          </w:p>
        </w:tc>
      </w:tr>
      <w:tr w:rsidR="00B11C6D" w:rsidRPr="00BC4D45" w14:paraId="020A2D1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FA9D983" w14:textId="6BDE4077"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Glaréole grise</w:t>
            </w:r>
            <w:r w:rsidRPr="001567E1">
              <w:rPr>
                <w:rFonts w:ascii="Calibri" w:hAnsi="Calibri" w:cs="Calibri"/>
                <w:i/>
                <w:szCs w:val="24"/>
                <w:lang w:val="fr-FR"/>
              </w:rPr>
              <w:t xml:space="preserve"> Glareola cinerea, </w:t>
            </w:r>
            <w:r w:rsidRPr="001567E1">
              <w:rPr>
                <w:rFonts w:ascii="Calibri" w:hAnsi="Calibri" w:cs="Calibri"/>
                <w:szCs w:val="24"/>
                <w:lang w:val="fr-FR"/>
              </w:rPr>
              <w:t>Afrique SE Ouest et Afrique centrale</w:t>
            </w:r>
          </w:p>
        </w:tc>
      </w:tr>
      <w:tr w:rsidR="00B11C6D" w:rsidRPr="00BC4D45" w14:paraId="638DACD9"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B6F9AAC" w14:textId="0D285219"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Glaréole auréolée</w:t>
            </w:r>
            <w:r w:rsidRPr="001567E1">
              <w:rPr>
                <w:rFonts w:ascii="Calibri" w:hAnsi="Calibri" w:cs="Calibri"/>
                <w:i/>
                <w:szCs w:val="24"/>
                <w:lang w:val="fr-FR"/>
              </w:rPr>
              <w:t xml:space="preserve"> Glareola nuchalis liberiae</w:t>
            </w:r>
            <w:r w:rsidRPr="001567E1">
              <w:rPr>
                <w:rFonts w:ascii="Calibri" w:hAnsi="Calibri" w:cs="Calibri"/>
                <w:szCs w:val="24"/>
                <w:lang w:val="fr-FR"/>
              </w:rPr>
              <w:t>, Afrique de l’Ouest</w:t>
            </w:r>
          </w:p>
        </w:tc>
      </w:tr>
      <w:tr w:rsidR="00B11C6D" w:rsidRPr="00BC4D45" w14:paraId="50C19CA2"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D2CF50C" w14:textId="2922E126"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Pluvian fluviatile</w:t>
            </w:r>
            <w:r w:rsidRPr="001567E1">
              <w:rPr>
                <w:lang w:val="fr-FR"/>
              </w:rPr>
              <w:t xml:space="preserve"> </w:t>
            </w:r>
            <w:r w:rsidRPr="001567E1">
              <w:rPr>
                <w:rFonts w:ascii="Calibri" w:hAnsi="Calibri" w:cs="Calibri"/>
                <w:i/>
                <w:szCs w:val="24"/>
                <w:lang w:val="fr-FR"/>
              </w:rPr>
              <w:t xml:space="preserve">Pluvianus aegyptius, </w:t>
            </w:r>
            <w:r w:rsidRPr="001567E1">
              <w:rPr>
                <w:rFonts w:ascii="Calibri" w:hAnsi="Calibri" w:cs="Calibri"/>
                <w:szCs w:val="24"/>
                <w:lang w:val="fr-FR"/>
              </w:rPr>
              <w:t>Bassin inférieur du Congo</w:t>
            </w:r>
          </w:p>
        </w:tc>
      </w:tr>
      <w:tr w:rsidR="00B11C6D" w:rsidRPr="001567E1" w14:paraId="3796285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A2D36F" w14:textId="18EA82D2"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19FCB54F"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6962B02" w14:textId="2A07AC06"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Sterne naine</w:t>
            </w:r>
            <w:r w:rsidRPr="001567E1">
              <w:rPr>
                <w:rFonts w:ascii="Calibri" w:hAnsi="Calibri" w:cs="Calibri"/>
                <w:i/>
                <w:szCs w:val="24"/>
                <w:lang w:val="fr-FR"/>
              </w:rPr>
              <w:t xml:space="preserve"> Sternula albifrons guineae</w:t>
            </w:r>
            <w:r w:rsidRPr="001567E1">
              <w:rPr>
                <w:rFonts w:ascii="Calibri" w:hAnsi="Calibri" w:cs="Calibri"/>
                <w:szCs w:val="24"/>
                <w:lang w:val="fr-FR"/>
              </w:rPr>
              <w:t xml:space="preserve">, Afrique de l’Ouest </w:t>
            </w:r>
            <w:r w:rsidR="0004293D">
              <w:rPr>
                <w:rFonts w:ascii="Calibri" w:hAnsi="Calibri" w:cs="Calibri"/>
                <w:szCs w:val="24"/>
                <w:lang w:val="fr-FR"/>
              </w:rPr>
              <w:t>(rep)</w:t>
            </w:r>
          </w:p>
        </w:tc>
      </w:tr>
      <w:tr w:rsidR="00B11C6D" w:rsidRPr="001567E1" w14:paraId="1DA6F673"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EC4596A" w14:textId="61A7DCC7"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Gruiformes</w:t>
            </w:r>
          </w:p>
        </w:tc>
      </w:tr>
      <w:tr w:rsidR="00B11C6D" w:rsidRPr="001567E1" w14:paraId="7F786200"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949636F" w14:textId="0EC7D137"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71C641F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854A18C" w14:textId="1CD27EA0"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Râle de Böhm</w:t>
            </w:r>
            <w:r w:rsidRPr="001567E1">
              <w:rPr>
                <w:rFonts w:ascii="Calibri" w:hAnsi="Calibri" w:cs="Calibri"/>
                <w:i/>
                <w:szCs w:val="24"/>
                <w:lang w:val="fr-FR"/>
              </w:rPr>
              <w:t xml:space="preserve"> Sarothrura boehmi</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Afrique centrale</w:t>
            </w:r>
          </w:p>
        </w:tc>
      </w:tr>
      <w:tr w:rsidR="00B11C6D" w:rsidRPr="00BC4D45" w14:paraId="12A5FC6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DD6CDB" w14:textId="7774BE51"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Râle ponctué </w:t>
            </w:r>
            <w:r w:rsidRPr="001567E1">
              <w:rPr>
                <w:rFonts w:ascii="Calibri" w:hAnsi="Calibri" w:cs="Calibri"/>
                <w:i/>
                <w:szCs w:val="24"/>
                <w:lang w:val="fr-FR"/>
              </w:rPr>
              <w:t>Sarothrura elegans reichenov</w:t>
            </w:r>
            <w:r w:rsidRPr="001567E1">
              <w:rPr>
                <w:rFonts w:ascii="Calibri" w:hAnsi="Calibri" w:cs="Calibri"/>
                <w:szCs w:val="24"/>
                <w:lang w:val="fr-FR"/>
              </w:rPr>
              <w:t>i, Afrique du sud-ouest à Afrique centrale</w:t>
            </w:r>
          </w:p>
        </w:tc>
      </w:tr>
      <w:tr w:rsidR="00B11C6D" w:rsidRPr="001567E1" w14:paraId="360B5B59"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4CFE185" w14:textId="68B5F645" w:rsidR="00B11C6D" w:rsidRPr="001567E1" w:rsidRDefault="00161B7F" w:rsidP="00C767E0">
            <w:pPr>
              <w:widowControl w:val="0"/>
              <w:autoSpaceDE w:val="0"/>
              <w:autoSpaceDN w:val="0"/>
              <w:adjustRightInd w:val="0"/>
              <w:rPr>
                <w:rFonts w:ascii="Calibri" w:hAnsi="Calibri" w:cs="Calibri"/>
                <w:b/>
                <w:color w:val="auto"/>
                <w:szCs w:val="24"/>
                <w:lang w:val="fr-FR"/>
              </w:rPr>
            </w:pPr>
            <w:r w:rsidRPr="001567E1">
              <w:rPr>
                <w:rFonts w:ascii="Calibri" w:hAnsi="Calibri" w:cs="Calibri"/>
                <w:b/>
                <w:color w:val="auto"/>
                <w:szCs w:val="24"/>
                <w:lang w:val="fr-FR"/>
              </w:rPr>
              <w:t>Antarctique</w:t>
            </w:r>
          </w:p>
        </w:tc>
      </w:tr>
      <w:tr w:rsidR="00B11C6D" w:rsidRPr="001567E1" w14:paraId="098BD24B"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CBC295D" w14:textId="00B00CFA"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68BC8C53"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40F4450" w14:textId="63C2D8E1"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18FD032C"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4602F22" w14:textId="3B54B570"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Sterne couronnée</w:t>
            </w:r>
            <w:r w:rsidRPr="001567E1">
              <w:rPr>
                <w:lang w:val="fr-FR"/>
              </w:rPr>
              <w:t xml:space="preserve"> </w:t>
            </w:r>
            <w:r w:rsidRPr="001567E1">
              <w:rPr>
                <w:rFonts w:ascii="Calibri" w:hAnsi="Calibri" w:cs="Calibri"/>
                <w:i/>
                <w:szCs w:val="24"/>
                <w:lang w:val="fr-FR"/>
              </w:rPr>
              <w:t>Sterna vittata vittata</w:t>
            </w:r>
            <w:r w:rsidRPr="001567E1">
              <w:rPr>
                <w:rFonts w:ascii="Calibri" w:hAnsi="Calibri" w:cs="Calibri"/>
                <w:szCs w:val="24"/>
                <w:lang w:val="fr-FR"/>
              </w:rPr>
              <w:t>, P.Edward, Marion, Crozet &amp; Kerguelen/Afrique du Sud</w:t>
            </w:r>
          </w:p>
        </w:tc>
      </w:tr>
      <w:tr w:rsidR="00B11C6D" w:rsidRPr="00BC4D45" w14:paraId="7474A24C"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D6F5DF7" w14:textId="025C6304" w:rsidR="00B11C6D" w:rsidRPr="001567E1" w:rsidRDefault="00161B7F" w:rsidP="00C767E0">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lastRenderedPageBreak/>
              <w:t>Voie de migration d'Asie centrale</w:t>
            </w:r>
          </w:p>
        </w:tc>
      </w:tr>
      <w:tr w:rsidR="00B11C6D" w:rsidRPr="001567E1" w14:paraId="77A58BD0"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832815" w14:textId="54D6D42B"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624B7FC0"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4F190C4" w14:textId="340575ED"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Charadriidae</w:t>
            </w:r>
          </w:p>
        </w:tc>
      </w:tr>
      <w:tr w:rsidR="00B11C6D" w:rsidRPr="00BC4D45" w14:paraId="5369FB11"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570CCB5" w14:textId="50B6B756"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Vanneau à queue blanche </w:t>
            </w:r>
            <w:r w:rsidRPr="001567E1">
              <w:rPr>
                <w:rFonts w:ascii="Calibri" w:hAnsi="Calibri" w:cs="Calibri"/>
                <w:i/>
                <w:szCs w:val="24"/>
                <w:lang w:val="fr-FR"/>
              </w:rPr>
              <w:t>Vanellus leucurus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Asie centrale et du Sud-Ouest/Afrique du Nord-Est, Asie du Sud-Ouest et du Sud</w:t>
            </w:r>
          </w:p>
        </w:tc>
      </w:tr>
      <w:tr w:rsidR="00B11C6D" w:rsidRPr="001567E1" w14:paraId="3D1A4BEC"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3D1A7AD" w14:textId="168C06D3"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Scolopacidae</w:t>
            </w:r>
          </w:p>
        </w:tc>
      </w:tr>
      <w:tr w:rsidR="00B11C6D" w:rsidRPr="00BC4D45" w14:paraId="7D36472A"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4DF7FCA" w14:textId="73A04AC0"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Courlis corlieu </w:t>
            </w:r>
            <w:r w:rsidRPr="001567E1">
              <w:rPr>
                <w:rFonts w:ascii="Calibri" w:hAnsi="Calibri" w:cs="Calibri"/>
                <w:i/>
                <w:szCs w:val="24"/>
                <w:lang w:val="fr-FR"/>
              </w:rPr>
              <w:t>Numenius phaeopus rogachevae</w:t>
            </w:r>
            <w:r w:rsidRPr="001567E1">
              <w:rPr>
                <w:rFonts w:ascii="Calibri" w:hAnsi="Calibri" w:cs="Calibri"/>
                <w:szCs w:val="24"/>
                <w:lang w:val="fr-FR"/>
              </w:rPr>
              <w:t xml:space="preserve">, Sibérie centrale </w:t>
            </w:r>
            <w:r w:rsidR="0004293D">
              <w:rPr>
                <w:rFonts w:ascii="Calibri" w:hAnsi="Calibri" w:cs="Calibri"/>
                <w:szCs w:val="24"/>
                <w:lang w:val="fr-FR"/>
              </w:rPr>
              <w:t>(rep)</w:t>
            </w:r>
          </w:p>
        </w:tc>
      </w:tr>
      <w:tr w:rsidR="00B11C6D" w:rsidRPr="001567E1" w14:paraId="2800ED6A"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6550DD8" w14:textId="22E11A2A"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Gruiformes</w:t>
            </w:r>
          </w:p>
        </w:tc>
      </w:tr>
      <w:tr w:rsidR="00B11C6D" w:rsidRPr="001567E1" w14:paraId="1F5CD497"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6A0BC19" w14:textId="3E61AF0F"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Gruidae</w:t>
            </w:r>
          </w:p>
        </w:tc>
      </w:tr>
      <w:tr w:rsidR="00B11C6D" w:rsidRPr="00BC4D45" w14:paraId="0AE45A02"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7545F99" w14:textId="58FE2FBB"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Grue cendrée </w:t>
            </w:r>
            <w:r w:rsidRPr="001567E1">
              <w:rPr>
                <w:rFonts w:ascii="Calibri" w:hAnsi="Calibri" w:cs="Calibri"/>
                <w:i/>
                <w:szCs w:val="24"/>
                <w:lang w:val="fr-FR"/>
              </w:rPr>
              <w:t>Grus grus grus</w:t>
            </w:r>
            <w:r w:rsidRPr="001567E1">
              <w:rPr>
                <w:rFonts w:ascii="Calibri" w:hAnsi="Calibri" w:cs="Calibri"/>
                <w:szCs w:val="24"/>
                <w:lang w:val="fr-FR"/>
              </w:rPr>
              <w:t>, Sibérie occidentale/Asie du Sud</w:t>
            </w:r>
          </w:p>
        </w:tc>
      </w:tr>
      <w:tr w:rsidR="00B11C6D" w:rsidRPr="001567E1" w14:paraId="29CEC0EE"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55DC801" w14:textId="275FD9B1"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64D8617D"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BCC39F5" w14:textId="112DBE84" w:rsidR="00B11C6D" w:rsidRPr="001567E1" w:rsidRDefault="00161B7F" w:rsidP="004E3BA2">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Râle d’eau </w:t>
            </w:r>
            <w:r w:rsidRPr="001567E1">
              <w:rPr>
                <w:rFonts w:ascii="Calibri" w:hAnsi="Calibri" w:cs="Calibri"/>
                <w:i/>
                <w:szCs w:val="24"/>
                <w:lang w:val="fr-FR"/>
              </w:rPr>
              <w:t>Rallus aquaticus korejewi</w:t>
            </w:r>
            <w:r w:rsidRPr="001567E1">
              <w:rPr>
                <w:rFonts w:ascii="Calibri" w:hAnsi="Calibri" w:cs="Calibri"/>
                <w:szCs w:val="24"/>
                <w:lang w:val="fr-FR"/>
              </w:rPr>
              <w:t xml:space="preserve">, Sibérie occidentale/Asie du </w:t>
            </w:r>
            <w:r w:rsidR="004E3BA2">
              <w:rPr>
                <w:rFonts w:ascii="Calibri" w:hAnsi="Calibri" w:cs="Calibri"/>
                <w:szCs w:val="24"/>
                <w:lang w:val="fr-FR"/>
              </w:rPr>
              <w:t>Sud-O</w:t>
            </w:r>
            <w:r w:rsidRPr="001567E1">
              <w:rPr>
                <w:rFonts w:ascii="Calibri" w:hAnsi="Calibri" w:cs="Calibri"/>
                <w:szCs w:val="24"/>
                <w:lang w:val="fr-FR"/>
              </w:rPr>
              <w:t>uest</w:t>
            </w:r>
          </w:p>
        </w:tc>
      </w:tr>
      <w:tr w:rsidR="00B11C6D" w:rsidRPr="00BC4D45" w14:paraId="76DA7D1F"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C20F16B" w14:textId="6CEDE618" w:rsidR="00B11C6D" w:rsidRPr="001567E1" w:rsidRDefault="00161B7F" w:rsidP="00C767E0">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Voie de migration de l’Atlantique Est</w:t>
            </w:r>
          </w:p>
        </w:tc>
      </w:tr>
      <w:tr w:rsidR="00B11C6D" w:rsidRPr="001567E1" w14:paraId="6DD5AB46"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6FEF3A4" w14:textId="2798FD5A"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7E18BD39"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9188E52" w14:textId="26A0DC00"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699D042F"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62020F5" w14:textId="0D2C0FCE"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Mouette de Sabine</w:t>
            </w:r>
            <w:r w:rsidRPr="001567E1">
              <w:rPr>
                <w:rFonts w:ascii="Calibri" w:hAnsi="Calibri" w:cs="Calibri"/>
                <w:i/>
                <w:szCs w:val="24"/>
                <w:lang w:val="fr-FR"/>
              </w:rPr>
              <w:t xml:space="preserve"> Xema sabini sabini</w:t>
            </w:r>
            <w:r w:rsidRPr="001567E1">
              <w:rPr>
                <w:rFonts w:ascii="Calibri" w:hAnsi="Calibri" w:cs="Calibri"/>
                <w:szCs w:val="24"/>
                <w:lang w:val="fr-FR"/>
              </w:rPr>
              <w:t>, Canada et Groenland/Atlantique du Sud-Est</w:t>
            </w:r>
          </w:p>
        </w:tc>
      </w:tr>
      <w:tr w:rsidR="00B11C6D" w:rsidRPr="001567E1" w14:paraId="3C88D7A2"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7B66D38" w14:textId="01719DAB"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Scolopacidae</w:t>
            </w:r>
          </w:p>
        </w:tc>
      </w:tr>
      <w:tr w:rsidR="00B11C6D" w:rsidRPr="00BC4D45" w14:paraId="70DAAF1E"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8C536F8" w14:textId="500BD968"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Courlis corlieu </w:t>
            </w:r>
            <w:r w:rsidRPr="001567E1">
              <w:rPr>
                <w:rFonts w:ascii="Calibri" w:hAnsi="Calibri" w:cs="Calibri"/>
                <w:i/>
                <w:szCs w:val="24"/>
                <w:lang w:val="fr-FR"/>
              </w:rPr>
              <w:t>Numenius phaeopus islandicus</w:t>
            </w:r>
            <w:r w:rsidRPr="001567E1">
              <w:rPr>
                <w:rFonts w:ascii="Calibri" w:hAnsi="Calibri" w:cs="Calibri"/>
                <w:szCs w:val="24"/>
                <w:lang w:val="fr-FR"/>
              </w:rPr>
              <w:t>, Islande, Féroé et Écosse/Afrique de l’Ouest</w:t>
            </w:r>
          </w:p>
        </w:tc>
      </w:tr>
      <w:tr w:rsidR="00B11C6D" w:rsidRPr="00BC4D45" w14:paraId="27C4F16F"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07D08BD" w14:textId="2F217AA8" w:rsidR="00B11C6D" w:rsidRPr="001567E1" w:rsidRDefault="00161B7F" w:rsidP="00C767E0">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Vois de migration d’Asie de l’Ouest-Afrique de l’Est</w:t>
            </w:r>
          </w:p>
        </w:tc>
      </w:tr>
      <w:tr w:rsidR="00B11C6D" w:rsidRPr="001567E1" w14:paraId="427A908B"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96F00B2" w14:textId="57EA5AF6" w:rsidR="00B11C6D" w:rsidRPr="001567E1" w:rsidRDefault="00161B7F"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156FD283"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3080334" w14:textId="134473F1"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Charadriidae</w:t>
            </w:r>
          </w:p>
        </w:tc>
      </w:tr>
      <w:tr w:rsidR="00B11C6D" w:rsidRPr="00BC4D45" w14:paraId="534DA054"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DEB9F5D" w14:textId="3055A326"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Pluvier fauve Plover</w:t>
            </w:r>
            <w:r w:rsidRPr="001567E1">
              <w:rPr>
                <w:rFonts w:ascii="Calibri" w:hAnsi="Calibri" w:cs="Calibri"/>
                <w:i/>
                <w:szCs w:val="24"/>
                <w:lang w:val="fr-FR"/>
              </w:rPr>
              <w:t xml:space="preserve"> Pluvialis fulva</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Sibérie du Nord-centrale/Asir du Sud et du Sud-Ouest, Afrique du Nord-Est</w:t>
            </w:r>
          </w:p>
        </w:tc>
      </w:tr>
      <w:tr w:rsidR="00B11C6D" w:rsidRPr="00BC4D45" w14:paraId="54469F7C" w14:textId="77777777" w:rsidTr="00161B7F">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40CA5EF" w14:textId="798B5775" w:rsidR="00B11C6D" w:rsidRPr="001567E1" w:rsidRDefault="00161B7F"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Vanneau sociable </w:t>
            </w:r>
            <w:r w:rsidRPr="001567E1">
              <w:rPr>
                <w:rFonts w:ascii="Calibri" w:hAnsi="Calibri" w:cs="Calibri"/>
                <w:i/>
                <w:szCs w:val="24"/>
                <w:lang w:val="fr-FR"/>
              </w:rPr>
              <w:t>Vanellus gregarius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Asie centrale/Asie du Sud, Asie du Sud-Ouest, Afrique du Nord-Est</w:t>
            </w:r>
          </w:p>
        </w:tc>
      </w:tr>
      <w:tr w:rsidR="00B11C6D" w:rsidRPr="001567E1" w14:paraId="100E5FC7" w14:textId="77777777" w:rsidTr="00161B7F">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6133D6" w14:textId="32FDB4EB" w:rsidR="00B11C6D" w:rsidRPr="001567E1" w:rsidRDefault="00161B7F"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Glareolidae</w:t>
            </w:r>
          </w:p>
        </w:tc>
      </w:tr>
      <w:tr w:rsidR="00B11C6D" w:rsidRPr="00BC4D45" w14:paraId="62E5B24E"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27D1044" w14:textId="3E308C6E"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Glaréole à collier</w:t>
            </w:r>
            <w:r w:rsidR="00161B7F" w:rsidRPr="001567E1">
              <w:rPr>
                <w:rFonts w:ascii="Calibri" w:hAnsi="Calibri" w:cs="Calibri"/>
                <w:szCs w:val="24"/>
                <w:lang w:val="fr-FR"/>
              </w:rPr>
              <w:t xml:space="preserve"> Pratincole</w:t>
            </w:r>
            <w:r w:rsidR="00161B7F" w:rsidRPr="001567E1">
              <w:rPr>
                <w:rFonts w:ascii="Calibri" w:hAnsi="Calibri" w:cs="Calibri"/>
                <w:i/>
                <w:szCs w:val="24"/>
                <w:lang w:val="fr-FR"/>
              </w:rPr>
              <w:t xml:space="preserve"> Glareola pratincola pratincola</w:t>
            </w:r>
            <w:r w:rsidR="00161B7F" w:rsidRPr="001567E1">
              <w:rPr>
                <w:rFonts w:ascii="Calibri" w:hAnsi="Calibri" w:cs="Calibri"/>
                <w:szCs w:val="24"/>
                <w:lang w:val="fr-FR"/>
              </w:rPr>
              <w:t xml:space="preserve">, </w:t>
            </w:r>
            <w:r w:rsidRPr="001567E1">
              <w:rPr>
                <w:rFonts w:ascii="Calibri" w:hAnsi="Calibri" w:cs="Calibri"/>
                <w:szCs w:val="24"/>
                <w:lang w:val="fr-FR"/>
              </w:rPr>
              <w:t>Asie du Sud-Ouest</w:t>
            </w:r>
            <w:r w:rsidR="00161B7F" w:rsidRPr="001567E1">
              <w:rPr>
                <w:rFonts w:ascii="Calibri" w:hAnsi="Calibri" w:cs="Calibri"/>
                <w:szCs w:val="24"/>
                <w:lang w:val="fr-FR"/>
              </w:rPr>
              <w:t>/</w:t>
            </w:r>
            <w:r w:rsidRPr="001567E1">
              <w:rPr>
                <w:rFonts w:ascii="Calibri" w:hAnsi="Calibri" w:cs="Calibri"/>
                <w:szCs w:val="24"/>
                <w:lang w:val="fr-FR"/>
              </w:rPr>
              <w:t>Asie du Sud-Ouest et Afrique du Nord-Est</w:t>
            </w:r>
          </w:p>
        </w:tc>
      </w:tr>
      <w:tr w:rsidR="00B11C6D" w:rsidRPr="001567E1" w14:paraId="21A6A3BA"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0F63D9E" w14:textId="70EB001F" w:rsidR="00B11C6D" w:rsidRPr="001567E1" w:rsidRDefault="00960CE8"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1065E208"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0E3DB6F" w14:textId="7FB6A8CD" w:rsidR="00B11C6D" w:rsidRPr="001567E1" w:rsidRDefault="00960CE8" w:rsidP="0004293D">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Guifette moustac</w:t>
            </w:r>
            <w:r w:rsidRPr="001567E1">
              <w:rPr>
                <w:rFonts w:ascii="Calibri" w:hAnsi="Calibri" w:cs="Calibri"/>
                <w:i/>
                <w:szCs w:val="24"/>
                <w:lang w:val="fr-FR"/>
              </w:rPr>
              <w:t xml:space="preserve"> Chlidonias hybrida hybrida</w:t>
            </w:r>
            <w:r w:rsidRPr="001567E1">
              <w:rPr>
                <w:rFonts w:ascii="Calibri" w:hAnsi="Calibri" w:cs="Calibri"/>
                <w:szCs w:val="24"/>
                <w:lang w:val="fr-FR"/>
              </w:rPr>
              <w:t xml:space="preserve">, </w:t>
            </w:r>
            <w:r w:rsidR="0004293D">
              <w:rPr>
                <w:rFonts w:ascii="Calibri" w:hAnsi="Calibri" w:cs="Calibri"/>
                <w:szCs w:val="24"/>
                <w:lang w:val="fr-FR"/>
              </w:rPr>
              <w:t>mer</w:t>
            </w:r>
            <w:r w:rsidRPr="001567E1">
              <w:rPr>
                <w:rFonts w:ascii="Calibri" w:hAnsi="Calibri" w:cs="Calibri"/>
                <w:szCs w:val="24"/>
                <w:lang w:val="fr-FR"/>
              </w:rPr>
              <w:t xml:space="preserve"> </w:t>
            </w:r>
            <w:r w:rsidR="0004293D">
              <w:rPr>
                <w:rFonts w:ascii="Calibri" w:hAnsi="Calibri" w:cs="Calibri"/>
                <w:szCs w:val="24"/>
                <w:lang w:val="fr-FR"/>
              </w:rPr>
              <w:t>C</w:t>
            </w:r>
            <w:r w:rsidRPr="001567E1">
              <w:rPr>
                <w:rFonts w:ascii="Calibri" w:hAnsi="Calibri" w:cs="Calibri"/>
                <w:szCs w:val="24"/>
                <w:lang w:val="fr-FR"/>
              </w:rPr>
              <w:t xml:space="preserve">aspienne </w:t>
            </w:r>
            <w:r w:rsidR="0004293D">
              <w:rPr>
                <w:rFonts w:ascii="Calibri" w:hAnsi="Calibri" w:cs="Calibri"/>
                <w:szCs w:val="24"/>
                <w:lang w:val="fr-FR"/>
              </w:rPr>
              <w:t>(rep)</w:t>
            </w:r>
          </w:p>
        </w:tc>
      </w:tr>
      <w:tr w:rsidR="00B11C6D" w:rsidRPr="00BC4D45" w14:paraId="35863CE1"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F9D02EE" w14:textId="66BBA207" w:rsidR="00B11C6D" w:rsidRPr="001567E1" w:rsidRDefault="00960CE8" w:rsidP="00C767E0">
            <w:pPr>
              <w:keepNext/>
              <w:keepLines/>
              <w:widowControl w:val="0"/>
              <w:autoSpaceDE w:val="0"/>
              <w:autoSpaceDN w:val="0"/>
              <w:adjustRightInd w:val="0"/>
              <w:spacing w:before="240" w:after="60"/>
              <w:ind w:left="2160"/>
              <w:outlineLvl w:val="2"/>
              <w:rPr>
                <w:rFonts w:ascii="Calibri" w:hAnsi="Calibri" w:cs="Calibri"/>
                <w:szCs w:val="24"/>
                <w:lang w:val="fr-FR"/>
              </w:rPr>
            </w:pPr>
            <w:bookmarkStart w:id="60" w:name="_Toc517262017"/>
            <w:r w:rsidRPr="001567E1">
              <w:rPr>
                <w:rFonts w:ascii="Calibri" w:hAnsi="Calibri" w:cs="Calibri"/>
                <w:szCs w:val="24"/>
                <w:lang w:val="fr-FR"/>
              </w:rPr>
              <w:t xml:space="preserve">Mouette de Heuglin </w:t>
            </w:r>
            <w:r w:rsidRPr="001567E1">
              <w:rPr>
                <w:rFonts w:ascii="Calibri" w:hAnsi="Calibri" w:cs="Calibri"/>
                <w:i/>
                <w:szCs w:val="24"/>
                <w:lang w:val="fr-FR"/>
              </w:rPr>
              <w:t>Larus fuscus heuglini</w:t>
            </w:r>
            <w:r w:rsidRPr="001567E1">
              <w:rPr>
                <w:rFonts w:ascii="Calibri" w:hAnsi="Calibri" w:cs="Calibri"/>
                <w:szCs w:val="24"/>
                <w:lang w:val="fr-FR"/>
              </w:rPr>
              <w:t>, Europe du Nord-Est et Sibérie occidentale/Asie du Sud-Ouest et Afrique du Nord-Est</w:t>
            </w:r>
            <w:bookmarkEnd w:id="60"/>
          </w:p>
        </w:tc>
      </w:tr>
      <w:tr w:rsidR="00B11C6D" w:rsidRPr="00BC4D45" w14:paraId="45737469"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9DA4419" w14:textId="10F29657"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Goéland ichthyaète</w:t>
            </w:r>
            <w:r w:rsidRPr="001567E1">
              <w:rPr>
                <w:rFonts w:ascii="Calibri" w:hAnsi="Calibri" w:cs="Calibri"/>
                <w:i/>
                <w:szCs w:val="24"/>
                <w:lang w:val="fr-FR"/>
              </w:rPr>
              <w:t xml:space="preserve"> Larus ichthyaetus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mer Noire et Caspienne/Asie du Sud-Ouest</w:t>
            </w:r>
          </w:p>
        </w:tc>
      </w:tr>
      <w:tr w:rsidR="00B11C6D" w:rsidRPr="001567E1" w14:paraId="0033EA4C"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945A766" w14:textId="6F772244"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Sterne pierregarin</w:t>
            </w:r>
            <w:r w:rsidRPr="001567E1">
              <w:rPr>
                <w:rFonts w:ascii="Calibri" w:hAnsi="Calibri" w:cs="Calibri"/>
                <w:i/>
                <w:szCs w:val="24"/>
                <w:lang w:val="fr-FR"/>
              </w:rPr>
              <w:t xml:space="preserve"> Sterna hirundo hirundo</w:t>
            </w:r>
            <w:r w:rsidRPr="001567E1">
              <w:rPr>
                <w:rFonts w:ascii="Calibri" w:hAnsi="Calibri" w:cs="Calibri"/>
                <w:szCs w:val="24"/>
                <w:lang w:val="fr-FR"/>
              </w:rPr>
              <w:t xml:space="preserve">, Asie de l’Ouest </w:t>
            </w:r>
            <w:r w:rsidR="0004293D">
              <w:rPr>
                <w:rFonts w:ascii="Calibri" w:hAnsi="Calibri" w:cs="Calibri"/>
                <w:szCs w:val="24"/>
                <w:lang w:val="fr-FR"/>
              </w:rPr>
              <w:t>(rep)</w:t>
            </w:r>
          </w:p>
        </w:tc>
      </w:tr>
      <w:tr w:rsidR="00B11C6D" w:rsidRPr="00BC4D45" w14:paraId="16A2CAFB"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2B00AFF" w14:textId="2197CCAC"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Sterne huppée</w:t>
            </w:r>
            <w:r w:rsidRPr="001567E1">
              <w:rPr>
                <w:rFonts w:ascii="Calibri" w:hAnsi="Calibri" w:cs="Calibri"/>
                <w:i/>
                <w:szCs w:val="24"/>
                <w:lang w:val="fr-FR"/>
              </w:rPr>
              <w:t xml:space="preserve"> Thalasseus bergii velox</w:t>
            </w:r>
            <w:r w:rsidRPr="001567E1">
              <w:rPr>
                <w:rFonts w:ascii="Calibri" w:hAnsi="Calibri" w:cs="Calibri"/>
                <w:szCs w:val="24"/>
                <w:lang w:val="fr-FR"/>
              </w:rPr>
              <w:t>, mer Rouge et Afrique du Nord-Est</w:t>
            </w:r>
          </w:p>
        </w:tc>
      </w:tr>
      <w:tr w:rsidR="00B11C6D" w:rsidRPr="00BC4D45" w14:paraId="2275EA15"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E51C816" w14:textId="563175EA"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Sterne caugek</w:t>
            </w:r>
            <w:r w:rsidRPr="001567E1">
              <w:rPr>
                <w:rFonts w:ascii="Calibri" w:hAnsi="Calibri" w:cs="Calibri"/>
                <w:i/>
                <w:szCs w:val="24"/>
                <w:lang w:val="fr-FR"/>
              </w:rPr>
              <w:t xml:space="preserve"> Thalasseus sandvicensis sandvicensis</w:t>
            </w:r>
            <w:r w:rsidRPr="001567E1">
              <w:rPr>
                <w:rFonts w:ascii="Calibri" w:hAnsi="Calibri" w:cs="Calibri"/>
                <w:szCs w:val="24"/>
                <w:lang w:val="fr-FR"/>
              </w:rPr>
              <w:t>, Asie de l’Ouest et centrale/Asie du Sud-Ouest et du Sud</w:t>
            </w:r>
          </w:p>
        </w:tc>
      </w:tr>
      <w:tr w:rsidR="00B11C6D" w:rsidRPr="001567E1" w14:paraId="7DE65AE3"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0A1E54C" w14:textId="1530A25E" w:rsidR="00B11C6D" w:rsidRPr="001567E1" w:rsidRDefault="00960CE8"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lastRenderedPageBreak/>
              <w:t>Scolopacidae</w:t>
            </w:r>
          </w:p>
        </w:tc>
      </w:tr>
      <w:tr w:rsidR="00B11C6D" w:rsidRPr="00BC4D45" w14:paraId="084F36C8"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939C535" w14:textId="57033CD9"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Bécassine des marais</w:t>
            </w:r>
            <w:r w:rsidRPr="001567E1">
              <w:rPr>
                <w:rFonts w:ascii="Calibri" w:hAnsi="Calibri" w:cs="Calibri"/>
                <w:i/>
                <w:szCs w:val="24"/>
                <w:lang w:val="fr-FR"/>
              </w:rPr>
              <w:t xml:space="preserve"> Gallinago gallinago gallinago</w:t>
            </w:r>
            <w:r w:rsidRPr="001567E1">
              <w:rPr>
                <w:rFonts w:ascii="Calibri" w:hAnsi="Calibri" w:cs="Calibri"/>
                <w:szCs w:val="24"/>
                <w:lang w:val="fr-FR"/>
              </w:rPr>
              <w:t>, Sibérie occidentale/Asie du Sud-Ouest et Afrique</w:t>
            </w:r>
          </w:p>
        </w:tc>
      </w:tr>
      <w:tr w:rsidR="00B11C6D" w:rsidRPr="00BC4D45" w14:paraId="1C0F962B"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1F556CB" w14:textId="2FB0D70E"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Bécassine à queue pointue</w:t>
            </w:r>
            <w:r w:rsidRPr="001567E1">
              <w:rPr>
                <w:rFonts w:ascii="Calibri" w:hAnsi="Calibri" w:cs="Calibri"/>
                <w:i/>
                <w:szCs w:val="24"/>
                <w:lang w:val="fr-FR"/>
              </w:rPr>
              <w:t xml:space="preserve"> Gallinago stenura</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Sibérie septentrionale/Asie du Sud et Afrique de l’Est</w:t>
            </w:r>
          </w:p>
        </w:tc>
      </w:tr>
      <w:tr w:rsidR="00B11C6D" w:rsidRPr="00BC4D45" w14:paraId="41493088"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D00C318" w14:textId="3AF81119"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Courlis cendré</w:t>
            </w:r>
            <w:r w:rsidRPr="001567E1">
              <w:rPr>
                <w:rFonts w:ascii="Calibri" w:hAnsi="Calibri" w:cs="Calibri"/>
                <w:i/>
                <w:szCs w:val="24"/>
                <w:lang w:val="fr-FR"/>
              </w:rPr>
              <w:t xml:space="preserve"> Numenius arquata suschkini</w:t>
            </w:r>
            <w:r w:rsidRPr="001567E1">
              <w:rPr>
                <w:rFonts w:ascii="Calibri" w:hAnsi="Calibri" w:cs="Calibri"/>
                <w:szCs w:val="24"/>
                <w:lang w:val="fr-FR"/>
              </w:rPr>
              <w:t xml:space="preserve">, Europe du Sud-Est et Asie du Sud-Ouest </w:t>
            </w:r>
            <w:r w:rsidR="0004293D">
              <w:rPr>
                <w:rFonts w:ascii="Calibri" w:hAnsi="Calibri" w:cs="Calibri"/>
                <w:szCs w:val="24"/>
                <w:lang w:val="fr-FR"/>
              </w:rPr>
              <w:t>(rep)</w:t>
            </w:r>
          </w:p>
        </w:tc>
      </w:tr>
      <w:tr w:rsidR="00B11C6D" w:rsidRPr="00BC4D45" w14:paraId="0080B9AD"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FD7AFD1" w14:textId="72720BFE" w:rsidR="00B11C6D" w:rsidRPr="001567E1" w:rsidRDefault="00960CE8"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Courlis corlieu </w:t>
            </w:r>
            <w:r w:rsidRPr="001567E1">
              <w:rPr>
                <w:rFonts w:ascii="Calibri" w:hAnsi="Calibri" w:cs="Calibri"/>
                <w:i/>
                <w:szCs w:val="24"/>
                <w:lang w:val="fr-FR"/>
              </w:rPr>
              <w:t>Numenius phaeopus alboaxilliaris</w:t>
            </w:r>
            <w:r w:rsidRPr="001567E1">
              <w:rPr>
                <w:rFonts w:ascii="Calibri" w:hAnsi="Calibri" w:cs="Calibri"/>
                <w:szCs w:val="24"/>
                <w:lang w:val="fr-FR"/>
              </w:rPr>
              <w:t>, Asie du Sud-Ouest/Afrique de l’Est</w:t>
            </w:r>
          </w:p>
        </w:tc>
      </w:tr>
      <w:tr w:rsidR="00B11C6D" w:rsidRPr="001567E1" w14:paraId="2548E834" w14:textId="77777777" w:rsidTr="00960CE8">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655FBFAB" w14:textId="5000F7BE" w:rsidR="00B11C6D" w:rsidRPr="001567E1" w:rsidRDefault="00960CE8"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Ciconiiformes</w:t>
            </w:r>
          </w:p>
        </w:tc>
      </w:tr>
      <w:tr w:rsidR="00B11C6D" w:rsidRPr="001567E1" w14:paraId="2FAF7FD6" w14:textId="77777777" w:rsidTr="00960CE8">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900D31A" w14:textId="6F08DFF5" w:rsidR="00B11C6D" w:rsidRPr="001567E1" w:rsidRDefault="00960CE8"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Ardeidae</w:t>
            </w:r>
          </w:p>
        </w:tc>
      </w:tr>
      <w:tr w:rsidR="00B11C6D" w:rsidRPr="00BC4D45" w14:paraId="6651CDE8"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7AC80417" w14:textId="78897931"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Crabier chevelu</w:t>
            </w:r>
            <w:r w:rsidR="00960CE8" w:rsidRPr="001567E1">
              <w:rPr>
                <w:rFonts w:ascii="Calibri" w:hAnsi="Calibri" w:cs="Calibri"/>
                <w:i/>
                <w:szCs w:val="24"/>
                <w:lang w:val="fr-FR"/>
              </w:rPr>
              <w:t xml:space="preserve"> Ardeola ralloides ralloides</w:t>
            </w:r>
            <w:r w:rsidR="00960CE8" w:rsidRPr="001567E1">
              <w:rPr>
                <w:rFonts w:ascii="Calibri" w:hAnsi="Calibri" w:cs="Calibri"/>
                <w:szCs w:val="24"/>
                <w:lang w:val="fr-FR"/>
              </w:rPr>
              <w:t xml:space="preserve">, </w:t>
            </w:r>
            <w:r w:rsidRPr="001567E1">
              <w:rPr>
                <w:rFonts w:ascii="Calibri" w:hAnsi="Calibri" w:cs="Calibri"/>
                <w:szCs w:val="24"/>
                <w:lang w:val="fr-FR"/>
              </w:rPr>
              <w:t>Asie de l’Ouest et du Sud-Ouest</w:t>
            </w:r>
            <w:r w:rsidR="00960CE8" w:rsidRPr="001567E1">
              <w:rPr>
                <w:rFonts w:ascii="Calibri" w:hAnsi="Calibri" w:cs="Calibri"/>
                <w:szCs w:val="24"/>
                <w:lang w:val="fr-FR"/>
              </w:rPr>
              <w:t>/</w:t>
            </w:r>
            <w:r w:rsidRPr="001567E1">
              <w:rPr>
                <w:rFonts w:ascii="Calibri" w:hAnsi="Calibri" w:cs="Calibri"/>
                <w:szCs w:val="24"/>
                <w:lang w:val="fr-FR"/>
              </w:rPr>
              <w:t>Afrique sub-saharienne</w:t>
            </w:r>
          </w:p>
        </w:tc>
      </w:tr>
      <w:tr w:rsidR="00B11C6D" w:rsidRPr="00BC4D45" w14:paraId="3A92CFDD"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B551851" w14:textId="51C9F75C"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Butor étoilé</w:t>
            </w:r>
            <w:r w:rsidRPr="001567E1">
              <w:rPr>
                <w:rFonts w:ascii="Calibri" w:hAnsi="Calibri" w:cs="Calibri"/>
                <w:i/>
                <w:szCs w:val="24"/>
                <w:lang w:val="fr-FR"/>
              </w:rPr>
              <w:t xml:space="preserve"> Botaurus stellaris stellaris</w:t>
            </w:r>
            <w:r w:rsidRPr="001567E1">
              <w:rPr>
                <w:rFonts w:ascii="Calibri" w:hAnsi="Calibri" w:cs="Calibri"/>
                <w:szCs w:val="24"/>
                <w:lang w:val="fr-FR"/>
              </w:rPr>
              <w:t xml:space="preserve">, Asie du Sud-Ouest </w:t>
            </w:r>
            <w:r w:rsidR="0004293D">
              <w:rPr>
                <w:rFonts w:ascii="Calibri" w:hAnsi="Calibri" w:cs="Calibri"/>
                <w:szCs w:val="24"/>
                <w:lang w:val="fr-FR"/>
              </w:rPr>
              <w:t>(hiv)</w:t>
            </w:r>
          </w:p>
        </w:tc>
      </w:tr>
      <w:tr w:rsidR="00B11C6D" w:rsidRPr="00BC4D45" w14:paraId="203EAA32"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D3D359E" w14:textId="1AD2A429"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Blongios nain</w:t>
            </w:r>
            <w:r w:rsidRPr="001567E1">
              <w:rPr>
                <w:rFonts w:ascii="Calibri" w:hAnsi="Calibri" w:cs="Calibri"/>
                <w:i/>
                <w:szCs w:val="24"/>
                <w:lang w:val="fr-FR"/>
              </w:rPr>
              <w:t xml:space="preserve"> Ixobrychus minutus minutus</w:t>
            </w:r>
            <w:r w:rsidRPr="001567E1">
              <w:rPr>
                <w:rFonts w:ascii="Calibri" w:hAnsi="Calibri" w:cs="Calibri"/>
                <w:szCs w:val="24"/>
                <w:lang w:val="fr-FR"/>
              </w:rPr>
              <w:t>, Asie de l’Ouest et du Sud-Ouest/Afrique sub-saharienne</w:t>
            </w:r>
          </w:p>
        </w:tc>
      </w:tr>
      <w:tr w:rsidR="00B11C6D" w:rsidRPr="00BC4D45" w14:paraId="5B2BEF9C"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F13F1B2" w14:textId="2EC4844B"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Bihoreau gris</w:t>
            </w:r>
            <w:r w:rsidRPr="001567E1">
              <w:rPr>
                <w:rFonts w:ascii="Calibri" w:hAnsi="Calibri" w:cs="Calibri"/>
                <w:i/>
                <w:szCs w:val="24"/>
                <w:lang w:val="fr-FR"/>
              </w:rPr>
              <w:t xml:space="preserve"> Nycticorax nycticorax nycticorax</w:t>
            </w:r>
            <w:r w:rsidRPr="001567E1">
              <w:rPr>
                <w:rFonts w:ascii="Calibri" w:hAnsi="Calibri" w:cs="Calibri"/>
                <w:szCs w:val="24"/>
                <w:lang w:val="fr-FR"/>
              </w:rPr>
              <w:t>, Asie de l’Ouest/Asie du Sud-Ouest et Afrique du Nord-Est</w:t>
            </w:r>
          </w:p>
        </w:tc>
      </w:tr>
      <w:tr w:rsidR="00B11C6D" w:rsidRPr="001567E1" w14:paraId="3254F888"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F942B7C" w14:textId="4D2E5CDE" w:rsidR="00B11C6D" w:rsidRPr="001567E1" w:rsidRDefault="00F068D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Ciconiidae</w:t>
            </w:r>
          </w:p>
        </w:tc>
      </w:tr>
      <w:tr w:rsidR="00B11C6D" w:rsidRPr="00BC4D45" w14:paraId="2CD62844"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0CF5400" w14:textId="4922A08A"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Cigogne blanche</w:t>
            </w:r>
            <w:r w:rsidRPr="001567E1">
              <w:rPr>
                <w:rFonts w:ascii="Calibri" w:hAnsi="Calibri" w:cs="Calibri"/>
                <w:i/>
                <w:szCs w:val="24"/>
                <w:lang w:val="fr-FR"/>
              </w:rPr>
              <w:t xml:space="preserve"> Ciconia ciconia ciconia</w:t>
            </w:r>
            <w:r w:rsidRPr="001567E1">
              <w:rPr>
                <w:rFonts w:ascii="Calibri" w:hAnsi="Calibri" w:cs="Calibri"/>
                <w:szCs w:val="24"/>
                <w:lang w:val="fr-FR"/>
              </w:rPr>
              <w:t>, Asie de l’Ouest/Asie du Sud-Ouest</w:t>
            </w:r>
          </w:p>
        </w:tc>
      </w:tr>
      <w:tr w:rsidR="00B11C6D" w:rsidRPr="001567E1" w14:paraId="052B415D"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D38F3F" w14:textId="4F8B4CAB" w:rsidR="00B11C6D" w:rsidRPr="001567E1" w:rsidRDefault="00F068D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Threskiornithidae</w:t>
            </w:r>
          </w:p>
        </w:tc>
      </w:tr>
      <w:tr w:rsidR="00B11C6D" w:rsidRPr="00BC4D45" w14:paraId="6577659C"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77743F8" w14:textId="2DC1AE5C"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Ibis falcinelle</w:t>
            </w:r>
            <w:r w:rsidRPr="001567E1">
              <w:rPr>
                <w:rFonts w:ascii="Calibri" w:hAnsi="Calibri" w:cs="Calibri"/>
                <w:i/>
                <w:szCs w:val="24"/>
                <w:lang w:val="fr-FR"/>
              </w:rPr>
              <w:t xml:space="preserve"> Plegadis falcinellus</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Asie du Sud-Ouest/Afrique de l’Est</w:t>
            </w:r>
          </w:p>
        </w:tc>
      </w:tr>
      <w:tr w:rsidR="00B11C6D" w:rsidRPr="001567E1" w14:paraId="042EE704"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081F208" w14:textId="2224EC0B" w:rsidR="00B11C6D" w:rsidRPr="001567E1" w:rsidRDefault="00F068DE" w:rsidP="00C767E0">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Paléarctique occidental – Atlantique</w:t>
            </w:r>
          </w:p>
        </w:tc>
      </w:tr>
      <w:tr w:rsidR="00B11C6D" w:rsidRPr="001567E1" w14:paraId="289D6ECD"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6612A38" w14:textId="384E3767" w:rsidR="00B11C6D" w:rsidRPr="001567E1" w:rsidRDefault="00F068DE"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1F61EE25"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AB07AC0" w14:textId="228DFCCA" w:rsidR="00B11C6D" w:rsidRPr="001567E1" w:rsidRDefault="00F068D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Alcidae</w:t>
            </w:r>
          </w:p>
        </w:tc>
      </w:tr>
      <w:tr w:rsidR="00B11C6D" w:rsidRPr="00BC4D45" w14:paraId="2B19B077"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AF9C57B" w14:textId="5839C2E1"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Mergule nain</w:t>
            </w:r>
            <w:r w:rsidRPr="001567E1">
              <w:rPr>
                <w:rFonts w:ascii="Calibri" w:hAnsi="Calibri" w:cs="Calibri"/>
                <w:i/>
                <w:szCs w:val="24"/>
                <w:lang w:val="fr-FR"/>
              </w:rPr>
              <w:t xml:space="preserve"> Alle alle alle</w:t>
            </w:r>
            <w:r w:rsidRPr="001567E1">
              <w:rPr>
                <w:rFonts w:ascii="Calibri" w:hAnsi="Calibri" w:cs="Calibri"/>
                <w:szCs w:val="24"/>
                <w:lang w:val="fr-FR"/>
              </w:rPr>
              <w:t>, Haut Arctique, île de Baffin</w:t>
            </w:r>
            <w:r w:rsidR="00B11C6D" w:rsidRPr="001567E1">
              <w:rPr>
                <w:rFonts w:ascii="Calibri" w:hAnsi="Calibri" w:cs="Calibri"/>
                <w:szCs w:val="24"/>
                <w:lang w:val="fr-FR"/>
              </w:rPr>
              <w:t xml:space="preserve"> </w:t>
            </w:r>
          </w:p>
        </w:tc>
      </w:tr>
      <w:tr w:rsidR="00B11C6D" w:rsidRPr="00BC4D45" w14:paraId="1CF79901"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1393823A" w14:textId="0D68EFF5"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Guillemot à miroir</w:t>
            </w:r>
            <w:r w:rsidRPr="001567E1">
              <w:rPr>
                <w:rFonts w:ascii="Calibri" w:hAnsi="Calibri" w:cs="Calibri"/>
                <w:i/>
                <w:szCs w:val="24"/>
                <w:lang w:val="fr-FR"/>
              </w:rPr>
              <w:t xml:space="preserve"> Cepphus grylle faeroeensis</w:t>
            </w:r>
            <w:r w:rsidRPr="001567E1">
              <w:rPr>
                <w:rFonts w:ascii="Calibri" w:hAnsi="Calibri" w:cs="Calibri"/>
                <w:szCs w:val="24"/>
                <w:lang w:val="fr-FR"/>
              </w:rPr>
              <w:t>, Féroé</w:t>
            </w:r>
          </w:p>
        </w:tc>
      </w:tr>
      <w:tr w:rsidR="00B11C6D" w:rsidRPr="00BC4D45" w14:paraId="0A66C8E4"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1B57C19" w14:textId="22662C34"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Macareux moine</w:t>
            </w:r>
            <w:r w:rsidRPr="001567E1">
              <w:rPr>
                <w:rFonts w:ascii="Calibri" w:hAnsi="Calibri" w:cs="Calibri"/>
                <w:i/>
                <w:szCs w:val="24"/>
                <w:lang w:val="fr-FR"/>
              </w:rPr>
              <w:t xml:space="preserve"> Fratercula arctica</w:t>
            </w:r>
            <w:r w:rsidRPr="001567E1">
              <w:rPr>
                <w:rFonts w:ascii="Calibri" w:hAnsi="Calibri" w:cs="Calibri"/>
                <w:szCs w:val="24"/>
                <w:lang w:val="fr-FR"/>
              </w:rPr>
              <w:t>,</w:t>
            </w:r>
            <w:r w:rsidRPr="001567E1">
              <w:rPr>
                <w:rFonts w:ascii="Calibri" w:hAnsi="Calibri" w:cs="Calibri"/>
                <w:i/>
                <w:szCs w:val="24"/>
                <w:lang w:val="fr-FR"/>
              </w:rPr>
              <w:t xml:space="preserve"> </w:t>
            </w:r>
            <w:r w:rsidRPr="001567E1">
              <w:rPr>
                <w:rFonts w:ascii="Calibri" w:hAnsi="Calibri" w:cs="Calibri"/>
                <w:szCs w:val="24"/>
                <w:lang w:val="fr-FR"/>
              </w:rPr>
              <w:t>Nord-Est du Canada, Nord du Groenland, à Jan Mayen, Svalbard, Nord Novaya Zemlya</w:t>
            </w:r>
          </w:p>
        </w:tc>
      </w:tr>
      <w:tr w:rsidR="00B11C6D" w:rsidRPr="001567E1" w14:paraId="3448D1B1"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4358555" w14:textId="42FAA28B" w:rsidR="00B11C6D" w:rsidRPr="001567E1" w:rsidRDefault="00F068D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Scolopacidae</w:t>
            </w:r>
          </w:p>
        </w:tc>
      </w:tr>
      <w:tr w:rsidR="00B11C6D" w:rsidRPr="00BC4D45" w14:paraId="0B8FB87E"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8A13589" w14:textId="728D73EE"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Bécassine des marais</w:t>
            </w:r>
            <w:r w:rsidRPr="001567E1">
              <w:rPr>
                <w:rFonts w:ascii="Calibri" w:hAnsi="Calibri" w:cs="Calibri"/>
                <w:i/>
                <w:szCs w:val="24"/>
                <w:lang w:val="fr-FR"/>
              </w:rPr>
              <w:t xml:space="preserve"> Gallinago gallinago faeroeensis</w:t>
            </w:r>
            <w:r w:rsidRPr="001567E1">
              <w:rPr>
                <w:rFonts w:ascii="Calibri" w:hAnsi="Calibri" w:cs="Calibri"/>
                <w:szCs w:val="24"/>
                <w:lang w:val="fr-FR"/>
              </w:rPr>
              <w:t>, Islande, Féroé et Écosse du Nord/Irlande</w:t>
            </w:r>
          </w:p>
        </w:tc>
      </w:tr>
      <w:tr w:rsidR="00B11C6D" w:rsidRPr="00BC4D45" w14:paraId="1B5D2D6F"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3A56695" w14:textId="61A75143" w:rsidR="00B11C6D" w:rsidRPr="001567E1" w:rsidRDefault="00F068DE" w:rsidP="00C767E0">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Paléarctique occidental – Asie centrale et du Sud-Ouest</w:t>
            </w:r>
          </w:p>
        </w:tc>
      </w:tr>
      <w:tr w:rsidR="00B11C6D" w:rsidRPr="001567E1" w14:paraId="2BFA7BCE" w14:textId="77777777" w:rsidTr="00F068D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0A4C3DA" w14:textId="7B4B392A" w:rsidR="00B11C6D" w:rsidRPr="001567E1" w:rsidRDefault="00F068DE"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Charadriiformes</w:t>
            </w:r>
          </w:p>
        </w:tc>
      </w:tr>
      <w:tr w:rsidR="00B11C6D" w:rsidRPr="001567E1" w14:paraId="2FAFD695" w14:textId="77777777" w:rsidTr="00F068D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36C601B" w14:textId="298D6177" w:rsidR="00B11C6D" w:rsidRPr="001567E1" w:rsidRDefault="00F068D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Charadriidae</w:t>
            </w:r>
          </w:p>
        </w:tc>
      </w:tr>
      <w:tr w:rsidR="00B11C6D" w:rsidRPr="001567E1" w14:paraId="1AC5C581"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07C7E5C1" w14:textId="50AA7F61" w:rsidR="00B11C6D" w:rsidRPr="001567E1" w:rsidRDefault="00F068D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Pluvier de Leschenault</w:t>
            </w:r>
            <w:r w:rsidRPr="001567E1">
              <w:rPr>
                <w:rFonts w:ascii="Calibri" w:hAnsi="Calibri" w:cs="Calibri"/>
                <w:i/>
                <w:szCs w:val="24"/>
                <w:lang w:val="fr-FR"/>
              </w:rPr>
              <w:t xml:space="preserve"> Charadrius leschenaultii columbinus</w:t>
            </w:r>
            <w:r w:rsidRPr="001567E1">
              <w:rPr>
                <w:rFonts w:ascii="Calibri" w:hAnsi="Calibri" w:cs="Calibri"/>
                <w:szCs w:val="24"/>
                <w:lang w:val="fr-FR"/>
              </w:rPr>
              <w:t>, Turquie et Asie du Sud-Ouest/Est.</w:t>
            </w:r>
            <w:r w:rsidR="00B11C6D" w:rsidRPr="001567E1">
              <w:rPr>
                <w:rFonts w:ascii="Calibri" w:hAnsi="Calibri" w:cs="Calibri"/>
                <w:szCs w:val="24"/>
                <w:lang w:val="fr-FR"/>
              </w:rPr>
              <w:t xml:space="preserve"> </w:t>
            </w:r>
            <w:r w:rsidRPr="001567E1">
              <w:rPr>
                <w:rFonts w:ascii="Calibri" w:hAnsi="Calibri" w:cs="Calibri"/>
                <w:szCs w:val="24"/>
                <w:lang w:val="fr-FR"/>
              </w:rPr>
              <w:t xml:space="preserve">Méditerranée </w:t>
            </w:r>
            <w:r w:rsidR="0072548E" w:rsidRPr="001567E1">
              <w:rPr>
                <w:rFonts w:ascii="Calibri" w:hAnsi="Calibri" w:cs="Calibri"/>
                <w:szCs w:val="24"/>
                <w:lang w:val="fr-FR"/>
              </w:rPr>
              <w:t>et</w:t>
            </w:r>
            <w:r w:rsidRPr="001567E1">
              <w:rPr>
                <w:rFonts w:ascii="Calibri" w:hAnsi="Calibri" w:cs="Calibri"/>
                <w:szCs w:val="24"/>
                <w:lang w:val="fr-FR"/>
              </w:rPr>
              <w:t xml:space="preserve"> mer Rouge </w:t>
            </w:r>
          </w:p>
        </w:tc>
      </w:tr>
      <w:tr w:rsidR="00B11C6D" w:rsidRPr="00BC4D45" w14:paraId="3918969D"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03695AB" w14:textId="7CBCCEC5" w:rsidR="00B11C6D" w:rsidRPr="001567E1" w:rsidRDefault="0072548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Pluvier guignard</w:t>
            </w:r>
            <w:r w:rsidRPr="001567E1">
              <w:rPr>
                <w:rFonts w:ascii="Calibri" w:hAnsi="Calibri" w:cs="Calibri"/>
                <w:i/>
                <w:szCs w:val="24"/>
                <w:lang w:val="fr-FR"/>
              </w:rPr>
              <w:t xml:space="preserve"> Eudromias morinellus </w:t>
            </w:r>
            <w:r w:rsidRPr="001567E1">
              <w:rPr>
                <w:rFonts w:ascii="Calibri" w:hAnsi="Calibri" w:cs="Calibri"/>
                <w:szCs w:val="24"/>
                <w:lang w:val="fr-FR"/>
              </w:rPr>
              <w:t>Asie/Moyen-Orient</w:t>
            </w:r>
          </w:p>
        </w:tc>
      </w:tr>
      <w:tr w:rsidR="00B11C6D" w:rsidRPr="00BC4D45" w14:paraId="4423D85D"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7F56E889" w14:textId="0308D0A5" w:rsidR="00B11C6D" w:rsidRPr="001567E1" w:rsidRDefault="0072548E" w:rsidP="0004293D">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Pluvier doré Plover </w:t>
            </w:r>
            <w:r w:rsidRPr="001567E1">
              <w:rPr>
                <w:rFonts w:ascii="Calibri" w:hAnsi="Calibri" w:cs="Calibri"/>
                <w:i/>
                <w:szCs w:val="24"/>
                <w:lang w:val="fr-FR"/>
              </w:rPr>
              <w:t>Pluvialis apricaria altifrons</w:t>
            </w:r>
            <w:r w:rsidRPr="001567E1">
              <w:rPr>
                <w:rFonts w:ascii="Calibri" w:hAnsi="Calibri" w:cs="Calibri"/>
                <w:szCs w:val="24"/>
                <w:lang w:val="fr-FR"/>
              </w:rPr>
              <w:t>, Sibérie du Nord/</w:t>
            </w:r>
            <w:r w:rsidR="0004293D">
              <w:rPr>
                <w:rFonts w:ascii="Calibri" w:hAnsi="Calibri" w:cs="Calibri"/>
                <w:szCs w:val="24"/>
                <w:lang w:val="fr-FR"/>
              </w:rPr>
              <w:t>mer</w:t>
            </w:r>
            <w:r w:rsidRPr="001567E1">
              <w:rPr>
                <w:rFonts w:ascii="Calibri" w:hAnsi="Calibri" w:cs="Calibri"/>
                <w:szCs w:val="24"/>
                <w:lang w:val="fr-FR"/>
              </w:rPr>
              <w:t xml:space="preserve"> </w:t>
            </w:r>
            <w:r w:rsidR="0004293D">
              <w:rPr>
                <w:rFonts w:ascii="Calibri" w:hAnsi="Calibri" w:cs="Calibri"/>
                <w:szCs w:val="24"/>
                <w:lang w:val="fr-FR"/>
              </w:rPr>
              <w:t>C</w:t>
            </w:r>
            <w:r w:rsidRPr="001567E1">
              <w:rPr>
                <w:rFonts w:ascii="Calibri" w:hAnsi="Calibri" w:cs="Calibri"/>
                <w:szCs w:val="24"/>
                <w:lang w:val="fr-FR"/>
              </w:rPr>
              <w:t>aspienne et Asie mineure</w:t>
            </w:r>
          </w:p>
        </w:tc>
      </w:tr>
      <w:tr w:rsidR="00B11C6D" w:rsidRPr="001567E1" w14:paraId="0D15E002"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3046B9" w14:textId="3AD950B2" w:rsidR="00B11C6D" w:rsidRPr="001567E1" w:rsidRDefault="0072548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Laridae</w:t>
            </w:r>
          </w:p>
        </w:tc>
      </w:tr>
      <w:tr w:rsidR="00B11C6D" w:rsidRPr="00BC4D45" w14:paraId="6788D183"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B3F5411" w14:textId="6227EEC9" w:rsidR="00B11C6D" w:rsidRPr="001567E1" w:rsidRDefault="0072548E" w:rsidP="004E3BA2">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 xml:space="preserve">Goéland brun </w:t>
            </w:r>
            <w:r w:rsidRPr="001567E1">
              <w:rPr>
                <w:rFonts w:ascii="Calibri" w:hAnsi="Calibri" w:cs="Calibri"/>
                <w:i/>
                <w:szCs w:val="24"/>
                <w:lang w:val="fr-FR"/>
              </w:rPr>
              <w:t>Larus fuscus barabensis</w:t>
            </w:r>
            <w:r w:rsidR="004E3BA2">
              <w:rPr>
                <w:rFonts w:ascii="Calibri" w:hAnsi="Calibri" w:cs="Calibri"/>
                <w:szCs w:val="24"/>
                <w:lang w:val="fr-FR"/>
              </w:rPr>
              <w:t>, Sibérie du sud-ouest/Asie du S</w:t>
            </w:r>
            <w:r w:rsidRPr="001567E1">
              <w:rPr>
                <w:rFonts w:ascii="Calibri" w:hAnsi="Calibri" w:cs="Calibri"/>
                <w:szCs w:val="24"/>
                <w:lang w:val="fr-FR"/>
              </w:rPr>
              <w:t>ud-</w:t>
            </w:r>
            <w:r w:rsidR="004E3BA2">
              <w:rPr>
                <w:rFonts w:ascii="Calibri" w:hAnsi="Calibri" w:cs="Calibri"/>
                <w:szCs w:val="24"/>
                <w:lang w:val="fr-FR"/>
              </w:rPr>
              <w:t>O</w:t>
            </w:r>
            <w:r w:rsidRPr="001567E1">
              <w:rPr>
                <w:rFonts w:ascii="Calibri" w:hAnsi="Calibri" w:cs="Calibri"/>
                <w:szCs w:val="24"/>
                <w:lang w:val="fr-FR"/>
              </w:rPr>
              <w:t>uest</w:t>
            </w:r>
            <w:r w:rsidR="00B11C6D" w:rsidRPr="001567E1">
              <w:rPr>
                <w:rFonts w:ascii="Calibri" w:hAnsi="Calibri" w:cs="Calibri"/>
                <w:szCs w:val="24"/>
                <w:lang w:val="fr-FR"/>
              </w:rPr>
              <w:t xml:space="preserve"> </w:t>
            </w:r>
          </w:p>
        </w:tc>
      </w:tr>
      <w:tr w:rsidR="00B11C6D" w:rsidRPr="00BC4D45" w14:paraId="0623FBC5"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06DA776B" w14:textId="08CBCCE2" w:rsidR="00B11C6D" w:rsidRPr="001567E1" w:rsidRDefault="0072548E" w:rsidP="0004293D">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lastRenderedPageBreak/>
              <w:t>Sterne naine</w:t>
            </w:r>
            <w:r w:rsidRPr="001567E1">
              <w:rPr>
                <w:rFonts w:ascii="Calibri" w:hAnsi="Calibri" w:cs="Calibri"/>
                <w:i/>
                <w:szCs w:val="24"/>
                <w:lang w:val="fr-FR"/>
              </w:rPr>
              <w:t xml:space="preserve"> Sternula albifrons albifrons</w:t>
            </w:r>
            <w:r w:rsidRPr="001567E1">
              <w:rPr>
                <w:rFonts w:ascii="Calibri" w:hAnsi="Calibri" w:cs="Calibri"/>
                <w:szCs w:val="24"/>
                <w:lang w:val="fr-FR"/>
              </w:rPr>
              <w:t xml:space="preserve">, </w:t>
            </w:r>
            <w:r w:rsidR="0004293D">
              <w:rPr>
                <w:rFonts w:ascii="Calibri" w:hAnsi="Calibri" w:cs="Calibri"/>
                <w:szCs w:val="24"/>
                <w:lang w:val="fr-FR"/>
              </w:rPr>
              <w:t>mer</w:t>
            </w:r>
            <w:r w:rsidRPr="001567E1">
              <w:rPr>
                <w:rFonts w:ascii="Calibri" w:hAnsi="Calibri" w:cs="Calibri"/>
                <w:szCs w:val="24"/>
                <w:lang w:val="fr-FR"/>
              </w:rPr>
              <w:t xml:space="preserve"> </w:t>
            </w:r>
            <w:r w:rsidR="0004293D">
              <w:rPr>
                <w:rFonts w:ascii="Calibri" w:hAnsi="Calibri" w:cs="Calibri"/>
                <w:szCs w:val="24"/>
                <w:lang w:val="fr-FR"/>
              </w:rPr>
              <w:t>C</w:t>
            </w:r>
            <w:r w:rsidRPr="001567E1">
              <w:rPr>
                <w:rFonts w:ascii="Calibri" w:hAnsi="Calibri" w:cs="Calibri"/>
                <w:szCs w:val="24"/>
                <w:lang w:val="fr-FR"/>
              </w:rPr>
              <w:t xml:space="preserve">aspienne </w:t>
            </w:r>
            <w:r w:rsidR="0004293D">
              <w:rPr>
                <w:rFonts w:ascii="Calibri" w:hAnsi="Calibri" w:cs="Calibri"/>
                <w:szCs w:val="24"/>
                <w:lang w:val="fr-FR"/>
              </w:rPr>
              <w:t>(rep)</w:t>
            </w:r>
          </w:p>
        </w:tc>
      </w:tr>
      <w:tr w:rsidR="00B11C6D" w:rsidRPr="001567E1" w14:paraId="684FDE4D"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2D7E7B60" w14:textId="196111D3" w:rsidR="00B11C6D" w:rsidRPr="001567E1" w:rsidRDefault="0072548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Scolopacidae</w:t>
            </w:r>
          </w:p>
        </w:tc>
      </w:tr>
      <w:tr w:rsidR="00B11C6D" w:rsidRPr="00BC4D45" w14:paraId="12E7B022"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5B10144D" w14:textId="57FD79EA" w:rsidR="00B11C6D" w:rsidRPr="001567E1" w:rsidRDefault="0072548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Bécassine sourde</w:t>
            </w:r>
            <w:r w:rsidRPr="001567E1">
              <w:rPr>
                <w:rFonts w:ascii="Calibri" w:hAnsi="Calibri" w:cs="Calibri"/>
                <w:i/>
                <w:szCs w:val="24"/>
                <w:lang w:val="fr-FR"/>
              </w:rPr>
              <w:t xml:space="preserve"> Lymnocryptes minimus, </w:t>
            </w:r>
            <w:r w:rsidRPr="001567E1">
              <w:rPr>
                <w:rFonts w:ascii="Calibri" w:hAnsi="Calibri" w:cs="Calibri"/>
                <w:szCs w:val="24"/>
                <w:lang w:val="fr-FR"/>
              </w:rPr>
              <w:t>Sibérie occidentale/Asie du Sud-Ouest et Afrique du Nord-Est</w:t>
            </w:r>
          </w:p>
        </w:tc>
      </w:tr>
      <w:tr w:rsidR="00B11C6D" w:rsidRPr="00BC4D45" w14:paraId="4953C90D"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5CB9E1" w14:textId="669780D3" w:rsidR="00B11C6D" w:rsidRPr="001567E1" w:rsidRDefault="0072548E" w:rsidP="0004293D">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Bécasse des bois Scolopax rusticol</w:t>
            </w:r>
            <w:r w:rsidR="004E3BA2">
              <w:rPr>
                <w:rFonts w:ascii="Calibri" w:hAnsi="Calibri" w:cs="Calibri"/>
                <w:szCs w:val="24"/>
                <w:lang w:val="fr-FR"/>
              </w:rPr>
              <w:t>a, Sibérie occidentale/Asie du S</w:t>
            </w:r>
            <w:r w:rsidRPr="001567E1">
              <w:rPr>
                <w:rFonts w:ascii="Calibri" w:hAnsi="Calibri" w:cs="Calibri"/>
                <w:szCs w:val="24"/>
                <w:lang w:val="fr-FR"/>
              </w:rPr>
              <w:t>ud-</w:t>
            </w:r>
            <w:r w:rsidR="004E3BA2">
              <w:rPr>
                <w:rFonts w:ascii="Calibri" w:hAnsi="Calibri" w:cs="Calibri"/>
                <w:szCs w:val="24"/>
                <w:lang w:val="fr-FR"/>
              </w:rPr>
              <w:t>O</w:t>
            </w:r>
            <w:r w:rsidRPr="001567E1">
              <w:rPr>
                <w:rFonts w:ascii="Calibri" w:hAnsi="Calibri" w:cs="Calibri"/>
                <w:szCs w:val="24"/>
                <w:lang w:val="fr-FR"/>
              </w:rPr>
              <w:t>uest (</w:t>
            </w:r>
            <w:r w:rsidR="0004293D">
              <w:rPr>
                <w:rFonts w:ascii="Calibri" w:hAnsi="Calibri" w:cs="Calibri"/>
                <w:szCs w:val="24"/>
                <w:lang w:val="fr-FR"/>
              </w:rPr>
              <w:t>mer</w:t>
            </w:r>
            <w:r w:rsidRPr="001567E1">
              <w:rPr>
                <w:rFonts w:ascii="Calibri" w:hAnsi="Calibri" w:cs="Calibri"/>
                <w:szCs w:val="24"/>
                <w:lang w:val="fr-FR"/>
              </w:rPr>
              <w:t xml:space="preserve"> </w:t>
            </w:r>
            <w:r w:rsidR="0004293D">
              <w:rPr>
                <w:rFonts w:ascii="Calibri" w:hAnsi="Calibri" w:cs="Calibri"/>
                <w:szCs w:val="24"/>
                <w:lang w:val="fr-FR"/>
              </w:rPr>
              <w:t>C</w:t>
            </w:r>
            <w:r w:rsidRPr="001567E1">
              <w:rPr>
                <w:rFonts w:ascii="Calibri" w:hAnsi="Calibri" w:cs="Calibri"/>
                <w:szCs w:val="24"/>
                <w:lang w:val="fr-FR"/>
              </w:rPr>
              <w:t>aspienne)</w:t>
            </w:r>
          </w:p>
        </w:tc>
      </w:tr>
      <w:tr w:rsidR="00B11C6D" w:rsidRPr="001567E1" w14:paraId="05B66179"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E54C92C" w14:textId="4CA3502F" w:rsidR="00B11C6D" w:rsidRPr="001567E1" w:rsidRDefault="0072548E"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Gaviiformes</w:t>
            </w:r>
          </w:p>
        </w:tc>
      </w:tr>
      <w:tr w:rsidR="00B11C6D" w:rsidRPr="001567E1" w14:paraId="09DABCB5"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40C6132F" w14:textId="53FE8181" w:rsidR="00B11C6D" w:rsidRPr="001567E1" w:rsidRDefault="0072548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Gaviidae</w:t>
            </w:r>
          </w:p>
        </w:tc>
      </w:tr>
      <w:tr w:rsidR="00B11C6D" w:rsidRPr="00D95894" w14:paraId="5EEA71CB"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27861BEF" w14:textId="59FF42D6" w:rsidR="00B11C6D" w:rsidRPr="007C275D" w:rsidRDefault="0072548E" w:rsidP="0004293D">
            <w:pPr>
              <w:widowControl w:val="0"/>
              <w:autoSpaceDE w:val="0"/>
              <w:autoSpaceDN w:val="0"/>
              <w:adjustRightInd w:val="0"/>
              <w:ind w:left="2160"/>
              <w:rPr>
                <w:rFonts w:ascii="Calibri" w:hAnsi="Calibri" w:cs="Calibri"/>
                <w:szCs w:val="24"/>
                <w:lang w:val="it-IT"/>
              </w:rPr>
            </w:pPr>
            <w:r w:rsidRPr="007C275D">
              <w:rPr>
                <w:rFonts w:ascii="Calibri" w:hAnsi="Calibri" w:cs="Calibri"/>
                <w:szCs w:val="24"/>
                <w:lang w:val="it-IT"/>
              </w:rPr>
              <w:t>Plongeon arctique</w:t>
            </w:r>
            <w:r w:rsidRPr="007C275D">
              <w:rPr>
                <w:rFonts w:ascii="Calibri" w:hAnsi="Calibri" w:cs="Calibri"/>
                <w:i/>
                <w:szCs w:val="24"/>
                <w:lang w:val="it-IT"/>
              </w:rPr>
              <w:t xml:space="preserve"> Gavia arctica arctica</w:t>
            </w:r>
            <w:r w:rsidRPr="007C275D">
              <w:rPr>
                <w:rFonts w:ascii="Calibri" w:hAnsi="Calibri" w:cs="Calibri"/>
                <w:szCs w:val="24"/>
                <w:lang w:val="it-IT"/>
              </w:rPr>
              <w:t>, Sibérie centrale/</w:t>
            </w:r>
            <w:r w:rsidR="0004293D" w:rsidRPr="007C275D">
              <w:rPr>
                <w:rFonts w:ascii="Calibri" w:hAnsi="Calibri" w:cs="Calibri"/>
                <w:szCs w:val="24"/>
                <w:lang w:val="it-IT"/>
              </w:rPr>
              <w:t>mer</w:t>
            </w:r>
            <w:r w:rsidRPr="007C275D">
              <w:rPr>
                <w:rFonts w:ascii="Calibri" w:hAnsi="Calibri" w:cs="Calibri"/>
                <w:szCs w:val="24"/>
                <w:lang w:val="it-IT"/>
              </w:rPr>
              <w:t xml:space="preserve"> </w:t>
            </w:r>
            <w:r w:rsidR="0004293D" w:rsidRPr="007C275D">
              <w:rPr>
                <w:rFonts w:ascii="Calibri" w:hAnsi="Calibri" w:cs="Calibri"/>
                <w:szCs w:val="24"/>
                <w:lang w:val="it-IT"/>
              </w:rPr>
              <w:t>C</w:t>
            </w:r>
            <w:r w:rsidRPr="007C275D">
              <w:rPr>
                <w:rFonts w:ascii="Calibri" w:hAnsi="Calibri" w:cs="Calibri"/>
                <w:szCs w:val="24"/>
                <w:lang w:val="it-IT"/>
              </w:rPr>
              <w:t>aspienne</w:t>
            </w:r>
          </w:p>
        </w:tc>
      </w:tr>
      <w:tr w:rsidR="00B11C6D" w:rsidRPr="001567E1" w14:paraId="54B526D4"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631C6E02" w14:textId="18DBFDE6" w:rsidR="00B11C6D" w:rsidRPr="001567E1" w:rsidRDefault="0072548E"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Podicipediformes</w:t>
            </w:r>
          </w:p>
        </w:tc>
      </w:tr>
      <w:tr w:rsidR="00B11C6D" w:rsidRPr="001567E1" w14:paraId="36FCB2BE"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49F86A1" w14:textId="2DDE7F87" w:rsidR="00B11C6D" w:rsidRPr="001567E1" w:rsidRDefault="0072548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Podicipedidae</w:t>
            </w:r>
          </w:p>
        </w:tc>
      </w:tr>
      <w:tr w:rsidR="00B11C6D" w:rsidRPr="00BC4D45" w14:paraId="256239A2"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1761FE37" w14:textId="74DCC7D3" w:rsidR="00B11C6D" w:rsidRPr="001567E1" w:rsidRDefault="0072548E" w:rsidP="0004293D">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Grèbe jougris</w:t>
            </w:r>
            <w:r w:rsidRPr="001567E1">
              <w:rPr>
                <w:rFonts w:ascii="Calibri" w:hAnsi="Calibri" w:cs="Calibri"/>
                <w:i/>
                <w:szCs w:val="24"/>
                <w:lang w:val="fr-FR"/>
              </w:rPr>
              <w:t xml:space="preserve"> Podiceps grisegena grisegena</w:t>
            </w:r>
            <w:r w:rsidRPr="001567E1">
              <w:rPr>
                <w:rFonts w:ascii="Calibri" w:hAnsi="Calibri" w:cs="Calibri"/>
                <w:szCs w:val="24"/>
                <w:lang w:val="fr-FR"/>
              </w:rPr>
              <w:t xml:space="preserve">, </w:t>
            </w:r>
            <w:r w:rsidR="0004293D">
              <w:rPr>
                <w:rFonts w:ascii="Calibri" w:hAnsi="Calibri" w:cs="Calibri"/>
                <w:szCs w:val="24"/>
                <w:lang w:val="fr-FR"/>
              </w:rPr>
              <w:t>mer</w:t>
            </w:r>
            <w:r w:rsidRPr="001567E1">
              <w:rPr>
                <w:rFonts w:ascii="Calibri" w:hAnsi="Calibri" w:cs="Calibri"/>
                <w:szCs w:val="24"/>
                <w:lang w:val="fr-FR"/>
              </w:rPr>
              <w:t xml:space="preserve"> </w:t>
            </w:r>
            <w:r w:rsidR="0004293D">
              <w:rPr>
                <w:rFonts w:ascii="Calibri" w:hAnsi="Calibri" w:cs="Calibri"/>
                <w:szCs w:val="24"/>
                <w:lang w:val="fr-FR"/>
              </w:rPr>
              <w:t>C</w:t>
            </w:r>
            <w:r w:rsidRPr="001567E1">
              <w:rPr>
                <w:rFonts w:ascii="Calibri" w:hAnsi="Calibri" w:cs="Calibri"/>
                <w:szCs w:val="24"/>
                <w:lang w:val="fr-FR"/>
              </w:rPr>
              <w:t xml:space="preserve">aspienne </w:t>
            </w:r>
            <w:r w:rsidR="0004293D">
              <w:rPr>
                <w:rFonts w:ascii="Calibri" w:hAnsi="Calibri" w:cs="Calibri"/>
                <w:szCs w:val="24"/>
                <w:lang w:val="fr-FR"/>
              </w:rPr>
              <w:t>(hiv)</w:t>
            </w:r>
            <w:r w:rsidR="00B11C6D" w:rsidRPr="001567E1">
              <w:rPr>
                <w:rFonts w:ascii="Calibri" w:hAnsi="Calibri" w:cs="Calibri"/>
                <w:szCs w:val="24"/>
                <w:lang w:val="fr-FR"/>
              </w:rPr>
              <w:t xml:space="preserve"> </w:t>
            </w:r>
          </w:p>
        </w:tc>
      </w:tr>
      <w:tr w:rsidR="00B11C6D" w:rsidRPr="00BC4D45" w14:paraId="5A287791"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4449B16D" w14:textId="5B12ABDC" w:rsidR="00B11C6D" w:rsidRPr="001567E1" w:rsidRDefault="0072548E" w:rsidP="00C767E0">
            <w:pPr>
              <w:keepNext/>
              <w:keepLines/>
              <w:widowControl w:val="0"/>
              <w:autoSpaceDE w:val="0"/>
              <w:autoSpaceDN w:val="0"/>
              <w:adjustRightInd w:val="0"/>
              <w:spacing w:before="240" w:after="60"/>
              <w:outlineLvl w:val="3"/>
              <w:rPr>
                <w:rFonts w:ascii="Calibri" w:hAnsi="Calibri" w:cs="Calibri"/>
                <w:b/>
                <w:color w:val="auto"/>
                <w:szCs w:val="24"/>
                <w:lang w:val="fr-FR"/>
              </w:rPr>
            </w:pPr>
            <w:r w:rsidRPr="001567E1">
              <w:rPr>
                <w:rFonts w:ascii="Calibri" w:hAnsi="Calibri" w:cs="Calibri"/>
                <w:b/>
                <w:color w:val="auto"/>
                <w:szCs w:val="24"/>
                <w:lang w:val="fr-FR"/>
              </w:rPr>
              <w:t>Paléarctique occidental – Europe et Afrique du Nord</w:t>
            </w:r>
          </w:p>
        </w:tc>
      </w:tr>
      <w:tr w:rsidR="00B11C6D" w:rsidRPr="001567E1" w14:paraId="0B2C0DEC"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5D7FCEC4" w14:textId="2A3192AE" w:rsidR="00B11C6D" w:rsidRPr="001567E1" w:rsidRDefault="0072548E" w:rsidP="00C767E0">
            <w:pPr>
              <w:widowControl w:val="0"/>
              <w:autoSpaceDE w:val="0"/>
              <w:autoSpaceDN w:val="0"/>
              <w:adjustRightInd w:val="0"/>
              <w:ind w:left="720"/>
              <w:rPr>
                <w:rFonts w:ascii="Calibri" w:hAnsi="Calibri" w:cs="Calibri"/>
                <w:i/>
                <w:szCs w:val="24"/>
                <w:lang w:val="fr-FR"/>
              </w:rPr>
            </w:pPr>
            <w:r w:rsidRPr="001567E1">
              <w:rPr>
                <w:rFonts w:ascii="Calibri" w:hAnsi="Calibri" w:cs="Calibri"/>
                <w:i/>
                <w:szCs w:val="24"/>
                <w:lang w:val="fr-FR"/>
              </w:rPr>
              <w:t>Gruiformes</w:t>
            </w:r>
          </w:p>
        </w:tc>
      </w:tr>
      <w:tr w:rsidR="00B11C6D" w:rsidRPr="001567E1" w14:paraId="1C9C4727" w14:textId="77777777" w:rsidTr="0072548E">
        <w:trPr>
          <w:cnfStyle w:val="000000010000" w:firstRow="0" w:lastRow="0" w:firstColumn="0" w:lastColumn="0" w:oddVBand="0" w:evenVBand="0" w:oddHBand="0" w:evenHBand="1" w:firstRowFirstColumn="0" w:firstRowLastColumn="0" w:lastRowFirstColumn="0" w:lastRowLastColumn="0"/>
          <w:trHeight w:val="300"/>
        </w:trPr>
        <w:tc>
          <w:tcPr>
            <w:tcW w:w="9700" w:type="dxa"/>
          </w:tcPr>
          <w:p w14:paraId="341ECC9C" w14:textId="6686C5DC" w:rsidR="00B11C6D" w:rsidRPr="001567E1" w:rsidRDefault="0072548E" w:rsidP="00C767E0">
            <w:pPr>
              <w:widowControl w:val="0"/>
              <w:autoSpaceDE w:val="0"/>
              <w:autoSpaceDN w:val="0"/>
              <w:adjustRightInd w:val="0"/>
              <w:ind w:left="1440"/>
              <w:rPr>
                <w:rFonts w:ascii="Calibri" w:hAnsi="Calibri" w:cs="Calibri"/>
                <w:i/>
                <w:szCs w:val="24"/>
                <w:lang w:val="fr-FR"/>
              </w:rPr>
            </w:pPr>
            <w:r w:rsidRPr="001567E1">
              <w:rPr>
                <w:rFonts w:ascii="Calibri" w:hAnsi="Calibri" w:cs="Calibri"/>
                <w:i/>
                <w:szCs w:val="24"/>
                <w:lang w:val="fr-FR"/>
              </w:rPr>
              <w:t>Rallidae</w:t>
            </w:r>
          </w:p>
        </w:tc>
      </w:tr>
      <w:tr w:rsidR="00B11C6D" w:rsidRPr="00BC4D45" w14:paraId="04CD6526" w14:textId="77777777" w:rsidTr="0072548E">
        <w:trPr>
          <w:cnfStyle w:val="000000100000" w:firstRow="0" w:lastRow="0" w:firstColumn="0" w:lastColumn="0" w:oddVBand="0" w:evenVBand="0" w:oddHBand="1" w:evenHBand="0" w:firstRowFirstColumn="0" w:firstRowLastColumn="0" w:lastRowFirstColumn="0" w:lastRowLastColumn="0"/>
          <w:trHeight w:val="300"/>
        </w:trPr>
        <w:tc>
          <w:tcPr>
            <w:tcW w:w="9700" w:type="dxa"/>
          </w:tcPr>
          <w:p w14:paraId="32626BC6" w14:textId="44278CB7" w:rsidR="00B11C6D" w:rsidRPr="001567E1" w:rsidRDefault="0072548E" w:rsidP="00C767E0">
            <w:pPr>
              <w:widowControl w:val="0"/>
              <w:autoSpaceDE w:val="0"/>
              <w:autoSpaceDN w:val="0"/>
              <w:adjustRightInd w:val="0"/>
              <w:ind w:left="2160"/>
              <w:rPr>
                <w:rFonts w:ascii="Calibri" w:hAnsi="Calibri" w:cs="Calibri"/>
                <w:szCs w:val="24"/>
                <w:lang w:val="fr-FR"/>
              </w:rPr>
            </w:pPr>
            <w:r w:rsidRPr="001567E1">
              <w:rPr>
                <w:rFonts w:ascii="Calibri" w:hAnsi="Calibri" w:cs="Calibri"/>
                <w:szCs w:val="24"/>
                <w:lang w:val="fr-FR"/>
              </w:rPr>
              <w:t>Râle d’eau</w:t>
            </w:r>
            <w:r w:rsidRPr="001567E1">
              <w:rPr>
                <w:rFonts w:ascii="Calibri" w:hAnsi="Calibri" w:cs="Calibri"/>
                <w:i/>
                <w:szCs w:val="24"/>
                <w:lang w:val="fr-FR"/>
              </w:rPr>
              <w:t xml:space="preserve"> Rallus aquaticus aquaticus</w:t>
            </w:r>
            <w:r w:rsidRPr="001567E1">
              <w:rPr>
                <w:rFonts w:ascii="Calibri" w:hAnsi="Calibri" w:cs="Calibri"/>
                <w:szCs w:val="24"/>
                <w:lang w:val="fr-FR"/>
              </w:rPr>
              <w:t>, Europe et Afrique du Nord</w:t>
            </w:r>
          </w:p>
        </w:tc>
      </w:tr>
    </w:tbl>
    <w:p w14:paraId="56AE0A97" w14:textId="77777777" w:rsidR="00B11C6D" w:rsidRPr="001567E1" w:rsidRDefault="00B11C6D">
      <w:pPr>
        <w:pStyle w:val="Normal1"/>
        <w:rPr>
          <w:lang w:val="fr-FR"/>
        </w:rPr>
      </w:pPr>
    </w:p>
    <w:p w14:paraId="6DD92E00" w14:textId="77777777" w:rsidR="00741F7A" w:rsidRPr="001567E1" w:rsidRDefault="00832DD4">
      <w:pPr>
        <w:pStyle w:val="Normal1"/>
        <w:keepNext/>
        <w:rPr>
          <w:lang w:val="fr-FR"/>
        </w:rPr>
      </w:pPr>
      <w:r w:rsidRPr="001567E1">
        <w:rPr>
          <w:lang w:val="fr-FR"/>
        </w:rPr>
        <w:t xml:space="preserve"> </w:t>
      </w:r>
    </w:p>
    <w:p w14:paraId="3FC6AC76" w14:textId="74FC5397" w:rsidR="008E5AEA" w:rsidRDefault="008E5AEA">
      <w:pPr>
        <w:rPr>
          <w:lang w:val="fr-FR"/>
        </w:rPr>
      </w:pPr>
      <w:r>
        <w:rPr>
          <w:lang w:val="fr-FR"/>
        </w:rPr>
        <w:br w:type="page"/>
      </w:r>
    </w:p>
    <w:p w14:paraId="65D42C77" w14:textId="77777777" w:rsidR="008E5AEA" w:rsidRPr="007C275D" w:rsidRDefault="008E5AEA" w:rsidP="008E5AEA">
      <w:pPr>
        <w:pStyle w:val="Heading3"/>
        <w:rPr>
          <w:rFonts w:ascii="Times New Roman" w:eastAsia="Times New Roman" w:hAnsi="Times New Roman" w:cs="Times New Roman"/>
          <w:lang w:val="fr-FR"/>
        </w:rPr>
      </w:pPr>
      <w:bookmarkStart w:id="61" w:name="_Toc517262018"/>
      <w:r>
        <w:rPr>
          <w:rFonts w:ascii="Times New Roman" w:eastAsia="Times New Roman" w:hAnsi="Times New Roman" w:cs="Times New Roman"/>
          <w:lang w:val="fr-FR"/>
        </w:rPr>
        <w:lastRenderedPageBreak/>
        <w:t>Plus d’un tiers de l’ensemble des populations de l’AEWA est en déclin</w:t>
      </w:r>
      <w:bookmarkEnd w:id="61"/>
    </w:p>
    <w:p w14:paraId="17BACE37" w14:textId="77777777" w:rsidR="008E5AEA" w:rsidRPr="007C275D" w:rsidRDefault="008E5AEA" w:rsidP="008E5AEA">
      <w:pPr>
        <w:pStyle w:val="Normal1"/>
        <w:rPr>
          <w:lang w:val="fr-FR"/>
        </w:rPr>
      </w:pPr>
    </w:p>
    <w:p w14:paraId="7485C68E" w14:textId="77777777" w:rsidR="008E5AEA" w:rsidRPr="007C275D" w:rsidRDefault="008E5AEA" w:rsidP="008E5AEA">
      <w:pPr>
        <w:pStyle w:val="Normal1"/>
        <w:jc w:val="both"/>
        <w:rPr>
          <w:szCs w:val="24"/>
          <w:lang w:val="fr-FR"/>
        </w:rPr>
      </w:pPr>
      <w:r>
        <w:rPr>
          <w:szCs w:val="24"/>
          <w:lang w:val="fr-FR"/>
        </w:rPr>
        <w:t>Le nombre de populations pour lesquelles on dispose de données de tendance à court terme a augmenté, passant de 376 à 445, soit une augmentation de 18 % par rapport à l’édition précédente. Sur les populations pour lesquelles on dispose d’informations sur les tendances, 36 % sont en déclin, 37 % sont stables ou fluctuantes et seulement 27 % sont en augmentation. Ces 36 % signifient qu’il a plus de population en déclin que de populations en augmentation ou bien que 64 % des populations de l’AEWA sont stables ou en augmentation (figure 14). La proportion de populations en déclin a diminué au cours de la période du Plan stratégique 2009-2018 de l’AEWA, puisqu’elle était de 42 % en 1999, c’est-à-dire l’année de l’entrée en vigueur de l’AEWA, et de 41 % en 2008.</w:t>
      </w:r>
    </w:p>
    <w:p w14:paraId="4B1F26BA" w14:textId="77777777" w:rsidR="008E5AEA" w:rsidRPr="007C275D" w:rsidRDefault="008E5AEA" w:rsidP="008E5AEA">
      <w:pPr>
        <w:pStyle w:val="Normal1"/>
        <w:jc w:val="both"/>
        <w:rPr>
          <w:lang w:val="fr-FR"/>
        </w:rPr>
      </w:pPr>
    </w:p>
    <w:p w14:paraId="051D9234" w14:textId="1BA5BE11" w:rsidR="008E5AEA" w:rsidRDefault="008E5AEA" w:rsidP="008E5AEA">
      <w:pPr>
        <w:pStyle w:val="Normal1"/>
        <w:keepNext/>
        <w:jc w:val="both"/>
      </w:pPr>
      <w:r>
        <w:rPr>
          <w:noProof/>
          <w:lang w:val="nl-NL" w:eastAsia="nl-NL"/>
        </w:rPr>
        <w:drawing>
          <wp:inline distT="0" distB="0" distL="0" distR="0" wp14:anchorId="6764EF00" wp14:editId="624B639F">
            <wp:extent cx="5278120" cy="34182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3418205"/>
                    </a:xfrm>
                    <a:prstGeom prst="rect">
                      <a:avLst/>
                    </a:prstGeom>
                    <a:noFill/>
                    <a:ln>
                      <a:noFill/>
                    </a:ln>
                  </pic:spPr>
                </pic:pic>
              </a:graphicData>
            </a:graphic>
          </wp:inline>
        </w:drawing>
      </w:r>
    </w:p>
    <w:p w14:paraId="40795E9A" w14:textId="77777777" w:rsidR="00F97CD5" w:rsidRPr="00F97CD5" w:rsidRDefault="00F97CD5" w:rsidP="008E5AEA">
      <w:pPr>
        <w:pStyle w:val="Normal1"/>
        <w:keepNext/>
        <w:jc w:val="both"/>
        <w:rPr>
          <w:sz w:val="18"/>
          <w:szCs w:val="18"/>
        </w:rPr>
      </w:pPr>
    </w:p>
    <w:p w14:paraId="33A2D5CE" w14:textId="77777777" w:rsidR="00F97CD5" w:rsidRPr="00F97CD5" w:rsidRDefault="00F97CD5" w:rsidP="00F97CD5">
      <w:pPr>
        <w:pStyle w:val="ListParagraph"/>
        <w:numPr>
          <w:ilvl w:val="0"/>
          <w:numId w:val="21"/>
        </w:numPr>
        <w:tabs>
          <w:tab w:val="left" w:pos="3686"/>
          <w:tab w:val="left" w:pos="6096"/>
          <w:tab w:val="left" w:pos="7088"/>
        </w:tabs>
        <w:rPr>
          <w:rFonts w:cstheme="minorHAnsi"/>
          <w:color w:val="4F81BD" w:themeColor="accent1"/>
          <w:sz w:val="18"/>
          <w:szCs w:val="18"/>
          <w:lang w:val="fr-FR"/>
        </w:rPr>
      </w:pPr>
      <w:bookmarkStart w:id="62" w:name="h.23ckvvd"/>
      <w:bookmarkEnd w:id="62"/>
      <w:r w:rsidRPr="00F97CD5">
        <w:rPr>
          <w:rFonts w:cstheme="minorHAnsi"/>
          <w:color w:val="4F81BD" w:themeColor="accent1"/>
          <w:sz w:val="18"/>
          <w:szCs w:val="18"/>
          <w:lang w:val="fr-FR"/>
        </w:rPr>
        <w:t>En augmentation 27 %</w:t>
      </w:r>
    </w:p>
    <w:p w14:paraId="08F102D3" w14:textId="77777777" w:rsidR="00F97CD5" w:rsidRPr="00F97CD5" w:rsidRDefault="00F97CD5" w:rsidP="00F97CD5">
      <w:pPr>
        <w:pStyle w:val="ListParagraph"/>
        <w:numPr>
          <w:ilvl w:val="0"/>
          <w:numId w:val="21"/>
        </w:numPr>
        <w:tabs>
          <w:tab w:val="left" w:pos="3686"/>
          <w:tab w:val="left" w:pos="6096"/>
          <w:tab w:val="left" w:pos="7088"/>
        </w:tabs>
        <w:rPr>
          <w:rFonts w:cstheme="minorHAnsi"/>
          <w:color w:val="4F81BD" w:themeColor="accent1"/>
          <w:sz w:val="18"/>
          <w:szCs w:val="18"/>
          <w:lang w:val="fr-FR"/>
        </w:rPr>
      </w:pPr>
      <w:r w:rsidRPr="00F97CD5">
        <w:rPr>
          <w:rFonts w:cstheme="minorHAnsi"/>
          <w:color w:val="4F81BD" w:themeColor="accent1"/>
          <w:sz w:val="18"/>
          <w:szCs w:val="18"/>
          <w:lang w:val="fr-FR"/>
        </w:rPr>
        <w:t>En déclin 36 %</w:t>
      </w:r>
    </w:p>
    <w:p w14:paraId="21061AF7" w14:textId="77777777" w:rsidR="00F97CD5" w:rsidRPr="00F97CD5" w:rsidRDefault="00F97CD5" w:rsidP="00F97CD5">
      <w:pPr>
        <w:pStyle w:val="ListParagraph"/>
        <w:numPr>
          <w:ilvl w:val="0"/>
          <w:numId w:val="21"/>
        </w:numPr>
        <w:tabs>
          <w:tab w:val="left" w:pos="3686"/>
          <w:tab w:val="left" w:pos="6096"/>
          <w:tab w:val="left" w:pos="7088"/>
        </w:tabs>
        <w:rPr>
          <w:rFonts w:cstheme="minorHAnsi"/>
          <w:color w:val="4F81BD" w:themeColor="accent1"/>
          <w:sz w:val="18"/>
          <w:szCs w:val="18"/>
          <w:lang w:val="fr-FR"/>
        </w:rPr>
      </w:pPr>
      <w:r w:rsidRPr="00F97CD5">
        <w:rPr>
          <w:rFonts w:cstheme="minorHAnsi"/>
          <w:color w:val="4F81BD" w:themeColor="accent1"/>
          <w:sz w:val="18"/>
          <w:szCs w:val="18"/>
          <w:lang w:val="fr-FR"/>
        </w:rPr>
        <w:t>Stable ou fluctuante 37 %</w:t>
      </w:r>
    </w:p>
    <w:p w14:paraId="3797D599" w14:textId="77777777" w:rsidR="00F97CD5" w:rsidRDefault="00F97CD5" w:rsidP="008E5AEA">
      <w:pPr>
        <w:pStyle w:val="Caption"/>
        <w:rPr>
          <w:lang w:val="fr-FR"/>
        </w:rPr>
      </w:pPr>
    </w:p>
    <w:p w14:paraId="42EEF392" w14:textId="01E48A3C" w:rsidR="008E5AEA" w:rsidRPr="007C275D" w:rsidRDefault="008E5AEA" w:rsidP="008E5AEA">
      <w:pPr>
        <w:pStyle w:val="Caption"/>
        <w:rPr>
          <w:lang w:val="fr-FR"/>
        </w:rPr>
      </w:pPr>
      <w:r>
        <w:rPr>
          <w:lang w:val="fr-FR"/>
        </w:rPr>
        <w:t>Figure 14. Répartition des tendances des populations ayant des estimations des tendances</w:t>
      </w:r>
    </w:p>
    <w:p w14:paraId="640305D9" w14:textId="77777777" w:rsidR="008E5AEA" w:rsidRPr="007C275D" w:rsidRDefault="008E5AEA" w:rsidP="008E5AEA">
      <w:pPr>
        <w:rPr>
          <w:b/>
          <w:sz w:val="20"/>
          <w:lang w:val="fr-FR"/>
        </w:rPr>
      </w:pPr>
      <w:r w:rsidRPr="007C275D">
        <w:rPr>
          <w:b/>
          <w:color w:val="auto"/>
          <w:sz w:val="20"/>
          <w:lang w:val="fr-FR"/>
        </w:rPr>
        <w:br w:type="page"/>
      </w:r>
    </w:p>
    <w:p w14:paraId="63043F8E" w14:textId="77777777" w:rsidR="008E5AEA" w:rsidRPr="007C275D" w:rsidRDefault="008E5AEA" w:rsidP="008E5AEA">
      <w:pPr>
        <w:pStyle w:val="Heading3"/>
        <w:jc w:val="both"/>
        <w:rPr>
          <w:rFonts w:ascii="Times New Roman" w:eastAsia="Times New Roman" w:hAnsi="Times New Roman" w:cs="Times New Roman"/>
          <w:lang w:val="fr-FR"/>
        </w:rPr>
      </w:pPr>
      <w:bookmarkStart w:id="63" w:name="_Toc517262019"/>
      <w:r>
        <w:rPr>
          <w:rFonts w:ascii="Times New Roman" w:eastAsia="Times New Roman" w:hAnsi="Times New Roman" w:cs="Times New Roman"/>
          <w:lang w:val="fr-FR"/>
        </w:rPr>
        <w:lastRenderedPageBreak/>
        <w:t>L’état de 143 populations s’est amélioré et celui de 176 populations s’est détérioré</w:t>
      </w:r>
      <w:bookmarkEnd w:id="63"/>
    </w:p>
    <w:p w14:paraId="35070FBD" w14:textId="77777777" w:rsidR="008E5AEA" w:rsidRPr="007C275D" w:rsidRDefault="008E5AEA" w:rsidP="008E5AEA">
      <w:pPr>
        <w:pStyle w:val="Normal1"/>
        <w:rPr>
          <w:lang w:val="fr-FR"/>
        </w:rPr>
      </w:pPr>
    </w:p>
    <w:p w14:paraId="6AF3A7BD" w14:textId="77777777" w:rsidR="008E5AEA" w:rsidRPr="007C275D" w:rsidRDefault="008E5AEA" w:rsidP="008E5AEA">
      <w:pPr>
        <w:pStyle w:val="Normal1"/>
        <w:jc w:val="both"/>
        <w:rPr>
          <w:szCs w:val="24"/>
          <w:lang w:val="fr-FR"/>
        </w:rPr>
      </w:pPr>
      <w:r>
        <w:rPr>
          <w:szCs w:val="24"/>
          <w:lang w:val="fr-FR"/>
        </w:rPr>
        <w:t xml:space="preserve">En comparant les évaluations actuelles des tendances de population avec les tendances décrites dans le CSR4 de 2008, on constate que l’état de 143 populations s’est amélioré et que celui de 176 s’est détérioré (figure 15). On note une augmentation significative des populations ayant des tendances récentes inconnues ou incertaines (passant de 46 à 103) du fait de l’exclusion de l’analyse des informations anciennes et déjà dépassées visant à mettre en évidence les lacunes au niveau des connaissances. </w:t>
      </w:r>
    </w:p>
    <w:p w14:paraId="2076F4F3" w14:textId="77777777" w:rsidR="008E5AEA" w:rsidRPr="007C275D" w:rsidRDefault="008E5AEA" w:rsidP="008E5AEA">
      <w:pPr>
        <w:pStyle w:val="Normal1"/>
        <w:jc w:val="both"/>
        <w:rPr>
          <w:lang w:val="fr-FR"/>
        </w:rPr>
      </w:pPr>
    </w:p>
    <w:p w14:paraId="0E9FC85A" w14:textId="6A9901E3" w:rsidR="008E5AEA" w:rsidRDefault="008E5AEA" w:rsidP="008E5AEA">
      <w:pPr>
        <w:pStyle w:val="Normal1"/>
        <w:jc w:val="both"/>
      </w:pPr>
      <w:r>
        <w:rPr>
          <w:noProof/>
          <w:lang w:val="nl-NL" w:eastAsia="nl-NL"/>
        </w:rPr>
        <w:drawing>
          <wp:inline distT="0" distB="0" distL="0" distR="0" wp14:anchorId="2631B070" wp14:editId="0139B145">
            <wp:extent cx="5278120" cy="5801995"/>
            <wp:effectExtent l="0" t="0" r="0"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t="11694" b="10628"/>
                    <a:stretch>
                      <a:fillRect/>
                    </a:stretch>
                  </pic:blipFill>
                  <pic:spPr bwMode="auto">
                    <a:xfrm>
                      <a:off x="0" y="0"/>
                      <a:ext cx="5278120" cy="5801995"/>
                    </a:xfrm>
                    <a:prstGeom prst="rect">
                      <a:avLst/>
                    </a:prstGeom>
                    <a:noFill/>
                    <a:ln>
                      <a:noFill/>
                    </a:ln>
                  </pic:spPr>
                </pic:pic>
              </a:graphicData>
            </a:graphic>
          </wp:inline>
        </w:drawing>
      </w:r>
    </w:p>
    <w:p w14:paraId="6D6147E7" w14:textId="49EFC8DE" w:rsidR="00F97CD5" w:rsidRPr="00F97CD5" w:rsidRDefault="00F97CD5" w:rsidP="00F97CD5">
      <w:pPr>
        <w:tabs>
          <w:tab w:val="left" w:pos="3686"/>
          <w:tab w:val="left" w:pos="6096"/>
          <w:tab w:val="left" w:pos="7088"/>
        </w:tabs>
        <w:rPr>
          <w:rFonts w:cstheme="minorHAnsi"/>
          <w:color w:val="4F81BD" w:themeColor="accent1"/>
          <w:sz w:val="18"/>
          <w:szCs w:val="18"/>
          <w:lang w:val="fr-FR"/>
        </w:rPr>
      </w:pPr>
      <w:bookmarkStart w:id="64" w:name="h.ihv636"/>
      <w:bookmarkEnd w:id="64"/>
      <w:r>
        <w:rPr>
          <w:rFonts w:cstheme="minorHAnsi"/>
          <w:color w:val="4F81BD" w:themeColor="accent1"/>
          <w:sz w:val="18"/>
          <w:szCs w:val="18"/>
          <w:lang w:val="fr-FR"/>
        </w:rPr>
        <w:t xml:space="preserve">                    </w:t>
      </w:r>
      <w:r w:rsidRPr="00F97CD5">
        <w:rPr>
          <w:rFonts w:cstheme="minorHAnsi"/>
          <w:color w:val="4F81BD" w:themeColor="accent1"/>
          <w:sz w:val="18"/>
          <w:szCs w:val="18"/>
          <w:lang w:val="fr-FR"/>
        </w:rPr>
        <w:t>En déclin</w:t>
      </w:r>
      <w:r>
        <w:rPr>
          <w:rFonts w:cstheme="minorHAnsi"/>
          <w:color w:val="4F81BD" w:themeColor="accent1"/>
          <w:sz w:val="18"/>
          <w:szCs w:val="18"/>
          <w:lang w:val="fr-FR"/>
        </w:rPr>
        <w:t xml:space="preserve">          </w:t>
      </w:r>
      <w:r w:rsidRPr="00F97CD5">
        <w:rPr>
          <w:rFonts w:cstheme="minorHAnsi"/>
          <w:color w:val="4F81BD" w:themeColor="accent1"/>
          <w:sz w:val="18"/>
          <w:szCs w:val="18"/>
          <w:lang w:val="fr-FR"/>
        </w:rPr>
        <w:t>Stable ou fluctuante</w:t>
      </w:r>
      <w:r>
        <w:rPr>
          <w:rFonts w:cstheme="minorHAnsi"/>
          <w:color w:val="4F81BD" w:themeColor="accent1"/>
          <w:sz w:val="18"/>
          <w:szCs w:val="18"/>
          <w:lang w:val="fr-FR"/>
        </w:rPr>
        <w:t xml:space="preserve">       </w:t>
      </w:r>
      <w:r w:rsidRPr="00F97CD5">
        <w:rPr>
          <w:rFonts w:cstheme="minorHAnsi"/>
          <w:color w:val="4F81BD" w:themeColor="accent1"/>
          <w:sz w:val="18"/>
          <w:szCs w:val="18"/>
          <w:lang w:val="fr-FR"/>
        </w:rPr>
        <w:t>En augmentation</w:t>
      </w:r>
      <w:r>
        <w:rPr>
          <w:rFonts w:cstheme="minorHAnsi"/>
          <w:color w:val="4F81BD" w:themeColor="accent1"/>
          <w:sz w:val="18"/>
          <w:szCs w:val="18"/>
          <w:lang w:val="fr-FR"/>
        </w:rPr>
        <w:t xml:space="preserve">   </w:t>
      </w:r>
      <w:r w:rsidRPr="00F97CD5">
        <w:rPr>
          <w:rFonts w:cstheme="minorHAnsi"/>
          <w:color w:val="4F81BD" w:themeColor="accent1"/>
          <w:sz w:val="18"/>
          <w:szCs w:val="18"/>
          <w:lang w:val="fr-FR"/>
        </w:rPr>
        <w:t>Incertaine ou Inconnue</w:t>
      </w:r>
    </w:p>
    <w:p w14:paraId="181F44D0" w14:textId="77777777" w:rsidR="00F97CD5" w:rsidRDefault="00F97CD5" w:rsidP="00F97CD5">
      <w:pPr>
        <w:pStyle w:val="Caption"/>
        <w:spacing w:after="0"/>
        <w:rPr>
          <w:lang w:val="fr-FR"/>
        </w:rPr>
      </w:pPr>
    </w:p>
    <w:p w14:paraId="22D5CF68" w14:textId="06341BE8" w:rsidR="008E5AEA" w:rsidRPr="007C275D" w:rsidRDefault="008E5AEA" w:rsidP="00F97CD5">
      <w:pPr>
        <w:pStyle w:val="Caption"/>
        <w:spacing w:after="0"/>
        <w:rPr>
          <w:lang w:val="fr-FR"/>
        </w:rPr>
      </w:pPr>
      <w:r>
        <w:rPr>
          <w:lang w:val="fr-FR"/>
        </w:rPr>
        <w:t>Figure 15. Changements des tendances des populations entre deux évaluations</w:t>
      </w:r>
    </w:p>
    <w:p w14:paraId="7F8290C9" w14:textId="77777777" w:rsidR="008E5AEA" w:rsidRPr="007C275D" w:rsidRDefault="008E5AEA" w:rsidP="008E5AEA">
      <w:pPr>
        <w:rPr>
          <w:lang w:val="fr-FR"/>
        </w:rPr>
      </w:pPr>
      <w:r w:rsidRPr="007C275D">
        <w:rPr>
          <w:color w:val="auto"/>
          <w:lang w:val="fr-FR"/>
        </w:rPr>
        <w:br w:type="page"/>
      </w:r>
    </w:p>
    <w:p w14:paraId="4EF95E36" w14:textId="77777777" w:rsidR="008E5AEA" w:rsidRPr="007C275D" w:rsidRDefault="008E5AEA" w:rsidP="008E5AEA">
      <w:pPr>
        <w:pStyle w:val="Caption"/>
        <w:keepNext/>
        <w:rPr>
          <w:lang w:val="fr-FR"/>
        </w:rPr>
      </w:pPr>
      <w:r>
        <w:rPr>
          <w:lang w:val="fr-FR"/>
        </w:rPr>
        <w:lastRenderedPageBreak/>
        <w:t>Tableau 3. Populations que l’on croyait en augmentation dans le CSR4 et qui sont indiqués en déclin dans le CSR7</w:t>
      </w:r>
    </w:p>
    <w:tbl>
      <w:tblPr>
        <w:tblStyle w:val="LightShading-Accent1"/>
        <w:tblW w:w="7291" w:type="dxa"/>
        <w:tblLook w:val="0400" w:firstRow="0" w:lastRow="0" w:firstColumn="0" w:lastColumn="0" w:noHBand="0" w:noVBand="1"/>
      </w:tblPr>
      <w:tblGrid>
        <w:gridCol w:w="7291"/>
      </w:tblGrid>
      <w:tr w:rsidR="008E5AEA" w:rsidRPr="00BC4D45" w14:paraId="4EE11072"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single" w:sz="8" w:space="0" w:color="4F81BD" w:themeColor="accent1"/>
              <w:bottom w:val="nil"/>
            </w:tcBorders>
            <w:noWrap/>
            <w:hideMark/>
          </w:tcPr>
          <w:p w14:paraId="4FA02CBC"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Oie cendrée </w:t>
            </w:r>
            <w:r>
              <w:rPr>
                <w:rFonts w:ascii="Calibri" w:hAnsi="Calibri"/>
                <w:i/>
                <w:color w:val="auto"/>
                <w:szCs w:val="24"/>
                <w:lang w:val="fr-FR"/>
              </w:rPr>
              <w:t>Anser anser rubrirostris</w:t>
            </w:r>
            <w:r>
              <w:rPr>
                <w:rFonts w:ascii="Calibri" w:hAnsi="Calibri"/>
                <w:color w:val="auto"/>
                <w:szCs w:val="24"/>
                <w:lang w:val="fr-FR"/>
              </w:rPr>
              <w:t>, Sibérie occidentale/mer Caspienne et Iraq</w:t>
            </w:r>
          </w:p>
        </w:tc>
      </w:tr>
      <w:tr w:rsidR="008E5AEA" w:rsidRPr="00BC4D45" w14:paraId="70B91278" w14:textId="77777777" w:rsidTr="008E5AEA">
        <w:trPr>
          <w:trHeight w:val="300"/>
        </w:trPr>
        <w:tc>
          <w:tcPr>
            <w:tcW w:w="6" w:type="dxa"/>
            <w:tcBorders>
              <w:top w:val="nil"/>
              <w:left w:val="nil"/>
              <w:bottom w:val="nil"/>
              <w:right w:val="nil"/>
            </w:tcBorders>
            <w:noWrap/>
            <w:hideMark/>
          </w:tcPr>
          <w:p w14:paraId="2B40D1B0" w14:textId="77777777" w:rsidR="008E5AEA" w:rsidRPr="00BC4D45" w:rsidRDefault="008E5AEA">
            <w:pPr>
              <w:ind w:left="851" w:hanging="851"/>
              <w:rPr>
                <w:rFonts w:ascii="Calibri" w:hAnsi="Calibri"/>
                <w:color w:val="auto"/>
                <w:szCs w:val="24"/>
                <w:lang w:val="fr-FR"/>
              </w:rPr>
            </w:pPr>
            <w:r>
              <w:rPr>
                <w:rFonts w:ascii="Calibri" w:hAnsi="Calibri"/>
                <w:color w:val="auto"/>
                <w:szCs w:val="24"/>
                <w:lang w:val="fr-FR"/>
              </w:rPr>
              <w:t xml:space="preserve">Érismature maccoa </w:t>
            </w:r>
            <w:r>
              <w:rPr>
                <w:rFonts w:ascii="Calibri" w:hAnsi="Calibri"/>
                <w:i/>
                <w:color w:val="auto"/>
                <w:szCs w:val="24"/>
                <w:lang w:val="fr-FR"/>
              </w:rPr>
              <w:t>Oxyura maccoa</w:t>
            </w:r>
            <w:r>
              <w:rPr>
                <w:rFonts w:ascii="Calibri" w:hAnsi="Calibri"/>
                <w:color w:val="auto"/>
                <w:szCs w:val="24"/>
                <w:lang w:val="fr-FR"/>
              </w:rPr>
              <w:t>, Afrique australe</w:t>
            </w:r>
          </w:p>
        </w:tc>
      </w:tr>
      <w:tr w:rsidR="008E5AEA" w:rsidRPr="00BC4D45" w14:paraId="1DC3D1D4"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07067504"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Tadorne de Belon </w:t>
            </w:r>
            <w:r>
              <w:rPr>
                <w:rFonts w:ascii="Calibri" w:hAnsi="Calibri"/>
                <w:i/>
                <w:color w:val="auto"/>
                <w:szCs w:val="24"/>
                <w:lang w:val="fr-FR"/>
              </w:rPr>
              <w:t>Tadorna tadorna</w:t>
            </w:r>
            <w:r>
              <w:rPr>
                <w:rFonts w:ascii="Calibri" w:hAnsi="Calibri"/>
                <w:color w:val="auto"/>
                <w:szCs w:val="24"/>
                <w:lang w:val="fr-FR"/>
              </w:rPr>
              <w:t>, Asie de l’Ouest/mer Caspienne et Moyen-Orient</w:t>
            </w:r>
          </w:p>
        </w:tc>
      </w:tr>
      <w:tr w:rsidR="008E5AEA" w:rsidRPr="00BC4D45" w14:paraId="7479750D" w14:textId="77777777" w:rsidTr="008E5AEA">
        <w:trPr>
          <w:trHeight w:val="300"/>
        </w:trPr>
        <w:tc>
          <w:tcPr>
            <w:tcW w:w="6" w:type="dxa"/>
            <w:tcBorders>
              <w:top w:val="nil"/>
              <w:left w:val="nil"/>
              <w:bottom w:val="nil"/>
              <w:right w:val="nil"/>
            </w:tcBorders>
            <w:noWrap/>
            <w:hideMark/>
          </w:tcPr>
          <w:p w14:paraId="7C556E68" w14:textId="77777777" w:rsidR="008E5AEA" w:rsidRPr="007C275D" w:rsidRDefault="008E5AEA">
            <w:pPr>
              <w:ind w:left="851" w:hanging="851"/>
              <w:rPr>
                <w:rFonts w:ascii="Calibri" w:eastAsiaTheme="majorEastAsia" w:hAnsi="Calibri" w:cstheme="majorBidi"/>
                <w:b/>
                <w:i/>
                <w:iCs/>
                <w:color w:val="auto"/>
                <w:sz w:val="20"/>
                <w:szCs w:val="24"/>
                <w:lang w:val="fr-FR"/>
              </w:rPr>
            </w:pPr>
            <w:r>
              <w:rPr>
                <w:rFonts w:ascii="Calibri" w:hAnsi="Calibri"/>
                <w:color w:val="auto"/>
                <w:szCs w:val="24"/>
                <w:lang w:val="fr-FR"/>
              </w:rPr>
              <w:t xml:space="preserve">Grand Cormorant </w:t>
            </w:r>
            <w:r>
              <w:rPr>
                <w:rFonts w:ascii="Calibri" w:hAnsi="Calibri"/>
                <w:i/>
                <w:color w:val="auto"/>
                <w:szCs w:val="24"/>
                <w:lang w:val="fr-FR"/>
              </w:rPr>
              <w:t>Phalacrocorax carbo carbo</w:t>
            </w:r>
            <w:r>
              <w:rPr>
                <w:rFonts w:ascii="Calibri" w:hAnsi="Calibri"/>
                <w:color w:val="auto"/>
                <w:szCs w:val="24"/>
                <w:lang w:val="fr-FR"/>
              </w:rPr>
              <w:t>, Europe du Nord-Ouest</w:t>
            </w:r>
          </w:p>
        </w:tc>
      </w:tr>
      <w:tr w:rsidR="008E5AEA" w:rsidRPr="00BC4D45" w14:paraId="1278CF24"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728C7BDD"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Grèbe à cou noir </w:t>
            </w:r>
            <w:r>
              <w:rPr>
                <w:rFonts w:ascii="Calibri" w:hAnsi="Calibri"/>
                <w:i/>
                <w:color w:val="auto"/>
                <w:szCs w:val="24"/>
                <w:lang w:val="fr-FR"/>
              </w:rPr>
              <w:t>Podiceps nigricollis nigricollis</w:t>
            </w:r>
            <w:r>
              <w:rPr>
                <w:rFonts w:ascii="Calibri" w:hAnsi="Calibri"/>
                <w:color w:val="auto"/>
                <w:szCs w:val="24"/>
                <w:lang w:val="fr-FR"/>
              </w:rPr>
              <w:t>, Asie de l’Ouest/Asie du Sud-Ouest et du Sud</w:t>
            </w:r>
          </w:p>
        </w:tc>
      </w:tr>
      <w:tr w:rsidR="008E5AEA" w:rsidRPr="00BC4D45" w14:paraId="41B6267C" w14:textId="77777777" w:rsidTr="008E5AEA">
        <w:trPr>
          <w:trHeight w:val="300"/>
        </w:trPr>
        <w:tc>
          <w:tcPr>
            <w:tcW w:w="6" w:type="dxa"/>
            <w:tcBorders>
              <w:top w:val="nil"/>
              <w:left w:val="nil"/>
              <w:bottom w:val="nil"/>
              <w:right w:val="nil"/>
            </w:tcBorders>
            <w:noWrap/>
            <w:hideMark/>
          </w:tcPr>
          <w:p w14:paraId="3FAF4350"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Héron cendré </w:t>
            </w:r>
            <w:r>
              <w:rPr>
                <w:rFonts w:ascii="Calibri" w:hAnsi="Calibri"/>
                <w:i/>
                <w:color w:val="auto"/>
                <w:szCs w:val="24"/>
                <w:lang w:val="fr-FR"/>
              </w:rPr>
              <w:t>Ardea cinerea cinerea</w:t>
            </w:r>
            <w:r>
              <w:rPr>
                <w:rFonts w:ascii="Calibri" w:hAnsi="Calibri"/>
                <w:color w:val="auto"/>
                <w:szCs w:val="24"/>
                <w:lang w:val="fr-FR"/>
              </w:rPr>
              <w:t>, Europe centrale et de l’Est</w:t>
            </w:r>
          </w:p>
        </w:tc>
      </w:tr>
      <w:tr w:rsidR="008E5AEA" w:rsidRPr="00BC4D45" w14:paraId="0AE02F13"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03EF3566"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Héron cendré </w:t>
            </w:r>
            <w:r>
              <w:rPr>
                <w:rFonts w:ascii="Calibri" w:hAnsi="Calibri"/>
                <w:i/>
                <w:color w:val="auto"/>
                <w:szCs w:val="24"/>
                <w:lang w:val="fr-FR"/>
              </w:rPr>
              <w:t>Ardea cinerea cinerea</w:t>
            </w:r>
            <w:r>
              <w:rPr>
                <w:rFonts w:ascii="Calibri" w:hAnsi="Calibri"/>
                <w:color w:val="auto"/>
                <w:szCs w:val="24"/>
                <w:lang w:val="fr-FR"/>
              </w:rPr>
              <w:t>, Europe du Nord et de l’Ouest</w:t>
            </w:r>
          </w:p>
        </w:tc>
      </w:tr>
      <w:tr w:rsidR="008E5AEA" w:rsidRPr="00BC4D45" w14:paraId="5AB46FC1" w14:textId="77777777" w:rsidTr="008E5AEA">
        <w:trPr>
          <w:trHeight w:val="300"/>
        </w:trPr>
        <w:tc>
          <w:tcPr>
            <w:tcW w:w="6" w:type="dxa"/>
            <w:tcBorders>
              <w:top w:val="nil"/>
              <w:left w:val="nil"/>
              <w:bottom w:val="nil"/>
              <w:right w:val="nil"/>
            </w:tcBorders>
            <w:noWrap/>
            <w:hideMark/>
          </w:tcPr>
          <w:p w14:paraId="557A9509"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Héron garde-boeufs </w:t>
            </w:r>
            <w:r>
              <w:rPr>
                <w:rFonts w:ascii="Calibri" w:hAnsi="Calibri"/>
                <w:i/>
                <w:color w:val="auto"/>
                <w:szCs w:val="24"/>
                <w:lang w:val="fr-FR"/>
              </w:rPr>
              <w:t>Bubulcus ibis ibis</w:t>
            </w:r>
            <w:r>
              <w:rPr>
                <w:rFonts w:ascii="Calibri" w:hAnsi="Calibri"/>
                <w:color w:val="auto"/>
                <w:szCs w:val="24"/>
                <w:lang w:val="fr-FR"/>
              </w:rPr>
              <w:t>, Europe du Sud-Ouest</w:t>
            </w:r>
          </w:p>
        </w:tc>
      </w:tr>
      <w:tr w:rsidR="008E5AEA" w:rsidRPr="00BC4D45" w14:paraId="6FE5E483"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5730381F"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Héron garde-boeufs </w:t>
            </w:r>
            <w:r>
              <w:rPr>
                <w:rFonts w:ascii="Calibri" w:hAnsi="Calibri"/>
                <w:i/>
                <w:color w:val="auto"/>
                <w:szCs w:val="24"/>
                <w:lang w:val="fr-FR"/>
              </w:rPr>
              <w:t>Bubulcus ibis ibis</w:t>
            </w:r>
            <w:r>
              <w:rPr>
                <w:rFonts w:ascii="Calibri" w:hAnsi="Calibri"/>
                <w:color w:val="auto"/>
                <w:szCs w:val="24"/>
                <w:lang w:val="fr-FR"/>
              </w:rPr>
              <w:t>, Afrique australe</w:t>
            </w:r>
          </w:p>
        </w:tc>
      </w:tr>
      <w:tr w:rsidR="008E5AEA" w:rsidRPr="00BC4D45" w14:paraId="7ABAACCA" w14:textId="77777777" w:rsidTr="008E5AEA">
        <w:trPr>
          <w:trHeight w:val="300"/>
        </w:trPr>
        <w:tc>
          <w:tcPr>
            <w:tcW w:w="6" w:type="dxa"/>
            <w:tcBorders>
              <w:top w:val="nil"/>
              <w:left w:val="nil"/>
              <w:bottom w:val="nil"/>
              <w:right w:val="nil"/>
            </w:tcBorders>
            <w:noWrap/>
            <w:hideMark/>
          </w:tcPr>
          <w:p w14:paraId="617C5AF7" w14:textId="77777777" w:rsidR="008E5AEA" w:rsidRDefault="008E5AEA">
            <w:pPr>
              <w:ind w:left="851" w:hanging="851"/>
              <w:rPr>
                <w:rFonts w:ascii="Calibri" w:hAnsi="Calibri"/>
                <w:color w:val="auto"/>
                <w:szCs w:val="24"/>
                <w:lang w:val="it-IT"/>
              </w:rPr>
            </w:pPr>
            <w:r>
              <w:rPr>
                <w:rFonts w:ascii="Calibri" w:hAnsi="Calibri"/>
                <w:color w:val="auto"/>
                <w:szCs w:val="24"/>
                <w:lang w:val="fr-FR"/>
              </w:rPr>
              <w:t xml:space="preserve">Aigrette garzette </w:t>
            </w:r>
            <w:r>
              <w:rPr>
                <w:rFonts w:ascii="Calibri" w:hAnsi="Calibri"/>
                <w:i/>
                <w:color w:val="auto"/>
                <w:szCs w:val="24"/>
                <w:lang w:val="fr-FR"/>
              </w:rPr>
              <w:t>Egretta garzetta garzetta</w:t>
            </w:r>
            <w:r>
              <w:rPr>
                <w:rFonts w:ascii="Calibri" w:hAnsi="Calibri"/>
                <w:color w:val="auto"/>
                <w:szCs w:val="24"/>
                <w:lang w:val="fr-FR"/>
              </w:rPr>
              <w:t>, Europe occidentale, Afrique du Nord-Ouest</w:t>
            </w:r>
          </w:p>
        </w:tc>
      </w:tr>
      <w:tr w:rsidR="008E5AEA" w:rsidRPr="00BC4D45" w14:paraId="658161DD"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6683B346"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Grue demoiselle </w:t>
            </w:r>
            <w:r>
              <w:rPr>
                <w:rFonts w:ascii="Calibri" w:hAnsi="Calibri"/>
                <w:i/>
                <w:color w:val="auto"/>
                <w:szCs w:val="24"/>
                <w:lang w:val="fr-FR"/>
              </w:rPr>
              <w:t>Anthropoides virgo</w:t>
            </w:r>
            <w:r>
              <w:rPr>
                <w:rFonts w:ascii="Calibri" w:hAnsi="Calibri"/>
                <w:color w:val="auto"/>
                <w:szCs w:val="24"/>
                <w:lang w:val="fr-FR"/>
              </w:rPr>
              <w:t>, Kalmukie/Afrique du Nord-Est</w:t>
            </w:r>
          </w:p>
        </w:tc>
      </w:tr>
      <w:tr w:rsidR="008E5AEA" w:rsidRPr="00BC4D45" w14:paraId="66AF5CCD" w14:textId="77777777" w:rsidTr="008E5AEA">
        <w:trPr>
          <w:trHeight w:val="300"/>
        </w:trPr>
        <w:tc>
          <w:tcPr>
            <w:tcW w:w="6" w:type="dxa"/>
            <w:tcBorders>
              <w:top w:val="nil"/>
              <w:left w:val="nil"/>
              <w:bottom w:val="nil"/>
              <w:right w:val="nil"/>
            </w:tcBorders>
            <w:noWrap/>
            <w:hideMark/>
          </w:tcPr>
          <w:p w14:paraId="2F944888"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Pluvier à triple collier </w:t>
            </w:r>
            <w:r>
              <w:rPr>
                <w:rFonts w:ascii="Calibri" w:hAnsi="Calibri"/>
                <w:i/>
                <w:color w:val="auto"/>
                <w:szCs w:val="24"/>
                <w:lang w:val="fr-FR"/>
              </w:rPr>
              <w:t>Charadrius tricollaris</w:t>
            </w:r>
            <w:r>
              <w:rPr>
                <w:rFonts w:ascii="Calibri" w:hAnsi="Calibri"/>
                <w:color w:val="auto"/>
                <w:szCs w:val="24"/>
                <w:lang w:val="fr-FR"/>
              </w:rPr>
              <w:t>, Afrique australe et de l’Est</w:t>
            </w:r>
          </w:p>
        </w:tc>
      </w:tr>
      <w:tr w:rsidR="008E5AEA" w:rsidRPr="00BC4D45" w14:paraId="2D2869BE"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708804AE"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Bécasseau cocorli </w:t>
            </w:r>
            <w:r>
              <w:rPr>
                <w:rFonts w:ascii="Calibri" w:hAnsi="Calibri"/>
                <w:i/>
                <w:color w:val="auto"/>
                <w:szCs w:val="24"/>
                <w:lang w:val="fr-FR"/>
              </w:rPr>
              <w:t>Calidris ferruginea</w:t>
            </w:r>
            <w:r>
              <w:rPr>
                <w:rFonts w:ascii="Calibri" w:hAnsi="Calibri"/>
                <w:color w:val="auto"/>
                <w:szCs w:val="24"/>
                <w:lang w:val="fr-FR"/>
              </w:rPr>
              <w:t>, Sibérie occidentale/Afrique de l’Ouest</w:t>
            </w:r>
          </w:p>
        </w:tc>
      </w:tr>
      <w:tr w:rsidR="008E5AEA" w:rsidRPr="00BC4D45" w14:paraId="3BCD3445" w14:textId="77777777" w:rsidTr="008E5AEA">
        <w:trPr>
          <w:trHeight w:val="300"/>
        </w:trPr>
        <w:tc>
          <w:tcPr>
            <w:tcW w:w="6" w:type="dxa"/>
            <w:tcBorders>
              <w:top w:val="nil"/>
              <w:left w:val="nil"/>
              <w:bottom w:val="nil"/>
              <w:right w:val="nil"/>
            </w:tcBorders>
            <w:noWrap/>
            <w:hideMark/>
          </w:tcPr>
          <w:p w14:paraId="026D7279"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Mouette pygmée </w:t>
            </w:r>
            <w:r>
              <w:rPr>
                <w:rFonts w:ascii="Calibri" w:hAnsi="Calibri"/>
                <w:i/>
                <w:color w:val="auto"/>
                <w:szCs w:val="24"/>
                <w:lang w:val="fr-FR"/>
              </w:rPr>
              <w:t>Hydrocoloeus minutus</w:t>
            </w:r>
            <w:r>
              <w:rPr>
                <w:rFonts w:ascii="Calibri" w:hAnsi="Calibri"/>
                <w:color w:val="auto"/>
                <w:szCs w:val="24"/>
                <w:lang w:val="fr-FR"/>
              </w:rPr>
              <w:t>, Europe centrale et E Europe/SO Europe et Méditerranée occidentale</w:t>
            </w:r>
          </w:p>
        </w:tc>
      </w:tr>
      <w:tr w:rsidR="008E5AEA" w:rsidRPr="00BC4D45" w14:paraId="21A5C353"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4A5B0A45"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Goéland dominicain </w:t>
            </w:r>
            <w:r>
              <w:rPr>
                <w:rFonts w:ascii="Calibri" w:hAnsi="Calibri"/>
                <w:i/>
                <w:color w:val="auto"/>
                <w:szCs w:val="24"/>
                <w:lang w:val="fr-FR"/>
              </w:rPr>
              <w:t>Larus dominicanus vetula</w:t>
            </w:r>
            <w:r>
              <w:rPr>
                <w:rFonts w:ascii="Calibri" w:hAnsi="Calibri"/>
                <w:color w:val="auto"/>
                <w:szCs w:val="24"/>
                <w:lang w:val="fr-FR"/>
              </w:rPr>
              <w:t>, littoral de l’Afrique australe</w:t>
            </w:r>
          </w:p>
        </w:tc>
      </w:tr>
      <w:tr w:rsidR="008E5AEA" w:rsidRPr="00BC4D45" w14:paraId="779E63C5" w14:textId="77777777" w:rsidTr="008E5AEA">
        <w:trPr>
          <w:trHeight w:val="300"/>
        </w:trPr>
        <w:tc>
          <w:tcPr>
            <w:tcW w:w="6" w:type="dxa"/>
            <w:tcBorders>
              <w:top w:val="nil"/>
              <w:left w:val="nil"/>
              <w:bottom w:val="nil"/>
              <w:right w:val="nil"/>
            </w:tcBorders>
            <w:noWrap/>
            <w:hideMark/>
          </w:tcPr>
          <w:p w14:paraId="6F42FADA"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Goéland brun </w:t>
            </w:r>
            <w:r>
              <w:rPr>
                <w:rFonts w:ascii="Calibri" w:hAnsi="Calibri"/>
                <w:i/>
                <w:color w:val="auto"/>
                <w:szCs w:val="24"/>
                <w:lang w:val="fr-FR"/>
              </w:rPr>
              <w:t>Larus fuscus graellsii</w:t>
            </w:r>
            <w:r>
              <w:rPr>
                <w:rFonts w:ascii="Calibri" w:hAnsi="Calibri"/>
                <w:color w:val="auto"/>
                <w:szCs w:val="24"/>
                <w:lang w:val="fr-FR"/>
              </w:rPr>
              <w:t>, Europe occidentale/ Méditerranée et Afrique de l’Ouest</w:t>
            </w:r>
          </w:p>
        </w:tc>
      </w:tr>
      <w:tr w:rsidR="008E5AEA" w:rsidRPr="00BC4D45" w14:paraId="7EE4B94C"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6" w:type="dxa"/>
            <w:tcBorders>
              <w:top w:val="nil"/>
              <w:bottom w:val="nil"/>
            </w:tcBorders>
            <w:noWrap/>
            <w:hideMark/>
          </w:tcPr>
          <w:p w14:paraId="12667009" w14:textId="77777777" w:rsidR="008E5AEA" w:rsidRPr="007C275D" w:rsidRDefault="008E5AEA">
            <w:pPr>
              <w:ind w:left="851" w:hanging="851"/>
              <w:rPr>
                <w:rFonts w:ascii="Calibri" w:hAnsi="Calibri"/>
                <w:color w:val="auto"/>
                <w:szCs w:val="24"/>
                <w:lang w:val="fr-FR"/>
              </w:rPr>
            </w:pPr>
            <w:r>
              <w:rPr>
                <w:rFonts w:ascii="Calibri" w:hAnsi="Calibri"/>
                <w:color w:val="auto"/>
                <w:szCs w:val="24"/>
                <w:lang w:val="fr-FR"/>
              </w:rPr>
              <w:t xml:space="preserve">Mouette de Hartlaub </w:t>
            </w:r>
            <w:r>
              <w:rPr>
                <w:rFonts w:ascii="Calibri" w:hAnsi="Calibri"/>
                <w:i/>
                <w:color w:val="auto"/>
                <w:szCs w:val="24"/>
                <w:lang w:val="fr-FR"/>
              </w:rPr>
              <w:t>Larus hartlaubii</w:t>
            </w:r>
            <w:r>
              <w:rPr>
                <w:rFonts w:ascii="Calibri" w:hAnsi="Calibri"/>
                <w:color w:val="auto"/>
                <w:szCs w:val="24"/>
                <w:lang w:val="fr-FR"/>
              </w:rPr>
              <w:t>, Littoral de l’Afrique du Sud-Ouest</w:t>
            </w:r>
          </w:p>
        </w:tc>
      </w:tr>
      <w:tr w:rsidR="008E5AEA" w:rsidRPr="00BC4D45" w14:paraId="139FBADF" w14:textId="77777777" w:rsidTr="008E5AEA">
        <w:trPr>
          <w:trHeight w:val="300"/>
        </w:trPr>
        <w:tc>
          <w:tcPr>
            <w:tcW w:w="6" w:type="dxa"/>
            <w:tcBorders>
              <w:top w:val="nil"/>
              <w:left w:val="nil"/>
              <w:bottom w:val="single" w:sz="8" w:space="0" w:color="4F81BD" w:themeColor="accent1"/>
              <w:right w:val="nil"/>
            </w:tcBorders>
            <w:noWrap/>
            <w:hideMark/>
          </w:tcPr>
          <w:p w14:paraId="27A58302" w14:textId="77777777" w:rsidR="008E5AEA" w:rsidRPr="007C275D" w:rsidRDefault="008E5AEA">
            <w:pPr>
              <w:keepNext/>
              <w:keepLines/>
              <w:spacing w:before="240" w:after="60"/>
              <w:outlineLvl w:val="2"/>
              <w:rPr>
                <w:rFonts w:ascii="Calibri" w:hAnsi="Calibri"/>
                <w:color w:val="auto"/>
                <w:szCs w:val="24"/>
                <w:lang w:val="fr-FR"/>
              </w:rPr>
            </w:pPr>
            <w:bookmarkStart w:id="65" w:name="_Toc517262020"/>
            <w:r>
              <w:rPr>
                <w:rFonts w:ascii="Calibri" w:hAnsi="Calibri"/>
                <w:color w:val="auto"/>
                <w:szCs w:val="24"/>
                <w:lang w:val="fr-FR"/>
              </w:rPr>
              <w:t xml:space="preserve">Goéland marin </w:t>
            </w:r>
            <w:r>
              <w:rPr>
                <w:rFonts w:ascii="Calibri" w:hAnsi="Calibri"/>
                <w:i/>
                <w:color w:val="auto"/>
                <w:szCs w:val="24"/>
                <w:lang w:val="fr-FR"/>
              </w:rPr>
              <w:t>Larus marinus</w:t>
            </w:r>
            <w:r>
              <w:rPr>
                <w:rFonts w:ascii="Calibri" w:hAnsi="Calibri"/>
                <w:color w:val="auto"/>
                <w:szCs w:val="24"/>
                <w:lang w:val="fr-FR"/>
              </w:rPr>
              <w:t>, Europe du Nord et de l’Ouest</w:t>
            </w:r>
            <w:bookmarkEnd w:id="65"/>
          </w:p>
        </w:tc>
      </w:tr>
    </w:tbl>
    <w:p w14:paraId="71D0BA00" w14:textId="77777777" w:rsidR="008E5AEA" w:rsidRPr="007C275D" w:rsidRDefault="008E5AEA" w:rsidP="008E5AEA">
      <w:pPr>
        <w:pStyle w:val="Normal1"/>
        <w:keepNext/>
        <w:jc w:val="both"/>
        <w:rPr>
          <w:lang w:val="fr-FR"/>
        </w:rPr>
      </w:pPr>
    </w:p>
    <w:p w14:paraId="6F7C8CA8" w14:textId="77777777" w:rsidR="008E5AEA" w:rsidRPr="007C275D" w:rsidRDefault="008E5AEA" w:rsidP="008E5AEA">
      <w:pPr>
        <w:pStyle w:val="Normal1"/>
        <w:rPr>
          <w:lang w:val="fr-FR"/>
        </w:rPr>
      </w:pPr>
      <w:r w:rsidRPr="007C275D">
        <w:rPr>
          <w:color w:val="auto"/>
          <w:lang w:val="fr-FR"/>
        </w:rPr>
        <w:br w:type="page"/>
      </w:r>
    </w:p>
    <w:p w14:paraId="182CF036" w14:textId="77777777" w:rsidR="008E5AEA" w:rsidRPr="007C275D" w:rsidRDefault="008E5AEA" w:rsidP="008E5AEA">
      <w:pPr>
        <w:pStyle w:val="Heading3"/>
        <w:rPr>
          <w:lang w:val="fr-FR"/>
        </w:rPr>
      </w:pPr>
      <w:bookmarkStart w:id="66" w:name="h.32hioqz"/>
      <w:bookmarkStart w:id="67" w:name="_Toc517262021"/>
      <w:bookmarkEnd w:id="66"/>
      <w:r>
        <w:rPr>
          <w:rFonts w:ascii="Times New Roman" w:eastAsia="Times New Roman" w:hAnsi="Times New Roman" w:cs="Times New Roman"/>
          <w:lang w:val="fr-FR"/>
        </w:rPr>
        <w:lastRenderedPageBreak/>
        <w:t>Plus de la moitié des populations de pingouins et de grues est en déclin</w:t>
      </w:r>
      <w:bookmarkEnd w:id="67"/>
    </w:p>
    <w:p w14:paraId="0F07FFBE" w14:textId="77777777" w:rsidR="008E5AEA" w:rsidRPr="007C275D" w:rsidRDefault="008E5AEA" w:rsidP="008E5AEA">
      <w:pPr>
        <w:pStyle w:val="Normal1"/>
        <w:rPr>
          <w:lang w:val="fr-FR"/>
        </w:rPr>
      </w:pPr>
    </w:p>
    <w:p w14:paraId="40EAD15F" w14:textId="77777777" w:rsidR="008E5AEA" w:rsidRPr="007C275D" w:rsidRDefault="008E5AEA" w:rsidP="008E5AEA">
      <w:pPr>
        <w:pStyle w:val="Normal1"/>
        <w:jc w:val="both"/>
        <w:rPr>
          <w:szCs w:val="24"/>
          <w:lang w:val="fr-FR"/>
        </w:rPr>
      </w:pPr>
      <w:r>
        <w:rPr>
          <w:szCs w:val="24"/>
          <w:lang w:val="fr-FR"/>
        </w:rPr>
        <w:t xml:space="preserve">Les groupes taxonomiques ayant une proportion particulièrement élevée (plus de 50 %) de populations en déclin comprennent les bec-en-sabot </w:t>
      </w:r>
      <w:r>
        <w:rPr>
          <w:i/>
          <w:szCs w:val="24"/>
          <w:lang w:val="fr-FR"/>
        </w:rPr>
        <w:t>Balaenicipitidae</w:t>
      </w:r>
      <w:r>
        <w:rPr>
          <w:szCs w:val="24"/>
          <w:lang w:val="fr-FR"/>
        </w:rPr>
        <w:t xml:space="preserve"> (une population mono-spécifique), les manchots </w:t>
      </w:r>
      <w:r>
        <w:rPr>
          <w:i/>
          <w:szCs w:val="24"/>
          <w:lang w:val="fr-FR"/>
        </w:rPr>
        <w:t>Spheniscidae</w:t>
      </w:r>
      <w:r>
        <w:rPr>
          <w:szCs w:val="24"/>
          <w:lang w:val="fr-FR"/>
        </w:rPr>
        <w:t xml:space="preserve">, les grues </w:t>
      </w:r>
      <w:r>
        <w:rPr>
          <w:i/>
          <w:szCs w:val="24"/>
          <w:lang w:val="fr-FR"/>
        </w:rPr>
        <w:t>Gruidae</w:t>
      </w:r>
      <w:r>
        <w:rPr>
          <w:szCs w:val="24"/>
          <w:lang w:val="fr-FR"/>
        </w:rPr>
        <w:t xml:space="preserve">; et les pingouins </w:t>
      </w:r>
      <w:r>
        <w:rPr>
          <w:i/>
          <w:szCs w:val="24"/>
          <w:lang w:val="fr-FR"/>
        </w:rPr>
        <w:t>Alcidae</w:t>
      </w:r>
      <w:r>
        <w:rPr>
          <w:szCs w:val="24"/>
          <w:lang w:val="fr-FR"/>
        </w:rPr>
        <w:t xml:space="preserve">. Cependant, les nombres les plus élevés de populations en déclin se trouvent parmi les canards, les oies et les cygnes </w:t>
      </w:r>
      <w:r>
        <w:rPr>
          <w:i/>
          <w:szCs w:val="24"/>
          <w:lang w:val="fr-FR"/>
        </w:rPr>
        <w:t xml:space="preserve">Anatidae </w:t>
      </w:r>
      <w:r>
        <w:rPr>
          <w:szCs w:val="24"/>
          <w:lang w:val="fr-FR"/>
        </w:rPr>
        <w:t xml:space="preserve">(41), les bécasseaux et espèces apparentées </w:t>
      </w:r>
      <w:r>
        <w:rPr>
          <w:i/>
          <w:szCs w:val="24"/>
          <w:lang w:val="fr-FR"/>
        </w:rPr>
        <w:t>Scolopacidae</w:t>
      </w:r>
      <w:r>
        <w:rPr>
          <w:szCs w:val="24"/>
          <w:lang w:val="fr-FR"/>
        </w:rPr>
        <w:t xml:space="preserve"> (27), les goélands et les sternes </w:t>
      </w:r>
      <w:r>
        <w:rPr>
          <w:i/>
          <w:szCs w:val="24"/>
          <w:lang w:val="fr-FR"/>
        </w:rPr>
        <w:t xml:space="preserve">Laridae </w:t>
      </w:r>
      <w:r>
        <w:rPr>
          <w:szCs w:val="24"/>
          <w:lang w:val="fr-FR"/>
        </w:rPr>
        <w:t xml:space="preserve">(19) ainsi que les hérons </w:t>
      </w:r>
      <w:r>
        <w:rPr>
          <w:i/>
          <w:szCs w:val="24"/>
          <w:lang w:val="fr-FR"/>
        </w:rPr>
        <w:t>Ardeidae</w:t>
      </w:r>
      <w:r>
        <w:rPr>
          <w:szCs w:val="24"/>
          <w:lang w:val="fr-FR"/>
        </w:rPr>
        <w:t xml:space="preserve"> (14). </w:t>
      </w:r>
    </w:p>
    <w:p w14:paraId="0B6F0FF1" w14:textId="77777777" w:rsidR="008E5AEA" w:rsidRPr="007C275D" w:rsidRDefault="008E5AEA" w:rsidP="008E5AEA">
      <w:pPr>
        <w:pStyle w:val="Normal1"/>
        <w:jc w:val="both"/>
        <w:rPr>
          <w:szCs w:val="24"/>
          <w:lang w:val="fr-FR"/>
        </w:rPr>
      </w:pPr>
    </w:p>
    <w:p w14:paraId="3EC34FA4" w14:textId="77777777" w:rsidR="008E5AEA" w:rsidRPr="007C275D" w:rsidRDefault="008E5AEA" w:rsidP="008E5AEA">
      <w:pPr>
        <w:pStyle w:val="Normal1"/>
        <w:jc w:val="both"/>
        <w:rPr>
          <w:szCs w:val="24"/>
          <w:lang w:val="fr-FR"/>
        </w:rPr>
      </w:pPr>
      <w:r>
        <w:rPr>
          <w:szCs w:val="24"/>
          <w:lang w:val="fr-FR"/>
        </w:rPr>
        <w:t xml:space="preserve">Le nombre de populations en augmentation est supérieur à celui des populations en déclin pour les pélicans </w:t>
      </w:r>
      <w:r>
        <w:rPr>
          <w:i/>
          <w:szCs w:val="24"/>
          <w:lang w:val="fr-FR"/>
        </w:rPr>
        <w:t>Pelecanidae</w:t>
      </w:r>
      <w:r>
        <w:rPr>
          <w:szCs w:val="24"/>
          <w:lang w:val="fr-FR"/>
        </w:rPr>
        <w:t xml:space="preserve">, les cormorans </w:t>
      </w:r>
      <w:r>
        <w:rPr>
          <w:i/>
          <w:szCs w:val="24"/>
          <w:lang w:val="fr-FR"/>
        </w:rPr>
        <w:t xml:space="preserve">Phalacrocoracidae, </w:t>
      </w:r>
      <w:r>
        <w:rPr>
          <w:szCs w:val="24"/>
          <w:lang w:val="fr-FR"/>
        </w:rPr>
        <w:t>les avocettes et les échasses</w:t>
      </w:r>
      <w:r>
        <w:rPr>
          <w:i/>
          <w:szCs w:val="24"/>
          <w:lang w:val="fr-FR"/>
        </w:rPr>
        <w:t xml:space="preserve"> Recurvirostridae</w:t>
      </w:r>
      <w:r>
        <w:rPr>
          <w:szCs w:val="24"/>
          <w:lang w:val="fr-FR"/>
        </w:rPr>
        <w:t xml:space="preserve">, les cigognes </w:t>
      </w:r>
      <w:r>
        <w:rPr>
          <w:i/>
          <w:szCs w:val="24"/>
          <w:lang w:val="fr-FR"/>
        </w:rPr>
        <w:t>Ciconiidae</w:t>
      </w:r>
      <w:r>
        <w:rPr>
          <w:szCs w:val="24"/>
          <w:lang w:val="fr-FR"/>
        </w:rPr>
        <w:t xml:space="preserve">, les flamants </w:t>
      </w:r>
      <w:r>
        <w:rPr>
          <w:i/>
          <w:szCs w:val="24"/>
          <w:lang w:val="fr-FR"/>
        </w:rPr>
        <w:t>Phoenicopteridae</w:t>
      </w:r>
      <w:r>
        <w:rPr>
          <w:szCs w:val="24"/>
          <w:lang w:val="fr-FR"/>
        </w:rPr>
        <w:t xml:space="preserve"> et les glaréoles Glareolidae. Il n’y a pas de diminution de populations pour les huîtriers </w:t>
      </w:r>
      <w:r>
        <w:rPr>
          <w:i/>
          <w:szCs w:val="24"/>
          <w:lang w:val="fr-FR"/>
        </w:rPr>
        <w:t xml:space="preserve">Haematopodidae, </w:t>
      </w:r>
      <w:r>
        <w:rPr>
          <w:szCs w:val="24"/>
          <w:lang w:val="fr-FR"/>
        </w:rPr>
        <w:t xml:space="preserve">les frégates </w:t>
      </w:r>
      <w:r>
        <w:rPr>
          <w:i/>
          <w:szCs w:val="24"/>
          <w:lang w:val="fr-FR"/>
        </w:rPr>
        <w:t>Frigatidae</w:t>
      </w:r>
      <w:r>
        <w:rPr>
          <w:szCs w:val="24"/>
          <w:lang w:val="fr-FR"/>
        </w:rPr>
        <w:t xml:space="preserve"> et les phaétons </w:t>
      </w:r>
      <w:r>
        <w:rPr>
          <w:i/>
          <w:szCs w:val="24"/>
          <w:lang w:val="fr-FR"/>
        </w:rPr>
        <w:t>Phaethontidae</w:t>
      </w:r>
      <w:r>
        <w:rPr>
          <w:szCs w:val="24"/>
          <w:lang w:val="fr-FR"/>
        </w:rPr>
        <w:t xml:space="preserve">, mais cette observation pourrait bien seulement révéler le manque d’informations actualisées sur les tendances au sein de ces groupes difficiles à surveiller (figure 16). </w:t>
      </w:r>
    </w:p>
    <w:p w14:paraId="65D31E2B" w14:textId="77777777" w:rsidR="008E5AEA" w:rsidRPr="007C275D" w:rsidRDefault="008E5AEA" w:rsidP="008E5AEA">
      <w:pPr>
        <w:pStyle w:val="Normal1"/>
        <w:rPr>
          <w:lang w:val="fr-FR"/>
        </w:rPr>
      </w:pPr>
    </w:p>
    <w:p w14:paraId="6F393E6C" w14:textId="05A289BF" w:rsidR="008E5AEA" w:rsidRDefault="00397ED1" w:rsidP="008E5AEA">
      <w:pPr>
        <w:pStyle w:val="Normal1"/>
      </w:pPr>
      <w:r>
        <w:rPr>
          <w:noProof/>
          <w:lang w:val="nl-NL" w:eastAsia="nl-NL"/>
        </w:rPr>
        <mc:AlternateContent>
          <mc:Choice Requires="wps">
            <w:drawing>
              <wp:anchor distT="0" distB="0" distL="114300" distR="114300" simplePos="0" relativeHeight="251667968" behindDoc="0" locked="0" layoutInCell="1" allowOverlap="1" wp14:anchorId="478B0AFA" wp14:editId="0ACA5FCF">
                <wp:simplePos x="0" y="0"/>
                <wp:positionH relativeFrom="column">
                  <wp:posOffset>5414010</wp:posOffset>
                </wp:positionH>
                <wp:positionV relativeFrom="paragraph">
                  <wp:posOffset>1594485</wp:posOffset>
                </wp:positionV>
                <wp:extent cx="1117600" cy="1257300"/>
                <wp:effectExtent l="0" t="0" r="6350" b="0"/>
                <wp:wrapNone/>
                <wp:docPr id="64" name="Text Box 64"/>
                <wp:cNvGraphicFramePr/>
                <a:graphic xmlns:a="http://schemas.openxmlformats.org/drawingml/2006/main">
                  <a:graphicData uri="http://schemas.microsoft.com/office/word/2010/wordprocessingShape">
                    <wps:wsp>
                      <wps:cNvSpPr txBox="1"/>
                      <wps:spPr>
                        <a:xfrm>
                          <a:off x="0" y="0"/>
                          <a:ext cx="1117600" cy="1257300"/>
                        </a:xfrm>
                        <a:prstGeom prst="rect">
                          <a:avLst/>
                        </a:prstGeom>
                        <a:solidFill>
                          <a:schemeClr val="lt1"/>
                        </a:solidFill>
                        <a:ln w="6350">
                          <a:noFill/>
                        </a:ln>
                      </wps:spPr>
                      <wps:txbx>
                        <w:txbxContent>
                          <w:p w14:paraId="31A99BC7" w14:textId="2D5BD698" w:rsidR="00BC4D45" w:rsidRDefault="00BC4D45" w:rsidP="00397ED1">
                            <w:pPr>
                              <w:pStyle w:val="ListParagraph"/>
                              <w:numPr>
                                <w:ilvl w:val="0"/>
                                <w:numId w:val="22"/>
                              </w:numPr>
                              <w:tabs>
                                <w:tab w:val="left" w:pos="3686"/>
                                <w:tab w:val="left" w:pos="6096"/>
                                <w:tab w:val="left" w:pos="7088"/>
                              </w:tabs>
                              <w:ind w:left="142" w:hanging="142"/>
                              <w:rPr>
                                <w:rFonts w:cstheme="minorHAnsi"/>
                                <w:color w:val="4F81BD" w:themeColor="accent1"/>
                                <w:sz w:val="18"/>
                                <w:szCs w:val="18"/>
                                <w:lang w:val="fr-FR"/>
                              </w:rPr>
                            </w:pPr>
                            <w:r w:rsidRPr="001D3BCE">
                              <w:rPr>
                                <w:rFonts w:cstheme="minorHAnsi"/>
                                <w:color w:val="4F81BD" w:themeColor="accent1"/>
                                <w:sz w:val="18"/>
                                <w:szCs w:val="18"/>
                                <w:lang w:val="fr-FR"/>
                              </w:rPr>
                              <w:t>En déclin</w:t>
                            </w:r>
                          </w:p>
                          <w:p w14:paraId="37444356" w14:textId="77777777" w:rsidR="00BC4D45" w:rsidRPr="00397ED1" w:rsidRDefault="00BC4D45" w:rsidP="00397ED1">
                            <w:pPr>
                              <w:pStyle w:val="ListParagraph"/>
                              <w:tabs>
                                <w:tab w:val="left" w:pos="3686"/>
                                <w:tab w:val="left" w:pos="6096"/>
                                <w:tab w:val="left" w:pos="7088"/>
                              </w:tabs>
                              <w:ind w:left="142"/>
                              <w:rPr>
                                <w:rFonts w:cstheme="minorHAnsi"/>
                                <w:color w:val="4F81BD" w:themeColor="accent1"/>
                                <w:sz w:val="8"/>
                                <w:szCs w:val="8"/>
                                <w:lang w:val="fr-FR"/>
                              </w:rPr>
                            </w:pPr>
                          </w:p>
                          <w:p w14:paraId="52C9F67C" w14:textId="3F13E95A" w:rsidR="00BC4D45" w:rsidRDefault="00BC4D45" w:rsidP="00397ED1">
                            <w:pPr>
                              <w:pStyle w:val="ListParagraph"/>
                              <w:numPr>
                                <w:ilvl w:val="0"/>
                                <w:numId w:val="22"/>
                              </w:numPr>
                              <w:tabs>
                                <w:tab w:val="left" w:pos="3686"/>
                                <w:tab w:val="left" w:pos="6096"/>
                                <w:tab w:val="left" w:pos="7088"/>
                              </w:tabs>
                              <w:ind w:left="142" w:hanging="142"/>
                              <w:rPr>
                                <w:rFonts w:cstheme="minorHAnsi"/>
                                <w:color w:val="4F81BD" w:themeColor="accent1"/>
                                <w:sz w:val="18"/>
                                <w:szCs w:val="18"/>
                                <w:lang w:val="fr-FR"/>
                              </w:rPr>
                            </w:pPr>
                            <w:r w:rsidRPr="001D3BCE">
                              <w:rPr>
                                <w:rFonts w:cstheme="minorHAnsi"/>
                                <w:color w:val="4F81BD" w:themeColor="accent1"/>
                                <w:sz w:val="18"/>
                                <w:szCs w:val="18"/>
                                <w:lang w:val="fr-FR"/>
                              </w:rPr>
                              <w:t>Stable ou fluctuante</w:t>
                            </w:r>
                          </w:p>
                          <w:p w14:paraId="0AAEE149" w14:textId="77777777" w:rsidR="00BC4D45" w:rsidRPr="00397ED1" w:rsidRDefault="00BC4D45" w:rsidP="00397ED1">
                            <w:pPr>
                              <w:pStyle w:val="ListParagraph"/>
                              <w:rPr>
                                <w:rFonts w:cstheme="minorHAnsi"/>
                                <w:color w:val="4F81BD" w:themeColor="accent1"/>
                                <w:sz w:val="8"/>
                                <w:szCs w:val="8"/>
                                <w:lang w:val="fr-FR"/>
                              </w:rPr>
                            </w:pPr>
                          </w:p>
                          <w:p w14:paraId="2901E10B" w14:textId="77777777" w:rsidR="00BC4D45" w:rsidRPr="001D3BCE" w:rsidRDefault="00BC4D45" w:rsidP="00397ED1">
                            <w:pPr>
                              <w:pStyle w:val="ListParagraph"/>
                              <w:numPr>
                                <w:ilvl w:val="0"/>
                                <w:numId w:val="22"/>
                              </w:numPr>
                              <w:tabs>
                                <w:tab w:val="left" w:pos="3686"/>
                                <w:tab w:val="left" w:pos="6096"/>
                                <w:tab w:val="left" w:pos="7088"/>
                              </w:tabs>
                              <w:ind w:left="142" w:hanging="142"/>
                              <w:rPr>
                                <w:rFonts w:cstheme="minorHAnsi"/>
                                <w:color w:val="4F81BD" w:themeColor="accent1"/>
                                <w:sz w:val="18"/>
                                <w:szCs w:val="18"/>
                                <w:lang w:val="fr-FR"/>
                              </w:rPr>
                            </w:pPr>
                            <w:r w:rsidRPr="001D3BCE">
                              <w:rPr>
                                <w:rFonts w:cstheme="minorHAnsi"/>
                                <w:color w:val="4F81BD" w:themeColor="accent1"/>
                                <w:sz w:val="18"/>
                                <w:szCs w:val="18"/>
                                <w:lang w:val="fr-FR"/>
                              </w:rPr>
                              <w:t>En augmentation</w:t>
                            </w:r>
                          </w:p>
                          <w:p w14:paraId="2B0F1B94"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AFA" id="Text Box 64" o:spid="_x0000_s1034" type="#_x0000_t202" style="position:absolute;margin-left:426.3pt;margin-top:125.55pt;width:88pt;height:9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" fillcolor="white [3201]" stroked="f" strokeweight=".5pt">
                <v:textbox>
                  <w:txbxContent>
                    <w:p w14:paraId="31A99BC7" w14:textId="2D5BD698" w:rsidR="00BC4D45" w:rsidRDefault="00BC4D45" w:rsidP="00397ED1">
                      <w:pPr>
                        <w:pStyle w:val="ListParagraph"/>
                        <w:numPr>
                          <w:ilvl w:val="0"/>
                          <w:numId w:val="22"/>
                        </w:numPr>
                        <w:tabs>
                          <w:tab w:val="left" w:pos="3686"/>
                          <w:tab w:val="left" w:pos="6096"/>
                          <w:tab w:val="left" w:pos="7088"/>
                        </w:tabs>
                        <w:ind w:left="142" w:hanging="142"/>
                        <w:rPr>
                          <w:rFonts w:cstheme="minorHAnsi"/>
                          <w:color w:val="4F81BD" w:themeColor="accent1"/>
                          <w:sz w:val="18"/>
                          <w:szCs w:val="18"/>
                          <w:lang w:val="fr-FR"/>
                        </w:rPr>
                      </w:pPr>
                      <w:r w:rsidRPr="001D3BCE">
                        <w:rPr>
                          <w:rFonts w:cstheme="minorHAnsi"/>
                          <w:color w:val="4F81BD" w:themeColor="accent1"/>
                          <w:sz w:val="18"/>
                          <w:szCs w:val="18"/>
                          <w:lang w:val="fr-FR"/>
                        </w:rPr>
                        <w:t>En déclin</w:t>
                      </w:r>
                    </w:p>
                    <w:p w14:paraId="37444356" w14:textId="77777777" w:rsidR="00BC4D45" w:rsidRPr="00397ED1" w:rsidRDefault="00BC4D45" w:rsidP="00397ED1">
                      <w:pPr>
                        <w:pStyle w:val="ListParagraph"/>
                        <w:tabs>
                          <w:tab w:val="left" w:pos="3686"/>
                          <w:tab w:val="left" w:pos="6096"/>
                          <w:tab w:val="left" w:pos="7088"/>
                        </w:tabs>
                        <w:ind w:left="142"/>
                        <w:rPr>
                          <w:rFonts w:cstheme="minorHAnsi"/>
                          <w:color w:val="4F81BD" w:themeColor="accent1"/>
                          <w:sz w:val="8"/>
                          <w:szCs w:val="8"/>
                          <w:lang w:val="fr-FR"/>
                        </w:rPr>
                      </w:pPr>
                    </w:p>
                    <w:p w14:paraId="52C9F67C" w14:textId="3F13E95A" w:rsidR="00BC4D45" w:rsidRDefault="00BC4D45" w:rsidP="00397ED1">
                      <w:pPr>
                        <w:pStyle w:val="ListParagraph"/>
                        <w:numPr>
                          <w:ilvl w:val="0"/>
                          <w:numId w:val="22"/>
                        </w:numPr>
                        <w:tabs>
                          <w:tab w:val="left" w:pos="3686"/>
                          <w:tab w:val="left" w:pos="6096"/>
                          <w:tab w:val="left" w:pos="7088"/>
                        </w:tabs>
                        <w:ind w:left="142" w:hanging="142"/>
                        <w:rPr>
                          <w:rFonts w:cstheme="minorHAnsi"/>
                          <w:color w:val="4F81BD" w:themeColor="accent1"/>
                          <w:sz w:val="18"/>
                          <w:szCs w:val="18"/>
                          <w:lang w:val="fr-FR"/>
                        </w:rPr>
                      </w:pPr>
                      <w:r w:rsidRPr="001D3BCE">
                        <w:rPr>
                          <w:rFonts w:cstheme="minorHAnsi"/>
                          <w:color w:val="4F81BD" w:themeColor="accent1"/>
                          <w:sz w:val="18"/>
                          <w:szCs w:val="18"/>
                          <w:lang w:val="fr-FR"/>
                        </w:rPr>
                        <w:t>Stable ou fluctuante</w:t>
                      </w:r>
                    </w:p>
                    <w:p w14:paraId="0AAEE149" w14:textId="77777777" w:rsidR="00BC4D45" w:rsidRPr="00397ED1" w:rsidRDefault="00BC4D45" w:rsidP="00397ED1">
                      <w:pPr>
                        <w:pStyle w:val="ListParagraph"/>
                        <w:rPr>
                          <w:rFonts w:cstheme="minorHAnsi"/>
                          <w:color w:val="4F81BD" w:themeColor="accent1"/>
                          <w:sz w:val="8"/>
                          <w:szCs w:val="8"/>
                          <w:lang w:val="fr-FR"/>
                        </w:rPr>
                      </w:pPr>
                    </w:p>
                    <w:p w14:paraId="2901E10B" w14:textId="77777777" w:rsidR="00BC4D45" w:rsidRPr="001D3BCE" w:rsidRDefault="00BC4D45" w:rsidP="00397ED1">
                      <w:pPr>
                        <w:pStyle w:val="ListParagraph"/>
                        <w:numPr>
                          <w:ilvl w:val="0"/>
                          <w:numId w:val="22"/>
                        </w:numPr>
                        <w:tabs>
                          <w:tab w:val="left" w:pos="3686"/>
                          <w:tab w:val="left" w:pos="6096"/>
                          <w:tab w:val="left" w:pos="7088"/>
                        </w:tabs>
                        <w:ind w:left="142" w:hanging="142"/>
                        <w:rPr>
                          <w:rFonts w:cstheme="minorHAnsi"/>
                          <w:color w:val="4F81BD" w:themeColor="accent1"/>
                          <w:sz w:val="18"/>
                          <w:szCs w:val="18"/>
                          <w:lang w:val="fr-FR"/>
                        </w:rPr>
                      </w:pPr>
                      <w:r w:rsidRPr="001D3BCE">
                        <w:rPr>
                          <w:rFonts w:cstheme="minorHAnsi"/>
                          <w:color w:val="4F81BD" w:themeColor="accent1"/>
                          <w:sz w:val="18"/>
                          <w:szCs w:val="18"/>
                          <w:lang w:val="fr-FR"/>
                        </w:rPr>
                        <w:t>En augmentation</w:t>
                      </w:r>
                    </w:p>
                    <w:p w14:paraId="2B0F1B94" w14:textId="77777777" w:rsidR="00BC4D45" w:rsidRDefault="00BC4D45"/>
                  </w:txbxContent>
                </v:textbox>
              </v:shape>
            </w:pict>
          </mc:Fallback>
        </mc:AlternateContent>
      </w:r>
      <w:r w:rsidR="008E5AEA">
        <w:rPr>
          <w:noProof/>
          <w:lang w:val="nl-NL" w:eastAsia="nl-NL"/>
        </w:rPr>
        <w:drawing>
          <wp:inline distT="0" distB="0" distL="0" distR="0" wp14:anchorId="5B4A7F91" wp14:editId="1D5243C3">
            <wp:extent cx="5278120" cy="3783965"/>
            <wp:effectExtent l="0" t="0" r="0" b="698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783965"/>
                    </a:xfrm>
                    <a:prstGeom prst="rect">
                      <a:avLst/>
                    </a:prstGeom>
                    <a:noFill/>
                    <a:ln>
                      <a:noFill/>
                    </a:ln>
                  </pic:spPr>
                </pic:pic>
              </a:graphicData>
            </a:graphic>
          </wp:inline>
        </w:drawing>
      </w:r>
    </w:p>
    <w:p w14:paraId="021C972B" w14:textId="26BC9463" w:rsidR="008E5AEA" w:rsidRDefault="008E5AEA" w:rsidP="008E5AEA">
      <w:pPr>
        <w:pStyle w:val="Caption"/>
      </w:pPr>
    </w:p>
    <w:p w14:paraId="2B955157" w14:textId="7640C592" w:rsidR="001D3BCE" w:rsidRPr="001D3BCE" w:rsidRDefault="001D3BCE" w:rsidP="001D3BCE">
      <w:pPr>
        <w:rPr>
          <w:lang w:val="fr-FR"/>
        </w:rPr>
      </w:pPr>
    </w:p>
    <w:p w14:paraId="1DE00FAF" w14:textId="77777777" w:rsidR="008E5AEA" w:rsidRPr="007C275D" w:rsidRDefault="008E5AEA" w:rsidP="008E5AEA">
      <w:pPr>
        <w:pStyle w:val="Caption"/>
        <w:rPr>
          <w:lang w:val="fr-FR"/>
        </w:rPr>
      </w:pPr>
      <w:r>
        <w:rPr>
          <w:lang w:val="fr-FR"/>
        </w:rPr>
        <w:t>Figure 16. Tendances de populations par famille. (Les chiffres correspondent au nombre de populations dans chaque catégorie).</w:t>
      </w:r>
    </w:p>
    <w:p w14:paraId="37C675DB" w14:textId="77777777" w:rsidR="008E5AEA" w:rsidRPr="007C275D" w:rsidRDefault="008E5AEA" w:rsidP="008E5AEA">
      <w:pPr>
        <w:pStyle w:val="Normal1"/>
        <w:rPr>
          <w:lang w:val="fr-FR"/>
        </w:rPr>
      </w:pPr>
      <w:bookmarkStart w:id="68" w:name="h.1hmsyys"/>
      <w:bookmarkEnd w:id="68"/>
    </w:p>
    <w:p w14:paraId="53A435C3" w14:textId="77777777" w:rsidR="008E5AEA" w:rsidRPr="007C275D" w:rsidRDefault="008E5AEA" w:rsidP="008E5AEA">
      <w:pPr>
        <w:pStyle w:val="Normal1"/>
        <w:rPr>
          <w:lang w:val="fr-FR"/>
        </w:rPr>
      </w:pPr>
    </w:p>
    <w:p w14:paraId="5DAF668F" w14:textId="77777777" w:rsidR="008E5AEA" w:rsidRPr="007C275D" w:rsidRDefault="008E5AEA" w:rsidP="008E5AEA">
      <w:pPr>
        <w:pStyle w:val="Normal1"/>
        <w:rPr>
          <w:lang w:val="fr-FR"/>
        </w:rPr>
      </w:pPr>
      <w:r w:rsidRPr="007C275D">
        <w:rPr>
          <w:color w:val="auto"/>
          <w:lang w:val="fr-FR"/>
        </w:rPr>
        <w:br w:type="page"/>
      </w:r>
    </w:p>
    <w:p w14:paraId="2CFE6B4B" w14:textId="77777777" w:rsidR="008E5AEA" w:rsidRPr="007C275D" w:rsidRDefault="008E5AEA" w:rsidP="008E5AEA">
      <w:pPr>
        <w:pStyle w:val="Heading3"/>
        <w:jc w:val="both"/>
        <w:rPr>
          <w:lang w:val="fr-FR"/>
        </w:rPr>
      </w:pPr>
      <w:bookmarkStart w:id="69" w:name="h.41mghml"/>
      <w:bookmarkStart w:id="70" w:name="_Toc517262022"/>
      <w:bookmarkEnd w:id="69"/>
      <w:r>
        <w:rPr>
          <w:rFonts w:ascii="Times New Roman" w:eastAsia="Times New Roman" w:hAnsi="Times New Roman" w:cs="Times New Roman"/>
          <w:lang w:val="fr-FR"/>
        </w:rPr>
        <w:lastRenderedPageBreak/>
        <w:t>Plus de la moitié des populations de l’Asie centrale et du Sud-Ouest est en déclin</w:t>
      </w:r>
      <w:bookmarkEnd w:id="70"/>
    </w:p>
    <w:p w14:paraId="3766F2F0" w14:textId="77777777" w:rsidR="008E5AEA" w:rsidRPr="007C275D" w:rsidRDefault="008E5AEA" w:rsidP="008E5AEA">
      <w:pPr>
        <w:pStyle w:val="Normal1"/>
        <w:rPr>
          <w:lang w:val="fr-FR"/>
        </w:rPr>
      </w:pPr>
    </w:p>
    <w:p w14:paraId="0382C11A" w14:textId="77777777" w:rsidR="008E5AEA" w:rsidRPr="007C275D" w:rsidRDefault="008E5AEA" w:rsidP="008E5AEA">
      <w:pPr>
        <w:pStyle w:val="Normal1"/>
        <w:jc w:val="both"/>
        <w:rPr>
          <w:szCs w:val="24"/>
          <w:lang w:val="fr-FR"/>
        </w:rPr>
      </w:pPr>
      <w:r>
        <w:rPr>
          <w:szCs w:val="24"/>
          <w:lang w:val="fr-FR"/>
        </w:rPr>
        <w:t xml:space="preserve">La plus forte proportion de populations en déclin se trouve dans la partie de l’Asie centrale et du Sud-Ouest du Paléarctique occidental qui compte plus de populations en déclin que de populations stables ou en augmentation. La proportion de populations en déclin est également plus élevée que la moyenne dans la partie Atlantique du Paléarctique occidental, le long des voies de migration de l’Atlantique Est, de la mer Noire-Méditerranée ainsi que dans les régions du Sud, du Sud-Est et de l’Est de la région afro-tropicale et presque aussi le long de la Voie de migration de l’Asie de l’Ouest-Afrique de l’Est (figure 17). En valeur absolue, la région Atlantique du Paléarctique occidental compte le nombre le plus élevé de populations en déclin (35), mais également le nombre le plus élevé de celles en augmentation (29). </w:t>
      </w:r>
    </w:p>
    <w:p w14:paraId="4A36A2BD" w14:textId="77777777" w:rsidR="008E5AEA" w:rsidRPr="007C275D" w:rsidRDefault="008E5AEA" w:rsidP="008E5AEA">
      <w:pPr>
        <w:pStyle w:val="Normal1"/>
        <w:jc w:val="both"/>
        <w:rPr>
          <w:szCs w:val="24"/>
          <w:lang w:val="fr-FR"/>
        </w:rPr>
      </w:pPr>
    </w:p>
    <w:p w14:paraId="2D0E1184" w14:textId="77777777" w:rsidR="008E5AEA" w:rsidRPr="007C275D" w:rsidRDefault="008E5AEA" w:rsidP="008E5AEA">
      <w:pPr>
        <w:pStyle w:val="Normal1"/>
        <w:jc w:val="both"/>
        <w:rPr>
          <w:szCs w:val="24"/>
          <w:lang w:val="fr-FR"/>
        </w:rPr>
      </w:pPr>
      <w:r>
        <w:rPr>
          <w:szCs w:val="24"/>
          <w:lang w:val="fr-FR"/>
        </w:rPr>
        <w:t>On trouve dans la région mer Noire-Méditerranée du Paléarctique occidental la proportion la plus élevée (plus de 40 %) de populations en augmentation, mais la proportion de populations en augmentation est supérieure à la moyenne dans la plupart des parties de la région afro-tropicale, à l’exception des populations de l’Est et de celles du Sud et de l’Est.</w:t>
      </w:r>
    </w:p>
    <w:p w14:paraId="0FC2BB2A" w14:textId="77777777" w:rsidR="008E5AEA" w:rsidRPr="007C275D" w:rsidRDefault="008E5AEA" w:rsidP="008E5AEA">
      <w:pPr>
        <w:pStyle w:val="Normal1"/>
        <w:jc w:val="both"/>
        <w:rPr>
          <w:lang w:val="fr-FR"/>
        </w:rPr>
      </w:pPr>
    </w:p>
    <w:p w14:paraId="3C92F54D" w14:textId="0BA0340B" w:rsidR="008E5AEA" w:rsidRDefault="00397ED1" w:rsidP="008E5AEA">
      <w:pPr>
        <w:pStyle w:val="Normal1"/>
        <w:jc w:val="both"/>
      </w:pPr>
      <w:r>
        <w:rPr>
          <w:noProof/>
          <w:lang w:val="nl-NL" w:eastAsia="nl-NL"/>
        </w:rPr>
        <mc:AlternateContent>
          <mc:Choice Requires="wps">
            <w:drawing>
              <wp:anchor distT="0" distB="0" distL="114300" distR="114300" simplePos="0" relativeHeight="251668992" behindDoc="0" locked="0" layoutInCell="1" allowOverlap="1" wp14:anchorId="1BF92ECA" wp14:editId="21B18893">
                <wp:simplePos x="0" y="0"/>
                <wp:positionH relativeFrom="column">
                  <wp:posOffset>5401310</wp:posOffset>
                </wp:positionH>
                <wp:positionV relativeFrom="paragraph">
                  <wp:posOffset>1340485</wp:posOffset>
                </wp:positionV>
                <wp:extent cx="1193800" cy="1130300"/>
                <wp:effectExtent l="0" t="0" r="6350" b="0"/>
                <wp:wrapNone/>
                <wp:docPr id="70" name="Text Box 70"/>
                <wp:cNvGraphicFramePr/>
                <a:graphic xmlns:a="http://schemas.openxmlformats.org/drawingml/2006/main">
                  <a:graphicData uri="http://schemas.microsoft.com/office/word/2010/wordprocessingShape">
                    <wps:wsp>
                      <wps:cNvSpPr txBox="1"/>
                      <wps:spPr>
                        <a:xfrm>
                          <a:off x="0" y="0"/>
                          <a:ext cx="1193800" cy="1130300"/>
                        </a:xfrm>
                        <a:prstGeom prst="rect">
                          <a:avLst/>
                        </a:prstGeom>
                        <a:solidFill>
                          <a:schemeClr val="lt1"/>
                        </a:solidFill>
                        <a:ln w="6350">
                          <a:noFill/>
                        </a:ln>
                      </wps:spPr>
                      <wps:txbx>
                        <w:txbxContent>
                          <w:p w14:paraId="618E776F" w14:textId="258355A9" w:rsidR="00BC4D45" w:rsidRDefault="00BC4D45" w:rsidP="00397ED1">
                            <w:pPr>
                              <w:pStyle w:val="ListParagraph"/>
                              <w:numPr>
                                <w:ilvl w:val="0"/>
                                <w:numId w:val="25"/>
                              </w:numPr>
                              <w:tabs>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En déclin</w:t>
                            </w:r>
                          </w:p>
                          <w:p w14:paraId="3A7A03E5" w14:textId="77777777" w:rsidR="00BC4D45" w:rsidRPr="00397ED1" w:rsidRDefault="00BC4D45" w:rsidP="00397ED1">
                            <w:pPr>
                              <w:pStyle w:val="ListParagraph"/>
                              <w:tabs>
                                <w:tab w:val="left" w:pos="3686"/>
                                <w:tab w:val="left" w:pos="6096"/>
                                <w:tab w:val="left" w:pos="7088"/>
                              </w:tabs>
                              <w:ind w:left="284"/>
                              <w:rPr>
                                <w:rFonts w:cstheme="minorHAnsi"/>
                                <w:color w:val="4F81BD" w:themeColor="accent1"/>
                                <w:sz w:val="12"/>
                                <w:szCs w:val="12"/>
                                <w:lang w:val="fr-FR"/>
                              </w:rPr>
                            </w:pPr>
                          </w:p>
                          <w:p w14:paraId="3188B657" w14:textId="502F674C" w:rsidR="00BC4D45" w:rsidRDefault="00BC4D45" w:rsidP="00397ED1">
                            <w:pPr>
                              <w:pStyle w:val="ListParagraph"/>
                              <w:numPr>
                                <w:ilvl w:val="0"/>
                                <w:numId w:val="25"/>
                              </w:numPr>
                              <w:tabs>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Stable ou fluctuante</w:t>
                            </w:r>
                          </w:p>
                          <w:p w14:paraId="53F818D8" w14:textId="77777777" w:rsidR="00BC4D45" w:rsidRPr="00397ED1" w:rsidRDefault="00BC4D45" w:rsidP="00397ED1">
                            <w:pPr>
                              <w:pStyle w:val="ListParagraph"/>
                              <w:rPr>
                                <w:rFonts w:cstheme="minorHAnsi"/>
                                <w:color w:val="4F81BD" w:themeColor="accent1"/>
                                <w:sz w:val="12"/>
                                <w:szCs w:val="12"/>
                                <w:lang w:val="fr-FR"/>
                              </w:rPr>
                            </w:pPr>
                          </w:p>
                          <w:p w14:paraId="64C7F95A" w14:textId="77777777" w:rsidR="00BC4D45" w:rsidRPr="00A37B4B" w:rsidRDefault="00BC4D45" w:rsidP="00397ED1">
                            <w:pPr>
                              <w:pStyle w:val="ListParagraph"/>
                              <w:numPr>
                                <w:ilvl w:val="0"/>
                                <w:numId w:val="25"/>
                              </w:numPr>
                              <w:tabs>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En augmentation</w:t>
                            </w:r>
                          </w:p>
                          <w:p w14:paraId="159443FC"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2ECA" id="Text Box 70" o:spid="_x0000_s1035" type="#_x0000_t202" style="position:absolute;left:0;text-align:left;margin-left:425.3pt;margin-top:105.55pt;width:94pt;height:8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" fillcolor="white [3201]" stroked="f" strokeweight=".5pt">
                <v:textbox>
                  <w:txbxContent>
                    <w:p w14:paraId="618E776F" w14:textId="258355A9" w:rsidR="00BC4D45" w:rsidRDefault="00BC4D45" w:rsidP="00397ED1">
                      <w:pPr>
                        <w:pStyle w:val="ListParagraph"/>
                        <w:numPr>
                          <w:ilvl w:val="0"/>
                          <w:numId w:val="25"/>
                        </w:numPr>
                        <w:tabs>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En déclin</w:t>
                      </w:r>
                    </w:p>
                    <w:p w14:paraId="3A7A03E5" w14:textId="77777777" w:rsidR="00BC4D45" w:rsidRPr="00397ED1" w:rsidRDefault="00BC4D45" w:rsidP="00397ED1">
                      <w:pPr>
                        <w:pStyle w:val="ListParagraph"/>
                        <w:tabs>
                          <w:tab w:val="left" w:pos="3686"/>
                          <w:tab w:val="left" w:pos="6096"/>
                          <w:tab w:val="left" w:pos="7088"/>
                        </w:tabs>
                        <w:ind w:left="284"/>
                        <w:rPr>
                          <w:rFonts w:cstheme="minorHAnsi"/>
                          <w:color w:val="4F81BD" w:themeColor="accent1"/>
                          <w:sz w:val="12"/>
                          <w:szCs w:val="12"/>
                          <w:lang w:val="fr-FR"/>
                        </w:rPr>
                      </w:pPr>
                    </w:p>
                    <w:p w14:paraId="3188B657" w14:textId="502F674C" w:rsidR="00BC4D45" w:rsidRDefault="00BC4D45" w:rsidP="00397ED1">
                      <w:pPr>
                        <w:pStyle w:val="ListParagraph"/>
                        <w:numPr>
                          <w:ilvl w:val="0"/>
                          <w:numId w:val="25"/>
                        </w:numPr>
                        <w:tabs>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Stable ou fluctuante</w:t>
                      </w:r>
                    </w:p>
                    <w:p w14:paraId="53F818D8" w14:textId="77777777" w:rsidR="00BC4D45" w:rsidRPr="00397ED1" w:rsidRDefault="00BC4D45" w:rsidP="00397ED1">
                      <w:pPr>
                        <w:pStyle w:val="ListParagraph"/>
                        <w:rPr>
                          <w:rFonts w:cstheme="minorHAnsi"/>
                          <w:color w:val="4F81BD" w:themeColor="accent1"/>
                          <w:sz w:val="12"/>
                          <w:szCs w:val="12"/>
                          <w:lang w:val="fr-FR"/>
                        </w:rPr>
                      </w:pPr>
                    </w:p>
                    <w:p w14:paraId="64C7F95A" w14:textId="77777777" w:rsidR="00BC4D45" w:rsidRPr="00A37B4B" w:rsidRDefault="00BC4D45" w:rsidP="00397ED1">
                      <w:pPr>
                        <w:pStyle w:val="ListParagraph"/>
                        <w:numPr>
                          <w:ilvl w:val="0"/>
                          <w:numId w:val="25"/>
                        </w:numPr>
                        <w:tabs>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En augmentation</w:t>
                      </w:r>
                    </w:p>
                    <w:p w14:paraId="159443FC" w14:textId="77777777" w:rsidR="00BC4D45" w:rsidRDefault="00BC4D45"/>
                  </w:txbxContent>
                </v:textbox>
              </v:shape>
            </w:pict>
          </mc:Fallback>
        </mc:AlternateContent>
      </w:r>
      <w:r w:rsidR="008E5AEA">
        <w:rPr>
          <w:noProof/>
          <w:lang w:val="nl-NL" w:eastAsia="nl-NL"/>
        </w:rPr>
        <w:drawing>
          <wp:inline distT="0" distB="0" distL="0" distR="0" wp14:anchorId="540CD76F" wp14:editId="77FE634F">
            <wp:extent cx="5278120" cy="331724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317240"/>
                    </a:xfrm>
                    <a:prstGeom prst="rect">
                      <a:avLst/>
                    </a:prstGeom>
                    <a:noFill/>
                    <a:ln>
                      <a:noFill/>
                    </a:ln>
                  </pic:spPr>
                </pic:pic>
              </a:graphicData>
            </a:graphic>
          </wp:inline>
        </w:drawing>
      </w:r>
    </w:p>
    <w:p w14:paraId="6CD969E8" w14:textId="1A54915E" w:rsidR="008E5AEA" w:rsidRDefault="00A37B4B" w:rsidP="008E5AEA">
      <w:pPr>
        <w:pStyle w:val="Caption"/>
      </w:pPr>
      <w:r>
        <w:rPr>
          <w:noProof/>
        </w:rPr>
        <mc:AlternateContent>
          <mc:Choice Requires="wps">
            <w:drawing>
              <wp:anchor distT="0" distB="0" distL="114300" distR="114300" simplePos="0" relativeHeight="251656704" behindDoc="0" locked="0" layoutInCell="1" allowOverlap="1" wp14:anchorId="39597F8B" wp14:editId="7534C060">
                <wp:simplePos x="0" y="0"/>
                <wp:positionH relativeFrom="column">
                  <wp:posOffset>4494849</wp:posOffset>
                </wp:positionH>
                <wp:positionV relativeFrom="paragraph">
                  <wp:posOffset>240983</wp:posOffset>
                </wp:positionV>
                <wp:extent cx="1166812" cy="1290637"/>
                <wp:effectExtent l="0" t="0" r="0" b="5080"/>
                <wp:wrapNone/>
                <wp:docPr id="60" name="Text Box 60"/>
                <wp:cNvGraphicFramePr/>
                <a:graphic xmlns:a="http://schemas.openxmlformats.org/drawingml/2006/main">
                  <a:graphicData uri="http://schemas.microsoft.com/office/word/2010/wordprocessingShape">
                    <wps:wsp>
                      <wps:cNvSpPr txBox="1"/>
                      <wps:spPr>
                        <a:xfrm>
                          <a:off x="0" y="0"/>
                          <a:ext cx="1166812" cy="1290637"/>
                        </a:xfrm>
                        <a:prstGeom prst="rect">
                          <a:avLst/>
                        </a:prstGeom>
                        <a:noFill/>
                        <a:ln w="6350">
                          <a:noFill/>
                        </a:ln>
                      </wps:spPr>
                      <wps:txbx>
                        <w:txbxContent>
                          <w:p w14:paraId="29484D87" w14:textId="77777777" w:rsidR="00BC4D45" w:rsidRPr="00A37B4B" w:rsidRDefault="00BC4D45" w:rsidP="00A37B4B">
                            <w:pPr>
                              <w:ind w:left="284" w:hanging="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97F8B" id="Text Box 60" o:spid="_x0000_s1036" type="#_x0000_t202" style="position:absolute;margin-left:353.95pt;margin-top:19pt;width:91.85pt;height:101.6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" filled="f" stroked="f" strokeweight=".5pt">
                <v:textbox>
                  <w:txbxContent>
                    <w:p w14:paraId="29484D87" w14:textId="77777777" w:rsidR="00BC4D45" w:rsidRPr="00A37B4B" w:rsidRDefault="00BC4D45" w:rsidP="00A37B4B">
                      <w:pPr>
                        <w:ind w:left="284" w:hanging="284"/>
                        <w:rPr>
                          <w:rFonts w:cstheme="minorHAnsi"/>
                          <w:color w:val="4F81BD" w:themeColor="accent1"/>
                          <w:sz w:val="18"/>
                          <w:szCs w:val="18"/>
                          <w:lang w:val="fr-FR"/>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00B8A3CB" wp14:editId="03C5100D">
                <wp:simplePos x="0" y="0"/>
                <wp:positionH relativeFrom="column">
                  <wp:posOffset>2799398</wp:posOffset>
                </wp:positionH>
                <wp:positionV relativeFrom="paragraph">
                  <wp:posOffset>212408</wp:posOffset>
                </wp:positionV>
                <wp:extent cx="1604962" cy="13811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1604962" cy="1381125"/>
                        </a:xfrm>
                        <a:prstGeom prst="rect">
                          <a:avLst/>
                        </a:prstGeom>
                        <a:solidFill>
                          <a:schemeClr val="lt1"/>
                        </a:solidFill>
                        <a:ln w="6350">
                          <a:noFill/>
                        </a:ln>
                      </wps:spPr>
                      <wps:txbx>
                        <w:txbxContent>
                          <w:p w14:paraId="4EB9D954"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Voie de migration Asie de l’Ouest – Afrique de l’Est</w:t>
                            </w:r>
                          </w:p>
                          <w:p w14:paraId="4AD33DDD"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Paléarctique occidental – Mer Noire–Méditerranée</w:t>
                            </w:r>
                          </w:p>
                          <w:p w14:paraId="24F912AA"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Autres</w:t>
                            </w:r>
                          </w:p>
                          <w:p w14:paraId="024DD343"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Subsaharienne</w:t>
                            </w:r>
                          </w:p>
                          <w:p w14:paraId="7EAE5A19"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Occidentale et centrale</w:t>
                            </w:r>
                          </w:p>
                          <w:p w14:paraId="35271ED8" w14:textId="77777777" w:rsidR="00BC4D45" w:rsidRPr="00A37B4B" w:rsidRDefault="00BC4D4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A3CB" id="Text Box 59" o:spid="_x0000_s1037" type="#_x0000_t202" style="position:absolute;margin-left:220.45pt;margin-top:16.75pt;width:126.35pt;height:10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" fillcolor="white [3201]" stroked="f" strokeweight=".5pt">
                <v:textbox>
                  <w:txbxContent>
                    <w:p w14:paraId="4EB9D954"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Voie de migration Asie de l’Ouest – Afrique de l’Est</w:t>
                      </w:r>
                    </w:p>
                    <w:p w14:paraId="4AD33DDD"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Paléarctique occidental – Mer Noire–Méditerranée</w:t>
                      </w:r>
                    </w:p>
                    <w:p w14:paraId="24F912AA"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Autres</w:t>
                      </w:r>
                    </w:p>
                    <w:p w14:paraId="024DD343"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Subsaharienne</w:t>
                      </w:r>
                    </w:p>
                    <w:p w14:paraId="7EAE5A19" w14:textId="77777777" w:rsidR="00BC4D45" w:rsidRPr="00A37B4B" w:rsidRDefault="00BC4D45" w:rsidP="00A37B4B">
                      <w:pPr>
                        <w:pStyle w:val="ListParagraph"/>
                        <w:numPr>
                          <w:ilvl w:val="0"/>
                          <w:numId w:val="24"/>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Occidentale et centrale</w:t>
                      </w:r>
                    </w:p>
                    <w:p w14:paraId="35271ED8" w14:textId="77777777" w:rsidR="00BC4D45" w:rsidRPr="00A37B4B" w:rsidRDefault="00BC4D45">
                      <w:pPr>
                        <w:rPr>
                          <w:lang w:val="fr-FR"/>
                        </w:rPr>
                      </w:pPr>
                    </w:p>
                  </w:txbxContent>
                </v:textbox>
              </v:shape>
            </w:pict>
          </mc:Fallback>
        </mc:AlternateContent>
      </w:r>
    </w:p>
    <w:p w14:paraId="69719238" w14:textId="77777777" w:rsidR="001D3BCE" w:rsidRPr="001D3BCE" w:rsidRDefault="001D3BCE" w:rsidP="001D3BCE">
      <w:pPr>
        <w:pStyle w:val="ListParagraph"/>
        <w:numPr>
          <w:ilvl w:val="0"/>
          <w:numId w:val="23"/>
        </w:numPr>
        <w:tabs>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Grand total</w:t>
      </w:r>
    </w:p>
    <w:p w14:paraId="45036ACD"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Paléarctique occidental – Asie centrale et du Sud-Ouest</w:t>
      </w:r>
    </w:p>
    <w:p w14:paraId="2F250900"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Région afro-tropicale – Est et australe</w:t>
      </w:r>
    </w:p>
    <w:p w14:paraId="3AD70643"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Voie de migration mer Noire – Méditerranée</w:t>
      </w:r>
    </w:p>
    <w:p w14:paraId="66181A32"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Voie de migration de l’Atlantique Est</w:t>
      </w:r>
    </w:p>
    <w:p w14:paraId="45B1D28B"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Région afro-tropicale – Est</w:t>
      </w:r>
    </w:p>
    <w:p w14:paraId="51E70B4B"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Paléarctique occidental – Atlantique</w:t>
      </w:r>
    </w:p>
    <w:p w14:paraId="27A90C32" w14:textId="77777777" w:rsidR="001D3BCE" w:rsidRPr="001D3BCE" w:rsidRDefault="001D3BCE" w:rsidP="001D3BCE">
      <w:pPr>
        <w:pStyle w:val="ListParagraph"/>
        <w:numPr>
          <w:ilvl w:val="0"/>
          <w:numId w:val="23"/>
        </w:numPr>
        <w:tabs>
          <w:tab w:val="left" w:pos="851"/>
          <w:tab w:val="left" w:pos="3686"/>
          <w:tab w:val="left" w:pos="6096"/>
          <w:tab w:val="left" w:pos="7088"/>
        </w:tabs>
        <w:ind w:left="284" w:hanging="284"/>
        <w:rPr>
          <w:rFonts w:cstheme="minorHAnsi"/>
          <w:color w:val="4F81BD" w:themeColor="accent1"/>
          <w:sz w:val="18"/>
          <w:szCs w:val="18"/>
          <w:lang w:val="fr-FR"/>
        </w:rPr>
      </w:pPr>
      <w:r w:rsidRPr="001D3BCE">
        <w:rPr>
          <w:rFonts w:cstheme="minorHAnsi"/>
          <w:color w:val="4F81BD" w:themeColor="accent1"/>
          <w:sz w:val="18"/>
          <w:szCs w:val="18"/>
          <w:lang w:val="fr-FR"/>
        </w:rPr>
        <w:t>Région afro-tropicale – Australe</w:t>
      </w:r>
    </w:p>
    <w:p w14:paraId="641E4DF2" w14:textId="37FC639F" w:rsidR="001D3BCE" w:rsidRPr="001D3BCE" w:rsidRDefault="001D3BCE" w:rsidP="001D3BCE">
      <w:pPr>
        <w:rPr>
          <w:color w:val="4F81BD" w:themeColor="accent1"/>
          <w:sz w:val="18"/>
          <w:szCs w:val="18"/>
        </w:rPr>
      </w:pPr>
    </w:p>
    <w:p w14:paraId="3B2CA56F" w14:textId="77777777" w:rsidR="001D3BCE" w:rsidRPr="001D3BCE" w:rsidRDefault="001D3BCE" w:rsidP="001D3BCE"/>
    <w:p w14:paraId="6BC0C870" w14:textId="77777777" w:rsidR="008E5AEA" w:rsidRPr="007C275D" w:rsidRDefault="008E5AEA" w:rsidP="008E5AEA">
      <w:pPr>
        <w:pStyle w:val="Caption"/>
        <w:rPr>
          <w:lang w:val="fr-FR"/>
        </w:rPr>
      </w:pPr>
      <w:r>
        <w:rPr>
          <w:lang w:val="fr-FR"/>
        </w:rPr>
        <w:t>Figure 17. Tendances de populations par voie de migration. (Les chiffres correspondent au nombre de populations dans chaque catégorie).</w:t>
      </w:r>
    </w:p>
    <w:p w14:paraId="5DD664E6" w14:textId="77777777" w:rsidR="008E5AEA" w:rsidRPr="007C275D" w:rsidRDefault="008E5AEA" w:rsidP="008E5AEA">
      <w:pPr>
        <w:pStyle w:val="Normal1"/>
        <w:rPr>
          <w:lang w:val="fr-FR"/>
        </w:rPr>
      </w:pPr>
      <w:bookmarkStart w:id="71" w:name="h.2grqrue"/>
      <w:bookmarkEnd w:id="71"/>
    </w:p>
    <w:p w14:paraId="04E9C145" w14:textId="77777777" w:rsidR="008E5AEA" w:rsidRPr="007C275D" w:rsidRDefault="008E5AEA" w:rsidP="008E5AEA">
      <w:pPr>
        <w:pStyle w:val="Normal1"/>
        <w:rPr>
          <w:lang w:val="fr-FR"/>
        </w:rPr>
      </w:pPr>
      <w:r w:rsidRPr="007C275D">
        <w:rPr>
          <w:color w:val="auto"/>
          <w:lang w:val="fr-FR"/>
        </w:rPr>
        <w:br w:type="page"/>
      </w:r>
    </w:p>
    <w:p w14:paraId="16A83542" w14:textId="77777777" w:rsidR="008E5AEA" w:rsidRPr="007C275D" w:rsidRDefault="008E5AEA" w:rsidP="008E5AEA">
      <w:pPr>
        <w:pStyle w:val="Heading3"/>
        <w:rPr>
          <w:rFonts w:ascii="Times New Roman" w:eastAsia="Times New Roman" w:hAnsi="Times New Roman" w:cs="Times New Roman"/>
          <w:lang w:val="fr-FR"/>
        </w:rPr>
      </w:pPr>
      <w:bookmarkStart w:id="72" w:name="h.vx1227"/>
      <w:bookmarkStart w:id="73" w:name="h.1v1yuxt"/>
      <w:bookmarkStart w:id="74" w:name="_Toc517262023"/>
      <w:bookmarkEnd w:id="72"/>
      <w:bookmarkEnd w:id="73"/>
      <w:r>
        <w:rPr>
          <w:rFonts w:ascii="Times New Roman" w:eastAsia="Times New Roman" w:hAnsi="Times New Roman" w:cs="Times New Roman"/>
          <w:lang w:val="fr-FR"/>
        </w:rPr>
        <w:lastRenderedPageBreak/>
        <w:t>Plus d’un quart des populations de l’AEWA présente un déclin significatif à long terme</w:t>
      </w:r>
      <w:bookmarkEnd w:id="74"/>
      <w:r>
        <w:rPr>
          <w:rFonts w:ascii="Times New Roman" w:eastAsia="Times New Roman" w:hAnsi="Times New Roman" w:cs="Times New Roman"/>
          <w:lang w:val="fr-FR"/>
        </w:rPr>
        <w:t xml:space="preserve"> </w:t>
      </w:r>
    </w:p>
    <w:p w14:paraId="4E0FD980" w14:textId="77777777" w:rsidR="008E5AEA" w:rsidRPr="007C275D" w:rsidRDefault="008E5AEA" w:rsidP="008E5AEA">
      <w:pPr>
        <w:pStyle w:val="Normal1"/>
        <w:rPr>
          <w:lang w:val="fr-FR"/>
        </w:rPr>
      </w:pPr>
    </w:p>
    <w:p w14:paraId="5117EA00" w14:textId="77777777" w:rsidR="008E5AEA" w:rsidRPr="007C275D" w:rsidRDefault="008E5AEA" w:rsidP="008E5AEA">
      <w:pPr>
        <w:pStyle w:val="Normal1"/>
        <w:jc w:val="both"/>
        <w:rPr>
          <w:szCs w:val="24"/>
          <w:lang w:val="fr-FR"/>
        </w:rPr>
      </w:pPr>
      <w:r>
        <w:rPr>
          <w:szCs w:val="24"/>
          <w:lang w:val="fr-FR"/>
        </w:rPr>
        <w:t>Au total, 152 (27 %) des populations de l’AEWA présentent un déclin significatif à long terme tel que défini dans la Résolution 5.7 de l’AEWA. C’est sept populations de moins que dans le CSR6.</w:t>
      </w:r>
    </w:p>
    <w:p w14:paraId="1D78EE6C" w14:textId="77777777" w:rsidR="008E5AEA" w:rsidRPr="007C275D" w:rsidRDefault="008E5AEA" w:rsidP="008E5AEA">
      <w:pPr>
        <w:pStyle w:val="Normal1"/>
        <w:jc w:val="both"/>
        <w:rPr>
          <w:szCs w:val="24"/>
          <w:lang w:val="fr-FR"/>
        </w:rPr>
      </w:pPr>
    </w:p>
    <w:p w14:paraId="435F78B4" w14:textId="77777777" w:rsidR="008E5AEA" w:rsidRPr="007C275D" w:rsidRDefault="008E5AEA" w:rsidP="008E5AEA">
      <w:pPr>
        <w:pStyle w:val="Normal1"/>
        <w:jc w:val="both"/>
        <w:rPr>
          <w:szCs w:val="24"/>
          <w:lang w:val="fr-FR"/>
        </w:rPr>
      </w:pPr>
      <w:r>
        <w:rPr>
          <w:szCs w:val="24"/>
          <w:lang w:val="fr-FR"/>
        </w:rPr>
        <w:t xml:space="preserve">Une proportion de populations en déclin significatif à long terme plus élevée que la moyenne se situe dans les voies de migration Atlantique Est (40 %) et mer Noire-Méditerranée (34 %), dans la partie de l’Asie centrale et du Sud-Ouest du Paléarctique occidental (36 %), et les parties australes et orientales (34 %), australes (32 %) et orientales (29%) de la région afro-tropicale. Le nombre de populations présentant un déclin significatif à long terme est le plus élevé (22) dans la partie Atlantique du Paléarctique occidental. Cependant, la proportion de populations en déclin significatif à long terme est ici légèrement inférieure (22 %) à la moyenne et cette proportion est identique le long de la voie de migration Asie de l’Ouest-Afrique de l’Est et dans la partie occidentale et centrale de l’Atlantique Est. La proportion de populations en déclin significatif à long terme est la plus faible parmi celles réparties à travers l’Afrique subsaharienne (figure 18). Le tableau 4 répertorie les populations en déclin significatif à long terme. </w:t>
      </w:r>
    </w:p>
    <w:p w14:paraId="40A67891" w14:textId="77777777" w:rsidR="008E5AEA" w:rsidRPr="007C275D" w:rsidRDefault="008E5AEA" w:rsidP="008E5AEA">
      <w:pPr>
        <w:pStyle w:val="Normal1"/>
        <w:rPr>
          <w:lang w:val="fr-FR"/>
        </w:rPr>
      </w:pPr>
    </w:p>
    <w:p w14:paraId="4D6C3116" w14:textId="276BDBFB" w:rsidR="008E5AEA" w:rsidRDefault="00397ED1" w:rsidP="008E5AEA">
      <w:pPr>
        <w:pStyle w:val="Normal1"/>
      </w:pPr>
      <w:r>
        <w:rPr>
          <w:noProof/>
          <w:lang w:val="nl-NL" w:eastAsia="nl-NL"/>
        </w:rPr>
        <mc:AlternateContent>
          <mc:Choice Requires="wps">
            <w:drawing>
              <wp:anchor distT="0" distB="0" distL="114300" distR="114300" simplePos="0" relativeHeight="251670016" behindDoc="0" locked="0" layoutInCell="1" allowOverlap="1" wp14:anchorId="6FE2F83C" wp14:editId="2C0483EC">
                <wp:simplePos x="0" y="0"/>
                <wp:positionH relativeFrom="column">
                  <wp:posOffset>5464810</wp:posOffset>
                </wp:positionH>
                <wp:positionV relativeFrom="paragraph">
                  <wp:posOffset>1531620</wp:posOffset>
                </wp:positionV>
                <wp:extent cx="1152525" cy="13716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1152525" cy="1371600"/>
                        </a:xfrm>
                        <a:prstGeom prst="rect">
                          <a:avLst/>
                        </a:prstGeom>
                        <a:solidFill>
                          <a:schemeClr val="lt1"/>
                        </a:solidFill>
                        <a:ln w="6350">
                          <a:noFill/>
                        </a:ln>
                      </wps:spPr>
                      <wps:txbx>
                        <w:txbxContent>
                          <w:p w14:paraId="46312A97" w14:textId="0B9A14DD" w:rsidR="00BC4D45" w:rsidRDefault="00BC4D45" w:rsidP="00397ED1">
                            <w:pPr>
                              <w:pStyle w:val="ListParagraph"/>
                              <w:numPr>
                                <w:ilvl w:val="0"/>
                                <w:numId w:val="28"/>
                              </w:numPr>
                              <w:tabs>
                                <w:tab w:val="left" w:pos="3686"/>
                                <w:tab w:val="left" w:pos="6096"/>
                                <w:tab w:val="left" w:pos="7088"/>
                              </w:tabs>
                              <w:ind w:left="142" w:hanging="142"/>
                              <w:rPr>
                                <w:rFonts w:cstheme="minorHAnsi"/>
                                <w:color w:val="4F81BD" w:themeColor="accent1"/>
                                <w:sz w:val="18"/>
                                <w:szCs w:val="18"/>
                                <w:lang w:val="fr-FR"/>
                              </w:rPr>
                            </w:pPr>
                            <w:r w:rsidRPr="00A37B4B">
                              <w:rPr>
                                <w:rFonts w:cstheme="minorHAnsi"/>
                                <w:color w:val="4F81BD" w:themeColor="accent1"/>
                                <w:sz w:val="18"/>
                                <w:szCs w:val="18"/>
                                <w:lang w:val="fr-FR"/>
                              </w:rPr>
                              <w:t>En déclin significatif à long terme</w:t>
                            </w:r>
                          </w:p>
                          <w:p w14:paraId="311F17DC" w14:textId="77777777" w:rsidR="00BC4D45" w:rsidRPr="00397ED1" w:rsidRDefault="00BC4D45" w:rsidP="00397ED1">
                            <w:pPr>
                              <w:pStyle w:val="ListParagraph"/>
                              <w:tabs>
                                <w:tab w:val="left" w:pos="3686"/>
                                <w:tab w:val="left" w:pos="6096"/>
                                <w:tab w:val="left" w:pos="7088"/>
                              </w:tabs>
                              <w:ind w:left="142"/>
                              <w:rPr>
                                <w:rFonts w:cstheme="minorHAnsi"/>
                                <w:color w:val="4F81BD" w:themeColor="accent1"/>
                                <w:sz w:val="12"/>
                                <w:szCs w:val="12"/>
                                <w:lang w:val="fr-FR"/>
                              </w:rPr>
                            </w:pPr>
                          </w:p>
                          <w:p w14:paraId="673BCA54" w14:textId="77777777" w:rsidR="00BC4D45" w:rsidRPr="00A37B4B" w:rsidRDefault="00BC4D45" w:rsidP="00397ED1">
                            <w:pPr>
                              <w:pStyle w:val="ListParagraph"/>
                              <w:numPr>
                                <w:ilvl w:val="0"/>
                                <w:numId w:val="28"/>
                              </w:numPr>
                              <w:tabs>
                                <w:tab w:val="left" w:pos="3686"/>
                                <w:tab w:val="left" w:pos="6096"/>
                                <w:tab w:val="left" w:pos="7088"/>
                              </w:tabs>
                              <w:ind w:left="142" w:hanging="142"/>
                              <w:rPr>
                                <w:rFonts w:cstheme="minorHAnsi"/>
                                <w:color w:val="4F81BD" w:themeColor="accent1"/>
                                <w:sz w:val="18"/>
                                <w:szCs w:val="18"/>
                                <w:lang w:val="fr-FR"/>
                              </w:rPr>
                            </w:pPr>
                            <w:r w:rsidRPr="00A37B4B">
                              <w:rPr>
                                <w:rFonts w:cstheme="minorHAnsi"/>
                                <w:color w:val="4F81BD" w:themeColor="accent1"/>
                                <w:sz w:val="18"/>
                                <w:szCs w:val="18"/>
                                <w:lang w:val="fr-FR"/>
                              </w:rPr>
                              <w:t>N’étant pas en déclin significatif à long terme</w:t>
                            </w:r>
                          </w:p>
                          <w:p w14:paraId="0386F822" w14:textId="77777777" w:rsidR="00BC4D45" w:rsidRPr="00397ED1" w:rsidRDefault="00BC4D4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2F83C" id="Text Box 75" o:spid="_x0000_s1038" type="#_x0000_t202" style="position:absolute;margin-left:430.3pt;margin-top:120.6pt;width:90.75pt;height:108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" fillcolor="white [3201]" stroked="f" strokeweight=".5pt">
                <v:textbox>
                  <w:txbxContent>
                    <w:p w14:paraId="46312A97" w14:textId="0B9A14DD" w:rsidR="00BC4D45" w:rsidRDefault="00BC4D45" w:rsidP="00397ED1">
                      <w:pPr>
                        <w:pStyle w:val="ListParagraph"/>
                        <w:numPr>
                          <w:ilvl w:val="0"/>
                          <w:numId w:val="28"/>
                        </w:numPr>
                        <w:tabs>
                          <w:tab w:val="left" w:pos="3686"/>
                          <w:tab w:val="left" w:pos="6096"/>
                          <w:tab w:val="left" w:pos="7088"/>
                        </w:tabs>
                        <w:ind w:left="142" w:hanging="142"/>
                        <w:rPr>
                          <w:rFonts w:cstheme="minorHAnsi"/>
                          <w:color w:val="4F81BD" w:themeColor="accent1"/>
                          <w:sz w:val="18"/>
                          <w:szCs w:val="18"/>
                          <w:lang w:val="fr-FR"/>
                        </w:rPr>
                      </w:pPr>
                      <w:r w:rsidRPr="00A37B4B">
                        <w:rPr>
                          <w:rFonts w:cstheme="minorHAnsi"/>
                          <w:color w:val="4F81BD" w:themeColor="accent1"/>
                          <w:sz w:val="18"/>
                          <w:szCs w:val="18"/>
                          <w:lang w:val="fr-FR"/>
                        </w:rPr>
                        <w:t>En déclin significatif à long terme</w:t>
                      </w:r>
                    </w:p>
                    <w:p w14:paraId="311F17DC" w14:textId="77777777" w:rsidR="00BC4D45" w:rsidRPr="00397ED1" w:rsidRDefault="00BC4D45" w:rsidP="00397ED1">
                      <w:pPr>
                        <w:pStyle w:val="ListParagraph"/>
                        <w:tabs>
                          <w:tab w:val="left" w:pos="3686"/>
                          <w:tab w:val="left" w:pos="6096"/>
                          <w:tab w:val="left" w:pos="7088"/>
                        </w:tabs>
                        <w:ind w:left="142"/>
                        <w:rPr>
                          <w:rFonts w:cstheme="minorHAnsi"/>
                          <w:color w:val="4F81BD" w:themeColor="accent1"/>
                          <w:sz w:val="12"/>
                          <w:szCs w:val="12"/>
                          <w:lang w:val="fr-FR"/>
                        </w:rPr>
                      </w:pPr>
                    </w:p>
                    <w:p w14:paraId="673BCA54" w14:textId="77777777" w:rsidR="00BC4D45" w:rsidRPr="00A37B4B" w:rsidRDefault="00BC4D45" w:rsidP="00397ED1">
                      <w:pPr>
                        <w:pStyle w:val="ListParagraph"/>
                        <w:numPr>
                          <w:ilvl w:val="0"/>
                          <w:numId w:val="28"/>
                        </w:numPr>
                        <w:tabs>
                          <w:tab w:val="left" w:pos="3686"/>
                          <w:tab w:val="left" w:pos="6096"/>
                          <w:tab w:val="left" w:pos="7088"/>
                        </w:tabs>
                        <w:ind w:left="142" w:hanging="142"/>
                        <w:rPr>
                          <w:rFonts w:cstheme="minorHAnsi"/>
                          <w:color w:val="4F81BD" w:themeColor="accent1"/>
                          <w:sz w:val="18"/>
                          <w:szCs w:val="18"/>
                          <w:lang w:val="fr-FR"/>
                        </w:rPr>
                      </w:pPr>
                      <w:r w:rsidRPr="00A37B4B">
                        <w:rPr>
                          <w:rFonts w:cstheme="minorHAnsi"/>
                          <w:color w:val="4F81BD" w:themeColor="accent1"/>
                          <w:sz w:val="18"/>
                          <w:szCs w:val="18"/>
                          <w:lang w:val="fr-FR"/>
                        </w:rPr>
                        <w:t>N’étant pas en déclin significatif à long terme</w:t>
                      </w:r>
                    </w:p>
                    <w:p w14:paraId="0386F822" w14:textId="77777777" w:rsidR="00BC4D45" w:rsidRPr="00397ED1" w:rsidRDefault="00BC4D45">
                      <w:pPr>
                        <w:rPr>
                          <w:lang w:val="fr-FR"/>
                        </w:rPr>
                      </w:pPr>
                    </w:p>
                  </w:txbxContent>
                </v:textbox>
              </v:shape>
            </w:pict>
          </mc:Fallback>
        </mc:AlternateContent>
      </w:r>
      <w:r w:rsidR="008E5AEA">
        <w:rPr>
          <w:noProof/>
          <w:lang w:val="nl-NL" w:eastAsia="nl-NL"/>
        </w:rPr>
        <w:drawing>
          <wp:inline distT="0" distB="0" distL="0" distR="0" wp14:anchorId="0BB19D89" wp14:editId="3A0568DD">
            <wp:extent cx="5278120" cy="3783965"/>
            <wp:effectExtent l="0" t="0" r="0" b="698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783965"/>
                    </a:xfrm>
                    <a:prstGeom prst="rect">
                      <a:avLst/>
                    </a:prstGeom>
                    <a:noFill/>
                    <a:ln>
                      <a:noFill/>
                    </a:ln>
                  </pic:spPr>
                </pic:pic>
              </a:graphicData>
            </a:graphic>
          </wp:inline>
        </w:drawing>
      </w:r>
    </w:p>
    <w:p w14:paraId="4AA3EDBC" w14:textId="27550EF9" w:rsidR="008E5AEA" w:rsidRDefault="008E5AEA" w:rsidP="00A37B4B">
      <w:pPr>
        <w:pStyle w:val="Caption"/>
        <w:spacing w:after="0"/>
      </w:pPr>
    </w:p>
    <w:p w14:paraId="1B10639E" w14:textId="3F160ED5" w:rsidR="00A37B4B" w:rsidRPr="00A37B4B" w:rsidRDefault="00A37B4B" w:rsidP="00A37B4B">
      <w:pPr>
        <w:pStyle w:val="ListParagraph"/>
        <w:numPr>
          <w:ilvl w:val="0"/>
          <w:numId w:val="26"/>
        </w:numPr>
        <w:tabs>
          <w:tab w:val="left" w:pos="3686"/>
          <w:tab w:val="left" w:pos="6096"/>
          <w:tab w:val="left" w:pos="7088"/>
        </w:tabs>
        <w:ind w:left="284" w:hanging="284"/>
        <w:rPr>
          <w:rFonts w:cstheme="minorHAnsi"/>
          <w:color w:val="4F81BD" w:themeColor="accent1"/>
          <w:sz w:val="18"/>
          <w:szCs w:val="18"/>
          <w:lang w:val="fr-FR"/>
        </w:rPr>
      </w:pPr>
      <w:r>
        <w:rPr>
          <w:rFonts w:cstheme="minorHAnsi"/>
          <w:noProof/>
          <w:color w:val="4F81BD" w:themeColor="accent1"/>
          <w:sz w:val="18"/>
          <w:szCs w:val="18"/>
          <w:lang w:val="fr-FR"/>
        </w:rPr>
        <mc:AlternateContent>
          <mc:Choice Requires="wps">
            <w:drawing>
              <wp:anchor distT="0" distB="0" distL="114300" distR="114300" simplePos="0" relativeHeight="251648512" behindDoc="0" locked="0" layoutInCell="1" allowOverlap="1" wp14:anchorId="50992D77" wp14:editId="7C94AB37">
                <wp:simplePos x="0" y="0"/>
                <wp:positionH relativeFrom="column">
                  <wp:posOffset>2799398</wp:posOffset>
                </wp:positionH>
                <wp:positionV relativeFrom="paragraph">
                  <wp:posOffset>3175</wp:posOffset>
                </wp:positionV>
                <wp:extent cx="1628775" cy="1328738"/>
                <wp:effectExtent l="0" t="0" r="9525" b="5080"/>
                <wp:wrapNone/>
                <wp:docPr id="61" name="Text Box 61"/>
                <wp:cNvGraphicFramePr/>
                <a:graphic xmlns:a="http://schemas.openxmlformats.org/drawingml/2006/main">
                  <a:graphicData uri="http://schemas.microsoft.com/office/word/2010/wordprocessingShape">
                    <wps:wsp>
                      <wps:cNvSpPr txBox="1"/>
                      <wps:spPr>
                        <a:xfrm>
                          <a:off x="0" y="0"/>
                          <a:ext cx="1628775" cy="1328738"/>
                        </a:xfrm>
                        <a:prstGeom prst="rect">
                          <a:avLst/>
                        </a:prstGeom>
                        <a:solidFill>
                          <a:schemeClr val="lt1"/>
                        </a:solidFill>
                        <a:ln w="6350">
                          <a:noFill/>
                        </a:ln>
                      </wps:spPr>
                      <wps:txbx>
                        <w:txbxContent>
                          <w:p w14:paraId="2AC67916"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Paléarctique occidental – Atlantique</w:t>
                            </w:r>
                          </w:p>
                          <w:p w14:paraId="1B200A80"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Voie de migration Asie de l’Ouest – Afrique de l’Est</w:t>
                            </w:r>
                          </w:p>
                          <w:p w14:paraId="373F8B3F"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Occidentale et centrale</w:t>
                            </w:r>
                          </w:p>
                          <w:p w14:paraId="1BCDB2F3"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Subsaharienne</w:t>
                            </w:r>
                          </w:p>
                          <w:p w14:paraId="3D56DD8F"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Autres</w:t>
                            </w:r>
                          </w:p>
                          <w:p w14:paraId="66D07CC9" w14:textId="77777777" w:rsidR="00BC4D45" w:rsidRPr="00A37B4B" w:rsidRDefault="00BC4D45" w:rsidP="00A37B4B">
                            <w:pPr>
                              <w:ind w:left="284" w:hanging="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2D77" id="Text Box 61" o:spid="_x0000_s1039" type="#_x0000_t202" style="position:absolute;left:0;text-align:left;margin-left:220.45pt;margin-top:.25pt;width:128.25pt;height:10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" fillcolor="white [3201]" stroked="f" strokeweight=".5pt">
                <v:textbox>
                  <w:txbxContent>
                    <w:p w14:paraId="2AC67916"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Paléarctique occidental – Atlantique</w:t>
                      </w:r>
                    </w:p>
                    <w:p w14:paraId="1B200A80"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Voie de migration Asie de l’Ouest – Afrique de l’Est</w:t>
                      </w:r>
                    </w:p>
                    <w:p w14:paraId="373F8B3F"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Occidentale et centrale</w:t>
                      </w:r>
                    </w:p>
                    <w:p w14:paraId="1BCDB2F3"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Subsaharienne</w:t>
                      </w:r>
                    </w:p>
                    <w:p w14:paraId="3D56DD8F" w14:textId="77777777" w:rsidR="00BC4D45" w:rsidRPr="00A37B4B" w:rsidRDefault="00BC4D45" w:rsidP="00A37B4B">
                      <w:pPr>
                        <w:pStyle w:val="ListParagraph"/>
                        <w:numPr>
                          <w:ilvl w:val="0"/>
                          <w:numId w:val="27"/>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Autres</w:t>
                      </w:r>
                    </w:p>
                    <w:p w14:paraId="66D07CC9" w14:textId="77777777" w:rsidR="00BC4D45" w:rsidRPr="00A37B4B" w:rsidRDefault="00BC4D45" w:rsidP="00A37B4B">
                      <w:pPr>
                        <w:ind w:left="284" w:hanging="284"/>
                        <w:rPr>
                          <w:rFonts w:cstheme="minorHAnsi"/>
                          <w:color w:val="4F81BD" w:themeColor="accent1"/>
                          <w:sz w:val="18"/>
                          <w:szCs w:val="18"/>
                          <w:lang w:val="fr-FR"/>
                        </w:rPr>
                      </w:pPr>
                    </w:p>
                  </w:txbxContent>
                </v:textbox>
              </v:shape>
            </w:pict>
          </mc:Fallback>
        </mc:AlternateContent>
      </w:r>
      <w:r>
        <w:rPr>
          <w:rFonts w:cstheme="minorHAnsi"/>
          <w:noProof/>
          <w:color w:val="4F81BD" w:themeColor="accent1"/>
          <w:sz w:val="18"/>
          <w:szCs w:val="18"/>
          <w:lang w:val="fr-FR"/>
        </w:rPr>
        <mc:AlternateContent>
          <mc:Choice Requires="wps">
            <w:drawing>
              <wp:anchor distT="0" distB="0" distL="114300" distR="114300" simplePos="0" relativeHeight="251650560" behindDoc="0" locked="0" layoutInCell="1" allowOverlap="1" wp14:anchorId="18B59A45" wp14:editId="6E796160">
                <wp:simplePos x="0" y="0"/>
                <wp:positionH relativeFrom="column">
                  <wp:posOffset>4528185</wp:posOffset>
                </wp:positionH>
                <wp:positionV relativeFrom="paragraph">
                  <wp:posOffset>26988</wp:posOffset>
                </wp:positionV>
                <wp:extent cx="942975" cy="1100137"/>
                <wp:effectExtent l="0" t="0" r="9525" b="5080"/>
                <wp:wrapNone/>
                <wp:docPr id="62" name="Text Box 62"/>
                <wp:cNvGraphicFramePr/>
                <a:graphic xmlns:a="http://schemas.openxmlformats.org/drawingml/2006/main">
                  <a:graphicData uri="http://schemas.microsoft.com/office/word/2010/wordprocessingShape">
                    <wps:wsp>
                      <wps:cNvSpPr txBox="1"/>
                      <wps:spPr>
                        <a:xfrm>
                          <a:off x="0" y="0"/>
                          <a:ext cx="942975" cy="1100137"/>
                        </a:xfrm>
                        <a:prstGeom prst="rect">
                          <a:avLst/>
                        </a:prstGeom>
                        <a:solidFill>
                          <a:schemeClr val="lt1"/>
                        </a:solidFill>
                        <a:ln w="6350">
                          <a:noFill/>
                        </a:ln>
                      </wps:spPr>
                      <wps:txbx>
                        <w:txbxContent>
                          <w:p w14:paraId="6E87C9DE" w14:textId="77777777" w:rsidR="00BC4D45" w:rsidRPr="00A37B4B" w:rsidRDefault="00BC4D4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59A45" id="Text Box 62" o:spid="_x0000_s1040" type="#_x0000_t202" style="position:absolute;left:0;text-align:left;margin-left:356.55pt;margin-top:2.15pt;width:74.25pt;height:86.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" fillcolor="white [3201]" stroked="f" strokeweight=".5pt">
                <v:textbox>
                  <w:txbxContent>
                    <w:p w14:paraId="6E87C9DE" w14:textId="77777777" w:rsidR="00BC4D45" w:rsidRPr="00A37B4B" w:rsidRDefault="00BC4D45">
                      <w:pPr>
                        <w:rPr>
                          <w:lang w:val="fr-FR"/>
                        </w:rPr>
                      </w:pPr>
                    </w:p>
                  </w:txbxContent>
                </v:textbox>
              </v:shape>
            </w:pict>
          </mc:Fallback>
        </mc:AlternateContent>
      </w:r>
      <w:r w:rsidRPr="00A37B4B">
        <w:rPr>
          <w:rFonts w:cstheme="minorHAnsi"/>
          <w:color w:val="4F81BD" w:themeColor="accent1"/>
          <w:sz w:val="18"/>
          <w:szCs w:val="18"/>
          <w:lang w:val="fr-FR"/>
        </w:rPr>
        <w:t>Grand total</w:t>
      </w:r>
    </w:p>
    <w:p w14:paraId="5ECA6B6E" w14:textId="77777777" w:rsidR="00A37B4B" w:rsidRPr="00A37B4B"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Voie de migration de l’Atlantique Est</w:t>
      </w:r>
    </w:p>
    <w:p w14:paraId="16883C4C" w14:textId="77777777" w:rsidR="00A37B4B" w:rsidRPr="00A37B4B"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Paléarctique occidental – Asie centrale et du Sud-Ouest</w:t>
      </w:r>
    </w:p>
    <w:p w14:paraId="037DE137" w14:textId="77777777" w:rsidR="00A37B4B" w:rsidRPr="00A37B4B"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Est et australe</w:t>
      </w:r>
    </w:p>
    <w:p w14:paraId="0F35B7E7" w14:textId="77777777" w:rsidR="00A37B4B" w:rsidRPr="00A37B4B"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Voie de migration mer Noire – Méditerranée</w:t>
      </w:r>
    </w:p>
    <w:p w14:paraId="1ADCBFE2" w14:textId="77777777" w:rsidR="00A37B4B" w:rsidRPr="00A37B4B"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Australe</w:t>
      </w:r>
    </w:p>
    <w:p w14:paraId="21BA05F6" w14:textId="1373DADD" w:rsidR="00A37B4B" w:rsidRDefault="00A37B4B" w:rsidP="00A37B4B">
      <w:pPr>
        <w:pStyle w:val="ListParagraph"/>
        <w:numPr>
          <w:ilvl w:val="0"/>
          <w:numId w:val="26"/>
        </w:numPr>
        <w:tabs>
          <w:tab w:val="left" w:pos="851"/>
          <w:tab w:val="left" w:pos="3686"/>
          <w:tab w:val="left" w:pos="6096"/>
          <w:tab w:val="left" w:pos="7088"/>
        </w:tabs>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Région afro-tropicale – Est</w:t>
      </w:r>
    </w:p>
    <w:p w14:paraId="6C3FCF65" w14:textId="77777777" w:rsidR="00A37B4B" w:rsidRPr="00A37B4B" w:rsidRDefault="00A37B4B" w:rsidP="00A37B4B">
      <w:pPr>
        <w:pStyle w:val="ListParagraph"/>
        <w:numPr>
          <w:ilvl w:val="0"/>
          <w:numId w:val="26"/>
        </w:numPr>
        <w:ind w:left="284" w:hanging="284"/>
        <w:rPr>
          <w:rFonts w:cstheme="minorHAnsi"/>
          <w:color w:val="4F81BD" w:themeColor="accent1"/>
          <w:sz w:val="18"/>
          <w:szCs w:val="18"/>
          <w:lang w:val="fr-FR"/>
        </w:rPr>
      </w:pPr>
      <w:r w:rsidRPr="00A37B4B">
        <w:rPr>
          <w:rFonts w:cstheme="minorHAnsi"/>
          <w:color w:val="4F81BD" w:themeColor="accent1"/>
          <w:sz w:val="18"/>
          <w:szCs w:val="18"/>
          <w:lang w:val="fr-FR"/>
        </w:rPr>
        <w:t>Paléarctique occidental – Mer Noire – Méditerranée</w:t>
      </w:r>
    </w:p>
    <w:p w14:paraId="5EA00A34" w14:textId="77777777" w:rsidR="00A37B4B" w:rsidRPr="00A37B4B" w:rsidRDefault="00A37B4B" w:rsidP="00A37B4B">
      <w:pPr>
        <w:pStyle w:val="ListParagraph"/>
        <w:tabs>
          <w:tab w:val="left" w:pos="851"/>
          <w:tab w:val="left" w:pos="3686"/>
          <w:tab w:val="left" w:pos="6096"/>
          <w:tab w:val="left" w:pos="7088"/>
        </w:tabs>
        <w:ind w:left="284"/>
        <w:rPr>
          <w:rFonts w:cstheme="minorHAnsi"/>
          <w:color w:val="4F81BD" w:themeColor="accent1"/>
          <w:sz w:val="18"/>
          <w:szCs w:val="18"/>
          <w:lang w:val="fr-FR"/>
        </w:rPr>
      </w:pPr>
    </w:p>
    <w:p w14:paraId="6A4BC563" w14:textId="77777777" w:rsidR="00A37B4B" w:rsidRPr="00A37B4B" w:rsidRDefault="00A37B4B" w:rsidP="00A37B4B">
      <w:pPr>
        <w:rPr>
          <w:lang w:val="fr-FR"/>
        </w:rPr>
      </w:pPr>
    </w:p>
    <w:p w14:paraId="226113F9" w14:textId="55BB4B81" w:rsidR="008E5AEA" w:rsidRPr="007C275D" w:rsidRDefault="008E5AEA" w:rsidP="00A37B4B">
      <w:pPr>
        <w:pStyle w:val="Caption"/>
        <w:rPr>
          <w:lang w:val="fr-FR"/>
        </w:rPr>
      </w:pPr>
      <w:r>
        <w:rPr>
          <w:lang w:val="fr-FR"/>
        </w:rPr>
        <w:t xml:space="preserve">Figure 18. Proportion de populations qui répondent aux critères de l’AEWA définissant le déclin significatif à long terme. </w:t>
      </w:r>
      <w:r>
        <w:rPr>
          <w:b w:val="0"/>
          <w:lang w:val="fr-FR"/>
        </w:rPr>
        <w:t>(Les chiffres correspondent au nombre de populations dans chaque catégorie).</w:t>
      </w:r>
    </w:p>
    <w:p w14:paraId="5E48C48B" w14:textId="77777777" w:rsidR="008E5AEA" w:rsidRPr="007C275D" w:rsidRDefault="008E5AEA" w:rsidP="008E5AEA">
      <w:pPr>
        <w:pStyle w:val="Caption"/>
        <w:keepNext/>
        <w:rPr>
          <w:lang w:val="fr-FR"/>
        </w:rPr>
      </w:pPr>
      <w:r>
        <w:rPr>
          <w:lang w:val="fr-FR"/>
        </w:rPr>
        <w:lastRenderedPageBreak/>
        <w:t>Tableau 4. Liste des populations en déclin à long terme significatif par voies de migration</w:t>
      </w:r>
    </w:p>
    <w:tbl>
      <w:tblPr>
        <w:tblpPr w:leftFromText="181" w:rightFromText="181" w:vertAnchor="text" w:horzAnchor="margin" w:tblpX="1" w:tblpY="1"/>
        <w:tblOverlap w:val="never"/>
        <w:tblW w:w="5000" w:type="pct"/>
        <w:tblLook w:val="04A0" w:firstRow="1" w:lastRow="0" w:firstColumn="1" w:lastColumn="0" w:noHBand="0" w:noVBand="1"/>
      </w:tblPr>
      <w:tblGrid>
        <w:gridCol w:w="9639"/>
      </w:tblGrid>
      <w:tr w:rsidR="008E5AEA" w14:paraId="7421F657"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28A8F093" w14:textId="77777777" w:rsidR="008E5AEA" w:rsidRDefault="008E5AEA">
            <w:pPr>
              <w:spacing w:before="100" w:beforeAutospacing="1" w:after="100" w:afterAutospacing="1"/>
              <w:rPr>
                <w:rFonts w:ascii="Calibri" w:hAnsi="Calibri"/>
                <w:color w:val="FFFFFF"/>
                <w:sz w:val="20"/>
              </w:rPr>
            </w:pPr>
            <w:r>
              <w:rPr>
                <w:rFonts w:ascii="Calibri" w:hAnsi="Calibri"/>
                <w:color w:val="FFFFFF"/>
                <w:sz w:val="20"/>
                <w:lang w:val="fr-FR"/>
              </w:rPr>
              <w:t>Région afro-tropicale - orientale</w:t>
            </w:r>
          </w:p>
        </w:tc>
      </w:tr>
      <w:tr w:rsidR="008E5AEA" w14:paraId="19D25DE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5F4579F"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5E8CB8B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66868E4"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7AE6773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797F031"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Érismature maccoa </w:t>
            </w:r>
            <w:r>
              <w:rPr>
                <w:rFonts w:ascii="Calibri" w:hAnsi="Calibri"/>
                <w:i/>
                <w:sz w:val="20"/>
                <w:lang w:val="fr-FR"/>
              </w:rPr>
              <w:t>Oxyura maccoa</w:t>
            </w:r>
            <w:r>
              <w:rPr>
                <w:rFonts w:ascii="Calibri" w:hAnsi="Calibri"/>
                <w:sz w:val="20"/>
                <w:lang w:val="fr-FR"/>
              </w:rPr>
              <w:t>, Afrique de l’Est</w:t>
            </w:r>
          </w:p>
        </w:tc>
      </w:tr>
      <w:tr w:rsidR="008E5AEA" w14:paraId="07606B4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6787D00"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5FB4FF8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013E05"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Burhinidae</w:t>
            </w:r>
          </w:p>
        </w:tc>
      </w:tr>
      <w:tr w:rsidR="008E5AEA" w:rsidRPr="00BC4D45" w14:paraId="4DC1FCA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DBB192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Oedicnème du Sénégal </w:t>
            </w:r>
            <w:r>
              <w:rPr>
                <w:rFonts w:ascii="Calibri" w:hAnsi="Calibri"/>
                <w:i/>
                <w:sz w:val="20"/>
                <w:lang w:val="fr-FR"/>
              </w:rPr>
              <w:t>Burhinus senegalensis</w:t>
            </w:r>
            <w:r>
              <w:rPr>
                <w:rFonts w:ascii="Calibri" w:hAnsi="Calibri"/>
                <w:sz w:val="20"/>
                <w:lang w:val="fr-FR"/>
              </w:rPr>
              <w:t>,</w:t>
            </w:r>
            <w:r>
              <w:rPr>
                <w:rFonts w:ascii="Calibri" w:hAnsi="Calibri"/>
                <w:i/>
                <w:sz w:val="20"/>
                <w:lang w:val="fr-FR"/>
              </w:rPr>
              <w:t xml:space="preserve"> </w:t>
            </w:r>
            <w:r>
              <w:rPr>
                <w:rFonts w:ascii="Calibri" w:hAnsi="Calibri"/>
                <w:sz w:val="20"/>
                <w:lang w:val="fr-FR"/>
              </w:rPr>
              <w:t>Afrique du Nord-Est et Afrique de l’Est</w:t>
            </w:r>
          </w:p>
        </w:tc>
      </w:tr>
      <w:tr w:rsidR="008E5AEA" w14:paraId="1066D58F"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2607B2E6"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3EBD9D6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41B84AC"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Gruidae</w:t>
            </w:r>
          </w:p>
        </w:tc>
      </w:tr>
      <w:tr w:rsidR="008E5AEA" w:rsidRPr="00BC4D45" w14:paraId="776455C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B4BD62E"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Grue couronnée </w:t>
            </w:r>
            <w:r>
              <w:rPr>
                <w:rFonts w:ascii="Calibri" w:hAnsi="Calibri"/>
                <w:i/>
                <w:sz w:val="20"/>
                <w:lang w:val="fr-FR"/>
              </w:rPr>
              <w:t>Balearica pavonina ceciliae</w:t>
            </w:r>
            <w:r>
              <w:rPr>
                <w:rFonts w:ascii="Calibri" w:hAnsi="Calibri"/>
                <w:sz w:val="20"/>
                <w:lang w:val="fr-FR"/>
              </w:rPr>
              <w:t>, Afrique de l’Est (du Soudan à l’Ouganda)</w:t>
            </w:r>
          </w:p>
        </w:tc>
      </w:tr>
      <w:tr w:rsidR="008E5AEA" w:rsidRPr="00BC4D45" w14:paraId="3DAD972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F3CE1C1"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Grue royale </w:t>
            </w:r>
            <w:r>
              <w:rPr>
                <w:rFonts w:ascii="Calibri" w:hAnsi="Calibri"/>
                <w:i/>
                <w:sz w:val="20"/>
                <w:lang w:val="fr-FR"/>
              </w:rPr>
              <w:t>Balearica regulorum gibbericeps</w:t>
            </w:r>
            <w:r>
              <w:rPr>
                <w:rFonts w:ascii="Calibri" w:hAnsi="Calibri"/>
                <w:sz w:val="20"/>
                <w:lang w:val="fr-FR"/>
              </w:rPr>
              <w:t>, Afrique de l’Est (du Kenya au Mozambique)</w:t>
            </w:r>
          </w:p>
        </w:tc>
      </w:tr>
      <w:tr w:rsidR="008E5AEA" w14:paraId="230E30E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78DB965"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Rallidae</w:t>
            </w:r>
          </w:p>
        </w:tc>
      </w:tr>
      <w:tr w:rsidR="008E5AEA" w:rsidRPr="00BC4D45" w14:paraId="00CF898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278011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Râle à miroir</w:t>
            </w:r>
            <w:r>
              <w:rPr>
                <w:rFonts w:ascii="Calibri" w:hAnsi="Calibri"/>
                <w:i/>
                <w:sz w:val="20"/>
                <w:lang w:val="fr-FR"/>
              </w:rPr>
              <w:t xml:space="preserve"> Sarothrura ayresi</w:t>
            </w:r>
            <w:r>
              <w:rPr>
                <w:rFonts w:ascii="Calibri" w:hAnsi="Calibri"/>
                <w:sz w:val="20"/>
                <w:lang w:val="fr-FR"/>
              </w:rPr>
              <w:t>,</w:t>
            </w:r>
            <w:r>
              <w:rPr>
                <w:rFonts w:ascii="Calibri" w:hAnsi="Calibri"/>
                <w:i/>
                <w:sz w:val="20"/>
                <w:lang w:val="fr-FR"/>
              </w:rPr>
              <w:t xml:space="preserve"> </w:t>
            </w:r>
            <w:r>
              <w:rPr>
                <w:rFonts w:ascii="Calibri" w:hAnsi="Calibri"/>
                <w:sz w:val="20"/>
                <w:lang w:val="fr-FR"/>
              </w:rPr>
              <w:t>Éthiopie</w:t>
            </w:r>
            <w:r w:rsidRPr="007C275D">
              <w:rPr>
                <w:rFonts w:ascii="Calibri" w:hAnsi="Calibri"/>
                <w:sz w:val="20"/>
                <w:lang w:val="fr-FR"/>
              </w:rPr>
              <w:t xml:space="preserve"> </w:t>
            </w:r>
          </w:p>
        </w:tc>
      </w:tr>
      <w:tr w:rsidR="008E5AEA" w14:paraId="74D49BA5"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4DBF1B6"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Pelicaniformes</w:t>
            </w:r>
          </w:p>
        </w:tc>
      </w:tr>
      <w:tr w:rsidR="008E5AEA" w14:paraId="687BE9C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B640E0E"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Pelecanidae</w:t>
            </w:r>
          </w:p>
        </w:tc>
      </w:tr>
      <w:tr w:rsidR="008E5AEA" w:rsidRPr="00BC4D45" w14:paraId="093575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4C37391"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Pélican blanc </w:t>
            </w:r>
            <w:r>
              <w:rPr>
                <w:rFonts w:ascii="Calibri" w:hAnsi="Calibri"/>
                <w:i/>
                <w:sz w:val="20"/>
                <w:lang w:val="fr-FR"/>
              </w:rPr>
              <w:t>Pelecanus onocrotalus</w:t>
            </w:r>
            <w:r>
              <w:rPr>
                <w:rFonts w:ascii="Calibri" w:hAnsi="Calibri"/>
                <w:sz w:val="20"/>
                <w:lang w:val="fr-FR"/>
              </w:rPr>
              <w:t>, Afrique de l’Est</w:t>
            </w:r>
          </w:p>
        </w:tc>
      </w:tr>
      <w:tr w:rsidR="008E5AEA" w14:paraId="5BF3D98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2E73BF4"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Phoenicoptériformes</w:t>
            </w:r>
          </w:p>
        </w:tc>
      </w:tr>
      <w:tr w:rsidR="008E5AEA" w14:paraId="27E5875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EDF53A"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Phoenicopteridae</w:t>
            </w:r>
          </w:p>
        </w:tc>
      </w:tr>
      <w:tr w:rsidR="008E5AEA" w:rsidRPr="00BC4D45" w14:paraId="4A6A307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B85E335"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Flamant nain </w:t>
            </w:r>
            <w:r>
              <w:rPr>
                <w:rFonts w:ascii="Calibri" w:hAnsi="Calibri"/>
                <w:i/>
                <w:sz w:val="20"/>
                <w:lang w:val="fr-FR"/>
              </w:rPr>
              <w:t>Phoeniconaias minor</w:t>
            </w:r>
            <w:r>
              <w:rPr>
                <w:rFonts w:ascii="Calibri" w:hAnsi="Calibri"/>
                <w:sz w:val="20"/>
                <w:lang w:val="fr-FR"/>
              </w:rPr>
              <w:t>,</w:t>
            </w:r>
            <w:r>
              <w:rPr>
                <w:rFonts w:ascii="Calibri" w:hAnsi="Calibri"/>
                <w:i/>
                <w:sz w:val="20"/>
                <w:lang w:val="fr-FR"/>
              </w:rPr>
              <w:t xml:space="preserve"> </w:t>
            </w:r>
            <w:r>
              <w:rPr>
                <w:rFonts w:ascii="Calibri" w:hAnsi="Calibri"/>
                <w:sz w:val="20"/>
                <w:lang w:val="fr-FR"/>
              </w:rPr>
              <w:t>Afrique de l’Est</w:t>
            </w:r>
          </w:p>
        </w:tc>
      </w:tr>
      <w:tr w:rsidR="008E5AEA" w:rsidRPr="00BC4D45" w14:paraId="4352F56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D2E2C8"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Flamant rose</w:t>
            </w:r>
            <w:r>
              <w:rPr>
                <w:rFonts w:ascii="Calibri" w:hAnsi="Calibri"/>
                <w:i/>
                <w:sz w:val="20"/>
                <w:lang w:val="fr-FR"/>
              </w:rPr>
              <w:t xml:space="preserve"> Phoenicopterus roseus</w:t>
            </w:r>
            <w:r>
              <w:rPr>
                <w:rFonts w:ascii="Calibri" w:hAnsi="Calibri"/>
                <w:sz w:val="20"/>
                <w:lang w:val="fr-FR"/>
              </w:rPr>
              <w:t>, Afrique de l’Est</w:t>
            </w:r>
            <w:r w:rsidRPr="007C275D">
              <w:rPr>
                <w:rFonts w:ascii="Calibri" w:hAnsi="Calibri"/>
                <w:sz w:val="20"/>
                <w:lang w:val="fr-FR"/>
              </w:rPr>
              <w:t xml:space="preserve"> </w:t>
            </w:r>
          </w:p>
        </w:tc>
      </w:tr>
      <w:tr w:rsidR="008E5AEA" w14:paraId="1B063895"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09DA66B"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Suliformes</w:t>
            </w:r>
          </w:p>
        </w:tc>
      </w:tr>
      <w:tr w:rsidR="008E5AEA" w14:paraId="4052984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8B55A35"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Sulidae</w:t>
            </w:r>
          </w:p>
        </w:tc>
      </w:tr>
      <w:tr w:rsidR="008E5AEA" w:rsidRPr="00BC4D45" w14:paraId="67B3A3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BA94472" w14:textId="77777777" w:rsidR="008E5AEA" w:rsidRPr="007C275D" w:rsidRDefault="008E5AEA">
            <w:pPr>
              <w:spacing w:before="100" w:beforeAutospacing="1" w:after="100" w:afterAutospacing="1"/>
              <w:ind w:firstLine="600"/>
              <w:rPr>
                <w:rFonts w:ascii="Calibri" w:hAnsi="Calibri"/>
                <w:sz w:val="20"/>
                <w:lang w:val="it-IT"/>
              </w:rPr>
            </w:pPr>
            <w:r w:rsidRPr="007C275D">
              <w:rPr>
                <w:rFonts w:ascii="Calibri" w:hAnsi="Calibri"/>
                <w:sz w:val="20"/>
                <w:lang w:val="it-IT"/>
              </w:rPr>
              <w:t>Fou masqué</w:t>
            </w:r>
            <w:r w:rsidRPr="007C275D">
              <w:rPr>
                <w:rFonts w:ascii="Calibri" w:hAnsi="Calibri"/>
                <w:i/>
                <w:sz w:val="20"/>
                <w:lang w:val="it-IT"/>
              </w:rPr>
              <w:t xml:space="preserve"> Sula dactylatra melanops</w:t>
            </w:r>
            <w:r w:rsidRPr="007C275D">
              <w:rPr>
                <w:rFonts w:ascii="Calibri" w:hAnsi="Calibri"/>
                <w:sz w:val="20"/>
                <w:lang w:val="it-IT"/>
              </w:rPr>
              <w:t>, O Océan Indien</w:t>
            </w:r>
          </w:p>
        </w:tc>
      </w:tr>
      <w:tr w:rsidR="008E5AEA" w:rsidRPr="00BC4D45" w14:paraId="29127A3D"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718226AC"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Région afro-tropicale - orientale et australe</w:t>
            </w:r>
          </w:p>
        </w:tc>
      </w:tr>
      <w:tr w:rsidR="008E5AEA" w14:paraId="1D6EF767"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4E84369"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7322298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515DF3E"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20121CC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0A048B6"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Dendrocygne fauve</w:t>
            </w:r>
            <w:r>
              <w:rPr>
                <w:rFonts w:ascii="Calibri" w:hAnsi="Calibri"/>
                <w:i/>
                <w:sz w:val="20"/>
                <w:lang w:val="fr-FR"/>
              </w:rPr>
              <w:t xml:space="preserve"> Dendrocygna bicolor, </w:t>
            </w:r>
            <w:r>
              <w:rPr>
                <w:rFonts w:ascii="Calibri" w:hAnsi="Calibri"/>
                <w:sz w:val="20"/>
                <w:lang w:val="fr-FR"/>
              </w:rPr>
              <w:t>Afrique de l’Est et Afrique australe</w:t>
            </w:r>
          </w:p>
        </w:tc>
      </w:tr>
      <w:tr w:rsidR="008E5AEA" w:rsidRPr="00BC4D45" w14:paraId="5DABB7B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1E79E2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Canard à bosse</w:t>
            </w:r>
            <w:r>
              <w:rPr>
                <w:rFonts w:ascii="Calibri" w:hAnsi="Calibri"/>
                <w:i/>
                <w:sz w:val="20"/>
                <w:lang w:val="fr-FR"/>
              </w:rPr>
              <w:t xml:space="preserve"> Sarkidiornis melanotos, </w:t>
            </w:r>
            <w:r>
              <w:rPr>
                <w:rFonts w:ascii="Calibri" w:hAnsi="Calibri"/>
                <w:sz w:val="20"/>
                <w:lang w:val="fr-FR"/>
              </w:rPr>
              <w:t>Afrique australe et Afrique de l’Est</w:t>
            </w:r>
          </w:p>
        </w:tc>
      </w:tr>
      <w:tr w:rsidR="008E5AEA" w:rsidRPr="00BC4D45" w14:paraId="50ACDA3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FB3D2D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Dendrocygne à dos blanc Thalassornis</w:t>
            </w:r>
            <w:r>
              <w:rPr>
                <w:rFonts w:ascii="Calibri" w:hAnsi="Calibri"/>
                <w:i/>
                <w:sz w:val="20"/>
                <w:lang w:val="fr-FR"/>
              </w:rPr>
              <w:t xml:space="preserve"> leuconotus leuconotus</w:t>
            </w:r>
            <w:r>
              <w:rPr>
                <w:rFonts w:ascii="Calibri" w:hAnsi="Calibri"/>
                <w:sz w:val="20"/>
                <w:lang w:val="fr-FR"/>
              </w:rPr>
              <w:t>, Afrique de l’Est et Afrique australe</w:t>
            </w:r>
          </w:p>
        </w:tc>
      </w:tr>
      <w:tr w:rsidR="008E5AEA" w14:paraId="160F61A7"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23BAAAD"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1DF34E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721FCFC"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53AB672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A052D66"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Vanneau couronné</w:t>
            </w:r>
            <w:r>
              <w:rPr>
                <w:rFonts w:ascii="Calibri" w:hAnsi="Calibri"/>
                <w:i/>
                <w:sz w:val="20"/>
                <w:lang w:val="fr-FR"/>
              </w:rPr>
              <w:t xml:space="preserve"> Vanellus coronatus coronatus</w:t>
            </w:r>
            <w:r>
              <w:rPr>
                <w:rFonts w:ascii="Calibri" w:hAnsi="Calibri"/>
                <w:sz w:val="20"/>
                <w:lang w:val="fr-FR"/>
              </w:rPr>
              <w:t>, Afrique de l’Est et Afrique australe</w:t>
            </w:r>
            <w:r w:rsidRPr="007C275D">
              <w:rPr>
                <w:rFonts w:ascii="Calibri" w:hAnsi="Calibri"/>
                <w:sz w:val="20"/>
                <w:lang w:val="fr-FR"/>
              </w:rPr>
              <w:t xml:space="preserve"> </w:t>
            </w:r>
          </w:p>
        </w:tc>
      </w:tr>
      <w:tr w:rsidR="008E5AEA" w:rsidRPr="00BC4D45" w14:paraId="389B50F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1A095A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Vanneau du Sénégal</w:t>
            </w:r>
            <w:r>
              <w:rPr>
                <w:rFonts w:ascii="Calibri" w:hAnsi="Calibri"/>
                <w:i/>
                <w:sz w:val="20"/>
                <w:lang w:val="fr-FR"/>
              </w:rPr>
              <w:t xml:space="preserve"> Vanellus senegallus lateralis</w:t>
            </w:r>
            <w:r>
              <w:rPr>
                <w:rFonts w:ascii="Calibri" w:hAnsi="Calibri"/>
                <w:sz w:val="20"/>
                <w:lang w:val="fr-FR"/>
              </w:rPr>
              <w:t>, Afrique de l’Est et du Sud-Est</w:t>
            </w:r>
          </w:p>
        </w:tc>
      </w:tr>
      <w:tr w:rsidR="008E5AEA" w14:paraId="29448E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7DC6E8"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58C146D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6196EE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Bec-en-ciseaux d’Afrique </w:t>
            </w:r>
            <w:r>
              <w:rPr>
                <w:rFonts w:ascii="Calibri" w:hAnsi="Calibri"/>
                <w:i/>
                <w:sz w:val="20"/>
                <w:lang w:val="fr-FR"/>
              </w:rPr>
              <w:t xml:space="preserve">Rynchops flavirostris </w:t>
            </w:r>
            <w:r>
              <w:rPr>
                <w:rFonts w:ascii="Calibri" w:hAnsi="Calibri"/>
                <w:sz w:val="20"/>
                <w:lang w:val="fr-FR"/>
              </w:rPr>
              <w:t>Afrique de l’Est et Afrique australe</w:t>
            </w:r>
          </w:p>
        </w:tc>
      </w:tr>
      <w:tr w:rsidR="008E5AEA" w:rsidRPr="00BC4D45" w14:paraId="2E8541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9C6E67F" w14:textId="77777777" w:rsidR="008E5AEA" w:rsidRDefault="008E5AEA">
            <w:pPr>
              <w:spacing w:before="100" w:beforeAutospacing="1" w:after="100" w:afterAutospacing="1"/>
              <w:ind w:firstLine="600"/>
              <w:rPr>
                <w:rFonts w:ascii="Calibri" w:hAnsi="Calibri"/>
                <w:sz w:val="20"/>
                <w:lang w:val="fr-FR"/>
              </w:rPr>
            </w:pPr>
            <w:r>
              <w:rPr>
                <w:rFonts w:ascii="Calibri" w:hAnsi="Calibri"/>
                <w:sz w:val="20"/>
                <w:lang w:val="fr-FR"/>
              </w:rPr>
              <w:t>Sterne de Dougall</w:t>
            </w:r>
            <w:r>
              <w:rPr>
                <w:rFonts w:ascii="Calibri" w:hAnsi="Calibri"/>
                <w:i/>
                <w:sz w:val="20"/>
                <w:lang w:val="fr-FR"/>
              </w:rPr>
              <w:t xml:space="preserve"> Sterna dougallii gracilis</w:t>
            </w:r>
            <w:r>
              <w:rPr>
                <w:rFonts w:ascii="Calibri" w:hAnsi="Calibri"/>
                <w:sz w:val="20"/>
                <w:lang w:val="fr-FR"/>
              </w:rPr>
              <w:t>, Seychelles et Mascareignes</w:t>
            </w:r>
          </w:p>
        </w:tc>
      </w:tr>
      <w:tr w:rsidR="008E5AEA" w14:paraId="4CFC2C10"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92C8BCE"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2367DFA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1332D92"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Ardeidae</w:t>
            </w:r>
          </w:p>
        </w:tc>
      </w:tr>
      <w:tr w:rsidR="008E5AEA" w:rsidRPr="00BC4D45" w14:paraId="7562033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2FBEA8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Crabier blanc</w:t>
            </w:r>
            <w:r>
              <w:rPr>
                <w:rFonts w:ascii="Calibri" w:hAnsi="Calibri"/>
                <w:i/>
                <w:sz w:val="20"/>
                <w:lang w:val="fr-FR"/>
              </w:rPr>
              <w:t xml:space="preserve"> Ardeola idae</w:t>
            </w:r>
            <w:r>
              <w:rPr>
                <w:rFonts w:ascii="Calibri" w:hAnsi="Calibri"/>
                <w:sz w:val="20"/>
                <w:lang w:val="fr-FR"/>
              </w:rPr>
              <w:t>,</w:t>
            </w:r>
            <w:r>
              <w:rPr>
                <w:rFonts w:ascii="Calibri" w:hAnsi="Calibri"/>
                <w:i/>
                <w:sz w:val="20"/>
                <w:lang w:val="fr-FR"/>
              </w:rPr>
              <w:t xml:space="preserve"> </w:t>
            </w:r>
            <w:r>
              <w:rPr>
                <w:rFonts w:ascii="Calibri" w:hAnsi="Calibri"/>
                <w:sz w:val="20"/>
                <w:lang w:val="fr-FR"/>
              </w:rPr>
              <w:t>Madagascar et Aldabra/Afrique centrale et de l’Est</w:t>
            </w:r>
          </w:p>
        </w:tc>
      </w:tr>
      <w:tr w:rsidR="008E5AEA" w14:paraId="0038BEA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C2345C7"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Balaenicipitidae</w:t>
            </w:r>
          </w:p>
        </w:tc>
      </w:tr>
      <w:tr w:rsidR="008E5AEA" w:rsidRPr="00BC4D45" w14:paraId="49E16C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BF6107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Bec-en-sabot du Nil</w:t>
            </w:r>
            <w:r>
              <w:rPr>
                <w:rFonts w:ascii="Calibri" w:hAnsi="Calibri"/>
                <w:i/>
                <w:sz w:val="20"/>
                <w:lang w:val="fr-FR"/>
              </w:rPr>
              <w:t xml:space="preserve"> Balaeniceps rex</w:t>
            </w:r>
            <w:r>
              <w:rPr>
                <w:rFonts w:ascii="Calibri" w:hAnsi="Calibri"/>
                <w:sz w:val="20"/>
                <w:lang w:val="fr-FR"/>
              </w:rPr>
              <w:t>,</w:t>
            </w:r>
            <w:r>
              <w:rPr>
                <w:rFonts w:ascii="Calibri" w:hAnsi="Calibri"/>
                <w:i/>
                <w:sz w:val="20"/>
                <w:lang w:val="fr-FR"/>
              </w:rPr>
              <w:t xml:space="preserve"> </w:t>
            </w:r>
            <w:r>
              <w:rPr>
                <w:rFonts w:ascii="Calibri" w:hAnsi="Calibri"/>
                <w:sz w:val="20"/>
                <w:lang w:val="fr-FR"/>
              </w:rPr>
              <w:t>Afrique centrale tropicale</w:t>
            </w:r>
          </w:p>
        </w:tc>
      </w:tr>
      <w:tr w:rsidR="008E5AEA" w14:paraId="0EB82002"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6807CFB4" w14:textId="77777777" w:rsidR="008E5AEA" w:rsidRDefault="008E5AEA">
            <w:pPr>
              <w:spacing w:before="100" w:beforeAutospacing="1" w:after="100" w:afterAutospacing="1"/>
              <w:rPr>
                <w:rFonts w:ascii="Calibri" w:hAnsi="Calibri"/>
                <w:color w:val="FFFFFF"/>
                <w:sz w:val="20"/>
              </w:rPr>
            </w:pPr>
            <w:r>
              <w:rPr>
                <w:rFonts w:ascii="Calibri" w:hAnsi="Calibri"/>
                <w:color w:val="FFFFFF"/>
                <w:sz w:val="20"/>
                <w:lang w:val="fr-FR"/>
              </w:rPr>
              <w:t>Région afro-tropicale - australe</w:t>
            </w:r>
          </w:p>
        </w:tc>
      </w:tr>
      <w:tr w:rsidR="008E5AEA" w14:paraId="3C8E4A96"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8B0AA9E"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041488C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D03881"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lastRenderedPageBreak/>
              <w:t>Anatidae</w:t>
            </w:r>
          </w:p>
        </w:tc>
      </w:tr>
      <w:tr w:rsidR="008E5AEA" w14:paraId="4564C92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2D0F572" w14:textId="77777777" w:rsidR="008E5AEA" w:rsidRDefault="008E5AEA">
            <w:pPr>
              <w:spacing w:before="100" w:beforeAutospacing="1" w:after="100" w:afterAutospacing="1"/>
              <w:ind w:firstLine="600"/>
              <w:rPr>
                <w:rFonts w:ascii="Calibri" w:hAnsi="Calibri"/>
                <w:sz w:val="20"/>
              </w:rPr>
            </w:pPr>
            <w:r>
              <w:rPr>
                <w:rFonts w:ascii="Calibri" w:hAnsi="Calibri"/>
                <w:sz w:val="20"/>
                <w:lang w:val="fr-FR"/>
              </w:rPr>
              <w:t>Canard à bec rouge</w:t>
            </w:r>
            <w:r>
              <w:rPr>
                <w:rFonts w:ascii="Calibri" w:hAnsi="Calibri"/>
                <w:i/>
                <w:sz w:val="20"/>
                <w:lang w:val="fr-FR"/>
              </w:rPr>
              <w:t xml:space="preserve"> Anas erythrorhyncha</w:t>
            </w:r>
            <w:r>
              <w:rPr>
                <w:rFonts w:ascii="Calibri" w:hAnsi="Calibri"/>
                <w:sz w:val="20"/>
                <w:lang w:val="fr-FR"/>
              </w:rPr>
              <w:t>,</w:t>
            </w:r>
            <w:r>
              <w:rPr>
                <w:rFonts w:ascii="Calibri" w:hAnsi="Calibri"/>
                <w:i/>
                <w:sz w:val="20"/>
                <w:lang w:val="fr-FR"/>
              </w:rPr>
              <w:t xml:space="preserve"> </w:t>
            </w:r>
            <w:r>
              <w:rPr>
                <w:rFonts w:ascii="Calibri" w:hAnsi="Calibri"/>
                <w:sz w:val="20"/>
                <w:lang w:val="fr-FR"/>
              </w:rPr>
              <w:t>Madagascar</w:t>
            </w:r>
          </w:p>
        </w:tc>
      </w:tr>
      <w:tr w:rsidR="008E5AEA" w14:paraId="016041FD"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68542CB"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210F742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D02B06"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1D104A2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8E7BB7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Sterne des baleiniers </w:t>
            </w:r>
            <w:r>
              <w:rPr>
                <w:rFonts w:ascii="Calibri" w:hAnsi="Calibri"/>
                <w:i/>
                <w:sz w:val="20"/>
                <w:lang w:val="fr-FR"/>
              </w:rPr>
              <w:t>Sternula balaenarum</w:t>
            </w:r>
            <w:r>
              <w:rPr>
                <w:rFonts w:ascii="Calibri" w:hAnsi="Calibri"/>
                <w:sz w:val="20"/>
                <w:lang w:val="fr-FR"/>
              </w:rPr>
              <w:t>,</w:t>
            </w:r>
            <w:r>
              <w:rPr>
                <w:rFonts w:ascii="Calibri" w:hAnsi="Calibri"/>
                <w:i/>
                <w:sz w:val="20"/>
                <w:lang w:val="fr-FR"/>
              </w:rPr>
              <w:t xml:space="preserve"> </w:t>
            </w:r>
            <w:r>
              <w:rPr>
                <w:rFonts w:ascii="Calibri" w:hAnsi="Calibri"/>
                <w:sz w:val="20"/>
                <w:lang w:val="fr-FR"/>
              </w:rPr>
              <w:t>Namibie et Afrique du Sud/Côte atlantique jusqu’au Ghana</w:t>
            </w:r>
          </w:p>
        </w:tc>
      </w:tr>
      <w:tr w:rsidR="008E5AEA" w14:paraId="6E0511D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4FAA127"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171A080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8B03B5"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Ardeidae</w:t>
            </w:r>
          </w:p>
        </w:tc>
      </w:tr>
      <w:tr w:rsidR="008E5AEA" w:rsidRPr="00BC4D45" w14:paraId="7598A4A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CB3B7A2"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Butor étoilé</w:t>
            </w:r>
            <w:r>
              <w:rPr>
                <w:rFonts w:ascii="Calibri" w:hAnsi="Calibri"/>
                <w:i/>
                <w:sz w:val="20"/>
                <w:lang w:val="fr-FR"/>
              </w:rPr>
              <w:t xml:space="preserve"> Botaurus stellaris capensis</w:t>
            </w:r>
            <w:r>
              <w:rPr>
                <w:rFonts w:ascii="Calibri" w:hAnsi="Calibri"/>
                <w:sz w:val="20"/>
                <w:lang w:val="fr-FR"/>
              </w:rPr>
              <w:t>, Afrique australe</w:t>
            </w:r>
          </w:p>
        </w:tc>
      </w:tr>
      <w:tr w:rsidR="008E5AEA" w:rsidRPr="00BC4D45" w14:paraId="24A91AE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BF29773"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Héron garde-boeufs </w:t>
            </w:r>
            <w:r>
              <w:rPr>
                <w:rFonts w:ascii="Calibri" w:hAnsi="Calibri"/>
                <w:i/>
                <w:sz w:val="20"/>
                <w:lang w:val="fr-FR"/>
              </w:rPr>
              <w:t>Bubulcus ibis ibis</w:t>
            </w:r>
            <w:r>
              <w:rPr>
                <w:rFonts w:ascii="Calibri" w:hAnsi="Calibri"/>
                <w:sz w:val="20"/>
                <w:lang w:val="fr-FR"/>
              </w:rPr>
              <w:t>, Afrique australe</w:t>
            </w:r>
          </w:p>
        </w:tc>
      </w:tr>
      <w:tr w:rsidR="008E5AEA" w:rsidRPr="00BC4D45" w14:paraId="6724492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678E636" w14:textId="77777777" w:rsidR="008E5AEA" w:rsidRPr="007C275D" w:rsidRDefault="008E5AEA">
            <w:pPr>
              <w:spacing w:before="100" w:beforeAutospacing="1" w:after="100" w:afterAutospacing="1"/>
              <w:ind w:firstLine="600"/>
              <w:rPr>
                <w:rFonts w:ascii="Calibri" w:hAnsi="Calibri"/>
                <w:sz w:val="20"/>
                <w:lang w:val="it-IT"/>
              </w:rPr>
            </w:pPr>
            <w:r w:rsidRPr="007C275D">
              <w:rPr>
                <w:rFonts w:ascii="Calibri" w:hAnsi="Calibri"/>
                <w:sz w:val="20"/>
                <w:lang w:val="it-IT"/>
              </w:rPr>
              <w:t>Aigrette vineuse</w:t>
            </w:r>
            <w:r w:rsidRPr="007C275D">
              <w:rPr>
                <w:rFonts w:ascii="Calibri" w:hAnsi="Calibri"/>
                <w:i/>
                <w:sz w:val="20"/>
                <w:lang w:val="it-IT"/>
              </w:rPr>
              <w:t xml:space="preserve"> Egretta vinaceigula</w:t>
            </w:r>
            <w:r w:rsidRPr="007C275D">
              <w:rPr>
                <w:rFonts w:ascii="Calibri" w:hAnsi="Calibri"/>
                <w:sz w:val="20"/>
                <w:lang w:val="it-IT"/>
              </w:rPr>
              <w:t xml:space="preserve">, Afrique australe centrale </w:t>
            </w:r>
          </w:p>
        </w:tc>
      </w:tr>
      <w:tr w:rsidR="008E5AEA" w14:paraId="57771E0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6167AEF"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Ciconiidae</w:t>
            </w:r>
          </w:p>
        </w:tc>
      </w:tr>
      <w:tr w:rsidR="008E5AEA" w:rsidRPr="00BC4D45" w14:paraId="600681B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FC6FDE2"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t>Cigogne noire</w:t>
            </w:r>
            <w:r>
              <w:rPr>
                <w:rFonts w:ascii="Calibri" w:hAnsi="Calibri"/>
                <w:i/>
                <w:sz w:val="20"/>
                <w:lang w:val="fr-FR"/>
              </w:rPr>
              <w:t xml:space="preserve"> Ciconia nigra</w:t>
            </w:r>
            <w:r>
              <w:rPr>
                <w:rFonts w:ascii="Calibri" w:hAnsi="Calibri"/>
                <w:sz w:val="20"/>
                <w:lang w:val="fr-FR"/>
              </w:rPr>
              <w:t>,</w:t>
            </w:r>
            <w:r>
              <w:rPr>
                <w:rFonts w:ascii="Calibri" w:hAnsi="Calibri"/>
                <w:i/>
                <w:sz w:val="20"/>
                <w:lang w:val="fr-FR"/>
              </w:rPr>
              <w:t xml:space="preserve"> </w:t>
            </w:r>
            <w:r>
              <w:rPr>
                <w:rFonts w:ascii="Calibri" w:hAnsi="Calibri"/>
                <w:sz w:val="20"/>
                <w:lang w:val="fr-FR"/>
              </w:rPr>
              <w:t>Afrique australe</w:t>
            </w:r>
          </w:p>
        </w:tc>
      </w:tr>
      <w:tr w:rsidR="008E5AEA" w14:paraId="47F75AB1"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4AA6526"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131FD99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75F03C0"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Gruidae</w:t>
            </w:r>
          </w:p>
        </w:tc>
      </w:tr>
      <w:tr w:rsidR="008E5AEA" w:rsidRPr="00BC4D45" w14:paraId="1BAA4F1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7EAF448" w14:textId="77777777" w:rsidR="008E5AEA" w:rsidRPr="00BC4D45" w:rsidRDefault="008E5AEA">
            <w:pPr>
              <w:spacing w:before="100" w:beforeAutospacing="1" w:after="100" w:afterAutospacing="1"/>
              <w:ind w:left="601"/>
              <w:rPr>
                <w:rFonts w:ascii="Calibri" w:hAnsi="Calibri"/>
                <w:sz w:val="20"/>
                <w:lang w:val="fr-FR"/>
              </w:rPr>
            </w:pPr>
            <w:r>
              <w:rPr>
                <w:rFonts w:ascii="Calibri" w:hAnsi="Calibri"/>
                <w:sz w:val="20"/>
                <w:lang w:val="fr-FR"/>
              </w:rPr>
              <w:t xml:space="preserve">Grue royale </w:t>
            </w:r>
            <w:r>
              <w:rPr>
                <w:rFonts w:ascii="Calibri" w:hAnsi="Calibri"/>
                <w:i/>
                <w:sz w:val="20"/>
                <w:lang w:val="fr-FR"/>
              </w:rPr>
              <w:t>Balearica regulorum regulorum</w:t>
            </w:r>
            <w:r>
              <w:rPr>
                <w:rFonts w:ascii="Calibri" w:hAnsi="Calibri"/>
                <w:sz w:val="20"/>
                <w:lang w:val="fr-FR"/>
              </w:rPr>
              <w:t>, Afrique australe (N jusqu’à Angola et S Zimbabwe)</w:t>
            </w:r>
          </w:p>
        </w:tc>
      </w:tr>
      <w:tr w:rsidR="008E5AEA" w:rsidRPr="00BC4D45" w14:paraId="6410A2B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FA9E705"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Grue caronculée </w:t>
            </w:r>
            <w:r>
              <w:rPr>
                <w:rFonts w:ascii="Calibri" w:hAnsi="Calibri"/>
                <w:i/>
                <w:sz w:val="20"/>
                <w:lang w:val="fr-FR"/>
              </w:rPr>
              <w:t>Bugeranus carunculatus</w:t>
            </w:r>
            <w:r>
              <w:rPr>
                <w:rFonts w:ascii="Calibri" w:hAnsi="Calibri"/>
                <w:sz w:val="20"/>
                <w:lang w:val="fr-FR"/>
              </w:rPr>
              <w:t>, Afrique centrale et australe</w:t>
            </w:r>
          </w:p>
        </w:tc>
      </w:tr>
      <w:tr w:rsidR="008E5AEA" w14:paraId="16609AF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D3E9ED7"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Rallidae</w:t>
            </w:r>
          </w:p>
        </w:tc>
      </w:tr>
      <w:tr w:rsidR="008E5AEA" w:rsidRPr="00BC4D45" w14:paraId="02274E9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324B458"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Râle à miroir </w:t>
            </w:r>
            <w:r>
              <w:rPr>
                <w:rFonts w:ascii="Calibri" w:hAnsi="Calibri"/>
                <w:i/>
                <w:sz w:val="20"/>
                <w:lang w:val="fr-FR"/>
              </w:rPr>
              <w:t>Sarothrura ayresi</w:t>
            </w:r>
            <w:r>
              <w:rPr>
                <w:rFonts w:ascii="Calibri" w:hAnsi="Calibri"/>
                <w:sz w:val="20"/>
                <w:lang w:val="fr-FR"/>
              </w:rPr>
              <w:t>,</w:t>
            </w:r>
            <w:r>
              <w:rPr>
                <w:rFonts w:ascii="Calibri" w:hAnsi="Calibri"/>
                <w:i/>
                <w:sz w:val="20"/>
                <w:lang w:val="fr-FR"/>
              </w:rPr>
              <w:t xml:space="preserve"> </w:t>
            </w:r>
            <w:r>
              <w:rPr>
                <w:rFonts w:ascii="Calibri" w:hAnsi="Calibri"/>
                <w:sz w:val="20"/>
                <w:lang w:val="fr-FR"/>
              </w:rPr>
              <w:t>Afrique australe</w:t>
            </w:r>
          </w:p>
        </w:tc>
      </w:tr>
      <w:tr w:rsidR="008E5AEA" w14:paraId="7A9A1AF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8FDC5CD"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Pelicaniformes</w:t>
            </w:r>
          </w:p>
        </w:tc>
      </w:tr>
      <w:tr w:rsidR="008E5AEA" w14:paraId="0086E54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50A8B19"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Phalacrocoracidae</w:t>
            </w:r>
          </w:p>
        </w:tc>
      </w:tr>
      <w:tr w:rsidR="008E5AEA" w:rsidRPr="00BC4D45" w14:paraId="3FB3F31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21661D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Cormoran du Cap </w:t>
            </w:r>
            <w:r>
              <w:rPr>
                <w:rFonts w:ascii="Calibri" w:hAnsi="Calibri"/>
                <w:i/>
                <w:sz w:val="20"/>
                <w:lang w:val="fr-FR"/>
              </w:rPr>
              <w:t>Phalacrocorax capensis</w:t>
            </w:r>
            <w:r>
              <w:rPr>
                <w:rFonts w:ascii="Calibri" w:hAnsi="Calibri"/>
                <w:sz w:val="20"/>
                <w:lang w:val="fr-FR"/>
              </w:rPr>
              <w:t>,</w:t>
            </w:r>
            <w:r>
              <w:rPr>
                <w:rFonts w:ascii="Calibri" w:hAnsi="Calibri"/>
                <w:i/>
                <w:sz w:val="20"/>
                <w:lang w:val="fr-FR"/>
              </w:rPr>
              <w:t xml:space="preserve"> </w:t>
            </w:r>
            <w:r>
              <w:rPr>
                <w:rFonts w:ascii="Calibri" w:hAnsi="Calibri"/>
                <w:sz w:val="20"/>
                <w:lang w:val="fr-FR"/>
              </w:rPr>
              <w:t>littoral de l’Afrique australe</w:t>
            </w:r>
          </w:p>
        </w:tc>
      </w:tr>
      <w:tr w:rsidR="008E5AEA" w:rsidRPr="00BC4D45" w14:paraId="7DBDE12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581559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Cormoran des bancs</w:t>
            </w:r>
            <w:r>
              <w:rPr>
                <w:rFonts w:ascii="Calibri" w:hAnsi="Calibri"/>
                <w:i/>
                <w:sz w:val="20"/>
                <w:lang w:val="fr-FR"/>
              </w:rPr>
              <w:t xml:space="preserve"> Phalacrocorax neglectus</w:t>
            </w:r>
            <w:r>
              <w:rPr>
                <w:rFonts w:ascii="Calibri" w:hAnsi="Calibri"/>
                <w:sz w:val="20"/>
                <w:lang w:val="fr-FR"/>
              </w:rPr>
              <w:t>, Littoral de l’Afrique du Sud-Ouest</w:t>
            </w:r>
          </w:p>
        </w:tc>
      </w:tr>
      <w:tr w:rsidR="008E5AEA" w14:paraId="6FE0A4FA"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8730701"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Sphenisciformes</w:t>
            </w:r>
          </w:p>
        </w:tc>
      </w:tr>
      <w:tr w:rsidR="008E5AEA" w14:paraId="0254670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825EF27"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Spheniscidae</w:t>
            </w:r>
          </w:p>
        </w:tc>
      </w:tr>
      <w:tr w:rsidR="008E5AEA" w:rsidRPr="00BC4D45" w14:paraId="08DC012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B01A32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Manchot du Cap </w:t>
            </w:r>
            <w:r>
              <w:rPr>
                <w:rFonts w:ascii="Calibri" w:hAnsi="Calibri"/>
                <w:i/>
                <w:sz w:val="20"/>
                <w:lang w:val="fr-FR"/>
              </w:rPr>
              <w:t>Spheniscus demersus</w:t>
            </w:r>
            <w:r>
              <w:rPr>
                <w:rFonts w:ascii="Calibri" w:hAnsi="Calibri"/>
                <w:sz w:val="20"/>
                <w:lang w:val="fr-FR"/>
              </w:rPr>
              <w:t>,</w:t>
            </w:r>
            <w:r>
              <w:rPr>
                <w:rFonts w:ascii="Calibri" w:hAnsi="Calibri"/>
                <w:i/>
                <w:sz w:val="20"/>
                <w:lang w:val="fr-FR"/>
              </w:rPr>
              <w:t xml:space="preserve"> </w:t>
            </w:r>
            <w:r>
              <w:rPr>
                <w:rFonts w:ascii="Calibri" w:hAnsi="Calibri"/>
                <w:sz w:val="20"/>
                <w:lang w:val="fr-FR"/>
              </w:rPr>
              <w:t>Afrique australe</w:t>
            </w:r>
          </w:p>
        </w:tc>
      </w:tr>
      <w:tr w:rsidR="008E5AEA" w14:paraId="023AA80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B262A88"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Suliformes</w:t>
            </w:r>
          </w:p>
        </w:tc>
      </w:tr>
      <w:tr w:rsidR="008E5AEA" w14:paraId="684D55A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F4D01DE"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Sulidae</w:t>
            </w:r>
          </w:p>
        </w:tc>
      </w:tr>
      <w:tr w:rsidR="008E5AEA" w:rsidRPr="00BC4D45" w14:paraId="7CA4608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9DBB46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Fou du Cap </w:t>
            </w:r>
            <w:r>
              <w:rPr>
                <w:rFonts w:ascii="Calibri" w:hAnsi="Calibri"/>
                <w:i/>
                <w:sz w:val="20"/>
                <w:lang w:val="fr-FR"/>
              </w:rPr>
              <w:t>Morus capensis</w:t>
            </w:r>
            <w:r>
              <w:rPr>
                <w:rFonts w:ascii="Calibri" w:hAnsi="Calibri"/>
                <w:sz w:val="20"/>
                <w:lang w:val="fr-FR"/>
              </w:rPr>
              <w:t>,</w:t>
            </w:r>
            <w:r>
              <w:rPr>
                <w:rFonts w:ascii="Calibri" w:hAnsi="Calibri"/>
                <w:i/>
                <w:sz w:val="20"/>
                <w:lang w:val="fr-FR"/>
              </w:rPr>
              <w:t xml:space="preserve"> </w:t>
            </w:r>
            <w:r>
              <w:rPr>
                <w:rFonts w:ascii="Calibri" w:hAnsi="Calibri"/>
                <w:sz w:val="20"/>
                <w:lang w:val="fr-FR"/>
              </w:rPr>
              <w:t>Afrique australe</w:t>
            </w:r>
          </w:p>
        </w:tc>
      </w:tr>
      <w:tr w:rsidR="008E5AEA" w14:paraId="3BA39F9A"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49181327" w14:textId="77777777" w:rsidR="008E5AEA" w:rsidRDefault="008E5AEA">
            <w:pPr>
              <w:spacing w:before="100" w:beforeAutospacing="1" w:after="100" w:afterAutospacing="1"/>
              <w:rPr>
                <w:rFonts w:ascii="Calibri" w:hAnsi="Calibri"/>
                <w:color w:val="FFFFFF"/>
                <w:sz w:val="20"/>
              </w:rPr>
            </w:pPr>
            <w:r>
              <w:rPr>
                <w:rFonts w:ascii="Calibri" w:hAnsi="Calibri"/>
                <w:color w:val="FFFFFF"/>
                <w:sz w:val="20"/>
                <w:lang w:val="fr-FR"/>
              </w:rPr>
              <w:t>Région afro-tropicale - subsaharienne</w:t>
            </w:r>
          </w:p>
        </w:tc>
      </w:tr>
      <w:tr w:rsidR="008E5AEA" w14:paraId="0BF08FD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F2EA805"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3BFE0FC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6CA5A7C"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504AA70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CB113A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Nette brune </w:t>
            </w:r>
            <w:r>
              <w:rPr>
                <w:rFonts w:ascii="Calibri" w:hAnsi="Calibri"/>
                <w:i/>
                <w:sz w:val="20"/>
                <w:lang w:val="fr-FR"/>
              </w:rPr>
              <w:t>Netta erythrophthalma brunnea</w:t>
            </w:r>
            <w:r>
              <w:rPr>
                <w:rFonts w:ascii="Calibri" w:hAnsi="Calibri"/>
                <w:sz w:val="20"/>
                <w:lang w:val="fr-FR"/>
              </w:rPr>
              <w:t>, Afrique australe et Afrique de l’Est</w:t>
            </w:r>
          </w:p>
        </w:tc>
      </w:tr>
      <w:tr w:rsidR="008E5AEA" w14:paraId="48A8ACE4"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AF6C9CD" w14:textId="77777777" w:rsidR="008E5AEA" w:rsidRDefault="008E5AEA">
            <w:pPr>
              <w:spacing w:before="100" w:beforeAutospacing="1" w:after="100" w:afterAutospacing="1"/>
              <w:ind w:firstLine="200"/>
              <w:rPr>
                <w:rFonts w:ascii="Calibri" w:hAnsi="Calibri"/>
                <w:i/>
                <w:sz w:val="20"/>
              </w:rPr>
            </w:pPr>
            <w:r>
              <w:rPr>
                <w:rFonts w:ascii="Calibri" w:hAnsi="Calibri"/>
                <w:i/>
                <w:sz w:val="20"/>
                <w:lang w:val="fr-FR"/>
              </w:rPr>
              <w:t>Ciconiiformes</w:t>
            </w:r>
          </w:p>
        </w:tc>
      </w:tr>
      <w:tr w:rsidR="008E5AEA" w14:paraId="5DD08B3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9FD847E"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Ciconiidae</w:t>
            </w:r>
          </w:p>
        </w:tc>
      </w:tr>
      <w:tr w:rsidR="008E5AEA" w:rsidRPr="00BC4D45" w14:paraId="4DCB514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478EA90" w14:textId="77777777" w:rsidR="008E5AEA" w:rsidRDefault="008E5AEA">
            <w:pPr>
              <w:spacing w:before="100" w:beforeAutospacing="1" w:after="100" w:afterAutospacing="1"/>
              <w:ind w:firstLine="600"/>
              <w:rPr>
                <w:rFonts w:ascii="Calibri" w:hAnsi="Calibri"/>
                <w:sz w:val="20"/>
                <w:lang w:val="it-IT"/>
              </w:rPr>
            </w:pPr>
            <w:r>
              <w:rPr>
                <w:rFonts w:ascii="Calibri" w:hAnsi="Calibri"/>
                <w:sz w:val="20"/>
                <w:lang w:val="fr-FR"/>
              </w:rPr>
              <w:t>Cigogne d’Abdim</w:t>
            </w:r>
            <w:r>
              <w:rPr>
                <w:rFonts w:ascii="Calibri" w:hAnsi="Calibri"/>
                <w:i/>
                <w:sz w:val="20"/>
                <w:lang w:val="fr-FR"/>
              </w:rPr>
              <w:t xml:space="preserve"> Ciconia abdimii</w:t>
            </w:r>
            <w:r>
              <w:rPr>
                <w:rFonts w:ascii="Calibri" w:hAnsi="Calibri"/>
                <w:sz w:val="20"/>
                <w:lang w:val="fr-FR"/>
              </w:rPr>
              <w:t>,</w:t>
            </w:r>
            <w:r>
              <w:rPr>
                <w:rFonts w:ascii="Calibri" w:hAnsi="Calibri"/>
                <w:i/>
                <w:sz w:val="20"/>
                <w:lang w:val="fr-FR"/>
              </w:rPr>
              <w:t xml:space="preserve"> </w:t>
            </w:r>
            <w:r>
              <w:rPr>
                <w:rFonts w:ascii="Calibri" w:hAnsi="Calibri"/>
                <w:sz w:val="20"/>
                <w:lang w:val="fr-FR"/>
              </w:rPr>
              <w:t>Afrique subsaharienne et SO Arabie</w:t>
            </w:r>
          </w:p>
        </w:tc>
      </w:tr>
      <w:tr w:rsidR="008E5AEA" w14:paraId="1322FB8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BFA0F20"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130FF38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018D0D3"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Rallidae</w:t>
            </w:r>
          </w:p>
        </w:tc>
      </w:tr>
      <w:tr w:rsidR="008E5AEA" w:rsidRPr="00BC4D45" w14:paraId="52AE6C6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FDBFA8"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Râle rayé</w:t>
            </w:r>
            <w:r>
              <w:rPr>
                <w:rFonts w:ascii="Calibri" w:hAnsi="Calibri"/>
                <w:i/>
                <w:sz w:val="20"/>
                <w:lang w:val="fr-FR"/>
              </w:rPr>
              <w:t xml:space="preserve"> Amaurornis marginalis</w:t>
            </w:r>
            <w:r>
              <w:rPr>
                <w:rFonts w:ascii="Calibri" w:hAnsi="Calibri"/>
                <w:sz w:val="20"/>
                <w:lang w:val="fr-FR"/>
              </w:rPr>
              <w:t>,</w:t>
            </w:r>
            <w:r>
              <w:rPr>
                <w:rFonts w:ascii="Calibri" w:hAnsi="Calibri"/>
                <w:i/>
                <w:sz w:val="20"/>
                <w:lang w:val="fr-FR"/>
              </w:rPr>
              <w:t xml:space="preserve"> </w:t>
            </w:r>
            <w:r>
              <w:rPr>
                <w:rFonts w:ascii="Calibri" w:hAnsi="Calibri"/>
                <w:sz w:val="20"/>
                <w:lang w:val="fr-FR"/>
              </w:rPr>
              <w:t>Afrique subsaharienne</w:t>
            </w:r>
          </w:p>
        </w:tc>
      </w:tr>
      <w:tr w:rsidR="008E5AEA" w:rsidRPr="00BC4D45" w14:paraId="02AA604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8821D4A" w14:textId="77777777" w:rsidR="008E5AEA" w:rsidRDefault="008E5AEA">
            <w:pPr>
              <w:spacing w:before="100" w:beforeAutospacing="1" w:after="100" w:afterAutospacing="1"/>
              <w:ind w:firstLine="600"/>
              <w:rPr>
                <w:rFonts w:ascii="Calibri" w:hAnsi="Calibri"/>
                <w:sz w:val="20"/>
                <w:lang w:val="it-IT"/>
              </w:rPr>
            </w:pPr>
            <w:r>
              <w:rPr>
                <w:rFonts w:ascii="Calibri" w:hAnsi="Calibri"/>
                <w:sz w:val="20"/>
                <w:lang w:val="fr-FR"/>
              </w:rPr>
              <w:t>Talève d’Allen</w:t>
            </w:r>
            <w:r>
              <w:rPr>
                <w:rFonts w:ascii="Calibri" w:hAnsi="Calibri"/>
                <w:i/>
                <w:sz w:val="20"/>
                <w:lang w:val="fr-FR"/>
              </w:rPr>
              <w:t xml:space="preserve"> Porphyrio alleni</w:t>
            </w:r>
            <w:r>
              <w:rPr>
                <w:rFonts w:ascii="Calibri" w:hAnsi="Calibri"/>
                <w:sz w:val="20"/>
                <w:lang w:val="fr-FR"/>
              </w:rPr>
              <w:t>,</w:t>
            </w:r>
            <w:r>
              <w:rPr>
                <w:rFonts w:ascii="Calibri" w:hAnsi="Calibri"/>
                <w:i/>
                <w:sz w:val="20"/>
                <w:lang w:val="fr-FR"/>
              </w:rPr>
              <w:t xml:space="preserve"> </w:t>
            </w:r>
            <w:r>
              <w:rPr>
                <w:rFonts w:ascii="Calibri" w:hAnsi="Calibri"/>
                <w:sz w:val="20"/>
                <w:lang w:val="fr-FR"/>
              </w:rPr>
              <w:t>Afrique subsaharienne</w:t>
            </w:r>
          </w:p>
        </w:tc>
      </w:tr>
      <w:tr w:rsidR="008E5AEA" w:rsidRPr="00BC4D45" w14:paraId="420E114E"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5D3B2BD9"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Région afro-tropicale - occidentale et centrale</w:t>
            </w:r>
          </w:p>
        </w:tc>
      </w:tr>
      <w:tr w:rsidR="008E5AEA" w14:paraId="05EF8C9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0BAB647"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1771350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1F0A184"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218772C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D0CDD01"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Canard du Cap</w:t>
            </w:r>
            <w:r>
              <w:rPr>
                <w:rFonts w:ascii="Calibri" w:hAnsi="Calibri"/>
                <w:i/>
                <w:sz w:val="20"/>
                <w:lang w:val="fr-FR"/>
              </w:rPr>
              <w:t xml:space="preserve"> Anas capensis</w:t>
            </w:r>
            <w:r>
              <w:rPr>
                <w:rFonts w:ascii="Calibri" w:hAnsi="Calibri"/>
                <w:sz w:val="20"/>
                <w:lang w:val="fr-FR"/>
              </w:rPr>
              <w:t>,</w:t>
            </w:r>
            <w:r>
              <w:rPr>
                <w:rFonts w:ascii="Calibri" w:hAnsi="Calibri"/>
                <w:i/>
                <w:sz w:val="20"/>
                <w:lang w:val="fr-FR"/>
              </w:rPr>
              <w:t xml:space="preserve"> </w:t>
            </w:r>
            <w:r>
              <w:rPr>
                <w:rFonts w:ascii="Calibri" w:hAnsi="Calibri"/>
                <w:sz w:val="20"/>
                <w:lang w:val="fr-FR"/>
              </w:rPr>
              <w:t>Bassin du lac Tchad</w:t>
            </w:r>
          </w:p>
        </w:tc>
      </w:tr>
      <w:tr w:rsidR="008E5AEA" w:rsidRPr="00BC4D45" w14:paraId="3E91BBC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4B79E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Anserelle naine</w:t>
            </w:r>
            <w:r>
              <w:rPr>
                <w:rFonts w:ascii="Calibri" w:hAnsi="Calibri"/>
                <w:i/>
                <w:sz w:val="20"/>
                <w:lang w:val="fr-FR"/>
              </w:rPr>
              <w:t xml:space="preserve"> Nettapus auritus</w:t>
            </w:r>
            <w:r>
              <w:rPr>
                <w:rFonts w:ascii="Calibri" w:hAnsi="Calibri"/>
                <w:sz w:val="20"/>
                <w:lang w:val="fr-FR"/>
              </w:rPr>
              <w:t>, Afrique de l’Ouest</w:t>
            </w:r>
          </w:p>
        </w:tc>
      </w:tr>
      <w:tr w:rsidR="008E5AEA" w:rsidRPr="00BC4D45" w14:paraId="7406885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7DCFDEE"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Canard à bosse </w:t>
            </w:r>
            <w:r>
              <w:rPr>
                <w:rFonts w:ascii="Calibri" w:hAnsi="Calibri"/>
                <w:i/>
                <w:sz w:val="20"/>
                <w:lang w:val="fr-FR"/>
              </w:rPr>
              <w:t>Sarkidiornis melanotos</w:t>
            </w:r>
            <w:r>
              <w:rPr>
                <w:rFonts w:ascii="Calibri" w:hAnsi="Calibri"/>
                <w:sz w:val="20"/>
                <w:lang w:val="fr-FR"/>
              </w:rPr>
              <w:t>, Afrique de l’Ouest</w:t>
            </w:r>
          </w:p>
        </w:tc>
      </w:tr>
      <w:tr w:rsidR="008E5AEA" w:rsidRPr="00BC4D45" w14:paraId="3C5089F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A9A5F5"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lastRenderedPageBreak/>
              <w:t xml:space="preserve">Sarcelle hottentote </w:t>
            </w:r>
            <w:r>
              <w:rPr>
                <w:rFonts w:ascii="Calibri" w:hAnsi="Calibri"/>
                <w:i/>
                <w:sz w:val="20"/>
                <w:lang w:val="fr-FR"/>
              </w:rPr>
              <w:t>Spatula hottentota</w:t>
            </w:r>
            <w:r>
              <w:rPr>
                <w:rFonts w:ascii="Calibri" w:hAnsi="Calibri"/>
                <w:sz w:val="20"/>
                <w:lang w:val="fr-FR"/>
              </w:rPr>
              <w:t>, Bassin du lac Tchad</w:t>
            </w:r>
          </w:p>
        </w:tc>
      </w:tr>
      <w:tr w:rsidR="008E5AEA" w:rsidRPr="00BC4D45" w14:paraId="3EC3A3A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8C87F2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Dendrocygne à dos blanc </w:t>
            </w:r>
            <w:r>
              <w:rPr>
                <w:rFonts w:ascii="Calibri" w:hAnsi="Calibri"/>
                <w:i/>
                <w:sz w:val="20"/>
                <w:lang w:val="fr-FR"/>
              </w:rPr>
              <w:t>Thalassornis leuconotus leuconotus</w:t>
            </w:r>
            <w:r>
              <w:rPr>
                <w:rFonts w:ascii="Calibri" w:hAnsi="Calibri"/>
                <w:sz w:val="20"/>
                <w:lang w:val="fr-FR"/>
              </w:rPr>
              <w:t>, Afrique de l’Ouest</w:t>
            </w:r>
          </w:p>
        </w:tc>
      </w:tr>
      <w:tr w:rsidR="008E5AEA" w14:paraId="7529F3C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26A5ACA"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7E74974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796DC2"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14304C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9DD270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Bec-en-ciseaux d’Afrique </w:t>
            </w:r>
            <w:r>
              <w:rPr>
                <w:rFonts w:ascii="Calibri" w:hAnsi="Calibri"/>
                <w:i/>
                <w:sz w:val="20"/>
                <w:lang w:val="fr-FR"/>
              </w:rPr>
              <w:t>Rynchops flavirostris</w:t>
            </w:r>
            <w:r>
              <w:rPr>
                <w:rFonts w:ascii="Calibri" w:hAnsi="Calibri"/>
                <w:sz w:val="20"/>
                <w:lang w:val="fr-FR"/>
              </w:rPr>
              <w:t>,</w:t>
            </w:r>
            <w:r>
              <w:rPr>
                <w:rFonts w:ascii="Calibri" w:hAnsi="Calibri"/>
                <w:i/>
                <w:sz w:val="20"/>
                <w:lang w:val="fr-FR"/>
              </w:rPr>
              <w:t xml:space="preserve"> </w:t>
            </w:r>
            <w:r>
              <w:rPr>
                <w:rFonts w:ascii="Calibri" w:hAnsi="Calibri"/>
                <w:sz w:val="20"/>
                <w:lang w:val="fr-FR"/>
              </w:rPr>
              <w:t>Littoral de l’Afrique de l’Ouest et Afrique centrale</w:t>
            </w:r>
          </w:p>
        </w:tc>
      </w:tr>
      <w:tr w:rsidR="008E5AEA" w14:paraId="3D0F792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BEF0E97"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7150B0F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5A836F2"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Threskiornithidae</w:t>
            </w:r>
          </w:p>
        </w:tc>
      </w:tr>
      <w:tr w:rsidR="008E5AEA" w:rsidRPr="00BC4D45" w14:paraId="3B38E44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FA1BF69" w14:textId="77777777" w:rsidR="008E5AEA" w:rsidRDefault="008E5AEA">
            <w:pPr>
              <w:spacing w:before="100" w:beforeAutospacing="1" w:after="100" w:afterAutospacing="1"/>
              <w:ind w:firstLine="600"/>
              <w:rPr>
                <w:rFonts w:ascii="Calibri" w:hAnsi="Calibri"/>
                <w:sz w:val="20"/>
                <w:lang w:val="it-IT"/>
              </w:rPr>
            </w:pPr>
            <w:r>
              <w:rPr>
                <w:rFonts w:ascii="Calibri" w:hAnsi="Calibri"/>
                <w:sz w:val="20"/>
                <w:lang w:val="fr-FR"/>
              </w:rPr>
              <w:t>Spatule blanche</w:t>
            </w:r>
            <w:r>
              <w:rPr>
                <w:rFonts w:ascii="Calibri" w:hAnsi="Calibri"/>
                <w:i/>
                <w:sz w:val="20"/>
                <w:lang w:val="fr-FR"/>
              </w:rPr>
              <w:t xml:space="preserve"> Platalea leucorodia balsaci</w:t>
            </w:r>
            <w:r>
              <w:rPr>
                <w:rFonts w:ascii="Calibri" w:hAnsi="Calibri"/>
                <w:sz w:val="20"/>
                <w:lang w:val="fr-FR"/>
              </w:rPr>
              <w:t>, Littoral de l’Afrique de l’Ouest (Mauritanie)</w:t>
            </w:r>
          </w:p>
        </w:tc>
      </w:tr>
      <w:tr w:rsidR="008E5AEA" w14:paraId="317BECE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09B50EA"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7E1CC69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A3C808E"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Gruidae</w:t>
            </w:r>
          </w:p>
        </w:tc>
      </w:tr>
      <w:tr w:rsidR="008E5AEA" w:rsidRPr="00BC4D45" w14:paraId="373FCE2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FB6433"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Grue couronnée</w:t>
            </w:r>
            <w:r>
              <w:rPr>
                <w:rFonts w:ascii="Calibri" w:hAnsi="Calibri"/>
                <w:i/>
                <w:sz w:val="20"/>
                <w:lang w:val="fr-FR"/>
              </w:rPr>
              <w:t xml:space="preserve"> Balearica pavonina pavonina</w:t>
            </w:r>
            <w:r>
              <w:rPr>
                <w:rFonts w:ascii="Calibri" w:hAnsi="Calibri"/>
                <w:sz w:val="20"/>
                <w:lang w:val="fr-FR"/>
              </w:rPr>
              <w:t>, Afrique de l’Ouest (Sénégal au Tchad)</w:t>
            </w:r>
          </w:p>
        </w:tc>
      </w:tr>
      <w:tr w:rsidR="008E5AEA" w14:paraId="7FFAF4C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5D53910"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Rallidae</w:t>
            </w:r>
          </w:p>
        </w:tc>
      </w:tr>
      <w:tr w:rsidR="008E5AEA" w:rsidRPr="00BC4D45" w14:paraId="40A3C2C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98E3C1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Râle de Böhm</w:t>
            </w:r>
            <w:r>
              <w:rPr>
                <w:rFonts w:ascii="Calibri" w:hAnsi="Calibri"/>
                <w:i/>
                <w:sz w:val="20"/>
                <w:lang w:val="fr-FR"/>
              </w:rPr>
              <w:t xml:space="preserve"> Sarothrura boehmi, </w:t>
            </w:r>
            <w:r>
              <w:rPr>
                <w:rFonts w:ascii="Calibri" w:hAnsi="Calibri"/>
                <w:sz w:val="20"/>
                <w:lang w:val="fr-FR"/>
              </w:rPr>
              <w:t>Afrique centrale</w:t>
            </w:r>
          </w:p>
        </w:tc>
      </w:tr>
      <w:tr w:rsidR="008E5AEA" w:rsidRPr="00BC4D45" w14:paraId="3246EAC7"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65741B44"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Voie de migration Mer Noire-Méditerranée</w:t>
            </w:r>
          </w:p>
        </w:tc>
      </w:tr>
      <w:tr w:rsidR="008E5AEA" w14:paraId="37091CDD"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5A99D6C"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2114550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3A521F3"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Glareolidae</w:t>
            </w:r>
          </w:p>
        </w:tc>
      </w:tr>
      <w:tr w:rsidR="008E5AEA" w:rsidRPr="00BC4D45" w14:paraId="035DBA3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40F8B3F" w14:textId="77777777" w:rsidR="008E5AEA" w:rsidRPr="007C275D" w:rsidRDefault="008E5AEA">
            <w:pPr>
              <w:spacing w:before="100" w:beforeAutospacing="1" w:after="100" w:afterAutospacing="1"/>
              <w:ind w:left="601"/>
              <w:rPr>
                <w:rFonts w:ascii="Calibri" w:hAnsi="Calibri"/>
                <w:sz w:val="20"/>
                <w:lang w:val="fr-FR"/>
              </w:rPr>
            </w:pPr>
            <w:r>
              <w:rPr>
                <w:rFonts w:ascii="Calibri" w:hAnsi="Calibri"/>
                <w:sz w:val="20"/>
                <w:lang w:val="fr-FR"/>
              </w:rPr>
              <w:t xml:space="preserve">Glaréole à collier </w:t>
            </w:r>
            <w:r>
              <w:rPr>
                <w:rFonts w:ascii="Calibri" w:hAnsi="Calibri"/>
                <w:i/>
                <w:sz w:val="20"/>
                <w:lang w:val="fr-FR"/>
              </w:rPr>
              <w:t>Glareola pratincola pratincola</w:t>
            </w:r>
            <w:r>
              <w:rPr>
                <w:rFonts w:ascii="Calibri" w:hAnsi="Calibri"/>
                <w:sz w:val="20"/>
                <w:lang w:val="fr-FR"/>
              </w:rPr>
              <w:t>, Mer Noire et Méditerranée orientale/zone est du Sahel</w:t>
            </w:r>
          </w:p>
        </w:tc>
      </w:tr>
      <w:tr w:rsidR="008E5AEA" w14:paraId="313CA28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DBDB103"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4441B02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E34A242"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Sterne hansel </w:t>
            </w:r>
            <w:r>
              <w:rPr>
                <w:rFonts w:ascii="Calibri" w:hAnsi="Calibri"/>
                <w:i/>
                <w:sz w:val="20"/>
                <w:lang w:val="fr-FR"/>
              </w:rPr>
              <w:t>Gelochelidon nilotica nilotica</w:t>
            </w:r>
            <w:r>
              <w:rPr>
                <w:rFonts w:ascii="Calibri" w:hAnsi="Calibri"/>
                <w:sz w:val="20"/>
                <w:lang w:val="fr-FR"/>
              </w:rPr>
              <w:t>, Mer Noire et Méditerranée orientale/Afrique de l’Est</w:t>
            </w:r>
          </w:p>
        </w:tc>
      </w:tr>
      <w:tr w:rsidR="008E5AEA" w:rsidRPr="00BC4D45" w14:paraId="33BD7B7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7103492"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Sterne caspienne </w:t>
            </w:r>
            <w:r>
              <w:rPr>
                <w:rFonts w:ascii="Calibri" w:hAnsi="Calibri"/>
                <w:i/>
                <w:sz w:val="20"/>
                <w:lang w:val="fr-FR"/>
              </w:rPr>
              <w:t xml:space="preserve">Hydroprogne caspia, </w:t>
            </w:r>
            <w:r>
              <w:rPr>
                <w:rFonts w:ascii="Calibri" w:hAnsi="Calibri"/>
                <w:sz w:val="20"/>
                <w:lang w:val="fr-FR"/>
              </w:rPr>
              <w:t>Mer Noire (rep)</w:t>
            </w:r>
          </w:p>
        </w:tc>
      </w:tr>
      <w:tr w:rsidR="008E5AEA" w:rsidRPr="00BC4D45" w14:paraId="22C7C24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7354C96"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Goéland brun</w:t>
            </w:r>
            <w:r>
              <w:rPr>
                <w:rFonts w:ascii="Calibri" w:hAnsi="Calibri"/>
                <w:i/>
                <w:sz w:val="20"/>
                <w:lang w:val="fr-FR"/>
              </w:rPr>
              <w:t xml:space="preserve"> Larus fuscus fuscus</w:t>
            </w:r>
            <w:r>
              <w:rPr>
                <w:rFonts w:ascii="Calibri" w:hAnsi="Calibri"/>
                <w:sz w:val="20"/>
                <w:lang w:val="fr-FR"/>
              </w:rPr>
              <w:t>, NE Europe/Mer Noire, SO Asie et Afrique de l’Est</w:t>
            </w:r>
          </w:p>
        </w:tc>
      </w:tr>
      <w:tr w:rsidR="008E5AEA" w14:paraId="4E819DD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73EE16"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Scolopacidae</w:t>
            </w:r>
          </w:p>
        </w:tc>
      </w:tr>
      <w:tr w:rsidR="008E5AEA" w:rsidRPr="00BC4D45" w14:paraId="37FC532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D91A88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Chevalier Guignette </w:t>
            </w:r>
            <w:r>
              <w:rPr>
                <w:rFonts w:ascii="Calibri" w:hAnsi="Calibri"/>
                <w:i/>
                <w:sz w:val="20"/>
                <w:lang w:val="fr-FR"/>
              </w:rPr>
              <w:t>Actitis hypoleucos</w:t>
            </w:r>
            <w:r>
              <w:rPr>
                <w:rFonts w:ascii="Calibri" w:hAnsi="Calibri"/>
                <w:sz w:val="20"/>
                <w:lang w:val="fr-FR"/>
              </w:rPr>
              <w:t>,</w:t>
            </w:r>
            <w:r>
              <w:rPr>
                <w:rFonts w:ascii="Calibri" w:hAnsi="Calibri"/>
                <w:i/>
                <w:sz w:val="20"/>
                <w:lang w:val="fr-FR"/>
              </w:rPr>
              <w:t xml:space="preserve"> </w:t>
            </w:r>
            <w:r>
              <w:rPr>
                <w:rFonts w:ascii="Calibri" w:hAnsi="Calibri"/>
                <w:sz w:val="20"/>
                <w:lang w:val="fr-FR"/>
              </w:rPr>
              <w:t>Europe occidentale et centrale/Afrique de l’Ouest</w:t>
            </w:r>
          </w:p>
        </w:tc>
      </w:tr>
      <w:tr w:rsidR="008E5AEA" w:rsidRPr="00BC4D45" w14:paraId="6DEDF18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0F243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Bécasseau cocorli </w:t>
            </w:r>
            <w:r>
              <w:rPr>
                <w:rFonts w:ascii="Calibri" w:hAnsi="Calibri"/>
                <w:i/>
                <w:sz w:val="20"/>
                <w:lang w:val="fr-FR"/>
              </w:rPr>
              <w:t>Calidris ferruginea</w:t>
            </w:r>
            <w:r>
              <w:rPr>
                <w:rFonts w:ascii="Calibri" w:hAnsi="Calibri"/>
                <w:sz w:val="20"/>
                <w:lang w:val="fr-FR"/>
              </w:rPr>
              <w:t>, Sibérie occidentale/Afrique de l’Ouest</w:t>
            </w:r>
          </w:p>
        </w:tc>
      </w:tr>
      <w:tr w:rsidR="008E5AEA" w:rsidRPr="00BC4D45" w14:paraId="51F1944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C58B3A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Bécasseau minute </w:t>
            </w:r>
            <w:r>
              <w:rPr>
                <w:rFonts w:ascii="Calibri" w:hAnsi="Calibri"/>
                <w:i/>
                <w:sz w:val="20"/>
                <w:lang w:val="fr-FR"/>
              </w:rPr>
              <w:t>Calidris minuta</w:t>
            </w:r>
            <w:r>
              <w:rPr>
                <w:rFonts w:ascii="Calibri" w:hAnsi="Calibri"/>
                <w:sz w:val="20"/>
                <w:lang w:val="fr-FR"/>
              </w:rPr>
              <w:t>, N Europe/S Europe, Afrique du Nord et de l’Ouest</w:t>
            </w:r>
          </w:p>
        </w:tc>
      </w:tr>
      <w:tr w:rsidR="008E5AEA" w:rsidRPr="00BC4D45" w14:paraId="212923D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BD2CDA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Combattant varié </w:t>
            </w:r>
            <w:r>
              <w:rPr>
                <w:rFonts w:ascii="Calibri" w:hAnsi="Calibri"/>
                <w:i/>
                <w:sz w:val="20"/>
                <w:lang w:val="fr-FR"/>
              </w:rPr>
              <w:t>Calidris pugnax,</w:t>
            </w:r>
            <w:r>
              <w:rPr>
                <w:rFonts w:ascii="Calibri" w:hAnsi="Calibri"/>
                <w:sz w:val="20"/>
                <w:lang w:val="fr-FR"/>
              </w:rPr>
              <w:t xml:space="preserve"> Europe du Nord et Sibérie occidentale /Afrique de l’Ouest</w:t>
            </w:r>
          </w:p>
        </w:tc>
      </w:tr>
      <w:tr w:rsidR="008E5AEA" w:rsidRPr="00BC4D45" w14:paraId="093A9EB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24FC4B8"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Bécassine des marais</w:t>
            </w:r>
            <w:r>
              <w:rPr>
                <w:rFonts w:ascii="Calibri" w:hAnsi="Calibri"/>
                <w:i/>
                <w:sz w:val="20"/>
                <w:lang w:val="fr-FR"/>
              </w:rPr>
              <w:t xml:space="preserve"> Gallinago gallinago gallinago</w:t>
            </w:r>
            <w:r>
              <w:rPr>
                <w:rFonts w:ascii="Calibri" w:hAnsi="Calibri"/>
                <w:sz w:val="20"/>
                <w:lang w:val="fr-FR"/>
              </w:rPr>
              <w:t>, Europe/Europe du Sud et de l’Ouest et NO Afrique</w:t>
            </w:r>
            <w:r w:rsidRPr="007C275D">
              <w:rPr>
                <w:rFonts w:ascii="Calibri" w:hAnsi="Calibri"/>
                <w:sz w:val="20"/>
                <w:lang w:val="fr-FR"/>
              </w:rPr>
              <w:t xml:space="preserve"> </w:t>
            </w:r>
          </w:p>
        </w:tc>
      </w:tr>
      <w:tr w:rsidR="008E5AEA" w:rsidRPr="00BC4D45" w14:paraId="77E8281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8E86E9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Barge à queue noire </w:t>
            </w:r>
            <w:r>
              <w:rPr>
                <w:rFonts w:ascii="Calibri" w:hAnsi="Calibri"/>
                <w:i/>
                <w:sz w:val="20"/>
                <w:lang w:val="fr-FR"/>
              </w:rPr>
              <w:t>Limosa limosa limosa</w:t>
            </w:r>
            <w:r>
              <w:rPr>
                <w:rFonts w:ascii="Calibri" w:hAnsi="Calibri"/>
                <w:sz w:val="20"/>
                <w:lang w:val="fr-FR"/>
              </w:rPr>
              <w:t>, Europe de l’Est/Afrique centrale et orientale</w:t>
            </w:r>
          </w:p>
        </w:tc>
      </w:tr>
      <w:tr w:rsidR="008E5AEA" w:rsidRPr="00BC4D45" w14:paraId="68E2071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057F1C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Chevalier gambette</w:t>
            </w:r>
            <w:r>
              <w:rPr>
                <w:rFonts w:ascii="Calibri" w:hAnsi="Calibri"/>
                <w:i/>
                <w:sz w:val="20"/>
                <w:lang w:val="fr-FR"/>
              </w:rPr>
              <w:t xml:space="preserve"> Tringa totanus totanus</w:t>
            </w:r>
            <w:r>
              <w:rPr>
                <w:rFonts w:ascii="Calibri" w:hAnsi="Calibri"/>
                <w:sz w:val="20"/>
                <w:lang w:val="fr-FR"/>
              </w:rPr>
              <w:t>, Europe centrale et de l’Est (reproduction)</w:t>
            </w:r>
          </w:p>
        </w:tc>
      </w:tr>
      <w:tr w:rsidR="008E5AEA" w14:paraId="0077391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2382F31"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5526D27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8D66D2A"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Ardeidae</w:t>
            </w:r>
          </w:p>
        </w:tc>
      </w:tr>
      <w:tr w:rsidR="008E5AEA" w:rsidRPr="00BC4D45" w14:paraId="49CD51B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D657F31"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t>Héron</w:t>
            </w:r>
            <w:r>
              <w:rPr>
                <w:rFonts w:ascii="Calibri" w:hAnsi="Calibri"/>
                <w:i/>
                <w:sz w:val="20"/>
                <w:lang w:val="fr-FR"/>
              </w:rPr>
              <w:t xml:space="preserve"> </w:t>
            </w:r>
            <w:r>
              <w:rPr>
                <w:rFonts w:ascii="Calibri" w:hAnsi="Calibri"/>
                <w:sz w:val="20"/>
                <w:lang w:val="fr-FR"/>
              </w:rPr>
              <w:t>pourpré</w:t>
            </w:r>
            <w:r>
              <w:rPr>
                <w:rFonts w:ascii="Calibri" w:hAnsi="Calibri"/>
                <w:i/>
                <w:sz w:val="20"/>
                <w:lang w:val="fr-FR"/>
              </w:rPr>
              <w:t xml:space="preserve"> Ardea purpurea purpurea</w:t>
            </w:r>
            <w:r>
              <w:rPr>
                <w:rFonts w:ascii="Calibri" w:hAnsi="Calibri"/>
                <w:sz w:val="20"/>
                <w:lang w:val="fr-FR"/>
              </w:rPr>
              <w:t>, Afrique tropicale</w:t>
            </w:r>
          </w:p>
        </w:tc>
      </w:tr>
      <w:tr w:rsidR="008E5AEA" w:rsidRPr="00BC4D45" w14:paraId="6D2AF3E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C4CE4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Crabier chevelu</w:t>
            </w:r>
            <w:r>
              <w:rPr>
                <w:rFonts w:ascii="Calibri" w:hAnsi="Calibri"/>
                <w:i/>
                <w:sz w:val="20"/>
                <w:lang w:val="fr-FR"/>
              </w:rPr>
              <w:t xml:space="preserve"> Ardeola ralloides ralloides</w:t>
            </w:r>
            <w:r>
              <w:rPr>
                <w:rFonts w:ascii="Calibri" w:hAnsi="Calibri"/>
                <w:sz w:val="20"/>
                <w:lang w:val="fr-FR"/>
              </w:rPr>
              <w:t>, C et E Europe, mer Noire et E Méditerranée (rep)</w:t>
            </w:r>
          </w:p>
        </w:tc>
      </w:tr>
      <w:tr w:rsidR="008E5AEA" w14:paraId="42039546"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23DBCAE6"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0CF6B02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E826F5B"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Gruidae</w:t>
            </w:r>
          </w:p>
        </w:tc>
      </w:tr>
      <w:tr w:rsidR="008E5AEA" w:rsidRPr="00BC4D45" w14:paraId="311534D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ECFB30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Grue demoiselle </w:t>
            </w:r>
            <w:r>
              <w:rPr>
                <w:rFonts w:ascii="Calibri" w:hAnsi="Calibri"/>
                <w:i/>
                <w:sz w:val="20"/>
                <w:lang w:val="fr-FR"/>
              </w:rPr>
              <w:t>Anthropoides virgo</w:t>
            </w:r>
            <w:r>
              <w:rPr>
                <w:rFonts w:ascii="Calibri" w:hAnsi="Calibri"/>
                <w:sz w:val="20"/>
                <w:lang w:val="fr-FR"/>
              </w:rPr>
              <w:t>, Mer Noire (Ukraine)/Afrique du Nord-Est</w:t>
            </w:r>
          </w:p>
        </w:tc>
      </w:tr>
      <w:tr w:rsidR="008E5AEA" w:rsidRPr="00BC4D45" w14:paraId="08D7BEE4"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15982532"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 xml:space="preserve">Voie de migration de l’Asie centrale </w:t>
            </w:r>
          </w:p>
        </w:tc>
      </w:tr>
      <w:tr w:rsidR="008E5AEA" w14:paraId="6C44446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7C2EE7E"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642D3CC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201A540"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1C108E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6815E6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Vanneau à queue blanche </w:t>
            </w:r>
            <w:r>
              <w:rPr>
                <w:rFonts w:ascii="Calibri" w:hAnsi="Calibri"/>
                <w:i/>
                <w:sz w:val="20"/>
                <w:lang w:val="fr-FR"/>
              </w:rPr>
              <w:t>Vanellus leucurus</w:t>
            </w:r>
            <w:r>
              <w:rPr>
                <w:rFonts w:ascii="Calibri" w:hAnsi="Calibri"/>
                <w:sz w:val="20"/>
                <w:lang w:val="fr-FR"/>
              </w:rPr>
              <w:t>,</w:t>
            </w:r>
            <w:r>
              <w:rPr>
                <w:rFonts w:ascii="Calibri" w:hAnsi="Calibri"/>
                <w:i/>
                <w:sz w:val="20"/>
                <w:lang w:val="fr-FR"/>
              </w:rPr>
              <w:t xml:space="preserve"> </w:t>
            </w:r>
            <w:r>
              <w:rPr>
                <w:rFonts w:ascii="Calibri" w:hAnsi="Calibri"/>
                <w:sz w:val="20"/>
                <w:lang w:val="fr-FR"/>
              </w:rPr>
              <w:t>C et SO Asie/NE Afrique, SO et S Asie</w:t>
            </w:r>
          </w:p>
        </w:tc>
      </w:tr>
      <w:tr w:rsidR="008E5AEA" w:rsidRPr="00BC4D45" w14:paraId="3D55AEB7"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42331912"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Voie de migration Atlantique Est</w:t>
            </w:r>
          </w:p>
        </w:tc>
      </w:tr>
      <w:tr w:rsidR="008E5AEA" w14:paraId="2F897F9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B1C80E5"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37A0D59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8EFEE96"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7421363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2E1D27" w14:textId="77777777" w:rsidR="008E5AEA" w:rsidRPr="007C275D" w:rsidRDefault="008E5AEA">
            <w:pPr>
              <w:spacing w:before="100" w:beforeAutospacing="1" w:after="100" w:afterAutospacing="1"/>
              <w:ind w:left="601"/>
              <w:rPr>
                <w:rFonts w:ascii="Calibri" w:hAnsi="Calibri"/>
                <w:sz w:val="20"/>
                <w:lang w:val="fr-FR"/>
              </w:rPr>
            </w:pPr>
            <w:r>
              <w:rPr>
                <w:rFonts w:ascii="Calibri" w:hAnsi="Calibri"/>
                <w:sz w:val="20"/>
                <w:lang w:val="fr-FR"/>
              </w:rPr>
              <w:t>Pluvier à collier interrompu</w:t>
            </w:r>
            <w:r>
              <w:rPr>
                <w:rFonts w:ascii="Calibri" w:hAnsi="Calibri"/>
                <w:i/>
                <w:sz w:val="20"/>
                <w:lang w:val="fr-FR"/>
              </w:rPr>
              <w:t xml:space="preserve"> Charadrius alexandrinus alexandrinus</w:t>
            </w:r>
            <w:r>
              <w:rPr>
                <w:rFonts w:ascii="Calibri" w:hAnsi="Calibri"/>
                <w:sz w:val="20"/>
                <w:lang w:val="fr-FR"/>
              </w:rPr>
              <w:t>, Europe de l’Ouest et Méditerranée occidentale/Afrique de l’Ouest</w:t>
            </w:r>
          </w:p>
        </w:tc>
      </w:tr>
      <w:tr w:rsidR="008E5AEA" w:rsidRPr="00BC4D45" w14:paraId="0B5FE29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2995AD" w14:textId="77777777" w:rsidR="008E5AEA" w:rsidRPr="007C275D" w:rsidRDefault="008E5AEA">
            <w:pPr>
              <w:spacing w:before="100" w:beforeAutospacing="1" w:after="100" w:afterAutospacing="1"/>
              <w:ind w:left="601"/>
              <w:rPr>
                <w:rFonts w:ascii="Calibri" w:hAnsi="Calibri"/>
                <w:sz w:val="20"/>
                <w:lang w:val="fr-FR"/>
              </w:rPr>
            </w:pPr>
            <w:r>
              <w:rPr>
                <w:rFonts w:ascii="Calibri" w:hAnsi="Calibri"/>
                <w:sz w:val="20"/>
                <w:lang w:val="fr-FR"/>
              </w:rPr>
              <w:lastRenderedPageBreak/>
              <w:t>Pluvier grand gravelot</w:t>
            </w:r>
            <w:r>
              <w:rPr>
                <w:rFonts w:ascii="Calibri" w:hAnsi="Calibri"/>
                <w:i/>
                <w:sz w:val="20"/>
                <w:lang w:val="fr-FR"/>
              </w:rPr>
              <w:t xml:space="preserve"> Charadrius hiaticula psammodromus</w:t>
            </w:r>
            <w:r>
              <w:rPr>
                <w:rFonts w:ascii="Calibri" w:hAnsi="Calibri"/>
                <w:sz w:val="20"/>
                <w:lang w:val="fr-FR"/>
              </w:rPr>
              <w:t>, Canada, Groenland et Islande/O et S Afrique</w:t>
            </w:r>
          </w:p>
        </w:tc>
      </w:tr>
      <w:tr w:rsidR="008E5AEA" w14:paraId="13CA458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884A566"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Haematopodidae</w:t>
            </w:r>
          </w:p>
        </w:tc>
      </w:tr>
      <w:tr w:rsidR="008E5AEA" w:rsidRPr="00BC4D45" w14:paraId="0B21F02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1D8F453" w14:textId="77777777" w:rsidR="008E5AEA" w:rsidRPr="007C275D" w:rsidRDefault="008E5AEA">
            <w:pPr>
              <w:spacing w:before="100" w:beforeAutospacing="1" w:after="100" w:afterAutospacing="1"/>
              <w:ind w:left="601"/>
              <w:rPr>
                <w:rFonts w:ascii="Calibri" w:hAnsi="Calibri"/>
                <w:sz w:val="20"/>
                <w:lang w:val="fr-FR"/>
              </w:rPr>
            </w:pPr>
            <w:r>
              <w:rPr>
                <w:rFonts w:ascii="Calibri" w:hAnsi="Calibri"/>
                <w:sz w:val="20"/>
                <w:lang w:val="fr-FR"/>
              </w:rPr>
              <w:t>Huîtrier pie</w:t>
            </w:r>
            <w:r>
              <w:rPr>
                <w:rFonts w:ascii="Calibri" w:hAnsi="Calibri"/>
                <w:i/>
                <w:sz w:val="20"/>
                <w:lang w:val="fr-FR"/>
              </w:rPr>
              <w:t xml:space="preserve"> Haematopus ostralegus ostralegus</w:t>
            </w:r>
            <w:r>
              <w:rPr>
                <w:rFonts w:ascii="Calibri" w:hAnsi="Calibri"/>
                <w:sz w:val="20"/>
                <w:lang w:val="fr-FR"/>
              </w:rPr>
              <w:t>, Europe/Europe du Sud et de l’Ouest et NO Afrique</w:t>
            </w:r>
          </w:p>
        </w:tc>
      </w:tr>
      <w:tr w:rsidR="008E5AEA" w14:paraId="24A8EE2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075732"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2CC132C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FC4677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Guifette noire</w:t>
            </w:r>
            <w:r>
              <w:rPr>
                <w:rFonts w:ascii="Calibri" w:hAnsi="Calibri"/>
                <w:i/>
                <w:sz w:val="20"/>
                <w:lang w:val="fr-FR"/>
              </w:rPr>
              <w:t xml:space="preserve"> Chlidonias niger niger</w:t>
            </w:r>
            <w:r>
              <w:rPr>
                <w:rFonts w:ascii="Calibri" w:hAnsi="Calibri"/>
                <w:sz w:val="20"/>
                <w:lang w:val="fr-FR"/>
              </w:rPr>
              <w:t>, Europe et Asie de l’Ouest/</w:t>
            </w:r>
            <w:r>
              <w:rPr>
                <w:lang w:val="fr-FR"/>
              </w:rPr>
              <w:t xml:space="preserve"> </w:t>
            </w:r>
            <w:r>
              <w:rPr>
                <w:rFonts w:ascii="Calibri" w:hAnsi="Calibri"/>
                <w:sz w:val="20"/>
                <w:lang w:val="fr-FR"/>
              </w:rPr>
              <w:t>côte atlantique de l’Afrique</w:t>
            </w:r>
          </w:p>
        </w:tc>
      </w:tr>
      <w:tr w:rsidR="008E5AEA" w:rsidRPr="00BC4D45" w14:paraId="51D16A8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AC56572" w14:textId="77777777" w:rsidR="008E5AEA" w:rsidRPr="007C275D" w:rsidRDefault="008E5AEA">
            <w:pPr>
              <w:spacing w:before="100" w:beforeAutospacing="1" w:after="100" w:afterAutospacing="1"/>
              <w:ind w:left="601"/>
              <w:rPr>
                <w:rFonts w:ascii="Calibri" w:hAnsi="Calibri"/>
                <w:sz w:val="20"/>
                <w:lang w:val="fr-FR"/>
              </w:rPr>
            </w:pPr>
            <w:r>
              <w:rPr>
                <w:rFonts w:ascii="Calibri" w:hAnsi="Calibri"/>
                <w:sz w:val="20"/>
                <w:lang w:val="fr-FR"/>
              </w:rPr>
              <w:t xml:space="preserve">Mouette tridactyle </w:t>
            </w:r>
            <w:r>
              <w:rPr>
                <w:rFonts w:ascii="Calibri" w:hAnsi="Calibri"/>
                <w:i/>
                <w:sz w:val="20"/>
                <w:lang w:val="fr-FR"/>
              </w:rPr>
              <w:t>Rissa tridactyla tridactyla</w:t>
            </w:r>
            <w:r>
              <w:rPr>
                <w:rFonts w:ascii="Calibri" w:hAnsi="Calibri"/>
                <w:sz w:val="20"/>
                <w:lang w:val="fr-FR"/>
              </w:rPr>
              <w:t>, Arctique du NE Canada à la Nouvelle-Zemble/N Atlantique</w:t>
            </w:r>
          </w:p>
        </w:tc>
      </w:tr>
      <w:tr w:rsidR="008E5AEA" w14:paraId="5103C94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F0AC02" w14:textId="77777777" w:rsidR="008E5AEA" w:rsidRDefault="008E5AEA">
            <w:pPr>
              <w:spacing w:before="100" w:beforeAutospacing="1" w:after="100" w:afterAutospacing="1"/>
              <w:ind w:firstLine="600"/>
              <w:rPr>
                <w:rFonts w:ascii="Calibri" w:hAnsi="Calibri"/>
                <w:sz w:val="20"/>
                <w:lang w:val="it-IT"/>
              </w:rPr>
            </w:pPr>
            <w:r>
              <w:rPr>
                <w:rFonts w:ascii="Calibri" w:hAnsi="Calibri"/>
                <w:sz w:val="20"/>
                <w:lang w:val="fr-FR"/>
              </w:rPr>
              <w:t>Sterne de Dougall</w:t>
            </w:r>
            <w:r>
              <w:rPr>
                <w:rFonts w:ascii="Calibri" w:hAnsi="Calibri"/>
                <w:i/>
                <w:sz w:val="20"/>
                <w:lang w:val="fr-FR"/>
              </w:rPr>
              <w:t xml:space="preserve"> Sterna dougallii dougallii</w:t>
            </w:r>
            <w:r>
              <w:rPr>
                <w:rFonts w:ascii="Calibri" w:hAnsi="Calibri"/>
                <w:sz w:val="20"/>
                <w:lang w:val="fr-FR"/>
              </w:rPr>
              <w:t>, Europe (rep)</w:t>
            </w:r>
          </w:p>
        </w:tc>
      </w:tr>
      <w:tr w:rsidR="008E5AEA" w:rsidRPr="00BC4D45" w14:paraId="7417173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4E837D"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t>Sterne naine</w:t>
            </w:r>
            <w:r>
              <w:rPr>
                <w:rFonts w:ascii="Calibri" w:hAnsi="Calibri"/>
                <w:i/>
                <w:sz w:val="20"/>
                <w:lang w:val="fr-FR"/>
              </w:rPr>
              <w:t xml:space="preserve"> Sternula albifrons albifrons</w:t>
            </w:r>
            <w:r>
              <w:rPr>
                <w:rFonts w:asciiTheme="majorHAnsi" w:hAnsiTheme="majorHAnsi" w:cstheme="majorHAnsi"/>
                <w:sz w:val="20"/>
                <w:lang w:val="fr-FR"/>
              </w:rPr>
              <w:t xml:space="preserve">, </w:t>
            </w:r>
            <w:r>
              <w:rPr>
                <w:rFonts w:asciiTheme="majorHAnsi" w:hAnsiTheme="majorHAnsi" w:cstheme="majorHAnsi"/>
                <w:spacing w:val="-2"/>
                <w:sz w:val="20"/>
                <w:lang w:val="fr-FR"/>
              </w:rPr>
              <w:t>O Méditerranée/O Afrique (rep)</w:t>
            </w:r>
          </w:p>
        </w:tc>
      </w:tr>
      <w:tr w:rsidR="008E5AEA" w14:paraId="50274FE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E1A943"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Scolopacidae</w:t>
            </w:r>
          </w:p>
        </w:tc>
      </w:tr>
      <w:tr w:rsidR="008E5AEA" w:rsidRPr="00BC4D45" w14:paraId="09C7322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F31EFB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Tournepierre à collier </w:t>
            </w:r>
            <w:r>
              <w:rPr>
                <w:rFonts w:ascii="Calibri" w:hAnsi="Calibri"/>
                <w:i/>
                <w:sz w:val="20"/>
                <w:lang w:val="fr-FR"/>
              </w:rPr>
              <w:t>Arenaria interpres interpres</w:t>
            </w:r>
            <w:r>
              <w:rPr>
                <w:rFonts w:ascii="Calibri" w:hAnsi="Calibri"/>
                <w:sz w:val="20"/>
                <w:lang w:val="fr-FR"/>
              </w:rPr>
              <w:t>, Europe du Nord/Afrique de l’Ouest</w:t>
            </w:r>
          </w:p>
        </w:tc>
      </w:tr>
      <w:tr w:rsidR="008E5AEA" w:rsidRPr="00BC4D45" w14:paraId="4024467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9DBCBC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Bécasseau maubèche </w:t>
            </w:r>
            <w:r>
              <w:rPr>
                <w:rFonts w:ascii="Calibri" w:hAnsi="Calibri"/>
                <w:i/>
                <w:sz w:val="20"/>
                <w:lang w:val="fr-FR"/>
              </w:rPr>
              <w:t>Calidris canutus canutus</w:t>
            </w:r>
            <w:r>
              <w:rPr>
                <w:rFonts w:ascii="Calibri" w:hAnsi="Calibri"/>
                <w:sz w:val="20"/>
                <w:lang w:val="fr-FR"/>
              </w:rPr>
              <w:t>, Sibérie du Nord /Afrique de l’Ouest et Afrique australe</w:t>
            </w:r>
          </w:p>
        </w:tc>
      </w:tr>
      <w:tr w:rsidR="008E5AEA" w:rsidRPr="00BC4D45" w14:paraId="5D501BA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AB0022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Bécasseau violet </w:t>
            </w:r>
            <w:r>
              <w:rPr>
                <w:rFonts w:ascii="Calibri" w:hAnsi="Calibri"/>
                <w:i/>
                <w:sz w:val="20"/>
                <w:lang w:val="fr-FR"/>
              </w:rPr>
              <w:t>Calidris maritima</w:t>
            </w:r>
            <w:r>
              <w:rPr>
                <w:rFonts w:ascii="Calibri" w:hAnsi="Calibri"/>
                <w:sz w:val="20"/>
                <w:lang w:val="fr-FR"/>
              </w:rPr>
              <w:t>, NE Canada et N Groenland (reproduction)</w:t>
            </w:r>
          </w:p>
        </w:tc>
      </w:tr>
      <w:tr w:rsidR="008E5AEA" w:rsidRPr="00BC4D45" w14:paraId="1025642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412B42"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Bécasseau de Temminck</w:t>
            </w:r>
            <w:r>
              <w:rPr>
                <w:rFonts w:ascii="Calibri" w:hAnsi="Calibri"/>
                <w:i/>
                <w:sz w:val="20"/>
                <w:lang w:val="fr-FR"/>
              </w:rPr>
              <w:t xml:space="preserve"> Calidris temminckii</w:t>
            </w:r>
            <w:r>
              <w:rPr>
                <w:rFonts w:ascii="Calibri" w:hAnsi="Calibri"/>
                <w:sz w:val="20"/>
                <w:lang w:val="fr-FR"/>
              </w:rPr>
              <w:t>, Fennoscandie/Afrique du Nord et de l’Ouest</w:t>
            </w:r>
          </w:p>
        </w:tc>
      </w:tr>
      <w:tr w:rsidR="008E5AEA" w:rsidRPr="00BC4D45" w14:paraId="2494434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58042E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Barge rousse </w:t>
            </w:r>
            <w:r>
              <w:rPr>
                <w:rFonts w:ascii="Calibri" w:hAnsi="Calibri"/>
                <w:i/>
                <w:sz w:val="20"/>
                <w:lang w:val="fr-FR"/>
              </w:rPr>
              <w:t>Limosa lapponica taymyrensis</w:t>
            </w:r>
            <w:r>
              <w:rPr>
                <w:rFonts w:ascii="Calibri" w:hAnsi="Calibri"/>
                <w:sz w:val="20"/>
                <w:lang w:val="fr-FR"/>
              </w:rPr>
              <w:t>, Sibérie occidentale/Afrique de l’Ouest et du Sud-Ouest</w:t>
            </w:r>
          </w:p>
        </w:tc>
      </w:tr>
      <w:tr w:rsidR="008E5AEA" w:rsidRPr="00BC4D45" w14:paraId="7B5F9E7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E5078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Barge à queue noire</w:t>
            </w:r>
            <w:r>
              <w:rPr>
                <w:rFonts w:ascii="Calibri" w:hAnsi="Calibri"/>
                <w:i/>
                <w:sz w:val="20"/>
                <w:lang w:val="fr-FR"/>
              </w:rPr>
              <w:t xml:space="preserve"> Limosa limosa limosa</w:t>
            </w:r>
            <w:r>
              <w:rPr>
                <w:rFonts w:ascii="Calibri" w:hAnsi="Calibri"/>
                <w:sz w:val="20"/>
                <w:lang w:val="fr-FR"/>
              </w:rPr>
              <w:t>, Europe occidentale, NO Afrique et Afrique de l’Ouest</w:t>
            </w:r>
          </w:p>
        </w:tc>
      </w:tr>
      <w:tr w:rsidR="008E5AEA" w:rsidRPr="00BC4D45" w14:paraId="7D6977C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E4FFB5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Courlis cendré </w:t>
            </w:r>
            <w:r>
              <w:rPr>
                <w:rFonts w:ascii="Calibri" w:hAnsi="Calibri"/>
                <w:i/>
                <w:sz w:val="20"/>
                <w:lang w:val="fr-FR"/>
              </w:rPr>
              <w:t>Numenius arquata arquata</w:t>
            </w:r>
            <w:r>
              <w:rPr>
                <w:rFonts w:ascii="Calibri" w:hAnsi="Calibri"/>
                <w:sz w:val="20"/>
                <w:lang w:val="fr-FR"/>
              </w:rPr>
              <w:t>, Europe/Europe, Afrique du Nord et de l’Ouest</w:t>
            </w:r>
          </w:p>
        </w:tc>
      </w:tr>
      <w:tr w:rsidR="008E5AEA" w:rsidRPr="00BC4D45" w14:paraId="0313743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2257C0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Phalarope à bec large</w:t>
            </w:r>
            <w:r>
              <w:rPr>
                <w:rFonts w:ascii="Calibri" w:hAnsi="Calibri"/>
                <w:i/>
                <w:sz w:val="20"/>
                <w:lang w:val="fr-FR"/>
              </w:rPr>
              <w:t xml:space="preserve"> Phalaropus fulicarius</w:t>
            </w:r>
            <w:r>
              <w:rPr>
                <w:rFonts w:ascii="Calibri" w:hAnsi="Calibri"/>
                <w:sz w:val="20"/>
                <w:lang w:val="fr-FR"/>
              </w:rPr>
              <w:t>,</w:t>
            </w:r>
            <w:r>
              <w:rPr>
                <w:rFonts w:ascii="Calibri" w:hAnsi="Calibri"/>
                <w:i/>
                <w:sz w:val="20"/>
                <w:lang w:val="fr-FR"/>
              </w:rPr>
              <w:t xml:space="preserve"> </w:t>
            </w:r>
            <w:r>
              <w:rPr>
                <w:rFonts w:ascii="Calibri" w:hAnsi="Calibri"/>
                <w:sz w:val="20"/>
                <w:lang w:val="fr-FR"/>
              </w:rPr>
              <w:t>Canada et Groenland/</w:t>
            </w:r>
            <w:r>
              <w:rPr>
                <w:spacing w:val="-2"/>
                <w:sz w:val="22"/>
                <w:szCs w:val="22"/>
                <w:lang w:val="fr-FR"/>
              </w:rPr>
              <w:t xml:space="preserve"> </w:t>
            </w:r>
            <w:r>
              <w:rPr>
                <w:rFonts w:asciiTheme="minorHAnsi" w:hAnsiTheme="minorHAnsi" w:cstheme="minorHAnsi"/>
                <w:spacing w:val="-2"/>
                <w:sz w:val="20"/>
                <w:lang w:val="fr-FR"/>
              </w:rPr>
              <w:t>côte atlantique de l’Afrique</w:t>
            </w:r>
          </w:p>
        </w:tc>
      </w:tr>
      <w:tr w:rsidR="008E5AEA" w:rsidRPr="00BC4D45" w14:paraId="545DA5F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C5DC51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Chevalier arlequin</w:t>
            </w:r>
            <w:r>
              <w:rPr>
                <w:rFonts w:ascii="Calibri" w:hAnsi="Calibri"/>
                <w:i/>
                <w:sz w:val="20"/>
                <w:lang w:val="fr-FR"/>
              </w:rPr>
              <w:t xml:space="preserve"> Tringa erythropus</w:t>
            </w:r>
            <w:r>
              <w:rPr>
                <w:rFonts w:ascii="Calibri" w:hAnsi="Calibri"/>
                <w:sz w:val="20"/>
                <w:lang w:val="fr-FR"/>
              </w:rPr>
              <w:t>,</w:t>
            </w:r>
            <w:r>
              <w:rPr>
                <w:rFonts w:ascii="Calibri" w:hAnsi="Calibri"/>
                <w:i/>
                <w:sz w:val="20"/>
                <w:lang w:val="fr-FR"/>
              </w:rPr>
              <w:t xml:space="preserve"> </w:t>
            </w:r>
            <w:r>
              <w:rPr>
                <w:rFonts w:ascii="Calibri" w:hAnsi="Calibri"/>
                <w:sz w:val="20"/>
                <w:lang w:val="fr-FR"/>
              </w:rPr>
              <w:t>N Europe/</w:t>
            </w:r>
            <w:r>
              <w:rPr>
                <w:lang w:val="fr-FR"/>
              </w:rPr>
              <w:t xml:space="preserve"> </w:t>
            </w:r>
            <w:r>
              <w:rPr>
                <w:rFonts w:ascii="Calibri" w:hAnsi="Calibri"/>
                <w:sz w:val="20"/>
                <w:lang w:val="fr-FR"/>
              </w:rPr>
              <w:t>Europe du Sud, Afrique du Nord et de l’Ouest</w:t>
            </w:r>
          </w:p>
        </w:tc>
      </w:tr>
      <w:tr w:rsidR="008E5AEA" w:rsidRPr="00BC4D45" w14:paraId="40CC5D9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7B4090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Chevalier gambette </w:t>
            </w:r>
            <w:r>
              <w:rPr>
                <w:rFonts w:ascii="Calibri" w:hAnsi="Calibri"/>
                <w:i/>
                <w:sz w:val="20"/>
                <w:lang w:val="fr-FR"/>
              </w:rPr>
              <w:t>Tringa totanus totanus</w:t>
            </w:r>
            <w:r>
              <w:rPr>
                <w:rFonts w:ascii="Calibri" w:hAnsi="Calibri"/>
                <w:sz w:val="20"/>
                <w:lang w:val="fr-FR"/>
              </w:rPr>
              <w:t>, Europe du Nord (reproduction)</w:t>
            </w:r>
          </w:p>
        </w:tc>
      </w:tr>
      <w:tr w:rsidR="008E5AEA" w14:paraId="02A37DF7"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B302FB7"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63B57CC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5241138"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Ardeidae</w:t>
            </w:r>
          </w:p>
        </w:tc>
      </w:tr>
      <w:tr w:rsidR="008E5AEA" w:rsidRPr="00BC4D45" w14:paraId="308E146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481545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Blongios nain</w:t>
            </w:r>
            <w:r>
              <w:rPr>
                <w:rFonts w:ascii="Calibri" w:hAnsi="Calibri"/>
                <w:i/>
                <w:sz w:val="20"/>
                <w:lang w:val="fr-FR"/>
              </w:rPr>
              <w:t xml:space="preserve"> Ixobrychus minutus minutus</w:t>
            </w:r>
            <w:r>
              <w:rPr>
                <w:rFonts w:ascii="Calibri" w:hAnsi="Calibri"/>
                <w:sz w:val="20"/>
                <w:lang w:val="fr-FR"/>
              </w:rPr>
              <w:t>, O Europe, NO Afrique/Afrique subsaharienne</w:t>
            </w:r>
          </w:p>
        </w:tc>
      </w:tr>
      <w:tr w:rsidR="008E5AEA" w:rsidRPr="00D95894" w14:paraId="751A9B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5B0A79A" w14:textId="77777777" w:rsidR="008E5AEA" w:rsidRPr="00BC4D45" w:rsidRDefault="008E5AEA">
            <w:pPr>
              <w:spacing w:before="100" w:beforeAutospacing="1" w:after="100" w:afterAutospacing="1"/>
              <w:ind w:firstLine="600"/>
              <w:rPr>
                <w:rFonts w:ascii="Calibri" w:hAnsi="Calibri"/>
                <w:sz w:val="20"/>
                <w:lang w:val="en-US"/>
              </w:rPr>
            </w:pPr>
            <w:r w:rsidRPr="00BC4D45">
              <w:rPr>
                <w:rFonts w:ascii="Calibri" w:hAnsi="Calibri"/>
                <w:sz w:val="20"/>
                <w:lang w:val="en-US"/>
              </w:rPr>
              <w:t>Bihoreau gris</w:t>
            </w:r>
            <w:r w:rsidRPr="00BC4D45">
              <w:rPr>
                <w:rFonts w:ascii="Calibri" w:hAnsi="Calibri"/>
                <w:i/>
                <w:sz w:val="20"/>
                <w:lang w:val="en-US"/>
              </w:rPr>
              <w:t xml:space="preserve"> Nycticorax nycticorax nycticorax</w:t>
            </w:r>
            <w:r w:rsidRPr="00BC4D45">
              <w:rPr>
                <w:rFonts w:ascii="Calibri" w:hAnsi="Calibri"/>
                <w:sz w:val="20"/>
                <w:lang w:val="en-US"/>
              </w:rPr>
              <w:t>, O Europe, NO Afrique (rep)</w:t>
            </w:r>
          </w:p>
        </w:tc>
      </w:tr>
      <w:tr w:rsidR="008E5AEA" w:rsidRPr="00BC4D45" w14:paraId="41BA5069"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18BA64D0"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Voie de migration Asie de l’Ouest – Afrique de l’Est</w:t>
            </w:r>
          </w:p>
        </w:tc>
      </w:tr>
      <w:tr w:rsidR="008E5AEA" w14:paraId="0AFD26DE"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23ABA59C"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306AC88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C8DA48"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547260C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B9B0097"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Canard pilet</w:t>
            </w:r>
            <w:r>
              <w:rPr>
                <w:rFonts w:ascii="Calibri" w:hAnsi="Calibri"/>
                <w:i/>
                <w:sz w:val="20"/>
                <w:lang w:val="fr-FR"/>
              </w:rPr>
              <w:t xml:space="preserve"> Anas acuta</w:t>
            </w:r>
            <w:r>
              <w:rPr>
                <w:rFonts w:ascii="Calibri" w:hAnsi="Calibri"/>
                <w:sz w:val="20"/>
                <w:lang w:val="fr-FR"/>
              </w:rPr>
              <w:t>,</w:t>
            </w:r>
            <w:r>
              <w:rPr>
                <w:rFonts w:ascii="Calibri" w:hAnsi="Calibri"/>
                <w:i/>
                <w:sz w:val="20"/>
                <w:lang w:val="fr-FR"/>
              </w:rPr>
              <w:t xml:space="preserve"> </w:t>
            </w:r>
            <w:r>
              <w:rPr>
                <w:rFonts w:ascii="Calibri" w:hAnsi="Calibri"/>
                <w:sz w:val="20"/>
                <w:lang w:val="fr-FR"/>
              </w:rPr>
              <w:t>Sibérie occidentale/SO Asie et Afrique de l’Est</w:t>
            </w:r>
          </w:p>
        </w:tc>
      </w:tr>
      <w:tr w:rsidR="008E5AEA" w:rsidRPr="00BC4D45" w14:paraId="21EF2E7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2F73D15"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Fuligule morillon</w:t>
            </w:r>
            <w:r>
              <w:rPr>
                <w:rFonts w:ascii="Calibri" w:hAnsi="Calibri"/>
                <w:i/>
                <w:sz w:val="20"/>
                <w:lang w:val="fr-FR"/>
              </w:rPr>
              <w:t xml:space="preserve"> Aythya fuligula</w:t>
            </w:r>
            <w:r>
              <w:rPr>
                <w:rFonts w:ascii="Calibri" w:hAnsi="Calibri"/>
                <w:sz w:val="20"/>
                <w:lang w:val="fr-FR"/>
              </w:rPr>
              <w:t>,</w:t>
            </w:r>
            <w:r>
              <w:rPr>
                <w:rFonts w:ascii="Calibri" w:hAnsi="Calibri"/>
                <w:i/>
                <w:sz w:val="20"/>
                <w:lang w:val="fr-FR"/>
              </w:rPr>
              <w:t xml:space="preserve"> </w:t>
            </w:r>
            <w:r>
              <w:rPr>
                <w:rFonts w:ascii="Calibri" w:hAnsi="Calibri"/>
                <w:sz w:val="20"/>
                <w:lang w:val="fr-FR"/>
              </w:rPr>
              <w:t>Sibérie occidentale/SO Asie et NE Afrique</w:t>
            </w:r>
          </w:p>
        </w:tc>
      </w:tr>
      <w:tr w:rsidR="008E5AEA" w14:paraId="0B05025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FD64AEB" w14:textId="77777777" w:rsidR="008E5AEA" w:rsidRDefault="008E5AEA">
            <w:pPr>
              <w:spacing w:before="100" w:beforeAutospacing="1" w:after="100" w:afterAutospacing="1"/>
              <w:ind w:firstLine="200"/>
              <w:rPr>
                <w:rFonts w:ascii="Calibri" w:hAnsi="Calibri"/>
                <w:i/>
                <w:sz w:val="20"/>
              </w:rPr>
            </w:pPr>
            <w:r>
              <w:rPr>
                <w:rFonts w:ascii="Calibri" w:hAnsi="Calibri"/>
                <w:i/>
                <w:sz w:val="20"/>
                <w:lang w:val="fr-FR"/>
              </w:rPr>
              <w:t>Charadriiformes</w:t>
            </w:r>
          </w:p>
        </w:tc>
      </w:tr>
      <w:tr w:rsidR="008E5AEA" w14:paraId="2B22CE0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A37D63D"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6D2FD88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147DE8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Pluvier asiatique</w:t>
            </w:r>
            <w:r>
              <w:rPr>
                <w:rFonts w:ascii="Calibri" w:hAnsi="Calibri"/>
                <w:i/>
                <w:sz w:val="20"/>
                <w:lang w:val="fr-FR"/>
              </w:rPr>
              <w:t xml:space="preserve"> Charadrius asiaticus</w:t>
            </w:r>
            <w:r>
              <w:rPr>
                <w:rFonts w:ascii="Calibri" w:hAnsi="Calibri"/>
                <w:sz w:val="20"/>
                <w:lang w:val="fr-FR"/>
              </w:rPr>
              <w:t>,</w:t>
            </w:r>
            <w:r>
              <w:rPr>
                <w:rFonts w:ascii="Calibri" w:hAnsi="Calibri"/>
                <w:i/>
                <w:sz w:val="20"/>
                <w:lang w:val="fr-FR"/>
              </w:rPr>
              <w:t xml:space="preserve"> </w:t>
            </w:r>
            <w:r>
              <w:rPr>
                <w:rFonts w:ascii="Calibri" w:hAnsi="Calibri"/>
                <w:sz w:val="20"/>
                <w:lang w:val="fr-FR"/>
              </w:rPr>
              <w:t>SE Europe et Asie de l’Ouest/E Afrique et Afrique australe centrale</w:t>
            </w:r>
          </w:p>
        </w:tc>
      </w:tr>
      <w:tr w:rsidR="008E5AEA" w:rsidRPr="00BC4D45" w14:paraId="0EC44A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F92689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Pluvier fauve</w:t>
            </w:r>
            <w:r>
              <w:rPr>
                <w:rFonts w:ascii="Calibri" w:hAnsi="Calibri"/>
                <w:i/>
                <w:sz w:val="20"/>
                <w:lang w:val="fr-FR"/>
              </w:rPr>
              <w:t xml:space="preserve"> Pluvialis fulva</w:t>
            </w:r>
            <w:r>
              <w:rPr>
                <w:rFonts w:ascii="Calibri" w:hAnsi="Calibri"/>
                <w:sz w:val="20"/>
                <w:lang w:val="fr-FR"/>
              </w:rPr>
              <w:t>,</w:t>
            </w:r>
            <w:r>
              <w:rPr>
                <w:rFonts w:ascii="Calibri" w:hAnsi="Calibri"/>
                <w:i/>
                <w:sz w:val="20"/>
                <w:lang w:val="fr-FR"/>
              </w:rPr>
              <w:t xml:space="preserve"> </w:t>
            </w:r>
            <w:r>
              <w:rPr>
                <w:rFonts w:ascii="Calibri" w:hAnsi="Calibri"/>
                <w:sz w:val="20"/>
                <w:lang w:val="fr-FR"/>
              </w:rPr>
              <w:t>Sibérie du Nord et centrale/Asie du Sud et SO Asie, NE Afrique</w:t>
            </w:r>
          </w:p>
        </w:tc>
      </w:tr>
      <w:tr w:rsidR="008E5AEA" w:rsidRPr="00BC4D45" w14:paraId="1A5F53C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B68B11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Vanneau sociable </w:t>
            </w:r>
            <w:r>
              <w:rPr>
                <w:rFonts w:ascii="Calibri" w:hAnsi="Calibri"/>
                <w:i/>
                <w:sz w:val="20"/>
                <w:lang w:val="fr-FR"/>
              </w:rPr>
              <w:t>Vanellus gregarius</w:t>
            </w:r>
            <w:r>
              <w:rPr>
                <w:rFonts w:ascii="Calibri" w:hAnsi="Calibri"/>
                <w:sz w:val="20"/>
                <w:lang w:val="fr-FR"/>
              </w:rPr>
              <w:t>,</w:t>
            </w:r>
            <w:r>
              <w:rPr>
                <w:rFonts w:ascii="Calibri" w:hAnsi="Calibri"/>
                <w:i/>
                <w:sz w:val="20"/>
                <w:lang w:val="fr-FR"/>
              </w:rPr>
              <w:t xml:space="preserve"> </w:t>
            </w:r>
            <w:r>
              <w:rPr>
                <w:rFonts w:ascii="Calibri" w:hAnsi="Calibri"/>
                <w:sz w:val="20"/>
                <w:lang w:val="fr-FR"/>
              </w:rPr>
              <w:t>Asie centrale/Asie du Sud et SO, NE Afrique</w:t>
            </w:r>
          </w:p>
        </w:tc>
      </w:tr>
      <w:tr w:rsidR="008E5AEA" w14:paraId="4064B2E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61D62D0"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1EE14B5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22F6276"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Sterne à joues blanches</w:t>
            </w:r>
            <w:r>
              <w:rPr>
                <w:rFonts w:ascii="Calibri" w:hAnsi="Calibri"/>
                <w:i/>
                <w:sz w:val="20"/>
                <w:lang w:val="fr-FR"/>
              </w:rPr>
              <w:t xml:space="preserve"> Sterna repressa, </w:t>
            </w:r>
            <w:r>
              <w:rPr>
                <w:rFonts w:ascii="Calibri" w:hAnsi="Calibri"/>
                <w:sz w:val="20"/>
                <w:lang w:val="fr-FR"/>
              </w:rPr>
              <w:t>O Asie du Sud, mer Rouge, Golfe et Afrique de l’Est</w:t>
            </w:r>
          </w:p>
        </w:tc>
      </w:tr>
      <w:tr w:rsidR="008E5AEA" w14:paraId="325A7E9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4134568"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Scolopacidae</w:t>
            </w:r>
          </w:p>
        </w:tc>
      </w:tr>
      <w:tr w:rsidR="008E5AEA" w:rsidRPr="00BC4D45" w14:paraId="200CC1A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4B788E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Tournepierre à collier</w:t>
            </w:r>
            <w:r>
              <w:rPr>
                <w:rFonts w:ascii="Calibri" w:hAnsi="Calibri"/>
                <w:i/>
                <w:sz w:val="20"/>
                <w:lang w:val="fr-FR"/>
              </w:rPr>
              <w:t xml:space="preserve"> Arenaria interpres interpres</w:t>
            </w:r>
            <w:r>
              <w:rPr>
                <w:rFonts w:ascii="Calibri" w:hAnsi="Calibri"/>
                <w:sz w:val="20"/>
                <w:lang w:val="fr-FR"/>
              </w:rPr>
              <w:t>, Sibérie occidentale et centrale/SO Asie, E et S Afrique</w:t>
            </w:r>
          </w:p>
        </w:tc>
      </w:tr>
      <w:tr w:rsidR="008E5AEA" w:rsidRPr="00BC4D45" w14:paraId="3E60928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46E813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Bécasseau falcinelle</w:t>
            </w:r>
            <w:r>
              <w:rPr>
                <w:rFonts w:ascii="Calibri" w:hAnsi="Calibri"/>
                <w:i/>
                <w:sz w:val="20"/>
                <w:lang w:val="fr-FR"/>
              </w:rPr>
              <w:t xml:space="preserve"> Calidris falcinellus falcinellus</w:t>
            </w:r>
            <w:r>
              <w:rPr>
                <w:rFonts w:ascii="Calibri" w:hAnsi="Calibri"/>
                <w:sz w:val="20"/>
                <w:lang w:val="fr-FR"/>
              </w:rPr>
              <w:t>, Europe du Nord/SO Asie et Afrique</w:t>
            </w:r>
          </w:p>
        </w:tc>
      </w:tr>
      <w:tr w:rsidR="008E5AEA" w:rsidRPr="00BC4D45" w14:paraId="2A95839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E2BDB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Bécasseau cocorli </w:t>
            </w:r>
            <w:r>
              <w:rPr>
                <w:rFonts w:ascii="Calibri" w:hAnsi="Calibri"/>
                <w:i/>
                <w:sz w:val="20"/>
                <w:lang w:val="fr-FR"/>
              </w:rPr>
              <w:t>Calidris ferruginea</w:t>
            </w:r>
            <w:r>
              <w:rPr>
                <w:rFonts w:ascii="Calibri" w:hAnsi="Calibri"/>
                <w:sz w:val="20"/>
                <w:lang w:val="fr-FR"/>
              </w:rPr>
              <w:t>, Sibérie centrale/SO Asie, E et S Afrique</w:t>
            </w:r>
          </w:p>
        </w:tc>
      </w:tr>
      <w:tr w:rsidR="008E5AEA" w:rsidRPr="00BC4D45" w14:paraId="5BF693E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4E68E86"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Bécasseau de l’Anadyr</w:t>
            </w:r>
            <w:r>
              <w:rPr>
                <w:rFonts w:ascii="Calibri" w:hAnsi="Calibri"/>
                <w:i/>
                <w:sz w:val="20"/>
                <w:lang w:val="fr-FR"/>
              </w:rPr>
              <w:t xml:space="preserve"> Calidris tenuirostris</w:t>
            </w:r>
            <w:r>
              <w:rPr>
                <w:rFonts w:ascii="Calibri" w:hAnsi="Calibri"/>
                <w:sz w:val="20"/>
                <w:lang w:val="fr-FR"/>
              </w:rPr>
              <w:t>, Sibérie orientale/SO Asie et partie occidentale de l’Asie du Sud</w:t>
            </w:r>
          </w:p>
        </w:tc>
      </w:tr>
      <w:tr w:rsidR="008E5AEA" w:rsidRPr="00BC4D45" w14:paraId="50D695E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D93F97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Barge à queue noire </w:t>
            </w:r>
            <w:r>
              <w:rPr>
                <w:rFonts w:ascii="Calibri" w:hAnsi="Calibri"/>
                <w:i/>
                <w:sz w:val="20"/>
                <w:lang w:val="fr-FR"/>
              </w:rPr>
              <w:t>Limosa limosa limosa</w:t>
            </w:r>
            <w:r>
              <w:rPr>
                <w:rFonts w:ascii="Calibri" w:hAnsi="Calibri"/>
                <w:sz w:val="20"/>
                <w:lang w:val="fr-FR"/>
              </w:rPr>
              <w:t>, Asie de l’Ouest et centrale/SO Asie et Afrique de l’Est</w:t>
            </w:r>
          </w:p>
        </w:tc>
      </w:tr>
      <w:tr w:rsidR="008E5AEA" w:rsidRPr="00BC4D45" w14:paraId="7DD478E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40F3C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Courlis cendré </w:t>
            </w:r>
            <w:r>
              <w:rPr>
                <w:rFonts w:ascii="Calibri" w:hAnsi="Calibri"/>
                <w:i/>
                <w:sz w:val="20"/>
                <w:lang w:val="fr-FR"/>
              </w:rPr>
              <w:t>Numenius arquata suschkini</w:t>
            </w:r>
            <w:r>
              <w:rPr>
                <w:rFonts w:ascii="Calibri" w:hAnsi="Calibri"/>
                <w:sz w:val="20"/>
                <w:lang w:val="fr-FR"/>
              </w:rPr>
              <w:t>, Sud-Est Europe et Sud-Ouest Asie (rep)</w:t>
            </w:r>
          </w:p>
        </w:tc>
      </w:tr>
      <w:tr w:rsidR="008E5AEA" w:rsidRPr="00BC4D45" w14:paraId="5748E8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2FE3F4"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Courlis corlieu </w:t>
            </w:r>
            <w:r>
              <w:rPr>
                <w:rFonts w:ascii="Calibri" w:hAnsi="Calibri"/>
                <w:i/>
                <w:sz w:val="20"/>
                <w:lang w:val="fr-FR"/>
              </w:rPr>
              <w:t>Numenius phaeopus alboxilliaris</w:t>
            </w:r>
            <w:r>
              <w:rPr>
                <w:rFonts w:ascii="Calibri" w:hAnsi="Calibri"/>
                <w:sz w:val="20"/>
                <w:lang w:val="fr-FR"/>
              </w:rPr>
              <w:t>, Asie du Sud-Ouest/Afrique de l’Est</w:t>
            </w:r>
          </w:p>
        </w:tc>
      </w:tr>
      <w:tr w:rsidR="008E5AEA" w:rsidRPr="00BC4D45" w14:paraId="61CBC28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31E706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Chevalier cul-blanc </w:t>
            </w:r>
            <w:r>
              <w:rPr>
                <w:rFonts w:ascii="Calibri" w:hAnsi="Calibri"/>
                <w:i/>
                <w:sz w:val="20"/>
                <w:lang w:val="fr-FR"/>
              </w:rPr>
              <w:t>Tringa ochropus</w:t>
            </w:r>
            <w:r>
              <w:rPr>
                <w:rFonts w:ascii="Calibri" w:hAnsi="Calibri"/>
                <w:sz w:val="20"/>
                <w:lang w:val="fr-FR"/>
              </w:rPr>
              <w:t>,</w:t>
            </w:r>
            <w:r>
              <w:rPr>
                <w:rFonts w:ascii="Calibri" w:hAnsi="Calibri"/>
                <w:i/>
                <w:sz w:val="20"/>
                <w:lang w:val="fr-FR"/>
              </w:rPr>
              <w:t xml:space="preserve"> </w:t>
            </w:r>
            <w:r>
              <w:rPr>
                <w:rFonts w:ascii="Calibri" w:hAnsi="Calibri"/>
                <w:sz w:val="20"/>
                <w:lang w:val="fr-FR"/>
              </w:rPr>
              <w:t>Sibérie occidentale/SO Asie, NE Afrique et Afrique de l’Est</w:t>
            </w:r>
          </w:p>
        </w:tc>
      </w:tr>
      <w:tr w:rsidR="008E5AEA" w14:paraId="41410204"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0F20F47"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26270CB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5F72A84"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lastRenderedPageBreak/>
              <w:t>Ciconiidae</w:t>
            </w:r>
          </w:p>
        </w:tc>
      </w:tr>
      <w:tr w:rsidR="008E5AEA" w:rsidRPr="00BC4D45" w14:paraId="1E2FFE7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31F2DE2"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Cigogne blanche</w:t>
            </w:r>
            <w:r>
              <w:rPr>
                <w:rFonts w:ascii="Calibri" w:hAnsi="Calibri"/>
                <w:i/>
                <w:sz w:val="20"/>
                <w:lang w:val="fr-FR"/>
              </w:rPr>
              <w:t xml:space="preserve"> Ciconia ciconia ciconia</w:t>
            </w:r>
            <w:r>
              <w:rPr>
                <w:rFonts w:ascii="Calibri" w:hAnsi="Calibri"/>
                <w:sz w:val="20"/>
                <w:lang w:val="fr-FR"/>
              </w:rPr>
              <w:t>, Asie de l’Ouest/Asie du Sud-Ouest</w:t>
            </w:r>
          </w:p>
        </w:tc>
      </w:tr>
      <w:tr w:rsidR="008E5AEA" w14:paraId="78F29C1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240BF2B"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Threskiornithidae</w:t>
            </w:r>
          </w:p>
        </w:tc>
      </w:tr>
      <w:tr w:rsidR="008E5AEA" w:rsidRPr="00BC4D45" w14:paraId="65D34E6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E5B763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l’Ibis chauve </w:t>
            </w:r>
            <w:r>
              <w:rPr>
                <w:rFonts w:ascii="Calibri" w:hAnsi="Calibri"/>
                <w:i/>
                <w:sz w:val="20"/>
                <w:lang w:val="fr-FR"/>
              </w:rPr>
              <w:t xml:space="preserve">Geronticus eremita, </w:t>
            </w:r>
            <w:r>
              <w:rPr>
                <w:rFonts w:ascii="Calibri" w:hAnsi="Calibri"/>
                <w:sz w:val="20"/>
                <w:lang w:val="fr-FR"/>
              </w:rPr>
              <w:t>Asie du Sud-Ouest</w:t>
            </w:r>
          </w:p>
        </w:tc>
      </w:tr>
      <w:tr w:rsidR="008E5AEA" w14:paraId="32BE8386"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7672F218" w14:textId="77777777" w:rsidR="008E5AEA" w:rsidRDefault="008E5AEA">
            <w:pPr>
              <w:spacing w:before="100" w:beforeAutospacing="1" w:after="100" w:afterAutospacing="1"/>
              <w:rPr>
                <w:rFonts w:ascii="Calibri" w:hAnsi="Calibri"/>
                <w:color w:val="FFFFFF"/>
                <w:sz w:val="20"/>
              </w:rPr>
            </w:pPr>
            <w:r>
              <w:rPr>
                <w:rFonts w:ascii="Calibri" w:hAnsi="Calibri"/>
                <w:color w:val="FFFFFF"/>
                <w:sz w:val="20"/>
                <w:lang w:val="fr-FR"/>
              </w:rPr>
              <w:t>Paléarctique occidental - Atlantique</w:t>
            </w:r>
          </w:p>
        </w:tc>
      </w:tr>
      <w:tr w:rsidR="008E5AEA" w14:paraId="105BC32B"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51C86872"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605D308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B5B15B9"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2075D57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21B681B"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Oie des moissons de la taïga </w:t>
            </w:r>
            <w:r>
              <w:rPr>
                <w:rFonts w:asciiTheme="majorHAnsi" w:hAnsiTheme="majorHAnsi" w:cstheme="majorHAnsi"/>
                <w:i/>
                <w:sz w:val="20"/>
                <w:lang w:val="fr-FR"/>
              </w:rPr>
              <w:t>Anser fabalis fabalis</w:t>
            </w:r>
            <w:r>
              <w:rPr>
                <w:rFonts w:asciiTheme="majorHAnsi" w:hAnsiTheme="majorHAnsi" w:cstheme="majorHAnsi"/>
                <w:sz w:val="20"/>
                <w:lang w:val="fr-FR"/>
              </w:rPr>
              <w:t>, Europe du Nord-Est/Europe du Nord-Ouest</w:t>
            </w:r>
          </w:p>
        </w:tc>
      </w:tr>
      <w:tr w:rsidR="008E5AEA" w:rsidRPr="00BC4D45" w14:paraId="3C5AD5E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389E674"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Fuligule milouin</w:t>
            </w:r>
            <w:r>
              <w:rPr>
                <w:rFonts w:asciiTheme="majorHAnsi" w:hAnsiTheme="majorHAnsi" w:cstheme="majorHAnsi"/>
                <w:i/>
                <w:sz w:val="20"/>
                <w:lang w:val="fr-FR"/>
              </w:rPr>
              <w:t xml:space="preserve"> Aythya ferina</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pacing w:val="-2"/>
                <w:sz w:val="20"/>
                <w:lang w:val="fr-FR"/>
              </w:rPr>
              <w:t>Europe du Nord-Est/Europe du Nord-Ouest</w:t>
            </w:r>
          </w:p>
        </w:tc>
      </w:tr>
      <w:tr w:rsidR="008E5AEA" w:rsidRPr="00BC4D45" w14:paraId="573C369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3CC7F4C"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Fuligule milouinan</w:t>
            </w:r>
            <w:r>
              <w:rPr>
                <w:rFonts w:asciiTheme="majorHAnsi" w:hAnsiTheme="majorHAnsi" w:cstheme="majorHAnsi"/>
                <w:i/>
                <w:sz w:val="20"/>
                <w:lang w:val="fr-FR"/>
              </w:rPr>
              <w:t xml:space="preserve"> Aythya marila marila</w:t>
            </w:r>
            <w:r>
              <w:rPr>
                <w:rFonts w:asciiTheme="majorHAnsi" w:hAnsiTheme="majorHAnsi" w:cstheme="majorHAnsi"/>
                <w:sz w:val="20"/>
                <w:lang w:val="fr-FR"/>
              </w:rPr>
              <w:t>, Europe du Nord /Europe de l’Ouest</w:t>
            </w:r>
          </w:p>
        </w:tc>
      </w:tr>
      <w:tr w:rsidR="008E5AEA" w:rsidRPr="00BC4D45" w14:paraId="507CF54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C0615BE" w14:textId="77777777" w:rsidR="008E5AEA" w:rsidRPr="007C275D" w:rsidRDefault="008E5AEA">
            <w:pPr>
              <w:spacing w:before="100" w:beforeAutospacing="1" w:after="100" w:afterAutospacing="1"/>
              <w:ind w:left="601"/>
              <w:rPr>
                <w:rFonts w:asciiTheme="majorHAnsi" w:hAnsiTheme="majorHAnsi" w:cstheme="majorHAnsi"/>
                <w:sz w:val="20"/>
                <w:lang w:val="fr-FR"/>
              </w:rPr>
            </w:pPr>
            <w:r>
              <w:rPr>
                <w:rFonts w:asciiTheme="majorHAnsi" w:hAnsiTheme="majorHAnsi" w:cstheme="majorHAnsi"/>
                <w:sz w:val="20"/>
                <w:lang w:val="fr-FR"/>
              </w:rPr>
              <w:t xml:space="preserve">Cygne de Bewick </w:t>
            </w:r>
            <w:r>
              <w:rPr>
                <w:rFonts w:asciiTheme="majorHAnsi" w:hAnsiTheme="majorHAnsi" w:cstheme="majorHAnsi"/>
                <w:i/>
                <w:sz w:val="20"/>
                <w:lang w:val="fr-FR"/>
              </w:rPr>
              <w:t>Cygnus columbianus bewickii</w:t>
            </w:r>
            <w:r>
              <w:rPr>
                <w:rFonts w:asciiTheme="majorHAnsi" w:hAnsiTheme="majorHAnsi" w:cstheme="majorHAnsi"/>
                <w:sz w:val="20"/>
                <w:lang w:val="fr-FR"/>
              </w:rPr>
              <w:t>, Sibérie occidentale et NE Europe/Europe du Nord-Ouest</w:t>
            </w:r>
          </w:p>
        </w:tc>
      </w:tr>
      <w:tr w:rsidR="008E5AEA" w:rsidRPr="00BC4D45" w14:paraId="3A170A5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DAD47F"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Canard siffleur</w:t>
            </w:r>
            <w:r>
              <w:rPr>
                <w:rFonts w:asciiTheme="majorHAnsi" w:hAnsiTheme="majorHAnsi" w:cstheme="majorHAnsi"/>
                <w:i/>
                <w:sz w:val="20"/>
                <w:lang w:val="fr-FR"/>
              </w:rPr>
              <w:t xml:space="preserve"> Mareca penelope</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pacing w:val="-2"/>
                <w:sz w:val="20"/>
                <w:lang w:val="fr-FR"/>
              </w:rPr>
              <w:t>Sibérie occidentale et NE Europe/NO Europe</w:t>
            </w:r>
          </w:p>
        </w:tc>
      </w:tr>
      <w:tr w:rsidR="008E5AEA" w:rsidRPr="00BC4D45" w14:paraId="3C854D2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0F39AC5"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Macreuse brune </w:t>
            </w:r>
            <w:r>
              <w:rPr>
                <w:rFonts w:asciiTheme="majorHAnsi" w:hAnsiTheme="majorHAnsi" w:cstheme="majorHAnsi"/>
                <w:i/>
                <w:sz w:val="20"/>
                <w:lang w:val="fr-FR"/>
              </w:rPr>
              <w:t xml:space="preserve">Melanitta fusca, </w:t>
            </w:r>
            <w:r>
              <w:rPr>
                <w:rFonts w:asciiTheme="majorHAnsi" w:hAnsiTheme="majorHAnsi" w:cstheme="majorHAnsi"/>
                <w:sz w:val="20"/>
                <w:lang w:val="fr-FR"/>
              </w:rPr>
              <w:t>Sibérie occidentale et Europe du Nord/NO Europe</w:t>
            </w:r>
          </w:p>
        </w:tc>
      </w:tr>
      <w:tr w:rsidR="008E5AEA" w:rsidRPr="00BC4D45" w14:paraId="7E85ABC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0ECFBD3"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Harle huppé </w:t>
            </w:r>
            <w:r>
              <w:rPr>
                <w:rFonts w:asciiTheme="majorHAnsi" w:hAnsiTheme="majorHAnsi" w:cstheme="majorHAnsi"/>
                <w:i/>
                <w:sz w:val="20"/>
                <w:lang w:val="fr-FR"/>
              </w:rPr>
              <w:t>Mergus serrator</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z w:val="20"/>
                <w:lang w:val="fr-FR"/>
              </w:rPr>
              <w:t>Europe du Nord-Ouest et Europe centrale (hiv)</w:t>
            </w:r>
          </w:p>
        </w:tc>
      </w:tr>
      <w:tr w:rsidR="008E5AEA" w14:paraId="541CA8A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1B3712" w14:textId="77777777" w:rsidR="008E5AEA" w:rsidRDefault="008E5AEA">
            <w:pPr>
              <w:spacing w:before="100" w:beforeAutospacing="1" w:after="100" w:afterAutospacing="1"/>
              <w:ind w:firstLine="600"/>
              <w:rPr>
                <w:rFonts w:asciiTheme="majorHAnsi" w:hAnsiTheme="majorHAnsi" w:cstheme="majorHAnsi"/>
                <w:sz w:val="20"/>
                <w:lang w:val="it-IT"/>
              </w:rPr>
            </w:pPr>
            <w:r>
              <w:rPr>
                <w:rFonts w:asciiTheme="majorHAnsi" w:hAnsiTheme="majorHAnsi" w:cstheme="majorHAnsi"/>
                <w:sz w:val="20"/>
                <w:lang w:val="fr-FR"/>
              </w:rPr>
              <w:t>Eider à duvet</w:t>
            </w:r>
            <w:r>
              <w:rPr>
                <w:rFonts w:asciiTheme="majorHAnsi" w:hAnsiTheme="majorHAnsi" w:cstheme="majorHAnsi"/>
                <w:i/>
                <w:sz w:val="20"/>
                <w:lang w:val="fr-FR"/>
              </w:rPr>
              <w:t xml:space="preserve"> Somateria mollissima borealis</w:t>
            </w:r>
            <w:r>
              <w:rPr>
                <w:rFonts w:asciiTheme="majorHAnsi" w:hAnsiTheme="majorHAnsi" w:cstheme="majorHAnsi"/>
                <w:sz w:val="20"/>
                <w:lang w:val="fr-FR"/>
              </w:rPr>
              <w:t>, Svalbard et Franz Joseph (rep)</w:t>
            </w:r>
          </w:p>
        </w:tc>
      </w:tr>
      <w:tr w:rsidR="008E5AEA" w:rsidRPr="00BC4D45" w14:paraId="18AC1C7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A7EAC7D" w14:textId="77777777" w:rsidR="008E5AEA" w:rsidRDefault="008E5AEA">
            <w:pPr>
              <w:spacing w:before="100" w:beforeAutospacing="1" w:after="100" w:afterAutospacing="1"/>
              <w:ind w:firstLine="600"/>
              <w:rPr>
                <w:rFonts w:asciiTheme="majorHAnsi" w:hAnsiTheme="majorHAnsi" w:cstheme="majorHAnsi"/>
                <w:sz w:val="20"/>
                <w:lang w:val="it-IT"/>
              </w:rPr>
            </w:pPr>
            <w:r>
              <w:rPr>
                <w:rFonts w:asciiTheme="majorHAnsi" w:hAnsiTheme="majorHAnsi" w:cstheme="majorHAnsi"/>
                <w:sz w:val="20"/>
                <w:lang w:val="fr-FR"/>
              </w:rPr>
              <w:t>Eider</w:t>
            </w:r>
            <w:r>
              <w:rPr>
                <w:rFonts w:asciiTheme="majorHAnsi" w:hAnsiTheme="majorHAnsi" w:cstheme="majorHAnsi"/>
                <w:i/>
                <w:sz w:val="20"/>
                <w:lang w:val="fr-FR"/>
              </w:rPr>
              <w:t xml:space="preserve"> </w:t>
            </w:r>
            <w:r>
              <w:rPr>
                <w:rFonts w:asciiTheme="majorHAnsi" w:hAnsiTheme="majorHAnsi" w:cstheme="majorHAnsi"/>
                <w:sz w:val="20"/>
                <w:lang w:val="fr-FR"/>
              </w:rPr>
              <w:t xml:space="preserve">à duvet </w:t>
            </w:r>
            <w:r>
              <w:rPr>
                <w:rFonts w:asciiTheme="majorHAnsi" w:hAnsiTheme="majorHAnsi" w:cstheme="majorHAnsi"/>
                <w:i/>
                <w:sz w:val="20"/>
                <w:lang w:val="fr-FR"/>
              </w:rPr>
              <w:t>Somateria mollissima mollissima</w:t>
            </w:r>
            <w:r>
              <w:rPr>
                <w:rFonts w:asciiTheme="majorHAnsi" w:hAnsiTheme="majorHAnsi" w:cstheme="majorHAnsi"/>
                <w:sz w:val="20"/>
                <w:lang w:val="fr-FR"/>
              </w:rPr>
              <w:t>, Norvège et Russie</w:t>
            </w:r>
          </w:p>
        </w:tc>
      </w:tr>
      <w:tr w:rsidR="008E5AEA" w14:paraId="79AC63B8"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DCDC286"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29FD557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7A9043"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Alcidae</w:t>
            </w:r>
          </w:p>
        </w:tc>
      </w:tr>
      <w:tr w:rsidR="008E5AEA" w:rsidRPr="00BC4D45" w14:paraId="539A227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6C3E0F6"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t>Petit Pingouin</w:t>
            </w:r>
            <w:r>
              <w:rPr>
                <w:rFonts w:ascii="Calibri" w:hAnsi="Calibri"/>
                <w:i/>
                <w:sz w:val="20"/>
                <w:lang w:val="fr-FR"/>
              </w:rPr>
              <w:t xml:space="preserve"> Alca torda islandica</w:t>
            </w:r>
            <w:r>
              <w:rPr>
                <w:rFonts w:asciiTheme="majorHAnsi" w:hAnsiTheme="majorHAnsi" w:cstheme="majorHAnsi"/>
                <w:sz w:val="20"/>
                <w:lang w:val="fr-FR"/>
              </w:rPr>
              <w:t>, Islande, Féroé, Grande-Bretagne, Irlande, Helgoland, NO France</w:t>
            </w:r>
          </w:p>
        </w:tc>
      </w:tr>
      <w:tr w:rsidR="008E5AEA" w:rsidRPr="00BC4D45" w14:paraId="33C2D1F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284A9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Guillemot à miroir</w:t>
            </w:r>
            <w:r>
              <w:rPr>
                <w:rFonts w:ascii="Calibri" w:hAnsi="Calibri"/>
                <w:i/>
                <w:sz w:val="20"/>
                <w:lang w:val="fr-FR"/>
              </w:rPr>
              <w:t xml:space="preserve"> Cepphus grylle grylle</w:t>
            </w:r>
            <w:r>
              <w:rPr>
                <w:rFonts w:ascii="Calibri" w:hAnsi="Calibri"/>
                <w:sz w:val="20"/>
                <w:lang w:val="fr-FR"/>
              </w:rPr>
              <w:t>, mer Baltique</w:t>
            </w:r>
          </w:p>
        </w:tc>
      </w:tr>
      <w:tr w:rsidR="008E5AEA" w:rsidRPr="00BC4D45" w14:paraId="3F22158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FD7FF1"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Guillemot à miroir</w:t>
            </w:r>
            <w:r>
              <w:rPr>
                <w:rFonts w:ascii="Calibri" w:hAnsi="Calibri"/>
                <w:i/>
                <w:sz w:val="20"/>
                <w:lang w:val="fr-FR"/>
              </w:rPr>
              <w:t xml:space="preserve"> Cepphus grylle islandicus</w:t>
            </w:r>
            <w:r>
              <w:rPr>
                <w:rFonts w:ascii="Calibri" w:hAnsi="Calibri"/>
                <w:sz w:val="20"/>
                <w:lang w:val="fr-FR"/>
              </w:rPr>
              <w:t>, Islande</w:t>
            </w:r>
          </w:p>
        </w:tc>
      </w:tr>
      <w:tr w:rsidR="008E5AEA" w:rsidRPr="00BC4D45" w14:paraId="39D2367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9A06869"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Macareux moine</w:t>
            </w:r>
            <w:r>
              <w:rPr>
                <w:rFonts w:ascii="Calibri" w:hAnsi="Calibri"/>
                <w:i/>
                <w:sz w:val="20"/>
                <w:lang w:val="fr-FR"/>
              </w:rPr>
              <w:t xml:space="preserve"> Fratercula arctica</w:t>
            </w:r>
            <w:r>
              <w:rPr>
                <w:rFonts w:ascii="Calibri" w:hAnsi="Calibri"/>
                <w:sz w:val="20"/>
                <w:lang w:val="fr-FR"/>
              </w:rPr>
              <w:t>,</w:t>
            </w:r>
            <w:r>
              <w:rPr>
                <w:rFonts w:ascii="Calibri" w:hAnsi="Calibri"/>
                <w:i/>
                <w:sz w:val="20"/>
                <w:lang w:val="fr-FR"/>
              </w:rPr>
              <w:t xml:space="preserve"> </w:t>
            </w:r>
            <w:r>
              <w:rPr>
                <w:rFonts w:ascii="Calibri" w:hAnsi="Calibri"/>
                <w:sz w:val="20"/>
                <w:lang w:val="fr-FR"/>
              </w:rPr>
              <w:t>Féroé, S Norvège et Suède, Grande-Bretagne, Irlande, NO France</w:t>
            </w:r>
          </w:p>
        </w:tc>
      </w:tr>
      <w:tr w:rsidR="008E5AEA" w:rsidRPr="00BC4D45" w14:paraId="1373675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081825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Guillemot marmette </w:t>
            </w:r>
            <w:r>
              <w:rPr>
                <w:rFonts w:ascii="Calibri" w:hAnsi="Calibri"/>
                <w:i/>
                <w:sz w:val="20"/>
                <w:lang w:val="fr-FR"/>
              </w:rPr>
              <w:t>Uria aalge aalge</w:t>
            </w:r>
            <w:r>
              <w:rPr>
                <w:rFonts w:ascii="Calibri" w:hAnsi="Calibri"/>
                <w:sz w:val="20"/>
                <w:lang w:val="fr-FR"/>
              </w:rPr>
              <w:t>, Iceland, , Islande, Féroé, Écosse, S Norvège, mer Baltique /NE Atlantique</w:t>
            </w:r>
          </w:p>
        </w:tc>
      </w:tr>
      <w:tr w:rsidR="008E5AEA" w:rsidRPr="00BC4D45" w14:paraId="314811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D50D6A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Guillemot de Brünnich</w:t>
            </w:r>
            <w:r>
              <w:rPr>
                <w:rFonts w:ascii="Calibri" w:hAnsi="Calibri"/>
                <w:i/>
                <w:sz w:val="20"/>
                <w:lang w:val="fr-FR"/>
              </w:rPr>
              <w:t xml:space="preserve"> Uria lomvia lomvia</w:t>
            </w:r>
            <w:r>
              <w:rPr>
                <w:rFonts w:ascii="Calibri" w:hAnsi="Calibri"/>
                <w:sz w:val="20"/>
                <w:lang w:val="fr-FR"/>
              </w:rPr>
              <w:t>, E Amérique du Nord, Groenland, E à Severnaya Zemlya</w:t>
            </w:r>
          </w:p>
        </w:tc>
      </w:tr>
      <w:tr w:rsidR="008E5AEA" w14:paraId="01EF647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E64B9C"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5403707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7EDAC9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Pluvier grand-gravelot </w:t>
            </w:r>
            <w:r>
              <w:rPr>
                <w:rFonts w:ascii="Calibri" w:hAnsi="Calibri"/>
                <w:i/>
                <w:sz w:val="20"/>
                <w:lang w:val="fr-FR"/>
              </w:rPr>
              <w:t>Charadrius hiaticula hiaticula</w:t>
            </w:r>
            <w:r>
              <w:rPr>
                <w:rFonts w:ascii="Calibri" w:hAnsi="Calibri"/>
                <w:sz w:val="20"/>
                <w:lang w:val="fr-FR"/>
              </w:rPr>
              <w:t>, Europe du Nord/Europe et Afrique du Nord</w:t>
            </w:r>
          </w:p>
        </w:tc>
      </w:tr>
      <w:tr w:rsidR="008E5AEA" w:rsidRPr="00BC4D45" w14:paraId="0580494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2FE013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Pluvier doré </w:t>
            </w:r>
            <w:r>
              <w:rPr>
                <w:rFonts w:ascii="Calibri" w:hAnsi="Calibri"/>
                <w:i/>
                <w:sz w:val="20"/>
                <w:lang w:val="fr-FR"/>
              </w:rPr>
              <w:t>Pluvialis apricaria apricaria</w:t>
            </w:r>
            <w:r>
              <w:rPr>
                <w:rFonts w:ascii="Calibri" w:hAnsi="Calibri"/>
                <w:sz w:val="20"/>
                <w:lang w:val="fr-FR"/>
              </w:rPr>
              <w:t>, Grande-Bretagne, Irlande, Danemark, Allemagne et mer Baltique (rep)</w:t>
            </w:r>
          </w:p>
        </w:tc>
      </w:tr>
      <w:tr w:rsidR="008E5AEA" w14:paraId="4EBC98E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5873302"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6461B6E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442090B"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Goéland argenté </w:t>
            </w:r>
            <w:r>
              <w:rPr>
                <w:rFonts w:ascii="Calibri" w:hAnsi="Calibri"/>
                <w:i/>
                <w:sz w:val="20"/>
                <w:lang w:val="fr-FR"/>
              </w:rPr>
              <w:t>Larus argentatus argentatus</w:t>
            </w:r>
            <w:r>
              <w:rPr>
                <w:rFonts w:ascii="Calibri" w:hAnsi="Calibri"/>
                <w:sz w:val="20"/>
                <w:lang w:val="fr-FR"/>
              </w:rPr>
              <w:t>, Europe du Nord et du Nord-Ouest</w:t>
            </w:r>
          </w:p>
        </w:tc>
      </w:tr>
      <w:tr w:rsidR="008E5AEA" w:rsidRPr="00BC4D45" w14:paraId="3F6B273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3B26F79"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Goéland argenté </w:t>
            </w:r>
            <w:r>
              <w:rPr>
                <w:rFonts w:ascii="Calibri" w:hAnsi="Calibri"/>
                <w:i/>
                <w:sz w:val="20"/>
                <w:lang w:val="fr-FR"/>
              </w:rPr>
              <w:t>Larus argentatus argenteus</w:t>
            </w:r>
            <w:r>
              <w:rPr>
                <w:rFonts w:ascii="Calibri" w:hAnsi="Calibri"/>
                <w:sz w:val="20"/>
                <w:lang w:val="fr-FR"/>
              </w:rPr>
              <w:t>, Islande et Europe occidentale</w:t>
            </w:r>
          </w:p>
        </w:tc>
      </w:tr>
      <w:tr w:rsidR="008E5AEA" w:rsidRPr="00BC4D45" w14:paraId="2F3BA0C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CCCFE12"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Mouette rieuse</w:t>
            </w:r>
            <w:r>
              <w:rPr>
                <w:rFonts w:ascii="Calibri" w:hAnsi="Calibri"/>
                <w:i/>
                <w:sz w:val="20"/>
                <w:lang w:val="fr-FR"/>
              </w:rPr>
              <w:t xml:space="preserve"> Larus ridibundus</w:t>
            </w:r>
            <w:r>
              <w:rPr>
                <w:rFonts w:ascii="Calibri" w:hAnsi="Calibri"/>
                <w:sz w:val="20"/>
                <w:lang w:val="fr-FR"/>
              </w:rPr>
              <w:t>,</w:t>
            </w:r>
            <w:r>
              <w:rPr>
                <w:rFonts w:ascii="Calibri" w:hAnsi="Calibri"/>
                <w:i/>
                <w:sz w:val="20"/>
                <w:lang w:val="fr-FR"/>
              </w:rPr>
              <w:t xml:space="preserve"> </w:t>
            </w:r>
            <w:r>
              <w:rPr>
                <w:rFonts w:ascii="Calibri" w:hAnsi="Calibri"/>
                <w:sz w:val="20"/>
                <w:lang w:val="fr-FR"/>
              </w:rPr>
              <w:t>O Europe/O Europe, Méditerranée occidentale, Afrique de l’Ouest</w:t>
            </w:r>
          </w:p>
        </w:tc>
      </w:tr>
      <w:tr w:rsidR="008E5AEA" w14:paraId="4767846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D93BA87"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Scolopacidae</w:t>
            </w:r>
          </w:p>
        </w:tc>
      </w:tr>
      <w:tr w:rsidR="008E5AEA" w:rsidRPr="00BC4D45" w14:paraId="3283289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4FB943"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Bécasseau variable</w:t>
            </w:r>
            <w:r>
              <w:rPr>
                <w:rFonts w:ascii="Calibri" w:hAnsi="Calibri"/>
                <w:i/>
                <w:sz w:val="20"/>
                <w:lang w:val="fr-FR"/>
              </w:rPr>
              <w:t xml:space="preserve"> Calidris alpina schinzii</w:t>
            </w:r>
            <w:r>
              <w:rPr>
                <w:rFonts w:ascii="Calibri" w:hAnsi="Calibri"/>
                <w:sz w:val="20"/>
                <w:lang w:val="fr-FR"/>
              </w:rPr>
              <w:t>, mer Baltique/SO Europe et NO Afrique</w:t>
            </w:r>
          </w:p>
        </w:tc>
      </w:tr>
      <w:tr w:rsidR="008E5AEA" w:rsidRPr="00BC4D45" w14:paraId="34557D7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CB9F0B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Chevalier gambette </w:t>
            </w:r>
            <w:r>
              <w:rPr>
                <w:rFonts w:ascii="Calibri" w:hAnsi="Calibri"/>
                <w:i/>
                <w:sz w:val="20"/>
                <w:lang w:val="fr-FR"/>
              </w:rPr>
              <w:t>Tringa totanus totanus</w:t>
            </w:r>
            <w:r>
              <w:rPr>
                <w:rFonts w:ascii="Calibri" w:hAnsi="Calibri"/>
                <w:sz w:val="20"/>
                <w:lang w:val="fr-FR"/>
              </w:rPr>
              <w:t>, Grande-Bretagne et Irlande/, Grande-Bretagne, Irlande , France</w:t>
            </w:r>
          </w:p>
        </w:tc>
      </w:tr>
      <w:tr w:rsidR="008E5AEA" w14:paraId="7EAD8D2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EBB3358"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Gaviiformes</w:t>
            </w:r>
          </w:p>
        </w:tc>
      </w:tr>
      <w:tr w:rsidR="008E5AEA" w14:paraId="69FACDD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30C4D35"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Gaviidae</w:t>
            </w:r>
          </w:p>
        </w:tc>
      </w:tr>
      <w:tr w:rsidR="008E5AEA" w:rsidRPr="00BC4D45" w14:paraId="7428018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5B74D94"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t>Plongeon arctique</w:t>
            </w:r>
            <w:r>
              <w:rPr>
                <w:rFonts w:ascii="Calibri" w:hAnsi="Calibri"/>
                <w:i/>
                <w:sz w:val="20"/>
                <w:lang w:val="fr-FR"/>
              </w:rPr>
              <w:t xml:space="preserve"> Gavia arctica arctica</w:t>
            </w:r>
            <w:r>
              <w:rPr>
                <w:rFonts w:ascii="Calibri" w:hAnsi="Calibri"/>
                <w:sz w:val="20"/>
                <w:lang w:val="fr-FR"/>
              </w:rPr>
              <w:t>, Europe du Nord et Sibérie occidentale/Europe</w:t>
            </w:r>
          </w:p>
        </w:tc>
      </w:tr>
      <w:tr w:rsidR="008E5AEA" w:rsidRPr="00BC4D45" w14:paraId="37A16C69"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3DCE8A6E"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Paléarctique occidental - Mer Noire - Méditerranée</w:t>
            </w:r>
          </w:p>
        </w:tc>
      </w:tr>
      <w:tr w:rsidR="008E5AEA" w14:paraId="22321674"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6C8D8CD"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Anseriformes</w:t>
            </w:r>
          </w:p>
        </w:tc>
      </w:tr>
      <w:tr w:rsidR="008E5AEA" w14:paraId="2AFAB7F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6941BC8"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Anatidae</w:t>
            </w:r>
          </w:p>
        </w:tc>
      </w:tr>
      <w:tr w:rsidR="008E5AEA" w:rsidRPr="00BC4D45" w14:paraId="512013A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F70B015"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Oie naine </w:t>
            </w:r>
            <w:r>
              <w:rPr>
                <w:rFonts w:ascii="Calibri" w:hAnsi="Calibri"/>
                <w:i/>
                <w:sz w:val="20"/>
                <w:lang w:val="fr-FR"/>
              </w:rPr>
              <w:t>Anser erythropus</w:t>
            </w:r>
            <w:r>
              <w:rPr>
                <w:rFonts w:ascii="Calibri" w:hAnsi="Calibri"/>
                <w:sz w:val="20"/>
                <w:lang w:val="fr-FR"/>
              </w:rPr>
              <w:t>,</w:t>
            </w:r>
            <w:r>
              <w:rPr>
                <w:rFonts w:ascii="Calibri" w:hAnsi="Calibri"/>
                <w:i/>
                <w:sz w:val="20"/>
                <w:lang w:val="fr-FR"/>
              </w:rPr>
              <w:t xml:space="preserve"> </w:t>
            </w:r>
            <w:r>
              <w:rPr>
                <w:rFonts w:ascii="Calibri" w:hAnsi="Calibri"/>
                <w:sz w:val="20"/>
                <w:lang w:val="fr-FR"/>
              </w:rPr>
              <w:t>Fennoscandie</w:t>
            </w:r>
          </w:p>
        </w:tc>
      </w:tr>
      <w:tr w:rsidR="008E5AEA" w:rsidRPr="00BC4D45" w14:paraId="2D1AB3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69F01F3"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Fuligule milouin </w:t>
            </w:r>
            <w:r>
              <w:rPr>
                <w:rFonts w:ascii="Calibri" w:hAnsi="Calibri"/>
                <w:i/>
                <w:sz w:val="20"/>
                <w:lang w:val="fr-FR"/>
              </w:rPr>
              <w:t>Aythya ferina</w:t>
            </w:r>
            <w:r>
              <w:rPr>
                <w:rFonts w:ascii="Calibri" w:hAnsi="Calibri"/>
                <w:sz w:val="20"/>
                <w:lang w:val="fr-FR"/>
              </w:rPr>
              <w:t xml:space="preserve"> Europe centrale et NE /mer Noire et Méditerrané</w:t>
            </w:r>
          </w:p>
        </w:tc>
      </w:tr>
      <w:tr w:rsidR="008E5AEA" w:rsidRPr="00BC4D45" w14:paraId="27CF0F4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452CEA9"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Canard siffleur</w:t>
            </w:r>
            <w:r>
              <w:rPr>
                <w:rFonts w:ascii="Calibri" w:hAnsi="Calibri"/>
                <w:i/>
                <w:sz w:val="20"/>
                <w:lang w:val="fr-FR"/>
              </w:rPr>
              <w:t xml:space="preserve"> Mareca penelope, </w:t>
            </w:r>
            <w:r>
              <w:rPr>
                <w:rFonts w:ascii="Calibri" w:hAnsi="Calibri"/>
                <w:sz w:val="20"/>
                <w:lang w:val="fr-FR"/>
              </w:rPr>
              <w:t>O Sibérie et NE Europe/mer Noire et Méditerranée</w:t>
            </w:r>
          </w:p>
        </w:tc>
      </w:tr>
      <w:tr w:rsidR="008E5AEA" w:rsidRPr="00BC4D45" w14:paraId="5CCDFB61"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D8AB1A6" w14:textId="77777777" w:rsidR="008E5AEA" w:rsidRPr="00BC4D45" w:rsidRDefault="008E5AEA">
            <w:pPr>
              <w:spacing w:before="100" w:beforeAutospacing="1" w:after="100" w:afterAutospacing="1"/>
              <w:ind w:firstLine="600"/>
              <w:rPr>
                <w:rFonts w:ascii="Calibri" w:hAnsi="Calibri"/>
                <w:sz w:val="20"/>
                <w:lang w:val="fr-FR"/>
              </w:rPr>
            </w:pPr>
            <w:r>
              <w:rPr>
                <w:rFonts w:ascii="Calibri" w:hAnsi="Calibri"/>
                <w:sz w:val="20"/>
                <w:lang w:val="fr-FR"/>
              </w:rPr>
              <w:lastRenderedPageBreak/>
              <w:t>Sarcelle marbrée</w:t>
            </w:r>
            <w:r>
              <w:rPr>
                <w:rFonts w:ascii="Calibri" w:hAnsi="Calibri"/>
                <w:i/>
                <w:sz w:val="20"/>
                <w:lang w:val="fr-FR"/>
              </w:rPr>
              <w:t xml:space="preserve"> Marmaronetta angustirostris</w:t>
            </w:r>
            <w:r>
              <w:rPr>
                <w:rFonts w:ascii="Calibri" w:hAnsi="Calibri"/>
                <w:sz w:val="20"/>
                <w:lang w:val="fr-FR"/>
              </w:rPr>
              <w:t>,</w:t>
            </w:r>
            <w:r>
              <w:rPr>
                <w:rFonts w:ascii="Calibri" w:hAnsi="Calibri"/>
                <w:i/>
                <w:sz w:val="20"/>
                <w:lang w:val="fr-FR"/>
              </w:rPr>
              <w:t xml:space="preserve"> </w:t>
            </w:r>
            <w:r>
              <w:rPr>
                <w:rFonts w:ascii="Calibri" w:hAnsi="Calibri"/>
                <w:sz w:val="20"/>
                <w:lang w:val="fr-FR"/>
              </w:rPr>
              <w:t>Méditerranée orientale</w:t>
            </w:r>
            <w:r w:rsidRPr="00BC4D45">
              <w:rPr>
                <w:rFonts w:ascii="Calibri" w:hAnsi="Calibri"/>
                <w:sz w:val="20"/>
                <w:lang w:val="fr-FR"/>
              </w:rPr>
              <w:t xml:space="preserve"> </w:t>
            </w:r>
          </w:p>
        </w:tc>
      </w:tr>
      <w:tr w:rsidR="008E5AEA" w:rsidRPr="00BC4D45" w14:paraId="3B4A891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319C6A"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Macreuse brune</w:t>
            </w:r>
            <w:r>
              <w:rPr>
                <w:rFonts w:ascii="Calibri" w:hAnsi="Calibri"/>
                <w:i/>
                <w:sz w:val="20"/>
                <w:lang w:val="fr-FR"/>
              </w:rPr>
              <w:t xml:space="preserve"> Melanitta fusca</w:t>
            </w:r>
            <w:r>
              <w:rPr>
                <w:rFonts w:ascii="Calibri" w:hAnsi="Calibri"/>
                <w:sz w:val="20"/>
                <w:lang w:val="fr-FR"/>
              </w:rPr>
              <w:t>,</w:t>
            </w:r>
            <w:r>
              <w:rPr>
                <w:rFonts w:ascii="Calibri" w:hAnsi="Calibri"/>
                <w:i/>
                <w:sz w:val="20"/>
                <w:lang w:val="fr-FR"/>
              </w:rPr>
              <w:t xml:space="preserve"> </w:t>
            </w:r>
            <w:r>
              <w:rPr>
                <w:rFonts w:ascii="Calibri" w:hAnsi="Calibri"/>
                <w:sz w:val="20"/>
                <w:lang w:val="fr-FR"/>
              </w:rPr>
              <w:t>mer Noire et mer Caspienne</w:t>
            </w:r>
          </w:p>
        </w:tc>
      </w:tr>
      <w:tr w:rsidR="008E5AEA" w:rsidRPr="00BC4D45" w14:paraId="27E3F1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57A177D"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Harle piette</w:t>
            </w:r>
            <w:r>
              <w:rPr>
                <w:rFonts w:ascii="Calibri" w:hAnsi="Calibri"/>
                <w:i/>
                <w:sz w:val="20"/>
                <w:lang w:val="fr-FR"/>
              </w:rPr>
              <w:t xml:space="preserve"> Mergellus albellus</w:t>
            </w:r>
            <w:r>
              <w:rPr>
                <w:rFonts w:ascii="Calibri" w:hAnsi="Calibri"/>
                <w:sz w:val="20"/>
                <w:lang w:val="fr-FR"/>
              </w:rPr>
              <w:t>,</w:t>
            </w:r>
            <w:r>
              <w:rPr>
                <w:rFonts w:ascii="Calibri" w:hAnsi="Calibri"/>
                <w:i/>
                <w:sz w:val="20"/>
                <w:lang w:val="fr-FR"/>
              </w:rPr>
              <w:t xml:space="preserve"> </w:t>
            </w:r>
            <w:r>
              <w:rPr>
                <w:rFonts w:ascii="Calibri" w:hAnsi="Calibri"/>
                <w:sz w:val="20"/>
                <w:lang w:val="fr-FR"/>
              </w:rPr>
              <w:t>Europe du Nord-Est/Mer Noire et Méditerranée orientale</w:t>
            </w:r>
          </w:p>
        </w:tc>
      </w:tr>
      <w:tr w:rsidR="008E5AEA" w:rsidRPr="00BC4D45" w14:paraId="583EF29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EC6B5F2"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 Harle huppé</w:t>
            </w:r>
            <w:r>
              <w:rPr>
                <w:rFonts w:ascii="Calibri" w:hAnsi="Calibri"/>
                <w:i/>
                <w:sz w:val="20"/>
                <w:lang w:val="fr-FR"/>
              </w:rPr>
              <w:t xml:space="preserve"> Mergus serrator</w:t>
            </w:r>
            <w:r>
              <w:rPr>
                <w:rFonts w:ascii="Calibri" w:hAnsi="Calibri"/>
                <w:sz w:val="20"/>
                <w:lang w:val="fr-FR"/>
              </w:rPr>
              <w:t>,</w:t>
            </w:r>
            <w:r>
              <w:rPr>
                <w:rFonts w:ascii="Calibri" w:hAnsi="Calibri"/>
                <w:i/>
                <w:sz w:val="20"/>
                <w:lang w:val="fr-FR"/>
              </w:rPr>
              <w:t xml:space="preserve"> </w:t>
            </w:r>
            <w:r>
              <w:rPr>
                <w:rFonts w:ascii="Calibri" w:hAnsi="Calibri"/>
                <w:sz w:val="20"/>
                <w:lang w:val="fr-FR"/>
              </w:rPr>
              <w:t xml:space="preserve">Europe du Nord-Est/mer Noire et Méditerranée </w:t>
            </w:r>
          </w:p>
        </w:tc>
      </w:tr>
      <w:tr w:rsidR="008E5AEA" w14:paraId="27888C70"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1EE2185"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2466D90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C80631B"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0C247E7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8A1A430"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Pluvier guignard </w:t>
            </w:r>
            <w:r>
              <w:rPr>
                <w:rFonts w:ascii="Calibri" w:hAnsi="Calibri"/>
                <w:i/>
                <w:sz w:val="20"/>
                <w:lang w:val="fr-FR"/>
              </w:rPr>
              <w:t>Eudromias morinellus</w:t>
            </w:r>
            <w:r>
              <w:rPr>
                <w:rFonts w:ascii="Calibri" w:hAnsi="Calibri"/>
                <w:sz w:val="20"/>
                <w:lang w:val="fr-FR"/>
              </w:rPr>
              <w:t>,</w:t>
            </w:r>
            <w:r>
              <w:rPr>
                <w:rFonts w:ascii="Calibri" w:hAnsi="Calibri"/>
                <w:i/>
                <w:sz w:val="20"/>
                <w:lang w:val="fr-FR"/>
              </w:rPr>
              <w:t xml:space="preserve"> </w:t>
            </w:r>
            <w:r>
              <w:rPr>
                <w:rFonts w:ascii="Calibri" w:hAnsi="Calibri"/>
                <w:sz w:val="20"/>
                <w:lang w:val="fr-FR"/>
              </w:rPr>
              <w:t>Europe/Afrique du Nord-Ouest</w:t>
            </w:r>
          </w:p>
        </w:tc>
      </w:tr>
      <w:tr w:rsidR="008E5AEA" w14:paraId="74ACDA8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F14311B"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Laridae</w:t>
            </w:r>
          </w:p>
        </w:tc>
      </w:tr>
      <w:tr w:rsidR="008E5AEA" w:rsidRPr="00BC4D45" w14:paraId="23824CF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6479741"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Mouette pygmée </w:t>
            </w:r>
            <w:r>
              <w:rPr>
                <w:rFonts w:ascii="Calibri" w:hAnsi="Calibri"/>
                <w:i/>
                <w:sz w:val="20"/>
                <w:lang w:val="fr-FR"/>
              </w:rPr>
              <w:t>Hydrocoloeus minutus</w:t>
            </w:r>
            <w:r>
              <w:rPr>
                <w:rFonts w:ascii="Calibri" w:hAnsi="Calibri"/>
                <w:sz w:val="20"/>
                <w:lang w:val="fr-FR"/>
              </w:rPr>
              <w:t>,</w:t>
            </w:r>
            <w:r>
              <w:rPr>
                <w:rFonts w:ascii="Calibri" w:hAnsi="Calibri"/>
                <w:i/>
                <w:sz w:val="20"/>
                <w:lang w:val="fr-FR"/>
              </w:rPr>
              <w:t xml:space="preserve"> </w:t>
            </w:r>
            <w:r>
              <w:rPr>
                <w:rFonts w:ascii="Calibri" w:hAnsi="Calibri"/>
                <w:sz w:val="20"/>
                <w:lang w:val="fr-FR"/>
              </w:rPr>
              <w:t>O Asie/Méditerranée orientale, mer noire et mer Caspienne</w:t>
            </w:r>
            <w:r w:rsidRPr="007C275D">
              <w:rPr>
                <w:rFonts w:ascii="Calibri" w:hAnsi="Calibri"/>
                <w:sz w:val="20"/>
                <w:lang w:val="fr-FR"/>
              </w:rPr>
              <w:t xml:space="preserve"> </w:t>
            </w:r>
          </w:p>
        </w:tc>
      </w:tr>
      <w:tr w:rsidR="008E5AEA" w:rsidRPr="00BC4D45" w14:paraId="4CC53C9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8D05E79"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Goéland d’Armenie</w:t>
            </w:r>
            <w:r>
              <w:rPr>
                <w:rFonts w:ascii="Calibri" w:hAnsi="Calibri"/>
                <w:i/>
                <w:sz w:val="20"/>
                <w:lang w:val="fr-FR"/>
              </w:rPr>
              <w:t xml:space="preserve"> Larus armenicus</w:t>
            </w:r>
            <w:r>
              <w:rPr>
                <w:rFonts w:ascii="Calibri" w:hAnsi="Calibri"/>
                <w:sz w:val="20"/>
                <w:lang w:val="fr-FR"/>
              </w:rPr>
              <w:t>,</w:t>
            </w:r>
            <w:r>
              <w:rPr>
                <w:rFonts w:ascii="Calibri" w:hAnsi="Calibri"/>
                <w:i/>
                <w:sz w:val="20"/>
                <w:lang w:val="fr-FR"/>
              </w:rPr>
              <w:t xml:space="preserve"> </w:t>
            </w:r>
            <w:r>
              <w:rPr>
                <w:rFonts w:asciiTheme="minorHAnsi" w:hAnsiTheme="minorHAnsi" w:cstheme="minorHAnsi"/>
                <w:spacing w:val="-2"/>
                <w:sz w:val="20"/>
                <w:lang w:val="fr-FR"/>
              </w:rPr>
              <w:t>Arménie, Turquie orientale et NO Iran</w:t>
            </w:r>
            <w:r>
              <w:rPr>
                <w:rStyle w:val="tw4winMark"/>
                <w:color w:val="FFFFFF"/>
                <w:sz w:val="2"/>
                <w:lang w:val="fr-FR"/>
                <w:specVanish w:val="0"/>
              </w:rPr>
              <w:t xml:space="preserve"> </w:t>
            </w:r>
          </w:p>
        </w:tc>
      </w:tr>
      <w:tr w:rsidR="008E5AEA" w:rsidRPr="00BC4D45" w14:paraId="103BC6E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5B3727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Goéland railleur</w:t>
            </w:r>
            <w:r>
              <w:rPr>
                <w:rFonts w:ascii="Calibri" w:hAnsi="Calibri"/>
                <w:i/>
                <w:sz w:val="20"/>
                <w:lang w:val="fr-FR"/>
              </w:rPr>
              <w:t xml:space="preserve"> Larus genei</w:t>
            </w:r>
            <w:r>
              <w:rPr>
                <w:rFonts w:ascii="Calibri" w:hAnsi="Calibri"/>
                <w:sz w:val="20"/>
                <w:lang w:val="fr-FR"/>
              </w:rPr>
              <w:t>,</w:t>
            </w:r>
            <w:r>
              <w:rPr>
                <w:rFonts w:ascii="Calibri" w:hAnsi="Calibri"/>
                <w:i/>
                <w:sz w:val="20"/>
                <w:lang w:val="fr-FR"/>
              </w:rPr>
              <w:t xml:space="preserve"> </w:t>
            </w:r>
            <w:r>
              <w:rPr>
                <w:rFonts w:asciiTheme="minorHAnsi" w:hAnsiTheme="minorHAnsi" w:cstheme="minorHAnsi"/>
                <w:spacing w:val="-2"/>
                <w:sz w:val="20"/>
                <w:lang w:val="fr-FR"/>
              </w:rPr>
              <w:t>mer Noire et Méditerranée (rep)</w:t>
            </w:r>
          </w:p>
        </w:tc>
      </w:tr>
      <w:tr w:rsidR="008E5AEA" w14:paraId="224B285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04A6D2C"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Scolopacidae</w:t>
            </w:r>
          </w:p>
        </w:tc>
      </w:tr>
      <w:tr w:rsidR="008E5AEA" w:rsidRPr="00BC4D45" w14:paraId="1489CC7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8579F5F"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Courlis à bec grêle</w:t>
            </w:r>
            <w:r>
              <w:rPr>
                <w:rFonts w:ascii="Calibri" w:hAnsi="Calibri"/>
                <w:i/>
                <w:sz w:val="20"/>
                <w:lang w:val="fr-FR"/>
              </w:rPr>
              <w:t xml:space="preserve"> Numenius tenuirostris</w:t>
            </w:r>
            <w:r>
              <w:rPr>
                <w:rFonts w:ascii="Calibri" w:hAnsi="Calibri"/>
                <w:sz w:val="20"/>
                <w:lang w:val="fr-FR"/>
              </w:rPr>
              <w:t>,</w:t>
            </w:r>
            <w:r>
              <w:rPr>
                <w:rFonts w:ascii="Calibri" w:hAnsi="Calibri"/>
                <w:i/>
                <w:sz w:val="20"/>
                <w:lang w:val="fr-FR"/>
              </w:rPr>
              <w:t xml:space="preserve"> </w:t>
            </w:r>
            <w:r>
              <w:rPr>
                <w:rFonts w:ascii="Calibri" w:hAnsi="Calibri"/>
                <w:sz w:val="20"/>
                <w:lang w:val="fr-FR"/>
              </w:rPr>
              <w:t>Sibérie centrale/Méditerranée et SO Asie</w:t>
            </w:r>
            <w:r w:rsidRPr="007C275D">
              <w:rPr>
                <w:rFonts w:ascii="Calibri" w:hAnsi="Calibri"/>
                <w:sz w:val="20"/>
                <w:lang w:val="fr-FR"/>
              </w:rPr>
              <w:t xml:space="preserve"> </w:t>
            </w:r>
          </w:p>
        </w:tc>
      </w:tr>
      <w:tr w:rsidR="008E5AEA" w14:paraId="105E815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0575B99D"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2F8143B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94E77C"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Ardeidae</w:t>
            </w:r>
          </w:p>
        </w:tc>
      </w:tr>
      <w:tr w:rsidR="008E5AEA" w:rsidRPr="00BC4D45" w14:paraId="1FB3477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D0F516C" w14:textId="77777777" w:rsidR="008E5AEA" w:rsidRPr="007C275D" w:rsidRDefault="008E5AEA">
            <w:pPr>
              <w:spacing w:before="100" w:beforeAutospacing="1" w:after="100" w:afterAutospacing="1"/>
              <w:ind w:left="601"/>
              <w:rPr>
                <w:rFonts w:ascii="Calibri" w:hAnsi="Calibri"/>
                <w:sz w:val="20"/>
                <w:lang w:val="fr-FR"/>
              </w:rPr>
            </w:pPr>
            <w:r>
              <w:rPr>
                <w:rFonts w:ascii="Calibri" w:hAnsi="Calibri"/>
                <w:sz w:val="20"/>
                <w:lang w:val="fr-FR"/>
              </w:rPr>
              <w:t xml:space="preserve">Héron pour pré </w:t>
            </w:r>
            <w:r>
              <w:rPr>
                <w:rFonts w:ascii="Calibri" w:hAnsi="Calibri"/>
                <w:i/>
                <w:sz w:val="20"/>
                <w:lang w:val="fr-FR"/>
              </w:rPr>
              <w:t>Ardea purpurea purpurea</w:t>
            </w:r>
            <w:r>
              <w:rPr>
                <w:rFonts w:ascii="Calibri" w:hAnsi="Calibri"/>
                <w:sz w:val="20"/>
                <w:lang w:val="fr-FR"/>
              </w:rPr>
              <w:t>, Europe de l’Est, Mer Noire et Méditerranée occidentale/Afrique sub-saharienne</w:t>
            </w:r>
          </w:p>
        </w:tc>
      </w:tr>
      <w:tr w:rsidR="008E5AEA" w14:paraId="400000CD"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BC99904"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2F6E11B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2B83D9" w14:textId="77777777" w:rsidR="008E5AEA" w:rsidRDefault="008E5AEA">
            <w:pPr>
              <w:spacing w:before="100" w:beforeAutospacing="1" w:after="100" w:afterAutospacing="1"/>
              <w:ind w:firstLine="400"/>
              <w:rPr>
                <w:rFonts w:ascii="Calibri" w:hAnsi="Calibri"/>
                <w:i/>
                <w:sz w:val="20"/>
              </w:rPr>
            </w:pPr>
            <w:r>
              <w:rPr>
                <w:rFonts w:ascii="Calibri" w:hAnsi="Calibri"/>
                <w:i/>
                <w:sz w:val="20"/>
                <w:lang w:val="fr-FR"/>
              </w:rPr>
              <w:t>Gruidae</w:t>
            </w:r>
          </w:p>
        </w:tc>
      </w:tr>
      <w:tr w:rsidR="008E5AEA" w14:paraId="03BD200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A9A8CA" w14:textId="77777777" w:rsidR="008E5AEA" w:rsidRDefault="008E5AEA">
            <w:pPr>
              <w:spacing w:before="100" w:beforeAutospacing="1" w:after="100" w:afterAutospacing="1"/>
              <w:ind w:firstLine="600"/>
              <w:rPr>
                <w:rFonts w:ascii="Calibri" w:hAnsi="Calibri"/>
                <w:sz w:val="20"/>
              </w:rPr>
            </w:pPr>
            <w:r>
              <w:rPr>
                <w:rFonts w:ascii="Calibri" w:hAnsi="Calibri"/>
                <w:sz w:val="20"/>
                <w:lang w:val="fr-FR"/>
              </w:rPr>
              <w:t xml:space="preserve">Grue demoiselle </w:t>
            </w:r>
            <w:r>
              <w:rPr>
                <w:rFonts w:ascii="Calibri" w:hAnsi="Calibri"/>
                <w:i/>
                <w:sz w:val="20"/>
                <w:lang w:val="fr-FR"/>
              </w:rPr>
              <w:t>Anthropoides virgo</w:t>
            </w:r>
            <w:r>
              <w:rPr>
                <w:rFonts w:ascii="Calibri" w:hAnsi="Calibri"/>
                <w:sz w:val="20"/>
                <w:lang w:val="fr-FR"/>
              </w:rPr>
              <w:t>, Turquie (rep)</w:t>
            </w:r>
          </w:p>
        </w:tc>
      </w:tr>
      <w:tr w:rsidR="008E5AEA" w:rsidRPr="00BC4D45" w14:paraId="716CB81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98293C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Grue cendrée</w:t>
            </w:r>
            <w:r>
              <w:rPr>
                <w:rFonts w:ascii="Calibri" w:hAnsi="Calibri"/>
                <w:i/>
                <w:sz w:val="20"/>
                <w:lang w:val="fr-FR"/>
              </w:rPr>
              <w:t xml:space="preserve"> Grus grus archibaldi</w:t>
            </w:r>
            <w:r>
              <w:rPr>
                <w:rFonts w:ascii="Calibri" w:hAnsi="Calibri"/>
                <w:sz w:val="20"/>
                <w:lang w:val="fr-FR"/>
              </w:rPr>
              <w:t>, Turquie et Géorgie (rep)</w:t>
            </w:r>
          </w:p>
        </w:tc>
      </w:tr>
      <w:tr w:rsidR="008E5AEA" w:rsidRPr="00BC4D45" w14:paraId="27D87FD0"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72E0743F"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 xml:space="preserve">Paléarctique occidental - Asie centrale et du Sud-Ouest </w:t>
            </w:r>
          </w:p>
        </w:tc>
      </w:tr>
      <w:tr w:rsidR="008E5AEA" w14:paraId="5E01FDDA"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7AC09D5" w14:textId="77777777" w:rsidR="008E5AEA" w:rsidRDefault="008E5AEA">
            <w:pPr>
              <w:spacing w:before="100" w:beforeAutospacing="1" w:after="100" w:afterAutospacing="1"/>
              <w:ind w:firstLine="200"/>
              <w:rPr>
                <w:rFonts w:ascii="Calibri" w:hAnsi="Calibri"/>
                <w:i/>
                <w:sz w:val="20"/>
              </w:rPr>
            </w:pPr>
            <w:r>
              <w:rPr>
                <w:rFonts w:ascii="Calibri" w:hAnsi="Calibri"/>
                <w:i/>
                <w:sz w:val="20"/>
                <w:lang w:val="fr-FR"/>
              </w:rPr>
              <w:t>Anseriformes</w:t>
            </w:r>
          </w:p>
        </w:tc>
      </w:tr>
      <w:tr w:rsidR="008E5AEA" w14:paraId="4B5FAAE2"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D748D5C" w14:textId="77777777" w:rsidR="008E5AEA" w:rsidRDefault="008E5AEA">
            <w:pPr>
              <w:keepNext/>
              <w:keepLines/>
              <w:spacing w:before="100" w:beforeAutospacing="1" w:after="100" w:afterAutospacing="1"/>
              <w:ind w:firstLine="400"/>
              <w:outlineLvl w:val="3"/>
              <w:rPr>
                <w:rFonts w:asciiTheme="majorHAnsi" w:hAnsiTheme="majorHAnsi" w:cstheme="majorHAnsi"/>
                <w:i/>
                <w:sz w:val="20"/>
              </w:rPr>
            </w:pPr>
            <w:r>
              <w:rPr>
                <w:rFonts w:asciiTheme="majorHAnsi" w:hAnsiTheme="majorHAnsi" w:cstheme="majorHAnsi"/>
                <w:i/>
                <w:sz w:val="20"/>
                <w:lang w:val="fr-FR"/>
              </w:rPr>
              <w:t>Anatidae</w:t>
            </w:r>
          </w:p>
        </w:tc>
      </w:tr>
      <w:tr w:rsidR="008E5AEA" w:rsidRPr="00BC4D45" w14:paraId="0F705E8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02B7D3D" w14:textId="77777777" w:rsidR="008E5AEA" w:rsidRDefault="008E5AEA">
            <w:pPr>
              <w:spacing w:before="100" w:beforeAutospacing="1" w:after="100" w:afterAutospacing="1"/>
              <w:ind w:firstLine="600"/>
              <w:rPr>
                <w:rFonts w:asciiTheme="majorHAnsi" w:hAnsiTheme="majorHAnsi" w:cstheme="majorHAnsi"/>
                <w:sz w:val="20"/>
                <w:lang w:val="it-IT"/>
              </w:rPr>
            </w:pPr>
            <w:r>
              <w:rPr>
                <w:rFonts w:asciiTheme="majorHAnsi" w:hAnsiTheme="majorHAnsi" w:cstheme="majorHAnsi"/>
                <w:sz w:val="20"/>
                <w:lang w:val="fr-FR"/>
              </w:rPr>
              <w:t>Sarcelle d’hiver</w:t>
            </w:r>
            <w:r>
              <w:rPr>
                <w:rFonts w:asciiTheme="majorHAnsi" w:hAnsiTheme="majorHAnsi" w:cstheme="majorHAnsi"/>
                <w:i/>
                <w:sz w:val="20"/>
                <w:lang w:val="fr-FR"/>
              </w:rPr>
              <w:t>Anas crecca crecca</w:t>
            </w:r>
            <w:r>
              <w:rPr>
                <w:rFonts w:asciiTheme="majorHAnsi" w:hAnsiTheme="majorHAnsi" w:cstheme="majorHAnsi"/>
                <w:sz w:val="20"/>
                <w:lang w:val="fr-FR"/>
              </w:rPr>
              <w:t xml:space="preserve">, </w:t>
            </w:r>
            <w:r>
              <w:rPr>
                <w:rFonts w:asciiTheme="majorHAnsi" w:hAnsiTheme="majorHAnsi" w:cstheme="majorHAnsi"/>
                <w:spacing w:val="-2"/>
                <w:sz w:val="20"/>
                <w:lang w:val="fr-FR"/>
              </w:rPr>
              <w:t>Sibérie occidentale/SO Asie et NE Afrique</w:t>
            </w:r>
          </w:p>
        </w:tc>
      </w:tr>
      <w:tr w:rsidR="008E5AEA" w:rsidRPr="00BC4D45" w14:paraId="1D0BAE3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E76B49"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Oie rieuse </w:t>
            </w:r>
            <w:r>
              <w:rPr>
                <w:rFonts w:asciiTheme="majorHAnsi" w:hAnsiTheme="majorHAnsi" w:cstheme="majorHAnsi"/>
                <w:i/>
                <w:sz w:val="20"/>
                <w:lang w:val="fr-FR"/>
              </w:rPr>
              <w:t>Anser albifrons albifrons</w:t>
            </w:r>
            <w:r>
              <w:rPr>
                <w:rFonts w:asciiTheme="majorHAnsi" w:hAnsiTheme="majorHAnsi" w:cstheme="majorHAnsi"/>
                <w:sz w:val="20"/>
                <w:lang w:val="fr-FR"/>
              </w:rPr>
              <w:t>, Sibérie du Nord/mer Caspienne et Iraq</w:t>
            </w:r>
          </w:p>
        </w:tc>
      </w:tr>
      <w:tr w:rsidR="008E5AEA" w:rsidRPr="00BC4D45" w14:paraId="678A550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427D7B0"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Oie cendrée </w:t>
            </w:r>
            <w:r>
              <w:rPr>
                <w:rFonts w:asciiTheme="majorHAnsi" w:hAnsiTheme="majorHAnsi" w:cstheme="majorHAnsi"/>
                <w:i/>
                <w:sz w:val="20"/>
                <w:lang w:val="fr-FR"/>
              </w:rPr>
              <w:t>Anser anser rubrirostris</w:t>
            </w:r>
            <w:r>
              <w:rPr>
                <w:rFonts w:asciiTheme="majorHAnsi" w:hAnsiTheme="majorHAnsi" w:cstheme="majorHAnsi"/>
                <w:sz w:val="20"/>
                <w:lang w:val="fr-FR"/>
              </w:rPr>
              <w:t>, Sibérie occidentale/mer Caspienne et Iraq</w:t>
            </w:r>
          </w:p>
        </w:tc>
      </w:tr>
      <w:tr w:rsidR="008E5AEA" w:rsidRPr="00BC4D45" w14:paraId="305445CB"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0EBC794"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Oie naine</w:t>
            </w:r>
            <w:r>
              <w:rPr>
                <w:rFonts w:asciiTheme="majorHAnsi" w:hAnsiTheme="majorHAnsi" w:cstheme="majorHAnsi"/>
                <w:i/>
                <w:sz w:val="20"/>
                <w:lang w:val="fr-FR"/>
              </w:rPr>
              <w:t xml:space="preserve"> Anser erythropus</w:t>
            </w:r>
            <w:r>
              <w:rPr>
                <w:rFonts w:asciiTheme="majorHAnsi" w:hAnsiTheme="majorHAnsi" w:cstheme="majorHAnsi"/>
                <w:sz w:val="20"/>
                <w:lang w:val="fr-FR"/>
              </w:rPr>
              <w:t xml:space="preserve">, </w:t>
            </w:r>
            <w:r>
              <w:rPr>
                <w:rFonts w:asciiTheme="majorHAnsi" w:hAnsiTheme="majorHAnsi" w:cstheme="majorHAnsi"/>
                <w:spacing w:val="-2"/>
                <w:sz w:val="20"/>
                <w:lang w:val="fr-FR"/>
              </w:rPr>
              <w:t>NE Europe et O Sibérie/mer Noire et mer Caspienne</w:t>
            </w:r>
          </w:p>
        </w:tc>
      </w:tr>
      <w:tr w:rsidR="008E5AEA" w:rsidRPr="00BC4D45" w14:paraId="08A21C46"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064C19"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Oie des moissons </w:t>
            </w:r>
            <w:r>
              <w:rPr>
                <w:rFonts w:asciiTheme="majorHAnsi" w:hAnsiTheme="majorHAnsi" w:cstheme="majorHAnsi"/>
                <w:i/>
                <w:sz w:val="20"/>
                <w:lang w:val="fr-FR"/>
              </w:rPr>
              <w:t>Anser fabalis johanseni</w:t>
            </w:r>
            <w:r>
              <w:rPr>
                <w:rFonts w:asciiTheme="majorHAnsi" w:hAnsiTheme="majorHAnsi" w:cstheme="majorHAnsi"/>
                <w:sz w:val="20"/>
                <w:lang w:val="fr-FR"/>
              </w:rPr>
              <w:t>, Sibérie occidentale et centrale/Turkménistan à l’ouest de la Chine</w:t>
            </w:r>
          </w:p>
        </w:tc>
      </w:tr>
      <w:tr w:rsidR="008E5AEA" w:rsidRPr="00BC4D45" w14:paraId="3DD8402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4E235DF4"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Fuligule milouin </w:t>
            </w:r>
            <w:r>
              <w:rPr>
                <w:rFonts w:asciiTheme="majorHAnsi" w:hAnsiTheme="majorHAnsi" w:cstheme="majorHAnsi"/>
                <w:i/>
                <w:sz w:val="20"/>
                <w:lang w:val="fr-FR"/>
              </w:rPr>
              <w:t>Aythya ferina</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z w:val="20"/>
                <w:lang w:val="fr-FR"/>
              </w:rPr>
              <w:t>Sibérie occidentale/Asie du Sud-Ouest</w:t>
            </w:r>
          </w:p>
        </w:tc>
      </w:tr>
      <w:tr w:rsidR="008E5AEA" w:rsidRPr="00BC4D45" w14:paraId="1ED7AEF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C219180"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Fuligule milouinan</w:t>
            </w:r>
            <w:r>
              <w:rPr>
                <w:rFonts w:asciiTheme="majorHAnsi" w:hAnsiTheme="majorHAnsi" w:cstheme="majorHAnsi"/>
                <w:i/>
                <w:sz w:val="20"/>
                <w:lang w:val="fr-FR"/>
              </w:rPr>
              <w:t xml:space="preserve"> Aythya marila marila</w:t>
            </w:r>
            <w:r>
              <w:rPr>
                <w:rFonts w:asciiTheme="majorHAnsi" w:hAnsiTheme="majorHAnsi" w:cstheme="majorHAnsi"/>
                <w:sz w:val="20"/>
                <w:lang w:val="fr-FR"/>
              </w:rPr>
              <w:t>, Sibérie occidentale/mer Noire et mer Caspienne</w:t>
            </w:r>
          </w:p>
        </w:tc>
      </w:tr>
      <w:tr w:rsidR="008E5AEA" w:rsidRPr="00BC4D45" w14:paraId="2F9B007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3604745"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Canard siffleur </w:t>
            </w:r>
            <w:r>
              <w:rPr>
                <w:rFonts w:asciiTheme="majorHAnsi" w:hAnsiTheme="majorHAnsi" w:cstheme="majorHAnsi"/>
                <w:i/>
                <w:sz w:val="20"/>
                <w:lang w:val="fr-FR"/>
              </w:rPr>
              <w:t>Mareca penelope</w:t>
            </w:r>
            <w:r>
              <w:rPr>
                <w:rFonts w:asciiTheme="majorHAnsi" w:hAnsiTheme="majorHAnsi" w:cstheme="majorHAnsi"/>
                <w:sz w:val="20"/>
                <w:lang w:val="fr-FR"/>
              </w:rPr>
              <w:t>, Sibérie occidentale/SO Asie et NE Afrique</w:t>
            </w:r>
          </w:p>
        </w:tc>
      </w:tr>
      <w:tr w:rsidR="008E5AEA" w:rsidRPr="00BC4D45" w14:paraId="635DD95C"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86E1D10" w14:textId="77777777" w:rsidR="008E5AEA" w:rsidRDefault="008E5AEA">
            <w:pPr>
              <w:spacing w:before="100" w:beforeAutospacing="1" w:after="100" w:afterAutospacing="1"/>
              <w:ind w:firstLine="600"/>
              <w:rPr>
                <w:rFonts w:asciiTheme="majorHAnsi" w:hAnsiTheme="majorHAnsi" w:cstheme="majorHAnsi"/>
                <w:sz w:val="20"/>
                <w:lang w:val="it-IT"/>
              </w:rPr>
            </w:pPr>
            <w:r>
              <w:rPr>
                <w:rFonts w:asciiTheme="majorHAnsi" w:hAnsiTheme="majorHAnsi" w:cstheme="majorHAnsi"/>
                <w:sz w:val="20"/>
                <w:lang w:val="fr-FR"/>
              </w:rPr>
              <w:t>Canard chipeau</w:t>
            </w:r>
            <w:r>
              <w:rPr>
                <w:rFonts w:asciiTheme="majorHAnsi" w:hAnsiTheme="majorHAnsi" w:cstheme="majorHAnsi"/>
                <w:i/>
                <w:sz w:val="20"/>
                <w:lang w:val="fr-FR"/>
              </w:rPr>
              <w:t xml:space="preserve"> Mareca strepera strepera</w:t>
            </w:r>
            <w:r>
              <w:rPr>
                <w:rFonts w:asciiTheme="majorHAnsi" w:hAnsiTheme="majorHAnsi" w:cstheme="majorHAnsi"/>
                <w:sz w:val="20"/>
                <w:lang w:val="fr-FR"/>
              </w:rPr>
              <w:t>, Sibérie occidentale /SO Asie et NE Afrique</w:t>
            </w:r>
          </w:p>
        </w:tc>
      </w:tr>
      <w:tr w:rsidR="008E5AEA" w:rsidRPr="00BC4D45" w14:paraId="1E89A09D"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2688381" w14:textId="77777777" w:rsidR="008E5AEA" w:rsidRPr="00BC4D45"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Marmaronette marbrée</w:t>
            </w:r>
            <w:r>
              <w:rPr>
                <w:rFonts w:asciiTheme="majorHAnsi" w:hAnsiTheme="majorHAnsi" w:cstheme="majorHAnsi"/>
                <w:i/>
                <w:sz w:val="20"/>
                <w:lang w:val="fr-FR"/>
              </w:rPr>
              <w:t xml:space="preserve"> Marmaronetta angustirostris, </w:t>
            </w:r>
            <w:r>
              <w:rPr>
                <w:rFonts w:asciiTheme="majorHAnsi" w:hAnsiTheme="majorHAnsi" w:cstheme="majorHAnsi"/>
                <w:sz w:val="20"/>
                <w:lang w:val="fr-FR"/>
              </w:rPr>
              <w:t>Asie du Sud-Ouest</w:t>
            </w:r>
          </w:p>
        </w:tc>
      </w:tr>
      <w:tr w:rsidR="008E5AEA" w:rsidRPr="00BC4D45" w14:paraId="521BEB5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0E37C15"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 xml:space="preserve">Harle huppé </w:t>
            </w:r>
            <w:r>
              <w:rPr>
                <w:rFonts w:asciiTheme="majorHAnsi" w:hAnsiTheme="majorHAnsi" w:cstheme="majorHAnsi"/>
                <w:i/>
                <w:sz w:val="20"/>
                <w:lang w:val="fr-FR"/>
              </w:rPr>
              <w:t xml:space="preserve">Mergus serrator, </w:t>
            </w:r>
            <w:r>
              <w:rPr>
                <w:rFonts w:asciiTheme="majorHAnsi" w:hAnsiTheme="majorHAnsi" w:cstheme="majorHAnsi"/>
                <w:sz w:val="20"/>
                <w:lang w:val="fr-FR"/>
              </w:rPr>
              <w:t>Sibérie occidentale/Asie du Sud-Ouest et Asie centrale</w:t>
            </w:r>
          </w:p>
        </w:tc>
      </w:tr>
      <w:tr w:rsidR="008E5AEA" w:rsidRPr="00BC4D45" w14:paraId="1CD9B30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1FA3C0"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Nette rousse</w:t>
            </w:r>
            <w:r>
              <w:rPr>
                <w:rFonts w:asciiTheme="majorHAnsi" w:hAnsiTheme="majorHAnsi" w:cstheme="majorHAnsi"/>
                <w:i/>
                <w:sz w:val="20"/>
                <w:lang w:val="fr-FR"/>
              </w:rPr>
              <w:t xml:space="preserve"> Netta rufina</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pacing w:val="-2"/>
                <w:sz w:val="20"/>
                <w:lang w:val="fr-FR"/>
              </w:rPr>
              <w:t>Asie de l’Ouest et Asie centrale/Asie du Sud-Ouest</w:t>
            </w:r>
          </w:p>
        </w:tc>
      </w:tr>
      <w:tr w:rsidR="008E5AEA" w:rsidRPr="00BC4D45" w14:paraId="414E0A5E"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6B4CDF4"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Érismature à tête blanche</w:t>
            </w:r>
            <w:r>
              <w:rPr>
                <w:rFonts w:asciiTheme="majorHAnsi" w:hAnsiTheme="majorHAnsi" w:cstheme="majorHAnsi"/>
                <w:i/>
                <w:sz w:val="20"/>
                <w:lang w:val="fr-FR"/>
              </w:rPr>
              <w:t xml:space="preserve"> Oxyura leucocephala</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z w:val="20"/>
                <w:lang w:val="fr-FR"/>
              </w:rPr>
              <w:t>Méditerranée orientale, Turquie et Asie du Sud-Ouest</w:t>
            </w:r>
          </w:p>
        </w:tc>
      </w:tr>
      <w:tr w:rsidR="008E5AEA" w:rsidRPr="00BC4D45" w14:paraId="4D73A4B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9F0943C" w14:textId="77777777" w:rsidR="008E5AEA" w:rsidRPr="007C275D" w:rsidRDefault="008E5AEA">
            <w:pPr>
              <w:spacing w:before="100" w:beforeAutospacing="1" w:after="100" w:afterAutospacing="1"/>
              <w:ind w:firstLine="600"/>
              <w:rPr>
                <w:rFonts w:asciiTheme="majorHAnsi" w:hAnsiTheme="majorHAnsi" w:cstheme="majorHAnsi"/>
                <w:sz w:val="20"/>
                <w:lang w:val="fr-FR"/>
              </w:rPr>
            </w:pPr>
            <w:r>
              <w:rPr>
                <w:rFonts w:asciiTheme="majorHAnsi" w:hAnsiTheme="majorHAnsi" w:cstheme="majorHAnsi"/>
                <w:sz w:val="20"/>
                <w:lang w:val="fr-FR"/>
              </w:rPr>
              <w:t>Tadorne de Belon</w:t>
            </w:r>
            <w:r>
              <w:rPr>
                <w:rFonts w:asciiTheme="majorHAnsi" w:hAnsiTheme="majorHAnsi" w:cstheme="majorHAnsi"/>
                <w:i/>
                <w:sz w:val="20"/>
                <w:lang w:val="fr-FR"/>
              </w:rPr>
              <w:t xml:space="preserve"> Tadorna tadorna</w:t>
            </w:r>
            <w:r>
              <w:rPr>
                <w:rFonts w:asciiTheme="majorHAnsi" w:hAnsiTheme="majorHAnsi" w:cstheme="majorHAnsi"/>
                <w:sz w:val="20"/>
                <w:lang w:val="fr-FR"/>
              </w:rPr>
              <w:t>,</w:t>
            </w:r>
            <w:r>
              <w:rPr>
                <w:rFonts w:asciiTheme="majorHAnsi" w:hAnsiTheme="majorHAnsi" w:cstheme="majorHAnsi"/>
                <w:i/>
                <w:sz w:val="20"/>
                <w:lang w:val="fr-FR"/>
              </w:rPr>
              <w:t xml:space="preserve"> </w:t>
            </w:r>
            <w:r>
              <w:rPr>
                <w:rFonts w:asciiTheme="majorHAnsi" w:hAnsiTheme="majorHAnsi" w:cstheme="majorHAnsi"/>
                <w:sz w:val="20"/>
                <w:lang w:val="fr-FR"/>
              </w:rPr>
              <w:t>Asie de l’Ouest/mer Caspienne et Moyen-Orient</w:t>
            </w:r>
            <w:r>
              <w:rPr>
                <w:rStyle w:val="tw4winMark"/>
                <w:rFonts w:asciiTheme="majorHAnsi" w:hAnsiTheme="majorHAnsi" w:cstheme="majorHAnsi"/>
                <w:sz w:val="20"/>
                <w:lang w:val="fr-FR"/>
                <w:specVanish w:val="0"/>
              </w:rPr>
              <w:t xml:space="preserve"> </w:t>
            </w:r>
          </w:p>
        </w:tc>
      </w:tr>
      <w:tr w:rsidR="008E5AEA" w14:paraId="6C66239F"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68825E3C"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Ciconiiformes</w:t>
            </w:r>
          </w:p>
        </w:tc>
      </w:tr>
      <w:tr w:rsidR="008E5AEA" w14:paraId="0F3ABF80"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5718652"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Threskiornithidae</w:t>
            </w:r>
          </w:p>
        </w:tc>
      </w:tr>
      <w:tr w:rsidR="008E5AEA" w:rsidRPr="00BC4D45" w14:paraId="0555E7B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5BD13E75" w14:textId="77777777" w:rsidR="008E5AEA" w:rsidRPr="007C275D" w:rsidRDefault="008E5AEA">
            <w:pPr>
              <w:spacing w:before="100" w:beforeAutospacing="1" w:after="100" w:afterAutospacing="1"/>
              <w:ind w:firstLine="600"/>
              <w:rPr>
                <w:rFonts w:ascii="Calibri" w:hAnsi="Calibri"/>
                <w:i/>
                <w:sz w:val="20"/>
                <w:lang w:val="fr-FR"/>
              </w:rPr>
            </w:pPr>
            <w:r>
              <w:rPr>
                <w:rFonts w:ascii="Calibri" w:hAnsi="Calibri"/>
                <w:sz w:val="20"/>
                <w:lang w:val="fr-FR"/>
              </w:rPr>
              <w:t xml:space="preserve">Tadorne de Belon </w:t>
            </w:r>
            <w:r>
              <w:rPr>
                <w:rFonts w:ascii="Calibri" w:hAnsi="Calibri"/>
                <w:i/>
                <w:sz w:val="20"/>
                <w:lang w:val="fr-FR"/>
              </w:rPr>
              <w:t xml:space="preserve">Platalea leucorodia archeri, </w:t>
            </w:r>
            <w:r>
              <w:rPr>
                <w:rFonts w:ascii="Calibri" w:hAnsi="Calibri"/>
                <w:sz w:val="20"/>
                <w:lang w:val="fr-FR"/>
              </w:rPr>
              <w:t>mer Rouge et Somalie</w:t>
            </w:r>
          </w:p>
        </w:tc>
      </w:tr>
      <w:tr w:rsidR="008E5AEA" w14:paraId="1245A2D8"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4BA84AAD"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Gruiformes</w:t>
            </w:r>
          </w:p>
        </w:tc>
      </w:tr>
      <w:tr w:rsidR="008E5AEA" w14:paraId="4DEBAB9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8503B3"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Gruidae</w:t>
            </w:r>
          </w:p>
        </w:tc>
      </w:tr>
      <w:tr w:rsidR="008E5AEA" w:rsidRPr="00BC4D45" w14:paraId="7B10379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229738"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Grue de Sibérie</w:t>
            </w:r>
            <w:r>
              <w:rPr>
                <w:rFonts w:ascii="Calibri" w:hAnsi="Calibri"/>
                <w:i/>
                <w:sz w:val="20"/>
                <w:lang w:val="fr-FR"/>
              </w:rPr>
              <w:t xml:space="preserve"> Leucogeranus leucogeranus</w:t>
            </w:r>
            <w:r>
              <w:rPr>
                <w:rFonts w:ascii="Calibri" w:hAnsi="Calibri"/>
                <w:sz w:val="20"/>
                <w:lang w:val="fr-FR"/>
              </w:rPr>
              <w:t>, Iran (hiv)</w:t>
            </w:r>
          </w:p>
        </w:tc>
      </w:tr>
      <w:tr w:rsidR="008E5AEA" w14:paraId="70CCF56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3831FD3E" w14:textId="77777777" w:rsidR="008E5AEA" w:rsidRDefault="008E5AEA">
            <w:pPr>
              <w:spacing w:before="100" w:beforeAutospacing="1" w:after="100" w:afterAutospacing="1"/>
              <w:ind w:firstLine="200"/>
              <w:rPr>
                <w:rFonts w:ascii="Calibri" w:hAnsi="Calibri"/>
                <w:i/>
                <w:sz w:val="20"/>
              </w:rPr>
            </w:pPr>
            <w:r>
              <w:rPr>
                <w:rFonts w:ascii="Calibri" w:hAnsi="Calibri"/>
                <w:i/>
                <w:sz w:val="20"/>
                <w:lang w:val="fr-FR"/>
              </w:rPr>
              <w:t>Pelicaniformes</w:t>
            </w:r>
          </w:p>
        </w:tc>
      </w:tr>
      <w:tr w:rsidR="008E5AEA" w14:paraId="3B105708"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01EEA3D8"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lastRenderedPageBreak/>
              <w:t>Phalacrocoracidae</w:t>
            </w:r>
          </w:p>
        </w:tc>
      </w:tr>
      <w:tr w:rsidR="008E5AEA" w:rsidRPr="00BC4D45" w14:paraId="5DBC5754"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7CE7A546"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Cormoran de Socotra </w:t>
            </w:r>
            <w:r>
              <w:rPr>
                <w:rFonts w:ascii="Calibri" w:hAnsi="Calibri"/>
                <w:i/>
                <w:sz w:val="20"/>
                <w:lang w:val="fr-FR"/>
              </w:rPr>
              <w:t>Phalacrocorax nigrogularis,</w:t>
            </w:r>
            <w:r>
              <w:rPr>
                <w:rFonts w:ascii="Calibri" w:hAnsi="Calibri"/>
                <w:sz w:val="20"/>
                <w:lang w:val="fr-FR"/>
              </w:rPr>
              <w:t xml:space="preserve"> côte de l’Arabie</w:t>
            </w:r>
          </w:p>
        </w:tc>
      </w:tr>
      <w:tr w:rsidR="008E5AEA" w14:paraId="49C86013"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D6F16BF"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Podicipediformes</w:t>
            </w:r>
          </w:p>
        </w:tc>
      </w:tr>
      <w:tr w:rsidR="008E5AEA" w14:paraId="3F882B33"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271A85B5"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Podicipedidae</w:t>
            </w:r>
          </w:p>
        </w:tc>
      </w:tr>
      <w:tr w:rsidR="008E5AEA" w:rsidRPr="00BC4D45" w14:paraId="79120607"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5EE1113"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 xml:space="preserve">Grèbe à cou noir </w:t>
            </w:r>
            <w:r>
              <w:rPr>
                <w:rFonts w:ascii="Calibri" w:hAnsi="Calibri"/>
                <w:i/>
                <w:sz w:val="20"/>
                <w:lang w:val="fr-FR"/>
              </w:rPr>
              <w:t>Podiceps nigricollis nigricollis</w:t>
            </w:r>
            <w:r>
              <w:rPr>
                <w:rFonts w:ascii="Calibri" w:hAnsi="Calibri"/>
                <w:sz w:val="20"/>
                <w:lang w:val="fr-FR"/>
              </w:rPr>
              <w:t>, Asie de l’Ouest/Asie du Sud-Ouest et du Sud</w:t>
            </w:r>
          </w:p>
        </w:tc>
      </w:tr>
      <w:tr w:rsidR="008E5AEA" w:rsidRPr="00BC4D45" w14:paraId="5A5BDD42" w14:textId="77777777" w:rsidTr="008E5AEA">
        <w:trPr>
          <w:trHeight w:val="300"/>
        </w:trPr>
        <w:tc>
          <w:tcPr>
            <w:tcW w:w="5000" w:type="pct"/>
            <w:tcBorders>
              <w:top w:val="single" w:sz="4" w:space="0" w:color="DCE6F1"/>
              <w:left w:val="nil"/>
              <w:bottom w:val="single" w:sz="4" w:space="0" w:color="DCE6F1"/>
              <w:right w:val="nil"/>
            </w:tcBorders>
            <w:shd w:val="clear" w:color="auto" w:fill="95B3D7"/>
            <w:noWrap/>
            <w:vAlign w:val="bottom"/>
            <w:hideMark/>
          </w:tcPr>
          <w:p w14:paraId="437E2B9C" w14:textId="77777777" w:rsidR="008E5AEA" w:rsidRPr="007C275D" w:rsidRDefault="008E5AEA">
            <w:pPr>
              <w:spacing w:before="100" w:beforeAutospacing="1" w:after="100" w:afterAutospacing="1"/>
              <w:rPr>
                <w:rFonts w:ascii="Calibri" w:hAnsi="Calibri"/>
                <w:color w:val="FFFFFF"/>
                <w:sz w:val="20"/>
                <w:lang w:val="fr-FR"/>
              </w:rPr>
            </w:pPr>
            <w:r>
              <w:rPr>
                <w:rFonts w:ascii="Calibri" w:hAnsi="Calibri"/>
                <w:color w:val="FFFFFF"/>
                <w:sz w:val="20"/>
                <w:lang w:val="fr-FR"/>
              </w:rPr>
              <w:t>Paléarctique occidental - Europe et Afrique du Nord</w:t>
            </w:r>
          </w:p>
        </w:tc>
      </w:tr>
      <w:tr w:rsidR="008E5AEA" w14:paraId="7905BA42"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114401CC"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Charadriiformes</w:t>
            </w:r>
          </w:p>
        </w:tc>
      </w:tr>
      <w:tr w:rsidR="008E5AEA" w14:paraId="5F1EA83F"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6BC77D4B"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Charadriidae</w:t>
            </w:r>
          </w:p>
        </w:tc>
      </w:tr>
      <w:tr w:rsidR="008E5AEA" w:rsidRPr="00BC4D45" w14:paraId="6B31F169"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629586C"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Vanneau huppé</w:t>
            </w:r>
            <w:r>
              <w:rPr>
                <w:rFonts w:ascii="Calibri" w:hAnsi="Calibri"/>
                <w:i/>
                <w:sz w:val="20"/>
                <w:lang w:val="fr-FR"/>
              </w:rPr>
              <w:t xml:space="preserve"> Vanellus vanellus, </w:t>
            </w:r>
            <w:r>
              <w:rPr>
                <w:rFonts w:ascii="Calibri" w:hAnsi="Calibri"/>
                <w:sz w:val="20"/>
                <w:lang w:val="fr-FR"/>
              </w:rPr>
              <w:t>Europe/O Asie/Europe, N Afrique et SO Asie</w:t>
            </w:r>
          </w:p>
        </w:tc>
      </w:tr>
      <w:tr w:rsidR="008E5AEA" w14:paraId="0F92F8B9" w14:textId="77777777" w:rsidTr="008E5AEA">
        <w:trPr>
          <w:trHeight w:val="300"/>
        </w:trPr>
        <w:tc>
          <w:tcPr>
            <w:tcW w:w="5000" w:type="pct"/>
            <w:tcBorders>
              <w:top w:val="single" w:sz="4" w:space="0" w:color="DCE6F1"/>
              <w:left w:val="nil"/>
              <w:bottom w:val="single" w:sz="4" w:space="0" w:color="4F81BD"/>
              <w:right w:val="nil"/>
            </w:tcBorders>
            <w:shd w:val="clear" w:color="auto" w:fill="DCE6F1"/>
            <w:noWrap/>
            <w:vAlign w:val="bottom"/>
            <w:hideMark/>
          </w:tcPr>
          <w:p w14:paraId="7607429A" w14:textId="77777777" w:rsidR="008E5AEA" w:rsidRDefault="008E5AEA">
            <w:pPr>
              <w:keepNext/>
              <w:keepLines/>
              <w:spacing w:before="100" w:beforeAutospacing="1" w:after="100" w:afterAutospacing="1"/>
              <w:ind w:firstLine="200"/>
              <w:outlineLvl w:val="3"/>
              <w:rPr>
                <w:rFonts w:ascii="Calibri" w:hAnsi="Calibri"/>
                <w:i/>
                <w:sz w:val="20"/>
              </w:rPr>
            </w:pPr>
            <w:r>
              <w:rPr>
                <w:rFonts w:ascii="Calibri" w:hAnsi="Calibri"/>
                <w:i/>
                <w:sz w:val="20"/>
                <w:lang w:val="fr-FR"/>
              </w:rPr>
              <w:t>Podicipediformes</w:t>
            </w:r>
          </w:p>
        </w:tc>
      </w:tr>
      <w:tr w:rsidR="008E5AEA" w14:paraId="3B6F49DA"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145C7E8B" w14:textId="77777777" w:rsidR="008E5AEA" w:rsidRDefault="008E5AEA">
            <w:pPr>
              <w:keepNext/>
              <w:keepLines/>
              <w:spacing w:before="100" w:beforeAutospacing="1" w:after="100" w:afterAutospacing="1"/>
              <w:ind w:firstLine="400"/>
              <w:outlineLvl w:val="3"/>
              <w:rPr>
                <w:rFonts w:ascii="Calibri" w:hAnsi="Calibri"/>
                <w:i/>
                <w:sz w:val="20"/>
              </w:rPr>
            </w:pPr>
            <w:r>
              <w:rPr>
                <w:rFonts w:ascii="Calibri" w:hAnsi="Calibri"/>
                <w:i/>
                <w:sz w:val="20"/>
                <w:lang w:val="fr-FR"/>
              </w:rPr>
              <w:t>Podicipedidae</w:t>
            </w:r>
          </w:p>
        </w:tc>
      </w:tr>
      <w:tr w:rsidR="008E5AEA" w:rsidRPr="00BC4D45" w14:paraId="056FDA65" w14:textId="77777777" w:rsidTr="008E5AEA">
        <w:trPr>
          <w:trHeight w:val="300"/>
        </w:trPr>
        <w:tc>
          <w:tcPr>
            <w:tcW w:w="5000" w:type="pct"/>
            <w:tcBorders>
              <w:top w:val="single" w:sz="4" w:space="0" w:color="DCE6F1"/>
              <w:left w:val="nil"/>
              <w:bottom w:val="single" w:sz="4" w:space="0" w:color="DCE6F1"/>
              <w:right w:val="nil"/>
            </w:tcBorders>
            <w:noWrap/>
            <w:vAlign w:val="bottom"/>
            <w:hideMark/>
          </w:tcPr>
          <w:p w14:paraId="3771023E" w14:textId="77777777" w:rsidR="008E5AEA" w:rsidRPr="007C275D" w:rsidRDefault="008E5AEA">
            <w:pPr>
              <w:spacing w:before="100" w:beforeAutospacing="1" w:after="100" w:afterAutospacing="1"/>
              <w:ind w:firstLine="600"/>
              <w:rPr>
                <w:rFonts w:ascii="Calibri" w:hAnsi="Calibri"/>
                <w:sz w:val="20"/>
                <w:lang w:val="fr-FR"/>
              </w:rPr>
            </w:pPr>
            <w:r>
              <w:rPr>
                <w:rFonts w:ascii="Calibri" w:hAnsi="Calibri"/>
                <w:sz w:val="20"/>
                <w:lang w:val="fr-FR"/>
              </w:rPr>
              <w:t>Grèbe esclavon</w:t>
            </w:r>
            <w:r>
              <w:rPr>
                <w:rFonts w:ascii="Calibri" w:hAnsi="Calibri"/>
                <w:i/>
                <w:sz w:val="20"/>
                <w:lang w:val="fr-FR"/>
              </w:rPr>
              <w:t xml:space="preserve"> Podiceps auritus auritus</w:t>
            </w:r>
            <w:r>
              <w:rPr>
                <w:rFonts w:ascii="Calibri" w:hAnsi="Calibri"/>
                <w:sz w:val="20"/>
                <w:lang w:val="fr-FR"/>
              </w:rPr>
              <w:t>, Europe du Nord-Est (petit bec)</w:t>
            </w:r>
          </w:p>
        </w:tc>
      </w:tr>
    </w:tbl>
    <w:p w14:paraId="2F1A0E50" w14:textId="77777777" w:rsidR="008E5AEA" w:rsidRPr="007C275D" w:rsidRDefault="008E5AEA" w:rsidP="008E5AEA">
      <w:pPr>
        <w:rPr>
          <w:lang w:val="fr-FR"/>
        </w:rPr>
      </w:pPr>
      <w:r w:rsidRPr="007C275D">
        <w:rPr>
          <w:color w:val="auto"/>
          <w:lang w:val="fr-FR"/>
        </w:rPr>
        <w:br w:type="page"/>
      </w:r>
    </w:p>
    <w:p w14:paraId="15A3E0B1" w14:textId="77777777" w:rsidR="008E5AEA" w:rsidRPr="007C275D" w:rsidRDefault="008E5AEA" w:rsidP="008E5AEA">
      <w:pPr>
        <w:pStyle w:val="Heading3"/>
        <w:rPr>
          <w:lang w:val="fr-FR"/>
        </w:rPr>
      </w:pPr>
      <w:bookmarkStart w:id="75" w:name="_Toc517262024"/>
      <w:r>
        <w:rPr>
          <w:rFonts w:ascii="Times New Roman" w:eastAsia="Times New Roman" w:hAnsi="Times New Roman" w:cs="Times New Roman"/>
          <w:lang w:val="fr-FR"/>
        </w:rPr>
        <w:lastRenderedPageBreak/>
        <w:t>La surveillance à long terme est essentielle pour évaluer les tendances à long terme</w:t>
      </w:r>
      <w:bookmarkEnd w:id="75"/>
    </w:p>
    <w:p w14:paraId="4AEFA0AB" w14:textId="77777777" w:rsidR="008E5AEA" w:rsidRPr="007C275D" w:rsidRDefault="008E5AEA" w:rsidP="008E5AEA">
      <w:pPr>
        <w:pStyle w:val="Normal1"/>
        <w:rPr>
          <w:sz w:val="22"/>
          <w:lang w:val="fr-FR"/>
        </w:rPr>
      </w:pPr>
    </w:p>
    <w:p w14:paraId="65F3AD11" w14:textId="77777777" w:rsidR="008E5AEA" w:rsidRPr="007C275D" w:rsidRDefault="008E5AEA" w:rsidP="008E5AEA">
      <w:pPr>
        <w:pStyle w:val="Normal1"/>
        <w:jc w:val="both"/>
        <w:rPr>
          <w:szCs w:val="24"/>
          <w:lang w:val="fr-FR"/>
        </w:rPr>
      </w:pPr>
      <w:r>
        <w:rPr>
          <w:szCs w:val="24"/>
          <w:lang w:val="fr-FR"/>
        </w:rPr>
        <w:t xml:space="preserve">Comme le montre la figure 19, la proportion de populations dont la tendance récente n’est pas connue est quatre fois supérieure pour les populations n’étant pas en déclin significatif à long terme que pour celles présentant ce type de déclin. </w:t>
      </w:r>
    </w:p>
    <w:p w14:paraId="5043430F" w14:textId="77777777" w:rsidR="008E5AEA" w:rsidRPr="007C275D" w:rsidRDefault="008E5AEA" w:rsidP="008E5AEA">
      <w:pPr>
        <w:pStyle w:val="Normal1"/>
        <w:jc w:val="both"/>
        <w:rPr>
          <w:szCs w:val="24"/>
          <w:lang w:val="fr-FR"/>
        </w:rPr>
      </w:pPr>
    </w:p>
    <w:p w14:paraId="3F708724" w14:textId="77777777" w:rsidR="008E5AEA" w:rsidRPr="007C275D" w:rsidRDefault="008E5AEA" w:rsidP="008E5AEA">
      <w:pPr>
        <w:pStyle w:val="Normal1"/>
        <w:jc w:val="both"/>
        <w:rPr>
          <w:szCs w:val="24"/>
          <w:lang w:val="fr-FR"/>
        </w:rPr>
      </w:pPr>
      <w:r>
        <w:rPr>
          <w:szCs w:val="24"/>
          <w:lang w:val="fr-FR"/>
        </w:rPr>
        <w:t xml:space="preserve">D’un côté, ceci indique que l’application de la qualification « déclin significatif à long terme » est fondée sur des informations relativement récentes dans plus de 90 % des cas. D’un autre côté, toutefois, ces pourcentages indiquent également que le déclin significatif à long terme risque d’être sous-estimé pour 61 populations qui ne sont pas actuellement considérées comme étant en déclin significatif à long terme, et certaines populations risquent de ne pas recevoir une protection adéquate. Sur les populations dont la tendance à long terme n’est pas connue, 37 % proviennent de la voie de migration Asie de l’Ouest-Afrique de l’Est (14) et de la région de l’Asie centrale et du Sud-Ouest du Paléarctique occidental (9), et 25 autres populations (40 %) appartiennent à la région afro-tropicale, où l’Afrique centrale et occidentale présente les chiffres les plus élevés (11 populations) principalement de pluviers </w:t>
      </w:r>
      <w:r>
        <w:rPr>
          <w:i/>
          <w:szCs w:val="24"/>
          <w:lang w:val="fr-FR"/>
        </w:rPr>
        <w:t>Charadriidae</w:t>
      </w:r>
      <w:r>
        <w:rPr>
          <w:szCs w:val="24"/>
          <w:lang w:val="fr-FR"/>
        </w:rPr>
        <w:t xml:space="preserve"> et de mouettes et de sternes </w:t>
      </w:r>
      <w:r>
        <w:rPr>
          <w:i/>
          <w:szCs w:val="24"/>
          <w:lang w:val="fr-FR"/>
        </w:rPr>
        <w:t>Laridae</w:t>
      </w:r>
      <w:r>
        <w:rPr>
          <w:szCs w:val="24"/>
          <w:lang w:val="fr-FR"/>
        </w:rPr>
        <w:t>,</w:t>
      </w:r>
      <w:r>
        <w:rPr>
          <w:i/>
          <w:szCs w:val="24"/>
          <w:lang w:val="fr-FR"/>
        </w:rPr>
        <w:t xml:space="preserve"> </w:t>
      </w:r>
      <w:r>
        <w:rPr>
          <w:szCs w:val="24"/>
          <w:lang w:val="fr-FR"/>
        </w:rPr>
        <w:t xml:space="preserve">difficiles à surveiller. </w:t>
      </w:r>
    </w:p>
    <w:p w14:paraId="5AFD511C" w14:textId="77777777" w:rsidR="008E5AEA" w:rsidRPr="007C275D" w:rsidRDefault="008E5AEA" w:rsidP="008E5AEA">
      <w:pPr>
        <w:pStyle w:val="Normal1"/>
        <w:rPr>
          <w:lang w:val="fr-FR"/>
        </w:rPr>
      </w:pPr>
    </w:p>
    <w:p w14:paraId="431D81A1" w14:textId="318B1665" w:rsidR="008E5AEA" w:rsidRDefault="00140569" w:rsidP="008E5AEA">
      <w:pPr>
        <w:pStyle w:val="Normal1"/>
      </w:pPr>
      <w:r>
        <w:rPr>
          <w:noProof/>
          <w:lang w:val="nl-NL" w:eastAsia="nl-NL"/>
        </w:rPr>
        <mc:AlternateContent>
          <mc:Choice Requires="wps">
            <w:drawing>
              <wp:anchor distT="0" distB="0" distL="114300" distR="114300" simplePos="0" relativeHeight="251671040" behindDoc="0" locked="0" layoutInCell="1" allowOverlap="1" wp14:anchorId="3FE6EDF1" wp14:editId="450F32B0">
                <wp:simplePos x="0" y="0"/>
                <wp:positionH relativeFrom="column">
                  <wp:posOffset>5388610</wp:posOffset>
                </wp:positionH>
                <wp:positionV relativeFrom="paragraph">
                  <wp:posOffset>1522730</wp:posOffset>
                </wp:positionV>
                <wp:extent cx="901700" cy="1117600"/>
                <wp:effectExtent l="0" t="0" r="0" b="6350"/>
                <wp:wrapNone/>
                <wp:docPr id="76" name="Text Box 76"/>
                <wp:cNvGraphicFramePr/>
                <a:graphic xmlns:a="http://schemas.openxmlformats.org/drawingml/2006/main">
                  <a:graphicData uri="http://schemas.microsoft.com/office/word/2010/wordprocessingShape">
                    <wps:wsp>
                      <wps:cNvSpPr txBox="1"/>
                      <wps:spPr>
                        <a:xfrm>
                          <a:off x="0" y="0"/>
                          <a:ext cx="901700" cy="1117600"/>
                        </a:xfrm>
                        <a:prstGeom prst="rect">
                          <a:avLst/>
                        </a:prstGeom>
                        <a:solidFill>
                          <a:schemeClr val="lt1"/>
                        </a:solidFill>
                        <a:ln w="6350">
                          <a:noFill/>
                        </a:ln>
                      </wps:spPr>
                      <wps:txbx>
                        <w:txbxContent>
                          <w:p w14:paraId="6BE82664" w14:textId="20E75743" w:rsidR="00BC4D45"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 xml:space="preserve">Aucune idée </w:t>
                            </w:r>
                          </w:p>
                          <w:p w14:paraId="660B59F0" w14:textId="77777777" w:rsidR="00BC4D45" w:rsidRPr="00140569" w:rsidRDefault="00BC4D45" w:rsidP="00140569">
                            <w:pPr>
                              <w:pStyle w:val="ListParagraph"/>
                              <w:tabs>
                                <w:tab w:val="left" w:pos="851"/>
                                <w:tab w:val="left" w:pos="3686"/>
                                <w:tab w:val="left" w:pos="6096"/>
                                <w:tab w:val="left" w:pos="7088"/>
                              </w:tabs>
                              <w:ind w:left="142"/>
                              <w:rPr>
                                <w:rFonts w:cstheme="minorHAnsi"/>
                                <w:color w:val="4F81BD" w:themeColor="accent1"/>
                                <w:sz w:val="8"/>
                                <w:szCs w:val="8"/>
                                <w:lang w:val="fr-FR"/>
                              </w:rPr>
                            </w:pPr>
                          </w:p>
                          <w:p w14:paraId="4415B361" w14:textId="63D74A9E" w:rsidR="00BC4D45"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Médiocre</w:t>
                            </w:r>
                          </w:p>
                          <w:p w14:paraId="611F2BAE" w14:textId="77777777" w:rsidR="00BC4D45" w:rsidRPr="00140569" w:rsidRDefault="00BC4D45" w:rsidP="00140569">
                            <w:pPr>
                              <w:pStyle w:val="ListParagraph"/>
                              <w:rPr>
                                <w:rFonts w:cstheme="minorHAnsi"/>
                                <w:color w:val="4F81BD" w:themeColor="accent1"/>
                                <w:sz w:val="8"/>
                                <w:szCs w:val="8"/>
                                <w:lang w:val="fr-FR"/>
                              </w:rPr>
                            </w:pPr>
                          </w:p>
                          <w:p w14:paraId="0F8F5D31" w14:textId="04E94FDE" w:rsidR="00BC4D45"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 xml:space="preserve">Raisonnable </w:t>
                            </w:r>
                          </w:p>
                          <w:p w14:paraId="1BFF2F4B" w14:textId="77777777" w:rsidR="00BC4D45" w:rsidRPr="00140569" w:rsidRDefault="00BC4D45" w:rsidP="00140569">
                            <w:pPr>
                              <w:pStyle w:val="ListParagraph"/>
                              <w:rPr>
                                <w:rFonts w:cstheme="minorHAnsi"/>
                                <w:color w:val="4F81BD" w:themeColor="accent1"/>
                                <w:sz w:val="8"/>
                                <w:szCs w:val="8"/>
                                <w:lang w:val="fr-FR"/>
                              </w:rPr>
                            </w:pPr>
                          </w:p>
                          <w:p w14:paraId="09F6E92F" w14:textId="77777777" w:rsidR="00BC4D45" w:rsidRPr="004B32F8"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 xml:space="preserve">Bonne </w:t>
                            </w:r>
                          </w:p>
                          <w:p w14:paraId="5E87A31A"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EDF1" id="Text Box 76" o:spid="_x0000_s1041" type="#_x0000_t202" style="position:absolute;margin-left:424.3pt;margin-top:119.9pt;width:71pt;height: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" fillcolor="white [3201]" stroked="f" strokeweight=".5pt">
                <v:textbox>
                  <w:txbxContent>
                    <w:p w14:paraId="6BE82664" w14:textId="20E75743" w:rsidR="00BC4D45"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 xml:space="preserve">Aucune idée </w:t>
                      </w:r>
                    </w:p>
                    <w:p w14:paraId="660B59F0" w14:textId="77777777" w:rsidR="00BC4D45" w:rsidRPr="00140569" w:rsidRDefault="00BC4D45" w:rsidP="00140569">
                      <w:pPr>
                        <w:pStyle w:val="ListParagraph"/>
                        <w:tabs>
                          <w:tab w:val="left" w:pos="851"/>
                          <w:tab w:val="left" w:pos="3686"/>
                          <w:tab w:val="left" w:pos="6096"/>
                          <w:tab w:val="left" w:pos="7088"/>
                        </w:tabs>
                        <w:ind w:left="142"/>
                        <w:rPr>
                          <w:rFonts w:cstheme="minorHAnsi"/>
                          <w:color w:val="4F81BD" w:themeColor="accent1"/>
                          <w:sz w:val="8"/>
                          <w:szCs w:val="8"/>
                          <w:lang w:val="fr-FR"/>
                        </w:rPr>
                      </w:pPr>
                    </w:p>
                    <w:p w14:paraId="4415B361" w14:textId="63D74A9E" w:rsidR="00BC4D45"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Médiocre</w:t>
                      </w:r>
                    </w:p>
                    <w:p w14:paraId="611F2BAE" w14:textId="77777777" w:rsidR="00BC4D45" w:rsidRPr="00140569" w:rsidRDefault="00BC4D45" w:rsidP="00140569">
                      <w:pPr>
                        <w:pStyle w:val="ListParagraph"/>
                        <w:rPr>
                          <w:rFonts w:cstheme="minorHAnsi"/>
                          <w:color w:val="4F81BD" w:themeColor="accent1"/>
                          <w:sz w:val="8"/>
                          <w:szCs w:val="8"/>
                          <w:lang w:val="fr-FR"/>
                        </w:rPr>
                      </w:pPr>
                    </w:p>
                    <w:p w14:paraId="0F8F5D31" w14:textId="04E94FDE" w:rsidR="00BC4D45"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 xml:space="preserve">Raisonnable </w:t>
                      </w:r>
                    </w:p>
                    <w:p w14:paraId="1BFF2F4B" w14:textId="77777777" w:rsidR="00BC4D45" w:rsidRPr="00140569" w:rsidRDefault="00BC4D45" w:rsidP="00140569">
                      <w:pPr>
                        <w:pStyle w:val="ListParagraph"/>
                        <w:rPr>
                          <w:rFonts w:cstheme="minorHAnsi"/>
                          <w:color w:val="4F81BD" w:themeColor="accent1"/>
                          <w:sz w:val="8"/>
                          <w:szCs w:val="8"/>
                          <w:lang w:val="fr-FR"/>
                        </w:rPr>
                      </w:pPr>
                    </w:p>
                    <w:p w14:paraId="09F6E92F" w14:textId="77777777" w:rsidR="00BC4D45" w:rsidRPr="004B32F8" w:rsidRDefault="00BC4D45" w:rsidP="00140569">
                      <w:pPr>
                        <w:pStyle w:val="ListParagraph"/>
                        <w:numPr>
                          <w:ilvl w:val="0"/>
                          <w:numId w:val="30"/>
                        </w:numPr>
                        <w:tabs>
                          <w:tab w:val="left" w:pos="851"/>
                          <w:tab w:val="left" w:pos="3686"/>
                          <w:tab w:val="left" w:pos="6096"/>
                          <w:tab w:val="left" w:pos="7088"/>
                        </w:tabs>
                        <w:ind w:left="142" w:hanging="142"/>
                        <w:rPr>
                          <w:rFonts w:cstheme="minorHAnsi"/>
                          <w:color w:val="4F81BD" w:themeColor="accent1"/>
                          <w:sz w:val="18"/>
                          <w:szCs w:val="18"/>
                          <w:lang w:val="fr-FR"/>
                        </w:rPr>
                      </w:pPr>
                      <w:r w:rsidRPr="004B32F8">
                        <w:rPr>
                          <w:rFonts w:cstheme="minorHAnsi"/>
                          <w:color w:val="4F81BD" w:themeColor="accent1"/>
                          <w:sz w:val="18"/>
                          <w:szCs w:val="18"/>
                          <w:lang w:val="fr-FR"/>
                        </w:rPr>
                        <w:t xml:space="preserve">Bonne </w:t>
                      </w:r>
                    </w:p>
                    <w:p w14:paraId="5E87A31A" w14:textId="77777777" w:rsidR="00BC4D45" w:rsidRDefault="00BC4D45"/>
                  </w:txbxContent>
                </v:textbox>
              </v:shape>
            </w:pict>
          </mc:Fallback>
        </mc:AlternateContent>
      </w:r>
      <w:r w:rsidR="008E5AEA">
        <w:rPr>
          <w:noProof/>
          <w:lang w:val="nl-NL" w:eastAsia="nl-NL"/>
        </w:rPr>
        <w:drawing>
          <wp:inline distT="0" distB="0" distL="0" distR="0" wp14:anchorId="37F54CF0" wp14:editId="41999E94">
            <wp:extent cx="5278120" cy="3783965"/>
            <wp:effectExtent l="0" t="0" r="0" b="698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783965"/>
                    </a:xfrm>
                    <a:prstGeom prst="rect">
                      <a:avLst/>
                    </a:prstGeom>
                    <a:noFill/>
                    <a:ln>
                      <a:noFill/>
                    </a:ln>
                  </pic:spPr>
                </pic:pic>
              </a:graphicData>
            </a:graphic>
          </wp:inline>
        </w:drawing>
      </w:r>
    </w:p>
    <w:p w14:paraId="1C4E8EEA" w14:textId="75646A68" w:rsidR="004B32F8" w:rsidRPr="004B32F8" w:rsidRDefault="004B32F8" w:rsidP="008E5AEA">
      <w:pPr>
        <w:pStyle w:val="Normal1"/>
        <w:rPr>
          <w:sz w:val="18"/>
          <w:szCs w:val="18"/>
        </w:rPr>
      </w:pPr>
    </w:p>
    <w:p w14:paraId="65586B28" w14:textId="4DAB2C1C" w:rsidR="00A37B4B" w:rsidRPr="00A37B4B" w:rsidRDefault="00A37B4B" w:rsidP="00A37B4B">
      <w:pPr>
        <w:pStyle w:val="ListParagraph"/>
        <w:numPr>
          <w:ilvl w:val="0"/>
          <w:numId w:val="29"/>
        </w:numPr>
        <w:tabs>
          <w:tab w:val="left" w:pos="3686"/>
          <w:tab w:val="left" w:pos="6096"/>
          <w:tab w:val="left" w:pos="7088"/>
        </w:tabs>
        <w:ind w:left="142" w:hanging="142"/>
        <w:rPr>
          <w:rFonts w:cstheme="minorHAnsi"/>
          <w:color w:val="4F81BD" w:themeColor="accent1"/>
          <w:sz w:val="18"/>
          <w:szCs w:val="18"/>
          <w:lang w:val="fr-FR"/>
        </w:rPr>
      </w:pPr>
      <w:bookmarkStart w:id="76" w:name="h.3j2qqm3"/>
      <w:bookmarkEnd w:id="76"/>
      <w:r w:rsidRPr="00A37B4B">
        <w:rPr>
          <w:color w:val="4F81BD" w:themeColor="accent1"/>
          <w:sz w:val="18"/>
          <w:szCs w:val="18"/>
          <w:lang w:val="fr-FR"/>
        </w:rPr>
        <w:t>N’étant pas en déclin significatif à long terme</w:t>
      </w:r>
    </w:p>
    <w:p w14:paraId="0C13BE91" w14:textId="77777777" w:rsidR="00A37B4B" w:rsidRPr="00A37B4B" w:rsidRDefault="00A37B4B" w:rsidP="00A37B4B">
      <w:pPr>
        <w:pStyle w:val="ListParagraph"/>
        <w:numPr>
          <w:ilvl w:val="0"/>
          <w:numId w:val="29"/>
        </w:numPr>
        <w:tabs>
          <w:tab w:val="left" w:pos="3686"/>
          <w:tab w:val="left" w:pos="6096"/>
          <w:tab w:val="left" w:pos="7088"/>
        </w:tabs>
        <w:ind w:left="142" w:hanging="142"/>
        <w:rPr>
          <w:color w:val="4F81BD" w:themeColor="accent1"/>
          <w:sz w:val="18"/>
          <w:szCs w:val="18"/>
          <w:lang w:val="fr-FR"/>
        </w:rPr>
      </w:pPr>
      <w:r w:rsidRPr="00A37B4B">
        <w:rPr>
          <w:color w:val="4F81BD" w:themeColor="accent1"/>
          <w:sz w:val="18"/>
          <w:szCs w:val="18"/>
          <w:lang w:val="fr-FR"/>
        </w:rPr>
        <w:t>En déclin significatif à long terme</w:t>
      </w:r>
    </w:p>
    <w:p w14:paraId="5E02CAE3" w14:textId="77777777" w:rsidR="008E5AEA" w:rsidRPr="00A37B4B" w:rsidRDefault="008E5AEA" w:rsidP="008E5AEA">
      <w:pPr>
        <w:pStyle w:val="Caption"/>
        <w:rPr>
          <w:lang w:val="fr-FR"/>
        </w:rPr>
      </w:pPr>
    </w:p>
    <w:p w14:paraId="2C2E58A8" w14:textId="560CBD77" w:rsidR="008E5AEA" w:rsidRPr="007C275D" w:rsidRDefault="008E5AEA" w:rsidP="008E5AEA">
      <w:pPr>
        <w:pStyle w:val="Caption"/>
        <w:rPr>
          <w:b w:val="0"/>
          <w:lang w:val="fr-FR"/>
        </w:rPr>
      </w:pPr>
      <w:r>
        <w:rPr>
          <w:lang w:val="fr-FR"/>
        </w:rPr>
        <w:t xml:space="preserve">Figure 19. Qualité des évaluations de tendance de population pour les populations classées en fonction du fait d’être ou non en déclin significatif à long terme. </w:t>
      </w:r>
      <w:r>
        <w:rPr>
          <w:b w:val="0"/>
          <w:lang w:val="fr-FR"/>
        </w:rPr>
        <w:t>(Les chiffres correspondent au nombre de populations dans chaque catégorie).</w:t>
      </w:r>
    </w:p>
    <w:p w14:paraId="090BF7FB" w14:textId="77777777" w:rsidR="008E5AEA" w:rsidRPr="007C275D" w:rsidRDefault="008E5AEA" w:rsidP="008E5AEA">
      <w:pPr>
        <w:pStyle w:val="Normal1"/>
        <w:rPr>
          <w:lang w:val="fr-FR"/>
        </w:rPr>
      </w:pPr>
      <w:r w:rsidRPr="007C275D">
        <w:rPr>
          <w:color w:val="auto"/>
          <w:lang w:val="fr-FR"/>
        </w:rPr>
        <w:br w:type="page"/>
      </w:r>
    </w:p>
    <w:p w14:paraId="2B350E95" w14:textId="77777777" w:rsidR="008E5AEA" w:rsidRPr="007C275D" w:rsidRDefault="008E5AEA" w:rsidP="008E5AEA">
      <w:pPr>
        <w:pStyle w:val="Heading3"/>
        <w:spacing w:before="0"/>
        <w:rPr>
          <w:rFonts w:ascii="Times New Roman" w:eastAsia="Times New Roman" w:hAnsi="Times New Roman" w:cs="Times New Roman"/>
          <w:lang w:val="fr-FR"/>
        </w:rPr>
      </w:pPr>
      <w:bookmarkStart w:id="77" w:name="_Toc517262025"/>
      <w:r>
        <w:rPr>
          <w:rFonts w:ascii="Times New Roman" w:eastAsia="Times New Roman" w:hAnsi="Times New Roman" w:cs="Times New Roman"/>
          <w:lang w:val="fr-FR"/>
        </w:rPr>
        <w:lastRenderedPageBreak/>
        <w:t>Comment les populations de l’AEWA ont-elles changé au fil du temps ?</w:t>
      </w:r>
      <w:bookmarkEnd w:id="77"/>
    </w:p>
    <w:p w14:paraId="2D7D3F06" w14:textId="77777777" w:rsidR="008E5AEA" w:rsidRPr="007C275D" w:rsidRDefault="008E5AEA" w:rsidP="008E5AEA">
      <w:pPr>
        <w:pStyle w:val="Normal1"/>
        <w:rPr>
          <w:lang w:val="fr-FR"/>
        </w:rPr>
      </w:pPr>
    </w:p>
    <w:p w14:paraId="38E79B4D" w14:textId="77777777" w:rsidR="008E5AEA" w:rsidRPr="007C275D" w:rsidRDefault="008E5AEA" w:rsidP="008E5AEA">
      <w:pPr>
        <w:pStyle w:val="Normal1"/>
        <w:jc w:val="both"/>
        <w:rPr>
          <w:lang w:val="fr-FR"/>
        </w:rPr>
      </w:pPr>
      <w:r>
        <w:rPr>
          <w:lang w:val="fr-FR"/>
        </w:rPr>
        <w:t>La disponibilité des recensements annuels des oiseaux d’eau dans la zone de l’Accord et celle de l’outil MSI</w:t>
      </w:r>
      <w:r>
        <w:rPr>
          <w:rStyle w:val="FootnoteReference"/>
          <w:lang w:val="fr-FR"/>
        </w:rPr>
        <w:footnoteReference w:id="12"/>
      </w:r>
      <w:r>
        <w:rPr>
          <w:lang w:val="fr-FR"/>
        </w:rPr>
        <w:t xml:space="preserve"> (Indice multi espèces), mis au point par Statistics Netherlands, nous permettent à présent de produire des indicateurs multi-espèces annuels pour les populations couvertes par l’AEWA. Nous sommes actuellement en mesure d’utiliser des données de tendance de l’IWC pour 141 populations de l’AEWA (soit 25 % de l’ensemble des populations de l’AEWA et 31 % des populations pour lesquelles on dispose d’évaluations de tendances). La figure 20 montre que l’indice global a augmenté lentement au cours des 25 dernières années, restant stable au cours des 10 dernières, mais avec des différences régionales très marquées, comme l’indique la figure 21. </w:t>
      </w:r>
    </w:p>
    <w:p w14:paraId="283DB5D0" w14:textId="31D823C4" w:rsidR="008E5AEA" w:rsidRPr="007C275D" w:rsidRDefault="008E5AEA" w:rsidP="008E5AEA">
      <w:pPr>
        <w:pStyle w:val="Normal1"/>
        <w:rPr>
          <w:lang w:val="fr-FR"/>
        </w:rPr>
      </w:pPr>
    </w:p>
    <w:p w14:paraId="6274A20F" w14:textId="4BE0F6B6" w:rsidR="008E5AEA" w:rsidRPr="00BC4D45" w:rsidRDefault="00140569" w:rsidP="008E5AEA">
      <w:pPr>
        <w:keepNext/>
        <w:rPr>
          <w:lang w:val="fr-FR"/>
        </w:rPr>
      </w:pPr>
      <w:r>
        <w:rPr>
          <w:noProof/>
          <w:lang w:val="nl-NL" w:eastAsia="nl-NL"/>
        </w:rPr>
        <w:drawing>
          <wp:anchor distT="0" distB="0" distL="114300" distR="114300" simplePos="0" relativeHeight="251672064" behindDoc="1" locked="0" layoutInCell="1" allowOverlap="1" wp14:anchorId="5895678E" wp14:editId="402DB936">
            <wp:simplePos x="0" y="0"/>
            <wp:positionH relativeFrom="column">
              <wp:posOffset>778510</wp:posOffset>
            </wp:positionH>
            <wp:positionV relativeFrom="paragraph">
              <wp:posOffset>17145</wp:posOffset>
            </wp:positionV>
            <wp:extent cx="5346700" cy="3020695"/>
            <wp:effectExtent l="0" t="0" r="0" b="8255"/>
            <wp:wrapTight wrapText="bothSides">
              <wp:wrapPolygon edited="0">
                <wp:start x="2155" y="0"/>
                <wp:lineTo x="2155" y="21523"/>
                <wp:lineTo x="19394" y="21523"/>
                <wp:lineTo x="19394" y="0"/>
                <wp:lineTo x="2155" y="0"/>
              </wp:wrapPolygon>
            </wp:wrapTight>
            <wp:docPr id="40" name="Afbeelding 40" descr="TOTAL_GRAP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TOTAL_GRAPH.JPG"/>
                    <pic:cNvPicPr>
                      <a:picLocks noGrp="1" noChangeAspect="1" noChangeArrowheads="1"/>
                    </pic:cNvPicPr>
                  </pic:nvPicPr>
                  <pic:blipFill>
                    <a:blip r:embed="rId46">
                      <a:extLst>
                        <a:ext uri="{28A0092B-C50C-407E-A947-70E740481C1C}">
                          <a14:useLocalDpi xmlns:a14="http://schemas.microsoft.com/office/drawing/2010/main" val="0"/>
                        </a:ext>
                      </a:extLst>
                    </a:blip>
                    <a:srcRect l="-13600" r="-13600"/>
                    <a:stretch>
                      <a:fillRect/>
                    </a:stretch>
                  </pic:blipFill>
                  <pic:spPr bwMode="auto">
                    <a:xfrm>
                      <a:off x="0" y="0"/>
                      <a:ext cx="5346700" cy="3020695"/>
                    </a:xfrm>
                    <a:prstGeom prst="rect">
                      <a:avLst/>
                    </a:prstGeom>
                    <a:noFill/>
                    <a:ln>
                      <a:noFill/>
                    </a:ln>
                  </pic:spPr>
                </pic:pic>
              </a:graphicData>
            </a:graphic>
            <wp14:sizeRelH relativeFrom="margin">
              <wp14:pctWidth>0</wp14:pctWidth>
            </wp14:sizeRelH>
          </wp:anchor>
        </w:drawing>
      </w:r>
    </w:p>
    <w:p w14:paraId="1A7BE669" w14:textId="77777777" w:rsidR="004B32F8" w:rsidRDefault="004B32F8" w:rsidP="004B32F8">
      <w:pPr>
        <w:tabs>
          <w:tab w:val="left" w:pos="851"/>
          <w:tab w:val="left" w:pos="3686"/>
          <w:tab w:val="left" w:pos="6096"/>
          <w:tab w:val="left" w:pos="7088"/>
        </w:tabs>
        <w:rPr>
          <w:rFonts w:cstheme="minorHAnsi"/>
          <w:color w:val="4F81BD" w:themeColor="accent1"/>
          <w:sz w:val="18"/>
          <w:szCs w:val="18"/>
          <w:lang w:val="fr-FR"/>
        </w:rPr>
      </w:pPr>
    </w:p>
    <w:p w14:paraId="3C524CB1"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01D7469C" w14:textId="4833F4E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39BF64B" w14:textId="4BEDB49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3F5BF7B" w14:textId="3AA8515B"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0CA1891" w14:textId="6AE04DF5"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30505E5A"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69EACF6" w14:textId="5AC1C600"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1875B124" w14:textId="0C471970"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r>
        <w:rPr>
          <w:rFonts w:cstheme="minorHAnsi"/>
          <w:noProof/>
          <w:color w:val="4F81BD" w:themeColor="accent1"/>
          <w:sz w:val="18"/>
          <w:szCs w:val="18"/>
          <w:lang w:val="fr-FR"/>
        </w:rPr>
        <mc:AlternateContent>
          <mc:Choice Requires="wps">
            <w:drawing>
              <wp:anchor distT="0" distB="0" distL="114300" distR="114300" simplePos="0" relativeHeight="251654656" behindDoc="0" locked="0" layoutInCell="1" allowOverlap="1" wp14:anchorId="050FA07D" wp14:editId="7A0D2F0F">
                <wp:simplePos x="0" y="0"/>
                <wp:positionH relativeFrom="column">
                  <wp:posOffset>105410</wp:posOffset>
                </wp:positionH>
                <wp:positionV relativeFrom="paragraph">
                  <wp:posOffset>85725</wp:posOffset>
                </wp:positionV>
                <wp:extent cx="901700" cy="711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901700" cy="711200"/>
                        </a:xfrm>
                        <a:prstGeom prst="rect">
                          <a:avLst/>
                        </a:prstGeom>
                        <a:solidFill>
                          <a:schemeClr val="lt1"/>
                        </a:solidFill>
                        <a:ln w="6350">
                          <a:noFill/>
                        </a:ln>
                      </wps:spPr>
                      <wps:txbx>
                        <w:txbxContent>
                          <w:p w14:paraId="497D04EB" w14:textId="4AB9FA32" w:rsidR="00BC4D45" w:rsidRDefault="00BC4D45">
                            <w:r w:rsidRPr="004B32F8">
                              <w:rPr>
                                <w:rFonts w:cstheme="minorHAnsi"/>
                                <w:color w:val="4F81BD" w:themeColor="accent1"/>
                                <w:sz w:val="18"/>
                                <w:szCs w:val="18"/>
                                <w:lang w:val="fr-FR"/>
                              </w:rPr>
                              <w:t>Indice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FA07D" id="Text Box 78" o:spid="_x0000_s1042" type="#_x0000_t202" style="position:absolute;margin-left:8.3pt;margin-top:6.75pt;width:71pt;height:56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" fillcolor="white [3201]" stroked="f" strokeweight=".5pt">
                <v:textbox>
                  <w:txbxContent>
                    <w:p w14:paraId="497D04EB" w14:textId="4AB9FA32" w:rsidR="00BC4D45" w:rsidRDefault="00BC4D45">
                      <w:r w:rsidRPr="004B32F8">
                        <w:rPr>
                          <w:rFonts w:cstheme="minorHAnsi"/>
                          <w:color w:val="4F81BD" w:themeColor="accent1"/>
                          <w:sz w:val="18"/>
                          <w:szCs w:val="18"/>
                          <w:lang w:val="fr-FR"/>
                        </w:rPr>
                        <w:t>Indice</w:t>
                      </w:r>
                    </w:p>
                  </w:txbxContent>
                </v:textbox>
              </v:shape>
            </w:pict>
          </mc:Fallback>
        </mc:AlternateContent>
      </w:r>
    </w:p>
    <w:p w14:paraId="074600DB" w14:textId="1A51CECA"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94D5732"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56B5FB4D"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3D25CA12"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4FDFFBB"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144036E"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1713949D"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1061DDD7"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0F89BD05"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4D694780"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7911F59E"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3103A52D"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5F86E2E6"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067A03A7" w14:textId="77777777" w:rsidR="00140569" w:rsidRDefault="00140569" w:rsidP="004B32F8">
      <w:pPr>
        <w:tabs>
          <w:tab w:val="left" w:pos="851"/>
          <w:tab w:val="left" w:pos="3686"/>
          <w:tab w:val="left" w:pos="6096"/>
          <w:tab w:val="left" w:pos="7088"/>
        </w:tabs>
        <w:rPr>
          <w:rFonts w:cstheme="minorHAnsi"/>
          <w:color w:val="4F81BD" w:themeColor="accent1"/>
          <w:sz w:val="18"/>
          <w:szCs w:val="18"/>
          <w:lang w:val="fr-FR"/>
        </w:rPr>
      </w:pPr>
    </w:p>
    <w:p w14:paraId="6EA1AFA6" w14:textId="25D02699" w:rsidR="004B32F8" w:rsidRPr="004B32F8" w:rsidRDefault="00140569" w:rsidP="004B32F8">
      <w:pPr>
        <w:tabs>
          <w:tab w:val="left" w:pos="851"/>
          <w:tab w:val="left" w:pos="3686"/>
          <w:tab w:val="left" w:pos="6096"/>
          <w:tab w:val="left" w:pos="7088"/>
        </w:tabs>
        <w:rPr>
          <w:rFonts w:cstheme="minorHAnsi"/>
          <w:color w:val="4F81BD" w:themeColor="accent1"/>
          <w:sz w:val="18"/>
          <w:szCs w:val="18"/>
          <w:lang w:val="fr-FR"/>
        </w:rPr>
      </w:pPr>
      <w:r>
        <w:rPr>
          <w:rFonts w:cstheme="minorHAnsi"/>
          <w:color w:val="4F81BD" w:themeColor="accent1"/>
          <w:sz w:val="18"/>
          <w:szCs w:val="18"/>
          <w:lang w:val="fr-FR"/>
        </w:rPr>
        <w:t xml:space="preserve">                                                                                                                        </w:t>
      </w:r>
      <w:r w:rsidR="004B32F8">
        <w:rPr>
          <w:rFonts w:cstheme="minorHAnsi"/>
          <w:color w:val="4F81BD" w:themeColor="accent1"/>
          <w:sz w:val="18"/>
          <w:szCs w:val="18"/>
          <w:lang w:val="fr-FR"/>
        </w:rPr>
        <w:t xml:space="preserve"> </w:t>
      </w:r>
      <w:r w:rsidR="004B32F8" w:rsidRPr="004B32F8">
        <w:rPr>
          <w:rFonts w:cstheme="minorHAnsi"/>
          <w:color w:val="4F81BD" w:themeColor="accent1"/>
          <w:sz w:val="18"/>
          <w:szCs w:val="18"/>
          <w:lang w:val="fr-FR"/>
        </w:rPr>
        <w:t>Saison</w:t>
      </w:r>
    </w:p>
    <w:p w14:paraId="2F7A0DD0" w14:textId="77777777" w:rsidR="008E5AEA" w:rsidRPr="00D95894" w:rsidRDefault="008E5AEA" w:rsidP="004B32F8">
      <w:pPr>
        <w:pStyle w:val="Caption"/>
        <w:spacing w:after="0"/>
        <w:rPr>
          <w:lang w:val="fr-FR"/>
        </w:rPr>
      </w:pPr>
    </w:p>
    <w:p w14:paraId="7870C1C5" w14:textId="77777777" w:rsidR="008E5AEA" w:rsidRPr="007C275D" w:rsidRDefault="008E5AEA" w:rsidP="004B32F8">
      <w:pPr>
        <w:pStyle w:val="Caption"/>
        <w:spacing w:after="0"/>
        <w:rPr>
          <w:lang w:val="fr-FR"/>
        </w:rPr>
      </w:pPr>
      <w:r>
        <w:rPr>
          <w:lang w:val="fr-FR"/>
        </w:rPr>
        <w:t>Figure 20. Indices multi-espèces du changement global des populations de l’AEWA (N = 141) pendant la période 1991-2015 sur la base du Recensement international des oiseaux d’eau</w:t>
      </w:r>
    </w:p>
    <w:p w14:paraId="18C6A146" w14:textId="77777777" w:rsidR="008E5AEA" w:rsidRPr="007C275D" w:rsidRDefault="008E5AEA" w:rsidP="008E5AEA">
      <w:pPr>
        <w:rPr>
          <w:lang w:val="fr-FR"/>
        </w:rPr>
      </w:pPr>
      <w:r w:rsidRPr="007C275D">
        <w:rPr>
          <w:color w:val="auto"/>
          <w:lang w:val="fr-FR"/>
        </w:rPr>
        <w:br w:type="page"/>
      </w:r>
    </w:p>
    <w:tbl>
      <w:tblPr>
        <w:tblW w:w="0" w:type="auto"/>
        <w:tblLook w:val="04A0" w:firstRow="1" w:lastRow="0" w:firstColumn="1" w:lastColumn="0" w:noHBand="0" w:noVBand="1"/>
      </w:tblPr>
      <w:tblGrid>
        <w:gridCol w:w="4261"/>
        <w:gridCol w:w="4262"/>
      </w:tblGrid>
      <w:tr w:rsidR="008E5AEA" w:rsidRPr="00BC4D45" w14:paraId="77D7F15A" w14:textId="77777777" w:rsidTr="008E5AEA">
        <w:tc>
          <w:tcPr>
            <w:tcW w:w="4261" w:type="dxa"/>
            <w:hideMark/>
          </w:tcPr>
          <w:p w14:paraId="1C73649C" w14:textId="77777777" w:rsidR="008E5AEA" w:rsidRPr="00BC4D45" w:rsidRDefault="008E5AEA">
            <w:pPr>
              <w:rPr>
                <w:b/>
                <w:bCs/>
                <w:color w:val="4F81BD" w:themeColor="accent1"/>
                <w:sz w:val="18"/>
                <w:szCs w:val="18"/>
                <w:lang w:val="fr-FR"/>
              </w:rPr>
            </w:pPr>
            <w:r>
              <w:rPr>
                <w:b/>
                <w:bCs/>
                <w:color w:val="4F81BD" w:themeColor="accent1"/>
                <w:sz w:val="18"/>
                <w:szCs w:val="18"/>
                <w:lang w:val="fr-FR"/>
              </w:rPr>
              <w:lastRenderedPageBreak/>
              <w:t>a) Région afro-tropicale - orientale</w:t>
            </w:r>
          </w:p>
        </w:tc>
        <w:tc>
          <w:tcPr>
            <w:tcW w:w="4262" w:type="dxa"/>
            <w:hideMark/>
          </w:tcPr>
          <w:p w14:paraId="11E77749" w14:textId="77777777" w:rsidR="008E5AEA" w:rsidRPr="007C275D" w:rsidRDefault="008E5AEA">
            <w:pPr>
              <w:rPr>
                <w:b/>
                <w:bCs/>
                <w:color w:val="4F81BD" w:themeColor="accent1"/>
                <w:sz w:val="18"/>
                <w:szCs w:val="18"/>
                <w:lang w:val="fr-FR"/>
              </w:rPr>
            </w:pPr>
            <w:r>
              <w:rPr>
                <w:b/>
                <w:bCs/>
                <w:color w:val="4F81BD" w:themeColor="accent1"/>
                <w:sz w:val="18"/>
                <w:szCs w:val="18"/>
                <w:lang w:val="fr-FR"/>
              </w:rPr>
              <w:t>b) Région afro-tropicale - orientale et australe</w:t>
            </w:r>
          </w:p>
        </w:tc>
      </w:tr>
      <w:tr w:rsidR="008E5AEA" w14:paraId="3BD47021" w14:textId="77777777" w:rsidTr="008E5AEA">
        <w:tc>
          <w:tcPr>
            <w:tcW w:w="4261" w:type="dxa"/>
            <w:hideMark/>
          </w:tcPr>
          <w:p w14:paraId="3252EEA0" w14:textId="753BE390" w:rsidR="008E5AEA" w:rsidRDefault="008E5AEA">
            <w:r>
              <w:rPr>
                <w:noProof/>
                <w:lang w:val="nl-NL" w:eastAsia="nl-NL"/>
              </w:rPr>
              <w:drawing>
                <wp:inline distT="0" distB="0" distL="0" distR="0" wp14:anchorId="76B2A0A7" wp14:editId="300921D4">
                  <wp:extent cx="2515870" cy="1759585"/>
                  <wp:effectExtent l="0" t="0" r="0" b="0"/>
                  <wp:docPr id="39" name="Afbeelding 39" descr="Macintosh HD:Users:szabika:Dropbox:My files:Work:Wetlands International:Ongoing Projects:1366 CSR7:4 Report:Data analysis:with setting to 0:1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zabika:Dropbox:My files:Work:Wetlands International:Ongoing Projects:1366 CSR7:4 Report:Data analysis:with setting to 0:1_GRAP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32993D61" w14:textId="299CD16A" w:rsidR="008E5AEA" w:rsidRDefault="008E5AEA">
            <w:r>
              <w:rPr>
                <w:noProof/>
                <w:lang w:val="nl-NL" w:eastAsia="nl-NL"/>
              </w:rPr>
              <w:drawing>
                <wp:inline distT="0" distB="0" distL="0" distR="0" wp14:anchorId="3DCA205A" wp14:editId="696387EC">
                  <wp:extent cx="2515870" cy="1759585"/>
                  <wp:effectExtent l="0" t="0" r="0" b="0"/>
                  <wp:docPr id="38" name="Afbeelding 38" descr="Macintosh HD:Users:szabika:Dropbox:My files:Work:Wetlands International:Ongoing Projects:1366 CSR7:4 Report:Data analysis:with setting to 0: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zabika:Dropbox:My files:Work:Wetlands International:Ongoing Projects:1366 CSR7:4 Report:Data analysis:with setting to 0:2_GRAP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BC4D45" w14:paraId="250EBC5C" w14:textId="77777777" w:rsidTr="008E5AEA">
        <w:tc>
          <w:tcPr>
            <w:tcW w:w="4261" w:type="dxa"/>
            <w:hideMark/>
          </w:tcPr>
          <w:p w14:paraId="5FDE7D2D" w14:textId="77777777" w:rsidR="008E5AEA" w:rsidRPr="00BC4D45" w:rsidRDefault="008E5AEA">
            <w:pPr>
              <w:rPr>
                <w:b/>
                <w:bCs/>
                <w:color w:val="4F81BD" w:themeColor="accent1"/>
                <w:sz w:val="18"/>
                <w:szCs w:val="18"/>
                <w:lang w:val="fr-FR"/>
              </w:rPr>
            </w:pPr>
            <w:r>
              <w:rPr>
                <w:b/>
                <w:bCs/>
                <w:color w:val="4F81BD" w:themeColor="accent1"/>
                <w:sz w:val="18"/>
                <w:szCs w:val="18"/>
                <w:lang w:val="fr-FR"/>
              </w:rPr>
              <w:t>c) Région afro-tropicale - australe</w:t>
            </w:r>
          </w:p>
        </w:tc>
        <w:tc>
          <w:tcPr>
            <w:tcW w:w="4262" w:type="dxa"/>
            <w:hideMark/>
          </w:tcPr>
          <w:p w14:paraId="7575035B" w14:textId="77777777" w:rsidR="008E5AEA" w:rsidRPr="007C275D" w:rsidRDefault="008E5AEA">
            <w:pPr>
              <w:rPr>
                <w:b/>
                <w:bCs/>
                <w:color w:val="4F81BD" w:themeColor="accent1"/>
                <w:sz w:val="18"/>
                <w:szCs w:val="18"/>
                <w:lang w:val="fr-FR"/>
              </w:rPr>
            </w:pPr>
            <w:r>
              <w:rPr>
                <w:b/>
                <w:bCs/>
                <w:color w:val="4F81BD" w:themeColor="accent1"/>
                <w:sz w:val="18"/>
                <w:szCs w:val="18"/>
                <w:lang w:val="fr-FR"/>
              </w:rPr>
              <w:t>d) Région afro-tropicale - subsaharienne</w:t>
            </w:r>
          </w:p>
        </w:tc>
      </w:tr>
      <w:tr w:rsidR="008E5AEA" w14:paraId="04D3667B" w14:textId="77777777" w:rsidTr="008E5AEA">
        <w:tc>
          <w:tcPr>
            <w:tcW w:w="4261" w:type="dxa"/>
            <w:hideMark/>
          </w:tcPr>
          <w:p w14:paraId="415CEA77" w14:textId="08D09C9E" w:rsidR="008E5AEA" w:rsidRDefault="008E5AEA">
            <w:r>
              <w:rPr>
                <w:noProof/>
                <w:lang w:val="nl-NL" w:eastAsia="nl-NL"/>
              </w:rPr>
              <w:drawing>
                <wp:inline distT="0" distB="0" distL="0" distR="0" wp14:anchorId="0E47F5F0" wp14:editId="2A6254A2">
                  <wp:extent cx="2515870" cy="1759585"/>
                  <wp:effectExtent l="0" t="0" r="0" b="0"/>
                  <wp:docPr id="37" name="Afbeelding 37" descr="Macintosh HD:Users:szabika:Dropbox:My files:Work:Wetlands International:Ongoing Projects:1366 CSR7:4 Report:Data analysis:with setting to 0: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zabika:Dropbox:My files:Work:Wetlands International:Ongoing Projects:1366 CSR7:4 Report:Data analysis:with setting to 0:3_GRAP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249BB74A" w14:textId="3B731A0A" w:rsidR="008E5AEA" w:rsidRDefault="008E5AEA">
            <w:r>
              <w:rPr>
                <w:noProof/>
                <w:lang w:val="nl-NL" w:eastAsia="nl-NL"/>
              </w:rPr>
              <w:drawing>
                <wp:inline distT="0" distB="0" distL="0" distR="0" wp14:anchorId="79B2B879" wp14:editId="195593E9">
                  <wp:extent cx="2515870" cy="1759585"/>
                  <wp:effectExtent l="0" t="0" r="0" b="0"/>
                  <wp:docPr id="36" name="Afbeelding 36" descr="Macintosh HD:Users:szabika:Dropbox:My files:Work:Wetlands International:Ongoing Projects:1366 CSR7:4 Report:Data analysis:with setting to 0: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zabika:Dropbox:My files:Work:Wetlands International:Ongoing Projects:1366 CSR7:4 Report:Data analysis:with setting to 0:4_GRAP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BC4D45" w14:paraId="2913F006" w14:textId="77777777" w:rsidTr="008E5AEA">
        <w:tc>
          <w:tcPr>
            <w:tcW w:w="4261" w:type="dxa"/>
            <w:hideMark/>
          </w:tcPr>
          <w:p w14:paraId="3D0F32EF" w14:textId="77777777" w:rsidR="008E5AEA" w:rsidRPr="00BC4D45" w:rsidRDefault="008E5AEA">
            <w:pPr>
              <w:rPr>
                <w:b/>
                <w:bCs/>
                <w:color w:val="4F81BD" w:themeColor="accent1"/>
                <w:sz w:val="18"/>
                <w:szCs w:val="18"/>
                <w:lang w:val="fr-FR"/>
              </w:rPr>
            </w:pPr>
            <w:r>
              <w:rPr>
                <w:b/>
                <w:bCs/>
                <w:color w:val="4F81BD" w:themeColor="accent1"/>
                <w:sz w:val="18"/>
                <w:szCs w:val="18"/>
                <w:lang w:val="fr-FR"/>
              </w:rPr>
              <w:t>e) Région afro-tropicale - occidentale et centrale</w:t>
            </w:r>
          </w:p>
        </w:tc>
        <w:tc>
          <w:tcPr>
            <w:tcW w:w="4262" w:type="dxa"/>
            <w:hideMark/>
          </w:tcPr>
          <w:p w14:paraId="0B21C1C9" w14:textId="77777777" w:rsidR="008E5AEA" w:rsidRPr="007C275D" w:rsidRDefault="008E5AEA">
            <w:pPr>
              <w:rPr>
                <w:b/>
                <w:bCs/>
                <w:color w:val="4F81BD" w:themeColor="accent1"/>
                <w:sz w:val="18"/>
                <w:szCs w:val="18"/>
                <w:lang w:val="fr-FR"/>
              </w:rPr>
            </w:pPr>
            <w:r>
              <w:rPr>
                <w:b/>
                <w:bCs/>
                <w:color w:val="4F81BD" w:themeColor="accent1"/>
                <w:sz w:val="18"/>
                <w:szCs w:val="18"/>
                <w:lang w:val="fr-FR"/>
              </w:rPr>
              <w:t>f) Voie de migration mer Noire-Méditerranée (N = 15)</w:t>
            </w:r>
          </w:p>
        </w:tc>
      </w:tr>
      <w:tr w:rsidR="008E5AEA" w14:paraId="276F5280" w14:textId="77777777" w:rsidTr="008E5AEA">
        <w:tc>
          <w:tcPr>
            <w:tcW w:w="4261" w:type="dxa"/>
            <w:hideMark/>
          </w:tcPr>
          <w:p w14:paraId="7CEBCBE6" w14:textId="78A9658C" w:rsidR="008E5AEA" w:rsidRDefault="008E5AEA">
            <w:r>
              <w:rPr>
                <w:noProof/>
                <w:lang w:val="nl-NL" w:eastAsia="nl-NL"/>
              </w:rPr>
              <w:drawing>
                <wp:inline distT="0" distB="0" distL="0" distR="0" wp14:anchorId="585BF450" wp14:editId="031808F2">
                  <wp:extent cx="2515870" cy="1759585"/>
                  <wp:effectExtent l="0" t="0" r="0" b="0"/>
                  <wp:docPr id="32" name="Afbeelding 32" descr="Macintosh HD:Users:szabika:Dropbox:My files:Work:Wetlands International:Ongoing Projects:1366 CSR7:4 Report:Data analysis:with setting to 0: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zabika:Dropbox:My files:Work:Wetlands International:Ongoing Projects:1366 CSR7:4 Report:Data analysis:with setting to 0:5_GRAP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7CFA3FD2" w14:textId="0CF2FA18" w:rsidR="008E5AEA" w:rsidRDefault="008E5AEA">
            <w:r>
              <w:rPr>
                <w:noProof/>
                <w:lang w:val="nl-NL" w:eastAsia="nl-NL"/>
              </w:rPr>
              <w:drawing>
                <wp:inline distT="0" distB="0" distL="0" distR="0" wp14:anchorId="5AB892BA" wp14:editId="4C1BE156">
                  <wp:extent cx="2515870" cy="1759585"/>
                  <wp:effectExtent l="0" t="0" r="0" b="0"/>
                  <wp:docPr id="31" name="Afbeelding 31" descr="Macintosh HD:Users:szabika:Dropbox:My files:Work:Wetlands International:Ongoing Projects:1366 CSR7:4 Report:Data analysis:with setting to 0:7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zabika:Dropbox:My files:Work:Wetlands International:Ongoing Projects:1366 CSR7:4 Report:Data analysis:with setting to 0:7_GRAP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BC4D45" w14:paraId="4E2F46C5" w14:textId="77777777" w:rsidTr="008E5AEA">
        <w:tc>
          <w:tcPr>
            <w:tcW w:w="4261" w:type="dxa"/>
            <w:hideMark/>
          </w:tcPr>
          <w:p w14:paraId="74BCD209" w14:textId="77777777" w:rsidR="008E5AEA" w:rsidRPr="007C275D" w:rsidRDefault="008E5AEA">
            <w:pPr>
              <w:rPr>
                <w:b/>
                <w:bCs/>
                <w:color w:val="4F81BD" w:themeColor="accent1"/>
                <w:sz w:val="18"/>
                <w:szCs w:val="18"/>
                <w:lang w:val="fr-FR"/>
              </w:rPr>
            </w:pPr>
            <w:r>
              <w:rPr>
                <w:b/>
                <w:bCs/>
                <w:color w:val="4F81BD" w:themeColor="accent1"/>
                <w:sz w:val="18"/>
                <w:szCs w:val="18"/>
                <w:lang w:val="fr-FR"/>
              </w:rPr>
              <w:t>g) Voie de migration Atlantique Est (N = 16)</w:t>
            </w:r>
          </w:p>
        </w:tc>
        <w:tc>
          <w:tcPr>
            <w:tcW w:w="4262" w:type="dxa"/>
            <w:hideMark/>
          </w:tcPr>
          <w:p w14:paraId="0AD2A5CC" w14:textId="77777777" w:rsidR="008E5AEA" w:rsidRPr="007C275D" w:rsidRDefault="008E5AEA">
            <w:pPr>
              <w:rPr>
                <w:b/>
                <w:bCs/>
                <w:color w:val="4F81BD" w:themeColor="accent1"/>
                <w:sz w:val="18"/>
                <w:szCs w:val="18"/>
                <w:lang w:val="fr-FR"/>
              </w:rPr>
            </w:pPr>
            <w:r>
              <w:rPr>
                <w:b/>
                <w:bCs/>
                <w:color w:val="4F81BD" w:themeColor="accent1"/>
                <w:sz w:val="18"/>
                <w:szCs w:val="18"/>
                <w:lang w:val="fr-FR"/>
              </w:rPr>
              <w:t>h) Voie de migration Asie de l’Ouest – Afrique de l’Est (N = 31)</w:t>
            </w:r>
          </w:p>
        </w:tc>
      </w:tr>
      <w:tr w:rsidR="008E5AEA" w14:paraId="0DC42855" w14:textId="77777777" w:rsidTr="008E5AEA">
        <w:tc>
          <w:tcPr>
            <w:tcW w:w="4261" w:type="dxa"/>
            <w:hideMark/>
          </w:tcPr>
          <w:p w14:paraId="06BACE3C" w14:textId="60B1F4EA" w:rsidR="008E5AEA" w:rsidRDefault="008E5AEA">
            <w:r>
              <w:rPr>
                <w:noProof/>
                <w:lang w:val="nl-NL" w:eastAsia="nl-NL"/>
              </w:rPr>
              <w:drawing>
                <wp:inline distT="0" distB="0" distL="0" distR="0" wp14:anchorId="75E1D876" wp14:editId="64A08DA3">
                  <wp:extent cx="2515870" cy="1759585"/>
                  <wp:effectExtent l="0" t="0" r="0" b="0"/>
                  <wp:docPr id="29" name="Afbeelding 29" descr="Macintosh HD:Users:szabika:Dropbox:My files:Work:Wetlands International:Ongoing Projects:1366 CSR7:4 Report:Data analysis:with setting to 0:9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zabika:Dropbox:My files:Work:Wetlands International:Ongoing Projects:1366 CSR7:4 Report:Data analysis:with setting to 0:9_GRAPH.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47867F08" w14:textId="33D33975" w:rsidR="008E5AEA" w:rsidRDefault="008E5AEA">
            <w:r>
              <w:rPr>
                <w:noProof/>
                <w:lang w:val="nl-NL" w:eastAsia="nl-NL"/>
              </w:rPr>
              <w:drawing>
                <wp:inline distT="0" distB="0" distL="0" distR="0" wp14:anchorId="743A2079" wp14:editId="7E669E8C">
                  <wp:extent cx="2515870" cy="1759585"/>
                  <wp:effectExtent l="0" t="0" r="0" b="0"/>
                  <wp:docPr id="28" name="Afbeelding 28" descr="Macintosh HD:Users:szabika:Dropbox:My files:Work:Wetlands International:Ongoing Projects:1366 CSR7:4 Report:Data analysis:with setting to 0:12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szabika:Dropbox:My files:Work:Wetlands International:Ongoing Projects:1366 CSR7:4 Report:Data analysis:with setting to 0:12_GRAPH.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bl>
    <w:p w14:paraId="394BF0DD" w14:textId="77777777" w:rsidR="008E5AEA" w:rsidRDefault="008E5AEA" w:rsidP="008E5AEA">
      <w:pPr>
        <w:rPr>
          <w:b/>
          <w:bCs/>
          <w:color w:val="4F81BD" w:themeColor="accent1"/>
          <w:sz w:val="18"/>
          <w:szCs w:val="18"/>
        </w:rPr>
      </w:pPr>
    </w:p>
    <w:p w14:paraId="316419AA" w14:textId="77777777" w:rsidR="008E5AEA" w:rsidRPr="007C275D" w:rsidRDefault="008E5AEA" w:rsidP="008E5AEA">
      <w:pPr>
        <w:rPr>
          <w:b/>
          <w:bCs/>
          <w:color w:val="4F81BD" w:themeColor="accent1"/>
          <w:sz w:val="18"/>
          <w:szCs w:val="18"/>
          <w:lang w:val="fr-FR"/>
        </w:rPr>
      </w:pPr>
      <w:r>
        <w:rPr>
          <w:b/>
          <w:bCs/>
          <w:color w:val="4F81BD" w:themeColor="accent1"/>
          <w:sz w:val="18"/>
          <w:szCs w:val="18"/>
          <w:lang w:val="fr-FR"/>
        </w:rPr>
        <w:t>Figure 21. Indices multi-espèces du changement global des populations de l’AEWA le long de différentes voies de migration multi-espèces pendant la période 1991-2015 sur la base du Recensement international des oiseaux d’eau</w:t>
      </w:r>
    </w:p>
    <w:p w14:paraId="68395E41" w14:textId="77777777" w:rsidR="008E5AEA" w:rsidRPr="007C275D" w:rsidRDefault="008E5AEA" w:rsidP="008E5AEA">
      <w:pPr>
        <w:rPr>
          <w:b/>
          <w:bCs/>
          <w:color w:val="4F81BD" w:themeColor="accent1"/>
          <w:sz w:val="18"/>
          <w:szCs w:val="18"/>
          <w:lang w:val="fr-FR"/>
        </w:rPr>
      </w:pPr>
      <w:r w:rsidRPr="007C275D">
        <w:rPr>
          <w:b/>
          <w:bCs/>
          <w:color w:val="4F81BD" w:themeColor="accent1"/>
          <w:sz w:val="18"/>
          <w:szCs w:val="18"/>
          <w:lang w:val="fr-FR"/>
        </w:rPr>
        <w:br w:type="page"/>
      </w:r>
    </w:p>
    <w:tbl>
      <w:tblPr>
        <w:tblW w:w="0" w:type="auto"/>
        <w:tblLook w:val="04A0" w:firstRow="1" w:lastRow="0" w:firstColumn="1" w:lastColumn="0" w:noHBand="0" w:noVBand="1"/>
      </w:tblPr>
      <w:tblGrid>
        <w:gridCol w:w="4261"/>
        <w:gridCol w:w="4262"/>
      </w:tblGrid>
      <w:tr w:rsidR="008E5AEA" w:rsidRPr="00BC4D45" w14:paraId="7537098E" w14:textId="77777777" w:rsidTr="008E5AEA">
        <w:tc>
          <w:tcPr>
            <w:tcW w:w="4261" w:type="dxa"/>
            <w:hideMark/>
          </w:tcPr>
          <w:p w14:paraId="22528D18" w14:textId="77777777" w:rsidR="008E5AEA" w:rsidRPr="007C275D" w:rsidRDefault="008E5AEA">
            <w:pPr>
              <w:rPr>
                <w:b/>
                <w:bCs/>
                <w:color w:val="4F81BD" w:themeColor="accent1"/>
                <w:sz w:val="18"/>
                <w:szCs w:val="18"/>
                <w:lang w:val="fr-FR"/>
              </w:rPr>
            </w:pPr>
            <w:r>
              <w:rPr>
                <w:b/>
                <w:bCs/>
                <w:color w:val="4F81BD" w:themeColor="accent1"/>
                <w:sz w:val="18"/>
                <w:szCs w:val="18"/>
                <w:lang w:val="fr-FR"/>
              </w:rPr>
              <w:lastRenderedPageBreak/>
              <w:t>i) Paléarctique occidental - Atlantique (N = 16)</w:t>
            </w:r>
          </w:p>
        </w:tc>
        <w:tc>
          <w:tcPr>
            <w:tcW w:w="4262" w:type="dxa"/>
            <w:hideMark/>
          </w:tcPr>
          <w:p w14:paraId="53FB92AE" w14:textId="77777777" w:rsidR="008E5AEA" w:rsidRPr="007C275D" w:rsidRDefault="008E5AEA">
            <w:pPr>
              <w:rPr>
                <w:b/>
                <w:bCs/>
                <w:color w:val="4F81BD" w:themeColor="accent1"/>
                <w:sz w:val="18"/>
                <w:szCs w:val="18"/>
                <w:lang w:val="fr-FR"/>
              </w:rPr>
            </w:pPr>
            <w:r>
              <w:rPr>
                <w:b/>
                <w:bCs/>
                <w:color w:val="4F81BD" w:themeColor="accent1"/>
                <w:sz w:val="18"/>
                <w:szCs w:val="18"/>
                <w:lang w:val="fr-FR"/>
              </w:rPr>
              <w:t>j) Paléarctique occidental - mer Noire-Méditerranée (N = 35)</w:t>
            </w:r>
          </w:p>
        </w:tc>
      </w:tr>
      <w:tr w:rsidR="008E5AEA" w14:paraId="7B9D78CE" w14:textId="77777777" w:rsidTr="008E5AEA">
        <w:tc>
          <w:tcPr>
            <w:tcW w:w="4261" w:type="dxa"/>
            <w:hideMark/>
          </w:tcPr>
          <w:p w14:paraId="5B767F73" w14:textId="3169DAFC" w:rsidR="008E5AEA" w:rsidRDefault="008E5AEA">
            <w:r>
              <w:rPr>
                <w:noProof/>
                <w:lang w:val="nl-NL" w:eastAsia="nl-NL"/>
              </w:rPr>
              <w:drawing>
                <wp:inline distT="0" distB="0" distL="0" distR="0" wp14:anchorId="74FCBAAA" wp14:editId="41DD561F">
                  <wp:extent cx="2515870" cy="1759585"/>
                  <wp:effectExtent l="0" t="0" r="0" b="0"/>
                  <wp:docPr id="27" name="Afbeelding 27" descr="Macintosh HD:Users:szabika:Dropbox:My files:Work:Wetlands International:Ongoing Projects:1366 CSR7:4 Report:Data analysis:with setting to 0:13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szabika:Dropbox:My files:Work:Wetlands International:Ongoing Projects:1366 CSR7:4 Report:Data analysis:with setting to 0:13_GRAP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hideMark/>
          </w:tcPr>
          <w:p w14:paraId="6C044A26" w14:textId="4B962556" w:rsidR="008E5AEA" w:rsidRDefault="008E5AEA">
            <w:r>
              <w:rPr>
                <w:noProof/>
                <w:lang w:val="nl-NL" w:eastAsia="nl-NL"/>
              </w:rPr>
              <w:drawing>
                <wp:inline distT="0" distB="0" distL="0" distR="0" wp14:anchorId="1E91FD94" wp14:editId="633DC770">
                  <wp:extent cx="2515870" cy="1759585"/>
                  <wp:effectExtent l="0" t="0" r="0" b="0"/>
                  <wp:docPr id="26" name="Afbeelding 26" descr="Macintosh HD:Users:szabika:Dropbox:My files:Work:Wetlands International:Ongoing Projects:1366 CSR7:4 Report:Data analysis:with setting to 0:14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szabika:Dropbox:My files:Work:Wetlands International:Ongoing Projects:1366 CSR7:4 Report:Data analysis:with setting to 0:14_GRAPH.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r>
      <w:tr w:rsidR="008E5AEA" w:rsidRPr="00BC4D45" w14:paraId="4455D5E8" w14:textId="77777777" w:rsidTr="008E5AEA">
        <w:tc>
          <w:tcPr>
            <w:tcW w:w="4261" w:type="dxa"/>
            <w:hideMark/>
          </w:tcPr>
          <w:p w14:paraId="63307158" w14:textId="77777777" w:rsidR="008E5AEA" w:rsidRPr="007C275D" w:rsidRDefault="008E5AEA">
            <w:pPr>
              <w:rPr>
                <w:b/>
                <w:bCs/>
                <w:color w:val="4F81BD" w:themeColor="accent1"/>
                <w:sz w:val="18"/>
                <w:szCs w:val="18"/>
                <w:lang w:val="fr-FR"/>
              </w:rPr>
            </w:pPr>
            <w:r>
              <w:rPr>
                <w:b/>
                <w:bCs/>
                <w:color w:val="4F81BD" w:themeColor="accent1"/>
                <w:sz w:val="18"/>
                <w:szCs w:val="18"/>
                <w:lang w:val="fr-FR"/>
              </w:rPr>
              <w:t>k) Paléarctique occidental - Asie centrale et du Sud-Ouest (N = 25)</w:t>
            </w:r>
          </w:p>
        </w:tc>
        <w:tc>
          <w:tcPr>
            <w:tcW w:w="4262" w:type="dxa"/>
          </w:tcPr>
          <w:p w14:paraId="54791635" w14:textId="77777777" w:rsidR="008E5AEA" w:rsidRPr="007C275D" w:rsidRDefault="008E5AEA">
            <w:pPr>
              <w:rPr>
                <w:b/>
                <w:bCs/>
                <w:color w:val="4F81BD" w:themeColor="accent1"/>
                <w:sz w:val="18"/>
                <w:szCs w:val="18"/>
                <w:lang w:val="fr-FR"/>
              </w:rPr>
            </w:pPr>
          </w:p>
        </w:tc>
      </w:tr>
      <w:tr w:rsidR="008E5AEA" w14:paraId="43B67BBE" w14:textId="77777777" w:rsidTr="008E5AEA">
        <w:tc>
          <w:tcPr>
            <w:tcW w:w="4261" w:type="dxa"/>
            <w:hideMark/>
          </w:tcPr>
          <w:p w14:paraId="2BFBF947" w14:textId="07EC96FB" w:rsidR="008E5AEA" w:rsidRDefault="008E5AEA">
            <w:r>
              <w:rPr>
                <w:noProof/>
                <w:lang w:val="nl-NL" w:eastAsia="nl-NL"/>
              </w:rPr>
              <w:drawing>
                <wp:inline distT="0" distB="0" distL="0" distR="0" wp14:anchorId="61B9C6F1" wp14:editId="54190E45">
                  <wp:extent cx="2515870" cy="1759585"/>
                  <wp:effectExtent l="0" t="0" r="0" b="0"/>
                  <wp:docPr id="23" name="Afbeelding 23" descr="Macintosh HD:Users:szabika:Dropbox:My files:Work:Wetlands International:Ongoing Projects:1366 CSR7:4 Report:Data analysis:with setting to 0:15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szabika:Dropbox:My files:Work:Wetlands International:Ongoing Projects:1366 CSR7:4 Report:Data analysis:with setting to 0:15_GRAPH.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5870" cy="1759585"/>
                          </a:xfrm>
                          <a:prstGeom prst="rect">
                            <a:avLst/>
                          </a:prstGeom>
                          <a:noFill/>
                          <a:ln>
                            <a:noFill/>
                          </a:ln>
                        </pic:spPr>
                      </pic:pic>
                    </a:graphicData>
                  </a:graphic>
                </wp:inline>
              </w:drawing>
            </w:r>
          </w:p>
        </w:tc>
        <w:tc>
          <w:tcPr>
            <w:tcW w:w="4262" w:type="dxa"/>
          </w:tcPr>
          <w:p w14:paraId="7C96E405" w14:textId="77777777" w:rsidR="008E5AEA" w:rsidRDefault="008E5AEA"/>
        </w:tc>
      </w:tr>
    </w:tbl>
    <w:p w14:paraId="4AB5FF77" w14:textId="77777777" w:rsidR="008E5AEA" w:rsidRDefault="008E5AEA" w:rsidP="008E5AEA"/>
    <w:p w14:paraId="43165118" w14:textId="77777777" w:rsidR="008E5AEA" w:rsidRPr="007C275D" w:rsidRDefault="008E5AEA" w:rsidP="008E5AEA">
      <w:pPr>
        <w:pStyle w:val="Caption"/>
        <w:rPr>
          <w:lang w:val="fr-FR"/>
        </w:rPr>
      </w:pPr>
      <w:r>
        <w:rPr>
          <w:lang w:val="fr-FR"/>
        </w:rPr>
        <w:t xml:space="preserve">Suite de la figure 21. </w:t>
      </w:r>
      <w:r w:rsidRPr="007C275D">
        <w:rPr>
          <w:lang w:val="fr-FR"/>
        </w:rPr>
        <w:br w:type="page"/>
      </w:r>
    </w:p>
    <w:p w14:paraId="4A31EFE4" w14:textId="77777777" w:rsidR="008E5AEA" w:rsidRPr="007C275D" w:rsidRDefault="008E5AEA" w:rsidP="008E5AEA">
      <w:pPr>
        <w:pStyle w:val="Heading3"/>
        <w:spacing w:before="0"/>
        <w:rPr>
          <w:rFonts w:ascii="Times New Roman" w:eastAsia="Times New Roman" w:hAnsi="Times New Roman" w:cs="Times New Roman"/>
          <w:lang w:val="fr-FR"/>
        </w:rPr>
      </w:pPr>
      <w:bookmarkStart w:id="78" w:name="_Toc517262026"/>
      <w:r>
        <w:rPr>
          <w:rFonts w:ascii="Times New Roman" w:eastAsia="Times New Roman" w:hAnsi="Times New Roman" w:cs="Times New Roman"/>
          <w:lang w:val="fr-FR"/>
        </w:rPr>
        <w:lastRenderedPageBreak/>
        <w:t>La réussite de la conservation des oiseaux d’eau dépend de l’efficacité de la gouvernance</w:t>
      </w:r>
      <w:bookmarkEnd w:id="78"/>
    </w:p>
    <w:p w14:paraId="78CCE66D" w14:textId="77777777" w:rsidR="008E5AEA" w:rsidRPr="007C275D" w:rsidRDefault="008E5AEA" w:rsidP="008E5AEA">
      <w:pPr>
        <w:pStyle w:val="Normal1"/>
        <w:rPr>
          <w:lang w:val="fr-FR"/>
        </w:rPr>
      </w:pPr>
    </w:p>
    <w:p w14:paraId="67B0D350" w14:textId="77777777" w:rsidR="008E5AEA" w:rsidRPr="007C275D" w:rsidRDefault="008E5AEA" w:rsidP="008E5AEA">
      <w:pPr>
        <w:pStyle w:val="Normal1"/>
        <w:jc w:val="both"/>
        <w:rPr>
          <w:lang w:val="fr-FR"/>
        </w:rPr>
      </w:pPr>
      <w:r>
        <w:rPr>
          <w:lang w:val="fr-FR"/>
        </w:rPr>
        <w:t xml:space="preserve">À l’aide de modèles bayésiens hiérarchiques, M. Amano et ses collèges (2018) ont analysé les changements intervenus entre 1990 et 2013 au niveau de l’abondance des espèces avec une résolution de 1 x 1 degré, en se basant sur les données du comptage de Noël des oiseaux pour l’Amérique du Nord et du Recensement international des oiseaux d’eau pour le reste du monde. Cette analyse alternative nous donne des informations sur le modèle spatial du changement des populations au niveau des espèces et au niveau de la communauté avec une résolution de 1 x 1 degré. </w:t>
      </w:r>
    </w:p>
    <w:p w14:paraId="05A79DAD" w14:textId="77777777" w:rsidR="008E5AEA" w:rsidRPr="007C275D" w:rsidRDefault="008E5AEA" w:rsidP="008E5AEA">
      <w:pPr>
        <w:pStyle w:val="Normal1"/>
        <w:rPr>
          <w:lang w:val="fr-FR"/>
        </w:rPr>
      </w:pPr>
    </w:p>
    <w:p w14:paraId="0A58A1C2" w14:textId="77777777" w:rsidR="008E5AEA" w:rsidRPr="007C275D" w:rsidRDefault="008E5AEA" w:rsidP="008E5AEA">
      <w:pPr>
        <w:jc w:val="both"/>
        <w:rPr>
          <w:lang w:val="fr-FR"/>
        </w:rPr>
      </w:pPr>
      <w:r>
        <w:rPr>
          <w:lang w:val="fr-FR"/>
        </w:rPr>
        <w:t>L’étude met en relief les lacunes majeures au niveau de la disponibilité de données cohérentes de surveillance à long terme dans toute la zone de l’Accord, les principales lacunes correspondant à la Péninsule arabique et à de grandes zones de l’Afrique, à l’exception de l’Afrique australe et de l’Ethiopie en particulier et de quelques autres pays dans une moindre mesure. Elle confirme également les résultats des analyses réalisées au niveau de la voie de migration indiquant que les déclins les plus marqués au niveau de la communauté se trouvent en Asie centrale et du Sud-Ouest et en Afrique de l’Est et Afrique australe (figure 22).</w:t>
      </w:r>
    </w:p>
    <w:p w14:paraId="054253E4" w14:textId="77777777" w:rsidR="008E5AEA" w:rsidRPr="007C275D" w:rsidRDefault="008E5AEA" w:rsidP="008E5AEA">
      <w:pPr>
        <w:rPr>
          <w:lang w:val="fr-FR"/>
        </w:rPr>
      </w:pPr>
    </w:p>
    <w:p w14:paraId="5C98FF15" w14:textId="304896B3" w:rsidR="008E5AEA" w:rsidRDefault="008E5AEA" w:rsidP="008E5AEA">
      <w:pPr>
        <w:keepNext/>
      </w:pPr>
      <w:r>
        <w:rPr>
          <w:noProof/>
          <w:lang w:val="nl-NL" w:eastAsia="nl-NL"/>
        </w:rPr>
        <w:drawing>
          <wp:inline distT="0" distB="0" distL="0" distR="0" wp14:anchorId="2F1203E3" wp14:editId="60454D33">
            <wp:extent cx="5265420" cy="262953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65420" cy="2629535"/>
                    </a:xfrm>
                    <a:prstGeom prst="rect">
                      <a:avLst/>
                    </a:prstGeom>
                    <a:noFill/>
                    <a:ln>
                      <a:noFill/>
                    </a:ln>
                  </pic:spPr>
                </pic:pic>
              </a:graphicData>
            </a:graphic>
          </wp:inline>
        </w:drawing>
      </w:r>
    </w:p>
    <w:p w14:paraId="747EBDBD" w14:textId="77777777" w:rsidR="008E5AEA" w:rsidRDefault="008E5AEA" w:rsidP="008E5AEA">
      <w:pPr>
        <w:pStyle w:val="Caption"/>
      </w:pPr>
    </w:p>
    <w:p w14:paraId="3D41F831" w14:textId="77777777" w:rsidR="008E5AEA" w:rsidRPr="007C275D" w:rsidRDefault="008E5AEA" w:rsidP="008E5AEA">
      <w:pPr>
        <w:pStyle w:val="Caption"/>
        <w:rPr>
          <w:lang w:val="fr-FR"/>
        </w:rPr>
      </w:pPr>
      <w:r>
        <w:rPr>
          <w:lang w:val="fr-FR"/>
        </w:rPr>
        <w:t xml:space="preserve">Figure 22. Taux de croissance annuels globaux des oiseaux d’eau représenté avec des cellules de 1x1 degré d’Amano </w:t>
      </w:r>
      <w:r w:rsidRPr="00140569">
        <w:rPr>
          <w:lang w:val="fr-FR"/>
        </w:rPr>
        <w:t>et al.</w:t>
      </w:r>
      <w:r w:rsidRPr="007C275D">
        <w:rPr>
          <w:lang w:val="fr-FR"/>
        </w:rPr>
        <w:t xml:space="preserve"> (2018)</w:t>
      </w:r>
      <w:r>
        <w:rPr>
          <w:rStyle w:val="FootnoteReference"/>
        </w:rPr>
        <w:footnoteReference w:id="13"/>
      </w:r>
    </w:p>
    <w:p w14:paraId="26DB4572" w14:textId="77777777" w:rsidR="008E5AEA" w:rsidRPr="007C275D" w:rsidRDefault="008E5AEA" w:rsidP="008E5AEA">
      <w:pPr>
        <w:jc w:val="both"/>
        <w:rPr>
          <w:lang w:val="fr-FR"/>
        </w:rPr>
      </w:pPr>
      <w:r>
        <w:rPr>
          <w:lang w:val="fr-FR"/>
        </w:rPr>
        <w:t xml:space="preserve">La constatation essentielle est que le facteur prédictif le plus solide de l’abondance des oiseaux d’eau à l’échelle mondiale est la gouvernance efficace du pays. Ceci a été mesuré au moyen des Indicateurs mondiaux de gouvernance de la Banque mondiale qui récapitulent six grandes composantes de la gouvernance : Voix citoyenne et responsabilité, Stabilité politique et absence de violence, Efficacité des pouvoirs publics, Qualité de la réglementation, État de droit et Maîtrise de de la corruption. Une gouvernance efficace a un effet plus marqué que les changements intervenus au niveau de l’eau de surface, de la croissance économique et démographique, de l’expansion agricole, du changement du climat ou des caractéristiques biologiques des espèces (telles que la taille de l’aire de répartition, l’état de migration et la dimension corporelle). Il existait toutefois une interaction positive forte entre une gouvernance efficace et les aires protégées. Ce fait souligne l’importance de la contribution de </w:t>
      </w:r>
      <w:r>
        <w:rPr>
          <w:lang w:val="fr-FR"/>
        </w:rPr>
        <w:lastRenderedPageBreak/>
        <w:t>l’AEWA à l’amélioration de plusieurs éléments de bonne gouvernance par le biais de ses exigences en matière de législation et des programmes de renforcement des capacités.</w:t>
      </w:r>
    </w:p>
    <w:p w14:paraId="4503F17E" w14:textId="77777777" w:rsidR="008E5AEA" w:rsidRDefault="008E5AEA" w:rsidP="008E5AEA">
      <w:pPr>
        <w:rPr>
          <w:b/>
          <w:sz w:val="28"/>
          <w:lang w:val="fr-FR"/>
        </w:rPr>
      </w:pPr>
      <w:r>
        <w:rPr>
          <w:color w:val="auto"/>
          <w:sz w:val="28"/>
          <w:lang w:val="fr-FR"/>
        </w:rPr>
        <w:br w:type="page"/>
      </w:r>
      <w:bookmarkStart w:id="79" w:name="h.2u6wntf"/>
      <w:bookmarkStart w:id="80" w:name="h.v9urc5ojcy9z"/>
      <w:bookmarkEnd w:id="79"/>
      <w:bookmarkEnd w:id="80"/>
    </w:p>
    <w:p w14:paraId="435448C3" w14:textId="77777777" w:rsidR="008E5AEA" w:rsidRPr="007C275D" w:rsidRDefault="008E5AEA" w:rsidP="008E5AEA">
      <w:pPr>
        <w:pStyle w:val="Heading1"/>
        <w:rPr>
          <w:lang w:val="fr-FR"/>
        </w:rPr>
      </w:pPr>
      <w:bookmarkStart w:id="81" w:name="_Toc517262027"/>
      <w:r>
        <w:rPr>
          <w:sz w:val="28"/>
          <w:lang w:val="fr-FR"/>
        </w:rPr>
        <w:lastRenderedPageBreak/>
        <w:t>Partie 4. Menaces pesant sur les espèces d’oiseaux d’eau dans la région de l’AEWA</w:t>
      </w:r>
      <w:bookmarkEnd w:id="81"/>
    </w:p>
    <w:p w14:paraId="13784074" w14:textId="77777777" w:rsidR="008E5AEA" w:rsidRPr="007C275D" w:rsidRDefault="008E5AEA" w:rsidP="008E5AEA">
      <w:pPr>
        <w:pStyle w:val="Normal1"/>
        <w:jc w:val="both"/>
        <w:rPr>
          <w:szCs w:val="24"/>
          <w:lang w:val="fr-FR"/>
        </w:rPr>
      </w:pPr>
      <w:r>
        <w:rPr>
          <w:szCs w:val="24"/>
          <w:lang w:val="fr-FR"/>
        </w:rPr>
        <w:t>Comme aucune information complète et actualisée n’est disponible sur les menaces affectant les espèces figurant à l’Annexe 2 de l’Accord, aucune nouvelle analyse des menaces n’a été effectuée. La partie 4 de la 5</w:t>
      </w:r>
      <w:r>
        <w:rPr>
          <w:szCs w:val="24"/>
          <w:vertAlign w:val="superscript"/>
          <w:lang w:val="fr-FR"/>
        </w:rPr>
        <w:t>ème</w:t>
      </w:r>
      <w:r>
        <w:rPr>
          <w:szCs w:val="24"/>
          <w:lang w:val="fr-FR"/>
        </w:rPr>
        <w:t xml:space="preserve"> édition du Rapport sur l’état de conservation peut être consultée en ligne </w:t>
      </w:r>
      <w:hyperlink r:id="rId59" w:history="1">
        <w:r>
          <w:rPr>
            <w:rStyle w:val="Hyperlink"/>
            <w:szCs w:val="24"/>
            <w:lang w:val="fr-FR"/>
          </w:rPr>
          <w:t>ici</w:t>
        </w:r>
      </w:hyperlink>
      <w:r>
        <w:rPr>
          <w:szCs w:val="24"/>
          <w:lang w:val="fr-FR"/>
        </w:rPr>
        <w:t xml:space="preserve">. </w:t>
      </w:r>
    </w:p>
    <w:p w14:paraId="074D4CEE" w14:textId="77777777" w:rsidR="008E5AEA" w:rsidRPr="007C275D" w:rsidRDefault="008E5AEA" w:rsidP="008E5AEA">
      <w:pPr>
        <w:pStyle w:val="Heading1"/>
        <w:rPr>
          <w:sz w:val="28"/>
          <w:lang w:val="fr-FR"/>
        </w:rPr>
      </w:pPr>
    </w:p>
    <w:p w14:paraId="3B8CEF13" w14:textId="77777777" w:rsidR="008E5AEA" w:rsidRPr="007C275D" w:rsidRDefault="008E5AEA" w:rsidP="008E5AEA">
      <w:pPr>
        <w:pStyle w:val="Normal1"/>
        <w:rPr>
          <w:lang w:val="fr-FR"/>
        </w:rPr>
      </w:pPr>
    </w:p>
    <w:p w14:paraId="28BC709D" w14:textId="77777777" w:rsidR="008E5AEA" w:rsidRPr="007C275D" w:rsidRDefault="008E5AEA" w:rsidP="008E5AEA">
      <w:pPr>
        <w:rPr>
          <w:lang w:val="fr-FR"/>
        </w:rPr>
      </w:pPr>
      <w:r w:rsidRPr="007C275D">
        <w:rPr>
          <w:color w:val="auto"/>
          <w:lang w:val="fr-FR"/>
        </w:rPr>
        <w:br w:type="page"/>
      </w:r>
    </w:p>
    <w:p w14:paraId="6039002A" w14:textId="77777777" w:rsidR="008E5AEA" w:rsidRPr="007C275D" w:rsidRDefault="008E5AEA" w:rsidP="008E5AEA">
      <w:pPr>
        <w:pStyle w:val="Heading1"/>
        <w:rPr>
          <w:lang w:val="fr-FR"/>
        </w:rPr>
      </w:pPr>
      <w:bookmarkStart w:id="82" w:name="_Toc517262028"/>
      <w:r>
        <w:rPr>
          <w:sz w:val="28"/>
          <w:lang w:val="fr-FR"/>
        </w:rPr>
        <w:lastRenderedPageBreak/>
        <w:t>Partie 5. Espèces dont l’état de conservation est préoccupant au niveau mondial</w:t>
      </w:r>
      <w:bookmarkEnd w:id="82"/>
    </w:p>
    <w:p w14:paraId="05C82FE4" w14:textId="77777777" w:rsidR="008E5AEA" w:rsidRPr="007C275D" w:rsidRDefault="008E5AEA" w:rsidP="008E5AEA">
      <w:pPr>
        <w:pStyle w:val="Normal1"/>
        <w:rPr>
          <w:lang w:val="fr-FR"/>
        </w:rPr>
      </w:pPr>
      <w:r>
        <w:rPr>
          <w:lang w:val="fr-FR"/>
        </w:rPr>
        <w:t xml:space="preserve">Un aperçu détaillé de l’état de conservation des espèces préoccupant au niveau mondial a été réalisé par BirdLife International, et le rapport complet est présenté en annexe 2. </w:t>
      </w:r>
    </w:p>
    <w:p w14:paraId="6BE1EF21" w14:textId="77777777" w:rsidR="008E5AEA" w:rsidRPr="007C275D" w:rsidRDefault="008E5AEA" w:rsidP="008E5AEA">
      <w:pPr>
        <w:pStyle w:val="Heading3"/>
        <w:rPr>
          <w:lang w:val="fr-FR"/>
        </w:rPr>
      </w:pPr>
      <w:bookmarkStart w:id="83" w:name="h.nmf14n"/>
      <w:bookmarkStart w:id="84" w:name="_Toc517262029"/>
      <w:bookmarkEnd w:id="83"/>
      <w:r>
        <w:rPr>
          <w:rFonts w:ascii="Times New Roman" w:eastAsia="Times New Roman" w:hAnsi="Times New Roman" w:cs="Times New Roman"/>
          <w:lang w:val="fr-FR"/>
        </w:rPr>
        <w:t>Un nombre croissant de populations de populations de l’AEWA apparaissent sur la Liste rouge</w:t>
      </w:r>
      <w:bookmarkEnd w:id="84"/>
    </w:p>
    <w:p w14:paraId="559FB2C2" w14:textId="77777777" w:rsidR="008E5AEA" w:rsidRPr="007C275D" w:rsidRDefault="008E5AEA" w:rsidP="008E5AEA">
      <w:pPr>
        <w:pStyle w:val="Normal1"/>
        <w:jc w:val="both"/>
        <w:rPr>
          <w:lang w:val="fr-FR"/>
        </w:rPr>
      </w:pPr>
    </w:p>
    <w:p w14:paraId="6A999A5C" w14:textId="77777777" w:rsidR="008E5AEA" w:rsidRPr="007C275D" w:rsidRDefault="008E5AEA" w:rsidP="008E5AEA">
      <w:pPr>
        <w:pStyle w:val="Normal1"/>
        <w:jc w:val="both"/>
        <w:rPr>
          <w:szCs w:val="24"/>
          <w:lang w:val="fr-FR"/>
        </w:rPr>
      </w:pPr>
      <w:r>
        <w:rPr>
          <w:szCs w:val="24"/>
          <w:lang w:val="fr-FR"/>
        </w:rPr>
        <w:t xml:space="preserve">L’état sur la Liste rouge des 254 espèces figurant à l’Annexe 2 de l’AEWA a été examiné en 2017 par BirdLife International, l’autorité en matière de Liste rouge pour les oiseaux. Le rapport complet est présenté en annexe 2. Cinq espèces sont inscrites dans la catégorie En danger critique d’extinction, sept dans la catégorie En danger, 19 dans la catégorie Vulnérable, 21 dans celle Quasi menacé et 202 sont classés comme étant Préoccupation mineure. Par conséquent, 31 espèces (12 %) sont considérées comme étant menacées (appartenant aux trois premières catégories). </w:t>
      </w:r>
      <w:r w:rsidRPr="007C275D">
        <w:rPr>
          <w:szCs w:val="24"/>
          <w:lang w:val="fr-FR"/>
        </w:rPr>
        <w:br w:type="textWrapping" w:clear="all"/>
      </w:r>
      <w:r>
        <w:rPr>
          <w:szCs w:val="24"/>
          <w:lang w:val="fr-FR"/>
        </w:rPr>
        <w:t>26 espèces ont fait l’objet d’une révision de leur catégorie dans la Liste rouge de l’IUCN depuis le rapport précédent de 2014 de BirdLife à l’AEWA (tableau 2), du fait de changements réels</w:t>
      </w:r>
      <w:r>
        <w:rPr>
          <w:rStyle w:val="FootnoteReference"/>
          <w:szCs w:val="24"/>
          <w:lang w:val="fr-FR"/>
        </w:rPr>
        <w:footnoteReference w:id="14"/>
      </w:r>
      <w:r>
        <w:rPr>
          <w:szCs w:val="24"/>
          <w:lang w:val="fr-FR"/>
        </w:rPr>
        <w:t xml:space="preserve"> mais aussi du fait de l’amélioration des connaissances ou de changements intervenus au niveau de la taxonomie. Au total, 23 espèces de l’AEWA remplissaient les conditions d’inscription dans une catégorie supérieure ou inférieure de la Liste rouge en raison d’une véritable détérioration ou amélioration de leur état de conservation entre 1988 et 2012. Elles figurent toutes au tableau 3 de l’annexe 2 du présent rapport, avec des notes sur le fondement de chaque changement. Les canards, les oies et les cygnes </w:t>
      </w:r>
      <w:r>
        <w:rPr>
          <w:i/>
          <w:szCs w:val="24"/>
          <w:lang w:val="fr-FR"/>
        </w:rPr>
        <w:t>Anatidae</w:t>
      </w:r>
      <w:r>
        <w:rPr>
          <w:szCs w:val="24"/>
          <w:lang w:val="fr-FR"/>
        </w:rPr>
        <w:t xml:space="preserve"> (25), les bécasseaux et les espèces apparentées </w:t>
      </w:r>
      <w:r>
        <w:rPr>
          <w:i/>
          <w:szCs w:val="24"/>
          <w:lang w:val="fr-FR"/>
        </w:rPr>
        <w:t>Scolopacidae</w:t>
      </w:r>
      <w:r>
        <w:rPr>
          <w:szCs w:val="24"/>
          <w:lang w:val="fr-FR"/>
        </w:rPr>
        <w:t xml:space="preserve"> (18) ont le nombre le plus élevé de populations d’espèces dont l’état de conservation est préoccupant au niveau mondial, mais la proportion de populations est la plus élevée parmi les grues </w:t>
      </w:r>
      <w:r>
        <w:rPr>
          <w:i/>
          <w:szCs w:val="24"/>
          <w:lang w:val="fr-FR"/>
        </w:rPr>
        <w:t>Gruidae</w:t>
      </w:r>
      <w:r>
        <w:rPr>
          <w:szCs w:val="24"/>
          <w:lang w:val="fr-FR"/>
        </w:rPr>
        <w:t xml:space="preserve"> (figure 23). </w:t>
      </w:r>
    </w:p>
    <w:p w14:paraId="21C3AC1E" w14:textId="77777777" w:rsidR="008E5AEA" w:rsidRPr="007C275D" w:rsidRDefault="008E5AEA" w:rsidP="008E5AEA">
      <w:pPr>
        <w:pStyle w:val="Normal1"/>
        <w:jc w:val="both"/>
        <w:rPr>
          <w:szCs w:val="24"/>
          <w:lang w:val="fr-FR"/>
        </w:rPr>
      </w:pPr>
    </w:p>
    <w:p w14:paraId="6AAEB591" w14:textId="0D951AE5" w:rsidR="008E5AEA" w:rsidRDefault="00140569" w:rsidP="008E5AEA">
      <w:pPr>
        <w:pStyle w:val="Normal1"/>
        <w:jc w:val="both"/>
      </w:pPr>
      <w:r>
        <w:rPr>
          <w:noProof/>
          <w:lang w:val="nl-NL" w:eastAsia="nl-NL"/>
        </w:rPr>
        <mc:AlternateContent>
          <mc:Choice Requires="wps">
            <w:drawing>
              <wp:anchor distT="0" distB="0" distL="114300" distR="114300" simplePos="0" relativeHeight="251673088" behindDoc="0" locked="0" layoutInCell="1" allowOverlap="1" wp14:anchorId="2C358DD2" wp14:editId="42971326">
                <wp:simplePos x="0" y="0"/>
                <wp:positionH relativeFrom="column">
                  <wp:posOffset>5375910</wp:posOffset>
                </wp:positionH>
                <wp:positionV relativeFrom="paragraph">
                  <wp:posOffset>1324610</wp:posOffset>
                </wp:positionV>
                <wp:extent cx="1270000" cy="1993900"/>
                <wp:effectExtent l="0" t="0" r="6350" b="6350"/>
                <wp:wrapNone/>
                <wp:docPr id="79" name="Text Box 79"/>
                <wp:cNvGraphicFramePr/>
                <a:graphic xmlns:a="http://schemas.openxmlformats.org/drawingml/2006/main">
                  <a:graphicData uri="http://schemas.microsoft.com/office/word/2010/wordprocessingShape">
                    <wps:wsp>
                      <wps:cNvSpPr txBox="1"/>
                      <wps:spPr>
                        <a:xfrm>
                          <a:off x="0" y="0"/>
                          <a:ext cx="1270000" cy="1993900"/>
                        </a:xfrm>
                        <a:prstGeom prst="rect">
                          <a:avLst/>
                        </a:prstGeom>
                        <a:solidFill>
                          <a:schemeClr val="lt1"/>
                        </a:solidFill>
                        <a:ln w="6350">
                          <a:noFill/>
                        </a:ln>
                      </wps:spPr>
                      <wps:txbx>
                        <w:txbxContent>
                          <w:p w14:paraId="33C8AB50" w14:textId="2A81DDF2"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 critique d’extinction</w:t>
                            </w:r>
                          </w:p>
                          <w:p w14:paraId="532C6913" w14:textId="77777777" w:rsidR="00BC4D45" w:rsidRPr="00140569" w:rsidRDefault="00BC4D45" w:rsidP="00140569">
                            <w:pPr>
                              <w:pStyle w:val="ListParagraph"/>
                              <w:tabs>
                                <w:tab w:val="left" w:pos="3686"/>
                                <w:tab w:val="left" w:pos="6096"/>
                                <w:tab w:val="left" w:pos="7088"/>
                              </w:tabs>
                              <w:ind w:left="284"/>
                              <w:rPr>
                                <w:color w:val="4F81BD" w:themeColor="accent1"/>
                                <w:sz w:val="6"/>
                                <w:szCs w:val="6"/>
                                <w:lang w:val="fr-FR"/>
                              </w:rPr>
                            </w:pPr>
                          </w:p>
                          <w:p w14:paraId="3460DE9A" w14:textId="5BF63673"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w:t>
                            </w:r>
                          </w:p>
                          <w:p w14:paraId="6FC619E9" w14:textId="77777777" w:rsidR="00BC4D45" w:rsidRPr="00140569" w:rsidRDefault="00BC4D45" w:rsidP="00140569">
                            <w:pPr>
                              <w:pStyle w:val="ListParagraph"/>
                              <w:rPr>
                                <w:color w:val="4F81BD" w:themeColor="accent1"/>
                                <w:sz w:val="6"/>
                                <w:szCs w:val="6"/>
                                <w:lang w:val="fr-FR"/>
                              </w:rPr>
                            </w:pPr>
                          </w:p>
                          <w:p w14:paraId="034878D0" w14:textId="53BB659C"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Vulnérable</w:t>
                            </w:r>
                          </w:p>
                          <w:p w14:paraId="176DC65C" w14:textId="77777777" w:rsidR="00BC4D45" w:rsidRPr="00140569" w:rsidRDefault="00BC4D45" w:rsidP="00140569">
                            <w:pPr>
                              <w:pStyle w:val="ListParagraph"/>
                              <w:rPr>
                                <w:color w:val="4F81BD" w:themeColor="accent1"/>
                                <w:sz w:val="6"/>
                                <w:szCs w:val="6"/>
                                <w:lang w:val="fr-FR"/>
                              </w:rPr>
                            </w:pPr>
                          </w:p>
                          <w:p w14:paraId="0E4F8641" w14:textId="69D5B909"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Quasi menacé</w:t>
                            </w:r>
                          </w:p>
                          <w:p w14:paraId="5DB5F186" w14:textId="77777777" w:rsidR="00BC4D45" w:rsidRPr="00140569" w:rsidRDefault="00BC4D45" w:rsidP="00140569">
                            <w:pPr>
                              <w:pStyle w:val="ListParagraph"/>
                              <w:rPr>
                                <w:color w:val="4F81BD" w:themeColor="accent1"/>
                                <w:sz w:val="6"/>
                                <w:szCs w:val="6"/>
                                <w:lang w:val="fr-FR"/>
                              </w:rPr>
                            </w:pPr>
                          </w:p>
                          <w:p w14:paraId="1BDE120E" w14:textId="77777777" w:rsidR="00BC4D45" w:rsidRPr="004B32F8"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Préoccupation mineure</w:t>
                            </w:r>
                          </w:p>
                          <w:p w14:paraId="78C1E4DB"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8DD2" id="Text Box 79" o:spid="_x0000_s1043" type="#_x0000_t202" style="position:absolute;left:0;text-align:left;margin-left:423.3pt;margin-top:104.3pt;width:100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" fillcolor="white [3201]" stroked="f" strokeweight=".5pt">
                <v:textbox>
                  <w:txbxContent>
                    <w:p w14:paraId="33C8AB50" w14:textId="2A81DDF2"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 critique d’extinction</w:t>
                      </w:r>
                    </w:p>
                    <w:p w14:paraId="532C6913" w14:textId="77777777" w:rsidR="00BC4D45" w:rsidRPr="00140569" w:rsidRDefault="00BC4D45" w:rsidP="00140569">
                      <w:pPr>
                        <w:pStyle w:val="ListParagraph"/>
                        <w:tabs>
                          <w:tab w:val="left" w:pos="3686"/>
                          <w:tab w:val="left" w:pos="6096"/>
                          <w:tab w:val="left" w:pos="7088"/>
                        </w:tabs>
                        <w:ind w:left="284"/>
                        <w:rPr>
                          <w:color w:val="4F81BD" w:themeColor="accent1"/>
                          <w:sz w:val="6"/>
                          <w:szCs w:val="6"/>
                          <w:lang w:val="fr-FR"/>
                        </w:rPr>
                      </w:pPr>
                    </w:p>
                    <w:p w14:paraId="3460DE9A" w14:textId="5BF63673"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w:t>
                      </w:r>
                    </w:p>
                    <w:p w14:paraId="6FC619E9" w14:textId="77777777" w:rsidR="00BC4D45" w:rsidRPr="00140569" w:rsidRDefault="00BC4D45" w:rsidP="00140569">
                      <w:pPr>
                        <w:pStyle w:val="ListParagraph"/>
                        <w:rPr>
                          <w:color w:val="4F81BD" w:themeColor="accent1"/>
                          <w:sz w:val="6"/>
                          <w:szCs w:val="6"/>
                          <w:lang w:val="fr-FR"/>
                        </w:rPr>
                      </w:pPr>
                    </w:p>
                    <w:p w14:paraId="034878D0" w14:textId="53BB659C"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Vulnérable</w:t>
                      </w:r>
                    </w:p>
                    <w:p w14:paraId="176DC65C" w14:textId="77777777" w:rsidR="00BC4D45" w:rsidRPr="00140569" w:rsidRDefault="00BC4D45" w:rsidP="00140569">
                      <w:pPr>
                        <w:pStyle w:val="ListParagraph"/>
                        <w:rPr>
                          <w:color w:val="4F81BD" w:themeColor="accent1"/>
                          <w:sz w:val="6"/>
                          <w:szCs w:val="6"/>
                          <w:lang w:val="fr-FR"/>
                        </w:rPr>
                      </w:pPr>
                    </w:p>
                    <w:p w14:paraId="0E4F8641" w14:textId="69D5B909"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Quasi menacé</w:t>
                      </w:r>
                    </w:p>
                    <w:p w14:paraId="5DB5F186" w14:textId="77777777" w:rsidR="00BC4D45" w:rsidRPr="00140569" w:rsidRDefault="00BC4D45" w:rsidP="00140569">
                      <w:pPr>
                        <w:pStyle w:val="ListParagraph"/>
                        <w:rPr>
                          <w:color w:val="4F81BD" w:themeColor="accent1"/>
                          <w:sz w:val="6"/>
                          <w:szCs w:val="6"/>
                          <w:lang w:val="fr-FR"/>
                        </w:rPr>
                      </w:pPr>
                    </w:p>
                    <w:p w14:paraId="1BDE120E" w14:textId="77777777" w:rsidR="00BC4D45" w:rsidRPr="004B32F8"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Préoccupation mineure</w:t>
                      </w:r>
                    </w:p>
                    <w:p w14:paraId="78C1E4DB" w14:textId="77777777" w:rsidR="00BC4D45" w:rsidRDefault="00BC4D45"/>
                  </w:txbxContent>
                </v:textbox>
              </v:shape>
            </w:pict>
          </mc:Fallback>
        </mc:AlternateContent>
      </w:r>
      <w:r w:rsidR="008E5AEA">
        <w:rPr>
          <w:noProof/>
          <w:lang w:val="nl-NL" w:eastAsia="nl-NL"/>
        </w:rPr>
        <w:drawing>
          <wp:inline distT="0" distB="0" distL="0" distR="0" wp14:anchorId="612BEA5D" wp14:editId="5DAF7917">
            <wp:extent cx="5265420" cy="371411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5420" cy="3714115"/>
                    </a:xfrm>
                    <a:prstGeom prst="rect">
                      <a:avLst/>
                    </a:prstGeom>
                    <a:noFill/>
                    <a:ln>
                      <a:noFill/>
                    </a:ln>
                  </pic:spPr>
                </pic:pic>
              </a:graphicData>
            </a:graphic>
          </wp:inline>
        </w:drawing>
      </w:r>
    </w:p>
    <w:p w14:paraId="4B785E22" w14:textId="67DABACE" w:rsidR="008E5AEA" w:rsidRDefault="008E5AEA" w:rsidP="004B32F8">
      <w:pPr>
        <w:pStyle w:val="Caption"/>
        <w:spacing w:after="0"/>
      </w:pPr>
    </w:p>
    <w:p w14:paraId="445D666E" w14:textId="77777777" w:rsidR="004B32F8" w:rsidRDefault="004B32F8" w:rsidP="004B32F8">
      <w:pPr>
        <w:pStyle w:val="Caption"/>
        <w:spacing w:after="0"/>
        <w:rPr>
          <w:lang w:val="fr-FR"/>
        </w:rPr>
      </w:pPr>
    </w:p>
    <w:p w14:paraId="63C00BC0" w14:textId="1C109CD5" w:rsidR="008E5AEA" w:rsidRPr="007C275D" w:rsidRDefault="008E5AEA" w:rsidP="004B32F8">
      <w:pPr>
        <w:pStyle w:val="Caption"/>
        <w:spacing w:after="0"/>
        <w:rPr>
          <w:lang w:val="fr-FR"/>
        </w:rPr>
      </w:pPr>
      <w:r>
        <w:rPr>
          <w:lang w:val="fr-FR"/>
        </w:rPr>
        <w:t>Figure 23. Pourcentage et nombre de populations de l’AEWA selon leur statut sur la Liste rouge et par famille en fonction de l’augmentation de la valeur de l’Indice Liste rouge pour la famille (c.à.d. les familles les plus menacées étant en haut)</w:t>
      </w:r>
      <w:r w:rsidRPr="007C275D">
        <w:rPr>
          <w:lang w:val="fr-FR"/>
        </w:rPr>
        <w:br w:type="page"/>
      </w:r>
    </w:p>
    <w:p w14:paraId="598FB6F1" w14:textId="77777777" w:rsidR="008E5AEA" w:rsidRPr="007C275D" w:rsidRDefault="008E5AEA" w:rsidP="008E5AEA">
      <w:pPr>
        <w:pStyle w:val="Heading3"/>
        <w:jc w:val="both"/>
        <w:rPr>
          <w:lang w:val="fr-FR"/>
        </w:rPr>
      </w:pPr>
      <w:bookmarkStart w:id="85" w:name="h.37m2jsg"/>
      <w:bookmarkStart w:id="86" w:name="_Toc517262030"/>
      <w:bookmarkEnd w:id="85"/>
      <w:r>
        <w:rPr>
          <w:rFonts w:ascii="Times New Roman" w:eastAsia="Times New Roman" w:hAnsi="Times New Roman" w:cs="Times New Roman"/>
          <w:lang w:val="fr-FR"/>
        </w:rPr>
        <w:lastRenderedPageBreak/>
        <w:t>La proportion la plus élevée de populations figurant sur la Liste rouge se trouve en Afrique orientale et australe</w:t>
      </w:r>
      <w:bookmarkEnd w:id="86"/>
    </w:p>
    <w:p w14:paraId="796A0E7E" w14:textId="77777777" w:rsidR="008E5AEA" w:rsidRPr="007C275D" w:rsidRDefault="008E5AEA" w:rsidP="008E5AEA">
      <w:pPr>
        <w:pStyle w:val="Normal1"/>
        <w:rPr>
          <w:lang w:val="fr-FR"/>
        </w:rPr>
      </w:pPr>
    </w:p>
    <w:p w14:paraId="74BAFAE5" w14:textId="77777777" w:rsidR="008E5AEA" w:rsidRPr="007C275D" w:rsidRDefault="008E5AEA" w:rsidP="008E5AEA">
      <w:pPr>
        <w:pStyle w:val="Normal1"/>
        <w:jc w:val="both"/>
        <w:rPr>
          <w:szCs w:val="24"/>
          <w:lang w:val="fr-FR"/>
        </w:rPr>
      </w:pPr>
      <w:r>
        <w:rPr>
          <w:szCs w:val="24"/>
          <w:lang w:val="fr-FR"/>
        </w:rPr>
        <w:t>La répartition géographique de l’état de conservation des populations de l’AEWA a été évaluée sur la base de leur catégorie sur la Liste rouge.</w:t>
      </w:r>
    </w:p>
    <w:p w14:paraId="44381E99" w14:textId="77777777" w:rsidR="008E5AEA" w:rsidRPr="007C275D" w:rsidRDefault="008E5AEA" w:rsidP="008E5AEA">
      <w:pPr>
        <w:pStyle w:val="Normal1"/>
        <w:jc w:val="both"/>
        <w:rPr>
          <w:szCs w:val="24"/>
          <w:lang w:val="fr-FR"/>
        </w:rPr>
      </w:pPr>
    </w:p>
    <w:p w14:paraId="37FAB3B7" w14:textId="51034257" w:rsidR="008E5AEA" w:rsidRPr="007C275D" w:rsidRDefault="008E5AEA" w:rsidP="008E5AEA">
      <w:pPr>
        <w:pStyle w:val="Normal1"/>
        <w:jc w:val="both"/>
        <w:rPr>
          <w:szCs w:val="24"/>
          <w:lang w:val="fr-FR"/>
        </w:rPr>
      </w:pPr>
      <w:r>
        <w:rPr>
          <w:szCs w:val="24"/>
          <w:lang w:val="fr-FR"/>
        </w:rPr>
        <w:t xml:space="preserve">La région Atlantique du Paléarctique occidental est le foyer du plus grand nombre (21) de populations qui appartiennent à des espèces dont l’état de conservation est préoccupant au niveau mondial. C’est en partie en raison du grand nombre de populations (10) d’espèces quasi menacées qui ont été ajoutées à la Liste rouge après 2014 lorsque les résultats de la nouvelle Liste rouge des oiseaux d’Europe (BirdLife International 2015) sont devenus disponibles. En raison du grand nombre de populations impliquées, cette région a l’indice le plus élevé de la Liste rouge. Cependant, les régions australes et orientales de la région afro-tropicale ont la proportion la plus élevée de populations appartenant à des espèces dont l’état de conservation est préoccupant au niveau mondial (figure 24). </w:t>
      </w:r>
    </w:p>
    <w:p w14:paraId="27CD4F0B" w14:textId="77777777" w:rsidR="008E5AEA" w:rsidRPr="007C275D" w:rsidRDefault="008E5AEA" w:rsidP="008E5AEA">
      <w:pPr>
        <w:pStyle w:val="Normal1"/>
        <w:jc w:val="both"/>
        <w:rPr>
          <w:lang w:val="fr-FR"/>
        </w:rPr>
      </w:pPr>
      <w:r w:rsidRPr="007C275D">
        <w:rPr>
          <w:sz w:val="22"/>
          <w:lang w:val="fr-FR"/>
        </w:rPr>
        <w:t xml:space="preserve"> </w:t>
      </w:r>
    </w:p>
    <w:p w14:paraId="0A5E317D" w14:textId="0514D608" w:rsidR="008E5AEA" w:rsidRDefault="00140569" w:rsidP="008E5AEA">
      <w:pPr>
        <w:pStyle w:val="Normal1"/>
      </w:pPr>
      <w:r>
        <w:rPr>
          <w:noProof/>
          <w:lang w:val="nl-NL" w:eastAsia="nl-NL"/>
        </w:rPr>
        <mc:AlternateContent>
          <mc:Choice Requires="wps">
            <w:drawing>
              <wp:anchor distT="0" distB="0" distL="114300" distR="114300" simplePos="0" relativeHeight="251657728" behindDoc="1" locked="0" layoutInCell="1" allowOverlap="1" wp14:anchorId="3B9F3C43" wp14:editId="17493AB4">
                <wp:simplePos x="0" y="0"/>
                <wp:positionH relativeFrom="column">
                  <wp:posOffset>5426710</wp:posOffset>
                </wp:positionH>
                <wp:positionV relativeFrom="paragraph">
                  <wp:posOffset>1437640</wp:posOffset>
                </wp:positionV>
                <wp:extent cx="1219200" cy="1879600"/>
                <wp:effectExtent l="0" t="0" r="0" b="6350"/>
                <wp:wrapTight wrapText="bothSides">
                  <wp:wrapPolygon edited="0">
                    <wp:start x="0" y="0"/>
                    <wp:lineTo x="0" y="21454"/>
                    <wp:lineTo x="21263" y="21454"/>
                    <wp:lineTo x="21263"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1219200" cy="1879600"/>
                        </a:xfrm>
                        <a:prstGeom prst="rect">
                          <a:avLst/>
                        </a:prstGeom>
                        <a:solidFill>
                          <a:sysClr val="window" lastClr="FFFFFF"/>
                        </a:solidFill>
                        <a:ln w="6350">
                          <a:noFill/>
                        </a:ln>
                      </wps:spPr>
                      <wps:txbx>
                        <w:txbxContent>
                          <w:p w14:paraId="495B2334"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 critique d’extinction</w:t>
                            </w:r>
                          </w:p>
                          <w:p w14:paraId="48626F36" w14:textId="77777777" w:rsidR="00BC4D45" w:rsidRPr="00140569" w:rsidRDefault="00BC4D45" w:rsidP="00140569">
                            <w:pPr>
                              <w:pStyle w:val="ListParagraph"/>
                              <w:tabs>
                                <w:tab w:val="left" w:pos="3686"/>
                                <w:tab w:val="left" w:pos="6096"/>
                                <w:tab w:val="left" w:pos="7088"/>
                              </w:tabs>
                              <w:ind w:left="284"/>
                              <w:rPr>
                                <w:color w:val="4F81BD" w:themeColor="accent1"/>
                                <w:sz w:val="6"/>
                                <w:szCs w:val="6"/>
                                <w:lang w:val="fr-FR"/>
                              </w:rPr>
                            </w:pPr>
                          </w:p>
                          <w:p w14:paraId="035144FC"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w:t>
                            </w:r>
                          </w:p>
                          <w:p w14:paraId="5FD02D45" w14:textId="77777777" w:rsidR="00BC4D45" w:rsidRPr="00140569" w:rsidRDefault="00BC4D45" w:rsidP="00140569">
                            <w:pPr>
                              <w:pStyle w:val="ListParagraph"/>
                              <w:rPr>
                                <w:color w:val="4F81BD" w:themeColor="accent1"/>
                                <w:sz w:val="6"/>
                                <w:szCs w:val="6"/>
                                <w:lang w:val="fr-FR"/>
                              </w:rPr>
                            </w:pPr>
                          </w:p>
                          <w:p w14:paraId="506592F9"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Vulnérable</w:t>
                            </w:r>
                          </w:p>
                          <w:p w14:paraId="63C4424E" w14:textId="77777777" w:rsidR="00BC4D45" w:rsidRPr="00140569" w:rsidRDefault="00BC4D45" w:rsidP="00140569">
                            <w:pPr>
                              <w:pStyle w:val="ListParagraph"/>
                              <w:rPr>
                                <w:color w:val="4F81BD" w:themeColor="accent1"/>
                                <w:sz w:val="6"/>
                                <w:szCs w:val="6"/>
                                <w:lang w:val="fr-FR"/>
                              </w:rPr>
                            </w:pPr>
                          </w:p>
                          <w:p w14:paraId="7B30A118"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Quasi menacé</w:t>
                            </w:r>
                          </w:p>
                          <w:p w14:paraId="13A1121A" w14:textId="77777777" w:rsidR="00BC4D45" w:rsidRPr="00140569" w:rsidRDefault="00BC4D45" w:rsidP="00140569">
                            <w:pPr>
                              <w:pStyle w:val="ListParagraph"/>
                              <w:rPr>
                                <w:color w:val="4F81BD" w:themeColor="accent1"/>
                                <w:sz w:val="6"/>
                                <w:szCs w:val="6"/>
                                <w:lang w:val="fr-FR"/>
                              </w:rPr>
                            </w:pPr>
                          </w:p>
                          <w:p w14:paraId="25403701" w14:textId="77777777" w:rsidR="00BC4D45" w:rsidRPr="004B32F8"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Préoccupation mineure</w:t>
                            </w:r>
                          </w:p>
                          <w:p w14:paraId="2B8AE6C0" w14:textId="77777777" w:rsidR="00BC4D45" w:rsidRDefault="00BC4D45" w:rsidP="001405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F3C43" id="Text Box 80" o:spid="_x0000_s1044" type="#_x0000_t202" style="position:absolute;margin-left:427.3pt;margin-top:113.2pt;width:96pt;height:1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" fillcolor="window" stroked="f" strokeweight=".5pt">
                <v:textbox>
                  <w:txbxContent>
                    <w:p w14:paraId="495B2334"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 critique d’extinction</w:t>
                      </w:r>
                    </w:p>
                    <w:p w14:paraId="48626F36" w14:textId="77777777" w:rsidR="00BC4D45" w:rsidRPr="00140569" w:rsidRDefault="00BC4D45" w:rsidP="00140569">
                      <w:pPr>
                        <w:pStyle w:val="ListParagraph"/>
                        <w:tabs>
                          <w:tab w:val="left" w:pos="3686"/>
                          <w:tab w:val="left" w:pos="6096"/>
                          <w:tab w:val="left" w:pos="7088"/>
                        </w:tabs>
                        <w:ind w:left="284"/>
                        <w:rPr>
                          <w:color w:val="4F81BD" w:themeColor="accent1"/>
                          <w:sz w:val="6"/>
                          <w:szCs w:val="6"/>
                          <w:lang w:val="fr-FR"/>
                        </w:rPr>
                      </w:pPr>
                    </w:p>
                    <w:p w14:paraId="035144FC"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En danger</w:t>
                      </w:r>
                    </w:p>
                    <w:p w14:paraId="5FD02D45" w14:textId="77777777" w:rsidR="00BC4D45" w:rsidRPr="00140569" w:rsidRDefault="00BC4D45" w:rsidP="00140569">
                      <w:pPr>
                        <w:pStyle w:val="ListParagraph"/>
                        <w:rPr>
                          <w:color w:val="4F81BD" w:themeColor="accent1"/>
                          <w:sz w:val="6"/>
                          <w:szCs w:val="6"/>
                          <w:lang w:val="fr-FR"/>
                        </w:rPr>
                      </w:pPr>
                    </w:p>
                    <w:p w14:paraId="506592F9"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Vulnérable</w:t>
                      </w:r>
                    </w:p>
                    <w:p w14:paraId="63C4424E" w14:textId="77777777" w:rsidR="00BC4D45" w:rsidRPr="00140569" w:rsidRDefault="00BC4D45" w:rsidP="00140569">
                      <w:pPr>
                        <w:pStyle w:val="ListParagraph"/>
                        <w:rPr>
                          <w:color w:val="4F81BD" w:themeColor="accent1"/>
                          <w:sz w:val="6"/>
                          <w:szCs w:val="6"/>
                          <w:lang w:val="fr-FR"/>
                        </w:rPr>
                      </w:pPr>
                    </w:p>
                    <w:p w14:paraId="7B30A118" w14:textId="77777777" w:rsidR="00BC4D45"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Quasi menacé</w:t>
                      </w:r>
                    </w:p>
                    <w:p w14:paraId="13A1121A" w14:textId="77777777" w:rsidR="00BC4D45" w:rsidRPr="00140569" w:rsidRDefault="00BC4D45" w:rsidP="00140569">
                      <w:pPr>
                        <w:pStyle w:val="ListParagraph"/>
                        <w:rPr>
                          <w:color w:val="4F81BD" w:themeColor="accent1"/>
                          <w:sz w:val="6"/>
                          <w:szCs w:val="6"/>
                          <w:lang w:val="fr-FR"/>
                        </w:rPr>
                      </w:pPr>
                    </w:p>
                    <w:p w14:paraId="25403701" w14:textId="77777777" w:rsidR="00BC4D45" w:rsidRPr="004B32F8" w:rsidRDefault="00BC4D45" w:rsidP="00140569">
                      <w:pPr>
                        <w:pStyle w:val="ListParagraph"/>
                        <w:numPr>
                          <w:ilvl w:val="0"/>
                          <w:numId w:val="31"/>
                        </w:numPr>
                        <w:tabs>
                          <w:tab w:val="left" w:pos="3686"/>
                          <w:tab w:val="left" w:pos="6096"/>
                          <w:tab w:val="left" w:pos="7088"/>
                        </w:tabs>
                        <w:ind w:left="284" w:hanging="284"/>
                        <w:rPr>
                          <w:color w:val="4F81BD" w:themeColor="accent1"/>
                          <w:sz w:val="18"/>
                          <w:szCs w:val="18"/>
                          <w:lang w:val="fr-FR"/>
                        </w:rPr>
                      </w:pPr>
                      <w:r w:rsidRPr="004B32F8">
                        <w:rPr>
                          <w:color w:val="4F81BD" w:themeColor="accent1"/>
                          <w:sz w:val="18"/>
                          <w:szCs w:val="18"/>
                          <w:lang w:val="fr-FR"/>
                        </w:rPr>
                        <w:t>Préoccupation mineure</w:t>
                      </w:r>
                    </w:p>
                    <w:p w14:paraId="2B8AE6C0" w14:textId="77777777" w:rsidR="00BC4D45" w:rsidRDefault="00BC4D45" w:rsidP="00140569"/>
                  </w:txbxContent>
                </v:textbox>
                <w10:wrap type="tight"/>
              </v:shape>
            </w:pict>
          </mc:Fallback>
        </mc:AlternateContent>
      </w:r>
      <w:r w:rsidR="008E5AEA">
        <w:rPr>
          <w:noProof/>
          <w:lang w:val="nl-NL" w:eastAsia="nl-NL"/>
        </w:rPr>
        <w:drawing>
          <wp:inline distT="0" distB="0" distL="0" distR="0" wp14:anchorId="6CCAD5E3" wp14:editId="321AB870">
            <wp:extent cx="5265420" cy="37338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5420" cy="3733800"/>
                    </a:xfrm>
                    <a:prstGeom prst="rect">
                      <a:avLst/>
                    </a:prstGeom>
                    <a:noFill/>
                    <a:ln>
                      <a:noFill/>
                    </a:ln>
                  </pic:spPr>
                </pic:pic>
              </a:graphicData>
            </a:graphic>
          </wp:inline>
        </w:drawing>
      </w:r>
    </w:p>
    <w:p w14:paraId="6F7F2F03" w14:textId="7BF7886D" w:rsidR="004B32F8" w:rsidRPr="004B32F8" w:rsidRDefault="0021314E" w:rsidP="004B32F8">
      <w:pPr>
        <w:tabs>
          <w:tab w:val="left" w:pos="3686"/>
          <w:tab w:val="left" w:pos="6096"/>
          <w:tab w:val="left" w:pos="7088"/>
        </w:tabs>
        <w:rPr>
          <w:rFonts w:cstheme="minorHAnsi"/>
          <w:color w:val="4F81BD" w:themeColor="accent1"/>
          <w:sz w:val="18"/>
          <w:szCs w:val="18"/>
          <w:lang w:val="fr-FR"/>
        </w:rPr>
      </w:pPr>
      <w:r>
        <w:rPr>
          <w:noProof/>
        </w:rPr>
        <mc:AlternateContent>
          <mc:Choice Requires="wps">
            <w:drawing>
              <wp:anchor distT="0" distB="0" distL="114300" distR="114300" simplePos="0" relativeHeight="251649536" behindDoc="0" locked="0" layoutInCell="1" allowOverlap="1" wp14:anchorId="6F16F86C" wp14:editId="724A03D5">
                <wp:simplePos x="0" y="0"/>
                <wp:positionH relativeFrom="column">
                  <wp:posOffset>-1270</wp:posOffset>
                </wp:positionH>
                <wp:positionV relativeFrom="paragraph">
                  <wp:posOffset>132715</wp:posOffset>
                </wp:positionV>
                <wp:extent cx="2385695" cy="152844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385695" cy="1528445"/>
                        </a:xfrm>
                        <a:prstGeom prst="rect">
                          <a:avLst/>
                        </a:prstGeom>
                        <a:noFill/>
                        <a:ln w="6350">
                          <a:noFill/>
                        </a:ln>
                      </wps:spPr>
                      <wps:txbx>
                        <w:txbxContent>
                          <w:p w14:paraId="2763BB2A" w14:textId="77777777" w:rsidR="00BC4D45" w:rsidRPr="004B32F8" w:rsidRDefault="00BC4D45" w:rsidP="004B32F8">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Grand total</w:t>
                            </w:r>
                          </w:p>
                          <w:p w14:paraId="3810094F"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Région afro-tropicale – Australe</w:t>
                            </w:r>
                          </w:p>
                          <w:p w14:paraId="5A41E760"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Région afro-tropicale – Est</w:t>
                            </w:r>
                          </w:p>
                          <w:p w14:paraId="2D563940"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Paléarctique occidental – Mer Noire – Méditerranée</w:t>
                            </w:r>
                          </w:p>
                          <w:p w14:paraId="5FDF0AE3"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Paléarctique occidental – Asie centrale et du Sud-Ouest</w:t>
                            </w:r>
                          </w:p>
                          <w:p w14:paraId="0AB1A0FA"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Paléarctique occidental – Atlantique</w:t>
                            </w:r>
                          </w:p>
                          <w:p w14:paraId="5B79499F"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Voie de migration Asie de l’Ouest – Afrique de l’Est</w:t>
                            </w:r>
                          </w:p>
                          <w:p w14:paraId="570A3872" w14:textId="77777777" w:rsidR="00BC4D45" w:rsidRPr="00745E4E" w:rsidRDefault="00BC4D45" w:rsidP="00D95894">
                            <w:pPr>
                              <w:pStyle w:val="Caption"/>
                              <w:ind w:left="284" w:hanging="284"/>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F86C" id="Text Box 66" o:spid="_x0000_s1045" type="#_x0000_t202" style="position:absolute;margin-left:-.1pt;margin-top:10.45pt;width:187.85pt;height:120.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" filled="f" stroked="f" strokeweight=".5pt">
                <v:textbox>
                  <w:txbxContent>
                    <w:p w14:paraId="2763BB2A" w14:textId="77777777" w:rsidR="00BC4D45" w:rsidRPr="004B32F8" w:rsidRDefault="00BC4D45" w:rsidP="004B32F8">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Grand total</w:t>
                      </w:r>
                    </w:p>
                    <w:p w14:paraId="3810094F"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Région afro-tropicale – Australe</w:t>
                      </w:r>
                    </w:p>
                    <w:p w14:paraId="5A41E760"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Région afro-tropicale – Est</w:t>
                      </w:r>
                    </w:p>
                    <w:p w14:paraId="2D563940"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Paléarctique occidental – Mer Noire – Méditerranée</w:t>
                      </w:r>
                    </w:p>
                    <w:p w14:paraId="5FDF0AE3"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Paléarctique occidental – Asie centrale et du Sud-Ouest</w:t>
                      </w:r>
                    </w:p>
                    <w:p w14:paraId="0AB1A0FA"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Paléarctique occidental – Atlantique</w:t>
                      </w:r>
                    </w:p>
                    <w:p w14:paraId="5B79499F" w14:textId="77777777" w:rsidR="00BC4D45" w:rsidRPr="004B32F8" w:rsidRDefault="00BC4D45" w:rsidP="004B32F8">
                      <w:pPr>
                        <w:pStyle w:val="ListParagraph"/>
                        <w:numPr>
                          <w:ilvl w:val="0"/>
                          <w:numId w:val="32"/>
                        </w:numPr>
                        <w:tabs>
                          <w:tab w:val="left" w:pos="851"/>
                          <w:tab w:val="left" w:pos="3686"/>
                          <w:tab w:val="left" w:pos="6096"/>
                          <w:tab w:val="left" w:pos="7088"/>
                        </w:tabs>
                        <w:ind w:left="284" w:hanging="284"/>
                        <w:rPr>
                          <w:rFonts w:cstheme="minorHAnsi"/>
                          <w:color w:val="4F81BD" w:themeColor="accent1"/>
                          <w:sz w:val="18"/>
                          <w:szCs w:val="18"/>
                          <w:lang w:val="fr-FR"/>
                        </w:rPr>
                      </w:pPr>
                      <w:r w:rsidRPr="004B32F8">
                        <w:rPr>
                          <w:rFonts w:cstheme="minorHAnsi"/>
                          <w:color w:val="4F81BD" w:themeColor="accent1"/>
                          <w:sz w:val="18"/>
                          <w:szCs w:val="18"/>
                          <w:lang w:val="fr-FR"/>
                        </w:rPr>
                        <w:t>Voie de migration Asie de l’Ouest – Afrique de l’Est</w:t>
                      </w:r>
                    </w:p>
                    <w:p w14:paraId="570A3872" w14:textId="77777777" w:rsidR="00BC4D45" w:rsidRPr="00745E4E" w:rsidRDefault="00BC4D45" w:rsidP="00D95894">
                      <w:pPr>
                        <w:pStyle w:val="Caption"/>
                        <w:ind w:left="284" w:hanging="284"/>
                        <w:rPr>
                          <w:lang w:val="fr-FR"/>
                        </w:rPr>
                      </w:pPr>
                    </w:p>
                  </w:txbxContent>
                </v:textbox>
                <w10:wrap type="square"/>
              </v:shape>
            </w:pict>
          </mc:Fallback>
        </mc:AlternateContent>
      </w:r>
      <w:r>
        <w:rPr>
          <w:rFonts w:cstheme="minorHAnsi"/>
          <w:noProof/>
          <w:color w:val="4F81BD" w:themeColor="accent1"/>
          <w:sz w:val="18"/>
          <w:szCs w:val="18"/>
          <w:lang w:val="fr-FR"/>
        </w:rPr>
        <mc:AlternateContent>
          <mc:Choice Requires="wps">
            <w:drawing>
              <wp:anchor distT="0" distB="0" distL="114300" distR="114300" simplePos="0" relativeHeight="251658752" behindDoc="0" locked="0" layoutInCell="1" allowOverlap="1" wp14:anchorId="49FECE64" wp14:editId="6239C956">
                <wp:simplePos x="0" y="0"/>
                <wp:positionH relativeFrom="column">
                  <wp:posOffset>2194560</wp:posOffset>
                </wp:positionH>
                <wp:positionV relativeFrom="paragraph">
                  <wp:posOffset>123190</wp:posOffset>
                </wp:positionV>
                <wp:extent cx="2100263" cy="1519238"/>
                <wp:effectExtent l="0" t="0" r="0" b="5080"/>
                <wp:wrapNone/>
                <wp:docPr id="67" name="Text Box 67"/>
                <wp:cNvGraphicFramePr/>
                <a:graphic xmlns:a="http://schemas.openxmlformats.org/drawingml/2006/main">
                  <a:graphicData uri="http://schemas.microsoft.com/office/word/2010/wordprocessingShape">
                    <wps:wsp>
                      <wps:cNvSpPr txBox="1"/>
                      <wps:spPr>
                        <a:xfrm>
                          <a:off x="0" y="0"/>
                          <a:ext cx="2100263" cy="1519238"/>
                        </a:xfrm>
                        <a:prstGeom prst="rect">
                          <a:avLst/>
                        </a:prstGeom>
                        <a:solidFill>
                          <a:schemeClr val="lt1"/>
                        </a:solidFill>
                        <a:ln w="6350">
                          <a:noFill/>
                        </a:ln>
                      </wps:spPr>
                      <wps:txbx>
                        <w:txbxContent>
                          <w:p w14:paraId="44A4805E"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Région afro-tropicale – Est et australe</w:t>
                            </w:r>
                          </w:p>
                          <w:p w14:paraId="75DD7D8C"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Autres</w:t>
                            </w:r>
                          </w:p>
                          <w:p w14:paraId="4D26572C"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Voie de migration de l’Atlantique Est</w:t>
                            </w:r>
                          </w:p>
                          <w:p w14:paraId="52EB21CD"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Région afro-tropicale – Occidentale et centrale</w:t>
                            </w:r>
                          </w:p>
                          <w:p w14:paraId="217CA81D"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Voie de migration mer Noire–Méditerranée</w:t>
                            </w:r>
                          </w:p>
                          <w:p w14:paraId="464A36ED"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Région afro-tropicale – Subsaharienne</w:t>
                            </w:r>
                          </w:p>
                          <w:p w14:paraId="6DFFB7F0" w14:textId="77777777" w:rsidR="00BC4D45" w:rsidRPr="0021314E" w:rsidRDefault="00BC4D45" w:rsidP="0021314E">
                            <w:pPr>
                              <w:pStyle w:val="ListParagraph"/>
                              <w:tabs>
                                <w:tab w:val="left" w:pos="3686"/>
                                <w:tab w:val="left" w:pos="6096"/>
                                <w:tab w:val="left" w:pos="7088"/>
                              </w:tabs>
                              <w:ind w:left="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CE64" id="Text Box 67" o:spid="_x0000_s1046" type="#_x0000_t202" style="position:absolute;margin-left:172.8pt;margin-top:9.7pt;width:165.4pt;height:11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" fillcolor="white [3201]" stroked="f" strokeweight=".5pt">
                <v:textbox>
                  <w:txbxContent>
                    <w:p w14:paraId="44A4805E"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Région afro-tropicale – Est et australe</w:t>
                      </w:r>
                    </w:p>
                    <w:p w14:paraId="75DD7D8C"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Autres</w:t>
                      </w:r>
                    </w:p>
                    <w:p w14:paraId="4D26572C"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Voie de migration de l’Atlantique Est</w:t>
                      </w:r>
                    </w:p>
                    <w:p w14:paraId="52EB21CD"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Région afro-tropicale – Occidentale et centrale</w:t>
                      </w:r>
                    </w:p>
                    <w:p w14:paraId="217CA81D"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Voie de migration mer Noire–Méditerranée</w:t>
                      </w:r>
                    </w:p>
                    <w:p w14:paraId="464A36ED" w14:textId="77777777" w:rsidR="00BC4D45" w:rsidRPr="0021314E" w:rsidRDefault="00BC4D45" w:rsidP="0021314E">
                      <w:pPr>
                        <w:pStyle w:val="ListParagraph"/>
                        <w:numPr>
                          <w:ilvl w:val="0"/>
                          <w:numId w:val="32"/>
                        </w:numPr>
                        <w:tabs>
                          <w:tab w:val="left" w:pos="3686"/>
                          <w:tab w:val="left" w:pos="6096"/>
                          <w:tab w:val="left" w:pos="7088"/>
                        </w:tabs>
                        <w:ind w:left="284" w:hanging="284"/>
                        <w:rPr>
                          <w:rFonts w:cstheme="minorHAnsi"/>
                          <w:color w:val="4F81BD" w:themeColor="accent1"/>
                          <w:sz w:val="18"/>
                          <w:szCs w:val="18"/>
                          <w:lang w:val="fr-FR"/>
                        </w:rPr>
                      </w:pPr>
                      <w:r w:rsidRPr="0021314E">
                        <w:rPr>
                          <w:rFonts w:cstheme="minorHAnsi"/>
                          <w:color w:val="4F81BD" w:themeColor="accent1"/>
                          <w:sz w:val="18"/>
                          <w:szCs w:val="18"/>
                          <w:lang w:val="fr-FR"/>
                        </w:rPr>
                        <w:t>Région afro-tropicale – Subsaharienne</w:t>
                      </w:r>
                    </w:p>
                    <w:p w14:paraId="6DFFB7F0" w14:textId="77777777" w:rsidR="00BC4D45" w:rsidRPr="0021314E" w:rsidRDefault="00BC4D45" w:rsidP="0021314E">
                      <w:pPr>
                        <w:pStyle w:val="ListParagraph"/>
                        <w:tabs>
                          <w:tab w:val="left" w:pos="3686"/>
                          <w:tab w:val="left" w:pos="6096"/>
                          <w:tab w:val="left" w:pos="7088"/>
                        </w:tabs>
                        <w:ind w:left="284"/>
                        <w:rPr>
                          <w:rFonts w:cstheme="minorHAnsi"/>
                          <w:color w:val="4F81BD" w:themeColor="accent1"/>
                          <w:sz w:val="18"/>
                          <w:szCs w:val="18"/>
                          <w:lang w:val="fr-FR"/>
                        </w:rPr>
                      </w:pPr>
                    </w:p>
                  </w:txbxContent>
                </v:textbox>
              </v:shape>
            </w:pict>
          </mc:Fallback>
        </mc:AlternateContent>
      </w:r>
    </w:p>
    <w:p w14:paraId="04C12696" w14:textId="6CF05D35" w:rsidR="004B32F8" w:rsidRPr="004B32F8" w:rsidRDefault="004B32F8" w:rsidP="004B32F8">
      <w:pPr>
        <w:rPr>
          <w:lang w:val="fr-FR"/>
        </w:rPr>
      </w:pPr>
    </w:p>
    <w:p w14:paraId="5167CE5B" w14:textId="2963B520" w:rsidR="004B32F8" w:rsidRPr="004B32F8" w:rsidRDefault="004B32F8" w:rsidP="004B32F8">
      <w:pPr>
        <w:rPr>
          <w:lang w:val="fr-FR"/>
        </w:rPr>
      </w:pPr>
    </w:p>
    <w:p w14:paraId="71284B0A" w14:textId="023F5E14" w:rsidR="004B32F8" w:rsidRPr="004B32F8" w:rsidRDefault="004B32F8" w:rsidP="004B32F8">
      <w:pPr>
        <w:rPr>
          <w:lang w:val="fr-FR"/>
        </w:rPr>
      </w:pPr>
    </w:p>
    <w:p w14:paraId="5408CD5A" w14:textId="646CFABD" w:rsidR="004B32F8" w:rsidRPr="004B32F8" w:rsidRDefault="004B32F8" w:rsidP="004B32F8">
      <w:pPr>
        <w:rPr>
          <w:lang w:val="fr-FR"/>
        </w:rPr>
      </w:pPr>
    </w:p>
    <w:p w14:paraId="43DC028C" w14:textId="521A8008" w:rsidR="004B32F8" w:rsidRPr="004B32F8" w:rsidRDefault="004B32F8" w:rsidP="004B32F8">
      <w:pPr>
        <w:rPr>
          <w:lang w:val="fr-FR"/>
        </w:rPr>
      </w:pPr>
    </w:p>
    <w:p w14:paraId="5DAE8361" w14:textId="77777777" w:rsidR="004B32F8" w:rsidRPr="004B32F8" w:rsidRDefault="004B32F8" w:rsidP="004B32F8">
      <w:pPr>
        <w:rPr>
          <w:lang w:val="fr-FR"/>
        </w:rPr>
      </w:pPr>
    </w:p>
    <w:p w14:paraId="3694A692" w14:textId="77777777" w:rsidR="00200DCA" w:rsidRDefault="00200DCA" w:rsidP="008E5AEA">
      <w:pPr>
        <w:pStyle w:val="Caption"/>
        <w:rPr>
          <w:lang w:val="fr-FR"/>
        </w:rPr>
      </w:pPr>
    </w:p>
    <w:p w14:paraId="211AC792" w14:textId="77777777" w:rsidR="00200DCA" w:rsidRDefault="00200DCA" w:rsidP="008E5AEA">
      <w:pPr>
        <w:pStyle w:val="Caption"/>
        <w:rPr>
          <w:lang w:val="fr-FR"/>
        </w:rPr>
      </w:pPr>
    </w:p>
    <w:p w14:paraId="5C20C4C4" w14:textId="1A658E61" w:rsidR="008E5AEA" w:rsidRDefault="008E5AEA" w:rsidP="0021314E">
      <w:pPr>
        <w:pStyle w:val="Caption"/>
        <w:rPr>
          <w:b w:val="0"/>
          <w:sz w:val="26"/>
          <w:lang w:val="fr-FR"/>
        </w:rPr>
      </w:pPr>
      <w:r>
        <w:rPr>
          <w:lang w:val="fr-FR"/>
        </w:rPr>
        <w:t>Figure 24. Pourcentage et nombre de populations selon l’évaluation de leur l’état de conservation et par voie de migration d’après l’augmentation de la valeur de l’Indice Liste rouge pour la voie de migration (les voies de migration les plus menacées étant en haut)</w:t>
      </w:r>
    </w:p>
    <w:p w14:paraId="702978CE" w14:textId="7E519246" w:rsidR="008E5AEA" w:rsidRPr="007C275D" w:rsidRDefault="008E5AEA" w:rsidP="008E5AEA">
      <w:pPr>
        <w:pStyle w:val="Heading3"/>
        <w:rPr>
          <w:lang w:val="fr-FR"/>
        </w:rPr>
      </w:pPr>
      <w:bookmarkStart w:id="87" w:name="_Toc517262031"/>
      <w:r>
        <w:rPr>
          <w:rFonts w:ascii="Times New Roman" w:eastAsia="Times New Roman" w:hAnsi="Times New Roman" w:cs="Times New Roman"/>
          <w:lang w:val="fr-FR"/>
        </w:rPr>
        <w:lastRenderedPageBreak/>
        <w:t>Les plans d’action fonctionnent, mais exigent un engagement à long terme</w:t>
      </w:r>
      <w:bookmarkEnd w:id="87"/>
    </w:p>
    <w:p w14:paraId="020C5C5E" w14:textId="77777777" w:rsidR="008E5AEA" w:rsidRPr="007C275D" w:rsidRDefault="008E5AEA" w:rsidP="008E5AEA">
      <w:pPr>
        <w:pStyle w:val="Normal1"/>
        <w:rPr>
          <w:lang w:val="fr-FR"/>
        </w:rPr>
      </w:pPr>
    </w:p>
    <w:p w14:paraId="2F403A6C" w14:textId="77777777" w:rsidR="008E5AEA" w:rsidRPr="007C275D" w:rsidRDefault="008E5AEA" w:rsidP="008E5AEA">
      <w:pPr>
        <w:pStyle w:val="Normal1"/>
        <w:jc w:val="both"/>
        <w:rPr>
          <w:lang w:val="fr-FR"/>
        </w:rPr>
      </w:pPr>
      <w:r>
        <w:rPr>
          <w:lang w:val="fr-FR"/>
        </w:rPr>
        <w:t>L’Accord exige l’élaboration de plans d’action afin de coordonner le rétablissement des populations figurant dans la catégorie 1 de la colonne A du tableau 1. Les plans d’action par espèce requièrent des investissements significatifs dans leur développement et leur mise en œuvre.</w:t>
      </w:r>
      <w:r w:rsidRPr="007C275D">
        <w:rPr>
          <w:lang w:val="fr-FR"/>
        </w:rPr>
        <w:t xml:space="preserve"> </w:t>
      </w:r>
    </w:p>
    <w:p w14:paraId="4E0E0486" w14:textId="77777777" w:rsidR="008E5AEA" w:rsidRPr="007C275D" w:rsidRDefault="008E5AEA" w:rsidP="008E5AEA">
      <w:pPr>
        <w:pStyle w:val="Normal1"/>
        <w:rPr>
          <w:lang w:val="fr-FR"/>
        </w:rPr>
      </w:pPr>
    </w:p>
    <w:p w14:paraId="0AD05782" w14:textId="77777777" w:rsidR="008E5AEA" w:rsidRPr="007C275D" w:rsidRDefault="008E5AEA" w:rsidP="008E5AEA">
      <w:pPr>
        <w:pStyle w:val="Normal1"/>
        <w:jc w:val="both"/>
        <w:rPr>
          <w:lang w:val="fr-FR"/>
        </w:rPr>
      </w:pPr>
      <w:r>
        <w:rPr>
          <w:lang w:val="fr-FR"/>
        </w:rPr>
        <w:t xml:space="preserve">La figure 25 montre que l’investissement dans des plans d’action par espèce a habituellement pour résultat des tendances de population positives. Cependant, la stabilisation et le rétablissement ultérieur des populations demandent du temps et dépendent d’investissements continus. Ceci explique pourquoi il existe une disparité entre la tendance négative suggérée par l’Indice Liste rouge et les tendances positives suggérées dans d’autres analyses de ce rapport. </w:t>
      </w:r>
    </w:p>
    <w:p w14:paraId="75B9CCFF" w14:textId="77777777" w:rsidR="008E5AEA" w:rsidRPr="007C275D" w:rsidRDefault="008E5AEA" w:rsidP="008E5AEA">
      <w:pPr>
        <w:pStyle w:val="Normal1"/>
        <w:rPr>
          <w:lang w:val="fr-FR"/>
        </w:rPr>
      </w:pPr>
    </w:p>
    <w:p w14:paraId="73FA4A5F" w14:textId="554F4EA1" w:rsidR="008E5AEA" w:rsidRDefault="00D42FBA" w:rsidP="008E5AEA">
      <w:pPr>
        <w:pStyle w:val="Normal1"/>
        <w:keepNext/>
      </w:pPr>
      <w:r>
        <w:rPr>
          <w:noProof/>
          <w:lang w:val="nl-NL" w:eastAsia="nl-NL"/>
        </w:rPr>
        <mc:AlternateContent>
          <mc:Choice Requires="wps">
            <w:drawing>
              <wp:anchor distT="0" distB="0" distL="114300" distR="114300" simplePos="0" relativeHeight="251674112" behindDoc="0" locked="0" layoutInCell="1" allowOverlap="1" wp14:anchorId="5E885B1E" wp14:editId="19B4CD48">
                <wp:simplePos x="0" y="0"/>
                <wp:positionH relativeFrom="column">
                  <wp:posOffset>5350510</wp:posOffset>
                </wp:positionH>
                <wp:positionV relativeFrom="paragraph">
                  <wp:posOffset>934085</wp:posOffset>
                </wp:positionV>
                <wp:extent cx="1231900" cy="1447800"/>
                <wp:effectExtent l="0" t="0" r="6350" b="0"/>
                <wp:wrapNone/>
                <wp:docPr id="81" name="Text Box 81"/>
                <wp:cNvGraphicFramePr/>
                <a:graphic xmlns:a="http://schemas.openxmlformats.org/drawingml/2006/main">
                  <a:graphicData uri="http://schemas.microsoft.com/office/word/2010/wordprocessingShape">
                    <wps:wsp>
                      <wps:cNvSpPr txBox="1"/>
                      <wps:spPr>
                        <a:xfrm>
                          <a:off x="0" y="0"/>
                          <a:ext cx="1231900" cy="1447800"/>
                        </a:xfrm>
                        <a:prstGeom prst="rect">
                          <a:avLst/>
                        </a:prstGeom>
                        <a:solidFill>
                          <a:schemeClr val="lt1"/>
                        </a:solidFill>
                        <a:ln w="6350">
                          <a:noFill/>
                        </a:ln>
                      </wps:spPr>
                      <wps:txbx>
                        <w:txbxContent>
                          <w:p w14:paraId="1579CBE3" w14:textId="07E6E254" w:rsidR="00BC4D45"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Incertain</w:t>
                            </w:r>
                          </w:p>
                          <w:p w14:paraId="3F857513" w14:textId="77777777" w:rsidR="00BC4D45" w:rsidRPr="00D42FBA" w:rsidRDefault="00BC4D45" w:rsidP="00D42FBA">
                            <w:pPr>
                              <w:pStyle w:val="ListParagraph"/>
                              <w:tabs>
                                <w:tab w:val="left" w:pos="3686"/>
                                <w:tab w:val="left" w:pos="6096"/>
                                <w:tab w:val="left" w:pos="7088"/>
                              </w:tabs>
                              <w:ind w:left="284"/>
                              <w:rPr>
                                <w:color w:val="4F81BD" w:themeColor="accent1"/>
                                <w:sz w:val="12"/>
                                <w:szCs w:val="12"/>
                                <w:lang w:val="fr-FR"/>
                              </w:rPr>
                            </w:pPr>
                          </w:p>
                          <w:p w14:paraId="7C8F749D" w14:textId="5A4A5F51" w:rsidR="00BC4D45"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En déclin</w:t>
                            </w:r>
                          </w:p>
                          <w:p w14:paraId="76F99521" w14:textId="77777777" w:rsidR="00BC4D45" w:rsidRPr="00D42FBA" w:rsidRDefault="00BC4D45" w:rsidP="00D42FBA">
                            <w:pPr>
                              <w:pStyle w:val="ListParagraph"/>
                              <w:rPr>
                                <w:color w:val="4F81BD" w:themeColor="accent1"/>
                                <w:sz w:val="12"/>
                                <w:szCs w:val="12"/>
                                <w:lang w:val="fr-FR"/>
                              </w:rPr>
                            </w:pPr>
                          </w:p>
                          <w:p w14:paraId="2679B13C" w14:textId="396FBC70" w:rsidR="00BC4D45"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Stable ou fluctuante</w:t>
                            </w:r>
                          </w:p>
                          <w:p w14:paraId="18767D1B" w14:textId="77777777" w:rsidR="00BC4D45" w:rsidRPr="00D42FBA" w:rsidRDefault="00BC4D45" w:rsidP="00D42FBA">
                            <w:pPr>
                              <w:pStyle w:val="ListParagraph"/>
                              <w:rPr>
                                <w:color w:val="4F81BD" w:themeColor="accent1"/>
                                <w:sz w:val="12"/>
                                <w:szCs w:val="12"/>
                                <w:lang w:val="fr-FR"/>
                              </w:rPr>
                            </w:pPr>
                          </w:p>
                          <w:p w14:paraId="25910A90" w14:textId="77777777" w:rsidR="00BC4D45" w:rsidRPr="0021314E"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En augmentation</w:t>
                            </w:r>
                          </w:p>
                          <w:p w14:paraId="0F8E3FED" w14:textId="77777777" w:rsidR="00BC4D45" w:rsidRDefault="00BC4D45" w:rsidP="00D42FBA">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5B1E" id="Text Box 81" o:spid="_x0000_s1047" type="#_x0000_t202" style="position:absolute;margin-left:421.3pt;margin-top:73.55pt;width:97pt;height:1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" fillcolor="white [3201]" stroked="f" strokeweight=".5pt">
                <v:textbox>
                  <w:txbxContent>
                    <w:p w14:paraId="1579CBE3" w14:textId="07E6E254" w:rsidR="00BC4D45"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Incertain</w:t>
                      </w:r>
                    </w:p>
                    <w:p w14:paraId="3F857513" w14:textId="77777777" w:rsidR="00BC4D45" w:rsidRPr="00D42FBA" w:rsidRDefault="00BC4D45" w:rsidP="00D42FBA">
                      <w:pPr>
                        <w:pStyle w:val="ListParagraph"/>
                        <w:tabs>
                          <w:tab w:val="left" w:pos="3686"/>
                          <w:tab w:val="left" w:pos="6096"/>
                          <w:tab w:val="left" w:pos="7088"/>
                        </w:tabs>
                        <w:ind w:left="284"/>
                        <w:rPr>
                          <w:color w:val="4F81BD" w:themeColor="accent1"/>
                          <w:sz w:val="12"/>
                          <w:szCs w:val="12"/>
                          <w:lang w:val="fr-FR"/>
                        </w:rPr>
                      </w:pPr>
                    </w:p>
                    <w:p w14:paraId="7C8F749D" w14:textId="5A4A5F51" w:rsidR="00BC4D45"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En déclin</w:t>
                      </w:r>
                    </w:p>
                    <w:p w14:paraId="76F99521" w14:textId="77777777" w:rsidR="00BC4D45" w:rsidRPr="00D42FBA" w:rsidRDefault="00BC4D45" w:rsidP="00D42FBA">
                      <w:pPr>
                        <w:pStyle w:val="ListParagraph"/>
                        <w:rPr>
                          <w:color w:val="4F81BD" w:themeColor="accent1"/>
                          <w:sz w:val="12"/>
                          <w:szCs w:val="12"/>
                          <w:lang w:val="fr-FR"/>
                        </w:rPr>
                      </w:pPr>
                    </w:p>
                    <w:p w14:paraId="2679B13C" w14:textId="396FBC70" w:rsidR="00BC4D45"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Stable ou fluctuante</w:t>
                      </w:r>
                    </w:p>
                    <w:p w14:paraId="18767D1B" w14:textId="77777777" w:rsidR="00BC4D45" w:rsidRPr="00D42FBA" w:rsidRDefault="00BC4D45" w:rsidP="00D42FBA">
                      <w:pPr>
                        <w:pStyle w:val="ListParagraph"/>
                        <w:rPr>
                          <w:color w:val="4F81BD" w:themeColor="accent1"/>
                          <w:sz w:val="12"/>
                          <w:szCs w:val="12"/>
                          <w:lang w:val="fr-FR"/>
                        </w:rPr>
                      </w:pPr>
                    </w:p>
                    <w:p w14:paraId="25910A90" w14:textId="77777777" w:rsidR="00BC4D45" w:rsidRPr="0021314E" w:rsidRDefault="00BC4D45" w:rsidP="00D42FBA">
                      <w:pPr>
                        <w:pStyle w:val="ListParagraph"/>
                        <w:numPr>
                          <w:ilvl w:val="0"/>
                          <w:numId w:val="33"/>
                        </w:numPr>
                        <w:tabs>
                          <w:tab w:val="left" w:pos="3686"/>
                          <w:tab w:val="left" w:pos="6096"/>
                          <w:tab w:val="left" w:pos="7088"/>
                        </w:tabs>
                        <w:ind w:left="284" w:hanging="284"/>
                        <w:rPr>
                          <w:color w:val="4F81BD" w:themeColor="accent1"/>
                          <w:sz w:val="18"/>
                          <w:szCs w:val="18"/>
                          <w:lang w:val="fr-FR"/>
                        </w:rPr>
                      </w:pPr>
                      <w:r w:rsidRPr="0021314E">
                        <w:rPr>
                          <w:color w:val="4F81BD" w:themeColor="accent1"/>
                          <w:sz w:val="18"/>
                          <w:szCs w:val="18"/>
                          <w:lang w:val="fr-FR"/>
                        </w:rPr>
                        <w:t>En augmentation</w:t>
                      </w:r>
                    </w:p>
                    <w:p w14:paraId="0F8E3FED" w14:textId="77777777" w:rsidR="00BC4D45" w:rsidRDefault="00BC4D45" w:rsidP="00D42FBA">
                      <w:pPr>
                        <w:ind w:left="284" w:hanging="284"/>
                      </w:pPr>
                    </w:p>
                  </w:txbxContent>
                </v:textbox>
              </v:shape>
            </w:pict>
          </mc:Fallback>
        </mc:AlternateContent>
      </w:r>
      <w:r w:rsidR="008E5AEA">
        <w:rPr>
          <w:noProof/>
          <w:lang w:val="nl-NL" w:eastAsia="nl-NL"/>
        </w:rPr>
        <w:drawing>
          <wp:inline distT="0" distB="0" distL="0" distR="0" wp14:anchorId="3C7C5914" wp14:editId="0AF19DA6">
            <wp:extent cx="5265420" cy="26676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65420" cy="2667635"/>
                    </a:xfrm>
                    <a:prstGeom prst="rect">
                      <a:avLst/>
                    </a:prstGeom>
                    <a:noFill/>
                    <a:ln>
                      <a:noFill/>
                    </a:ln>
                  </pic:spPr>
                </pic:pic>
              </a:graphicData>
            </a:graphic>
          </wp:inline>
        </w:drawing>
      </w:r>
    </w:p>
    <w:p w14:paraId="6404028A" w14:textId="10910BD2" w:rsidR="008E5AEA" w:rsidRDefault="008E5AEA" w:rsidP="0021314E">
      <w:pPr>
        <w:pStyle w:val="Caption"/>
        <w:spacing w:after="0"/>
      </w:pPr>
    </w:p>
    <w:p w14:paraId="74B75C0A" w14:textId="76037F90" w:rsidR="0021314E" w:rsidRPr="0021314E" w:rsidRDefault="0021314E" w:rsidP="0021314E">
      <w:pPr>
        <w:tabs>
          <w:tab w:val="left" w:pos="3686"/>
          <w:tab w:val="left" w:pos="6096"/>
          <w:tab w:val="left" w:pos="7088"/>
        </w:tabs>
        <w:rPr>
          <w:color w:val="4F81BD" w:themeColor="accent1"/>
          <w:sz w:val="18"/>
          <w:szCs w:val="18"/>
          <w:lang w:val="fr-FR"/>
        </w:rPr>
      </w:pPr>
      <w:r w:rsidRPr="0021314E">
        <w:rPr>
          <w:color w:val="4F81BD" w:themeColor="accent1"/>
          <w:sz w:val="18"/>
          <w:szCs w:val="18"/>
          <w:lang w:val="fr-FR"/>
        </w:rPr>
        <w:t>Pas de plan d’action</w:t>
      </w:r>
      <w:r>
        <w:rPr>
          <w:color w:val="4F81BD" w:themeColor="accent1"/>
          <w:sz w:val="18"/>
          <w:szCs w:val="18"/>
          <w:lang w:val="fr-FR"/>
        </w:rPr>
        <w:tab/>
      </w:r>
      <w:r>
        <w:rPr>
          <w:color w:val="4F81BD" w:themeColor="accent1"/>
          <w:sz w:val="18"/>
          <w:szCs w:val="18"/>
          <w:lang w:val="fr-FR"/>
        </w:rPr>
        <w:tab/>
      </w:r>
    </w:p>
    <w:p w14:paraId="2CDBE08F" w14:textId="77777777" w:rsidR="0021314E" w:rsidRPr="0021314E" w:rsidRDefault="0021314E" w:rsidP="0021314E">
      <w:pPr>
        <w:rPr>
          <w:sz w:val="18"/>
          <w:szCs w:val="18"/>
          <w:lang w:val="fr-FR"/>
        </w:rPr>
      </w:pPr>
    </w:p>
    <w:p w14:paraId="4D7D2063" w14:textId="47C1745D" w:rsidR="0021314E" w:rsidRPr="0021314E" w:rsidRDefault="0021314E" w:rsidP="0021314E">
      <w:pPr>
        <w:rPr>
          <w:sz w:val="18"/>
          <w:szCs w:val="18"/>
          <w:lang w:val="fr-FR"/>
        </w:rPr>
      </w:pPr>
    </w:p>
    <w:p w14:paraId="08E254DC" w14:textId="0CFA85D4" w:rsidR="008E5AEA" w:rsidRDefault="008E5AEA" w:rsidP="0021314E">
      <w:pPr>
        <w:pStyle w:val="Caption"/>
        <w:spacing w:after="0"/>
        <w:rPr>
          <w:lang w:val="fr-FR"/>
        </w:rPr>
      </w:pPr>
      <w:r>
        <w:rPr>
          <w:lang w:val="fr-FR"/>
        </w:rPr>
        <w:t xml:space="preserve">Figure 25. Tendance de populations selon la date de l’adoption de leur premier plan d’action en comparaison avec la tendance de populations sans plan d’action. </w:t>
      </w:r>
    </w:p>
    <w:p w14:paraId="01ECBE08" w14:textId="77777777" w:rsidR="0021314E" w:rsidRPr="0021314E" w:rsidRDefault="0021314E" w:rsidP="0021314E">
      <w:pPr>
        <w:rPr>
          <w:lang w:val="fr-FR"/>
        </w:rPr>
      </w:pPr>
    </w:p>
    <w:p w14:paraId="6DDE1E89" w14:textId="77777777" w:rsidR="008E5AEA" w:rsidRPr="007C275D" w:rsidRDefault="008E5AEA" w:rsidP="008E5AEA">
      <w:pPr>
        <w:jc w:val="both"/>
        <w:rPr>
          <w:lang w:val="fr-FR"/>
        </w:rPr>
      </w:pPr>
      <w:r>
        <w:rPr>
          <w:lang w:val="fr-FR"/>
        </w:rPr>
        <w:t xml:space="preserve">Il est important de souligner que les plans d’action sont seulement des outils destinés à faciliter la conclusion d’un accord sur la stratégie de rétablissement des populations concernées. La réussite de leur mise en œuvre implique une coordination internationale et nationale, l’engagement continu du personnel et d’autres ressources, ainsi que la mobilisation de chercheurs et de bénévoles, et d’un large éventail d’autres parties prenantes, y compris en dehors du secteur de conservation. </w:t>
      </w:r>
    </w:p>
    <w:p w14:paraId="7D466AD2" w14:textId="77777777" w:rsidR="008E5AEA" w:rsidRPr="007C275D" w:rsidRDefault="008E5AEA" w:rsidP="008E5AEA">
      <w:pPr>
        <w:pStyle w:val="Normal1"/>
        <w:rPr>
          <w:lang w:val="fr-FR"/>
        </w:rPr>
      </w:pPr>
    </w:p>
    <w:p w14:paraId="117D00A3" w14:textId="77777777" w:rsidR="008E5AEA" w:rsidRDefault="008E5AEA" w:rsidP="008E5AEA">
      <w:pPr>
        <w:rPr>
          <w:b/>
          <w:sz w:val="28"/>
          <w:lang w:val="fr-FR"/>
        </w:rPr>
      </w:pPr>
      <w:r>
        <w:rPr>
          <w:color w:val="auto"/>
          <w:sz w:val="28"/>
          <w:lang w:val="fr-FR"/>
        </w:rPr>
        <w:br w:type="page"/>
      </w:r>
      <w:bookmarkStart w:id="88" w:name="h.1mrcu09"/>
      <w:bookmarkStart w:id="89" w:name="h.46r0co2"/>
      <w:bookmarkEnd w:id="88"/>
      <w:bookmarkEnd w:id="89"/>
    </w:p>
    <w:p w14:paraId="038E3AEB" w14:textId="1A65D750" w:rsidR="008E5AEA" w:rsidRPr="007C275D" w:rsidRDefault="008E5AEA" w:rsidP="00D42FBA">
      <w:pPr>
        <w:pStyle w:val="Heading1"/>
        <w:ind w:left="1276" w:hanging="1276"/>
        <w:jc w:val="both"/>
        <w:rPr>
          <w:lang w:val="fr-FR"/>
        </w:rPr>
      </w:pPr>
      <w:bookmarkStart w:id="90" w:name="_Toc517262032"/>
      <w:r>
        <w:rPr>
          <w:sz w:val="28"/>
          <w:lang w:val="fr-FR"/>
        </w:rPr>
        <w:lastRenderedPageBreak/>
        <w:t>Partie 6.</w:t>
      </w:r>
      <w:r w:rsidRPr="007C275D">
        <w:rPr>
          <w:sz w:val="28"/>
          <w:lang w:val="fr-FR"/>
        </w:rPr>
        <w:t xml:space="preserve"> </w:t>
      </w:r>
      <w:r w:rsidRPr="007C275D">
        <w:rPr>
          <w:sz w:val="28"/>
          <w:lang w:val="fr-FR"/>
        </w:rPr>
        <w:tab/>
      </w:r>
      <w:r>
        <w:rPr>
          <w:sz w:val="28"/>
          <w:lang w:val="fr-FR"/>
        </w:rPr>
        <w:t xml:space="preserve">Progrès accomplis dans la réalisation des objectifs définis dans le </w:t>
      </w:r>
      <w:r w:rsidR="00D42FBA">
        <w:rPr>
          <w:sz w:val="28"/>
          <w:lang w:val="fr-FR"/>
        </w:rPr>
        <w:t xml:space="preserve">     </w:t>
      </w:r>
      <w:r>
        <w:rPr>
          <w:sz w:val="28"/>
          <w:lang w:val="fr-FR"/>
        </w:rPr>
        <w:t>Plan stratégique de l’AEWA</w:t>
      </w:r>
      <w:bookmarkEnd w:id="90"/>
      <w:r>
        <w:rPr>
          <w:sz w:val="28"/>
          <w:lang w:val="fr-FR"/>
        </w:rPr>
        <w:t xml:space="preserve"> </w:t>
      </w:r>
    </w:p>
    <w:p w14:paraId="02770AB6" w14:textId="77777777" w:rsidR="008E5AEA" w:rsidRPr="007C275D" w:rsidRDefault="008E5AEA" w:rsidP="008E5AEA">
      <w:pPr>
        <w:pStyle w:val="Normal1"/>
        <w:rPr>
          <w:lang w:val="fr-FR"/>
        </w:rPr>
      </w:pPr>
    </w:p>
    <w:p w14:paraId="2BE2AA95" w14:textId="77777777" w:rsidR="008E5AEA" w:rsidRPr="007C275D" w:rsidRDefault="008E5AEA" w:rsidP="008E5AEA">
      <w:pPr>
        <w:pStyle w:val="Normal1"/>
        <w:jc w:val="both"/>
        <w:rPr>
          <w:szCs w:val="24"/>
          <w:lang w:val="fr-FR"/>
        </w:rPr>
      </w:pPr>
      <w:r>
        <w:rPr>
          <w:szCs w:val="24"/>
          <w:lang w:val="fr-FR"/>
        </w:rPr>
        <w:t xml:space="preserve">Le cadre logique du Plan stratégique 2009-2018 de l’AEWA a identifié plusieurs indicateurs relatifs au but et aux actions afférentes devant être communiqués dans le CSR : </w:t>
      </w:r>
    </w:p>
    <w:p w14:paraId="31B6CE07" w14:textId="77777777" w:rsidR="008E5AEA" w:rsidRPr="007C275D" w:rsidRDefault="008E5AEA" w:rsidP="008E5AEA">
      <w:pPr>
        <w:pStyle w:val="Normal1"/>
        <w:jc w:val="both"/>
        <w:rPr>
          <w:lang w:val="fr-FR"/>
        </w:rPr>
      </w:pPr>
    </w:p>
    <w:p w14:paraId="4D0AC05A" w14:textId="77777777" w:rsidR="008E5AEA" w:rsidRPr="007C275D" w:rsidRDefault="008E5AEA" w:rsidP="008E5AEA">
      <w:pPr>
        <w:pStyle w:val="Normal1"/>
        <w:shd w:val="clear" w:color="auto" w:fill="D9D9D9"/>
        <w:jc w:val="both"/>
        <w:rPr>
          <w:szCs w:val="24"/>
          <w:lang w:val="fr-FR"/>
        </w:rPr>
      </w:pPr>
      <w:r>
        <w:rPr>
          <w:szCs w:val="24"/>
          <w:lang w:val="fr-FR"/>
        </w:rPr>
        <w:t>But : Maintenir ou rétablir les espèces d’oiseaux d’eau migrateurs et leurs populations dans un état de conservation favorable tout au long de leurs voies de migration. Au niveau de l’Accord et pour la durée du Plan stratégique 2009-2018, les indicateurs suivants ont été définis :</w:t>
      </w:r>
    </w:p>
    <w:p w14:paraId="3082266C" w14:textId="77777777" w:rsidR="008E5AEA" w:rsidRPr="007C275D" w:rsidRDefault="008E5AEA" w:rsidP="008E5AEA">
      <w:pPr>
        <w:pStyle w:val="Normal1"/>
        <w:shd w:val="clear" w:color="auto" w:fill="D9D9D9"/>
        <w:ind w:left="540" w:hanging="540"/>
        <w:jc w:val="both"/>
        <w:rPr>
          <w:szCs w:val="24"/>
          <w:lang w:val="fr-FR"/>
        </w:rPr>
      </w:pPr>
    </w:p>
    <w:p w14:paraId="0C08BC07" w14:textId="77777777" w:rsidR="008E5AEA" w:rsidRPr="007C275D" w:rsidRDefault="008E5AEA" w:rsidP="008E5AEA">
      <w:pPr>
        <w:pStyle w:val="Normal1"/>
        <w:shd w:val="clear" w:color="auto" w:fill="D9D9D9"/>
        <w:jc w:val="both"/>
        <w:rPr>
          <w:szCs w:val="24"/>
          <w:lang w:val="fr-FR"/>
        </w:rPr>
      </w:pPr>
      <w:r>
        <w:rPr>
          <w:szCs w:val="24"/>
          <w:lang w:val="fr-FR"/>
        </w:rPr>
        <w:t>G.1</w:t>
      </w:r>
      <w:r w:rsidRPr="007C275D">
        <w:rPr>
          <w:szCs w:val="24"/>
          <w:lang w:val="fr-FR"/>
        </w:rPr>
        <w:t xml:space="preserve"> </w:t>
      </w:r>
      <w:r w:rsidRPr="007C275D">
        <w:rPr>
          <w:szCs w:val="24"/>
          <w:lang w:val="fr-FR"/>
        </w:rPr>
        <w:tab/>
      </w:r>
      <w:r>
        <w:rPr>
          <w:szCs w:val="24"/>
          <w:lang w:val="fr-FR"/>
        </w:rPr>
        <w:t>Il n’y a eu aucune extinction de populations d’oiseaux d’eau de l’AEWA dans la zone de l’Accord.</w:t>
      </w:r>
    </w:p>
    <w:p w14:paraId="46221443" w14:textId="77777777" w:rsidR="008E5AEA" w:rsidRPr="007C275D" w:rsidRDefault="008E5AEA" w:rsidP="008E5AEA">
      <w:pPr>
        <w:pStyle w:val="Normal1"/>
        <w:shd w:val="clear" w:color="auto" w:fill="D9D9D9"/>
        <w:ind w:left="720" w:hanging="720"/>
        <w:jc w:val="both"/>
        <w:rPr>
          <w:szCs w:val="24"/>
          <w:lang w:val="fr-FR"/>
        </w:rPr>
      </w:pPr>
      <w:r>
        <w:rPr>
          <w:szCs w:val="24"/>
          <w:lang w:val="fr-FR"/>
        </w:rPr>
        <w:t>G.2</w:t>
      </w:r>
      <w:r w:rsidRPr="007C275D">
        <w:rPr>
          <w:szCs w:val="24"/>
          <w:lang w:val="fr-FR"/>
        </w:rPr>
        <w:tab/>
      </w:r>
      <w:r>
        <w:rPr>
          <w:szCs w:val="24"/>
          <w:lang w:val="fr-FR"/>
        </w:rPr>
        <w:t>Toutes les populations d’oiseaux d’eau de l’AEWA dont l’état de conservation est favorable ont conservé cet état</w:t>
      </w:r>
    </w:p>
    <w:p w14:paraId="24701F44" w14:textId="77777777" w:rsidR="008E5AEA" w:rsidRPr="007C275D" w:rsidRDefault="008E5AEA" w:rsidP="008E5AEA">
      <w:pPr>
        <w:pStyle w:val="Normal1"/>
        <w:shd w:val="clear" w:color="auto" w:fill="D9D9D9"/>
        <w:ind w:left="720" w:hanging="720"/>
        <w:jc w:val="both"/>
        <w:rPr>
          <w:szCs w:val="24"/>
          <w:lang w:val="fr-FR"/>
        </w:rPr>
      </w:pPr>
      <w:r>
        <w:rPr>
          <w:szCs w:val="24"/>
          <w:lang w:val="fr-FR"/>
        </w:rPr>
        <w:t>G.3</w:t>
      </w:r>
      <w:r w:rsidRPr="007C275D">
        <w:rPr>
          <w:szCs w:val="24"/>
          <w:lang w:val="fr-FR"/>
        </w:rPr>
        <w:t xml:space="preserve"> </w:t>
      </w:r>
      <w:r w:rsidRPr="007C275D">
        <w:rPr>
          <w:szCs w:val="24"/>
          <w:lang w:val="fr-FR"/>
        </w:rPr>
        <w:tab/>
      </w:r>
      <w:r>
        <w:rPr>
          <w:szCs w:val="24"/>
          <w:lang w:val="fr-FR"/>
        </w:rPr>
        <w:t>Au moins 75% des populations d’oiseaux d’eau de l’AEWA ont une tendance positive (croissante ou stable).</w:t>
      </w:r>
    </w:p>
    <w:p w14:paraId="7C6C2DC5" w14:textId="77777777" w:rsidR="008E5AEA" w:rsidRPr="007C275D" w:rsidRDefault="008E5AEA" w:rsidP="008E5AEA">
      <w:pPr>
        <w:pStyle w:val="Normal1"/>
        <w:shd w:val="clear" w:color="auto" w:fill="D9D9D9"/>
        <w:ind w:left="720" w:hanging="720"/>
        <w:jc w:val="both"/>
        <w:rPr>
          <w:szCs w:val="24"/>
          <w:lang w:val="fr-FR"/>
        </w:rPr>
      </w:pPr>
      <w:r>
        <w:rPr>
          <w:szCs w:val="24"/>
          <w:lang w:val="fr-FR"/>
        </w:rPr>
        <w:t>G.4</w:t>
      </w:r>
      <w:r w:rsidRPr="007C275D">
        <w:rPr>
          <w:szCs w:val="24"/>
          <w:lang w:val="fr-FR"/>
        </w:rPr>
        <w:tab/>
      </w:r>
      <w:r>
        <w:rPr>
          <w:szCs w:val="24"/>
          <w:lang w:val="fr-FR"/>
        </w:rPr>
        <w:t>L’état général des espèces indicatrices s’est amélioré, comme cela a été mesuré par l’Indicateur des oiseaux d’eau.</w:t>
      </w:r>
    </w:p>
    <w:p w14:paraId="5D24D600" w14:textId="77777777" w:rsidR="008E5AEA" w:rsidRPr="007C275D" w:rsidRDefault="008E5AEA" w:rsidP="008E5AEA">
      <w:pPr>
        <w:pStyle w:val="Normal1"/>
        <w:shd w:val="clear" w:color="auto" w:fill="D9D9D9"/>
        <w:ind w:left="709" w:hanging="709"/>
        <w:jc w:val="both"/>
        <w:rPr>
          <w:szCs w:val="24"/>
          <w:lang w:val="fr-FR"/>
        </w:rPr>
      </w:pPr>
      <w:r>
        <w:rPr>
          <w:szCs w:val="24"/>
          <w:lang w:val="fr-FR"/>
        </w:rPr>
        <w:t>G.5</w:t>
      </w:r>
      <w:r w:rsidRPr="007C275D">
        <w:rPr>
          <w:szCs w:val="24"/>
          <w:lang w:val="fr-FR"/>
        </w:rPr>
        <w:tab/>
      </w:r>
      <w:r>
        <w:rPr>
          <w:szCs w:val="24"/>
          <w:lang w:val="fr-FR"/>
        </w:rPr>
        <w:t>Le risque général d’extinction des oiseaux d’eau a diminué, comme cela a été mesuré par l’Indice Liste rouge.</w:t>
      </w:r>
    </w:p>
    <w:p w14:paraId="6932AC84" w14:textId="77777777" w:rsidR="008E5AEA" w:rsidRPr="007C275D" w:rsidRDefault="008E5AEA" w:rsidP="008E5AEA">
      <w:pPr>
        <w:pStyle w:val="Normal1"/>
        <w:shd w:val="clear" w:color="auto" w:fill="D9D9D9"/>
        <w:ind w:left="720" w:hanging="720"/>
        <w:jc w:val="both"/>
        <w:rPr>
          <w:szCs w:val="24"/>
          <w:lang w:val="fr-FR"/>
        </w:rPr>
      </w:pPr>
      <w:r>
        <w:rPr>
          <w:szCs w:val="24"/>
          <w:lang w:val="fr-FR"/>
        </w:rPr>
        <w:t>G.6</w:t>
      </w:r>
      <w:r w:rsidRPr="007C275D">
        <w:rPr>
          <w:szCs w:val="24"/>
          <w:lang w:val="fr-FR"/>
        </w:rPr>
        <w:tab/>
      </w:r>
      <w:r>
        <w:rPr>
          <w:szCs w:val="24"/>
          <w:lang w:val="fr-FR"/>
        </w:rPr>
        <w:t xml:space="preserve">20 % des espèces menacées et Quasi menacées ont été reclassées dans des catégories de menace inférieures. </w:t>
      </w:r>
    </w:p>
    <w:p w14:paraId="58114115" w14:textId="77777777" w:rsidR="008E5AEA" w:rsidRPr="007C275D" w:rsidRDefault="008E5AEA" w:rsidP="008E5AEA">
      <w:pPr>
        <w:pStyle w:val="Normal1"/>
        <w:shd w:val="clear" w:color="auto" w:fill="D9D9D9"/>
        <w:jc w:val="both"/>
        <w:rPr>
          <w:szCs w:val="24"/>
          <w:lang w:val="fr-FR"/>
        </w:rPr>
      </w:pPr>
      <w:r>
        <w:rPr>
          <w:szCs w:val="24"/>
          <w:lang w:val="fr-FR"/>
        </w:rPr>
        <w:t>G.7</w:t>
      </w:r>
      <w:r w:rsidRPr="007C275D">
        <w:rPr>
          <w:szCs w:val="24"/>
          <w:lang w:val="fr-FR"/>
        </w:rPr>
        <w:tab/>
      </w:r>
      <w:r>
        <w:rPr>
          <w:szCs w:val="24"/>
          <w:lang w:val="fr-FR"/>
        </w:rPr>
        <w:t>Le nombre de populations figurant dans la catégorie 1, colonne A, a diminué (réduction de 20 %).</w:t>
      </w:r>
    </w:p>
    <w:p w14:paraId="28FAA982" w14:textId="77777777" w:rsidR="008E5AEA" w:rsidRPr="007C275D" w:rsidRDefault="008E5AEA" w:rsidP="008E5AEA">
      <w:pPr>
        <w:pStyle w:val="Normal1"/>
        <w:shd w:val="clear" w:color="auto" w:fill="D9D9D9"/>
        <w:jc w:val="both"/>
        <w:rPr>
          <w:szCs w:val="24"/>
          <w:lang w:val="fr-FR"/>
        </w:rPr>
      </w:pPr>
      <w:r>
        <w:rPr>
          <w:szCs w:val="24"/>
          <w:lang w:val="fr-FR"/>
        </w:rPr>
        <w:t>G.8</w:t>
      </w:r>
      <w:r w:rsidRPr="007C275D">
        <w:rPr>
          <w:szCs w:val="24"/>
          <w:lang w:val="fr-FR"/>
        </w:rPr>
        <w:tab/>
      </w:r>
      <w:r>
        <w:rPr>
          <w:szCs w:val="24"/>
          <w:lang w:val="fr-FR"/>
        </w:rPr>
        <w:t>Le nombre de populations figurant dans colonne A a diminué (réduction de 5 %).</w:t>
      </w:r>
    </w:p>
    <w:p w14:paraId="3345A2C4" w14:textId="77777777" w:rsidR="008E5AEA" w:rsidRPr="007C275D" w:rsidRDefault="008E5AEA" w:rsidP="008E5AEA">
      <w:pPr>
        <w:pStyle w:val="Normal1"/>
        <w:shd w:val="clear" w:color="auto" w:fill="D9D9D9"/>
        <w:jc w:val="both"/>
        <w:rPr>
          <w:szCs w:val="24"/>
          <w:lang w:val="fr-FR"/>
        </w:rPr>
      </w:pPr>
    </w:p>
    <w:p w14:paraId="1181F812" w14:textId="77777777" w:rsidR="008E5AEA" w:rsidRPr="007C275D" w:rsidRDefault="008E5AEA" w:rsidP="008E5AEA">
      <w:pPr>
        <w:pStyle w:val="Normal1"/>
        <w:shd w:val="clear" w:color="auto" w:fill="D9D9D9"/>
        <w:ind w:left="720" w:hanging="720"/>
        <w:jc w:val="both"/>
        <w:rPr>
          <w:szCs w:val="24"/>
          <w:lang w:val="fr-FR"/>
        </w:rPr>
      </w:pPr>
      <w:r w:rsidRPr="007C275D">
        <w:rPr>
          <w:szCs w:val="24"/>
          <w:lang w:val="fr-FR"/>
        </w:rPr>
        <w:t xml:space="preserve">3.1 </w:t>
      </w:r>
      <w:r w:rsidRPr="007C275D">
        <w:rPr>
          <w:szCs w:val="24"/>
          <w:lang w:val="fr-FR"/>
        </w:rPr>
        <w:tab/>
      </w:r>
      <w:r>
        <w:rPr>
          <w:szCs w:val="24"/>
          <w:lang w:val="fr-FR"/>
        </w:rPr>
        <w:t>Les ressources nécessaires sont en place pour soutenir, à long terme, les processus internationaux de collecte de données de surveillance pour l’évaluation de l’état de conservation</w:t>
      </w:r>
      <w:r w:rsidRPr="007C275D">
        <w:rPr>
          <w:szCs w:val="24"/>
          <w:lang w:val="fr-FR"/>
        </w:rPr>
        <w:tab/>
      </w:r>
    </w:p>
    <w:p w14:paraId="42168D3A" w14:textId="77777777" w:rsidR="008E5AEA" w:rsidRPr="007C275D" w:rsidRDefault="008E5AEA" w:rsidP="008E5AEA">
      <w:pPr>
        <w:pStyle w:val="Normal1"/>
        <w:shd w:val="clear" w:color="auto" w:fill="D9D9D9"/>
        <w:ind w:left="720" w:hanging="720"/>
        <w:jc w:val="both"/>
        <w:rPr>
          <w:szCs w:val="24"/>
          <w:lang w:val="fr-FR"/>
        </w:rPr>
      </w:pPr>
      <w:r w:rsidRPr="007C275D">
        <w:rPr>
          <w:szCs w:val="24"/>
          <w:lang w:val="fr-FR"/>
        </w:rPr>
        <w:tab/>
        <w:t xml:space="preserve">3.1.2 </w:t>
      </w:r>
      <w:r w:rsidRPr="007C275D">
        <w:rPr>
          <w:szCs w:val="24"/>
          <w:lang w:val="fr-FR"/>
        </w:rPr>
        <w:tab/>
      </w:r>
      <w:r>
        <w:rPr>
          <w:szCs w:val="24"/>
          <w:lang w:val="fr-FR"/>
        </w:rPr>
        <w:t>Augmentation de 50% des espèces/ populations dont l’état au niveau international fait l’objet d’évaluations sur la base de données de suivis réguliers</w:t>
      </w:r>
    </w:p>
    <w:p w14:paraId="7634B6DE" w14:textId="77777777" w:rsidR="008E5AEA" w:rsidRPr="007C275D" w:rsidRDefault="008E5AEA" w:rsidP="008E5AEA">
      <w:pPr>
        <w:pStyle w:val="Normal1"/>
        <w:shd w:val="clear" w:color="auto" w:fill="D9D9D9"/>
        <w:ind w:left="720" w:hanging="720"/>
        <w:jc w:val="both"/>
        <w:rPr>
          <w:szCs w:val="24"/>
          <w:lang w:val="fr-FR"/>
        </w:rPr>
      </w:pPr>
    </w:p>
    <w:p w14:paraId="5F5869D1" w14:textId="77777777" w:rsidR="008E5AEA" w:rsidRPr="007C275D" w:rsidRDefault="008E5AEA" w:rsidP="008E5AEA">
      <w:pPr>
        <w:pStyle w:val="Normal1"/>
        <w:ind w:left="540" w:hanging="540"/>
        <w:rPr>
          <w:lang w:val="fr-FR"/>
        </w:rPr>
      </w:pPr>
    </w:p>
    <w:p w14:paraId="5DE06AD7" w14:textId="77777777" w:rsidR="008E5AEA" w:rsidRPr="007C275D" w:rsidRDefault="008E5AEA" w:rsidP="008E5AEA">
      <w:pPr>
        <w:rPr>
          <w:lang w:val="fr-FR"/>
        </w:rPr>
      </w:pPr>
      <w:r w:rsidRPr="007C275D">
        <w:rPr>
          <w:color w:val="auto"/>
          <w:lang w:val="fr-FR"/>
        </w:rPr>
        <w:br w:type="page"/>
      </w:r>
    </w:p>
    <w:p w14:paraId="056F93E0" w14:textId="77777777" w:rsidR="008E5AEA" w:rsidRPr="007C275D" w:rsidRDefault="008E5AEA" w:rsidP="008E5AEA">
      <w:pPr>
        <w:pStyle w:val="Heading3"/>
        <w:jc w:val="both"/>
        <w:rPr>
          <w:rFonts w:ascii="Times New Roman" w:eastAsia="Times New Roman" w:hAnsi="Times New Roman" w:cs="Times New Roman"/>
          <w:lang w:val="fr-FR"/>
        </w:rPr>
      </w:pPr>
      <w:bookmarkStart w:id="91" w:name="_Toc517262033"/>
      <w:r>
        <w:rPr>
          <w:rFonts w:ascii="Times New Roman" w:eastAsia="Times New Roman" w:hAnsi="Times New Roman" w:cs="Times New Roman"/>
          <w:lang w:val="fr-FR"/>
        </w:rPr>
        <w:lastRenderedPageBreak/>
        <w:t>G. 1 Il n’y a eu aucune extinction de populations d’oiseaux d’eau de l’AEWA dans la zone de l’Accord.</w:t>
      </w:r>
      <w:bookmarkEnd w:id="91"/>
      <w:r>
        <w:rPr>
          <w:rFonts w:ascii="Times New Roman" w:eastAsia="Times New Roman" w:hAnsi="Times New Roman" w:cs="Times New Roman"/>
          <w:lang w:val="fr-FR"/>
        </w:rPr>
        <w:t xml:space="preserve"> </w:t>
      </w:r>
    </w:p>
    <w:p w14:paraId="24889CB8" w14:textId="77777777" w:rsidR="008E5AEA" w:rsidRPr="007C275D" w:rsidRDefault="008E5AEA" w:rsidP="008E5AEA">
      <w:pPr>
        <w:pStyle w:val="Normal1"/>
        <w:rPr>
          <w:lang w:val="fr-FR"/>
        </w:rPr>
      </w:pPr>
    </w:p>
    <w:p w14:paraId="27F0F5FE" w14:textId="77777777" w:rsidR="008E5AEA" w:rsidRPr="007C275D" w:rsidRDefault="008E5AEA" w:rsidP="008E5AEA">
      <w:pPr>
        <w:pStyle w:val="Normal1"/>
        <w:rPr>
          <w:szCs w:val="24"/>
          <w:lang w:val="fr-FR"/>
        </w:rPr>
      </w:pPr>
      <w:r>
        <w:rPr>
          <w:b/>
          <w:szCs w:val="24"/>
          <w:lang w:val="fr-FR"/>
        </w:rPr>
        <w:t xml:space="preserve">Cet objectif n’a pas été atteint </w:t>
      </w:r>
      <w:r>
        <w:rPr>
          <w:szCs w:val="24"/>
          <w:lang w:val="fr-FR"/>
        </w:rPr>
        <w:t>car la population suivante s’est éteinte :</w:t>
      </w:r>
      <w:r w:rsidRPr="007C275D">
        <w:rPr>
          <w:szCs w:val="24"/>
          <w:lang w:val="fr-FR"/>
        </w:rPr>
        <w:t xml:space="preserve"> </w:t>
      </w:r>
    </w:p>
    <w:p w14:paraId="6219DF1F" w14:textId="77777777" w:rsidR="008E5AEA" w:rsidRDefault="008E5AEA" w:rsidP="008E5AEA">
      <w:pPr>
        <w:pStyle w:val="Normal1"/>
        <w:numPr>
          <w:ilvl w:val="0"/>
          <w:numId w:val="8"/>
        </w:numPr>
        <w:rPr>
          <w:szCs w:val="24"/>
        </w:rPr>
      </w:pPr>
      <w:r>
        <w:rPr>
          <w:szCs w:val="24"/>
          <w:lang w:val="fr-FR"/>
        </w:rPr>
        <w:t xml:space="preserve">Grue demoiselle </w:t>
      </w:r>
      <w:r>
        <w:rPr>
          <w:i/>
          <w:szCs w:val="24"/>
          <w:lang w:val="fr-FR"/>
        </w:rPr>
        <w:t>Anthropoides virgo</w:t>
      </w:r>
      <w:r>
        <w:rPr>
          <w:szCs w:val="24"/>
          <w:lang w:val="fr-FR"/>
        </w:rPr>
        <w:t>, Turquie (rep)</w:t>
      </w:r>
    </w:p>
    <w:p w14:paraId="15919DE7" w14:textId="77777777" w:rsidR="008E5AEA" w:rsidRDefault="008E5AEA" w:rsidP="008E5AEA">
      <w:pPr>
        <w:pStyle w:val="Normal1"/>
        <w:rPr>
          <w:szCs w:val="24"/>
        </w:rPr>
      </w:pPr>
    </w:p>
    <w:p w14:paraId="0E636124" w14:textId="77777777" w:rsidR="008E5AEA" w:rsidRPr="007C275D" w:rsidRDefault="008E5AEA" w:rsidP="008E5AEA">
      <w:pPr>
        <w:pStyle w:val="Normal1"/>
        <w:rPr>
          <w:szCs w:val="24"/>
          <w:lang w:val="fr-FR"/>
        </w:rPr>
      </w:pPr>
      <w:r>
        <w:rPr>
          <w:szCs w:val="24"/>
          <w:lang w:val="fr-FR"/>
        </w:rPr>
        <w:t>Les trois populations suivantes peuvent être considérées maintenant comme étant quasi éteintes :</w:t>
      </w:r>
    </w:p>
    <w:p w14:paraId="15925ABA" w14:textId="77777777" w:rsidR="008E5AEA" w:rsidRPr="007C275D" w:rsidRDefault="008E5AEA" w:rsidP="008E5AEA">
      <w:pPr>
        <w:pStyle w:val="Normal1"/>
        <w:numPr>
          <w:ilvl w:val="0"/>
          <w:numId w:val="8"/>
        </w:numPr>
        <w:jc w:val="both"/>
        <w:rPr>
          <w:szCs w:val="24"/>
          <w:lang w:val="fr-FR"/>
        </w:rPr>
      </w:pPr>
      <w:r>
        <w:rPr>
          <w:szCs w:val="24"/>
          <w:lang w:val="fr-FR"/>
        </w:rPr>
        <w:t xml:space="preserve">Le Courlis à bec grêle </w:t>
      </w:r>
      <w:r>
        <w:rPr>
          <w:i/>
          <w:szCs w:val="24"/>
          <w:lang w:val="fr-FR"/>
        </w:rPr>
        <w:t>Numenius tenuirostris</w:t>
      </w:r>
      <w:r>
        <w:rPr>
          <w:szCs w:val="24"/>
          <w:lang w:val="fr-FR"/>
        </w:rPr>
        <w:t>, Sibérie centrale/Méditerranée et Asie du SO – la dernière observation incontestable étayée de preuves suffisantes pour une identification irréfutable date de février 1995 au Maroc, en dépit de recherches ultérieures intensives de l’aire de non reproduction. Cet oiseau représente non seulement l’extinction d’une population mais également d’une espèce entière.</w:t>
      </w:r>
      <w:r w:rsidRPr="007C275D">
        <w:rPr>
          <w:szCs w:val="24"/>
          <w:lang w:val="fr-FR"/>
        </w:rPr>
        <w:t xml:space="preserve"> </w:t>
      </w:r>
    </w:p>
    <w:p w14:paraId="2AAF5156" w14:textId="77777777" w:rsidR="008E5AEA" w:rsidRPr="007C275D" w:rsidRDefault="008E5AEA" w:rsidP="008E5AEA">
      <w:pPr>
        <w:pStyle w:val="Normal1"/>
        <w:numPr>
          <w:ilvl w:val="0"/>
          <w:numId w:val="8"/>
        </w:numPr>
        <w:jc w:val="both"/>
        <w:rPr>
          <w:szCs w:val="24"/>
          <w:lang w:val="fr-FR"/>
        </w:rPr>
      </w:pPr>
      <w:r>
        <w:rPr>
          <w:szCs w:val="24"/>
          <w:lang w:val="fr-FR"/>
        </w:rPr>
        <w:t xml:space="preserve">La Grue de Sibérie </w:t>
      </w:r>
      <w:r>
        <w:rPr>
          <w:i/>
          <w:szCs w:val="24"/>
          <w:lang w:val="fr-FR"/>
        </w:rPr>
        <w:t>Leucogeranus leucogeranus</w:t>
      </w:r>
      <w:r>
        <w:rPr>
          <w:szCs w:val="24"/>
          <w:lang w:val="fr-FR"/>
        </w:rPr>
        <w:t>, Iran (hiv) – Un seul individu a été observé sur le site d’hivernage depuis 2011/2012.</w:t>
      </w:r>
    </w:p>
    <w:p w14:paraId="22D019D3" w14:textId="77777777" w:rsidR="008E5AEA" w:rsidRPr="007C275D" w:rsidRDefault="008E5AEA" w:rsidP="008E5AEA">
      <w:pPr>
        <w:pStyle w:val="Normal1"/>
        <w:numPr>
          <w:ilvl w:val="0"/>
          <w:numId w:val="8"/>
        </w:numPr>
        <w:jc w:val="both"/>
        <w:rPr>
          <w:szCs w:val="24"/>
          <w:lang w:val="fr-FR"/>
        </w:rPr>
      </w:pPr>
      <w:r>
        <w:rPr>
          <w:szCs w:val="24"/>
          <w:lang w:val="fr-FR"/>
        </w:rPr>
        <w:t xml:space="preserve">L’Ibis chauve </w:t>
      </w:r>
      <w:r>
        <w:rPr>
          <w:i/>
          <w:szCs w:val="24"/>
          <w:lang w:val="fr-FR"/>
        </w:rPr>
        <w:t>Geronticus eremita</w:t>
      </w:r>
      <w:r>
        <w:rPr>
          <w:szCs w:val="24"/>
          <w:lang w:val="fr-FR"/>
        </w:rPr>
        <w:t>, Asie du Sud-Ouest – La dernière reproduction a été observée en Syrie en 2012 et cette espèce est probablement à présent éteinte en tant qu’espèce reproductrice. Cependant, la présence d’un individu a été notifiée en Éthiopie en 2016, représentant probablement un individu qui a migré depuis la Syrie.</w:t>
      </w:r>
    </w:p>
    <w:p w14:paraId="247B755E" w14:textId="77777777" w:rsidR="008E5AEA" w:rsidRPr="007C275D" w:rsidRDefault="008E5AEA" w:rsidP="008E5AEA">
      <w:pPr>
        <w:pStyle w:val="Normal1"/>
        <w:rPr>
          <w:szCs w:val="24"/>
          <w:lang w:val="fr-FR"/>
        </w:rPr>
      </w:pPr>
    </w:p>
    <w:p w14:paraId="2F525617" w14:textId="77777777" w:rsidR="008E5AEA" w:rsidRPr="007C275D" w:rsidRDefault="008E5AEA" w:rsidP="008E5AEA">
      <w:pPr>
        <w:rPr>
          <w:sz w:val="20"/>
          <w:lang w:val="fr-FR"/>
        </w:rPr>
      </w:pPr>
      <w:r w:rsidRPr="007C275D">
        <w:rPr>
          <w:color w:val="auto"/>
          <w:sz w:val="20"/>
          <w:lang w:val="fr-FR"/>
        </w:rPr>
        <w:br w:type="page"/>
      </w:r>
    </w:p>
    <w:p w14:paraId="04BD7A04" w14:textId="77777777" w:rsidR="008E5AEA" w:rsidRPr="007C275D" w:rsidRDefault="008E5AEA" w:rsidP="008E5AEA">
      <w:pPr>
        <w:pStyle w:val="Heading3"/>
        <w:jc w:val="both"/>
        <w:rPr>
          <w:rFonts w:ascii="Times New Roman" w:eastAsia="Times New Roman" w:hAnsi="Times New Roman" w:cs="Times New Roman"/>
          <w:szCs w:val="26"/>
          <w:lang w:val="fr-FR"/>
        </w:rPr>
      </w:pPr>
      <w:bookmarkStart w:id="92" w:name="_Toc517262034"/>
      <w:r>
        <w:rPr>
          <w:rFonts w:ascii="Times New Roman" w:eastAsia="Times New Roman" w:hAnsi="Times New Roman" w:cs="Times New Roman"/>
          <w:szCs w:val="26"/>
          <w:lang w:val="fr-FR"/>
        </w:rPr>
        <w:lastRenderedPageBreak/>
        <w:t>G2 Toutes les populations d’oiseaux d’eau de l’AEWA dont l’état de conservation est favorable ont conservé cet état</w:t>
      </w:r>
      <w:bookmarkEnd w:id="92"/>
    </w:p>
    <w:p w14:paraId="73FE8DC4" w14:textId="77777777" w:rsidR="008E5AEA" w:rsidRPr="007C275D" w:rsidRDefault="008E5AEA" w:rsidP="008E5AEA">
      <w:pPr>
        <w:pStyle w:val="Normal1"/>
        <w:rPr>
          <w:lang w:val="fr-FR"/>
        </w:rPr>
      </w:pPr>
    </w:p>
    <w:p w14:paraId="07919FC1" w14:textId="77777777" w:rsidR="008E5AEA" w:rsidRPr="007C275D" w:rsidRDefault="008E5AEA" w:rsidP="008E5AEA">
      <w:pPr>
        <w:pStyle w:val="Normal1"/>
        <w:jc w:val="both"/>
        <w:rPr>
          <w:szCs w:val="24"/>
          <w:lang w:val="fr-FR"/>
        </w:rPr>
      </w:pPr>
      <w:r>
        <w:rPr>
          <w:szCs w:val="24"/>
          <w:lang w:val="fr-FR"/>
        </w:rPr>
        <w:t>En tant qu’indicateur de substitution pour la définition plus complexe de l’état de conservation favorable contenu dans l’art. 2 de la Convention sur les espèces migratrices, des populations figurant dans la catégorie 1 des colonnes B et C en 2008 ont été considérés comme ayant un état favorable. Les populations figurant à l’Appendice 1 de la Convention sur les espèces migratrices (A1a) ou qui sont mondialement menacées (A1b), ou qui sont de petite taille et sont de ce fait vulnérables (A1c et A2), ou qui sont vulnérables en raison de leur concentration dans un petit nombre de sites (A3a ou B2a), de leur dépendance à l’égard d’un certain type d’habitat (A3b ou B2b), ou qui subissent un déclin significatif à long terme (A3c ou B2c), ou encore qui subissent de grandes fluctuations (A3d ou B2d) ont été considérées comme n’étant pas dans un état de conservation favorable.</w:t>
      </w:r>
    </w:p>
    <w:p w14:paraId="78AA52DA" w14:textId="77777777" w:rsidR="008E5AEA" w:rsidRPr="007C275D" w:rsidRDefault="008E5AEA" w:rsidP="008E5AEA">
      <w:pPr>
        <w:pStyle w:val="Normal1"/>
        <w:jc w:val="both"/>
        <w:rPr>
          <w:szCs w:val="24"/>
          <w:lang w:val="fr-FR"/>
        </w:rPr>
      </w:pPr>
    </w:p>
    <w:p w14:paraId="393967B0" w14:textId="77777777" w:rsidR="008E5AEA" w:rsidRPr="007C275D" w:rsidRDefault="008E5AEA" w:rsidP="008E5AEA">
      <w:pPr>
        <w:pStyle w:val="Normal1"/>
        <w:jc w:val="both"/>
        <w:rPr>
          <w:szCs w:val="24"/>
          <w:lang w:val="fr-FR"/>
        </w:rPr>
      </w:pPr>
      <w:r>
        <w:rPr>
          <w:szCs w:val="24"/>
          <w:lang w:val="fr-FR"/>
        </w:rPr>
        <w:t xml:space="preserve">Sur les 272 populations figurant dans les catégories B1 et C1 du tableau 1 à la suite de la MOP4 et ayant une population équivalente dans le cadre du CSR7, 60 se trouvent à présent dans d’autres catégories. Ainsi, </w:t>
      </w:r>
      <w:r>
        <w:rPr>
          <w:b/>
          <w:szCs w:val="24"/>
          <w:lang w:val="fr-FR"/>
        </w:rPr>
        <w:t>cet objectif n’a pas été atteint</w:t>
      </w:r>
      <w:r>
        <w:rPr>
          <w:szCs w:val="24"/>
          <w:lang w:val="fr-FR"/>
        </w:rPr>
        <w:t>. La raison du changement de catégorie est le déclin significatif à long terme pour 44 de ces populations (19 de plus que dans le CSR6), et des estimations inférieures de population pour 16 d’entre elles (6 de plus que dans le CSR5).</w:t>
      </w:r>
    </w:p>
    <w:p w14:paraId="6A4B9364" w14:textId="77777777" w:rsidR="008E5AEA" w:rsidRPr="007C275D" w:rsidRDefault="008E5AEA" w:rsidP="008E5AEA">
      <w:pPr>
        <w:pStyle w:val="Normal1"/>
        <w:jc w:val="both"/>
        <w:rPr>
          <w:szCs w:val="24"/>
          <w:lang w:val="fr-FR"/>
        </w:rPr>
      </w:pPr>
    </w:p>
    <w:p w14:paraId="706255F7" w14:textId="2D174A22" w:rsidR="00CC40C4" w:rsidRDefault="008E5AEA" w:rsidP="008E5AEA">
      <w:pPr>
        <w:pStyle w:val="Normal1"/>
        <w:jc w:val="both"/>
        <w:rPr>
          <w:szCs w:val="24"/>
          <w:lang w:val="fr-FR"/>
        </w:rPr>
      </w:pPr>
      <w:r>
        <w:rPr>
          <w:szCs w:val="24"/>
          <w:lang w:val="fr-FR"/>
        </w:rPr>
        <w:t>Le plus grand nombre de populations qui n’ont plus un état de conservation favorable se trouvent dans la région Atlantique du Paléarctique occidental. D’autres régions ayant des pourcentages supérieurs à la moyenne incluent les populations orientales et australes de la région afro-tropicale, les parties d’Asie centrale et du Sud-Ouest du Paléarctique occidental ainsi que les voies de migration mer Noire-Méditerranée et Atlantique Est (figure 26).</w:t>
      </w:r>
      <w:r w:rsidRPr="007C275D">
        <w:rPr>
          <w:szCs w:val="24"/>
          <w:lang w:val="fr-FR"/>
        </w:rPr>
        <w:t xml:space="preserve"> </w:t>
      </w:r>
      <w:r w:rsidR="00CC40C4">
        <w:rPr>
          <w:szCs w:val="24"/>
          <w:lang w:val="fr-FR"/>
        </w:rPr>
        <w:br w:type="page"/>
      </w:r>
    </w:p>
    <w:p w14:paraId="7183C2E1" w14:textId="77777777" w:rsidR="008E5AEA" w:rsidRPr="007C275D" w:rsidRDefault="008E5AEA" w:rsidP="008E5AEA">
      <w:pPr>
        <w:pStyle w:val="Normal1"/>
        <w:jc w:val="both"/>
        <w:rPr>
          <w:szCs w:val="24"/>
          <w:lang w:val="fr-FR"/>
        </w:rPr>
      </w:pPr>
    </w:p>
    <w:p w14:paraId="0788E17D" w14:textId="77777777" w:rsidR="008E5AEA" w:rsidRPr="007C275D" w:rsidRDefault="008E5AEA" w:rsidP="008E5AEA">
      <w:pPr>
        <w:pStyle w:val="Normal1"/>
        <w:jc w:val="both"/>
        <w:rPr>
          <w:sz w:val="20"/>
          <w:lang w:val="fr-FR"/>
        </w:rPr>
      </w:pPr>
    </w:p>
    <w:p w14:paraId="293F3C86" w14:textId="6F6A9AFC" w:rsidR="008E5AEA" w:rsidRDefault="00D42FBA" w:rsidP="008E5AEA">
      <w:pPr>
        <w:pStyle w:val="Normal1"/>
        <w:keepNext/>
      </w:pPr>
      <w:r>
        <w:rPr>
          <w:noProof/>
          <w:lang w:val="nl-NL" w:eastAsia="nl-NL"/>
        </w:rPr>
        <mc:AlternateContent>
          <mc:Choice Requires="wps">
            <w:drawing>
              <wp:anchor distT="0" distB="0" distL="114300" distR="114300" simplePos="0" relativeHeight="251675136" behindDoc="0" locked="0" layoutInCell="1" allowOverlap="1" wp14:anchorId="67C896A7" wp14:editId="0E623108">
                <wp:simplePos x="0" y="0"/>
                <wp:positionH relativeFrom="column">
                  <wp:posOffset>5375910</wp:posOffset>
                </wp:positionH>
                <wp:positionV relativeFrom="paragraph">
                  <wp:posOffset>1358900</wp:posOffset>
                </wp:positionV>
                <wp:extent cx="1231900" cy="901700"/>
                <wp:effectExtent l="0" t="0" r="6350" b="0"/>
                <wp:wrapNone/>
                <wp:docPr id="82" name="Text Box 82"/>
                <wp:cNvGraphicFramePr/>
                <a:graphic xmlns:a="http://schemas.openxmlformats.org/drawingml/2006/main">
                  <a:graphicData uri="http://schemas.microsoft.com/office/word/2010/wordprocessingShape">
                    <wps:wsp>
                      <wps:cNvSpPr txBox="1"/>
                      <wps:spPr>
                        <a:xfrm>
                          <a:off x="0" y="0"/>
                          <a:ext cx="1231900" cy="901700"/>
                        </a:xfrm>
                        <a:prstGeom prst="rect">
                          <a:avLst/>
                        </a:prstGeom>
                        <a:solidFill>
                          <a:schemeClr val="lt1"/>
                        </a:solidFill>
                        <a:ln w="6350">
                          <a:noFill/>
                        </a:ln>
                      </wps:spPr>
                      <wps:txbx>
                        <w:txbxContent>
                          <w:p w14:paraId="52C93991" w14:textId="31DACBA3" w:rsidR="00BC4D45" w:rsidRDefault="00BC4D45" w:rsidP="00D42FBA">
                            <w:pPr>
                              <w:pStyle w:val="ListParagraph"/>
                              <w:numPr>
                                <w:ilvl w:val="0"/>
                                <w:numId w:val="34"/>
                              </w:numPr>
                              <w:tabs>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Devenant non favorable</w:t>
                            </w:r>
                          </w:p>
                          <w:p w14:paraId="31C2F3B3" w14:textId="77777777" w:rsidR="00BC4D45" w:rsidRPr="00D42FBA" w:rsidRDefault="00BC4D45" w:rsidP="00D42FBA">
                            <w:pPr>
                              <w:pStyle w:val="ListParagraph"/>
                              <w:tabs>
                                <w:tab w:val="left" w:pos="3686"/>
                                <w:tab w:val="left" w:pos="6096"/>
                                <w:tab w:val="left" w:pos="7088"/>
                              </w:tabs>
                              <w:ind w:left="284"/>
                              <w:rPr>
                                <w:rFonts w:cstheme="minorHAnsi"/>
                                <w:color w:val="4F81BD" w:themeColor="accent1"/>
                                <w:sz w:val="12"/>
                                <w:szCs w:val="12"/>
                                <w:lang w:val="fr-FR"/>
                              </w:rPr>
                            </w:pPr>
                          </w:p>
                          <w:p w14:paraId="0CB2489E" w14:textId="77777777" w:rsidR="00BC4D45" w:rsidRPr="00CC40C4" w:rsidRDefault="00BC4D45" w:rsidP="00D42FBA">
                            <w:pPr>
                              <w:pStyle w:val="ListParagraph"/>
                              <w:numPr>
                                <w:ilvl w:val="0"/>
                                <w:numId w:val="34"/>
                              </w:numPr>
                              <w:tabs>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Restant favorable</w:t>
                            </w:r>
                          </w:p>
                          <w:p w14:paraId="2E98A02E" w14:textId="77777777" w:rsidR="00BC4D45" w:rsidRPr="00CC40C4" w:rsidRDefault="00BC4D45" w:rsidP="00D42FBA">
                            <w:pPr>
                              <w:pStyle w:val="ListParagraph"/>
                              <w:tabs>
                                <w:tab w:val="left" w:pos="3686"/>
                                <w:tab w:val="left" w:pos="6096"/>
                                <w:tab w:val="left" w:pos="7088"/>
                              </w:tabs>
                              <w:ind w:left="284"/>
                              <w:rPr>
                                <w:rFonts w:cstheme="minorHAnsi"/>
                                <w:color w:val="4F81BD" w:themeColor="accent1"/>
                                <w:sz w:val="18"/>
                                <w:szCs w:val="18"/>
                                <w:lang w:val="fr-FR"/>
                              </w:rPr>
                            </w:pPr>
                          </w:p>
                          <w:p w14:paraId="6C0CF5F7"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96A7" id="Text Box 82" o:spid="_x0000_s1048" type="#_x0000_t202" style="position:absolute;margin-left:423.3pt;margin-top:107pt;width:97pt;height:7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" fillcolor="white [3201]" stroked="f" strokeweight=".5pt">
                <v:textbox>
                  <w:txbxContent>
                    <w:p w14:paraId="52C93991" w14:textId="31DACBA3" w:rsidR="00BC4D45" w:rsidRDefault="00BC4D45" w:rsidP="00D42FBA">
                      <w:pPr>
                        <w:pStyle w:val="ListParagraph"/>
                        <w:numPr>
                          <w:ilvl w:val="0"/>
                          <w:numId w:val="34"/>
                        </w:numPr>
                        <w:tabs>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Devenant non favorable</w:t>
                      </w:r>
                    </w:p>
                    <w:p w14:paraId="31C2F3B3" w14:textId="77777777" w:rsidR="00BC4D45" w:rsidRPr="00D42FBA" w:rsidRDefault="00BC4D45" w:rsidP="00D42FBA">
                      <w:pPr>
                        <w:pStyle w:val="ListParagraph"/>
                        <w:tabs>
                          <w:tab w:val="left" w:pos="3686"/>
                          <w:tab w:val="left" w:pos="6096"/>
                          <w:tab w:val="left" w:pos="7088"/>
                        </w:tabs>
                        <w:ind w:left="284"/>
                        <w:rPr>
                          <w:rFonts w:cstheme="minorHAnsi"/>
                          <w:color w:val="4F81BD" w:themeColor="accent1"/>
                          <w:sz w:val="12"/>
                          <w:szCs w:val="12"/>
                          <w:lang w:val="fr-FR"/>
                        </w:rPr>
                      </w:pPr>
                    </w:p>
                    <w:p w14:paraId="0CB2489E" w14:textId="77777777" w:rsidR="00BC4D45" w:rsidRPr="00CC40C4" w:rsidRDefault="00BC4D45" w:rsidP="00D42FBA">
                      <w:pPr>
                        <w:pStyle w:val="ListParagraph"/>
                        <w:numPr>
                          <w:ilvl w:val="0"/>
                          <w:numId w:val="34"/>
                        </w:numPr>
                        <w:tabs>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Restant favorable</w:t>
                      </w:r>
                    </w:p>
                    <w:p w14:paraId="2E98A02E" w14:textId="77777777" w:rsidR="00BC4D45" w:rsidRPr="00CC40C4" w:rsidRDefault="00BC4D45" w:rsidP="00D42FBA">
                      <w:pPr>
                        <w:pStyle w:val="ListParagraph"/>
                        <w:tabs>
                          <w:tab w:val="left" w:pos="3686"/>
                          <w:tab w:val="left" w:pos="6096"/>
                          <w:tab w:val="left" w:pos="7088"/>
                        </w:tabs>
                        <w:ind w:left="284"/>
                        <w:rPr>
                          <w:rFonts w:cstheme="minorHAnsi"/>
                          <w:color w:val="4F81BD" w:themeColor="accent1"/>
                          <w:sz w:val="18"/>
                          <w:szCs w:val="18"/>
                          <w:lang w:val="fr-FR"/>
                        </w:rPr>
                      </w:pPr>
                    </w:p>
                    <w:p w14:paraId="6C0CF5F7" w14:textId="77777777" w:rsidR="00BC4D45" w:rsidRDefault="00BC4D45"/>
                  </w:txbxContent>
                </v:textbox>
              </v:shape>
            </w:pict>
          </mc:Fallback>
        </mc:AlternateContent>
      </w:r>
      <w:r w:rsidR="008E5AEA">
        <w:rPr>
          <w:noProof/>
          <w:lang w:val="nl-NL" w:eastAsia="nl-NL"/>
        </w:rPr>
        <w:drawing>
          <wp:inline distT="0" distB="0" distL="0" distR="0" wp14:anchorId="09723899" wp14:editId="7FC78DE5">
            <wp:extent cx="5278120" cy="317182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3171825"/>
                    </a:xfrm>
                    <a:prstGeom prst="rect">
                      <a:avLst/>
                    </a:prstGeom>
                    <a:noFill/>
                    <a:ln>
                      <a:noFill/>
                    </a:ln>
                  </pic:spPr>
                </pic:pic>
              </a:graphicData>
            </a:graphic>
          </wp:inline>
        </w:drawing>
      </w:r>
    </w:p>
    <w:p w14:paraId="0FCD5076" w14:textId="48CB904B" w:rsidR="00CC40C4" w:rsidRPr="00CC40C4" w:rsidRDefault="00CC40C4" w:rsidP="00CC40C4">
      <w:pPr>
        <w:tabs>
          <w:tab w:val="left" w:pos="3686"/>
          <w:tab w:val="left" w:pos="6096"/>
          <w:tab w:val="left" w:pos="7088"/>
        </w:tabs>
        <w:rPr>
          <w:rFonts w:cstheme="minorHAnsi"/>
          <w:color w:val="4F81BD" w:themeColor="accent1"/>
          <w:sz w:val="18"/>
          <w:szCs w:val="18"/>
          <w:lang w:val="fr-FR"/>
        </w:rPr>
      </w:pPr>
      <w:r>
        <w:rPr>
          <w:rFonts w:cstheme="minorHAnsi"/>
          <w:noProof/>
          <w:color w:val="4F81BD" w:themeColor="accent1"/>
          <w:sz w:val="18"/>
          <w:szCs w:val="18"/>
          <w:lang w:val="fr-FR"/>
        </w:rPr>
        <mc:AlternateContent>
          <mc:Choice Requires="wps">
            <w:drawing>
              <wp:anchor distT="0" distB="0" distL="114300" distR="114300" simplePos="0" relativeHeight="251661824" behindDoc="0" locked="0" layoutInCell="1" allowOverlap="1" wp14:anchorId="7E40C801" wp14:editId="4290E072">
                <wp:simplePos x="0" y="0"/>
                <wp:positionH relativeFrom="column">
                  <wp:posOffset>3756660</wp:posOffset>
                </wp:positionH>
                <wp:positionV relativeFrom="paragraph">
                  <wp:posOffset>101600</wp:posOffset>
                </wp:positionV>
                <wp:extent cx="1552575" cy="81915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1552575" cy="819150"/>
                        </a:xfrm>
                        <a:prstGeom prst="rect">
                          <a:avLst/>
                        </a:prstGeom>
                        <a:solidFill>
                          <a:schemeClr val="lt1"/>
                        </a:solidFill>
                        <a:ln w="6350">
                          <a:noFill/>
                        </a:ln>
                      </wps:spPr>
                      <wps:txbx>
                        <w:txbxContent>
                          <w:p w14:paraId="1D00815C" w14:textId="77777777" w:rsidR="00BC4D45" w:rsidRPr="00CC40C4" w:rsidRDefault="00BC4D45" w:rsidP="00CC40C4">
                            <w:pPr>
                              <w:pStyle w:val="ListParagraph"/>
                              <w:tabs>
                                <w:tab w:val="left" w:pos="3686"/>
                                <w:tab w:val="left" w:pos="6096"/>
                                <w:tab w:val="left" w:pos="7088"/>
                              </w:tabs>
                              <w:ind w:left="284"/>
                              <w:rPr>
                                <w:rFonts w:cstheme="minorHAnsi"/>
                                <w:color w:val="4F81BD" w:themeColor="accent1"/>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0C801" id="Text Box 71" o:spid="_x0000_s1049" type="#_x0000_t202" style="position:absolute;margin-left:295.8pt;margin-top:8pt;width:122.25pt;height: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" fillcolor="white [3201]" stroked="f" strokeweight=".5pt">
                <v:textbox>
                  <w:txbxContent>
                    <w:p w14:paraId="1D00815C" w14:textId="77777777" w:rsidR="00BC4D45" w:rsidRPr="00CC40C4" w:rsidRDefault="00BC4D45" w:rsidP="00CC40C4">
                      <w:pPr>
                        <w:pStyle w:val="ListParagraph"/>
                        <w:tabs>
                          <w:tab w:val="left" w:pos="3686"/>
                          <w:tab w:val="left" w:pos="6096"/>
                          <w:tab w:val="left" w:pos="7088"/>
                        </w:tabs>
                        <w:ind w:left="284"/>
                        <w:rPr>
                          <w:rFonts w:cstheme="minorHAnsi"/>
                          <w:color w:val="4F81BD" w:themeColor="accent1"/>
                          <w:sz w:val="18"/>
                          <w:szCs w:val="18"/>
                          <w:lang w:val="fr-FR"/>
                        </w:rPr>
                      </w:pPr>
                    </w:p>
                  </w:txbxContent>
                </v:textbox>
              </v:shape>
            </w:pict>
          </mc:Fallback>
        </mc:AlternateContent>
      </w:r>
    </w:p>
    <w:p w14:paraId="7FE0104E" w14:textId="2146473D" w:rsidR="00CC40C4" w:rsidRPr="00CC40C4" w:rsidRDefault="00CC40C4" w:rsidP="00CC40C4">
      <w:pPr>
        <w:pStyle w:val="ListParagraph"/>
        <w:numPr>
          <w:ilvl w:val="0"/>
          <w:numId w:val="34"/>
        </w:numPr>
        <w:tabs>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Grand total</w:t>
      </w:r>
    </w:p>
    <w:p w14:paraId="51DE7E84" w14:textId="77777777" w:rsidR="00CC40C4" w:rsidRPr="00CC40C4"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Région afro-tropicale – Est et australe</w:t>
      </w:r>
    </w:p>
    <w:p w14:paraId="5FA8634B" w14:textId="77777777" w:rsidR="00CC40C4" w:rsidRPr="00CC40C4"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Paléarctique occidental – Asie centrale et du Sud-Ouest</w:t>
      </w:r>
    </w:p>
    <w:p w14:paraId="59F6302D" w14:textId="77777777" w:rsidR="00CC40C4" w:rsidRPr="00CC40C4"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Voie de migration mer Noire – Méditerranée</w:t>
      </w:r>
    </w:p>
    <w:p w14:paraId="54A318D2" w14:textId="77777777" w:rsidR="00CC40C4" w:rsidRPr="00CC40C4"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Paléarctique occidental – Atlantique</w:t>
      </w:r>
    </w:p>
    <w:p w14:paraId="0FFC0E67" w14:textId="7E13EF8C" w:rsidR="00CC40C4" w:rsidRPr="00CC40C4"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Voie de migration de l’Atlantique Est</w:t>
      </w:r>
    </w:p>
    <w:p w14:paraId="53C13E4A" w14:textId="25887764" w:rsidR="00CC40C4" w:rsidRPr="00CC40C4" w:rsidRDefault="00CC40C4" w:rsidP="00CC40C4">
      <w:pPr>
        <w:pStyle w:val="ListParagraph"/>
        <w:numPr>
          <w:ilvl w:val="0"/>
          <w:numId w:val="34"/>
        </w:numPr>
        <w:tabs>
          <w:tab w:val="left" w:pos="851"/>
          <w:tab w:val="left" w:pos="3686"/>
          <w:tab w:val="left" w:pos="6096"/>
          <w:tab w:val="left" w:pos="7088"/>
        </w:tabs>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Voie de migration Asie de l’Ouest – Afrique de l’Est</w:t>
      </w:r>
    </w:p>
    <w:p w14:paraId="033CF4E1" w14:textId="06A776A0"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Voie de migration Asie de l’Ouest – Afrique de l’Est</w:t>
      </w:r>
    </w:p>
    <w:p w14:paraId="75B9A93E" w14:textId="77777777"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Région afro-tropicale – Occidentale et centrale</w:t>
      </w:r>
    </w:p>
    <w:p w14:paraId="6E9EA2C3" w14:textId="77777777"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Paléarctique occidental – Mer Noire – Méditerranée</w:t>
      </w:r>
    </w:p>
    <w:p w14:paraId="56D6FAC4" w14:textId="77777777"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Région afro-tropicale – Est</w:t>
      </w:r>
    </w:p>
    <w:p w14:paraId="105F08A6" w14:textId="77777777"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Région afro-tropicale – Australe</w:t>
      </w:r>
    </w:p>
    <w:p w14:paraId="28DB7ACF" w14:textId="77777777"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Région afro-tropicale – Subsaharienne</w:t>
      </w:r>
    </w:p>
    <w:p w14:paraId="07031B03" w14:textId="77777777" w:rsidR="00CC40C4" w:rsidRPr="00CC40C4" w:rsidRDefault="00CC40C4" w:rsidP="00CC40C4">
      <w:pPr>
        <w:pStyle w:val="ListParagraph"/>
        <w:numPr>
          <w:ilvl w:val="0"/>
          <w:numId w:val="34"/>
        </w:numPr>
        <w:ind w:left="284" w:hanging="284"/>
        <w:rPr>
          <w:rFonts w:cstheme="minorHAnsi"/>
          <w:color w:val="4F81BD" w:themeColor="accent1"/>
          <w:sz w:val="18"/>
          <w:szCs w:val="18"/>
          <w:lang w:val="fr-FR"/>
        </w:rPr>
      </w:pPr>
      <w:r w:rsidRPr="00CC40C4">
        <w:rPr>
          <w:rFonts w:cstheme="minorHAnsi"/>
          <w:color w:val="4F81BD" w:themeColor="accent1"/>
          <w:sz w:val="18"/>
          <w:szCs w:val="18"/>
          <w:lang w:val="fr-FR"/>
        </w:rPr>
        <w:t>Autres</w:t>
      </w:r>
    </w:p>
    <w:p w14:paraId="617E883A" w14:textId="77777777" w:rsidR="00CC40C4" w:rsidRPr="00CC40C4" w:rsidRDefault="00CC40C4" w:rsidP="00CC40C4">
      <w:pPr>
        <w:pStyle w:val="ListParagraph"/>
        <w:ind w:left="284"/>
        <w:rPr>
          <w:rFonts w:cstheme="minorHAnsi"/>
          <w:color w:val="4F81BD" w:themeColor="accent1"/>
          <w:sz w:val="18"/>
          <w:szCs w:val="18"/>
          <w:lang w:val="fr-FR"/>
        </w:rPr>
      </w:pPr>
    </w:p>
    <w:p w14:paraId="2A416CD5" w14:textId="55267C25" w:rsidR="008E5AEA" w:rsidRPr="007C275D" w:rsidRDefault="008E5AEA" w:rsidP="008E5AEA">
      <w:pPr>
        <w:pStyle w:val="Caption"/>
        <w:rPr>
          <w:lang w:val="fr-FR"/>
        </w:rPr>
      </w:pPr>
      <w:r>
        <w:rPr>
          <w:lang w:val="fr-FR"/>
        </w:rPr>
        <w:t>Figure 26. Pourcentage de populations qui figuraient dans les catégories 2 et 1 de respectivement la colonne B et la colonne C et sont à présent déplacées dans d’autres catégories, et qui ne peuvent plus être considérées comme demeurant dans un état de conservation favorable</w:t>
      </w:r>
    </w:p>
    <w:p w14:paraId="2AF8FC20" w14:textId="77777777" w:rsidR="008E5AEA" w:rsidRPr="007C275D" w:rsidRDefault="008E5AEA" w:rsidP="008E5AEA">
      <w:pPr>
        <w:rPr>
          <w:lang w:val="fr-FR"/>
        </w:rPr>
      </w:pPr>
      <w:r w:rsidRPr="007C275D">
        <w:rPr>
          <w:color w:val="auto"/>
          <w:lang w:val="fr-FR"/>
        </w:rPr>
        <w:br w:type="page"/>
      </w:r>
    </w:p>
    <w:p w14:paraId="2CED1BD0" w14:textId="77777777" w:rsidR="008E5AEA" w:rsidRPr="007C275D" w:rsidRDefault="008E5AEA" w:rsidP="008E5AEA">
      <w:pPr>
        <w:jc w:val="both"/>
        <w:rPr>
          <w:lang w:val="fr-FR"/>
        </w:rPr>
      </w:pPr>
      <w:r>
        <w:rPr>
          <w:lang w:val="fr-FR"/>
        </w:rPr>
        <w:lastRenderedPageBreak/>
        <w:t xml:space="preserve">Cependant, cet indicateur donne une image plutôt déformée. Comme l’indique la figure 27, approximativement 20 % des populations sont passées d’un état favorable à un état défavorable ou vice versa. Le nombre de populations ayant un état moins favorable (60) est à peu près équilibré par le nombre de populations ayant un état plus favorable (57). Il y a des différences importantes entre les diverses « voies de migration » et ceci suit en grande partie le même modèle que celui du graphique précédent. </w:t>
      </w:r>
    </w:p>
    <w:p w14:paraId="1F50B948" w14:textId="77777777" w:rsidR="008E5AEA" w:rsidRPr="007C275D" w:rsidRDefault="008E5AEA" w:rsidP="008E5AEA">
      <w:pPr>
        <w:rPr>
          <w:lang w:val="fr-FR"/>
        </w:rPr>
      </w:pPr>
    </w:p>
    <w:p w14:paraId="76E0B3E7" w14:textId="77777777" w:rsidR="008E5AEA" w:rsidRPr="007C275D" w:rsidRDefault="008E5AEA" w:rsidP="008E5AEA">
      <w:pPr>
        <w:jc w:val="both"/>
        <w:rPr>
          <w:lang w:val="fr-FR"/>
        </w:rPr>
      </w:pPr>
      <w:r>
        <w:rPr>
          <w:lang w:val="fr-FR"/>
        </w:rPr>
        <w:t xml:space="preserve">Il est toutefois également important de noter que plusieurs des mêmes régions ont également montré un pourcentage au-dessus de la moyenne de populations ayant un l’état de conservation amélioré, par ex. la partie orientale et australe de la région afro-tropicale, et les régions Atlantique et mer Noire - Méditerranée du Paléarctique occidental, et les voies de migration Atlantique Est et mer Noire - Méditerranée. </w:t>
      </w:r>
    </w:p>
    <w:p w14:paraId="2562A054" w14:textId="77777777" w:rsidR="008E5AEA" w:rsidRPr="007C275D" w:rsidRDefault="008E5AEA" w:rsidP="008E5AEA">
      <w:pPr>
        <w:rPr>
          <w:lang w:val="fr-FR"/>
        </w:rPr>
      </w:pPr>
    </w:p>
    <w:p w14:paraId="53AD7049" w14:textId="5D6C3B46" w:rsidR="008E5AEA" w:rsidRDefault="002C3CDE" w:rsidP="008E5AEA">
      <w:pPr>
        <w:keepNext/>
      </w:pPr>
      <w:r>
        <w:rPr>
          <w:noProof/>
          <w:lang w:val="nl-NL" w:eastAsia="nl-NL"/>
        </w:rPr>
        <mc:AlternateContent>
          <mc:Choice Requires="wps">
            <w:drawing>
              <wp:anchor distT="0" distB="0" distL="114300" distR="114300" simplePos="0" relativeHeight="251659776" behindDoc="0" locked="0" layoutInCell="1" allowOverlap="1" wp14:anchorId="1C2AE2E5" wp14:editId="33D8E306">
                <wp:simplePos x="0" y="0"/>
                <wp:positionH relativeFrom="column">
                  <wp:posOffset>5385435</wp:posOffset>
                </wp:positionH>
                <wp:positionV relativeFrom="paragraph">
                  <wp:posOffset>1373505</wp:posOffset>
                </wp:positionV>
                <wp:extent cx="1123950" cy="8763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123950" cy="876300"/>
                        </a:xfrm>
                        <a:prstGeom prst="rect">
                          <a:avLst/>
                        </a:prstGeom>
                        <a:solidFill>
                          <a:schemeClr val="lt1"/>
                        </a:solidFill>
                        <a:ln w="6350">
                          <a:noFill/>
                        </a:ln>
                      </wps:spPr>
                      <wps:txbx>
                        <w:txbxContent>
                          <w:p w14:paraId="3B0DCEA8" w14:textId="77777777" w:rsidR="00BC4D45" w:rsidRPr="002C3CDE" w:rsidRDefault="00BC4D45"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Devenant non favorable</w:t>
                            </w:r>
                          </w:p>
                          <w:p w14:paraId="1BBDC425" w14:textId="77777777" w:rsidR="00BC4D45" w:rsidRPr="002C3CDE" w:rsidRDefault="00BC4D45"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Inchangé</w:t>
                            </w:r>
                          </w:p>
                          <w:p w14:paraId="5A1A935C" w14:textId="77777777" w:rsidR="00BC4D45" w:rsidRPr="002C3CDE" w:rsidRDefault="00BC4D45"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Restant favorable</w:t>
                            </w:r>
                          </w:p>
                          <w:p w14:paraId="6C6C39F9" w14:textId="77777777" w:rsidR="00BC4D45" w:rsidRPr="002C3CDE" w:rsidRDefault="00BC4D45" w:rsidP="002C3CDE">
                            <w:pPr>
                              <w:pStyle w:val="ListParagraph"/>
                              <w:tabs>
                                <w:tab w:val="left" w:pos="3686"/>
                                <w:tab w:val="left" w:pos="6096"/>
                                <w:tab w:val="left" w:pos="7088"/>
                              </w:tabs>
                              <w:ind w:left="284"/>
                              <w:rPr>
                                <w:rFonts w:cstheme="minorHAnsi"/>
                                <w:color w:val="4F81BD" w:themeColor="accent1"/>
                                <w:sz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E2E5" id="Text Box 73" o:spid="_x0000_s1050" type="#_x0000_t202" style="position:absolute;margin-left:424.05pt;margin-top:108.15pt;width:88.5pt;height: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" fillcolor="white [3201]" stroked="f" strokeweight=".5pt">
                <v:textbox>
                  <w:txbxContent>
                    <w:p w14:paraId="3B0DCEA8" w14:textId="77777777" w:rsidR="00BC4D45" w:rsidRPr="002C3CDE" w:rsidRDefault="00BC4D45"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Devenant non favorable</w:t>
                      </w:r>
                    </w:p>
                    <w:p w14:paraId="1BBDC425" w14:textId="77777777" w:rsidR="00BC4D45" w:rsidRPr="002C3CDE" w:rsidRDefault="00BC4D45"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Inchangé</w:t>
                      </w:r>
                    </w:p>
                    <w:p w14:paraId="5A1A935C" w14:textId="77777777" w:rsidR="00BC4D45" w:rsidRPr="002C3CDE" w:rsidRDefault="00BC4D45" w:rsidP="002C3CDE">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Restant favorable</w:t>
                      </w:r>
                    </w:p>
                    <w:p w14:paraId="6C6C39F9" w14:textId="77777777" w:rsidR="00BC4D45" w:rsidRPr="002C3CDE" w:rsidRDefault="00BC4D45" w:rsidP="002C3CDE">
                      <w:pPr>
                        <w:pStyle w:val="ListParagraph"/>
                        <w:tabs>
                          <w:tab w:val="left" w:pos="3686"/>
                          <w:tab w:val="left" w:pos="6096"/>
                          <w:tab w:val="left" w:pos="7088"/>
                        </w:tabs>
                        <w:ind w:left="284"/>
                        <w:rPr>
                          <w:rFonts w:cstheme="minorHAnsi"/>
                          <w:color w:val="4F81BD" w:themeColor="accent1"/>
                          <w:sz w:val="20"/>
                          <w:lang w:val="fr-FR"/>
                        </w:rPr>
                      </w:pPr>
                    </w:p>
                  </w:txbxContent>
                </v:textbox>
              </v:shape>
            </w:pict>
          </mc:Fallback>
        </mc:AlternateContent>
      </w:r>
      <w:r w:rsidR="008E5AEA">
        <w:rPr>
          <w:noProof/>
          <w:lang w:val="nl-NL" w:eastAsia="nl-NL"/>
        </w:rPr>
        <w:drawing>
          <wp:inline distT="0" distB="0" distL="0" distR="0" wp14:anchorId="7DF2015F" wp14:editId="3A4AFEAC">
            <wp:extent cx="5265420" cy="33801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5420" cy="3380105"/>
                    </a:xfrm>
                    <a:prstGeom prst="rect">
                      <a:avLst/>
                    </a:prstGeom>
                    <a:noFill/>
                    <a:ln>
                      <a:noFill/>
                    </a:ln>
                  </pic:spPr>
                </pic:pic>
              </a:graphicData>
            </a:graphic>
          </wp:inline>
        </w:drawing>
      </w:r>
    </w:p>
    <w:p w14:paraId="3FB97C15" w14:textId="427C2D81" w:rsidR="008E5AEA" w:rsidRDefault="002C3CDE" w:rsidP="008E5AEA">
      <w:pPr>
        <w:pStyle w:val="Caption"/>
      </w:pPr>
      <w:r>
        <w:rPr>
          <w:rFonts w:cstheme="minorHAnsi"/>
          <w:noProof/>
          <w:sz w:val="20"/>
          <w:lang w:val="fr-FR"/>
        </w:rPr>
        <mc:AlternateContent>
          <mc:Choice Requires="wps">
            <w:drawing>
              <wp:anchor distT="0" distB="0" distL="114300" distR="114300" simplePos="0" relativeHeight="251662848" behindDoc="0" locked="0" layoutInCell="1" allowOverlap="1" wp14:anchorId="6B651C36" wp14:editId="75255DF8">
                <wp:simplePos x="0" y="0"/>
                <wp:positionH relativeFrom="column">
                  <wp:posOffset>3137535</wp:posOffset>
                </wp:positionH>
                <wp:positionV relativeFrom="paragraph">
                  <wp:posOffset>260350</wp:posOffset>
                </wp:positionV>
                <wp:extent cx="2867025" cy="1209675"/>
                <wp:effectExtent l="0" t="0" r="9525" b="9525"/>
                <wp:wrapNone/>
                <wp:docPr id="72" name="Text Box 72"/>
                <wp:cNvGraphicFramePr/>
                <a:graphic xmlns:a="http://schemas.openxmlformats.org/drawingml/2006/main">
                  <a:graphicData uri="http://schemas.microsoft.com/office/word/2010/wordprocessingShape">
                    <wps:wsp>
                      <wps:cNvSpPr txBox="1"/>
                      <wps:spPr>
                        <a:xfrm>
                          <a:off x="0" y="0"/>
                          <a:ext cx="2867025" cy="1209675"/>
                        </a:xfrm>
                        <a:prstGeom prst="rect">
                          <a:avLst/>
                        </a:prstGeom>
                        <a:solidFill>
                          <a:schemeClr val="lt1"/>
                        </a:solidFill>
                        <a:ln w="6350">
                          <a:noFill/>
                        </a:ln>
                      </wps:spPr>
                      <wps:txbx>
                        <w:txbxContent>
                          <w:p w14:paraId="733E3AB1"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Occidentale et centrale</w:t>
                            </w:r>
                          </w:p>
                          <w:p w14:paraId="355E901D"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Subsaharienne</w:t>
                            </w:r>
                          </w:p>
                          <w:p w14:paraId="07CB6D19"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Paléarctique occidental – Mer Noire – Méditerranée</w:t>
                            </w:r>
                          </w:p>
                          <w:p w14:paraId="22251347"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Est</w:t>
                            </w:r>
                          </w:p>
                          <w:p w14:paraId="0361514E"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Australe</w:t>
                            </w:r>
                          </w:p>
                          <w:p w14:paraId="4778CDE4" w14:textId="77777777" w:rsidR="00BC4D45" w:rsidRPr="002C3CDE" w:rsidRDefault="00BC4D45" w:rsidP="002C3CDE">
                            <w:pPr>
                              <w:pStyle w:val="ListParagraph"/>
                              <w:numPr>
                                <w:ilvl w:val="0"/>
                                <w:numId w:val="36"/>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Autres</w:t>
                            </w:r>
                          </w:p>
                          <w:p w14:paraId="173886D4" w14:textId="77777777" w:rsidR="00BC4D45" w:rsidRDefault="00BC4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1C36" id="Text Box 72" o:spid="_x0000_s1051" type="#_x0000_t202" style="position:absolute;margin-left:247.05pt;margin-top:20.5pt;width:225.75pt;height:9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" fillcolor="white [3201]" stroked="f" strokeweight=".5pt">
                <v:textbox>
                  <w:txbxContent>
                    <w:p w14:paraId="733E3AB1"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Occidentale et centrale</w:t>
                      </w:r>
                    </w:p>
                    <w:p w14:paraId="355E901D"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Subsaharienne</w:t>
                      </w:r>
                    </w:p>
                    <w:p w14:paraId="07CB6D19"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Paléarctique occidental – Mer Noire – Méditerranée</w:t>
                      </w:r>
                    </w:p>
                    <w:p w14:paraId="22251347"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Est</w:t>
                      </w:r>
                    </w:p>
                    <w:p w14:paraId="0361514E" w14:textId="77777777" w:rsidR="00BC4D45" w:rsidRPr="002C3CDE" w:rsidRDefault="00BC4D45" w:rsidP="002C3CDE">
                      <w:pPr>
                        <w:pStyle w:val="ListParagraph"/>
                        <w:numPr>
                          <w:ilvl w:val="0"/>
                          <w:numId w:val="36"/>
                        </w:numPr>
                        <w:tabs>
                          <w:tab w:val="left" w:pos="851"/>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Région afro-tropicale – Australe</w:t>
                      </w:r>
                    </w:p>
                    <w:p w14:paraId="4778CDE4" w14:textId="77777777" w:rsidR="00BC4D45" w:rsidRPr="002C3CDE" w:rsidRDefault="00BC4D45" w:rsidP="002C3CDE">
                      <w:pPr>
                        <w:pStyle w:val="ListParagraph"/>
                        <w:numPr>
                          <w:ilvl w:val="0"/>
                          <w:numId w:val="36"/>
                        </w:numPr>
                        <w:tabs>
                          <w:tab w:val="left" w:pos="3686"/>
                          <w:tab w:val="left" w:pos="6096"/>
                          <w:tab w:val="left" w:pos="7088"/>
                        </w:tabs>
                        <w:ind w:left="284" w:hanging="284"/>
                        <w:rPr>
                          <w:rFonts w:cstheme="minorHAnsi"/>
                          <w:color w:val="4F81BD" w:themeColor="accent1"/>
                          <w:sz w:val="20"/>
                          <w:lang w:val="fr-FR"/>
                        </w:rPr>
                      </w:pPr>
                      <w:r w:rsidRPr="002C3CDE">
                        <w:rPr>
                          <w:rFonts w:cstheme="minorHAnsi"/>
                          <w:color w:val="4F81BD" w:themeColor="accent1"/>
                          <w:sz w:val="20"/>
                          <w:lang w:val="fr-FR"/>
                        </w:rPr>
                        <w:t>Autres</w:t>
                      </w:r>
                    </w:p>
                    <w:p w14:paraId="173886D4" w14:textId="77777777" w:rsidR="00BC4D45" w:rsidRDefault="00BC4D45"/>
                  </w:txbxContent>
                </v:textbox>
              </v:shape>
            </w:pict>
          </mc:Fallback>
        </mc:AlternateContent>
      </w:r>
    </w:p>
    <w:p w14:paraId="5C7EB2B9" w14:textId="68669558" w:rsidR="00CC40C4" w:rsidRPr="00CC40C4" w:rsidRDefault="00CC40C4" w:rsidP="00CC40C4">
      <w:pPr>
        <w:pStyle w:val="ListParagraph"/>
        <w:numPr>
          <w:ilvl w:val="0"/>
          <w:numId w:val="35"/>
        </w:numPr>
        <w:tabs>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Grand total</w:t>
      </w:r>
    </w:p>
    <w:p w14:paraId="039B3F00" w14:textId="77777777" w:rsidR="00CC40C4" w:rsidRPr="00CC40C4"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Région afro-tropicale – Est et australe</w:t>
      </w:r>
    </w:p>
    <w:p w14:paraId="75CC83AA" w14:textId="77777777" w:rsidR="00CC40C4" w:rsidRPr="00CC40C4"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Paléarctique occidental – Asie centrale et du Sud-Ouest</w:t>
      </w:r>
    </w:p>
    <w:p w14:paraId="41E41874" w14:textId="77777777" w:rsidR="00CC40C4" w:rsidRPr="00CC40C4"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Paléarctique occidental – Atlantique</w:t>
      </w:r>
    </w:p>
    <w:p w14:paraId="668AF22E" w14:textId="77777777" w:rsidR="00CC40C4" w:rsidRPr="00CC40C4"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Voie de migration de l’Atlantique Est</w:t>
      </w:r>
    </w:p>
    <w:p w14:paraId="7B79B8F5" w14:textId="77777777" w:rsidR="00CC40C4" w:rsidRPr="00CC40C4"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Voie de migration mer Noire – Méditerranée</w:t>
      </w:r>
    </w:p>
    <w:p w14:paraId="07B97E93" w14:textId="77777777" w:rsidR="00CC40C4" w:rsidRPr="00CC40C4" w:rsidRDefault="00CC40C4" w:rsidP="00CC40C4">
      <w:pPr>
        <w:pStyle w:val="ListParagraph"/>
        <w:numPr>
          <w:ilvl w:val="0"/>
          <w:numId w:val="35"/>
        </w:numPr>
        <w:tabs>
          <w:tab w:val="left" w:pos="851"/>
          <w:tab w:val="left" w:pos="3686"/>
          <w:tab w:val="left" w:pos="6096"/>
          <w:tab w:val="left" w:pos="7088"/>
        </w:tabs>
        <w:ind w:left="284" w:hanging="284"/>
        <w:rPr>
          <w:rFonts w:cstheme="minorHAnsi"/>
          <w:color w:val="4F81BD" w:themeColor="accent1"/>
          <w:sz w:val="20"/>
          <w:lang w:val="fr-FR"/>
        </w:rPr>
      </w:pPr>
      <w:r w:rsidRPr="00CC40C4">
        <w:rPr>
          <w:rFonts w:cstheme="minorHAnsi"/>
          <w:color w:val="4F81BD" w:themeColor="accent1"/>
          <w:sz w:val="20"/>
          <w:lang w:val="fr-FR"/>
        </w:rPr>
        <w:t>Voie de migration Asie de l’Ouest – Afrique de l’Est</w:t>
      </w:r>
    </w:p>
    <w:p w14:paraId="7EBCD89C" w14:textId="0A93D044" w:rsidR="00CC40C4" w:rsidRPr="00CC40C4" w:rsidRDefault="00CC40C4" w:rsidP="00CC40C4">
      <w:pPr>
        <w:ind w:left="284" w:hanging="284"/>
        <w:rPr>
          <w:color w:val="4F81BD" w:themeColor="accent1"/>
          <w:sz w:val="20"/>
          <w:lang w:val="fr-FR"/>
        </w:rPr>
      </w:pPr>
    </w:p>
    <w:p w14:paraId="63A97E5E" w14:textId="3272ADA4" w:rsidR="00CC40C4" w:rsidRPr="00CC40C4" w:rsidRDefault="00CC40C4" w:rsidP="00CC40C4">
      <w:pPr>
        <w:ind w:left="284" w:hanging="284"/>
        <w:rPr>
          <w:color w:val="4F81BD" w:themeColor="accent1"/>
          <w:sz w:val="20"/>
          <w:lang w:val="fr-FR"/>
        </w:rPr>
      </w:pPr>
    </w:p>
    <w:p w14:paraId="49DA0A1E" w14:textId="77777777" w:rsidR="008E5AEA" w:rsidRPr="007C275D" w:rsidRDefault="008E5AEA" w:rsidP="008E5AEA">
      <w:pPr>
        <w:pStyle w:val="Caption"/>
        <w:rPr>
          <w:lang w:val="fr-FR"/>
        </w:rPr>
      </w:pPr>
      <w:r>
        <w:rPr>
          <w:lang w:val="fr-FR"/>
        </w:rPr>
        <w:t xml:space="preserve">Figure 27. Nombre de populations dont l’état de conservation est devenu favorable ou défavorable ou dont l’état n’a pas changé depuis la MOP4. </w:t>
      </w:r>
    </w:p>
    <w:p w14:paraId="4CC30E98" w14:textId="77777777" w:rsidR="008E5AEA" w:rsidRPr="007C275D" w:rsidRDefault="008E5AEA" w:rsidP="008E5AEA">
      <w:pPr>
        <w:rPr>
          <w:lang w:val="fr-FR"/>
        </w:rPr>
      </w:pPr>
      <w:r w:rsidRPr="007C275D">
        <w:rPr>
          <w:color w:val="auto"/>
          <w:lang w:val="fr-FR"/>
        </w:rPr>
        <w:br w:type="page"/>
      </w:r>
    </w:p>
    <w:p w14:paraId="7213B40F" w14:textId="77777777" w:rsidR="008E5AEA" w:rsidRPr="007C275D" w:rsidRDefault="008E5AEA" w:rsidP="008E5AEA">
      <w:pPr>
        <w:pStyle w:val="Heading3"/>
        <w:jc w:val="both"/>
        <w:rPr>
          <w:rFonts w:ascii="Times New Roman" w:eastAsia="Times New Roman" w:hAnsi="Times New Roman" w:cs="Times New Roman"/>
          <w:lang w:val="fr-FR"/>
        </w:rPr>
      </w:pPr>
      <w:bookmarkStart w:id="93" w:name="_Toc517262035"/>
      <w:r>
        <w:rPr>
          <w:rFonts w:ascii="Times New Roman" w:eastAsia="Times New Roman" w:hAnsi="Times New Roman" w:cs="Times New Roman"/>
          <w:lang w:val="fr-FR"/>
        </w:rPr>
        <w:lastRenderedPageBreak/>
        <w:t>G.3 Au moins 75 % des populations d’oiseaux d’eau de l’AEWA ont une tendance positive (croissante ou stable).</w:t>
      </w:r>
      <w:bookmarkEnd w:id="93"/>
    </w:p>
    <w:p w14:paraId="78EF914A" w14:textId="77777777" w:rsidR="008E5AEA" w:rsidRPr="007C275D" w:rsidRDefault="008E5AEA" w:rsidP="008E5AEA">
      <w:pPr>
        <w:pStyle w:val="Normal1"/>
        <w:rPr>
          <w:lang w:val="fr-FR"/>
        </w:rPr>
      </w:pPr>
    </w:p>
    <w:p w14:paraId="19A5CF2D" w14:textId="77777777" w:rsidR="008E5AEA" w:rsidRPr="007C275D" w:rsidRDefault="008E5AEA" w:rsidP="008E5AEA">
      <w:pPr>
        <w:jc w:val="both"/>
        <w:rPr>
          <w:szCs w:val="24"/>
          <w:lang w:val="fr-FR"/>
        </w:rPr>
      </w:pPr>
      <w:r>
        <w:rPr>
          <w:szCs w:val="24"/>
          <w:lang w:val="fr-FR"/>
        </w:rPr>
        <w:t xml:space="preserve">Sur les populations de l’AEWA ayant des tendances de population connues, 73 % ont une tendance positive et ainsi, </w:t>
      </w:r>
      <w:r>
        <w:rPr>
          <w:b/>
          <w:szCs w:val="24"/>
          <w:lang w:val="fr-FR"/>
        </w:rPr>
        <w:t>l’objectif n’a pas été atteint mais de peu</w:t>
      </w:r>
      <w:r>
        <w:rPr>
          <w:szCs w:val="24"/>
          <w:lang w:val="fr-FR"/>
        </w:rPr>
        <w:t>.</w:t>
      </w:r>
    </w:p>
    <w:p w14:paraId="0909BE9A" w14:textId="77777777" w:rsidR="008E5AEA" w:rsidRPr="007C275D" w:rsidRDefault="008E5AEA" w:rsidP="008E5AEA">
      <w:pPr>
        <w:jc w:val="both"/>
        <w:rPr>
          <w:szCs w:val="24"/>
          <w:lang w:val="fr-FR"/>
        </w:rPr>
      </w:pPr>
    </w:p>
    <w:p w14:paraId="55E1D7D6" w14:textId="77777777" w:rsidR="008E5AEA" w:rsidRPr="007C275D" w:rsidRDefault="008E5AEA" w:rsidP="008E5AEA">
      <w:pPr>
        <w:jc w:val="both"/>
        <w:rPr>
          <w:szCs w:val="24"/>
          <w:lang w:val="fr-FR"/>
        </w:rPr>
      </w:pPr>
      <w:r>
        <w:rPr>
          <w:szCs w:val="24"/>
          <w:lang w:val="fr-FR"/>
        </w:rPr>
        <w:t xml:space="preserve">La figure 28 montre que le pourcentage de populations ayant une tendance stable ou en augmentation s’est constamment amélioré pendant la durée du Plan stratégique actuel de l’AEWA </w:t>
      </w:r>
    </w:p>
    <w:p w14:paraId="542207EE" w14:textId="77777777" w:rsidR="008E5AEA" w:rsidRPr="007C275D" w:rsidRDefault="008E5AEA" w:rsidP="008E5AEA">
      <w:pPr>
        <w:rPr>
          <w:sz w:val="20"/>
          <w:lang w:val="fr-FR"/>
        </w:rPr>
      </w:pPr>
    </w:p>
    <w:p w14:paraId="38971179" w14:textId="293A572B" w:rsidR="008E5AEA" w:rsidRDefault="002C3CDE" w:rsidP="008E5AEA">
      <w:pPr>
        <w:keepNext/>
      </w:pPr>
      <w:r>
        <w:rPr>
          <w:noProof/>
          <w:lang w:val="nl-NL" w:eastAsia="nl-NL"/>
        </w:rPr>
        <mc:AlternateContent>
          <mc:Choice Requires="wps">
            <w:drawing>
              <wp:anchor distT="0" distB="0" distL="114300" distR="114300" simplePos="0" relativeHeight="251660800" behindDoc="0" locked="0" layoutInCell="1" allowOverlap="1" wp14:anchorId="3E2ED8F9" wp14:editId="426268A6">
                <wp:simplePos x="0" y="0"/>
                <wp:positionH relativeFrom="column">
                  <wp:posOffset>5318760</wp:posOffset>
                </wp:positionH>
                <wp:positionV relativeFrom="paragraph">
                  <wp:posOffset>1417320</wp:posOffset>
                </wp:positionV>
                <wp:extent cx="857250" cy="838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857250" cy="838200"/>
                        </a:xfrm>
                        <a:prstGeom prst="rect">
                          <a:avLst/>
                        </a:prstGeom>
                        <a:solidFill>
                          <a:schemeClr val="lt1"/>
                        </a:solidFill>
                        <a:ln w="6350">
                          <a:noFill/>
                        </a:ln>
                      </wps:spPr>
                      <wps:txbx>
                        <w:txbxContent>
                          <w:p w14:paraId="59179550" w14:textId="4B711E2D" w:rsidR="00BC4D45" w:rsidRDefault="00BC4D45"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 atteint</w:t>
                            </w:r>
                          </w:p>
                          <w:p w14:paraId="4D9F9171" w14:textId="77777777" w:rsidR="00BC4D45" w:rsidRPr="002C3CDE" w:rsidRDefault="00BC4D45" w:rsidP="002C3CDE">
                            <w:pPr>
                              <w:pStyle w:val="ListParagraph"/>
                              <w:tabs>
                                <w:tab w:val="left" w:pos="3686"/>
                                <w:tab w:val="left" w:pos="6096"/>
                                <w:tab w:val="left" w:pos="7088"/>
                              </w:tabs>
                              <w:ind w:left="284"/>
                              <w:rPr>
                                <w:rFonts w:cstheme="minorHAnsi"/>
                                <w:color w:val="4F81BD" w:themeColor="accent1"/>
                                <w:sz w:val="10"/>
                                <w:szCs w:val="10"/>
                                <w:lang w:val="fr-FR"/>
                              </w:rPr>
                            </w:pPr>
                          </w:p>
                          <w:p w14:paraId="78C8114D" w14:textId="77777777" w:rsidR="00BC4D45" w:rsidRPr="002C3CDE" w:rsidRDefault="00BC4D45"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w:t>
                            </w:r>
                          </w:p>
                          <w:p w14:paraId="32E126B8" w14:textId="77777777" w:rsidR="00BC4D45" w:rsidRDefault="00BC4D45" w:rsidP="002C3CDE">
                            <w:p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D8F9" id="Text Box 74" o:spid="_x0000_s1052" type="#_x0000_t202" style="position:absolute;margin-left:418.8pt;margin-top:111.6pt;width:67.5pt;height: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" fillcolor="white [3201]" stroked="f" strokeweight=".5pt">
                <v:textbox>
                  <w:txbxContent>
                    <w:p w14:paraId="59179550" w14:textId="4B711E2D" w:rsidR="00BC4D45" w:rsidRDefault="00BC4D45"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 atteint</w:t>
                      </w:r>
                    </w:p>
                    <w:p w14:paraId="4D9F9171" w14:textId="77777777" w:rsidR="00BC4D45" w:rsidRPr="002C3CDE" w:rsidRDefault="00BC4D45" w:rsidP="002C3CDE">
                      <w:pPr>
                        <w:pStyle w:val="ListParagraph"/>
                        <w:tabs>
                          <w:tab w:val="left" w:pos="3686"/>
                          <w:tab w:val="left" w:pos="6096"/>
                          <w:tab w:val="left" w:pos="7088"/>
                        </w:tabs>
                        <w:ind w:left="284"/>
                        <w:rPr>
                          <w:rFonts w:cstheme="minorHAnsi"/>
                          <w:color w:val="4F81BD" w:themeColor="accent1"/>
                          <w:sz w:val="10"/>
                          <w:szCs w:val="10"/>
                          <w:lang w:val="fr-FR"/>
                        </w:rPr>
                      </w:pPr>
                    </w:p>
                    <w:p w14:paraId="78C8114D" w14:textId="77777777" w:rsidR="00BC4D45" w:rsidRPr="002C3CDE" w:rsidRDefault="00BC4D45" w:rsidP="002C3CDE">
                      <w:pPr>
                        <w:pStyle w:val="ListParagraph"/>
                        <w:numPr>
                          <w:ilvl w:val="0"/>
                          <w:numId w:val="37"/>
                        </w:numPr>
                        <w:tabs>
                          <w:tab w:val="left" w:pos="3686"/>
                          <w:tab w:val="left" w:pos="6096"/>
                          <w:tab w:val="left" w:pos="7088"/>
                        </w:tabs>
                        <w:ind w:left="284" w:hanging="284"/>
                        <w:rPr>
                          <w:rFonts w:cstheme="minorHAnsi"/>
                          <w:color w:val="4F81BD" w:themeColor="accent1"/>
                          <w:sz w:val="18"/>
                          <w:szCs w:val="18"/>
                          <w:lang w:val="fr-FR"/>
                        </w:rPr>
                      </w:pPr>
                      <w:r w:rsidRPr="002C3CDE">
                        <w:rPr>
                          <w:rFonts w:cstheme="minorHAnsi"/>
                          <w:color w:val="4F81BD" w:themeColor="accent1"/>
                          <w:sz w:val="18"/>
                          <w:szCs w:val="18"/>
                          <w:lang w:val="fr-FR"/>
                        </w:rPr>
                        <w:t>Objectif</w:t>
                      </w:r>
                    </w:p>
                    <w:p w14:paraId="32E126B8" w14:textId="77777777" w:rsidR="00BC4D45" w:rsidRDefault="00BC4D45" w:rsidP="002C3CDE">
                      <w:pPr>
                        <w:ind w:left="284" w:hanging="284"/>
                      </w:pPr>
                    </w:p>
                  </w:txbxContent>
                </v:textbox>
              </v:shape>
            </w:pict>
          </mc:Fallback>
        </mc:AlternateContent>
      </w:r>
      <w:r w:rsidR="008E5AEA">
        <w:rPr>
          <w:noProof/>
          <w:lang w:val="nl-NL" w:eastAsia="nl-NL"/>
        </w:rPr>
        <w:drawing>
          <wp:inline distT="0" distB="0" distL="0" distR="0" wp14:anchorId="482B97C4" wp14:editId="5FD1A603">
            <wp:extent cx="5278120" cy="35312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3531235"/>
                    </a:xfrm>
                    <a:prstGeom prst="rect">
                      <a:avLst/>
                    </a:prstGeom>
                    <a:noFill/>
                    <a:ln>
                      <a:noFill/>
                    </a:ln>
                  </pic:spPr>
                </pic:pic>
              </a:graphicData>
            </a:graphic>
          </wp:inline>
        </w:drawing>
      </w:r>
    </w:p>
    <w:p w14:paraId="16862AE6" w14:textId="77777777" w:rsidR="008E5AEA" w:rsidRDefault="008E5AEA" w:rsidP="008E5AEA">
      <w:pPr>
        <w:pStyle w:val="Caption"/>
      </w:pPr>
    </w:p>
    <w:p w14:paraId="34286829" w14:textId="77777777" w:rsidR="008E5AEA" w:rsidRPr="007C275D" w:rsidRDefault="008E5AEA" w:rsidP="008E5AEA">
      <w:pPr>
        <w:pStyle w:val="Caption"/>
        <w:rPr>
          <w:sz w:val="24"/>
          <w:lang w:val="fr-FR"/>
        </w:rPr>
      </w:pPr>
      <w:r>
        <w:rPr>
          <w:lang w:val="fr-FR"/>
        </w:rPr>
        <w:t>Figure 28. Pourcentage de populations ayant une tendance stable ou en augmentation dans le cadre des éditions du Rapport sur l’état de conservation de l’AEWA pendant la période de 2008-2017, c.-à-d. la période couverte par le Plan stratégique 2008-2018 de l’AEWA</w:t>
      </w:r>
    </w:p>
    <w:p w14:paraId="0D30C5FD" w14:textId="77777777" w:rsidR="008E5AEA" w:rsidRPr="007C275D" w:rsidRDefault="008E5AEA" w:rsidP="008E5AEA">
      <w:pPr>
        <w:rPr>
          <w:lang w:val="fr-FR"/>
        </w:rPr>
      </w:pPr>
      <w:r w:rsidRPr="007C275D">
        <w:rPr>
          <w:color w:val="auto"/>
          <w:lang w:val="fr-FR"/>
        </w:rPr>
        <w:br w:type="page"/>
      </w:r>
    </w:p>
    <w:p w14:paraId="23282D44" w14:textId="77777777" w:rsidR="008E5AEA" w:rsidRPr="007C275D" w:rsidRDefault="008E5AEA" w:rsidP="008E5AEA">
      <w:pPr>
        <w:pStyle w:val="Heading3"/>
        <w:jc w:val="both"/>
        <w:rPr>
          <w:lang w:val="fr-FR"/>
        </w:rPr>
      </w:pPr>
      <w:bookmarkStart w:id="94" w:name="_Toc517262036"/>
      <w:r>
        <w:rPr>
          <w:rFonts w:ascii="Times New Roman" w:eastAsia="Times New Roman" w:hAnsi="Times New Roman" w:cs="Times New Roman"/>
          <w:lang w:val="fr-FR"/>
        </w:rPr>
        <w:lastRenderedPageBreak/>
        <w:t>G.4 L’état général des espèces indicatrices s’est amélioré, comme cela a été mesuré par l’Indicateur des oiseaux d’eau.</w:t>
      </w:r>
      <w:bookmarkEnd w:id="94"/>
    </w:p>
    <w:p w14:paraId="575D3F93" w14:textId="77777777" w:rsidR="008E5AEA" w:rsidRPr="007C275D" w:rsidRDefault="008E5AEA" w:rsidP="008E5AEA">
      <w:pPr>
        <w:pStyle w:val="Normal1"/>
        <w:rPr>
          <w:lang w:val="fr-FR"/>
        </w:rPr>
      </w:pPr>
    </w:p>
    <w:p w14:paraId="2F5CDB3F" w14:textId="77777777" w:rsidR="008E5AEA" w:rsidRPr="007C275D" w:rsidRDefault="008E5AEA" w:rsidP="008E5AEA">
      <w:pPr>
        <w:jc w:val="both"/>
        <w:rPr>
          <w:lang w:val="fr-FR"/>
        </w:rPr>
      </w:pPr>
      <w:r>
        <w:rPr>
          <w:lang w:val="fr-FR"/>
        </w:rPr>
        <w:t xml:space="preserve">Actuellement, les indices annuels ne peuvent être calculés que pour 280 populations et plusieurs d’entre eux ne sont pas représentatifs de la population elle-même. Néanmoins, la figure 29 montre la tendance générale de 141 populations d’oiseaux d’eau ayant une tendance raisonnable. Cependant, on distingue une forte dominante dans la distribution des populations ayant des indices de tendances annuelles de qualité raisonnable, avec deux-tiers d’entre elles basées sur des données du Paléarctique occidental. </w:t>
      </w:r>
    </w:p>
    <w:p w14:paraId="1853C87F" w14:textId="77777777" w:rsidR="008E5AEA" w:rsidRPr="007C275D" w:rsidRDefault="008E5AEA" w:rsidP="008E5AEA">
      <w:pPr>
        <w:rPr>
          <w:lang w:val="fr-FR"/>
        </w:rPr>
      </w:pPr>
    </w:p>
    <w:p w14:paraId="613F63FC" w14:textId="77777777" w:rsidR="008E5AEA" w:rsidRDefault="008E5AEA" w:rsidP="008E5AEA">
      <w:pPr>
        <w:jc w:val="both"/>
        <w:rPr>
          <w:lang w:val="fr-FR"/>
        </w:rPr>
      </w:pPr>
      <w:r>
        <w:rPr>
          <w:lang w:val="fr-FR"/>
        </w:rPr>
        <w:t>Par conséquent, un indice composite semblable à celui produit par le programme paneuropéen de surveillance des oiseaux communs ne peut pas encore être appliqué à l’ensemble de la région de l’AEWA. Au lieu de cela un indicateur plus qualitatif de Waterbird a été développé en utilisant une approche semblable à celle adoptée dans l’État des populations d’oiseaux d’eau dans le monde (</w:t>
      </w:r>
      <w:hyperlink r:id="rId66" w:history="1">
        <w:r>
          <w:rPr>
            <w:rStyle w:val="Hyperlink"/>
            <w:lang w:val="fr-FR"/>
          </w:rPr>
          <w:t>Wetlands International 2010)</w:t>
        </w:r>
      </w:hyperlink>
      <w:r>
        <w:rPr>
          <w:lang w:val="fr-FR"/>
        </w:rPr>
        <w:t xml:space="preserve"> calculant une moyenne des points de tendance assignés aux populations croissantes (+1), stables ou flottantes (0) ou en déclin (-1) pendant une période donnée, c’est-à-dire dans le cas présent pour le CSR4, le CSR5 et CSR6. </w:t>
      </w:r>
    </w:p>
    <w:p w14:paraId="57EBAF0F" w14:textId="77777777" w:rsidR="008E5AEA" w:rsidRPr="007C275D" w:rsidRDefault="008E5AEA" w:rsidP="008E5AEA">
      <w:pPr>
        <w:rPr>
          <w:lang w:val="fr-FR"/>
        </w:rPr>
      </w:pPr>
    </w:p>
    <w:p w14:paraId="07A7BD9A" w14:textId="77777777" w:rsidR="008E5AEA" w:rsidRPr="007C275D" w:rsidRDefault="008E5AEA" w:rsidP="008E5AEA">
      <w:pPr>
        <w:jc w:val="both"/>
        <w:rPr>
          <w:lang w:val="fr-FR"/>
        </w:rPr>
      </w:pPr>
      <w:r>
        <w:rPr>
          <w:lang w:val="fr-FR"/>
        </w:rPr>
        <w:t>La valeur de l’indice de tendance des oiseaux d’eau a augmenté, passant de -0,1363 (N</w:t>
      </w:r>
      <w:r>
        <w:rPr>
          <w:vertAlign w:val="subscript"/>
          <w:lang w:val="fr-FR"/>
        </w:rPr>
        <w:t>2008</w:t>
      </w:r>
      <w:r>
        <w:rPr>
          <w:lang w:val="fr-FR"/>
        </w:rPr>
        <w:t xml:space="preserve"> = 396) à -0,996 (N</w:t>
      </w:r>
      <w:r>
        <w:rPr>
          <w:vertAlign w:val="subscript"/>
          <w:lang w:val="fr-FR"/>
        </w:rPr>
        <w:t>2017</w:t>
      </w:r>
      <w:r>
        <w:rPr>
          <w:lang w:val="fr-FR"/>
        </w:rPr>
        <w:t xml:space="preserve"> = 445), ce qui représente une amélioration de 40 % comparée à la valeur de référence et indique une augmentation continue. Ainsi, </w:t>
      </w:r>
      <w:r>
        <w:rPr>
          <w:b/>
          <w:lang w:val="fr-FR"/>
        </w:rPr>
        <w:t>cet objectif a été atteint</w:t>
      </w:r>
      <w:r>
        <w:rPr>
          <w:lang w:val="fr-FR"/>
        </w:rPr>
        <w:t>.</w:t>
      </w:r>
      <w:r>
        <w:rPr>
          <w:b/>
          <w:lang w:val="fr-FR"/>
        </w:rPr>
        <w:t xml:space="preserve"> </w:t>
      </w:r>
      <w:r>
        <w:rPr>
          <w:lang w:val="fr-FR"/>
        </w:rPr>
        <w:t xml:space="preserve">Néanmoins, ce résultat montre que toujours davantage de populations sont en déclin plutôt qu’en augmentation. </w:t>
      </w:r>
    </w:p>
    <w:p w14:paraId="492166AE" w14:textId="77777777" w:rsidR="008E5AEA" w:rsidRPr="007C275D" w:rsidRDefault="008E5AEA" w:rsidP="008E5AEA">
      <w:pPr>
        <w:rPr>
          <w:lang w:val="fr-FR"/>
        </w:rPr>
      </w:pPr>
    </w:p>
    <w:p w14:paraId="216D01B9" w14:textId="74D00C4F" w:rsidR="008E5AEA" w:rsidRDefault="008E5AEA" w:rsidP="008E5AEA">
      <w:pPr>
        <w:keepNext/>
      </w:pPr>
      <w:r>
        <w:rPr>
          <w:noProof/>
          <w:lang w:val="nl-NL" w:eastAsia="nl-NL"/>
        </w:rPr>
        <w:drawing>
          <wp:inline distT="0" distB="0" distL="0" distR="0" wp14:anchorId="4B6A1697" wp14:editId="58C7673A">
            <wp:extent cx="5265420" cy="3916045"/>
            <wp:effectExtent l="0" t="0" r="0"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5420" cy="3916045"/>
                    </a:xfrm>
                    <a:prstGeom prst="rect">
                      <a:avLst/>
                    </a:prstGeom>
                    <a:noFill/>
                    <a:ln>
                      <a:noFill/>
                    </a:ln>
                  </pic:spPr>
                </pic:pic>
              </a:graphicData>
            </a:graphic>
          </wp:inline>
        </w:drawing>
      </w:r>
    </w:p>
    <w:p w14:paraId="7F746275" w14:textId="77777777" w:rsidR="002C3CDE" w:rsidRDefault="002C3CDE" w:rsidP="002C3CDE">
      <w:pPr>
        <w:tabs>
          <w:tab w:val="left" w:pos="3686"/>
          <w:tab w:val="left" w:pos="6096"/>
          <w:tab w:val="left" w:pos="7088"/>
        </w:tabs>
      </w:pPr>
      <w:r>
        <w:tab/>
      </w:r>
    </w:p>
    <w:p w14:paraId="1CFFC155" w14:textId="02288492" w:rsidR="002C3CDE" w:rsidRPr="002C3CDE" w:rsidRDefault="00D42FBA" w:rsidP="00D42FBA">
      <w:pPr>
        <w:tabs>
          <w:tab w:val="left" w:pos="3686"/>
          <w:tab w:val="left" w:pos="6096"/>
          <w:tab w:val="left" w:pos="7088"/>
        </w:tabs>
        <w:rPr>
          <w:rFonts w:cstheme="minorHAnsi"/>
          <w:color w:val="4F81BD" w:themeColor="accent1"/>
          <w:sz w:val="18"/>
          <w:szCs w:val="18"/>
          <w:lang w:val="fr-FR"/>
        </w:rPr>
      </w:pPr>
      <w:r>
        <w:rPr>
          <w:rFonts w:cstheme="minorHAnsi"/>
          <w:color w:val="4F81BD" w:themeColor="accent1"/>
          <w:sz w:val="18"/>
          <w:szCs w:val="18"/>
          <w:lang w:val="fr-FR"/>
        </w:rPr>
        <w:t xml:space="preserve">                                                              </w:t>
      </w:r>
      <w:r w:rsidR="002C3CDE" w:rsidRPr="002C3CDE">
        <w:rPr>
          <w:rFonts w:cstheme="minorHAnsi"/>
          <w:color w:val="4F81BD" w:themeColor="accent1"/>
          <w:sz w:val="18"/>
          <w:szCs w:val="18"/>
          <w:lang w:val="fr-FR"/>
        </w:rPr>
        <w:t>Indice des tendances des oiseaux d’eau</w:t>
      </w:r>
    </w:p>
    <w:p w14:paraId="1AA891DA" w14:textId="77777777" w:rsidR="002C3CDE" w:rsidRPr="00175D92" w:rsidRDefault="002C3CDE" w:rsidP="002C3CDE">
      <w:pPr>
        <w:tabs>
          <w:tab w:val="left" w:pos="3686"/>
          <w:tab w:val="left" w:pos="6096"/>
          <w:tab w:val="left" w:pos="7088"/>
        </w:tabs>
        <w:rPr>
          <w:rFonts w:cstheme="minorHAnsi"/>
          <w:lang w:val="fr-FR"/>
        </w:rPr>
      </w:pPr>
    </w:p>
    <w:p w14:paraId="4EAF2D0D" w14:textId="5F7CE6A7" w:rsidR="008E5AEA" w:rsidRPr="007C275D" w:rsidRDefault="008E5AEA" w:rsidP="00CA049C">
      <w:pPr>
        <w:pStyle w:val="Caption"/>
        <w:rPr>
          <w:lang w:val="fr-FR"/>
        </w:rPr>
      </w:pPr>
      <w:r>
        <w:rPr>
          <w:lang w:val="fr-FR"/>
        </w:rPr>
        <w:t>Figure 29. Changements de l’Indice des oiseaux d’eau dans les éditions du Rapport sur l’état de conservation au cours de la période de 2008-2017, c.-à-d. la période couverte par le Plan stratégique 2008-2018 de l’AEWA</w:t>
      </w:r>
      <w:r w:rsidRPr="007C275D">
        <w:rPr>
          <w:color w:val="auto"/>
          <w:lang w:val="fr-FR"/>
        </w:rPr>
        <w:br w:type="page"/>
      </w:r>
    </w:p>
    <w:p w14:paraId="31601EF8" w14:textId="77777777" w:rsidR="008E5AEA" w:rsidRPr="007C275D" w:rsidRDefault="008E5AEA" w:rsidP="008E5AEA">
      <w:pPr>
        <w:pStyle w:val="Heading3"/>
        <w:rPr>
          <w:lang w:val="fr-FR"/>
        </w:rPr>
      </w:pPr>
      <w:bookmarkStart w:id="95" w:name="_Toc517262037"/>
      <w:r>
        <w:rPr>
          <w:rFonts w:ascii="Times New Roman" w:eastAsia="Times New Roman" w:hAnsi="Times New Roman" w:cs="Times New Roman"/>
          <w:lang w:val="fr-FR"/>
        </w:rPr>
        <w:lastRenderedPageBreak/>
        <w:t>G.5 Le risque général d’extinction des oiseaux d’eau a diminué, comme cela a été mesuré par l’Indice Liste rouge.</w:t>
      </w:r>
      <w:bookmarkEnd w:id="95"/>
    </w:p>
    <w:p w14:paraId="4F90E25D" w14:textId="77777777" w:rsidR="008E5AEA" w:rsidRPr="007C275D" w:rsidRDefault="008E5AEA" w:rsidP="008E5AEA">
      <w:pPr>
        <w:pStyle w:val="Normal1"/>
        <w:rPr>
          <w:sz w:val="20"/>
          <w:lang w:val="fr-FR"/>
        </w:rPr>
      </w:pPr>
    </w:p>
    <w:p w14:paraId="0448F490" w14:textId="77777777" w:rsidR="008E5AEA" w:rsidRPr="007C275D" w:rsidRDefault="008E5AEA" w:rsidP="008E5AEA">
      <w:pPr>
        <w:jc w:val="both"/>
        <w:rPr>
          <w:lang w:val="fr-FR"/>
        </w:rPr>
      </w:pPr>
      <w:r>
        <w:rPr>
          <w:lang w:val="fr-FR"/>
        </w:rPr>
        <w:t xml:space="preserve">La figure 30 montre que tandis que des espèces de l’AEWA sont en moyenne moins menacées que d’autres espèces (les valeurs de l’Indice Liste rouge (RLI) sont plus élevées), leur état a proportionnellement diminué plus rapidement au cours des deux dernières décennies : le RLI a diminué de 2,2 % entre 1988 et 2016, comparé à 0,8 % pour toutes les espèces d’oiseau. Bien que ces chiffres soient faibles, ils représentent des pertes substantielles de biodiversité et des augmentations significatives du taux indiquant que les espèces vont vers l’extinction. </w:t>
      </w:r>
      <w:r>
        <w:rPr>
          <w:b/>
          <w:lang w:val="fr-FR"/>
        </w:rPr>
        <w:t xml:space="preserve">Ceci signifie également que cet objectif du Plan stratégique de l’AEWA n’a pas été atteint. </w:t>
      </w:r>
    </w:p>
    <w:p w14:paraId="7DDAE591" w14:textId="77777777" w:rsidR="008E5AEA" w:rsidRPr="007C275D" w:rsidRDefault="008E5AEA" w:rsidP="008E5AEA">
      <w:pPr>
        <w:pStyle w:val="Normal1"/>
        <w:rPr>
          <w:szCs w:val="24"/>
          <w:lang w:val="fr-FR"/>
        </w:rPr>
      </w:pPr>
    </w:p>
    <w:p w14:paraId="51A5E0CA" w14:textId="77777777" w:rsidR="008E5AEA" w:rsidRPr="007C275D" w:rsidRDefault="008E5AEA" w:rsidP="008E5AEA">
      <w:pPr>
        <w:pStyle w:val="Normal1"/>
        <w:jc w:val="both"/>
        <w:rPr>
          <w:szCs w:val="24"/>
          <w:lang w:val="fr-FR"/>
        </w:rPr>
      </w:pPr>
      <w:r>
        <w:rPr>
          <w:szCs w:val="24"/>
          <w:lang w:val="fr-FR"/>
        </w:rPr>
        <w:t xml:space="preserve">Il est toutefois important de noter que le RLI n’est pas très sensible aux changements positifs. Des populations peuvent figurer dans des catégories de menace supérieures sur la base de déclins rapides à court terme, mais le déplacement de ces populations vers des catégories de menace inférieures se fait généralement de manière plus prudente. </w:t>
      </w:r>
    </w:p>
    <w:p w14:paraId="63AD7BA0" w14:textId="04A46FA6" w:rsidR="008E5AEA" w:rsidRPr="007C275D" w:rsidRDefault="008E5AEA" w:rsidP="008E5AEA">
      <w:pPr>
        <w:pStyle w:val="Normal1"/>
        <w:rPr>
          <w:sz w:val="20"/>
          <w:lang w:val="fr-FR"/>
        </w:rPr>
      </w:pPr>
    </w:p>
    <w:p w14:paraId="116C8597" w14:textId="335BE356" w:rsidR="008E5AEA" w:rsidRPr="00D95894" w:rsidRDefault="00CA049C" w:rsidP="008E5AEA">
      <w:pPr>
        <w:pStyle w:val="Normal1"/>
        <w:keepNext/>
        <w:rPr>
          <w:lang w:val="fr-FR"/>
        </w:rPr>
      </w:pPr>
      <w:r>
        <w:rPr>
          <w:noProof/>
          <w:lang w:val="nl-NL" w:eastAsia="nl-NL"/>
        </w:rPr>
        <w:drawing>
          <wp:anchor distT="0" distB="0" distL="114300" distR="114300" simplePos="0" relativeHeight="251663872" behindDoc="1" locked="0" layoutInCell="1" allowOverlap="1" wp14:anchorId="3FF17745" wp14:editId="2672649C">
            <wp:simplePos x="0" y="0"/>
            <wp:positionH relativeFrom="column">
              <wp:posOffset>384810</wp:posOffset>
            </wp:positionH>
            <wp:positionV relativeFrom="paragraph">
              <wp:posOffset>10160</wp:posOffset>
            </wp:positionV>
            <wp:extent cx="5306695" cy="2875915"/>
            <wp:effectExtent l="0" t="0" r="8255" b="635"/>
            <wp:wrapTight wrapText="bothSides">
              <wp:wrapPolygon edited="0">
                <wp:start x="0" y="0"/>
                <wp:lineTo x="0" y="21462"/>
                <wp:lineTo x="21556" y="21462"/>
                <wp:lineTo x="21556" y="0"/>
                <wp:lineTo x="0" y="0"/>
              </wp:wrapPolygon>
            </wp:wrapTight>
            <wp:docPr id="50" name="Grafiek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anchor>
        </w:drawing>
      </w:r>
    </w:p>
    <w:p w14:paraId="0B4DAAE1" w14:textId="77777777" w:rsidR="008E5AEA" w:rsidRPr="00D95894" w:rsidRDefault="008E5AEA" w:rsidP="008E5AEA">
      <w:pPr>
        <w:pStyle w:val="Caption"/>
        <w:rPr>
          <w:lang w:val="fr-FR"/>
        </w:rPr>
      </w:pPr>
    </w:p>
    <w:p w14:paraId="7B822BE3" w14:textId="77777777" w:rsidR="00CA049C" w:rsidRDefault="00CA049C" w:rsidP="008E5AEA">
      <w:pPr>
        <w:pStyle w:val="Caption"/>
        <w:rPr>
          <w:lang w:val="fr-FR"/>
        </w:rPr>
      </w:pPr>
    </w:p>
    <w:p w14:paraId="1E245D79" w14:textId="77777777" w:rsidR="00CA049C" w:rsidRDefault="00CA049C" w:rsidP="008E5AEA">
      <w:pPr>
        <w:pStyle w:val="Caption"/>
        <w:rPr>
          <w:lang w:val="fr-FR"/>
        </w:rPr>
      </w:pPr>
    </w:p>
    <w:p w14:paraId="0E090880" w14:textId="77777777" w:rsidR="00CA049C" w:rsidRDefault="00CA049C" w:rsidP="008E5AEA">
      <w:pPr>
        <w:pStyle w:val="Caption"/>
        <w:rPr>
          <w:lang w:val="fr-FR"/>
        </w:rPr>
      </w:pPr>
    </w:p>
    <w:p w14:paraId="038EEFF3" w14:textId="3CE48F54" w:rsidR="00CA049C" w:rsidRDefault="00CA049C" w:rsidP="008E5AEA">
      <w:pPr>
        <w:pStyle w:val="Caption"/>
        <w:rPr>
          <w:lang w:val="fr-FR"/>
        </w:rPr>
      </w:pPr>
    </w:p>
    <w:p w14:paraId="275B5160" w14:textId="0D2B944F" w:rsidR="00CA049C" w:rsidRDefault="00CA049C" w:rsidP="00CA049C">
      <w:pPr>
        <w:rPr>
          <w:lang w:val="fr-FR"/>
        </w:rPr>
      </w:pPr>
    </w:p>
    <w:p w14:paraId="5BE56194" w14:textId="7D296AED" w:rsidR="00CA049C" w:rsidRDefault="00CA049C" w:rsidP="00CA049C">
      <w:pPr>
        <w:rPr>
          <w:lang w:val="fr-FR"/>
        </w:rPr>
      </w:pPr>
    </w:p>
    <w:p w14:paraId="38F7F49E" w14:textId="03896C2E" w:rsidR="00CA049C" w:rsidRDefault="00CA049C" w:rsidP="00CA049C">
      <w:pPr>
        <w:rPr>
          <w:lang w:val="fr-FR"/>
        </w:rPr>
      </w:pPr>
    </w:p>
    <w:p w14:paraId="4A07C101" w14:textId="77777777" w:rsidR="00CA049C" w:rsidRPr="00CA049C" w:rsidRDefault="00CA049C" w:rsidP="00CA049C">
      <w:pPr>
        <w:rPr>
          <w:lang w:val="fr-FR"/>
        </w:rPr>
      </w:pPr>
    </w:p>
    <w:p w14:paraId="0BD9980D" w14:textId="77777777" w:rsidR="00CA049C" w:rsidRDefault="00CA049C" w:rsidP="008E5AEA">
      <w:pPr>
        <w:pStyle w:val="Caption"/>
        <w:rPr>
          <w:lang w:val="fr-FR"/>
        </w:rPr>
      </w:pPr>
    </w:p>
    <w:p w14:paraId="647AD4CC" w14:textId="77777777" w:rsidR="00CA049C" w:rsidRDefault="00CA049C" w:rsidP="008E5AEA">
      <w:pPr>
        <w:pStyle w:val="Caption"/>
        <w:rPr>
          <w:lang w:val="fr-FR"/>
        </w:rPr>
      </w:pPr>
    </w:p>
    <w:p w14:paraId="481ED6C2" w14:textId="77777777" w:rsidR="00CA049C" w:rsidRDefault="00CA049C" w:rsidP="00E92979">
      <w:pPr>
        <w:pStyle w:val="Caption"/>
        <w:spacing w:after="0"/>
        <w:rPr>
          <w:lang w:val="fr-FR"/>
        </w:rPr>
      </w:pPr>
    </w:p>
    <w:p w14:paraId="642CB484" w14:textId="77777777" w:rsidR="00CA049C" w:rsidRDefault="00CA049C" w:rsidP="00E92979">
      <w:pPr>
        <w:pStyle w:val="Caption"/>
        <w:spacing w:after="0"/>
        <w:rPr>
          <w:lang w:val="fr-FR"/>
        </w:rPr>
      </w:pPr>
    </w:p>
    <w:p w14:paraId="094153D3" w14:textId="77777777" w:rsidR="00CA049C" w:rsidRDefault="00CA049C" w:rsidP="00E92979">
      <w:pPr>
        <w:pStyle w:val="Caption"/>
        <w:spacing w:after="0"/>
        <w:rPr>
          <w:lang w:val="fr-FR"/>
        </w:rPr>
      </w:pPr>
    </w:p>
    <w:p w14:paraId="18BF8536" w14:textId="6136E1B9" w:rsidR="00E92979" w:rsidRPr="00E92979" w:rsidRDefault="00F93D1D" w:rsidP="00B34F59">
      <w:pPr>
        <w:rPr>
          <w:color w:val="4F81BD" w:themeColor="accent1"/>
          <w:sz w:val="18"/>
          <w:szCs w:val="18"/>
          <w:lang w:val="fr-FR"/>
        </w:rPr>
      </w:pPr>
      <w:r>
        <w:rPr>
          <w:color w:val="4F81BD" w:themeColor="accent1"/>
          <w:sz w:val="18"/>
          <w:szCs w:val="18"/>
          <w:lang w:val="fr-FR"/>
        </w:rPr>
        <w:t xml:space="preserve">           </w:t>
      </w:r>
      <w:r w:rsidR="00E92979" w:rsidRPr="00E92979">
        <w:rPr>
          <w:color w:val="4F81BD" w:themeColor="accent1"/>
          <w:sz w:val="18"/>
          <w:szCs w:val="18"/>
          <w:lang w:val="fr-FR"/>
        </w:rPr>
        <w:t>Mieux                                                                                   Année</w:t>
      </w:r>
      <w:r w:rsidR="00E92979">
        <w:rPr>
          <w:color w:val="4F81BD" w:themeColor="accent1"/>
          <w:sz w:val="18"/>
          <w:szCs w:val="18"/>
          <w:lang w:val="fr-FR"/>
        </w:rPr>
        <w:t xml:space="preserve">                     </w:t>
      </w:r>
      <w:r w:rsidR="00B34F59">
        <w:rPr>
          <w:color w:val="4F81BD" w:themeColor="accent1"/>
          <w:sz w:val="18"/>
          <w:szCs w:val="18"/>
          <w:lang w:val="fr-FR"/>
        </w:rPr>
        <w:t xml:space="preserve">      </w:t>
      </w:r>
      <w:r>
        <w:rPr>
          <w:color w:val="4F81BD" w:themeColor="accent1"/>
          <w:sz w:val="18"/>
          <w:szCs w:val="18"/>
          <w:lang w:val="fr-FR"/>
        </w:rPr>
        <w:t xml:space="preserve">                 </w:t>
      </w:r>
      <w:r w:rsidR="00B34F59">
        <w:rPr>
          <w:color w:val="4F81BD" w:themeColor="accent1"/>
          <w:sz w:val="18"/>
          <w:szCs w:val="18"/>
          <w:lang w:val="fr-FR"/>
        </w:rPr>
        <w:t xml:space="preserve">       </w:t>
      </w:r>
      <w:r w:rsidR="00E92979">
        <w:rPr>
          <w:color w:val="4F81BD" w:themeColor="accent1"/>
          <w:sz w:val="18"/>
          <w:szCs w:val="18"/>
          <w:lang w:val="fr-FR"/>
        </w:rPr>
        <w:t xml:space="preserve"> </w:t>
      </w:r>
      <w:r w:rsidR="00E92979" w:rsidRPr="00E92979">
        <w:rPr>
          <w:color w:val="4F81BD" w:themeColor="accent1"/>
          <w:sz w:val="18"/>
          <w:szCs w:val="18"/>
          <w:lang w:val="fr-FR"/>
        </w:rPr>
        <w:t>Espèces de l’AEWA</w:t>
      </w:r>
      <w:r w:rsidR="00E92979" w:rsidRPr="00E92979">
        <w:rPr>
          <w:color w:val="4F81BD" w:themeColor="accent1"/>
          <w:sz w:val="18"/>
          <w:szCs w:val="18"/>
          <w:lang w:val="fr-FR"/>
        </w:rPr>
        <w:tab/>
      </w:r>
      <w:r w:rsidR="00B34F59">
        <w:rPr>
          <w:color w:val="4F81BD" w:themeColor="accent1"/>
          <w:sz w:val="18"/>
          <w:szCs w:val="18"/>
          <w:lang w:val="fr-FR"/>
        </w:rPr>
        <w:t xml:space="preserve">                                                                                       </w:t>
      </w:r>
    </w:p>
    <w:p w14:paraId="4795E9B4" w14:textId="1BDA210E" w:rsidR="00E92979" w:rsidRPr="00B34F59" w:rsidRDefault="00F93D1D" w:rsidP="00B34F59">
      <w:pPr>
        <w:rPr>
          <w:color w:val="4F81BD" w:themeColor="accent1"/>
          <w:sz w:val="18"/>
          <w:szCs w:val="18"/>
          <w:lang w:val="fr-FR"/>
        </w:rPr>
      </w:pPr>
      <w:r>
        <w:rPr>
          <w:color w:val="4F81BD" w:themeColor="accent1"/>
          <w:sz w:val="18"/>
          <w:szCs w:val="18"/>
          <w:lang w:val="fr-FR"/>
        </w:rPr>
        <w:t xml:space="preserve">           </w:t>
      </w:r>
      <w:r w:rsidR="00E92979" w:rsidRPr="00B34F59">
        <w:rPr>
          <w:color w:val="4F81BD" w:themeColor="accent1"/>
          <w:sz w:val="18"/>
          <w:szCs w:val="18"/>
          <w:lang w:val="fr-FR"/>
        </w:rPr>
        <w:t>Pire</w:t>
      </w:r>
      <w:r w:rsidR="00B34F59" w:rsidRPr="00B34F59">
        <w:rPr>
          <w:color w:val="4F81BD" w:themeColor="accent1"/>
          <w:sz w:val="18"/>
          <w:szCs w:val="18"/>
          <w:lang w:val="fr-FR"/>
        </w:rPr>
        <w:t xml:space="preserve"> </w:t>
      </w:r>
      <w:r>
        <w:rPr>
          <w:color w:val="4F81BD" w:themeColor="accent1"/>
          <w:sz w:val="18"/>
          <w:szCs w:val="18"/>
          <w:lang w:val="fr-FR"/>
        </w:rPr>
        <w:tab/>
      </w:r>
      <w:r>
        <w:rPr>
          <w:color w:val="4F81BD" w:themeColor="accent1"/>
          <w:sz w:val="18"/>
          <w:szCs w:val="18"/>
          <w:lang w:val="fr-FR"/>
        </w:rPr>
        <w:tab/>
      </w:r>
      <w:r>
        <w:rPr>
          <w:color w:val="4F81BD" w:themeColor="accent1"/>
          <w:sz w:val="18"/>
          <w:szCs w:val="18"/>
          <w:lang w:val="fr-FR"/>
        </w:rPr>
        <w:tab/>
      </w:r>
      <w:r>
        <w:rPr>
          <w:color w:val="4F81BD" w:themeColor="accent1"/>
          <w:sz w:val="18"/>
          <w:szCs w:val="18"/>
          <w:lang w:val="fr-FR"/>
        </w:rPr>
        <w:tab/>
      </w:r>
      <w:r>
        <w:rPr>
          <w:color w:val="4F81BD" w:themeColor="accent1"/>
          <w:sz w:val="18"/>
          <w:szCs w:val="18"/>
          <w:lang w:val="fr-FR"/>
        </w:rPr>
        <w:tab/>
      </w:r>
      <w:r>
        <w:rPr>
          <w:color w:val="4F81BD" w:themeColor="accent1"/>
          <w:sz w:val="18"/>
          <w:szCs w:val="18"/>
          <w:lang w:val="fr-FR"/>
        </w:rPr>
        <w:tab/>
      </w:r>
      <w:r>
        <w:rPr>
          <w:color w:val="4F81BD" w:themeColor="accent1"/>
          <w:sz w:val="18"/>
          <w:szCs w:val="18"/>
          <w:lang w:val="fr-FR"/>
        </w:rPr>
        <w:tab/>
        <w:t xml:space="preserve">                                       </w:t>
      </w:r>
      <w:r w:rsidR="00B34F59" w:rsidRPr="00B34F59">
        <w:rPr>
          <w:color w:val="4F81BD" w:themeColor="accent1"/>
          <w:sz w:val="18"/>
          <w:szCs w:val="18"/>
          <w:lang w:val="fr-FR"/>
        </w:rPr>
        <w:t>Toutes les espèces</w:t>
      </w:r>
    </w:p>
    <w:p w14:paraId="1D3BC2B7" w14:textId="46D167AF" w:rsidR="00E92979" w:rsidRPr="00B34F59" w:rsidRDefault="00F93D1D" w:rsidP="00B34F59">
      <w:pPr>
        <w:rPr>
          <w:color w:val="4F81BD" w:themeColor="accent1"/>
          <w:sz w:val="18"/>
          <w:szCs w:val="18"/>
          <w:lang w:val="fr-FR"/>
        </w:rPr>
      </w:pPr>
      <w:r>
        <w:rPr>
          <w:color w:val="4F81BD" w:themeColor="accent1"/>
          <w:sz w:val="18"/>
          <w:szCs w:val="18"/>
          <w:lang w:val="fr-FR"/>
        </w:rPr>
        <w:t xml:space="preserve">       </w:t>
      </w:r>
      <w:r w:rsidR="00D42FBA">
        <w:rPr>
          <w:color w:val="4F81BD" w:themeColor="accent1"/>
          <w:sz w:val="18"/>
          <w:szCs w:val="18"/>
          <w:lang w:val="fr-FR"/>
        </w:rPr>
        <w:t xml:space="preserve">   </w:t>
      </w:r>
      <w:r>
        <w:rPr>
          <w:color w:val="4F81BD" w:themeColor="accent1"/>
          <w:sz w:val="18"/>
          <w:szCs w:val="18"/>
          <w:lang w:val="fr-FR"/>
        </w:rPr>
        <w:t xml:space="preserve"> </w:t>
      </w:r>
      <w:r w:rsidR="00B34F59" w:rsidRPr="00B34F59">
        <w:rPr>
          <w:color w:val="4F81BD" w:themeColor="accent1"/>
          <w:sz w:val="18"/>
          <w:szCs w:val="18"/>
          <w:lang w:val="fr-FR"/>
        </w:rPr>
        <w:t>I</w:t>
      </w:r>
      <w:r w:rsidR="00E92979" w:rsidRPr="00B34F59">
        <w:rPr>
          <w:color w:val="4F81BD" w:themeColor="accent1"/>
          <w:sz w:val="18"/>
          <w:szCs w:val="18"/>
          <w:lang w:val="fr-FR"/>
        </w:rPr>
        <w:t>ndice de la Liste rouge de la survie des espèces</w:t>
      </w:r>
    </w:p>
    <w:p w14:paraId="439E334B" w14:textId="77777777" w:rsidR="00CA049C" w:rsidRDefault="00CA049C" w:rsidP="00E92979">
      <w:pPr>
        <w:pStyle w:val="Caption"/>
        <w:spacing w:after="0"/>
        <w:ind w:left="284" w:hanging="284"/>
        <w:rPr>
          <w:lang w:val="fr-FR"/>
        </w:rPr>
      </w:pPr>
    </w:p>
    <w:p w14:paraId="3DA135FB" w14:textId="4124F375" w:rsidR="008E5AEA" w:rsidRPr="007C275D" w:rsidRDefault="008E5AEA" w:rsidP="008E5AEA">
      <w:pPr>
        <w:pStyle w:val="Caption"/>
        <w:rPr>
          <w:lang w:val="fr-FR"/>
        </w:rPr>
      </w:pPr>
      <w:r>
        <w:rPr>
          <w:lang w:val="fr-FR"/>
        </w:rPr>
        <w:t xml:space="preserve">Figure 30. Changement de l’Indice Liste rouge entre 1988 et 2016 de toutes les espèces d’oiseau (ligne bleue) et des espèces figurant à l’annexe 2 de l’AEWA (ligne orange) </w:t>
      </w:r>
    </w:p>
    <w:p w14:paraId="6CA0B985" w14:textId="17E0258F" w:rsidR="008E5AEA" w:rsidRPr="007C275D" w:rsidRDefault="008E5AEA" w:rsidP="008E5AEA">
      <w:pPr>
        <w:rPr>
          <w:lang w:val="fr-FR"/>
        </w:rPr>
      </w:pPr>
      <w:r w:rsidRPr="007C275D">
        <w:rPr>
          <w:color w:val="auto"/>
          <w:lang w:val="fr-FR"/>
        </w:rPr>
        <w:br w:type="page"/>
      </w:r>
    </w:p>
    <w:p w14:paraId="6CFA0D43" w14:textId="77777777" w:rsidR="008E5AEA" w:rsidRPr="007C275D" w:rsidRDefault="008E5AEA" w:rsidP="008E5AEA">
      <w:pPr>
        <w:pStyle w:val="Heading3"/>
        <w:rPr>
          <w:lang w:val="fr-FR"/>
        </w:rPr>
      </w:pPr>
      <w:bookmarkStart w:id="96" w:name="_Toc517262038"/>
      <w:r>
        <w:rPr>
          <w:rFonts w:ascii="Times New Roman" w:eastAsia="Times New Roman" w:hAnsi="Times New Roman" w:cs="Times New Roman"/>
          <w:lang w:val="fr-FR"/>
        </w:rPr>
        <w:lastRenderedPageBreak/>
        <w:t>G.6 20 % des espèces menacées et Quasi menacées ont été reclassées dans des catégories de menace inférieures.</w:t>
      </w:r>
      <w:bookmarkEnd w:id="96"/>
    </w:p>
    <w:p w14:paraId="4FDBBD8C" w14:textId="77777777" w:rsidR="008E5AEA" w:rsidRPr="007C275D" w:rsidRDefault="008E5AEA" w:rsidP="008E5AEA">
      <w:pPr>
        <w:rPr>
          <w:sz w:val="20"/>
          <w:lang w:val="fr-FR"/>
        </w:rPr>
      </w:pPr>
    </w:p>
    <w:p w14:paraId="3C038797" w14:textId="77777777" w:rsidR="008E5AEA" w:rsidRPr="007C275D" w:rsidRDefault="008E5AEA" w:rsidP="008E5AEA">
      <w:pPr>
        <w:jc w:val="both"/>
        <w:rPr>
          <w:lang w:val="fr-FR"/>
        </w:rPr>
      </w:pPr>
      <w:r>
        <w:rPr>
          <w:lang w:val="fr-FR"/>
        </w:rPr>
        <w:t xml:space="preserve">Le nombre d’espèces mondialement menacées et quasi menacées figurant à l’annexe 2 de l’Accord a augmenté, passant de 37 en 2008 à 52 en 2017 (figure 31). Ainsi, </w:t>
      </w:r>
      <w:r>
        <w:rPr>
          <w:b/>
          <w:lang w:val="fr-FR"/>
        </w:rPr>
        <w:t>cet objectif n’a pas été atteint</w:t>
      </w:r>
      <w:r>
        <w:rPr>
          <w:lang w:val="fr-FR"/>
        </w:rPr>
        <w:t>.</w:t>
      </w:r>
      <w:r w:rsidRPr="007C275D">
        <w:rPr>
          <w:lang w:val="fr-FR"/>
        </w:rPr>
        <w:t xml:space="preserve"> </w:t>
      </w:r>
    </w:p>
    <w:p w14:paraId="6E757CA0" w14:textId="77777777" w:rsidR="008E5AEA" w:rsidRPr="007C275D" w:rsidRDefault="008E5AEA" w:rsidP="008E5AEA">
      <w:pPr>
        <w:rPr>
          <w:lang w:val="fr-FR"/>
        </w:rPr>
      </w:pPr>
    </w:p>
    <w:p w14:paraId="2C3AFEFC" w14:textId="77777777" w:rsidR="008E5AEA" w:rsidRPr="007C275D" w:rsidRDefault="008E5AEA" w:rsidP="008E5AEA">
      <w:pPr>
        <w:jc w:val="both"/>
        <w:rPr>
          <w:lang w:val="fr-FR"/>
        </w:rPr>
      </w:pPr>
      <w:r>
        <w:rPr>
          <w:lang w:val="fr-FR"/>
        </w:rPr>
        <w:t>Une augmentation importante du nombre d’espèces mondialement menacées et quasi menacées s’est produite entre la 6</w:t>
      </w:r>
      <w:r>
        <w:rPr>
          <w:vertAlign w:val="superscript"/>
          <w:lang w:val="fr-FR"/>
        </w:rPr>
        <w:t>ème</w:t>
      </w:r>
      <w:r>
        <w:rPr>
          <w:lang w:val="fr-FR"/>
        </w:rPr>
        <w:t xml:space="preserve"> et la 7</w:t>
      </w:r>
      <w:r>
        <w:rPr>
          <w:vertAlign w:val="superscript"/>
          <w:lang w:val="fr-FR"/>
        </w:rPr>
        <w:t>ème</w:t>
      </w:r>
      <w:r>
        <w:rPr>
          <w:lang w:val="fr-FR"/>
        </w:rPr>
        <w:t xml:space="preserve"> édition du Rapport sur l’état de conservation de l’AEWA, basée en grande partie sur les résultats de la Liste rouge des oiseaux d’Europe (BirdLife International 2014). </w:t>
      </w:r>
    </w:p>
    <w:p w14:paraId="6E54E2EF" w14:textId="77777777" w:rsidR="008E5AEA" w:rsidRPr="007C275D" w:rsidRDefault="008E5AEA" w:rsidP="008E5AEA">
      <w:pPr>
        <w:rPr>
          <w:lang w:val="fr-FR"/>
        </w:rPr>
      </w:pPr>
    </w:p>
    <w:p w14:paraId="4992DF6A" w14:textId="5D534AC9" w:rsidR="008E5AEA" w:rsidRDefault="008E5AEA" w:rsidP="008E5AEA">
      <w:pPr>
        <w:keepNext/>
      </w:pPr>
      <w:r>
        <w:rPr>
          <w:noProof/>
          <w:lang w:val="nl-NL" w:eastAsia="nl-NL"/>
        </w:rPr>
        <w:drawing>
          <wp:inline distT="0" distB="0" distL="0" distR="0" wp14:anchorId="2D7978CB" wp14:editId="60A60D26">
            <wp:extent cx="5278120" cy="35248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120" cy="3524885"/>
                    </a:xfrm>
                    <a:prstGeom prst="rect">
                      <a:avLst/>
                    </a:prstGeom>
                    <a:noFill/>
                    <a:ln>
                      <a:noFill/>
                    </a:ln>
                  </pic:spPr>
                </pic:pic>
              </a:graphicData>
            </a:graphic>
          </wp:inline>
        </w:drawing>
      </w:r>
    </w:p>
    <w:p w14:paraId="2291B143" w14:textId="1CD37698" w:rsidR="008E5AEA" w:rsidRDefault="008E5AEA" w:rsidP="008E5AEA">
      <w:pPr>
        <w:pStyle w:val="Caption"/>
      </w:pPr>
    </w:p>
    <w:p w14:paraId="34ECAB33" w14:textId="77777777" w:rsidR="00F93D1D" w:rsidRPr="00F93D1D" w:rsidRDefault="00F93D1D" w:rsidP="00F93D1D">
      <w:pPr>
        <w:pStyle w:val="ListParagraph"/>
        <w:numPr>
          <w:ilvl w:val="0"/>
          <w:numId w:val="39"/>
        </w:numPr>
        <w:tabs>
          <w:tab w:val="left" w:pos="3686"/>
          <w:tab w:val="left" w:pos="6096"/>
          <w:tab w:val="left" w:pos="7088"/>
        </w:tabs>
        <w:rPr>
          <w:color w:val="4F81BD" w:themeColor="accent1"/>
          <w:sz w:val="18"/>
          <w:szCs w:val="18"/>
          <w:lang w:val="fr-FR"/>
        </w:rPr>
      </w:pPr>
      <w:r w:rsidRPr="00F93D1D">
        <w:rPr>
          <w:color w:val="4F81BD" w:themeColor="accent1"/>
          <w:sz w:val="18"/>
          <w:szCs w:val="18"/>
          <w:lang w:val="fr-FR"/>
        </w:rPr>
        <w:t>En danger critique d’extinction</w:t>
      </w:r>
    </w:p>
    <w:p w14:paraId="76708E87" w14:textId="77777777" w:rsidR="00F93D1D" w:rsidRPr="00F93D1D" w:rsidRDefault="00F93D1D" w:rsidP="00F93D1D">
      <w:pPr>
        <w:pStyle w:val="ListParagraph"/>
        <w:numPr>
          <w:ilvl w:val="0"/>
          <w:numId w:val="39"/>
        </w:numPr>
        <w:tabs>
          <w:tab w:val="left" w:pos="3686"/>
          <w:tab w:val="left" w:pos="6096"/>
          <w:tab w:val="left" w:pos="7088"/>
        </w:tabs>
        <w:rPr>
          <w:color w:val="4F81BD" w:themeColor="accent1"/>
          <w:sz w:val="18"/>
          <w:szCs w:val="18"/>
          <w:lang w:val="fr-FR"/>
        </w:rPr>
      </w:pPr>
      <w:r w:rsidRPr="00F93D1D">
        <w:rPr>
          <w:color w:val="4F81BD" w:themeColor="accent1"/>
          <w:sz w:val="18"/>
          <w:szCs w:val="18"/>
          <w:lang w:val="fr-FR"/>
        </w:rPr>
        <w:t>En danger</w:t>
      </w:r>
    </w:p>
    <w:p w14:paraId="5718CA6D" w14:textId="77777777" w:rsidR="00F93D1D" w:rsidRPr="00F93D1D" w:rsidRDefault="00F93D1D" w:rsidP="00F93D1D">
      <w:pPr>
        <w:pStyle w:val="ListParagraph"/>
        <w:numPr>
          <w:ilvl w:val="0"/>
          <w:numId w:val="39"/>
        </w:numPr>
        <w:tabs>
          <w:tab w:val="left" w:pos="3686"/>
          <w:tab w:val="left" w:pos="6096"/>
          <w:tab w:val="left" w:pos="7088"/>
        </w:tabs>
        <w:rPr>
          <w:color w:val="4F81BD" w:themeColor="accent1"/>
          <w:sz w:val="18"/>
          <w:szCs w:val="18"/>
          <w:lang w:val="fr-FR"/>
        </w:rPr>
      </w:pPr>
      <w:r w:rsidRPr="00F93D1D">
        <w:rPr>
          <w:color w:val="4F81BD" w:themeColor="accent1"/>
          <w:sz w:val="18"/>
          <w:szCs w:val="18"/>
          <w:lang w:val="fr-FR"/>
        </w:rPr>
        <w:t>Vulnérable</w:t>
      </w:r>
    </w:p>
    <w:p w14:paraId="6D1A9B53" w14:textId="77777777" w:rsidR="00F93D1D" w:rsidRPr="00F93D1D" w:rsidRDefault="00F93D1D" w:rsidP="00F93D1D">
      <w:pPr>
        <w:pStyle w:val="ListParagraph"/>
        <w:numPr>
          <w:ilvl w:val="0"/>
          <w:numId w:val="39"/>
        </w:numPr>
        <w:tabs>
          <w:tab w:val="left" w:pos="3686"/>
          <w:tab w:val="left" w:pos="6096"/>
          <w:tab w:val="left" w:pos="7088"/>
        </w:tabs>
        <w:rPr>
          <w:color w:val="4F81BD" w:themeColor="accent1"/>
          <w:sz w:val="18"/>
          <w:szCs w:val="18"/>
          <w:lang w:val="fr-FR"/>
        </w:rPr>
      </w:pPr>
      <w:r w:rsidRPr="00F93D1D">
        <w:rPr>
          <w:color w:val="4F81BD" w:themeColor="accent1"/>
          <w:sz w:val="18"/>
          <w:szCs w:val="18"/>
          <w:lang w:val="fr-FR"/>
        </w:rPr>
        <w:t>Quasi menacé</w:t>
      </w:r>
    </w:p>
    <w:p w14:paraId="30C5B64A" w14:textId="77777777" w:rsidR="00F93D1D" w:rsidRPr="00F93D1D" w:rsidRDefault="00F93D1D" w:rsidP="00F93D1D">
      <w:pPr>
        <w:pStyle w:val="ListParagraph"/>
        <w:numPr>
          <w:ilvl w:val="0"/>
          <w:numId w:val="39"/>
        </w:numPr>
        <w:tabs>
          <w:tab w:val="left" w:pos="3686"/>
          <w:tab w:val="left" w:pos="6096"/>
          <w:tab w:val="left" w:pos="7088"/>
        </w:tabs>
        <w:rPr>
          <w:color w:val="4F81BD" w:themeColor="accent1"/>
          <w:sz w:val="18"/>
          <w:szCs w:val="18"/>
          <w:lang w:val="fr-FR"/>
        </w:rPr>
      </w:pPr>
      <w:r w:rsidRPr="00F93D1D">
        <w:rPr>
          <w:color w:val="4F81BD" w:themeColor="accent1"/>
          <w:sz w:val="18"/>
          <w:szCs w:val="18"/>
          <w:lang w:val="fr-FR"/>
        </w:rPr>
        <w:t>Préoccupation mineure</w:t>
      </w:r>
    </w:p>
    <w:p w14:paraId="777970BE" w14:textId="77777777" w:rsidR="00F93D1D" w:rsidRPr="00F93D1D" w:rsidRDefault="00F93D1D" w:rsidP="00F93D1D"/>
    <w:p w14:paraId="4A4A2351" w14:textId="715408AA" w:rsidR="008E5AEA" w:rsidRPr="007C275D" w:rsidRDefault="008E5AEA" w:rsidP="008E5AEA">
      <w:pPr>
        <w:pStyle w:val="Caption"/>
        <w:rPr>
          <w:lang w:val="fr-FR"/>
        </w:rPr>
      </w:pPr>
      <w:r>
        <w:rPr>
          <w:lang w:val="fr-FR"/>
        </w:rPr>
        <w:t>Figure 31. Changements intervenus dans le nombre des espèces mondialement menacées et quasi menacées figurant à l’annexe 2 de l’AEWA</w:t>
      </w:r>
    </w:p>
    <w:p w14:paraId="1939BB50" w14:textId="77777777" w:rsidR="008E5AEA" w:rsidRPr="007C275D" w:rsidRDefault="008E5AEA" w:rsidP="008E5AEA">
      <w:pPr>
        <w:jc w:val="both"/>
        <w:rPr>
          <w:lang w:val="fr-FR"/>
        </w:rPr>
      </w:pPr>
      <w:r>
        <w:rPr>
          <w:lang w:val="fr-FR"/>
        </w:rPr>
        <w:t>Pendant la durée du Plan stratégique 2009-2018 de l’AEWA, seules deux populations sont passés dans des catégories inférieures pour de véritables raisons :</w:t>
      </w:r>
      <w:r w:rsidRPr="007C275D">
        <w:rPr>
          <w:lang w:val="fr-FR"/>
        </w:rPr>
        <w:t xml:space="preserve"> </w:t>
      </w:r>
    </w:p>
    <w:p w14:paraId="56D39A38" w14:textId="77777777" w:rsidR="008E5AEA" w:rsidRPr="007C275D" w:rsidRDefault="008E5AEA" w:rsidP="008E5AEA">
      <w:pPr>
        <w:pStyle w:val="ListParagraph"/>
        <w:numPr>
          <w:ilvl w:val="0"/>
          <w:numId w:val="9"/>
        </w:numPr>
        <w:rPr>
          <w:lang w:val="fr-FR"/>
        </w:rPr>
      </w:pPr>
      <w:r>
        <w:rPr>
          <w:lang w:val="fr-FR"/>
        </w:rPr>
        <w:t xml:space="preserve">Pélican frisé </w:t>
      </w:r>
      <w:r>
        <w:rPr>
          <w:i/>
          <w:lang w:val="fr-FR"/>
        </w:rPr>
        <w:t>Pelecanus crispus</w:t>
      </w:r>
      <w:r>
        <w:rPr>
          <w:lang w:val="fr-FR"/>
        </w:rPr>
        <w:t> : passé de Vulnérable à Quasi menacé</w:t>
      </w:r>
    </w:p>
    <w:p w14:paraId="0ED02BFD" w14:textId="77777777" w:rsidR="008E5AEA" w:rsidRPr="007C275D" w:rsidRDefault="008E5AEA" w:rsidP="008E5AEA">
      <w:pPr>
        <w:pStyle w:val="ListParagraph"/>
        <w:numPr>
          <w:ilvl w:val="0"/>
          <w:numId w:val="9"/>
        </w:numPr>
        <w:rPr>
          <w:lang w:val="fr-FR"/>
        </w:rPr>
      </w:pPr>
      <w:r>
        <w:rPr>
          <w:lang w:val="fr-FR"/>
        </w:rPr>
        <w:t xml:space="preserve">Goéland d’Audouin </w:t>
      </w:r>
      <w:r>
        <w:rPr>
          <w:i/>
          <w:lang w:val="fr-FR"/>
        </w:rPr>
        <w:t>Larus audouinii</w:t>
      </w:r>
      <w:r>
        <w:rPr>
          <w:lang w:val="fr-FR"/>
        </w:rPr>
        <w:t> : passé de Quasi menacé à Préoccupation mineure</w:t>
      </w:r>
    </w:p>
    <w:p w14:paraId="633453FD" w14:textId="77777777" w:rsidR="008E5AEA" w:rsidRPr="007C275D" w:rsidRDefault="008E5AEA" w:rsidP="008E5AEA">
      <w:pPr>
        <w:rPr>
          <w:lang w:val="fr-FR"/>
        </w:rPr>
      </w:pPr>
    </w:p>
    <w:p w14:paraId="6986EAE6" w14:textId="77777777" w:rsidR="008E5AEA" w:rsidRPr="007C275D" w:rsidRDefault="008E5AEA" w:rsidP="008E5AEA">
      <w:pPr>
        <w:rPr>
          <w:lang w:val="fr-FR"/>
        </w:rPr>
      </w:pPr>
    </w:p>
    <w:p w14:paraId="77EE5929" w14:textId="77777777" w:rsidR="008E5AEA" w:rsidRDefault="008E5AEA" w:rsidP="008E5AEA">
      <w:pPr>
        <w:rPr>
          <w:b/>
          <w:sz w:val="26"/>
          <w:lang w:val="fr-FR"/>
        </w:rPr>
      </w:pPr>
      <w:r>
        <w:rPr>
          <w:color w:val="auto"/>
          <w:lang w:val="fr-FR"/>
        </w:rPr>
        <w:br w:type="page"/>
      </w:r>
    </w:p>
    <w:p w14:paraId="0DDF7169" w14:textId="77777777" w:rsidR="008E5AEA" w:rsidRPr="007C275D" w:rsidRDefault="008E5AEA" w:rsidP="008E5AEA">
      <w:pPr>
        <w:pStyle w:val="Heading3"/>
        <w:jc w:val="both"/>
        <w:rPr>
          <w:lang w:val="fr-FR"/>
        </w:rPr>
      </w:pPr>
      <w:bookmarkStart w:id="97" w:name="_Toc517262039"/>
      <w:r>
        <w:rPr>
          <w:rFonts w:ascii="Times New Roman" w:eastAsia="Times New Roman" w:hAnsi="Times New Roman" w:cs="Times New Roman"/>
          <w:lang w:val="fr-FR"/>
        </w:rPr>
        <w:lastRenderedPageBreak/>
        <w:t>G.7 Le nombre de populations figurant dans la catégorie 1, colonne A, a diminué (réduction de 20 %).</w:t>
      </w:r>
      <w:bookmarkEnd w:id="97"/>
    </w:p>
    <w:p w14:paraId="500E71D4" w14:textId="77777777" w:rsidR="008E5AEA" w:rsidRPr="007C275D" w:rsidRDefault="008E5AEA" w:rsidP="008E5AEA">
      <w:pPr>
        <w:rPr>
          <w:lang w:val="fr-FR"/>
        </w:rPr>
      </w:pPr>
    </w:p>
    <w:p w14:paraId="5531C40E" w14:textId="77777777" w:rsidR="008E5AEA" w:rsidRPr="007C275D" w:rsidRDefault="008E5AEA" w:rsidP="008E5AEA">
      <w:pPr>
        <w:rPr>
          <w:b/>
          <w:lang w:val="fr-FR"/>
        </w:rPr>
      </w:pPr>
      <w:r>
        <w:rPr>
          <w:lang w:val="fr-FR"/>
        </w:rPr>
        <w:t xml:space="preserve">Le nombre de populations figurant dans la catégorie 1 de la colonne A a augmenté, passant de 97 au début du Plan stratégique de l’AEWA en 2008 (MOP4) à 122 en 2018 (MOP7), c.’est-à-dire la fin de la période couverte par ce plan (figure 32). Ainsi, </w:t>
      </w:r>
      <w:r>
        <w:rPr>
          <w:b/>
          <w:lang w:val="fr-FR"/>
        </w:rPr>
        <w:t>l’objectif de réduction du nombre de populations figurant dans la catégorie 1 de la colonne A n’a pas été atteint</w:t>
      </w:r>
      <w:r>
        <w:rPr>
          <w:lang w:val="fr-FR"/>
        </w:rPr>
        <w:t>.</w:t>
      </w:r>
      <w:r>
        <w:rPr>
          <w:b/>
          <w:lang w:val="fr-FR"/>
        </w:rPr>
        <w:t xml:space="preserve"> </w:t>
      </w:r>
    </w:p>
    <w:p w14:paraId="713B3875" w14:textId="77777777" w:rsidR="008E5AEA" w:rsidRPr="007C275D" w:rsidRDefault="008E5AEA" w:rsidP="008E5AEA">
      <w:pPr>
        <w:rPr>
          <w:lang w:val="fr-FR"/>
        </w:rPr>
      </w:pPr>
    </w:p>
    <w:p w14:paraId="07F1C583" w14:textId="5480F6ED" w:rsidR="008E5AEA" w:rsidRDefault="008E5AEA" w:rsidP="008E5AEA">
      <w:r>
        <w:rPr>
          <w:noProof/>
          <w:lang w:val="nl-NL" w:eastAsia="nl-NL"/>
        </w:rPr>
        <w:drawing>
          <wp:inline distT="0" distB="0" distL="0" distR="0" wp14:anchorId="281BDEB6" wp14:editId="373A594F">
            <wp:extent cx="5265420" cy="327914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5420" cy="3279140"/>
                    </a:xfrm>
                    <a:prstGeom prst="rect">
                      <a:avLst/>
                    </a:prstGeom>
                    <a:noFill/>
                    <a:ln>
                      <a:noFill/>
                    </a:ln>
                  </pic:spPr>
                </pic:pic>
              </a:graphicData>
            </a:graphic>
          </wp:inline>
        </w:drawing>
      </w:r>
    </w:p>
    <w:p w14:paraId="6132E05F" w14:textId="77777777" w:rsidR="008E5AEA" w:rsidRDefault="008E5AEA" w:rsidP="008E5AEA">
      <w:pPr>
        <w:pStyle w:val="Caption"/>
      </w:pPr>
    </w:p>
    <w:p w14:paraId="77D675AC" w14:textId="77777777" w:rsidR="008E5AEA" w:rsidRPr="007C275D" w:rsidRDefault="008E5AEA" w:rsidP="008E5AEA">
      <w:pPr>
        <w:pStyle w:val="Caption"/>
        <w:rPr>
          <w:b w:val="0"/>
          <w:lang w:val="fr-FR"/>
        </w:rPr>
      </w:pPr>
      <w:r>
        <w:rPr>
          <w:lang w:val="fr-FR"/>
        </w:rPr>
        <w:t xml:space="preserve">Figure 32. Nombre de populations figurant dans la catégorie 1 de la colonne A, sur la base des listes des Résolutions de la MOP s’y rapportant ou des changements proposés dans le cas de la MOP7, avec l’adoption d’amendements aux annexes de l’Accord. </w:t>
      </w:r>
      <w:r>
        <w:rPr>
          <w:b w:val="0"/>
          <w:lang w:val="fr-FR"/>
        </w:rPr>
        <w:t>Ce tableau inclut toutes les populations.</w:t>
      </w:r>
      <w:r w:rsidRPr="007C275D">
        <w:rPr>
          <w:b w:val="0"/>
          <w:lang w:val="fr-FR"/>
        </w:rPr>
        <w:t xml:space="preserve"> </w:t>
      </w:r>
    </w:p>
    <w:p w14:paraId="796D4D87" w14:textId="77777777" w:rsidR="008E5AEA" w:rsidRPr="007C275D" w:rsidRDefault="008E5AEA" w:rsidP="008E5AEA">
      <w:pPr>
        <w:jc w:val="both"/>
        <w:rPr>
          <w:lang w:val="fr-FR"/>
        </w:rPr>
      </w:pPr>
      <w:r>
        <w:rPr>
          <w:lang w:val="fr-FR"/>
        </w:rPr>
        <w:t xml:space="preserve">Le nombre de populations dont les définitions n’ont pas changé au cours de cette période a augmenté, passant de 94 à 115. Vingt-huit populations ont été ajoutées à la catégorie 1 de la colonne A et sept ont été retirées. </w:t>
      </w:r>
    </w:p>
    <w:p w14:paraId="71443298" w14:textId="77777777" w:rsidR="008E5AEA" w:rsidRPr="007C275D" w:rsidRDefault="008E5AEA" w:rsidP="008E5AEA">
      <w:pPr>
        <w:rPr>
          <w:lang w:val="fr-FR"/>
        </w:rPr>
      </w:pPr>
    </w:p>
    <w:p w14:paraId="6055E97A" w14:textId="77777777" w:rsidR="008E5AEA" w:rsidRPr="007C275D" w:rsidRDefault="008E5AEA" w:rsidP="008E5AEA">
      <w:pPr>
        <w:jc w:val="both"/>
        <w:rPr>
          <w:lang w:val="fr-FR"/>
        </w:rPr>
      </w:pPr>
      <w:r>
        <w:rPr>
          <w:lang w:val="fr-FR"/>
        </w:rPr>
        <w:t>Dix-sept ont été ajoutées à la catégorie 1b du fait que l’espèce a été classée dans la catégorie Mondialement menacée sur la Liste rouge de l’UICN. 11 populations ont été ajoutées à la catégorie 1c du fait des estimations de taille de populations inférieures aux précédentes (figure 33).</w:t>
      </w:r>
    </w:p>
    <w:p w14:paraId="5AEADBB0" w14:textId="77777777" w:rsidR="008E5AEA" w:rsidRPr="007C275D" w:rsidRDefault="008E5AEA" w:rsidP="008E5AEA">
      <w:pPr>
        <w:rPr>
          <w:lang w:val="fr-FR"/>
        </w:rPr>
      </w:pPr>
    </w:p>
    <w:p w14:paraId="7EFADE21" w14:textId="77777777" w:rsidR="008E5AEA" w:rsidRPr="007C275D" w:rsidRDefault="008E5AEA" w:rsidP="008E5AEA">
      <w:pPr>
        <w:jc w:val="both"/>
        <w:rPr>
          <w:lang w:val="fr-FR"/>
        </w:rPr>
      </w:pPr>
      <w:r>
        <w:rPr>
          <w:lang w:val="fr-FR"/>
        </w:rPr>
        <w:t xml:space="preserve">Seulement deux des sept populations (Râle des genêts </w:t>
      </w:r>
      <w:r>
        <w:rPr>
          <w:i/>
          <w:lang w:val="fr-FR"/>
        </w:rPr>
        <w:t>Crex</w:t>
      </w:r>
      <w:r>
        <w:rPr>
          <w:lang w:val="fr-FR"/>
        </w:rPr>
        <w:t xml:space="preserve"> et Goéland d’Audouin </w:t>
      </w:r>
      <w:r>
        <w:rPr>
          <w:i/>
          <w:lang w:val="fr-FR"/>
        </w:rPr>
        <w:t>Larus audouinii</w:t>
      </w:r>
      <w:r>
        <w:rPr>
          <w:lang w:val="fr-FR"/>
        </w:rPr>
        <w:t xml:space="preserve">) ont été retirées de la catégorie 1 en raison des changements de leur état de conservation au niveau mondial. Le reste des populations a été déplacé vers d’autres catégories, la plupart du temps la catégorie A2, en raison d’estimations de taille de populations plus élevées, soit du fait de l’augmentation des populations soit du fait de l’amélioration des connaissances. </w:t>
      </w:r>
    </w:p>
    <w:p w14:paraId="7928871B" w14:textId="77777777" w:rsidR="008E5AEA" w:rsidRPr="007C275D" w:rsidRDefault="008E5AEA" w:rsidP="008E5AEA">
      <w:pPr>
        <w:rPr>
          <w:lang w:val="fr-FR"/>
        </w:rPr>
      </w:pPr>
    </w:p>
    <w:p w14:paraId="22D3FF09" w14:textId="77777777" w:rsidR="008E5AEA" w:rsidRPr="007C275D" w:rsidRDefault="008E5AEA" w:rsidP="008E5AEA">
      <w:pPr>
        <w:rPr>
          <w:lang w:val="fr-FR"/>
        </w:rPr>
      </w:pPr>
    </w:p>
    <w:p w14:paraId="39EBC939" w14:textId="77777777" w:rsidR="008E5AEA" w:rsidRPr="007C275D" w:rsidRDefault="008E5AEA" w:rsidP="008E5AEA">
      <w:pPr>
        <w:rPr>
          <w:lang w:val="fr-FR"/>
        </w:rPr>
      </w:pPr>
    </w:p>
    <w:p w14:paraId="25935817" w14:textId="77777777" w:rsidR="008E5AEA" w:rsidRPr="007C275D" w:rsidRDefault="008E5AEA" w:rsidP="008E5AEA">
      <w:pPr>
        <w:rPr>
          <w:lang w:val="fr-FR"/>
        </w:rPr>
      </w:pPr>
    </w:p>
    <w:p w14:paraId="20A72FAB" w14:textId="77777777" w:rsidR="008E5AEA" w:rsidRDefault="008E5AEA" w:rsidP="008E5AEA">
      <w:pPr>
        <w:rPr>
          <w:rFonts w:ascii="Arial" w:eastAsia="Arial" w:hAnsi="Arial" w:cs="Arial"/>
          <w:b/>
          <w:sz w:val="26"/>
          <w:lang w:val="fr-FR"/>
        </w:rPr>
      </w:pPr>
      <w:r>
        <w:rPr>
          <w:color w:val="auto"/>
          <w:lang w:val="fr-FR"/>
        </w:rPr>
        <w:br w:type="page"/>
      </w:r>
    </w:p>
    <w:p w14:paraId="48DC6745" w14:textId="77777777" w:rsidR="008E5AEA" w:rsidRPr="007C275D" w:rsidRDefault="008E5AEA" w:rsidP="008E5AEA">
      <w:pPr>
        <w:pStyle w:val="Heading3"/>
        <w:rPr>
          <w:lang w:val="fr-FR"/>
        </w:rPr>
      </w:pPr>
      <w:bookmarkStart w:id="98" w:name="_Toc517262040"/>
      <w:r>
        <w:rPr>
          <w:rFonts w:ascii="Times New Roman" w:eastAsia="Times New Roman" w:hAnsi="Times New Roman" w:cs="Times New Roman"/>
          <w:lang w:val="fr-FR"/>
        </w:rPr>
        <w:lastRenderedPageBreak/>
        <w:t>G.8 Le nombre de populations figurant dans colonne A a diminué (réduction de 5 %).</w:t>
      </w:r>
      <w:bookmarkEnd w:id="98"/>
    </w:p>
    <w:p w14:paraId="4A72AC17" w14:textId="77777777" w:rsidR="008E5AEA" w:rsidRPr="007C275D" w:rsidRDefault="008E5AEA" w:rsidP="008E5AEA">
      <w:pPr>
        <w:rPr>
          <w:lang w:val="fr-FR"/>
        </w:rPr>
      </w:pPr>
    </w:p>
    <w:p w14:paraId="2C40C905" w14:textId="77777777" w:rsidR="008E5AEA" w:rsidRDefault="008E5AEA" w:rsidP="008E5AEA">
      <w:pPr>
        <w:jc w:val="both"/>
        <w:rPr>
          <w:b/>
        </w:rPr>
      </w:pPr>
      <w:r>
        <w:rPr>
          <w:lang w:val="fr-FR"/>
        </w:rPr>
        <w:t xml:space="preserve">Le nombre de populations figurant dans la colonne A a augmenté, passant de 197 au début du Plan stratégique de l’AEWA en 2008 (MOP4) à 234 en 2018 (MOP7), c.-à-d. la fin de la période couverte par ce plan (figure 33). Ainsi, </w:t>
      </w:r>
      <w:r>
        <w:rPr>
          <w:b/>
          <w:lang w:val="fr-FR"/>
        </w:rPr>
        <w:t>l’objectif n’a pas été atteint</w:t>
      </w:r>
      <w:r>
        <w:rPr>
          <w:lang w:val="fr-FR"/>
        </w:rPr>
        <w:t>.</w:t>
      </w:r>
      <w:r>
        <w:rPr>
          <w:b/>
          <w:lang w:val="fr-FR"/>
        </w:rPr>
        <w:t xml:space="preserve"> </w:t>
      </w:r>
    </w:p>
    <w:p w14:paraId="4C6C966A" w14:textId="77777777" w:rsidR="008E5AEA" w:rsidRDefault="008E5AEA" w:rsidP="008E5AEA">
      <w:pPr>
        <w:rPr>
          <w:b/>
        </w:rPr>
      </w:pPr>
    </w:p>
    <w:p w14:paraId="7CD332ED" w14:textId="2C443264" w:rsidR="008E5AEA" w:rsidRDefault="008E5AEA" w:rsidP="008E5AEA">
      <w:pPr>
        <w:keepNext/>
      </w:pPr>
      <w:r>
        <w:rPr>
          <w:noProof/>
          <w:lang w:val="nl-NL" w:eastAsia="nl-NL"/>
        </w:rPr>
        <w:drawing>
          <wp:inline distT="0" distB="0" distL="0" distR="0" wp14:anchorId="503BB339" wp14:editId="295B3D1C">
            <wp:extent cx="5265420" cy="327914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5420" cy="3279140"/>
                    </a:xfrm>
                    <a:prstGeom prst="rect">
                      <a:avLst/>
                    </a:prstGeom>
                    <a:noFill/>
                    <a:ln>
                      <a:noFill/>
                    </a:ln>
                  </pic:spPr>
                </pic:pic>
              </a:graphicData>
            </a:graphic>
          </wp:inline>
        </w:drawing>
      </w:r>
    </w:p>
    <w:p w14:paraId="4D55A6CF" w14:textId="77777777" w:rsidR="008E5AEA" w:rsidRDefault="008E5AEA" w:rsidP="008E5AEA">
      <w:pPr>
        <w:pStyle w:val="Caption"/>
      </w:pPr>
    </w:p>
    <w:p w14:paraId="69ED1EA6" w14:textId="77777777" w:rsidR="008E5AEA" w:rsidRPr="007C275D" w:rsidRDefault="008E5AEA" w:rsidP="008E5AEA">
      <w:pPr>
        <w:pStyle w:val="Caption"/>
        <w:rPr>
          <w:lang w:val="fr-FR"/>
        </w:rPr>
      </w:pPr>
      <w:r>
        <w:rPr>
          <w:lang w:val="fr-FR"/>
        </w:rPr>
        <w:t xml:space="preserve">Figure 33. Nombre de populations figurant dans la colonne A, sur la base des listes des Résolutions de la MOP s’y rapportant ou des changements proposés dans le cas de la MOP7, avec l’adoption d’amendements aux annexes de l’Accord. </w:t>
      </w:r>
      <w:r>
        <w:rPr>
          <w:b w:val="0"/>
          <w:lang w:val="fr-FR"/>
        </w:rPr>
        <w:t>Ce tableau inclut toutes les populations.</w:t>
      </w:r>
    </w:p>
    <w:p w14:paraId="48BDC323" w14:textId="77777777" w:rsidR="008E5AEA" w:rsidRPr="007C275D" w:rsidRDefault="008E5AEA" w:rsidP="008E5AEA">
      <w:pPr>
        <w:jc w:val="both"/>
        <w:rPr>
          <w:lang w:val="fr-FR"/>
        </w:rPr>
      </w:pPr>
      <w:r>
        <w:rPr>
          <w:lang w:val="fr-FR"/>
        </w:rPr>
        <w:t>Parmi les populations dont l’état peut être comparé entre le CSR4 et le CSR7, 61 ont été ajoutées à la colonne A et 28 ont été retirées de la colonne A.</w:t>
      </w:r>
    </w:p>
    <w:p w14:paraId="32F3E0B8" w14:textId="77777777" w:rsidR="008E5AEA" w:rsidRPr="007C275D" w:rsidRDefault="008E5AEA" w:rsidP="008E5AEA">
      <w:pPr>
        <w:jc w:val="both"/>
        <w:rPr>
          <w:lang w:val="fr-FR"/>
        </w:rPr>
      </w:pPr>
    </w:p>
    <w:p w14:paraId="5100C5DD" w14:textId="1DF755E1" w:rsidR="008E5AEA" w:rsidRPr="007C275D" w:rsidRDefault="008E5AEA" w:rsidP="008E5AEA">
      <w:pPr>
        <w:jc w:val="both"/>
        <w:rPr>
          <w:lang w:val="fr-FR"/>
        </w:rPr>
      </w:pPr>
      <w:r>
        <w:rPr>
          <w:lang w:val="fr-FR"/>
        </w:rPr>
        <w:t>Vingt-neuf populations ont été ajoutées à la colonne A parce qu’elles ont été inscrites dans les catégories Mondialement menacé ou Quasi menacé de la Liste rouge de l’UICN. Dans 21 cas, l</w:t>
      </w:r>
      <w:r w:rsidR="004C1E56">
        <w:rPr>
          <w:lang w:val="fr-FR"/>
        </w:rPr>
        <w:t xml:space="preserve">a population est maintenant en </w:t>
      </w:r>
      <w:r>
        <w:rPr>
          <w:lang w:val="fr-FR"/>
        </w:rPr>
        <w:t>déclin significatif à long terme. Dix populations ont été ajoutées à la colonne A parce que leurs dernières estimations de taille de population étaient descendues au-dessous des seuils appropriés.</w:t>
      </w:r>
      <w:r w:rsidRPr="007C275D">
        <w:rPr>
          <w:lang w:val="fr-FR"/>
        </w:rPr>
        <w:t xml:space="preserve"> </w:t>
      </w:r>
    </w:p>
    <w:p w14:paraId="25B39304" w14:textId="77777777" w:rsidR="008E5AEA" w:rsidRPr="007C275D" w:rsidRDefault="008E5AEA" w:rsidP="008E5AEA">
      <w:pPr>
        <w:jc w:val="both"/>
        <w:rPr>
          <w:lang w:val="fr-FR"/>
        </w:rPr>
      </w:pPr>
    </w:p>
    <w:p w14:paraId="751BD139" w14:textId="77777777" w:rsidR="008E5AEA" w:rsidRPr="007C275D" w:rsidRDefault="008E5AEA" w:rsidP="008E5AEA">
      <w:pPr>
        <w:jc w:val="both"/>
        <w:rPr>
          <w:lang w:val="fr-FR"/>
        </w:rPr>
      </w:pPr>
      <w:r>
        <w:rPr>
          <w:lang w:val="fr-FR"/>
        </w:rPr>
        <w:t>Treize populations ont été retirées parce qu’elles ne se trouvent plus en déclin significatif à long terme. Dans 11 cas, les estimations de population sont plus élevées. Dans quatre cas, d’autres conditions de classement dans la catégorie 3 ont cessé de s’appliquer.</w:t>
      </w:r>
    </w:p>
    <w:p w14:paraId="47367091" w14:textId="77777777" w:rsidR="008E5AEA" w:rsidRPr="007C275D" w:rsidRDefault="008E5AEA" w:rsidP="008E5AEA">
      <w:pPr>
        <w:jc w:val="both"/>
        <w:rPr>
          <w:lang w:val="fr-FR"/>
        </w:rPr>
      </w:pPr>
    </w:p>
    <w:p w14:paraId="0E894412" w14:textId="77777777" w:rsidR="008E5AEA" w:rsidRPr="007C275D" w:rsidRDefault="008E5AEA" w:rsidP="008E5AEA">
      <w:pPr>
        <w:jc w:val="both"/>
        <w:rPr>
          <w:lang w:val="fr-FR"/>
        </w:rPr>
      </w:pPr>
      <w:r>
        <w:rPr>
          <w:lang w:val="fr-FR"/>
        </w:rPr>
        <w:t xml:space="preserve">La figure 34 récapitule les changements intervenus dans le tableau 1 de l’AEWA au cours de la période couverte par le Plan stratégique 2009-2018 de l’AEWA. Bien que le nombre de populations de la colonne C soit demeuré relativement stable (164 en 2008 et 165 en 2018), le nombre de populations dans la colonne B a diminué, passant de 186 à 155, tandis que le nombre de populations figurant dans la colonne A, devant faire l’objet d’une protection rigoureuse, a augmenté, passant de 188 à 218 populations. Les populations qui ont été déplacées de la colonne C vers la colonne A sont mentionnées aux tableaux 5 et 6. Beaucoup d’espèces (autrefois) chassables sont maintenant inscrites </w:t>
      </w:r>
      <w:r>
        <w:rPr>
          <w:lang w:val="fr-FR"/>
        </w:rPr>
        <w:lastRenderedPageBreak/>
        <w:t xml:space="preserve">dans les catégories Mondialement menacé ou Quasi menacé, déclenchant des restrictions sur la chasse et touchant les chasseurs et les communautés rurales. </w:t>
      </w:r>
    </w:p>
    <w:p w14:paraId="43050E67" w14:textId="77777777" w:rsidR="008E5AEA" w:rsidRPr="007C275D" w:rsidRDefault="008E5AEA" w:rsidP="008E5AEA">
      <w:pPr>
        <w:jc w:val="both"/>
        <w:rPr>
          <w:lang w:val="fr-FR"/>
        </w:rPr>
      </w:pPr>
    </w:p>
    <w:p w14:paraId="3406512C" w14:textId="77777777" w:rsidR="008E5AEA" w:rsidRPr="007C275D" w:rsidRDefault="008E5AEA" w:rsidP="008E5AEA">
      <w:pPr>
        <w:jc w:val="both"/>
        <w:rPr>
          <w:lang w:val="fr-FR"/>
        </w:rPr>
      </w:pPr>
      <w:r>
        <w:rPr>
          <w:lang w:val="fr-FR"/>
        </w:rPr>
        <w:t xml:space="preserve">Ceci met en relief l’importance de se concentrer de façon anticipée sur la gestion durable des populations d’oiseaux d’eau et de leurs habitats. Même si les plans d’action par espèce peuvent s’avérer réussis, se concentrer uniquement sur le rétablissement est une stratégie chère et inefficace. Si les Parties à l’AEWA et les parties prenantes souhaitent maintenir les services écosystémiques fournis par les populations d’oiseaux d’eau, elles devraient investir davantage dans la gestion du prélèvement durable, dans le maintien (notamment la protection et la gestion des sites clés) et la restauration des habitats. </w:t>
      </w:r>
    </w:p>
    <w:p w14:paraId="7164D0F5" w14:textId="77777777" w:rsidR="008E5AEA" w:rsidRPr="007C275D" w:rsidRDefault="008E5AEA" w:rsidP="008E5AEA">
      <w:pPr>
        <w:rPr>
          <w:lang w:val="fr-FR"/>
        </w:rPr>
      </w:pPr>
    </w:p>
    <w:p w14:paraId="43B14E40" w14:textId="1CF8258A" w:rsidR="008E5AEA" w:rsidRDefault="008E5AEA" w:rsidP="008E5AEA">
      <w:pPr>
        <w:keepNext/>
      </w:pPr>
      <w:r>
        <w:rPr>
          <w:noProof/>
          <w:lang w:val="nl-NL" w:eastAsia="nl-NL"/>
        </w:rPr>
        <w:drawing>
          <wp:inline distT="0" distB="0" distL="0" distR="0" wp14:anchorId="1D577A02" wp14:editId="404472E2">
            <wp:extent cx="5278120" cy="57073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t="11967" b="11705"/>
                    <a:stretch>
                      <a:fillRect/>
                    </a:stretch>
                  </pic:blipFill>
                  <pic:spPr bwMode="auto">
                    <a:xfrm>
                      <a:off x="0" y="0"/>
                      <a:ext cx="5278120" cy="5707380"/>
                    </a:xfrm>
                    <a:prstGeom prst="rect">
                      <a:avLst/>
                    </a:prstGeom>
                    <a:noFill/>
                    <a:ln>
                      <a:noFill/>
                    </a:ln>
                  </pic:spPr>
                </pic:pic>
              </a:graphicData>
            </a:graphic>
          </wp:inline>
        </w:drawing>
      </w:r>
    </w:p>
    <w:p w14:paraId="0413C1D9" w14:textId="77777777" w:rsidR="008E5AEA" w:rsidRPr="007C275D" w:rsidRDefault="008E5AEA" w:rsidP="008E5AEA">
      <w:pPr>
        <w:pStyle w:val="Caption"/>
        <w:rPr>
          <w:b w:val="0"/>
          <w:lang w:val="fr-FR"/>
        </w:rPr>
      </w:pPr>
      <w:r>
        <w:rPr>
          <w:lang w:val="fr-FR"/>
        </w:rPr>
        <w:t xml:space="preserve">Figure 34. Changements de populations entre les catégories et les colonnes du tableau 1 du Plan d’action de l’AEWA. </w:t>
      </w:r>
      <w:r>
        <w:rPr>
          <w:b w:val="0"/>
          <w:lang w:val="fr-FR"/>
        </w:rPr>
        <w:t>Ce schéma inclut seulement les populations dont la définition n’a pas changé entre la 4</w:t>
      </w:r>
      <w:r>
        <w:rPr>
          <w:b w:val="0"/>
          <w:vertAlign w:val="superscript"/>
          <w:lang w:val="fr-FR"/>
        </w:rPr>
        <w:t>ème</w:t>
      </w:r>
      <w:r>
        <w:rPr>
          <w:b w:val="0"/>
          <w:lang w:val="fr-FR"/>
        </w:rPr>
        <w:t xml:space="preserve"> et la 7</w:t>
      </w:r>
      <w:r>
        <w:rPr>
          <w:b w:val="0"/>
          <w:vertAlign w:val="superscript"/>
          <w:lang w:val="fr-FR"/>
        </w:rPr>
        <w:t>ème</w:t>
      </w:r>
      <w:r>
        <w:rPr>
          <w:b w:val="0"/>
          <w:lang w:val="fr-FR"/>
        </w:rPr>
        <w:t xml:space="preserve"> édition. </w:t>
      </w:r>
    </w:p>
    <w:p w14:paraId="05005816" w14:textId="77777777" w:rsidR="008E5AEA" w:rsidRPr="007C275D" w:rsidRDefault="008E5AEA" w:rsidP="008E5AEA">
      <w:pPr>
        <w:rPr>
          <w:lang w:val="fr-FR"/>
        </w:rPr>
      </w:pPr>
      <w:r w:rsidRPr="007C275D">
        <w:rPr>
          <w:color w:val="auto"/>
          <w:lang w:val="fr-FR"/>
        </w:rPr>
        <w:br w:type="page"/>
      </w:r>
    </w:p>
    <w:p w14:paraId="793FE495" w14:textId="77777777" w:rsidR="008E5AEA" w:rsidRPr="007C275D" w:rsidRDefault="008E5AEA" w:rsidP="008E5AEA">
      <w:pPr>
        <w:pStyle w:val="Caption"/>
        <w:keepNext/>
        <w:rPr>
          <w:lang w:val="fr-FR"/>
        </w:rPr>
      </w:pPr>
      <w:r>
        <w:rPr>
          <w:lang w:val="fr-FR"/>
        </w:rPr>
        <w:lastRenderedPageBreak/>
        <w:t>Tableau 5. Populations déplacées de la colonne C vers la colonne A du fait de l’amélioration des estimations de taille de population</w:t>
      </w:r>
    </w:p>
    <w:tbl>
      <w:tblPr>
        <w:tblStyle w:val="LightShading-Accent1"/>
        <w:tblW w:w="7355" w:type="dxa"/>
        <w:tblLook w:val="0400" w:firstRow="0" w:lastRow="0" w:firstColumn="0" w:lastColumn="0" w:noHBand="0" w:noVBand="1"/>
      </w:tblPr>
      <w:tblGrid>
        <w:gridCol w:w="8626"/>
      </w:tblGrid>
      <w:tr w:rsidR="008E5AEA" w:rsidRPr="00D95894" w14:paraId="2FF935CC"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7355" w:type="dxa"/>
            <w:tcBorders>
              <w:top w:val="single" w:sz="8" w:space="0" w:color="4F81BD" w:themeColor="accent1"/>
              <w:bottom w:val="nil"/>
            </w:tcBorders>
            <w:noWrap/>
            <w:hideMark/>
          </w:tcPr>
          <w:p w14:paraId="233128DC" w14:textId="77777777" w:rsidR="008E5AEA" w:rsidRPr="007C275D" w:rsidRDefault="008E5AEA">
            <w:pPr>
              <w:keepNext/>
              <w:keepLines/>
              <w:spacing w:before="240" w:after="60"/>
              <w:outlineLvl w:val="2"/>
              <w:rPr>
                <w:rFonts w:asciiTheme="majorHAnsi" w:hAnsiTheme="majorHAnsi" w:cstheme="majorHAnsi"/>
                <w:color w:val="auto"/>
                <w:szCs w:val="24"/>
                <w:lang w:val="it-IT"/>
              </w:rPr>
            </w:pPr>
            <w:bookmarkStart w:id="99" w:name="_Toc517262041"/>
            <w:r w:rsidRPr="007C275D">
              <w:rPr>
                <w:rFonts w:asciiTheme="majorHAnsi" w:hAnsiTheme="majorHAnsi" w:cstheme="majorHAnsi"/>
                <w:color w:val="auto"/>
                <w:szCs w:val="24"/>
                <w:lang w:val="it-IT"/>
              </w:rPr>
              <w:t>Plongeon arctique</w:t>
            </w:r>
            <w:r w:rsidRPr="007C275D">
              <w:rPr>
                <w:rFonts w:asciiTheme="majorHAnsi" w:hAnsiTheme="majorHAnsi" w:cstheme="majorHAnsi"/>
                <w:i/>
                <w:color w:val="auto"/>
                <w:szCs w:val="24"/>
                <w:lang w:val="it-IT"/>
              </w:rPr>
              <w:t xml:space="preserve"> Gavia arctica arctica</w:t>
            </w:r>
            <w:r w:rsidRPr="007C275D">
              <w:rPr>
                <w:rFonts w:asciiTheme="majorHAnsi" w:hAnsiTheme="majorHAnsi" w:cstheme="majorHAnsi"/>
                <w:color w:val="auto"/>
                <w:szCs w:val="24"/>
                <w:lang w:val="it-IT"/>
              </w:rPr>
              <w:t>, Sibérie centrale/mer Caspienne</w:t>
            </w:r>
            <w:bookmarkEnd w:id="99"/>
          </w:p>
        </w:tc>
      </w:tr>
      <w:tr w:rsidR="008E5AEA" w:rsidRPr="00BC4D45" w14:paraId="1B577277" w14:textId="77777777" w:rsidTr="008E5AEA">
        <w:trPr>
          <w:trHeight w:val="300"/>
        </w:trPr>
        <w:tc>
          <w:tcPr>
            <w:tcW w:w="8626" w:type="dxa"/>
            <w:tcBorders>
              <w:top w:val="nil"/>
              <w:left w:val="nil"/>
              <w:bottom w:val="nil"/>
              <w:right w:val="nil"/>
            </w:tcBorders>
            <w:noWrap/>
            <w:hideMark/>
          </w:tcPr>
          <w:p w14:paraId="06919D98" w14:textId="77777777" w:rsidR="008E5AEA" w:rsidRPr="007C275D" w:rsidRDefault="008E5AEA">
            <w:pPr>
              <w:keepNext/>
              <w:keepLines/>
              <w:spacing w:before="240" w:after="60"/>
              <w:outlineLvl w:val="2"/>
              <w:rPr>
                <w:rFonts w:asciiTheme="majorHAnsi" w:hAnsiTheme="majorHAnsi" w:cstheme="majorHAnsi"/>
                <w:color w:val="auto"/>
                <w:szCs w:val="24"/>
                <w:lang w:val="fr-FR"/>
              </w:rPr>
            </w:pPr>
            <w:bookmarkStart w:id="100" w:name="_Toc517262042"/>
            <w:r>
              <w:rPr>
                <w:rFonts w:asciiTheme="majorHAnsi" w:hAnsiTheme="majorHAnsi" w:cstheme="majorHAnsi"/>
                <w:color w:val="auto"/>
                <w:szCs w:val="24"/>
                <w:lang w:val="fr-FR"/>
              </w:rPr>
              <w:t xml:space="preserve">Oie des moissons </w:t>
            </w:r>
            <w:r>
              <w:rPr>
                <w:rFonts w:asciiTheme="majorHAnsi" w:hAnsiTheme="majorHAnsi" w:cstheme="majorHAnsi"/>
                <w:i/>
                <w:color w:val="auto"/>
                <w:szCs w:val="24"/>
                <w:lang w:val="fr-FR"/>
              </w:rPr>
              <w:t>Anser fabalis johanseni</w:t>
            </w:r>
            <w:r>
              <w:rPr>
                <w:rFonts w:asciiTheme="majorHAnsi" w:hAnsiTheme="majorHAnsi" w:cstheme="majorHAnsi"/>
                <w:color w:val="auto"/>
                <w:szCs w:val="24"/>
                <w:lang w:val="fr-FR"/>
              </w:rPr>
              <w:t xml:space="preserve">, Sibérie occidentale et centrale/ </w:t>
            </w:r>
            <w:r>
              <w:rPr>
                <w:rFonts w:asciiTheme="majorHAnsi" w:hAnsiTheme="majorHAnsi" w:cstheme="majorHAnsi"/>
                <w:color w:val="auto"/>
                <w:spacing w:val="-2"/>
                <w:szCs w:val="24"/>
                <w:lang w:val="fr-FR"/>
              </w:rPr>
              <w:t>Turkménistan à l’ouest de la Chine</w:t>
            </w:r>
            <w:bookmarkEnd w:id="100"/>
          </w:p>
        </w:tc>
      </w:tr>
      <w:tr w:rsidR="008E5AEA" w:rsidRPr="00BC4D45" w14:paraId="12503AC8"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8626" w:type="dxa"/>
            <w:tcBorders>
              <w:top w:val="nil"/>
              <w:bottom w:val="nil"/>
            </w:tcBorders>
            <w:noWrap/>
            <w:hideMark/>
          </w:tcPr>
          <w:p w14:paraId="04CEF316" w14:textId="77777777" w:rsidR="008E5AEA" w:rsidRPr="007C275D" w:rsidRDefault="008E5AEA">
            <w:pPr>
              <w:keepNext/>
              <w:keepLines/>
              <w:spacing w:before="240" w:after="60"/>
              <w:outlineLvl w:val="2"/>
              <w:rPr>
                <w:rFonts w:asciiTheme="majorHAnsi" w:hAnsiTheme="majorHAnsi" w:cstheme="majorHAnsi"/>
                <w:color w:val="auto"/>
                <w:szCs w:val="24"/>
                <w:lang w:val="fr-FR"/>
              </w:rPr>
            </w:pPr>
            <w:bookmarkStart w:id="101" w:name="_Toc517262043"/>
            <w:r>
              <w:rPr>
                <w:rFonts w:asciiTheme="majorHAnsi" w:hAnsiTheme="majorHAnsi" w:cstheme="majorHAnsi"/>
                <w:color w:val="auto"/>
                <w:szCs w:val="24"/>
                <w:lang w:val="fr-FR"/>
              </w:rPr>
              <w:t xml:space="preserve">Harle huppé </w:t>
            </w:r>
            <w:r>
              <w:rPr>
                <w:rFonts w:asciiTheme="majorHAnsi" w:hAnsiTheme="majorHAnsi" w:cstheme="majorHAnsi"/>
                <w:i/>
                <w:color w:val="auto"/>
                <w:szCs w:val="24"/>
                <w:lang w:val="fr-FR"/>
              </w:rPr>
              <w:t>Mergus serrator</w:t>
            </w:r>
            <w:r>
              <w:rPr>
                <w:rFonts w:asciiTheme="majorHAnsi" w:hAnsiTheme="majorHAnsi" w:cstheme="majorHAnsi"/>
                <w:color w:val="auto"/>
                <w:szCs w:val="24"/>
                <w:lang w:val="fr-FR"/>
              </w:rPr>
              <w:t>, Europe du Nord-Ouest et Europe centrale (hiv)</w:t>
            </w:r>
            <w:bookmarkEnd w:id="101"/>
          </w:p>
        </w:tc>
      </w:tr>
      <w:tr w:rsidR="008E5AEA" w:rsidRPr="00BC4D45" w14:paraId="3381F226" w14:textId="77777777" w:rsidTr="008E5AEA">
        <w:trPr>
          <w:trHeight w:val="300"/>
        </w:trPr>
        <w:tc>
          <w:tcPr>
            <w:tcW w:w="8626" w:type="dxa"/>
            <w:tcBorders>
              <w:top w:val="nil"/>
              <w:left w:val="nil"/>
              <w:bottom w:val="nil"/>
              <w:right w:val="nil"/>
            </w:tcBorders>
            <w:noWrap/>
            <w:hideMark/>
          </w:tcPr>
          <w:p w14:paraId="2AEBCF71" w14:textId="77777777" w:rsidR="008E5AEA" w:rsidRPr="007C275D" w:rsidRDefault="008E5AEA">
            <w:pPr>
              <w:keepNext/>
              <w:keepLines/>
              <w:spacing w:before="240" w:after="60"/>
              <w:outlineLvl w:val="2"/>
              <w:rPr>
                <w:rFonts w:asciiTheme="majorHAnsi" w:hAnsiTheme="majorHAnsi" w:cstheme="majorHAnsi"/>
                <w:color w:val="auto"/>
                <w:szCs w:val="24"/>
                <w:lang w:val="fr-FR"/>
              </w:rPr>
            </w:pPr>
            <w:bookmarkStart w:id="102" w:name="_Toc517262044"/>
            <w:r>
              <w:rPr>
                <w:rFonts w:asciiTheme="majorHAnsi" w:hAnsiTheme="majorHAnsi" w:cstheme="majorHAnsi"/>
                <w:color w:val="auto"/>
                <w:szCs w:val="24"/>
                <w:lang w:val="fr-FR"/>
              </w:rPr>
              <w:t xml:space="preserve">Chevalier arlequin </w:t>
            </w:r>
            <w:r>
              <w:rPr>
                <w:rFonts w:asciiTheme="majorHAnsi" w:hAnsiTheme="majorHAnsi" w:cstheme="majorHAnsi"/>
                <w:i/>
                <w:color w:val="auto"/>
                <w:szCs w:val="24"/>
                <w:lang w:val="fr-FR"/>
              </w:rPr>
              <w:t>Tringa erythropus</w:t>
            </w:r>
            <w:r>
              <w:rPr>
                <w:rFonts w:asciiTheme="majorHAnsi" w:hAnsiTheme="majorHAnsi" w:cstheme="majorHAnsi"/>
                <w:color w:val="auto"/>
                <w:szCs w:val="24"/>
                <w:lang w:val="fr-FR"/>
              </w:rPr>
              <w:t>, N Europe/ Europe du Sud, Afrique du Nord et de l’Ouest</w:t>
            </w:r>
            <w:bookmarkEnd w:id="102"/>
          </w:p>
        </w:tc>
      </w:tr>
      <w:tr w:rsidR="008E5AEA" w:rsidRPr="00BC4D45" w14:paraId="2134E11B"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8626" w:type="dxa"/>
            <w:tcBorders>
              <w:top w:val="nil"/>
              <w:bottom w:val="single" w:sz="8" w:space="0" w:color="4F81BD" w:themeColor="accent1"/>
            </w:tcBorders>
            <w:noWrap/>
            <w:hideMark/>
          </w:tcPr>
          <w:p w14:paraId="1B337C51" w14:textId="77777777" w:rsidR="008E5AEA" w:rsidRPr="007C275D" w:rsidRDefault="008E5AEA">
            <w:pPr>
              <w:keepNext/>
              <w:keepLines/>
              <w:spacing w:before="240" w:after="60"/>
              <w:outlineLvl w:val="2"/>
              <w:rPr>
                <w:rFonts w:asciiTheme="majorHAnsi" w:hAnsiTheme="majorHAnsi" w:cstheme="majorHAnsi"/>
                <w:color w:val="auto"/>
                <w:szCs w:val="24"/>
                <w:lang w:val="fr-FR"/>
              </w:rPr>
            </w:pPr>
            <w:bookmarkStart w:id="103" w:name="_Toc517262045"/>
            <w:r>
              <w:rPr>
                <w:rFonts w:asciiTheme="majorHAnsi" w:hAnsiTheme="majorHAnsi" w:cstheme="majorHAnsi"/>
                <w:color w:val="auto"/>
                <w:szCs w:val="24"/>
                <w:lang w:val="fr-FR"/>
              </w:rPr>
              <w:t xml:space="preserve">Tournepierre à collier </w:t>
            </w:r>
            <w:r>
              <w:rPr>
                <w:rFonts w:asciiTheme="majorHAnsi" w:hAnsiTheme="majorHAnsi" w:cstheme="majorHAnsi"/>
                <w:i/>
                <w:color w:val="auto"/>
                <w:szCs w:val="24"/>
                <w:lang w:val="fr-FR"/>
              </w:rPr>
              <w:t>Arenaria interpres interpres</w:t>
            </w:r>
            <w:r>
              <w:rPr>
                <w:rFonts w:asciiTheme="majorHAnsi" w:hAnsiTheme="majorHAnsi" w:cstheme="majorHAnsi"/>
                <w:color w:val="auto"/>
                <w:szCs w:val="24"/>
                <w:lang w:val="fr-FR"/>
              </w:rPr>
              <w:t>, Europe du Nord/Afrique de l’Ouest</w:t>
            </w:r>
            <w:bookmarkEnd w:id="103"/>
          </w:p>
        </w:tc>
      </w:tr>
    </w:tbl>
    <w:p w14:paraId="04AC8CB3" w14:textId="77777777" w:rsidR="008E5AEA" w:rsidRDefault="008E5AEA" w:rsidP="008E5AEA">
      <w:pPr>
        <w:pStyle w:val="Caption"/>
        <w:keepNext/>
        <w:rPr>
          <w:lang w:val="fr-FR"/>
        </w:rPr>
      </w:pPr>
    </w:p>
    <w:p w14:paraId="6A9E51DE" w14:textId="77777777" w:rsidR="008E5AEA" w:rsidRPr="007C275D" w:rsidRDefault="008E5AEA" w:rsidP="008E5AEA">
      <w:pPr>
        <w:pStyle w:val="Caption"/>
        <w:keepNext/>
        <w:rPr>
          <w:lang w:val="fr-FR"/>
        </w:rPr>
      </w:pPr>
      <w:r>
        <w:rPr>
          <w:lang w:val="fr-FR"/>
        </w:rPr>
        <w:t>Tableau 6. Populations déplacées de la colonne C vers la colonne A du fait de leur inscription dans la catégorie Mondialement menacé ou Quasi menacé sur la Liste rouge de l’UICN</w:t>
      </w:r>
    </w:p>
    <w:tbl>
      <w:tblPr>
        <w:tblStyle w:val="LightShading-Accent1"/>
        <w:tblW w:w="8016" w:type="dxa"/>
        <w:tblLook w:val="0400" w:firstRow="0" w:lastRow="0" w:firstColumn="0" w:lastColumn="0" w:noHBand="0" w:noVBand="1"/>
      </w:tblPr>
      <w:tblGrid>
        <w:gridCol w:w="9288"/>
      </w:tblGrid>
      <w:tr w:rsidR="008E5AEA" w:rsidRPr="00BC4D45" w14:paraId="5D184D6E"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8016" w:type="dxa"/>
            <w:tcBorders>
              <w:top w:val="single" w:sz="8" w:space="0" w:color="4F81BD" w:themeColor="accent1"/>
              <w:bottom w:val="nil"/>
            </w:tcBorders>
            <w:noWrap/>
            <w:hideMark/>
          </w:tcPr>
          <w:p w14:paraId="56B79D3F" w14:textId="77777777" w:rsidR="008E5AEA" w:rsidRPr="007C275D" w:rsidRDefault="008E5AEA">
            <w:pPr>
              <w:keepNext/>
              <w:keepLines/>
              <w:spacing w:before="240" w:after="60"/>
              <w:outlineLvl w:val="2"/>
              <w:rPr>
                <w:rFonts w:ascii="Calibri" w:hAnsi="Calibri"/>
                <w:color w:val="auto"/>
                <w:szCs w:val="24"/>
                <w:lang w:val="fr-FR"/>
              </w:rPr>
            </w:pPr>
            <w:bookmarkStart w:id="104" w:name="_Toc517262046"/>
            <w:r>
              <w:rPr>
                <w:rFonts w:ascii="Calibri" w:hAnsi="Calibri"/>
                <w:color w:val="auto"/>
                <w:szCs w:val="24"/>
                <w:lang w:val="fr-FR"/>
              </w:rPr>
              <w:t xml:space="preserve">Fuligule milouin </w:t>
            </w:r>
            <w:r>
              <w:rPr>
                <w:rFonts w:ascii="Calibri" w:hAnsi="Calibri"/>
                <w:i/>
                <w:color w:val="auto"/>
                <w:szCs w:val="24"/>
                <w:lang w:val="fr-FR"/>
              </w:rPr>
              <w:t>Aythya ferina</w:t>
            </w:r>
            <w:r>
              <w:rPr>
                <w:rFonts w:ascii="Calibri" w:hAnsi="Calibri"/>
                <w:color w:val="auto"/>
                <w:szCs w:val="24"/>
                <w:lang w:val="fr-FR"/>
              </w:rPr>
              <w:t>, Europe du Nord-Est/Europe du Nord-Ouest</w:t>
            </w:r>
            <w:bookmarkEnd w:id="104"/>
          </w:p>
        </w:tc>
      </w:tr>
      <w:tr w:rsidR="008E5AEA" w:rsidRPr="00BC4D45" w14:paraId="4E69DD19" w14:textId="77777777" w:rsidTr="008E5AEA">
        <w:trPr>
          <w:trHeight w:val="300"/>
        </w:trPr>
        <w:tc>
          <w:tcPr>
            <w:tcW w:w="9288" w:type="dxa"/>
            <w:tcBorders>
              <w:top w:val="nil"/>
              <w:left w:val="nil"/>
              <w:bottom w:val="nil"/>
              <w:right w:val="nil"/>
            </w:tcBorders>
            <w:noWrap/>
            <w:hideMark/>
          </w:tcPr>
          <w:p w14:paraId="085F631C" w14:textId="77777777" w:rsidR="008E5AEA" w:rsidRPr="007C275D" w:rsidRDefault="008E5AEA">
            <w:pPr>
              <w:keepNext/>
              <w:keepLines/>
              <w:spacing w:before="240" w:after="60"/>
              <w:outlineLvl w:val="2"/>
              <w:rPr>
                <w:rFonts w:ascii="Calibri" w:hAnsi="Calibri"/>
                <w:color w:val="auto"/>
                <w:szCs w:val="24"/>
                <w:lang w:val="fr-FR"/>
              </w:rPr>
            </w:pPr>
            <w:bookmarkStart w:id="105" w:name="_Toc517262047"/>
            <w:r>
              <w:rPr>
                <w:rFonts w:ascii="Calibri" w:hAnsi="Calibri"/>
                <w:color w:val="auto"/>
                <w:szCs w:val="24"/>
                <w:lang w:val="fr-FR"/>
              </w:rPr>
              <w:t xml:space="preserve">Fuligule milouin </w:t>
            </w:r>
            <w:r>
              <w:rPr>
                <w:rFonts w:ascii="Calibri" w:hAnsi="Calibri"/>
                <w:i/>
                <w:color w:val="auto"/>
                <w:szCs w:val="24"/>
                <w:lang w:val="fr-FR"/>
              </w:rPr>
              <w:t>Aythya ferina</w:t>
            </w:r>
            <w:r>
              <w:rPr>
                <w:rFonts w:ascii="Calibri" w:hAnsi="Calibri"/>
                <w:color w:val="auto"/>
                <w:szCs w:val="24"/>
                <w:lang w:val="fr-FR"/>
              </w:rPr>
              <w:t xml:space="preserve"> Europe centrale et NE /mer Noire et Méditerrané</w:t>
            </w:r>
            <w:bookmarkEnd w:id="105"/>
          </w:p>
        </w:tc>
      </w:tr>
      <w:tr w:rsidR="008E5AEA" w:rsidRPr="00BC4D45" w14:paraId="0259D48F"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9288" w:type="dxa"/>
            <w:tcBorders>
              <w:top w:val="nil"/>
              <w:bottom w:val="nil"/>
            </w:tcBorders>
            <w:noWrap/>
            <w:hideMark/>
          </w:tcPr>
          <w:p w14:paraId="4E53DD33" w14:textId="77777777" w:rsidR="008E5AEA" w:rsidRDefault="008E5AEA">
            <w:pPr>
              <w:keepNext/>
              <w:keepLines/>
              <w:spacing w:before="240" w:after="60"/>
              <w:outlineLvl w:val="2"/>
              <w:rPr>
                <w:rFonts w:ascii="Calibri" w:hAnsi="Calibri"/>
                <w:color w:val="auto"/>
                <w:szCs w:val="24"/>
                <w:lang w:val="it-IT"/>
              </w:rPr>
            </w:pPr>
            <w:bookmarkStart w:id="106" w:name="_Toc517262048"/>
            <w:r>
              <w:rPr>
                <w:rFonts w:ascii="Calibri" w:hAnsi="Calibri"/>
                <w:color w:val="auto"/>
                <w:szCs w:val="24"/>
                <w:lang w:val="fr-FR"/>
              </w:rPr>
              <w:t xml:space="preserve">Eider à duvet </w:t>
            </w:r>
            <w:r>
              <w:rPr>
                <w:rFonts w:ascii="Calibri" w:hAnsi="Calibri"/>
                <w:i/>
                <w:color w:val="auto"/>
                <w:szCs w:val="24"/>
                <w:lang w:val="fr-FR"/>
              </w:rPr>
              <w:t>Somateria mollissima mollissima</w:t>
            </w:r>
            <w:r>
              <w:rPr>
                <w:rFonts w:ascii="Calibri" w:hAnsi="Calibri"/>
                <w:color w:val="auto"/>
                <w:szCs w:val="24"/>
                <w:lang w:val="fr-FR"/>
              </w:rPr>
              <w:t>, Norvège et Russie</w:t>
            </w:r>
            <w:bookmarkEnd w:id="106"/>
          </w:p>
        </w:tc>
      </w:tr>
      <w:tr w:rsidR="008E5AEA" w14:paraId="5C0D4870" w14:textId="77777777" w:rsidTr="008E5AEA">
        <w:trPr>
          <w:trHeight w:val="300"/>
        </w:trPr>
        <w:tc>
          <w:tcPr>
            <w:tcW w:w="9288" w:type="dxa"/>
            <w:tcBorders>
              <w:top w:val="nil"/>
              <w:left w:val="nil"/>
              <w:bottom w:val="nil"/>
              <w:right w:val="nil"/>
            </w:tcBorders>
            <w:noWrap/>
            <w:hideMark/>
          </w:tcPr>
          <w:p w14:paraId="4B3C1C0F" w14:textId="77777777" w:rsidR="008E5AEA" w:rsidRDefault="008E5AEA">
            <w:pPr>
              <w:keepNext/>
              <w:keepLines/>
              <w:spacing w:before="240" w:after="60"/>
              <w:outlineLvl w:val="2"/>
              <w:rPr>
                <w:rFonts w:ascii="Calibri" w:hAnsi="Calibri"/>
                <w:color w:val="auto"/>
                <w:szCs w:val="24"/>
              </w:rPr>
            </w:pPr>
            <w:bookmarkStart w:id="107" w:name="_Toc517262049"/>
            <w:r>
              <w:rPr>
                <w:rFonts w:ascii="Calibri" w:hAnsi="Calibri"/>
                <w:color w:val="auto"/>
                <w:szCs w:val="24"/>
                <w:lang w:val="fr-FR"/>
              </w:rPr>
              <w:t xml:space="preserve">Harelde boréale </w:t>
            </w:r>
            <w:r>
              <w:rPr>
                <w:rFonts w:ascii="Calibri" w:hAnsi="Calibri"/>
                <w:i/>
                <w:color w:val="auto"/>
                <w:szCs w:val="24"/>
                <w:lang w:val="fr-FR"/>
              </w:rPr>
              <w:t>Clangula hyemalis</w:t>
            </w:r>
            <w:r>
              <w:rPr>
                <w:rFonts w:ascii="Calibri" w:hAnsi="Calibri"/>
                <w:color w:val="auto"/>
                <w:szCs w:val="24"/>
                <w:lang w:val="fr-FR"/>
              </w:rPr>
              <w:t>, Islande et Groenland (rep)</w:t>
            </w:r>
            <w:bookmarkEnd w:id="107"/>
          </w:p>
        </w:tc>
      </w:tr>
      <w:tr w:rsidR="008E5AEA" w:rsidRPr="00BC4D45" w14:paraId="279D6DAF"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9288" w:type="dxa"/>
            <w:tcBorders>
              <w:top w:val="nil"/>
              <w:bottom w:val="nil"/>
            </w:tcBorders>
            <w:noWrap/>
            <w:hideMark/>
          </w:tcPr>
          <w:p w14:paraId="04A0CB21" w14:textId="77777777" w:rsidR="008E5AEA" w:rsidRPr="007C275D" w:rsidRDefault="008E5AEA">
            <w:pPr>
              <w:keepNext/>
              <w:keepLines/>
              <w:spacing w:before="240" w:after="60"/>
              <w:outlineLvl w:val="2"/>
              <w:rPr>
                <w:rFonts w:ascii="Calibri" w:hAnsi="Calibri"/>
                <w:color w:val="auto"/>
                <w:szCs w:val="24"/>
                <w:lang w:val="fr-FR"/>
              </w:rPr>
            </w:pPr>
            <w:bookmarkStart w:id="108" w:name="_Toc517262050"/>
            <w:r>
              <w:rPr>
                <w:rFonts w:ascii="Calibri" w:hAnsi="Calibri"/>
                <w:color w:val="auto"/>
                <w:szCs w:val="24"/>
                <w:lang w:val="fr-FR"/>
              </w:rPr>
              <w:t xml:space="preserve">Harelde boréale </w:t>
            </w:r>
            <w:r>
              <w:rPr>
                <w:rFonts w:ascii="Calibri" w:hAnsi="Calibri"/>
                <w:i/>
                <w:color w:val="auto"/>
                <w:szCs w:val="24"/>
                <w:lang w:val="fr-FR"/>
              </w:rPr>
              <w:t>Clangula hyemalis</w:t>
            </w:r>
            <w:r>
              <w:rPr>
                <w:rFonts w:ascii="Calibri" w:hAnsi="Calibri"/>
                <w:color w:val="auto"/>
                <w:szCs w:val="24"/>
                <w:lang w:val="fr-FR"/>
              </w:rPr>
              <w:t>, Sibérie occidentale/Europe du Nord (rep)</w:t>
            </w:r>
            <w:bookmarkEnd w:id="108"/>
          </w:p>
        </w:tc>
      </w:tr>
      <w:tr w:rsidR="008E5AEA" w:rsidRPr="00BC4D45" w14:paraId="673229DB" w14:textId="77777777" w:rsidTr="008E5AEA">
        <w:trPr>
          <w:trHeight w:val="300"/>
        </w:trPr>
        <w:tc>
          <w:tcPr>
            <w:tcW w:w="9288" w:type="dxa"/>
            <w:tcBorders>
              <w:top w:val="nil"/>
              <w:left w:val="nil"/>
              <w:bottom w:val="nil"/>
              <w:right w:val="nil"/>
            </w:tcBorders>
            <w:noWrap/>
            <w:hideMark/>
          </w:tcPr>
          <w:p w14:paraId="5D858AFE" w14:textId="77777777" w:rsidR="008E5AEA" w:rsidRPr="007C275D" w:rsidRDefault="008E5AEA">
            <w:pPr>
              <w:keepNext/>
              <w:keepLines/>
              <w:spacing w:before="240" w:after="60"/>
              <w:outlineLvl w:val="2"/>
              <w:rPr>
                <w:rFonts w:ascii="Calibri" w:hAnsi="Calibri"/>
                <w:color w:val="auto"/>
                <w:szCs w:val="24"/>
                <w:lang w:val="fr-FR"/>
              </w:rPr>
            </w:pPr>
            <w:bookmarkStart w:id="109" w:name="_Toc517262051"/>
            <w:r>
              <w:rPr>
                <w:rFonts w:ascii="Calibri" w:hAnsi="Calibri"/>
                <w:color w:val="auto"/>
                <w:szCs w:val="24"/>
                <w:lang w:val="fr-FR"/>
              </w:rPr>
              <w:t xml:space="preserve">Huîtrier pie </w:t>
            </w:r>
            <w:r>
              <w:rPr>
                <w:rFonts w:ascii="Calibri" w:hAnsi="Calibri"/>
                <w:i/>
                <w:color w:val="auto"/>
                <w:szCs w:val="24"/>
                <w:lang w:val="fr-FR"/>
              </w:rPr>
              <w:t>Haematopus ostralegus ostralegus</w:t>
            </w:r>
            <w:r>
              <w:rPr>
                <w:rFonts w:ascii="Calibri" w:hAnsi="Calibri"/>
                <w:color w:val="auto"/>
                <w:szCs w:val="24"/>
                <w:lang w:val="fr-FR"/>
              </w:rPr>
              <w:t>, Europe/Europe du Sud et de l’Ouest et NO Afrique</w:t>
            </w:r>
            <w:bookmarkEnd w:id="109"/>
          </w:p>
        </w:tc>
      </w:tr>
      <w:tr w:rsidR="008E5AEA" w:rsidRPr="00BC4D45" w14:paraId="6CE6AF3C"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9288" w:type="dxa"/>
            <w:tcBorders>
              <w:top w:val="nil"/>
              <w:bottom w:val="nil"/>
            </w:tcBorders>
            <w:noWrap/>
            <w:hideMark/>
          </w:tcPr>
          <w:p w14:paraId="0A7CB2DE" w14:textId="77777777" w:rsidR="008E5AEA" w:rsidRPr="007C275D" w:rsidRDefault="008E5AEA">
            <w:pPr>
              <w:keepNext/>
              <w:keepLines/>
              <w:spacing w:before="240" w:after="60"/>
              <w:outlineLvl w:val="2"/>
              <w:rPr>
                <w:rFonts w:ascii="Calibri" w:hAnsi="Calibri"/>
                <w:color w:val="auto"/>
                <w:szCs w:val="24"/>
                <w:lang w:val="fr-FR"/>
              </w:rPr>
            </w:pPr>
            <w:bookmarkStart w:id="110" w:name="_Toc517262052"/>
            <w:r>
              <w:rPr>
                <w:rFonts w:ascii="Calibri" w:hAnsi="Calibri"/>
                <w:color w:val="auto"/>
                <w:szCs w:val="24"/>
                <w:lang w:val="fr-FR"/>
              </w:rPr>
              <w:t xml:space="preserve">Barge rousse </w:t>
            </w:r>
            <w:r>
              <w:rPr>
                <w:rFonts w:ascii="Calibri" w:hAnsi="Calibri"/>
                <w:i/>
                <w:color w:val="auto"/>
                <w:szCs w:val="24"/>
                <w:lang w:val="fr-FR"/>
              </w:rPr>
              <w:t>Limosa lapponica taymyrensis</w:t>
            </w:r>
            <w:r>
              <w:rPr>
                <w:rFonts w:ascii="Calibri" w:hAnsi="Calibri"/>
                <w:color w:val="auto"/>
                <w:szCs w:val="24"/>
                <w:lang w:val="fr-FR"/>
              </w:rPr>
              <w:t>, Sibérie centrale/Asie du Sud et du Sud-Ouest et Afrique de l’Est</w:t>
            </w:r>
            <w:bookmarkEnd w:id="110"/>
          </w:p>
        </w:tc>
      </w:tr>
      <w:tr w:rsidR="008E5AEA" w:rsidRPr="00BC4D45" w14:paraId="149DDAF1" w14:textId="77777777" w:rsidTr="008E5AEA">
        <w:trPr>
          <w:trHeight w:val="300"/>
        </w:trPr>
        <w:tc>
          <w:tcPr>
            <w:tcW w:w="9288" w:type="dxa"/>
            <w:tcBorders>
              <w:top w:val="nil"/>
              <w:left w:val="nil"/>
              <w:bottom w:val="nil"/>
              <w:right w:val="nil"/>
            </w:tcBorders>
            <w:noWrap/>
            <w:hideMark/>
          </w:tcPr>
          <w:p w14:paraId="68DD80AA" w14:textId="77777777" w:rsidR="008E5AEA" w:rsidRPr="007C275D" w:rsidRDefault="008E5AEA">
            <w:pPr>
              <w:keepNext/>
              <w:keepLines/>
              <w:spacing w:before="240" w:after="60"/>
              <w:outlineLvl w:val="2"/>
              <w:rPr>
                <w:rFonts w:ascii="Calibri" w:hAnsi="Calibri"/>
                <w:color w:val="auto"/>
                <w:szCs w:val="24"/>
                <w:lang w:val="fr-FR"/>
              </w:rPr>
            </w:pPr>
            <w:bookmarkStart w:id="111" w:name="_Toc517262053"/>
            <w:r>
              <w:rPr>
                <w:rFonts w:ascii="Calibri" w:hAnsi="Calibri"/>
                <w:color w:val="auto"/>
                <w:szCs w:val="24"/>
                <w:lang w:val="fr-FR"/>
              </w:rPr>
              <w:t xml:space="preserve">Courlis cendré </w:t>
            </w:r>
            <w:r>
              <w:rPr>
                <w:rFonts w:ascii="Calibri" w:hAnsi="Calibri"/>
                <w:i/>
                <w:color w:val="auto"/>
                <w:szCs w:val="24"/>
                <w:lang w:val="fr-FR"/>
              </w:rPr>
              <w:t>Numenius arquata arquata</w:t>
            </w:r>
            <w:r>
              <w:rPr>
                <w:rFonts w:ascii="Calibri" w:hAnsi="Calibri"/>
                <w:color w:val="auto"/>
                <w:szCs w:val="24"/>
                <w:lang w:val="fr-FR"/>
              </w:rPr>
              <w:t>, Europe/Europe, Afrique du Nord et de l’Ouest</w:t>
            </w:r>
            <w:bookmarkEnd w:id="111"/>
          </w:p>
        </w:tc>
      </w:tr>
      <w:tr w:rsidR="008E5AEA" w:rsidRPr="00BC4D45" w14:paraId="1E132E4A"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9288" w:type="dxa"/>
            <w:tcBorders>
              <w:top w:val="nil"/>
              <w:bottom w:val="nil"/>
            </w:tcBorders>
            <w:noWrap/>
            <w:hideMark/>
          </w:tcPr>
          <w:p w14:paraId="06E51995" w14:textId="77777777" w:rsidR="008E5AEA" w:rsidRPr="007C275D" w:rsidRDefault="008E5AEA">
            <w:pPr>
              <w:keepNext/>
              <w:keepLines/>
              <w:spacing w:before="240" w:after="60"/>
              <w:outlineLvl w:val="2"/>
              <w:rPr>
                <w:rFonts w:ascii="Calibri" w:hAnsi="Calibri"/>
                <w:color w:val="auto"/>
                <w:szCs w:val="24"/>
                <w:lang w:val="fr-FR"/>
              </w:rPr>
            </w:pPr>
            <w:bookmarkStart w:id="112" w:name="_Toc517262054"/>
            <w:r>
              <w:rPr>
                <w:rFonts w:ascii="Calibri" w:hAnsi="Calibri"/>
                <w:color w:val="auto"/>
                <w:szCs w:val="24"/>
                <w:lang w:val="fr-FR"/>
              </w:rPr>
              <w:t xml:space="preserve">Bécasseau cocorli </w:t>
            </w:r>
            <w:r>
              <w:rPr>
                <w:rFonts w:ascii="Calibri" w:hAnsi="Calibri"/>
                <w:i/>
                <w:color w:val="auto"/>
                <w:szCs w:val="24"/>
                <w:lang w:val="fr-FR"/>
              </w:rPr>
              <w:t>Calidris ferruginea</w:t>
            </w:r>
            <w:r>
              <w:rPr>
                <w:rFonts w:ascii="Calibri" w:hAnsi="Calibri"/>
                <w:color w:val="auto"/>
                <w:szCs w:val="24"/>
                <w:lang w:val="fr-FR"/>
              </w:rPr>
              <w:t>, Sibérie occidentale/Afrique de l’Ouest</w:t>
            </w:r>
            <w:bookmarkEnd w:id="112"/>
          </w:p>
        </w:tc>
      </w:tr>
      <w:tr w:rsidR="008E5AEA" w:rsidRPr="00BC4D45" w14:paraId="16830FC6" w14:textId="77777777" w:rsidTr="008E5AEA">
        <w:trPr>
          <w:trHeight w:val="300"/>
        </w:trPr>
        <w:tc>
          <w:tcPr>
            <w:tcW w:w="9288" w:type="dxa"/>
            <w:tcBorders>
              <w:top w:val="nil"/>
              <w:left w:val="nil"/>
              <w:bottom w:val="nil"/>
              <w:right w:val="nil"/>
            </w:tcBorders>
            <w:noWrap/>
            <w:hideMark/>
          </w:tcPr>
          <w:p w14:paraId="60E39975" w14:textId="77777777" w:rsidR="008E5AEA" w:rsidRPr="007C275D" w:rsidRDefault="008E5AEA">
            <w:pPr>
              <w:keepNext/>
              <w:keepLines/>
              <w:spacing w:before="240" w:after="60"/>
              <w:outlineLvl w:val="2"/>
              <w:rPr>
                <w:rFonts w:ascii="Calibri" w:hAnsi="Calibri"/>
                <w:color w:val="auto"/>
                <w:szCs w:val="24"/>
                <w:lang w:val="fr-FR"/>
              </w:rPr>
            </w:pPr>
            <w:bookmarkStart w:id="113" w:name="_Toc517262055"/>
            <w:r>
              <w:rPr>
                <w:rFonts w:ascii="Calibri" w:hAnsi="Calibri"/>
                <w:color w:val="auto"/>
                <w:szCs w:val="24"/>
                <w:lang w:val="fr-FR"/>
              </w:rPr>
              <w:t xml:space="preserve">Bécasseau cocorli </w:t>
            </w:r>
            <w:r>
              <w:rPr>
                <w:rFonts w:ascii="Calibri" w:hAnsi="Calibri"/>
                <w:i/>
                <w:color w:val="auto"/>
                <w:szCs w:val="24"/>
                <w:lang w:val="fr-FR"/>
              </w:rPr>
              <w:t>Calidris ferruginea</w:t>
            </w:r>
            <w:r>
              <w:rPr>
                <w:rFonts w:ascii="Calibri" w:hAnsi="Calibri"/>
                <w:color w:val="auto"/>
                <w:szCs w:val="24"/>
                <w:lang w:val="fr-FR"/>
              </w:rPr>
              <w:t>, Sibérie centrale/SO Asie, E et S Afrique</w:t>
            </w:r>
            <w:bookmarkEnd w:id="113"/>
          </w:p>
        </w:tc>
      </w:tr>
      <w:tr w:rsidR="008E5AEA" w:rsidRPr="00BC4D45" w14:paraId="63979152" w14:textId="77777777" w:rsidTr="008E5AEA">
        <w:trPr>
          <w:cnfStyle w:val="000000100000" w:firstRow="0" w:lastRow="0" w:firstColumn="0" w:lastColumn="0" w:oddVBand="0" w:evenVBand="0" w:oddHBand="1" w:evenHBand="0" w:firstRowFirstColumn="0" w:firstRowLastColumn="0" w:lastRowFirstColumn="0" w:lastRowLastColumn="0"/>
          <w:trHeight w:val="300"/>
        </w:trPr>
        <w:tc>
          <w:tcPr>
            <w:tcW w:w="9288" w:type="dxa"/>
            <w:tcBorders>
              <w:top w:val="nil"/>
              <w:bottom w:val="nil"/>
            </w:tcBorders>
            <w:noWrap/>
            <w:hideMark/>
          </w:tcPr>
          <w:p w14:paraId="3D00D27B" w14:textId="77777777" w:rsidR="008E5AEA" w:rsidRPr="00BC4D45" w:rsidRDefault="008E5AEA">
            <w:pPr>
              <w:keepNext/>
              <w:keepLines/>
              <w:spacing w:before="240" w:after="60"/>
              <w:outlineLvl w:val="4"/>
              <w:rPr>
                <w:rFonts w:ascii="Calibri" w:hAnsi="Calibri"/>
                <w:color w:val="auto"/>
                <w:szCs w:val="24"/>
                <w:lang w:val="fr-FR"/>
              </w:rPr>
            </w:pPr>
            <w:r>
              <w:rPr>
                <w:rFonts w:ascii="Calibri" w:hAnsi="Calibri"/>
                <w:color w:val="auto"/>
                <w:szCs w:val="24"/>
                <w:lang w:val="fr-FR"/>
              </w:rPr>
              <w:t xml:space="preserve">Petit Pingouin </w:t>
            </w:r>
            <w:r>
              <w:rPr>
                <w:rFonts w:ascii="Calibri" w:hAnsi="Calibri"/>
                <w:i/>
                <w:color w:val="auto"/>
                <w:szCs w:val="24"/>
                <w:lang w:val="fr-FR"/>
              </w:rPr>
              <w:t>Alca torda islandica</w:t>
            </w:r>
            <w:r>
              <w:rPr>
                <w:rFonts w:ascii="Calibri" w:hAnsi="Calibri"/>
                <w:color w:val="auto"/>
                <w:szCs w:val="24"/>
                <w:lang w:val="fr-FR"/>
              </w:rPr>
              <w:t>, Islande, Féroé, Grande-Bretagne, Irlande, Helgoland, NO France</w:t>
            </w:r>
          </w:p>
        </w:tc>
      </w:tr>
      <w:tr w:rsidR="008E5AEA" w:rsidRPr="00BC4D45" w14:paraId="7A96E7D5" w14:textId="77777777" w:rsidTr="008E5AEA">
        <w:trPr>
          <w:trHeight w:val="300"/>
        </w:trPr>
        <w:tc>
          <w:tcPr>
            <w:tcW w:w="9288" w:type="dxa"/>
            <w:tcBorders>
              <w:top w:val="nil"/>
              <w:left w:val="nil"/>
              <w:bottom w:val="single" w:sz="8" w:space="0" w:color="4F81BD" w:themeColor="accent1"/>
              <w:right w:val="nil"/>
            </w:tcBorders>
            <w:noWrap/>
            <w:hideMark/>
          </w:tcPr>
          <w:p w14:paraId="48AEF26C" w14:textId="77777777" w:rsidR="008E5AEA" w:rsidRPr="007C275D" w:rsidRDefault="008E5AEA">
            <w:pPr>
              <w:keepNext/>
              <w:keepLines/>
              <w:spacing w:before="240" w:after="60"/>
              <w:outlineLvl w:val="2"/>
              <w:rPr>
                <w:rFonts w:ascii="Calibri" w:hAnsi="Calibri"/>
                <w:color w:val="auto"/>
                <w:szCs w:val="24"/>
                <w:lang w:val="fr-FR"/>
              </w:rPr>
            </w:pPr>
            <w:bookmarkStart w:id="114" w:name="_Toc517262056"/>
            <w:r>
              <w:rPr>
                <w:rFonts w:ascii="Calibri" w:hAnsi="Calibri"/>
                <w:color w:val="auto"/>
                <w:szCs w:val="24"/>
                <w:lang w:val="fr-FR"/>
              </w:rPr>
              <w:t>Petit Pingouin Alca torda torda, E Amérique du Nord, Groenland, E à la mer Baltique et mer Blanche</w:t>
            </w:r>
            <w:bookmarkEnd w:id="114"/>
          </w:p>
        </w:tc>
      </w:tr>
    </w:tbl>
    <w:p w14:paraId="0A48C4FA" w14:textId="77777777" w:rsidR="008E5AEA" w:rsidRPr="007C275D" w:rsidRDefault="008E5AEA" w:rsidP="008E5AEA">
      <w:pPr>
        <w:rPr>
          <w:lang w:val="fr-FR"/>
        </w:rPr>
      </w:pPr>
      <w:r w:rsidRPr="007C275D">
        <w:rPr>
          <w:lang w:val="fr-FR"/>
        </w:rPr>
        <w:t xml:space="preserve"> </w:t>
      </w:r>
      <w:r w:rsidRPr="007C275D">
        <w:rPr>
          <w:lang w:val="fr-FR"/>
        </w:rPr>
        <w:br w:type="page"/>
      </w:r>
    </w:p>
    <w:p w14:paraId="24B96232" w14:textId="77777777" w:rsidR="008E5AEA" w:rsidRPr="007C275D" w:rsidRDefault="008E5AEA" w:rsidP="008E5AEA">
      <w:pPr>
        <w:pStyle w:val="Heading3"/>
        <w:rPr>
          <w:rFonts w:ascii="Times New Roman" w:eastAsia="Times New Roman" w:hAnsi="Times New Roman" w:cs="Times New Roman"/>
          <w:lang w:val="fr-FR"/>
        </w:rPr>
      </w:pPr>
      <w:bookmarkStart w:id="115" w:name="_Toc517262057"/>
      <w:r>
        <w:rPr>
          <w:rFonts w:ascii="Times New Roman" w:eastAsia="Times New Roman" w:hAnsi="Times New Roman" w:cs="Times New Roman"/>
          <w:lang w:val="fr-FR"/>
        </w:rPr>
        <w:lastRenderedPageBreak/>
        <w:t>3.1.2 Augmentation de 50 % des espèces/ populations dont l’état au niveau international fait l’objet d’évaluations sur la base de données de surveillance régulière</w:t>
      </w:r>
      <w:bookmarkEnd w:id="115"/>
      <w:r w:rsidRPr="007C275D">
        <w:rPr>
          <w:rFonts w:ascii="Times New Roman" w:eastAsia="Times New Roman" w:hAnsi="Times New Roman" w:cs="Times New Roman"/>
          <w:lang w:val="fr-FR"/>
        </w:rPr>
        <w:t xml:space="preserve"> </w:t>
      </w:r>
    </w:p>
    <w:p w14:paraId="76F8D48E" w14:textId="77777777" w:rsidR="008E5AEA" w:rsidRPr="007C275D" w:rsidRDefault="008E5AEA" w:rsidP="008E5AEA">
      <w:pPr>
        <w:rPr>
          <w:lang w:val="fr-FR"/>
        </w:rPr>
      </w:pPr>
    </w:p>
    <w:p w14:paraId="42FF34DC" w14:textId="77777777" w:rsidR="008E5AEA" w:rsidRPr="007C275D" w:rsidRDefault="008E5AEA" w:rsidP="008E5AEA">
      <w:pPr>
        <w:jc w:val="both"/>
        <w:rPr>
          <w:lang w:val="fr-FR"/>
        </w:rPr>
      </w:pPr>
      <w:r>
        <w:rPr>
          <w:lang w:val="fr-FR"/>
        </w:rPr>
        <w:t>Cet indicateur mesure l’objectif du Plan stratégique stipulant que « </w:t>
      </w:r>
      <w:r>
        <w:rPr>
          <w:i/>
          <w:lang w:val="fr-FR"/>
        </w:rPr>
        <w:t>Les ressources nécessaires sont en place pour soutenir, à long terme, les processus internationaux de collecte de données de surveillance pour l’évaluation de l’état de conservation. </w:t>
      </w:r>
      <w:r>
        <w:rPr>
          <w:lang w:val="fr-FR"/>
        </w:rPr>
        <w:t>»</w:t>
      </w:r>
      <w:r w:rsidRPr="007C275D">
        <w:rPr>
          <w:lang w:val="fr-FR"/>
        </w:rPr>
        <w:t xml:space="preserve"> </w:t>
      </w:r>
    </w:p>
    <w:p w14:paraId="539BBDB4" w14:textId="77777777" w:rsidR="008E5AEA" w:rsidRPr="007C275D" w:rsidRDefault="008E5AEA" w:rsidP="008E5AEA">
      <w:pPr>
        <w:jc w:val="both"/>
        <w:rPr>
          <w:lang w:val="fr-FR"/>
        </w:rPr>
      </w:pPr>
    </w:p>
    <w:p w14:paraId="18C97DCE" w14:textId="77777777" w:rsidR="008E5AEA" w:rsidRPr="007C275D" w:rsidRDefault="008E5AEA" w:rsidP="008E5AEA">
      <w:pPr>
        <w:jc w:val="both"/>
        <w:rPr>
          <w:lang w:val="fr-FR"/>
        </w:rPr>
      </w:pPr>
      <w:r>
        <w:rPr>
          <w:lang w:val="fr-FR"/>
        </w:rPr>
        <w:t>L’évaluation de cet indicateur est basée sur la notation de la qualité des estimations des tailles et des tendances des populations dans le présent rapport et dans les rapports précédents. Pour chaque période de temps, le score minimum de la qualité des estimations des tailles et des tendances des populations a été retenu, et les valeurs obtenues ont été converties en « oui » ou « non », les scores 1 et 2 étant considérés comme « non » et les scores 3 et 4 comme « oui ».</w:t>
      </w:r>
    </w:p>
    <w:p w14:paraId="04EC1265" w14:textId="77777777" w:rsidR="008E5AEA" w:rsidRPr="007C275D" w:rsidRDefault="008E5AEA" w:rsidP="008E5AEA">
      <w:pPr>
        <w:jc w:val="both"/>
        <w:rPr>
          <w:lang w:val="fr-FR"/>
        </w:rPr>
      </w:pPr>
    </w:p>
    <w:p w14:paraId="6F8A55E6" w14:textId="77777777" w:rsidR="008E5AEA" w:rsidRDefault="008E5AEA" w:rsidP="008E5AEA">
      <w:pPr>
        <w:jc w:val="both"/>
        <w:rPr>
          <w:b/>
        </w:rPr>
      </w:pPr>
      <w:r>
        <w:rPr>
          <w:lang w:val="fr-FR"/>
        </w:rPr>
        <w:t xml:space="preserve">Comme l’indique la figure 35, le nombre de populations dont l’état au niveau international a été évalué sur la base de données de surveillance régulière a augmenté, passant de 102 dans le CSR4 à 221 dans le présent rapport, soit une augmentation de 116 %, signifiant que ce nombre a plus que doublé. Ainsi, </w:t>
      </w:r>
      <w:r>
        <w:rPr>
          <w:b/>
          <w:lang w:val="fr-FR"/>
        </w:rPr>
        <w:t>cet objectif a été atteint</w:t>
      </w:r>
      <w:r>
        <w:rPr>
          <w:lang w:val="fr-FR"/>
        </w:rPr>
        <w:t>.</w:t>
      </w:r>
      <w:r>
        <w:rPr>
          <w:b/>
          <w:lang w:val="fr-FR"/>
        </w:rPr>
        <w:t xml:space="preserve"> </w:t>
      </w:r>
    </w:p>
    <w:p w14:paraId="290E5503" w14:textId="77777777" w:rsidR="008E5AEA" w:rsidRDefault="008E5AEA" w:rsidP="008E5AEA"/>
    <w:p w14:paraId="25E022B1" w14:textId="10DD09A1" w:rsidR="008E5AEA" w:rsidRDefault="00F15422" w:rsidP="008E5AEA">
      <w:pPr>
        <w:keepNext/>
      </w:pPr>
      <w:r>
        <w:rPr>
          <w:noProof/>
          <w:lang w:val="nl-NL" w:eastAsia="nl-NL"/>
        </w:rPr>
        <mc:AlternateContent>
          <mc:Choice Requires="wps">
            <w:drawing>
              <wp:anchor distT="0" distB="0" distL="114300" distR="114300" simplePos="0" relativeHeight="251664896" behindDoc="0" locked="0" layoutInCell="1" allowOverlap="1" wp14:anchorId="0AC72555" wp14:editId="385D1E26">
                <wp:simplePos x="0" y="0"/>
                <wp:positionH relativeFrom="column">
                  <wp:posOffset>5585460</wp:posOffset>
                </wp:positionH>
                <wp:positionV relativeFrom="paragraph">
                  <wp:posOffset>1277620</wp:posOffset>
                </wp:positionV>
                <wp:extent cx="1038225" cy="1276350"/>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1038225" cy="1276350"/>
                        </a:xfrm>
                        <a:prstGeom prst="rect">
                          <a:avLst/>
                        </a:prstGeom>
                        <a:solidFill>
                          <a:schemeClr val="lt1"/>
                        </a:solidFill>
                        <a:ln w="6350">
                          <a:noFill/>
                        </a:ln>
                      </wps:spPr>
                      <wps:txbx>
                        <w:txbxContent>
                          <w:p w14:paraId="72AAF23A" w14:textId="2D5B0EAA" w:rsidR="00BC4D45" w:rsidRPr="00F93D1D" w:rsidRDefault="00BC4D45" w:rsidP="00F15422">
                            <w:pPr>
                              <w:pStyle w:val="ListParagraph"/>
                              <w:numPr>
                                <w:ilvl w:val="0"/>
                                <w:numId w:val="40"/>
                              </w:numPr>
                              <w:ind w:left="0" w:firstLine="5954"/>
                              <w:rPr>
                                <w:color w:val="4F81BD" w:themeColor="accent1"/>
                                <w:sz w:val="18"/>
                                <w:szCs w:val="18"/>
                                <w:lang w:val="fr-FR"/>
                              </w:rPr>
                            </w:pPr>
                            <w:r w:rsidRPr="00F93D1D">
                              <w:rPr>
                                <w:color w:val="4F81BD" w:themeColor="accent1"/>
                                <w:sz w:val="18"/>
                                <w:szCs w:val="18"/>
                                <w:lang w:val="fr-FR"/>
                              </w:rPr>
                              <w:t>N</w:t>
                            </w:r>
                            <w:r>
                              <w:rPr>
                                <w:color w:val="4F81BD" w:themeColor="accent1"/>
                                <w:sz w:val="18"/>
                                <w:szCs w:val="18"/>
                                <w:lang w:val="fr-FR"/>
                              </w:rPr>
                              <w:t>N</w:t>
                            </w:r>
                            <w:r w:rsidRPr="00F93D1D">
                              <w:rPr>
                                <w:color w:val="4F81BD" w:themeColor="accent1"/>
                                <w:sz w:val="18"/>
                                <w:szCs w:val="18"/>
                                <w:lang w:val="fr-FR"/>
                              </w:rPr>
                              <w:t>on basé sur la surveillance</w:t>
                            </w:r>
                          </w:p>
                          <w:p w14:paraId="7D9E7377" w14:textId="77777777" w:rsidR="00BC4D45" w:rsidRDefault="00BC4D45" w:rsidP="00F15422">
                            <w:pPr>
                              <w:rPr>
                                <w:color w:val="4F81BD" w:themeColor="accent1"/>
                                <w:sz w:val="18"/>
                                <w:szCs w:val="18"/>
                                <w:lang w:val="fr-FR"/>
                              </w:rPr>
                            </w:pPr>
                          </w:p>
                          <w:p w14:paraId="7D10FC67" w14:textId="7004A798" w:rsidR="00BC4D45" w:rsidRDefault="00BC4D45" w:rsidP="00F15422">
                            <w:r w:rsidRPr="00F93D1D">
                              <w:rPr>
                                <w:color w:val="4F81BD" w:themeColor="accent1"/>
                                <w:sz w:val="18"/>
                                <w:szCs w:val="18"/>
                                <w:lang w:val="fr-FR"/>
                              </w:rPr>
                              <w:t>Basé sur la surveillance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72555" id="Text Box 77" o:spid="_x0000_s1053" type="#_x0000_t202" style="position:absolute;margin-left:439.8pt;margin-top:100.6pt;width:81.75pt;height:100.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" fillcolor="white [3201]" stroked="f" strokeweight=".5pt">
                <v:textbox>
                  <w:txbxContent>
                    <w:p w14:paraId="72AAF23A" w14:textId="2D5B0EAA" w:rsidR="00BC4D45" w:rsidRPr="00F93D1D" w:rsidRDefault="00BC4D45" w:rsidP="00F15422">
                      <w:pPr>
                        <w:pStyle w:val="ListParagraph"/>
                        <w:numPr>
                          <w:ilvl w:val="0"/>
                          <w:numId w:val="40"/>
                        </w:numPr>
                        <w:ind w:left="0" w:firstLine="5954"/>
                        <w:rPr>
                          <w:color w:val="4F81BD" w:themeColor="accent1"/>
                          <w:sz w:val="18"/>
                          <w:szCs w:val="18"/>
                          <w:lang w:val="fr-FR"/>
                        </w:rPr>
                      </w:pPr>
                      <w:r w:rsidRPr="00F93D1D">
                        <w:rPr>
                          <w:color w:val="4F81BD" w:themeColor="accent1"/>
                          <w:sz w:val="18"/>
                          <w:szCs w:val="18"/>
                          <w:lang w:val="fr-FR"/>
                        </w:rPr>
                        <w:t>N</w:t>
                      </w:r>
                      <w:r>
                        <w:rPr>
                          <w:color w:val="4F81BD" w:themeColor="accent1"/>
                          <w:sz w:val="18"/>
                          <w:szCs w:val="18"/>
                          <w:lang w:val="fr-FR"/>
                        </w:rPr>
                        <w:t>N</w:t>
                      </w:r>
                      <w:r w:rsidRPr="00F93D1D">
                        <w:rPr>
                          <w:color w:val="4F81BD" w:themeColor="accent1"/>
                          <w:sz w:val="18"/>
                          <w:szCs w:val="18"/>
                          <w:lang w:val="fr-FR"/>
                        </w:rPr>
                        <w:t>on basé sur la surveillance</w:t>
                      </w:r>
                    </w:p>
                    <w:p w14:paraId="7D9E7377" w14:textId="77777777" w:rsidR="00BC4D45" w:rsidRDefault="00BC4D45" w:rsidP="00F15422">
                      <w:pPr>
                        <w:rPr>
                          <w:color w:val="4F81BD" w:themeColor="accent1"/>
                          <w:sz w:val="18"/>
                          <w:szCs w:val="18"/>
                          <w:lang w:val="fr-FR"/>
                        </w:rPr>
                      </w:pPr>
                    </w:p>
                    <w:p w14:paraId="7D10FC67" w14:textId="7004A798" w:rsidR="00BC4D45" w:rsidRDefault="00BC4D45" w:rsidP="00F15422">
                      <w:r w:rsidRPr="00F93D1D">
                        <w:rPr>
                          <w:color w:val="4F81BD" w:themeColor="accent1"/>
                          <w:sz w:val="18"/>
                          <w:szCs w:val="18"/>
                          <w:lang w:val="fr-FR"/>
                        </w:rPr>
                        <w:t>Basé sur la surveillance</w:t>
                      </w:r>
                    </w:p>
                  </w:txbxContent>
                </v:textbox>
              </v:shape>
            </w:pict>
          </mc:Fallback>
        </mc:AlternateContent>
      </w:r>
      <w:r w:rsidR="008E5AEA">
        <w:rPr>
          <w:noProof/>
          <w:lang w:val="nl-NL" w:eastAsia="nl-NL"/>
        </w:rPr>
        <w:drawing>
          <wp:inline distT="0" distB="0" distL="0" distR="0" wp14:anchorId="3FF07292" wp14:editId="3FDB199B">
            <wp:extent cx="5278120" cy="32981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3298190"/>
                    </a:xfrm>
                    <a:prstGeom prst="rect">
                      <a:avLst/>
                    </a:prstGeom>
                    <a:noFill/>
                    <a:ln>
                      <a:noFill/>
                    </a:ln>
                  </pic:spPr>
                </pic:pic>
              </a:graphicData>
            </a:graphic>
          </wp:inline>
        </w:drawing>
      </w:r>
    </w:p>
    <w:p w14:paraId="229FA889" w14:textId="1989DDFD" w:rsidR="008E5AEA" w:rsidRDefault="008E5AEA" w:rsidP="008E5AEA">
      <w:pPr>
        <w:pStyle w:val="Caption"/>
      </w:pPr>
    </w:p>
    <w:p w14:paraId="62114724" w14:textId="77777777" w:rsidR="008E5AEA" w:rsidRPr="007C275D" w:rsidRDefault="008E5AEA" w:rsidP="008E5AEA">
      <w:pPr>
        <w:pStyle w:val="Caption"/>
        <w:rPr>
          <w:lang w:val="fr-FR"/>
        </w:rPr>
      </w:pPr>
      <w:r>
        <w:rPr>
          <w:lang w:val="fr-FR"/>
        </w:rPr>
        <w:t>Figure 35. Nombre de populations dont l’évaluation de l’état de conservation au niveau international est basée sur des données de surveillance régulière</w:t>
      </w:r>
    </w:p>
    <w:p w14:paraId="4BE312D5" w14:textId="77777777" w:rsidR="008E5AEA" w:rsidRPr="007C275D" w:rsidRDefault="008E5AEA" w:rsidP="008E5AEA">
      <w:pPr>
        <w:jc w:val="both"/>
        <w:rPr>
          <w:lang w:val="fr-FR"/>
        </w:rPr>
      </w:pPr>
      <w:r>
        <w:rPr>
          <w:lang w:val="fr-FR"/>
        </w:rPr>
        <w:t xml:space="preserve">Il est toutefois important de noter que les 221 populations représentent seulement 40 % de toutes les populations de l’AEWA. L’évaluation de 60% des populations n’est toujours pas possible sur la base d’une surveillance régulière. Comme le montre la figure 36, l’évaluation de l’état des populations d’oiseaux d’eau est basée sur la surveillance régulière pour moins de 20 % des populations de l’Asie centrale et du Sud-Ouest et la plupart des régions de la région afro-tropicale, à l’exception de l’Afrique australe qui dépasse même la voie de migration mer Noire-Méditerranée. Ce point met en relief l’importance de l’amélioration de la mise en œuvre nationale du Recensement international des oiseaux d’eau et du lancement de programmes de surveillance adéquates (par ex. surveillance des oiseaux coloniaux reproducteurs, atlas d’oiseaux) dans ces sous-régions afin de générer des données </w:t>
      </w:r>
      <w:r>
        <w:rPr>
          <w:lang w:val="fr-FR"/>
        </w:rPr>
        <w:lastRenderedPageBreak/>
        <w:t xml:space="preserve">pour les populations dont l’état ne peut pas être évalué de manière appropriée sur la base du Recensement international des oiseaux d’eau. </w:t>
      </w:r>
    </w:p>
    <w:p w14:paraId="61565EA7" w14:textId="77777777" w:rsidR="008E5AEA" w:rsidRPr="007C275D" w:rsidRDefault="008E5AEA" w:rsidP="008E5AEA">
      <w:pPr>
        <w:rPr>
          <w:lang w:val="fr-FR"/>
        </w:rPr>
      </w:pPr>
    </w:p>
    <w:p w14:paraId="497A0E60" w14:textId="59633626" w:rsidR="008E5AEA" w:rsidRDefault="008E5AEA" w:rsidP="008E5AEA">
      <w:pPr>
        <w:keepNext/>
      </w:pPr>
      <w:r>
        <w:rPr>
          <w:noProof/>
          <w:lang w:val="nl-NL" w:eastAsia="nl-NL"/>
        </w:rPr>
        <w:drawing>
          <wp:inline distT="0" distB="0" distL="0" distR="0" wp14:anchorId="06682EB3" wp14:editId="650A5B73">
            <wp:extent cx="5265420" cy="3896995"/>
            <wp:effectExtent l="0" t="0" r="0"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65420" cy="3896995"/>
                    </a:xfrm>
                    <a:prstGeom prst="rect">
                      <a:avLst/>
                    </a:prstGeom>
                    <a:noFill/>
                    <a:ln>
                      <a:noFill/>
                    </a:ln>
                  </pic:spPr>
                </pic:pic>
              </a:graphicData>
            </a:graphic>
          </wp:inline>
        </w:drawing>
      </w:r>
    </w:p>
    <w:p w14:paraId="064EE77E" w14:textId="77777777" w:rsidR="00F15422" w:rsidRDefault="00F15422" w:rsidP="00F15422">
      <w:pPr>
        <w:tabs>
          <w:tab w:val="left" w:pos="851"/>
          <w:tab w:val="left" w:pos="3686"/>
          <w:tab w:val="left" w:pos="6096"/>
          <w:tab w:val="left" w:pos="7088"/>
        </w:tabs>
        <w:rPr>
          <w:rFonts w:cstheme="minorHAnsi"/>
          <w:color w:val="4F81BD" w:themeColor="accent1"/>
          <w:sz w:val="18"/>
          <w:szCs w:val="18"/>
          <w:lang w:val="fr-FR"/>
        </w:rPr>
      </w:pPr>
    </w:p>
    <w:p w14:paraId="49D87598" w14:textId="5E87B87A" w:rsidR="00D95894" w:rsidRPr="00D95894" w:rsidRDefault="00D95894"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Pr>
          <w:rFonts w:cstheme="minorHAnsi"/>
          <w:noProof/>
          <w:color w:val="4F81BD" w:themeColor="accent1"/>
          <w:sz w:val="18"/>
          <w:szCs w:val="18"/>
          <w:lang w:val="fr-FR"/>
        </w:rPr>
        <mc:AlternateContent>
          <mc:Choice Requires="wps">
            <w:drawing>
              <wp:anchor distT="0" distB="0" distL="114300" distR="114300" simplePos="0" relativeHeight="251665920" behindDoc="0" locked="0" layoutInCell="1" allowOverlap="1" wp14:anchorId="17BD07F3" wp14:editId="68222863">
                <wp:simplePos x="0" y="0"/>
                <wp:positionH relativeFrom="column">
                  <wp:posOffset>3566160</wp:posOffset>
                </wp:positionH>
                <wp:positionV relativeFrom="paragraph">
                  <wp:posOffset>43815</wp:posOffset>
                </wp:positionV>
                <wp:extent cx="1703070" cy="88582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1703070" cy="885825"/>
                        </a:xfrm>
                        <a:prstGeom prst="rect">
                          <a:avLst/>
                        </a:prstGeom>
                        <a:solidFill>
                          <a:schemeClr val="lt1"/>
                        </a:solidFill>
                        <a:ln w="6350">
                          <a:noFill/>
                        </a:ln>
                      </wps:spPr>
                      <wps:txbx>
                        <w:txbxContent>
                          <w:p w14:paraId="49A028EC" w14:textId="77777777" w:rsidR="00BC4D45" w:rsidRPr="00D95894" w:rsidRDefault="00BC4D45" w:rsidP="00D95894">
                            <w:pPr>
                              <w:pStyle w:val="ListParagraph"/>
                              <w:numPr>
                                <w:ilvl w:val="0"/>
                                <w:numId w:val="44"/>
                              </w:numPr>
                              <w:ind w:left="284" w:hanging="284"/>
                              <w:rPr>
                                <w:color w:val="4F81BD" w:themeColor="accent1"/>
                                <w:sz w:val="18"/>
                                <w:szCs w:val="18"/>
                                <w:lang w:val="fr-FR"/>
                              </w:rPr>
                            </w:pPr>
                            <w:r w:rsidRPr="00D95894">
                              <w:rPr>
                                <w:color w:val="4F81BD" w:themeColor="accent1"/>
                                <w:sz w:val="18"/>
                                <w:szCs w:val="18"/>
                                <w:lang w:val="fr-FR"/>
                              </w:rPr>
                              <w:t>Basé sur la surveillance</w:t>
                            </w:r>
                          </w:p>
                          <w:p w14:paraId="204ECB57" w14:textId="77777777" w:rsidR="00BC4D45" w:rsidRPr="00D95894" w:rsidRDefault="00BC4D45" w:rsidP="00D95894">
                            <w:pPr>
                              <w:pStyle w:val="ListParagraph"/>
                              <w:numPr>
                                <w:ilvl w:val="0"/>
                                <w:numId w:val="44"/>
                              </w:numPr>
                              <w:ind w:left="284" w:hanging="284"/>
                              <w:rPr>
                                <w:color w:val="4F81BD" w:themeColor="accent1"/>
                                <w:sz w:val="18"/>
                                <w:szCs w:val="18"/>
                                <w:lang w:val="fr-FR"/>
                              </w:rPr>
                            </w:pPr>
                            <w:r w:rsidRPr="00D95894">
                              <w:rPr>
                                <w:color w:val="4F81BD" w:themeColor="accent1"/>
                                <w:sz w:val="18"/>
                                <w:szCs w:val="18"/>
                                <w:lang w:val="fr-FR"/>
                              </w:rPr>
                              <w:t>Non basé sur la surveillance</w:t>
                            </w:r>
                          </w:p>
                          <w:p w14:paraId="4957F1BE" w14:textId="77777777" w:rsidR="00BC4D45" w:rsidRPr="00D95894" w:rsidRDefault="00BC4D4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D07F3" id="Text Box 58" o:spid="_x0000_s1054" type="#_x0000_t202" style="position:absolute;left:0;text-align:left;margin-left:280.8pt;margin-top:3.45pt;width:134.1pt;height:69.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" fillcolor="white [3201]" stroked="f" strokeweight=".5pt">
                <v:textbox>
                  <w:txbxContent>
                    <w:p w14:paraId="49A028EC" w14:textId="77777777" w:rsidR="00BC4D45" w:rsidRPr="00D95894" w:rsidRDefault="00BC4D45" w:rsidP="00D95894">
                      <w:pPr>
                        <w:pStyle w:val="ListParagraph"/>
                        <w:numPr>
                          <w:ilvl w:val="0"/>
                          <w:numId w:val="44"/>
                        </w:numPr>
                        <w:ind w:left="284" w:hanging="284"/>
                        <w:rPr>
                          <w:color w:val="4F81BD" w:themeColor="accent1"/>
                          <w:sz w:val="18"/>
                          <w:szCs w:val="18"/>
                          <w:lang w:val="fr-FR"/>
                        </w:rPr>
                      </w:pPr>
                      <w:r w:rsidRPr="00D95894">
                        <w:rPr>
                          <w:color w:val="4F81BD" w:themeColor="accent1"/>
                          <w:sz w:val="18"/>
                          <w:szCs w:val="18"/>
                          <w:lang w:val="fr-FR"/>
                        </w:rPr>
                        <w:t>Basé sur la surveillance</w:t>
                      </w:r>
                    </w:p>
                    <w:p w14:paraId="204ECB57" w14:textId="77777777" w:rsidR="00BC4D45" w:rsidRPr="00D95894" w:rsidRDefault="00BC4D45" w:rsidP="00D95894">
                      <w:pPr>
                        <w:pStyle w:val="ListParagraph"/>
                        <w:numPr>
                          <w:ilvl w:val="0"/>
                          <w:numId w:val="44"/>
                        </w:numPr>
                        <w:ind w:left="284" w:hanging="284"/>
                        <w:rPr>
                          <w:color w:val="4F81BD" w:themeColor="accent1"/>
                          <w:sz w:val="18"/>
                          <w:szCs w:val="18"/>
                          <w:lang w:val="fr-FR"/>
                        </w:rPr>
                      </w:pPr>
                      <w:r w:rsidRPr="00D95894">
                        <w:rPr>
                          <w:color w:val="4F81BD" w:themeColor="accent1"/>
                          <w:sz w:val="18"/>
                          <w:szCs w:val="18"/>
                          <w:lang w:val="fr-FR"/>
                        </w:rPr>
                        <w:t>Non basé sur la surveillance</w:t>
                      </w:r>
                    </w:p>
                    <w:p w14:paraId="4957F1BE" w14:textId="77777777" w:rsidR="00BC4D45" w:rsidRPr="00D95894" w:rsidRDefault="00BC4D45">
                      <w:pPr>
                        <w:rPr>
                          <w:lang w:val="fr-FR"/>
                        </w:rPr>
                      </w:pPr>
                    </w:p>
                  </w:txbxContent>
                </v:textbox>
              </v:shape>
            </w:pict>
          </mc:Fallback>
        </mc:AlternateContent>
      </w:r>
      <w:r w:rsidR="00F15422" w:rsidRPr="00D95894">
        <w:rPr>
          <w:rFonts w:cstheme="minorHAnsi"/>
          <w:color w:val="4F81BD" w:themeColor="accent1"/>
          <w:sz w:val="18"/>
          <w:szCs w:val="18"/>
          <w:lang w:val="fr-FR"/>
        </w:rPr>
        <w:t>Grand total</w:t>
      </w:r>
      <w:r w:rsidRPr="00D95894">
        <w:rPr>
          <w:rFonts w:cstheme="minorHAnsi"/>
          <w:color w:val="4F81BD" w:themeColor="accent1"/>
          <w:sz w:val="18"/>
          <w:szCs w:val="18"/>
          <w:lang w:val="fr-FR"/>
        </w:rPr>
        <w:t xml:space="preserve"> </w:t>
      </w:r>
    </w:p>
    <w:p w14:paraId="01636EE0" w14:textId="77777777" w:rsidR="00F15422" w:rsidRPr="00F15422"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sidRPr="00F15422">
        <w:rPr>
          <w:rFonts w:cstheme="minorHAnsi"/>
          <w:color w:val="4F81BD" w:themeColor="accent1"/>
          <w:sz w:val="18"/>
          <w:szCs w:val="18"/>
          <w:lang w:val="fr-FR"/>
        </w:rPr>
        <w:t>Paléarctique occidental – Atlantique</w:t>
      </w:r>
    </w:p>
    <w:p w14:paraId="5EA13B4C" w14:textId="77777777" w:rsidR="00F15422" w:rsidRPr="00F15422"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sidRPr="00F15422">
        <w:rPr>
          <w:rFonts w:cstheme="minorHAnsi"/>
          <w:color w:val="4F81BD" w:themeColor="accent1"/>
          <w:sz w:val="18"/>
          <w:szCs w:val="18"/>
          <w:lang w:val="fr-FR"/>
        </w:rPr>
        <w:t>Voie de migration de l’Atlantique Est</w:t>
      </w:r>
    </w:p>
    <w:p w14:paraId="6A6CCE17" w14:textId="77777777" w:rsidR="00F15422" w:rsidRPr="00F15422"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sidRPr="00F15422">
        <w:rPr>
          <w:rFonts w:cstheme="minorHAnsi"/>
          <w:color w:val="4F81BD" w:themeColor="accent1"/>
          <w:sz w:val="18"/>
          <w:szCs w:val="18"/>
          <w:lang w:val="fr-FR"/>
        </w:rPr>
        <w:t>Paléarctique occidental – Mer Noire – Méditerranée</w:t>
      </w:r>
    </w:p>
    <w:p w14:paraId="6B2B3AD8" w14:textId="77777777" w:rsidR="00F15422" w:rsidRPr="00F15422"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sidRPr="00F15422">
        <w:rPr>
          <w:rFonts w:cstheme="minorHAnsi"/>
          <w:color w:val="4F81BD" w:themeColor="accent1"/>
          <w:sz w:val="18"/>
          <w:szCs w:val="18"/>
          <w:lang w:val="fr-FR"/>
        </w:rPr>
        <w:t>Région afro-tropicale – Australe</w:t>
      </w:r>
    </w:p>
    <w:p w14:paraId="747D5F49" w14:textId="77777777" w:rsidR="00F15422" w:rsidRPr="00F15422"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sidRPr="00F15422">
        <w:rPr>
          <w:rFonts w:cstheme="minorHAnsi"/>
          <w:color w:val="4F81BD" w:themeColor="accent1"/>
          <w:sz w:val="18"/>
          <w:szCs w:val="18"/>
          <w:lang w:val="fr-FR"/>
        </w:rPr>
        <w:t>Voie de migration mer Noire–Méditerranée</w:t>
      </w:r>
    </w:p>
    <w:p w14:paraId="08BD663D" w14:textId="77777777" w:rsidR="00F15422" w:rsidRPr="00F15422" w:rsidRDefault="00F15422" w:rsidP="00D95894">
      <w:pPr>
        <w:pStyle w:val="ListParagraph"/>
        <w:numPr>
          <w:ilvl w:val="0"/>
          <w:numId w:val="42"/>
        </w:numPr>
        <w:tabs>
          <w:tab w:val="left" w:pos="851"/>
          <w:tab w:val="left" w:pos="3686"/>
          <w:tab w:val="left" w:pos="6096"/>
          <w:tab w:val="left" w:pos="7088"/>
        </w:tabs>
        <w:ind w:left="284" w:hanging="284"/>
        <w:rPr>
          <w:rFonts w:cstheme="minorHAnsi"/>
          <w:color w:val="4F81BD" w:themeColor="accent1"/>
          <w:sz w:val="18"/>
          <w:szCs w:val="18"/>
          <w:lang w:val="fr-FR"/>
        </w:rPr>
      </w:pPr>
      <w:r w:rsidRPr="00F15422">
        <w:rPr>
          <w:rFonts w:cstheme="minorHAnsi"/>
          <w:color w:val="4F81BD" w:themeColor="accent1"/>
          <w:sz w:val="18"/>
          <w:szCs w:val="18"/>
          <w:lang w:val="fr-FR"/>
        </w:rPr>
        <w:t>Autres</w:t>
      </w:r>
    </w:p>
    <w:p w14:paraId="72748D82" w14:textId="09272FBC" w:rsidR="00F15422" w:rsidRDefault="00F15422" w:rsidP="00F15422"/>
    <w:p w14:paraId="3D511177" w14:textId="77777777" w:rsidR="008E5AEA" w:rsidRPr="007C275D" w:rsidRDefault="008E5AEA" w:rsidP="008E5AEA">
      <w:pPr>
        <w:pStyle w:val="Caption"/>
        <w:rPr>
          <w:lang w:val="fr-FR"/>
        </w:rPr>
      </w:pPr>
      <w:r>
        <w:rPr>
          <w:lang w:val="fr-FR"/>
        </w:rPr>
        <w:t>Figure 36. Nombre et pourcentage de populations dont l’état ne peut pas être évalué sur la base d’une surveillance régulière dans différentes parties de la zone de l’Accord</w:t>
      </w:r>
    </w:p>
    <w:p w14:paraId="6A17D16D" w14:textId="77777777" w:rsidR="008E5AEA" w:rsidRPr="007C275D" w:rsidRDefault="008E5AEA" w:rsidP="008E5AEA">
      <w:pPr>
        <w:rPr>
          <w:lang w:val="fr-FR"/>
        </w:rPr>
      </w:pPr>
    </w:p>
    <w:p w14:paraId="2ECA4294" w14:textId="77777777" w:rsidR="008E5AEA" w:rsidRPr="007C275D" w:rsidRDefault="008E5AEA" w:rsidP="008E5AEA">
      <w:pPr>
        <w:rPr>
          <w:lang w:val="fr-FR"/>
        </w:rPr>
      </w:pPr>
      <w:r w:rsidRPr="007C275D">
        <w:rPr>
          <w:lang w:val="fr-FR"/>
        </w:rPr>
        <w:t xml:space="preserve"> </w:t>
      </w:r>
      <w:r w:rsidRPr="007C275D">
        <w:rPr>
          <w:lang w:val="fr-FR"/>
        </w:rPr>
        <w:br w:type="page"/>
      </w:r>
    </w:p>
    <w:p w14:paraId="2068E489" w14:textId="77777777" w:rsidR="008E5AEA" w:rsidRPr="007C275D" w:rsidRDefault="008E5AEA" w:rsidP="008E5AEA">
      <w:pPr>
        <w:pStyle w:val="Heading1"/>
        <w:ind w:left="0" w:firstLine="0"/>
        <w:rPr>
          <w:sz w:val="28"/>
          <w:szCs w:val="28"/>
          <w:lang w:val="fr-FR"/>
        </w:rPr>
      </w:pPr>
      <w:bookmarkStart w:id="116" w:name="h.2lwamvv"/>
      <w:bookmarkStart w:id="117" w:name="_Toc517262058"/>
      <w:bookmarkEnd w:id="116"/>
      <w:r>
        <w:rPr>
          <w:sz w:val="28"/>
          <w:szCs w:val="28"/>
          <w:lang w:val="fr-FR"/>
        </w:rPr>
        <w:lastRenderedPageBreak/>
        <w:t>Annexe 1. Tailles et tendances des espèces d’oiseaux d’eau incluses dans l’Accord</w:t>
      </w:r>
      <w:bookmarkEnd w:id="117"/>
    </w:p>
    <w:p w14:paraId="73141B28" w14:textId="77777777" w:rsidR="008E5AEA" w:rsidRPr="007C275D" w:rsidRDefault="008E5AEA" w:rsidP="008E5AEA">
      <w:pPr>
        <w:pStyle w:val="Normal1"/>
        <w:tabs>
          <w:tab w:val="left" w:pos="-720"/>
        </w:tabs>
        <w:jc w:val="both"/>
        <w:rPr>
          <w:lang w:val="fr-FR"/>
        </w:rPr>
      </w:pPr>
    </w:p>
    <w:p w14:paraId="6562C0FE" w14:textId="77777777" w:rsidR="008E5AEA" w:rsidRPr="007C275D" w:rsidRDefault="008E5AEA" w:rsidP="008E5AEA">
      <w:pPr>
        <w:pStyle w:val="Normal1"/>
        <w:jc w:val="both"/>
        <w:rPr>
          <w:szCs w:val="24"/>
          <w:lang w:val="fr-FR"/>
        </w:rPr>
      </w:pPr>
      <w:r>
        <w:rPr>
          <w:szCs w:val="24"/>
          <w:lang w:val="fr-FR"/>
        </w:rPr>
        <w:t>L’évaluation de population la plus récente de chaque population figurant au tableau 1 de l’annexe 3 de l’Accord</w:t>
      </w:r>
      <w:r>
        <w:rPr>
          <w:szCs w:val="24"/>
          <w:vertAlign w:val="superscript"/>
          <w:lang w:val="fr-FR"/>
        </w:rPr>
        <w:footnoteReference w:id="15"/>
      </w:r>
      <w:r>
        <w:rPr>
          <w:szCs w:val="24"/>
          <w:lang w:val="fr-FR"/>
        </w:rPr>
        <w:t xml:space="preserve"> est la base de données</w:t>
      </w:r>
      <w:r>
        <w:rPr>
          <w:szCs w:val="24"/>
          <w:vertAlign w:val="superscript"/>
          <w:lang w:val="fr-FR"/>
        </w:rPr>
        <w:footnoteReference w:id="16"/>
      </w:r>
      <w:r>
        <w:rPr>
          <w:szCs w:val="24"/>
          <w:lang w:val="fr-FR"/>
        </w:rPr>
        <w:t xml:space="preserve"> en ligne des Estimations de populations d’oiseaux (disponible également en tant que document séparé).</w:t>
      </w:r>
    </w:p>
    <w:p w14:paraId="1892CD08" w14:textId="77777777" w:rsidR="008E5AEA" w:rsidRPr="007C275D" w:rsidRDefault="008E5AEA" w:rsidP="008E5AEA">
      <w:pPr>
        <w:pStyle w:val="Normal1"/>
        <w:jc w:val="both"/>
        <w:rPr>
          <w:lang w:val="fr-FR"/>
        </w:rPr>
      </w:pPr>
    </w:p>
    <w:p w14:paraId="52D06FF1" w14:textId="77777777" w:rsidR="008E5AEA" w:rsidRPr="007C275D" w:rsidRDefault="008E5AEA" w:rsidP="008E5AEA">
      <w:pPr>
        <w:pStyle w:val="Heading1"/>
        <w:spacing w:before="0" w:after="0"/>
        <w:ind w:left="0" w:firstLine="0"/>
        <w:rPr>
          <w:sz w:val="28"/>
          <w:szCs w:val="28"/>
          <w:lang w:val="fr-FR"/>
        </w:rPr>
      </w:pPr>
      <w:bookmarkStart w:id="118" w:name="h.111kx3o"/>
      <w:bookmarkStart w:id="119" w:name="_Toc517262059"/>
      <w:bookmarkEnd w:id="118"/>
      <w:r>
        <w:rPr>
          <w:sz w:val="28"/>
          <w:szCs w:val="28"/>
          <w:lang w:val="fr-FR"/>
        </w:rPr>
        <w:t>Annexe 2. Rapport sur l’état et les tendances des espèces couvertes par l’AEWA inscrites sur la Liste rouge</w:t>
      </w:r>
      <w:bookmarkEnd w:id="119"/>
    </w:p>
    <w:p w14:paraId="216347B2" w14:textId="77777777" w:rsidR="008E5AEA" w:rsidRPr="007C275D" w:rsidRDefault="008E5AEA" w:rsidP="008E5AEA">
      <w:pPr>
        <w:pStyle w:val="Normal1"/>
        <w:rPr>
          <w:lang w:val="fr-FR"/>
        </w:rPr>
      </w:pPr>
      <w:r>
        <w:rPr>
          <w:lang w:val="fr-FR"/>
        </w:rPr>
        <w:t>Le rapport produit par BirdLife International est joint en tant que document séparé.</w:t>
      </w:r>
      <w:r>
        <w:rPr>
          <w:sz w:val="22"/>
          <w:lang w:val="fr-FR"/>
        </w:rPr>
        <w:t xml:space="preserve"> </w:t>
      </w:r>
    </w:p>
    <w:p w14:paraId="78C234A7" w14:textId="77777777" w:rsidR="008E5AEA" w:rsidRPr="007C275D" w:rsidRDefault="008E5AEA" w:rsidP="008E5AEA">
      <w:pPr>
        <w:pStyle w:val="Normal1"/>
        <w:rPr>
          <w:lang w:val="fr-FR"/>
        </w:rPr>
      </w:pPr>
    </w:p>
    <w:p w14:paraId="4D6AE553" w14:textId="77777777" w:rsidR="008E5AEA" w:rsidRPr="007C275D" w:rsidRDefault="008E5AEA" w:rsidP="008E5AEA">
      <w:pPr>
        <w:pStyle w:val="Heading1"/>
        <w:rPr>
          <w:sz w:val="28"/>
          <w:szCs w:val="28"/>
          <w:lang w:val="fr-FR"/>
        </w:rPr>
      </w:pPr>
      <w:bookmarkStart w:id="120" w:name="h.3l18frh"/>
      <w:bookmarkStart w:id="121" w:name="_Toc517262060"/>
      <w:bookmarkEnd w:id="120"/>
      <w:r>
        <w:rPr>
          <w:sz w:val="28"/>
          <w:szCs w:val="28"/>
          <w:lang w:val="fr-FR"/>
        </w:rPr>
        <w:t>Annexe 3. Liste des contributeurs à l’IWC</w:t>
      </w:r>
      <w:bookmarkEnd w:id="121"/>
    </w:p>
    <w:p w14:paraId="18EC8855" w14:textId="77777777" w:rsidR="008E5AEA" w:rsidRDefault="008E5AEA" w:rsidP="008E5AEA">
      <w:pPr>
        <w:pStyle w:val="Normal1"/>
      </w:pPr>
      <w:r>
        <w:rPr>
          <w:lang w:val="fr-FR"/>
        </w:rPr>
        <w:t>Document séparé.</w:t>
      </w:r>
    </w:p>
    <w:p w14:paraId="0F1FAECF" w14:textId="77777777" w:rsidR="00741F7A" w:rsidRPr="001567E1" w:rsidRDefault="00741F7A">
      <w:pPr>
        <w:pStyle w:val="Normal1"/>
        <w:rPr>
          <w:lang w:val="fr-FR"/>
        </w:rPr>
      </w:pPr>
    </w:p>
    <w:sectPr w:rsidR="00741F7A" w:rsidRPr="001567E1" w:rsidSect="00487738">
      <w:headerReference w:type="default" r:id="rId75"/>
      <w:pgSz w:w="11907" w:h="16840" w:code="9"/>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DCBF" w14:textId="77777777" w:rsidR="00BC4D45" w:rsidRDefault="00BC4D45">
      <w:r>
        <w:separator/>
      </w:r>
    </w:p>
  </w:endnote>
  <w:endnote w:type="continuationSeparator" w:id="0">
    <w:p w14:paraId="0733B223" w14:textId="77777777" w:rsidR="00BC4D45" w:rsidRDefault="00BC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58FC1" w14:textId="3F34D2AE" w:rsidR="00BC4D45" w:rsidRPr="00F71FDF" w:rsidRDefault="00BC4D45" w:rsidP="00F71FDF">
    <w:pPr>
      <w:pStyle w:val="Footer"/>
      <w:framePr w:wrap="around" w:vAnchor="text" w:hAnchor="margin" w:xAlign="right" w:y="1"/>
      <w:jc w:val="center"/>
      <w:rPr>
        <w:rStyle w:val="PageNumber"/>
        <w:sz w:val="20"/>
      </w:rPr>
    </w:pPr>
    <w:r w:rsidRPr="00F71FDF">
      <w:rPr>
        <w:rStyle w:val="PageNumber"/>
        <w:sz w:val="20"/>
      </w:rPr>
      <w:fldChar w:fldCharType="begin"/>
    </w:r>
    <w:r w:rsidRPr="00F71FDF">
      <w:rPr>
        <w:rStyle w:val="PageNumber"/>
        <w:sz w:val="20"/>
      </w:rPr>
      <w:instrText xml:space="preserve">PAGE  </w:instrText>
    </w:r>
    <w:r w:rsidRPr="00F71FDF">
      <w:rPr>
        <w:rStyle w:val="PageNumber"/>
        <w:sz w:val="20"/>
      </w:rPr>
      <w:fldChar w:fldCharType="separate"/>
    </w:r>
    <w:r w:rsidR="005E65A5">
      <w:rPr>
        <w:rStyle w:val="PageNumber"/>
        <w:noProof/>
        <w:sz w:val="20"/>
      </w:rPr>
      <w:t>14</w:t>
    </w:r>
    <w:r w:rsidRPr="00F71FDF">
      <w:rPr>
        <w:rStyle w:val="PageNumber"/>
        <w:sz w:val="20"/>
      </w:rPr>
      <w:fldChar w:fldCharType="end"/>
    </w:r>
  </w:p>
  <w:p w14:paraId="0D38B4D6" w14:textId="77777777" w:rsidR="00BC4D45" w:rsidRDefault="00BC4D45" w:rsidP="004A729E">
    <w:pPr>
      <w:pStyle w:val="Normal1"/>
      <w:widowControl w:val="0"/>
      <w:tabs>
        <w:tab w:val="center" w:pos="4320"/>
        <w:tab w:val="right" w:pos="8640"/>
      </w:tabs>
      <w:spacing w:after="7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A95D" w14:textId="77777777" w:rsidR="00BC4D45" w:rsidRDefault="00BC4D45">
      <w:r>
        <w:separator/>
      </w:r>
    </w:p>
  </w:footnote>
  <w:footnote w:type="continuationSeparator" w:id="0">
    <w:p w14:paraId="511F1F74" w14:textId="77777777" w:rsidR="00BC4D45" w:rsidRDefault="00BC4D45">
      <w:r>
        <w:continuationSeparator/>
      </w:r>
    </w:p>
  </w:footnote>
  <w:footnote w:id="1">
    <w:p w14:paraId="0CE99C32" w14:textId="77777777" w:rsidR="00BC4D45" w:rsidRPr="00D95894" w:rsidRDefault="00BC4D45">
      <w:pPr>
        <w:pStyle w:val="Normal1"/>
        <w:rPr>
          <w:sz w:val="20"/>
        </w:rPr>
      </w:pPr>
      <w:r w:rsidRPr="00D95894">
        <w:rPr>
          <w:vertAlign w:val="superscript"/>
        </w:rPr>
        <w:footnoteRef/>
      </w:r>
      <w:r w:rsidRPr="00D95894">
        <w:rPr>
          <w:sz w:val="20"/>
        </w:rPr>
        <w:t xml:space="preserve"> </w:t>
      </w:r>
      <w:r w:rsidRPr="00D95894">
        <w:rPr>
          <w:rStyle w:val="Hyperlink"/>
          <w:sz w:val="20"/>
          <w:u w:val="none"/>
        </w:rPr>
        <w:t xml:space="preserve">https://www.wetlands.org/publications/1304/ </w:t>
      </w:r>
    </w:p>
  </w:footnote>
  <w:footnote w:id="2">
    <w:p w14:paraId="1F92A3AF" w14:textId="77777777" w:rsidR="00BC4D45" w:rsidRPr="00D95894" w:rsidRDefault="00BC4D45">
      <w:pPr>
        <w:pStyle w:val="Normal1"/>
      </w:pPr>
      <w:r w:rsidRPr="00D95894">
        <w:rPr>
          <w:vertAlign w:val="superscript"/>
        </w:rPr>
        <w:footnoteRef/>
      </w:r>
      <w:r w:rsidRPr="00D95894">
        <w:rPr>
          <w:sz w:val="20"/>
        </w:rPr>
        <w:t xml:space="preserve"> </w:t>
      </w:r>
      <w:hyperlink r:id="rId1" w:history="1">
        <w:r w:rsidRPr="00D95894">
          <w:rPr>
            <w:rStyle w:val="Hyperlink"/>
            <w:sz w:val="20"/>
            <w:u w:val="none"/>
          </w:rPr>
          <w:t>http://www.ebcc.info/pecbm.html</w:t>
        </w:r>
      </w:hyperlink>
      <w:r w:rsidRPr="00D95894">
        <w:rPr>
          <w:sz w:val="20"/>
        </w:rPr>
        <w:t xml:space="preserve"> </w:t>
      </w:r>
    </w:p>
  </w:footnote>
  <w:footnote w:id="3">
    <w:p w14:paraId="11018ACC" w14:textId="77777777" w:rsidR="00BC4D45" w:rsidRPr="00D95894" w:rsidRDefault="00BC4D45">
      <w:pPr>
        <w:pStyle w:val="Normal1"/>
      </w:pPr>
      <w:r w:rsidRPr="00D95894">
        <w:rPr>
          <w:vertAlign w:val="superscript"/>
        </w:rPr>
        <w:footnoteRef/>
      </w:r>
      <w:r w:rsidRPr="00D95894">
        <w:rPr>
          <w:sz w:val="20"/>
        </w:rPr>
        <w:t xml:space="preserve"> </w:t>
      </w:r>
      <w:hyperlink r:id="rId2" w:history="1">
        <w:r w:rsidRPr="00D95894">
          <w:rPr>
            <w:rStyle w:val="Hyperlink"/>
            <w:sz w:val="20"/>
            <w:u w:val="none"/>
          </w:rPr>
          <w:t>http://www.medwaterbirds.net/</w:t>
        </w:r>
      </w:hyperlink>
      <w:r w:rsidRPr="00D95894">
        <w:rPr>
          <w:sz w:val="20"/>
        </w:rPr>
        <w:t xml:space="preserve"> </w:t>
      </w:r>
    </w:p>
  </w:footnote>
  <w:footnote w:id="4">
    <w:p w14:paraId="0336681D" w14:textId="77777777" w:rsidR="00BC4D45" w:rsidRPr="00D95894" w:rsidRDefault="00BC4D45">
      <w:pPr>
        <w:pStyle w:val="Normal1"/>
      </w:pPr>
      <w:r w:rsidRPr="00D95894">
        <w:rPr>
          <w:vertAlign w:val="superscript"/>
        </w:rPr>
        <w:footnoteRef/>
      </w:r>
      <w:r w:rsidRPr="00D95894">
        <w:rPr>
          <w:sz w:val="20"/>
        </w:rPr>
        <w:t xml:space="preserve"> </w:t>
      </w:r>
      <w:hyperlink r:id="rId3" w:history="1">
        <w:r w:rsidRPr="00D95894">
          <w:rPr>
            <w:rStyle w:val="Hyperlink"/>
            <w:sz w:val="20"/>
            <w:u w:val="none"/>
          </w:rPr>
          <w:t>http://www.waddensea-secretariat.org/management/projects/wadden-sea-flyway-initiative-wsfi</w:t>
        </w:r>
      </w:hyperlink>
      <w:r w:rsidRPr="00D95894">
        <w:rPr>
          <w:sz w:val="20"/>
        </w:rPr>
        <w:t xml:space="preserve"> </w:t>
      </w:r>
    </w:p>
  </w:footnote>
  <w:footnote w:id="5">
    <w:p w14:paraId="5944D642" w14:textId="77777777" w:rsidR="00BC4D45" w:rsidRPr="00D95894" w:rsidRDefault="00BC4D45">
      <w:pPr>
        <w:pStyle w:val="Normal1"/>
      </w:pPr>
      <w:r w:rsidRPr="00D95894">
        <w:rPr>
          <w:vertAlign w:val="superscript"/>
        </w:rPr>
        <w:footnoteRef/>
      </w:r>
      <w:r w:rsidRPr="00D95894">
        <w:rPr>
          <w:sz w:val="20"/>
        </w:rPr>
        <w:t xml:space="preserve"> </w:t>
      </w:r>
      <w:hyperlink r:id="rId4" w:history="1">
        <w:r w:rsidRPr="00D95894">
          <w:rPr>
            <w:rStyle w:val="Hyperlink"/>
            <w:sz w:val="20"/>
            <w:u w:val="none"/>
          </w:rPr>
          <w:t>http://www.euronatur.org/Adriatic-Flyway.937.0.html</w:t>
        </w:r>
      </w:hyperlink>
      <w:r w:rsidRPr="00D95894">
        <w:rPr>
          <w:sz w:val="20"/>
        </w:rPr>
        <w:t xml:space="preserve"> </w:t>
      </w:r>
    </w:p>
  </w:footnote>
  <w:footnote w:id="6">
    <w:p w14:paraId="1985A835" w14:textId="77777777" w:rsidR="00BC4D45" w:rsidRPr="00D95894" w:rsidRDefault="00BC4D45">
      <w:pPr>
        <w:pStyle w:val="FootnoteText"/>
        <w:rPr>
          <w:lang w:val="hu-HU"/>
        </w:rPr>
      </w:pPr>
      <w:r w:rsidRPr="00D95894">
        <w:rPr>
          <w:rStyle w:val="FootnoteReference"/>
        </w:rPr>
        <w:footnoteRef/>
      </w:r>
      <w:r w:rsidRPr="00D95894">
        <w:t xml:space="preserve"> </w:t>
      </w:r>
      <w:r w:rsidRPr="00D95894">
        <w:rPr>
          <w:rStyle w:val="Hyperlink"/>
          <w:sz w:val="20"/>
          <w:szCs w:val="20"/>
          <w:u w:val="none"/>
        </w:rPr>
        <w:t>http://iwc.wetlands.org</w:t>
      </w:r>
    </w:p>
  </w:footnote>
  <w:footnote w:id="7">
    <w:p w14:paraId="1B78E8DD" w14:textId="77777777" w:rsidR="00BC4D45" w:rsidRPr="00D95894" w:rsidRDefault="00BC4D45">
      <w:pPr>
        <w:pStyle w:val="Normal1"/>
      </w:pPr>
      <w:r w:rsidRPr="00D95894">
        <w:rPr>
          <w:vertAlign w:val="superscript"/>
        </w:rPr>
        <w:footnoteRef/>
      </w:r>
      <w:r w:rsidRPr="00D95894">
        <w:rPr>
          <w:sz w:val="20"/>
        </w:rPr>
        <w:t xml:space="preserve"> </w:t>
      </w:r>
      <w:hyperlink r:id="rId5" w:history="1">
        <w:r w:rsidRPr="00D95894">
          <w:rPr>
            <w:rStyle w:val="Hyperlink"/>
            <w:sz w:val="20"/>
            <w:u w:val="none"/>
          </w:rPr>
          <w:t>https://europe.wetlands.org/our-network/waterbird-monitoring-partnership/</w:t>
        </w:r>
      </w:hyperlink>
      <w:r w:rsidRPr="00D95894">
        <w:rPr>
          <w:sz w:val="20"/>
        </w:rPr>
        <w:t xml:space="preserve"> </w:t>
      </w:r>
    </w:p>
  </w:footnote>
  <w:footnote w:id="8">
    <w:p w14:paraId="6DC30BCB" w14:textId="3918F307" w:rsidR="00BC4D45" w:rsidRPr="007C275D" w:rsidRDefault="00BC4D45" w:rsidP="00854935">
      <w:pPr>
        <w:pStyle w:val="Normal1"/>
        <w:rPr>
          <w:lang w:val="fr-FR"/>
        </w:rPr>
      </w:pPr>
      <w:r w:rsidRPr="00C767E0">
        <w:rPr>
          <w:vertAlign w:val="superscript"/>
          <w:lang w:val="fr-FR"/>
        </w:rPr>
        <w:footnoteRef/>
      </w:r>
      <w:r w:rsidRPr="00C767E0">
        <w:rPr>
          <w:sz w:val="20"/>
          <w:lang w:val="fr-FR"/>
        </w:rPr>
        <w:t xml:space="preserve"> Ses six éditions précédentes </w:t>
      </w:r>
      <w:r>
        <w:rPr>
          <w:sz w:val="20"/>
          <w:lang w:val="fr-FR"/>
        </w:rPr>
        <w:t>sont disponibles sur le site Web de l’</w:t>
      </w:r>
      <w:r w:rsidRPr="00C767E0">
        <w:rPr>
          <w:sz w:val="20"/>
          <w:lang w:val="fr-FR"/>
        </w:rPr>
        <w:t xml:space="preserve">AEWA </w:t>
      </w:r>
      <w:r>
        <w:rPr>
          <w:sz w:val="20"/>
          <w:lang w:val="fr-FR"/>
        </w:rPr>
        <w:t xml:space="preserve">sous Réunion des Parties </w:t>
      </w:r>
      <w:r w:rsidRPr="00C767E0">
        <w:rPr>
          <w:sz w:val="20"/>
          <w:lang w:val="fr-FR"/>
        </w:rPr>
        <w:t>:</w:t>
      </w:r>
      <w:r w:rsidRPr="007C275D">
        <w:rPr>
          <w:sz w:val="20"/>
          <w:lang w:val="fr-FR"/>
        </w:rPr>
        <w:t xml:space="preserve"> </w:t>
      </w:r>
      <w:hyperlink r:id="rId6" w:history="1">
        <w:r w:rsidRPr="007C275D">
          <w:rPr>
            <w:rStyle w:val="Hyperlink"/>
            <w:sz w:val="20"/>
            <w:lang w:val="fr-FR"/>
          </w:rPr>
          <w:t>http://www.unep-aewa.org/en/meetings/meetings-of-parties</w:t>
        </w:r>
      </w:hyperlink>
      <w:r w:rsidRPr="007C275D">
        <w:rPr>
          <w:sz w:val="20"/>
          <w:lang w:val="fr-FR"/>
        </w:rPr>
        <w:t xml:space="preserve"> </w:t>
      </w:r>
    </w:p>
  </w:footnote>
  <w:footnote w:id="9">
    <w:p w14:paraId="53D12BF2" w14:textId="77777777" w:rsidR="00BC4D45" w:rsidRPr="007C275D" w:rsidRDefault="00BC4D45" w:rsidP="0098167C">
      <w:pPr>
        <w:pStyle w:val="Normal1"/>
        <w:rPr>
          <w:lang w:val="fr-FR"/>
        </w:rPr>
      </w:pPr>
      <w:r>
        <w:rPr>
          <w:vertAlign w:val="superscript"/>
        </w:rPr>
        <w:footnoteRef/>
      </w:r>
      <w:r w:rsidRPr="007C275D">
        <w:rPr>
          <w:sz w:val="20"/>
          <w:lang w:val="fr-FR"/>
        </w:rPr>
        <w:t xml:space="preserve"> </w:t>
      </w:r>
      <w:hyperlink r:id="rId7" w:history="1">
        <w:r w:rsidRPr="007C275D">
          <w:rPr>
            <w:rStyle w:val="Hyperlink"/>
            <w:sz w:val="20"/>
            <w:lang w:val="fr-FR"/>
          </w:rPr>
          <w:t>http://www.birdlife.org/datazone/info/taxonomy</w:t>
        </w:r>
      </w:hyperlink>
      <w:r w:rsidRPr="007C275D">
        <w:rPr>
          <w:sz w:val="20"/>
          <w:lang w:val="fr-FR"/>
        </w:rPr>
        <w:t xml:space="preserve">  </w:t>
      </w:r>
    </w:p>
  </w:footnote>
  <w:footnote w:id="10">
    <w:p w14:paraId="737CD958" w14:textId="77777777" w:rsidR="00BC4D45" w:rsidRPr="00932F0F" w:rsidRDefault="00BC4D45" w:rsidP="00881D95">
      <w:pPr>
        <w:rPr>
          <w:sz w:val="18"/>
          <w:szCs w:val="18"/>
        </w:rPr>
      </w:pPr>
      <w:r>
        <w:rPr>
          <w:rStyle w:val="FootnoteReference"/>
        </w:rPr>
        <w:footnoteRef/>
      </w:r>
      <w:r w:rsidRPr="007C275D">
        <w:rPr>
          <w:lang w:val="fr-FR"/>
        </w:rPr>
        <w:t xml:space="preserve"> </w:t>
      </w:r>
      <w:r w:rsidRPr="007C275D">
        <w:rPr>
          <w:sz w:val="18"/>
          <w:szCs w:val="18"/>
          <w:lang w:val="fr-FR"/>
        </w:rPr>
        <w:t xml:space="preserve">Olson, D. M., Dinerstein, E., Wikramanayake, E. D., Burgess, N. D., Powell, G. V. N., Underwood, E. C., D'Amico, J. A., Itoua, I., Strand, H. E., Morrison, J. C., Loucks, C. J., Allnutt, T. F., Ricketts, T. H., Kura, Y., Lamoreux, J. F., Wettengel, W. W., Hedao, P., Kassem, K. R. 2001. </w:t>
      </w:r>
      <w:r w:rsidRPr="00932F0F">
        <w:rPr>
          <w:sz w:val="18"/>
          <w:szCs w:val="18"/>
        </w:rPr>
        <w:t>Terrestrial ecoregions of the world: a new map of life on Earth. Bioscience 51(11):933-938.</w:t>
      </w:r>
      <w:r>
        <w:rPr>
          <w:sz w:val="18"/>
          <w:szCs w:val="18"/>
        </w:rPr>
        <w:t xml:space="preserve"> URL: </w:t>
      </w:r>
      <w:hyperlink r:id="rId8" w:history="1">
        <w:r w:rsidRPr="006E30FA">
          <w:rPr>
            <w:rStyle w:val="Hyperlink"/>
            <w:sz w:val="18"/>
            <w:szCs w:val="18"/>
          </w:rPr>
          <w:t>https://academic.oup.com/bioscience/article/51/11/933/227116</w:t>
        </w:r>
      </w:hyperlink>
      <w:r>
        <w:rPr>
          <w:sz w:val="18"/>
          <w:szCs w:val="18"/>
        </w:rPr>
        <w:t xml:space="preserve"> </w:t>
      </w:r>
    </w:p>
  </w:footnote>
  <w:footnote w:id="11">
    <w:p w14:paraId="68260B75" w14:textId="0C7D97F3" w:rsidR="00BC4D45" w:rsidRDefault="00BC4D45" w:rsidP="002E57AF">
      <w:pPr>
        <w:pStyle w:val="Normal1"/>
      </w:pPr>
      <w:r>
        <w:rPr>
          <w:vertAlign w:val="superscript"/>
        </w:rPr>
        <w:footnoteRef/>
      </w:r>
      <w:r>
        <w:rPr>
          <w:rFonts w:ascii="Arial" w:eastAsia="Arial" w:hAnsi="Arial" w:cs="Arial"/>
          <w:sz w:val="20"/>
        </w:rPr>
        <w:t xml:space="preserve"> </w:t>
      </w:r>
      <w:r w:rsidRPr="007C275D">
        <w:rPr>
          <w:rFonts w:eastAsia="Arial"/>
          <w:sz w:val="20"/>
        </w:rPr>
        <w:t>Voir</w:t>
      </w:r>
      <w:r>
        <w:rPr>
          <w:sz w:val="20"/>
        </w:rPr>
        <w:t xml:space="preserve"> International Wader Studies No. 15 (URL: </w:t>
      </w:r>
      <w:hyperlink r:id="rId9">
        <w:r>
          <w:rPr>
            <w:color w:val="0000FF"/>
            <w:sz w:val="20"/>
            <w:u w:val="single"/>
          </w:rPr>
          <w:t>http://www.waderstudygroup.org/pubs/iws15.php</w:t>
        </w:r>
      </w:hyperlink>
      <w:r>
        <w:rPr>
          <w:sz w:val="20"/>
        </w:rPr>
        <w:t>).</w:t>
      </w:r>
    </w:p>
  </w:footnote>
  <w:footnote w:id="12">
    <w:p w14:paraId="4536DCED" w14:textId="77777777" w:rsidR="00BC4D45" w:rsidRDefault="00BC4D45" w:rsidP="008E5AEA">
      <w:pPr>
        <w:pStyle w:val="FootnoteText"/>
        <w:rPr>
          <w:lang w:val="hu-HU"/>
        </w:rPr>
      </w:pPr>
      <w:r>
        <w:rPr>
          <w:rStyle w:val="FootnoteReference"/>
        </w:rPr>
        <w:footnoteRef/>
      </w:r>
      <w:r>
        <w:t xml:space="preserve"> </w:t>
      </w:r>
      <w:r>
        <w:rPr>
          <w:rStyle w:val="Hyperlink"/>
          <w:sz w:val="20"/>
          <w:szCs w:val="20"/>
        </w:rPr>
        <w:t>https://www.cbs.nl/en-gb/society/nature-and-environment/indices-and-trends--trim--/msi-tool</w:t>
      </w:r>
    </w:p>
  </w:footnote>
  <w:footnote w:id="13">
    <w:p w14:paraId="64C644D7" w14:textId="77777777" w:rsidR="00BC4D45" w:rsidRPr="007C275D" w:rsidRDefault="00BC4D45" w:rsidP="008E5AEA">
      <w:pPr>
        <w:pStyle w:val="FootnoteText"/>
        <w:rPr>
          <w:color w:val="222222"/>
          <w:spacing w:val="3"/>
          <w:sz w:val="20"/>
          <w:szCs w:val="20"/>
          <w:lang w:val="fr-FR"/>
        </w:rPr>
      </w:pPr>
      <w:r>
        <w:rPr>
          <w:rStyle w:val="FootnoteReference"/>
          <w:sz w:val="20"/>
          <w:szCs w:val="20"/>
        </w:rPr>
        <w:footnoteRef/>
      </w:r>
      <w:r>
        <w:rPr>
          <w:sz w:val="20"/>
          <w:szCs w:val="20"/>
        </w:rPr>
        <w:t xml:space="preserve"> </w:t>
      </w:r>
      <w:r>
        <w:rPr>
          <w:sz w:val="20"/>
          <w:szCs w:val="20"/>
          <w:lang w:val="hu-HU"/>
        </w:rPr>
        <w:t xml:space="preserve">Amano, T., Székely, T., Sandel, B. Nagy, S., Mundkur, T., Langendoen, T., Blanco, D., Soykan, C. et Sutherland, W. (2018) </w:t>
      </w:r>
      <w:r>
        <w:rPr>
          <w:bCs/>
          <w:i/>
          <w:color w:val="222222"/>
          <w:spacing w:val="3"/>
          <w:sz w:val="20"/>
          <w:szCs w:val="20"/>
        </w:rPr>
        <w:t>Successful conservation of global waterbird populations depends on effective governance</w:t>
      </w:r>
      <w:r>
        <w:rPr>
          <w:bCs/>
          <w:color w:val="222222"/>
          <w:spacing w:val="3"/>
          <w:sz w:val="20"/>
          <w:szCs w:val="20"/>
        </w:rPr>
        <w:t xml:space="preserve">. </w:t>
      </w:r>
      <w:r w:rsidRPr="007C275D">
        <w:rPr>
          <w:bCs/>
          <w:color w:val="222222"/>
          <w:spacing w:val="3"/>
          <w:sz w:val="20"/>
          <w:szCs w:val="20"/>
          <w:lang w:val="fr-FR"/>
        </w:rPr>
        <w:t>Nature 553. 199-202 (11 janvier 2018). DOI:10.1038/nature25139</w:t>
      </w:r>
    </w:p>
  </w:footnote>
  <w:footnote w:id="14">
    <w:p w14:paraId="254BD6A8" w14:textId="77777777" w:rsidR="00BC4D45" w:rsidRDefault="00BC4D45" w:rsidP="008E5AEA">
      <w:pPr>
        <w:pStyle w:val="FootnoteText"/>
        <w:rPr>
          <w:lang w:val="hu-HU"/>
        </w:rPr>
      </w:pPr>
      <w:r>
        <w:rPr>
          <w:rStyle w:val="FootnoteReference"/>
        </w:rPr>
        <w:footnoteRef/>
      </w:r>
      <w:r w:rsidRPr="007C275D">
        <w:rPr>
          <w:lang w:val="fr-FR"/>
        </w:rPr>
        <w:t xml:space="preserve"> </w:t>
      </w:r>
      <w:r>
        <w:rPr>
          <w:sz w:val="22"/>
          <w:lang w:val="fr-FR"/>
        </w:rPr>
        <w:t>Les changements véritables comprennent les réels changements intervenus dans l’état de conservation et excluent les changements dus à d’autres raisons, comme la révision de la taxonomie, l’amélioration des connaissances ou des modifications de critères de la Liste rouge de l’UICN.</w:t>
      </w:r>
      <w:r>
        <w:rPr>
          <w:sz w:val="22"/>
          <w:lang w:val="hu-HU"/>
        </w:rPr>
        <w:t xml:space="preserve"> </w:t>
      </w:r>
    </w:p>
  </w:footnote>
  <w:footnote w:id="15">
    <w:p w14:paraId="6976A9BE" w14:textId="77777777" w:rsidR="00BC4D45" w:rsidRDefault="00BC4D45" w:rsidP="008E5AEA">
      <w:pPr>
        <w:pStyle w:val="Normal1"/>
        <w:rPr>
          <w:lang w:val="hu-HU"/>
        </w:rPr>
      </w:pPr>
      <w:r>
        <w:rPr>
          <w:vertAlign w:val="superscript"/>
        </w:rPr>
        <w:footnoteRef/>
      </w:r>
      <w:r>
        <w:rPr>
          <w:lang w:val="hu-HU"/>
        </w:rPr>
        <w:t xml:space="preserve"> </w:t>
      </w:r>
      <w:r>
        <w:rPr>
          <w:rStyle w:val="Hyperlink"/>
          <w:sz w:val="20"/>
          <w:lang w:val="hu-HU"/>
        </w:rPr>
        <w:t>http://www.unep-aewa.org/en/documents/agreement-text</w:t>
      </w:r>
    </w:p>
  </w:footnote>
  <w:footnote w:id="16">
    <w:p w14:paraId="085ADF81" w14:textId="77777777" w:rsidR="00BC4D45" w:rsidRDefault="00BC4D45" w:rsidP="008E5AEA">
      <w:pPr>
        <w:pStyle w:val="Normal1"/>
        <w:rPr>
          <w:lang w:val="hu-HU"/>
        </w:rPr>
      </w:pPr>
      <w:r>
        <w:rPr>
          <w:vertAlign w:val="superscript"/>
        </w:rPr>
        <w:footnoteRef/>
      </w:r>
      <w:r>
        <w:rPr>
          <w:sz w:val="20"/>
          <w:lang w:val="hu-HU"/>
        </w:rPr>
        <w:t xml:space="preserve"> </w:t>
      </w:r>
      <w:hyperlink r:id="rId10" w:history="1">
        <w:r>
          <w:rPr>
            <w:rStyle w:val="Hyperlink"/>
            <w:sz w:val="20"/>
            <w:lang w:val="hu-HU"/>
          </w:rPr>
          <w:t>http://wpe.wetlands.org/search?form%5Bspecies%5D=etform%5Bpopulation%5D=etform%5Bpublication%5D=8etform%5Bprotection%5D%5B1%5D=1</w:t>
        </w:r>
      </w:hyperlink>
      <w:r>
        <w:rPr>
          <w:sz w:val="20"/>
          <w:lang w:val="hu-H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2" w:space="0" w:color="auto"/>
      </w:tblBorders>
      <w:tblLook w:val="04A0" w:firstRow="1" w:lastRow="0" w:firstColumn="1" w:lastColumn="0" w:noHBand="0" w:noVBand="1"/>
    </w:tblPr>
    <w:tblGrid>
      <w:gridCol w:w="2211"/>
      <w:gridCol w:w="5126"/>
      <w:gridCol w:w="2302"/>
    </w:tblGrid>
    <w:tr w:rsidR="00BC4D45" w:rsidRPr="00BC4D45" w14:paraId="68AC6EF9" w14:textId="77777777" w:rsidTr="00172437">
      <w:trPr>
        <w:trHeight w:val="1256"/>
      </w:trPr>
      <w:tc>
        <w:tcPr>
          <w:tcW w:w="1147" w:type="pct"/>
          <w:tcBorders>
            <w:top w:val="nil"/>
            <w:left w:val="nil"/>
            <w:bottom w:val="nil"/>
            <w:right w:val="nil"/>
          </w:tcBorders>
          <w:hideMark/>
        </w:tcPr>
        <w:p w14:paraId="76638ADD" w14:textId="77777777" w:rsidR="00BC4D45" w:rsidRPr="007A194E" w:rsidRDefault="00BC4D45" w:rsidP="00801A8D">
          <w:pPr>
            <w:suppressAutoHyphens/>
            <w:autoSpaceDN w:val="0"/>
            <w:textAlignment w:val="baseline"/>
            <w:rPr>
              <w:color w:val="auto"/>
              <w:szCs w:val="24"/>
              <w:lang w:val="fr-FR"/>
            </w:rPr>
          </w:pPr>
          <w:bookmarkStart w:id="1" w:name="_Hlk513643711"/>
          <w:r w:rsidRPr="007A194E">
            <w:rPr>
              <w:noProof/>
              <w:color w:val="auto"/>
              <w:szCs w:val="24"/>
              <w:lang w:val="nl-NL" w:eastAsia="nl-NL"/>
            </w:rPr>
            <w:drawing>
              <wp:inline distT="0" distB="0" distL="0" distR="0" wp14:anchorId="43F17207" wp14:editId="20B0527B">
                <wp:extent cx="800100" cy="666750"/>
                <wp:effectExtent l="0" t="0" r="0" b="0"/>
                <wp:docPr id="1" name="Picture 1"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inline>
            </w:drawing>
          </w:r>
        </w:p>
      </w:tc>
      <w:tc>
        <w:tcPr>
          <w:tcW w:w="2659" w:type="pct"/>
          <w:tcBorders>
            <w:top w:val="nil"/>
            <w:left w:val="nil"/>
            <w:bottom w:val="nil"/>
            <w:right w:val="nil"/>
          </w:tcBorders>
          <w:hideMark/>
        </w:tcPr>
        <w:p w14:paraId="3A804B9B" w14:textId="763C7E74" w:rsidR="00BC4D45" w:rsidRPr="007A194E" w:rsidRDefault="00BC4D45" w:rsidP="007A194E">
          <w:pPr>
            <w:suppressAutoHyphens/>
            <w:autoSpaceDN w:val="0"/>
            <w:jc w:val="center"/>
            <w:textAlignment w:val="baseline"/>
            <w:rPr>
              <w:color w:val="auto"/>
              <w:szCs w:val="24"/>
              <w:lang w:val="fr-FR"/>
            </w:rPr>
          </w:pPr>
          <w:r w:rsidRPr="007A194E">
            <w:rPr>
              <w:i/>
              <w:color w:val="auto"/>
              <w:sz w:val="22"/>
              <w:szCs w:val="22"/>
              <w:lang w:val="fr-FR"/>
            </w:rPr>
            <w:t>ACCORD SUR LA CONSERVATION DES OISEAUX D’EAU MIGRATEURS D’AFRIQUE-EURASIE</w:t>
          </w:r>
        </w:p>
      </w:tc>
      <w:tc>
        <w:tcPr>
          <w:tcW w:w="1194" w:type="pct"/>
          <w:tcBorders>
            <w:top w:val="nil"/>
            <w:left w:val="nil"/>
            <w:bottom w:val="nil"/>
            <w:right w:val="nil"/>
          </w:tcBorders>
          <w:hideMark/>
        </w:tcPr>
        <w:p w14:paraId="66E14E93" w14:textId="77777777" w:rsidR="00BC4D45" w:rsidRPr="007A194E" w:rsidRDefault="00BC4D45" w:rsidP="00801A8D">
          <w:pPr>
            <w:suppressAutoHyphens/>
            <w:autoSpaceDN w:val="0"/>
            <w:jc w:val="right"/>
            <w:textAlignment w:val="baseline"/>
            <w:rPr>
              <w:i/>
              <w:iCs/>
              <w:color w:val="auto"/>
              <w:sz w:val="20"/>
              <w:lang w:val="fr-FR"/>
            </w:rPr>
          </w:pPr>
          <w:r w:rsidRPr="007A194E">
            <w:rPr>
              <w:i/>
              <w:iCs/>
              <w:color w:val="auto"/>
              <w:sz w:val="20"/>
              <w:lang w:val="fr-FR"/>
            </w:rPr>
            <w:t xml:space="preserve">Doc. AEWA/StC13.14 </w:t>
          </w:r>
        </w:p>
        <w:p w14:paraId="6C90525D" w14:textId="15209EAE" w:rsidR="00BC4D45" w:rsidRPr="007A194E" w:rsidRDefault="00BC4D45" w:rsidP="007A194E">
          <w:pPr>
            <w:suppressAutoHyphens/>
            <w:autoSpaceDN w:val="0"/>
            <w:ind w:left="-131" w:hanging="11"/>
            <w:jc w:val="right"/>
            <w:textAlignment w:val="baseline"/>
            <w:rPr>
              <w:i/>
              <w:iCs/>
              <w:color w:val="auto"/>
              <w:sz w:val="20"/>
              <w:lang w:val="fr-FR"/>
            </w:rPr>
          </w:pPr>
          <w:r w:rsidRPr="007A194E">
            <w:rPr>
              <w:i/>
              <w:iCs/>
              <w:color w:val="auto"/>
              <w:sz w:val="20"/>
              <w:lang w:val="fr-FR"/>
            </w:rPr>
            <w:t>Point 12 de l’ordre du  jour</w:t>
          </w:r>
        </w:p>
        <w:p w14:paraId="77B4A860" w14:textId="05BB25BA" w:rsidR="00BC4D45" w:rsidRPr="007A194E" w:rsidRDefault="00BC4D45" w:rsidP="007A194E">
          <w:pPr>
            <w:suppressAutoHyphens/>
            <w:autoSpaceDN w:val="0"/>
            <w:jc w:val="right"/>
            <w:textAlignment w:val="baseline"/>
            <w:rPr>
              <w:color w:val="auto"/>
              <w:szCs w:val="24"/>
              <w:lang w:val="fr-FR"/>
            </w:rPr>
          </w:pPr>
          <w:r w:rsidRPr="007A194E">
            <w:rPr>
              <w:i/>
              <w:iCs/>
              <w:color w:val="auto"/>
              <w:sz w:val="20"/>
              <w:lang w:val="fr-FR"/>
            </w:rPr>
            <w:t>29 mai 2018</w:t>
          </w:r>
        </w:p>
      </w:tc>
    </w:tr>
    <w:tr w:rsidR="00BC4D45" w:rsidRPr="00BC4D45" w14:paraId="6075A76C" w14:textId="77777777" w:rsidTr="00172437">
      <w:tc>
        <w:tcPr>
          <w:tcW w:w="5000" w:type="pct"/>
          <w:gridSpan w:val="3"/>
          <w:tcBorders>
            <w:top w:val="nil"/>
            <w:left w:val="nil"/>
            <w:bottom w:val="nil"/>
            <w:right w:val="nil"/>
          </w:tcBorders>
          <w:hideMark/>
        </w:tcPr>
        <w:p w14:paraId="3A2A294A" w14:textId="5054E360" w:rsidR="00BC4D45" w:rsidRPr="007A194E" w:rsidRDefault="00BC4D45" w:rsidP="00801A8D">
          <w:pPr>
            <w:suppressAutoHyphens/>
            <w:autoSpaceDN w:val="0"/>
            <w:jc w:val="center"/>
            <w:textAlignment w:val="baseline"/>
            <w:rPr>
              <w:b/>
              <w:bCs/>
              <w:caps/>
              <w:color w:val="auto"/>
              <w:sz w:val="26"/>
              <w:szCs w:val="26"/>
              <w:lang w:val="fr-FR"/>
            </w:rPr>
          </w:pPr>
          <w:r w:rsidRPr="007A194E">
            <w:rPr>
              <w:b/>
              <w:bCs/>
              <w:color w:val="auto"/>
              <w:sz w:val="26"/>
              <w:szCs w:val="26"/>
              <w:lang w:val="fr-FR"/>
            </w:rPr>
            <w:t>13</w:t>
          </w:r>
          <w:r w:rsidRPr="004C05BB">
            <w:rPr>
              <w:b/>
              <w:bCs/>
              <w:color w:val="auto"/>
              <w:sz w:val="26"/>
              <w:szCs w:val="26"/>
              <w:vertAlign w:val="superscript"/>
              <w:lang w:val="fr-FR"/>
            </w:rPr>
            <w:t>ème</w:t>
          </w:r>
          <w:r>
            <w:rPr>
              <w:b/>
              <w:bCs/>
              <w:color w:val="auto"/>
              <w:sz w:val="26"/>
              <w:szCs w:val="26"/>
              <w:lang w:val="fr-FR"/>
            </w:rPr>
            <w:t xml:space="preserve"> </w:t>
          </w:r>
          <w:r w:rsidRPr="007A194E">
            <w:rPr>
              <w:b/>
              <w:bCs/>
              <w:color w:val="auto"/>
              <w:sz w:val="26"/>
              <w:szCs w:val="26"/>
              <w:lang w:val="fr-FR"/>
            </w:rPr>
            <w:t>RÉUNION DU COMITÉ PERMANENT</w:t>
          </w:r>
        </w:p>
        <w:p w14:paraId="7E7EC5C2" w14:textId="4E6D271B" w:rsidR="00BC4D45" w:rsidRPr="007A194E" w:rsidRDefault="00BC4D45" w:rsidP="007A194E">
          <w:pPr>
            <w:suppressAutoHyphens/>
            <w:autoSpaceDN w:val="0"/>
            <w:jc w:val="center"/>
            <w:textAlignment w:val="baseline"/>
            <w:rPr>
              <w:i/>
              <w:color w:val="auto"/>
              <w:sz w:val="22"/>
              <w:szCs w:val="22"/>
              <w:lang w:val="fr-FR"/>
            </w:rPr>
          </w:pPr>
          <w:r w:rsidRPr="007A194E">
            <w:rPr>
              <w:i/>
              <w:iCs/>
              <w:color w:val="auto"/>
              <w:sz w:val="22"/>
              <w:szCs w:val="22"/>
              <w:lang w:val="fr-FR"/>
            </w:rPr>
            <w:t>03 - 05 juillet 2018, La Haye, Pays-Bas</w:t>
          </w:r>
        </w:p>
      </w:tc>
    </w:tr>
    <w:tr w:rsidR="00BC4D45" w:rsidRPr="00BC4D45" w14:paraId="7A9F14E4" w14:textId="77777777" w:rsidTr="00172437">
      <w:trPr>
        <w:trHeight w:val="270"/>
      </w:trPr>
      <w:tc>
        <w:tcPr>
          <w:tcW w:w="5000" w:type="pct"/>
          <w:gridSpan w:val="3"/>
          <w:tcBorders>
            <w:top w:val="nil"/>
            <w:left w:val="nil"/>
            <w:bottom w:val="single" w:sz="2" w:space="0" w:color="auto"/>
            <w:right w:val="nil"/>
          </w:tcBorders>
          <w:vAlign w:val="center"/>
        </w:tcPr>
        <w:p w14:paraId="1CA4D57E" w14:textId="77777777" w:rsidR="00BC4D45" w:rsidRPr="007A194E" w:rsidRDefault="00BC4D45" w:rsidP="00801A8D">
          <w:pPr>
            <w:suppressAutoHyphens/>
            <w:autoSpaceDN w:val="0"/>
            <w:textAlignment w:val="baseline"/>
            <w:rPr>
              <w:bCs/>
              <w:i/>
              <w:color w:val="auto"/>
              <w:szCs w:val="24"/>
              <w:lang w:val="fr-FR"/>
            </w:rPr>
          </w:pPr>
        </w:p>
      </w:tc>
      <w:bookmarkEnd w:id="1"/>
    </w:tr>
  </w:tbl>
  <w:p w14:paraId="6D7BCE4E" w14:textId="77777777" w:rsidR="00BC4D45" w:rsidRPr="007C275D" w:rsidRDefault="00BC4D4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4947" w14:textId="645961D6" w:rsidR="00BC4D45" w:rsidRDefault="00BC4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FEE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E4131"/>
    <w:multiLevelType w:val="hybridMultilevel"/>
    <w:tmpl w:val="62EEB426"/>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05474"/>
    <w:multiLevelType w:val="hybridMultilevel"/>
    <w:tmpl w:val="0AB2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B78A6"/>
    <w:multiLevelType w:val="hybridMultilevel"/>
    <w:tmpl w:val="A1163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3F6925"/>
    <w:multiLevelType w:val="hybridMultilevel"/>
    <w:tmpl w:val="1C58D2AA"/>
    <w:lvl w:ilvl="0" w:tplc="F75058AE">
      <w:start w:val="1"/>
      <w:numFmt w:val="bullet"/>
      <w:lvlText w:val=""/>
      <w:lvlJc w:val="left"/>
      <w:pPr>
        <w:ind w:left="6314" w:hanging="360"/>
      </w:pPr>
      <w:rPr>
        <w:rFonts w:ascii="Symbol" w:hAnsi="Symbol" w:hint="default"/>
        <w:color w:val="4F81BD" w:themeColor="accent1"/>
      </w:rPr>
    </w:lvl>
    <w:lvl w:ilvl="1" w:tplc="08090003" w:tentative="1">
      <w:start w:val="1"/>
      <w:numFmt w:val="bullet"/>
      <w:lvlText w:val="o"/>
      <w:lvlJc w:val="left"/>
      <w:pPr>
        <w:ind w:left="7034" w:hanging="360"/>
      </w:pPr>
      <w:rPr>
        <w:rFonts w:ascii="Courier New" w:hAnsi="Courier New" w:cs="Courier New" w:hint="default"/>
      </w:rPr>
    </w:lvl>
    <w:lvl w:ilvl="2" w:tplc="08090005" w:tentative="1">
      <w:start w:val="1"/>
      <w:numFmt w:val="bullet"/>
      <w:lvlText w:val=""/>
      <w:lvlJc w:val="left"/>
      <w:pPr>
        <w:ind w:left="7754" w:hanging="360"/>
      </w:pPr>
      <w:rPr>
        <w:rFonts w:ascii="Wingdings" w:hAnsi="Wingdings" w:hint="default"/>
      </w:rPr>
    </w:lvl>
    <w:lvl w:ilvl="3" w:tplc="08090001" w:tentative="1">
      <w:start w:val="1"/>
      <w:numFmt w:val="bullet"/>
      <w:lvlText w:val=""/>
      <w:lvlJc w:val="left"/>
      <w:pPr>
        <w:ind w:left="8474" w:hanging="360"/>
      </w:pPr>
      <w:rPr>
        <w:rFonts w:ascii="Symbol" w:hAnsi="Symbol" w:hint="default"/>
      </w:rPr>
    </w:lvl>
    <w:lvl w:ilvl="4" w:tplc="08090003" w:tentative="1">
      <w:start w:val="1"/>
      <w:numFmt w:val="bullet"/>
      <w:lvlText w:val="o"/>
      <w:lvlJc w:val="left"/>
      <w:pPr>
        <w:ind w:left="9194" w:hanging="360"/>
      </w:pPr>
      <w:rPr>
        <w:rFonts w:ascii="Courier New" w:hAnsi="Courier New" w:cs="Courier New" w:hint="default"/>
      </w:rPr>
    </w:lvl>
    <w:lvl w:ilvl="5" w:tplc="08090005" w:tentative="1">
      <w:start w:val="1"/>
      <w:numFmt w:val="bullet"/>
      <w:lvlText w:val=""/>
      <w:lvlJc w:val="left"/>
      <w:pPr>
        <w:ind w:left="9914" w:hanging="360"/>
      </w:pPr>
      <w:rPr>
        <w:rFonts w:ascii="Wingdings" w:hAnsi="Wingdings" w:hint="default"/>
      </w:rPr>
    </w:lvl>
    <w:lvl w:ilvl="6" w:tplc="08090001" w:tentative="1">
      <w:start w:val="1"/>
      <w:numFmt w:val="bullet"/>
      <w:lvlText w:val=""/>
      <w:lvlJc w:val="left"/>
      <w:pPr>
        <w:ind w:left="10634" w:hanging="360"/>
      </w:pPr>
      <w:rPr>
        <w:rFonts w:ascii="Symbol" w:hAnsi="Symbol" w:hint="default"/>
      </w:rPr>
    </w:lvl>
    <w:lvl w:ilvl="7" w:tplc="08090003" w:tentative="1">
      <w:start w:val="1"/>
      <w:numFmt w:val="bullet"/>
      <w:lvlText w:val="o"/>
      <w:lvlJc w:val="left"/>
      <w:pPr>
        <w:ind w:left="11354" w:hanging="360"/>
      </w:pPr>
      <w:rPr>
        <w:rFonts w:ascii="Courier New" w:hAnsi="Courier New" w:cs="Courier New" w:hint="default"/>
      </w:rPr>
    </w:lvl>
    <w:lvl w:ilvl="8" w:tplc="08090005" w:tentative="1">
      <w:start w:val="1"/>
      <w:numFmt w:val="bullet"/>
      <w:lvlText w:val=""/>
      <w:lvlJc w:val="left"/>
      <w:pPr>
        <w:ind w:left="12074" w:hanging="360"/>
      </w:pPr>
      <w:rPr>
        <w:rFonts w:ascii="Wingdings" w:hAnsi="Wingdings" w:hint="default"/>
      </w:rPr>
    </w:lvl>
  </w:abstractNum>
  <w:abstractNum w:abstractNumId="5" w15:restartNumberingAfterBreak="0">
    <w:nsid w:val="080B4284"/>
    <w:multiLevelType w:val="multilevel"/>
    <w:tmpl w:val="F5AC7C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8944AD2"/>
    <w:multiLevelType w:val="hybridMultilevel"/>
    <w:tmpl w:val="45F2A68C"/>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E17A2"/>
    <w:multiLevelType w:val="hybridMultilevel"/>
    <w:tmpl w:val="C4B268AA"/>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106EF"/>
    <w:multiLevelType w:val="hybridMultilevel"/>
    <w:tmpl w:val="4906D0E6"/>
    <w:lvl w:ilvl="0" w:tplc="F75058AE">
      <w:start w:val="1"/>
      <w:numFmt w:val="bullet"/>
      <w:lvlText w:val=""/>
      <w:lvlJc w:val="left"/>
      <w:pPr>
        <w:ind w:left="2204" w:hanging="360"/>
      </w:pPr>
      <w:rPr>
        <w:rFonts w:ascii="Symbol" w:hAnsi="Symbol" w:hint="default"/>
        <w:color w:val="4F81BD" w:themeColor="accent1"/>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9" w15:restartNumberingAfterBreak="0">
    <w:nsid w:val="13364232"/>
    <w:multiLevelType w:val="hybridMultilevel"/>
    <w:tmpl w:val="8160B86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5043BF"/>
    <w:multiLevelType w:val="hybridMultilevel"/>
    <w:tmpl w:val="59B2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71A9D"/>
    <w:multiLevelType w:val="hybridMultilevel"/>
    <w:tmpl w:val="3F1A3A16"/>
    <w:lvl w:ilvl="0" w:tplc="F75058AE">
      <w:start w:val="1"/>
      <w:numFmt w:val="bullet"/>
      <w:lvlText w:val=""/>
      <w:lvlJc w:val="left"/>
      <w:pPr>
        <w:ind w:left="2345" w:hanging="360"/>
      </w:pPr>
      <w:rPr>
        <w:rFonts w:ascii="Symbol" w:hAnsi="Symbol" w:hint="default"/>
        <w:color w:val="4F81BD" w:themeColor="accent1"/>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2" w15:restartNumberingAfterBreak="0">
    <w:nsid w:val="1AD50712"/>
    <w:multiLevelType w:val="hybridMultilevel"/>
    <w:tmpl w:val="D9FC44BE"/>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C660C"/>
    <w:multiLevelType w:val="hybridMultilevel"/>
    <w:tmpl w:val="4222628C"/>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300084"/>
    <w:multiLevelType w:val="hybridMultilevel"/>
    <w:tmpl w:val="0A0CB72A"/>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0622D7"/>
    <w:multiLevelType w:val="hybridMultilevel"/>
    <w:tmpl w:val="99C0E01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AB5800"/>
    <w:multiLevelType w:val="hybridMultilevel"/>
    <w:tmpl w:val="84FE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E0A82"/>
    <w:multiLevelType w:val="hybridMultilevel"/>
    <w:tmpl w:val="B81C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6F491F"/>
    <w:multiLevelType w:val="hybridMultilevel"/>
    <w:tmpl w:val="FDD6A3CC"/>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B549A"/>
    <w:multiLevelType w:val="hybridMultilevel"/>
    <w:tmpl w:val="C7BE54E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E45FF"/>
    <w:multiLevelType w:val="hybridMultilevel"/>
    <w:tmpl w:val="10E0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D7C03"/>
    <w:multiLevelType w:val="hybridMultilevel"/>
    <w:tmpl w:val="BC361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536DA"/>
    <w:multiLevelType w:val="hybridMultilevel"/>
    <w:tmpl w:val="F70C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775EB"/>
    <w:multiLevelType w:val="hybridMultilevel"/>
    <w:tmpl w:val="10EEFB30"/>
    <w:lvl w:ilvl="0" w:tplc="F75058AE">
      <w:start w:val="1"/>
      <w:numFmt w:val="bullet"/>
      <w:lvlText w:val=""/>
      <w:lvlJc w:val="left"/>
      <w:pPr>
        <w:ind w:left="786"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4F5DB8"/>
    <w:multiLevelType w:val="hybridMultilevel"/>
    <w:tmpl w:val="46EC1932"/>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86C3C"/>
    <w:multiLevelType w:val="hybridMultilevel"/>
    <w:tmpl w:val="C5F83E6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E42962"/>
    <w:multiLevelType w:val="hybridMultilevel"/>
    <w:tmpl w:val="9D7E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A2A37"/>
    <w:multiLevelType w:val="hybridMultilevel"/>
    <w:tmpl w:val="7A80DDD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983F97"/>
    <w:multiLevelType w:val="hybridMultilevel"/>
    <w:tmpl w:val="815E6F0C"/>
    <w:lvl w:ilvl="0" w:tplc="F75058AE">
      <w:start w:val="1"/>
      <w:numFmt w:val="bullet"/>
      <w:lvlText w:val=""/>
      <w:lvlJc w:val="left"/>
      <w:pPr>
        <w:ind w:left="3053"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727C9"/>
    <w:multiLevelType w:val="hybridMultilevel"/>
    <w:tmpl w:val="045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0643D"/>
    <w:multiLevelType w:val="hybridMultilevel"/>
    <w:tmpl w:val="8FD0C20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C32B0D"/>
    <w:multiLevelType w:val="hybridMultilevel"/>
    <w:tmpl w:val="88F6AD8A"/>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D54EE"/>
    <w:multiLevelType w:val="hybridMultilevel"/>
    <w:tmpl w:val="04628BE0"/>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15A9B"/>
    <w:multiLevelType w:val="multilevel"/>
    <w:tmpl w:val="58CC16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6010333"/>
    <w:multiLevelType w:val="hybridMultilevel"/>
    <w:tmpl w:val="CC2E8EA6"/>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EE6286"/>
    <w:multiLevelType w:val="hybridMultilevel"/>
    <w:tmpl w:val="ECD0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AC42C0"/>
    <w:multiLevelType w:val="hybridMultilevel"/>
    <w:tmpl w:val="1882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745C7"/>
    <w:multiLevelType w:val="hybridMultilevel"/>
    <w:tmpl w:val="4F96862E"/>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B853A5"/>
    <w:multiLevelType w:val="hybridMultilevel"/>
    <w:tmpl w:val="35602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DE0BFF"/>
    <w:multiLevelType w:val="hybridMultilevel"/>
    <w:tmpl w:val="DC3E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1D6436"/>
    <w:multiLevelType w:val="hybridMultilevel"/>
    <w:tmpl w:val="5AA85B88"/>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6F3DCC"/>
    <w:multiLevelType w:val="multilevel"/>
    <w:tmpl w:val="163A2F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78E96197"/>
    <w:multiLevelType w:val="hybridMultilevel"/>
    <w:tmpl w:val="54269264"/>
    <w:lvl w:ilvl="0" w:tplc="F75058AE">
      <w:start w:val="1"/>
      <w:numFmt w:val="bullet"/>
      <w:lvlText w:val=""/>
      <w:lvlJc w:val="left"/>
      <w:pPr>
        <w:ind w:left="720" w:hanging="360"/>
      </w:pPr>
      <w:rPr>
        <w:rFonts w:ascii="Symbol" w:hAnsi="Symbol" w:hint="default"/>
        <w:color w:val="4F81B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41"/>
  </w:num>
  <w:num w:numId="4">
    <w:abstractNumId w:val="35"/>
  </w:num>
  <w:num w:numId="5">
    <w:abstractNumId w:val="22"/>
  </w:num>
  <w:num w:numId="6">
    <w:abstractNumId w:val="29"/>
  </w:num>
  <w:num w:numId="7">
    <w:abstractNumId w:val="0"/>
  </w:num>
  <w:num w:numId="8">
    <w:abstractNumId w:val="22"/>
  </w:num>
  <w:num w:numId="9">
    <w:abstractNumId w:val="29"/>
  </w:num>
  <w:num w:numId="10">
    <w:abstractNumId w:val="20"/>
  </w:num>
  <w:num w:numId="11">
    <w:abstractNumId w:val="10"/>
  </w:num>
  <w:num w:numId="12">
    <w:abstractNumId w:val="16"/>
  </w:num>
  <w:num w:numId="13">
    <w:abstractNumId w:val="36"/>
  </w:num>
  <w:num w:numId="14">
    <w:abstractNumId w:val="26"/>
  </w:num>
  <w:num w:numId="15">
    <w:abstractNumId w:val="21"/>
  </w:num>
  <w:num w:numId="16">
    <w:abstractNumId w:val="17"/>
  </w:num>
  <w:num w:numId="17">
    <w:abstractNumId w:val="3"/>
  </w:num>
  <w:num w:numId="18">
    <w:abstractNumId w:val="25"/>
  </w:num>
  <w:num w:numId="19">
    <w:abstractNumId w:val="15"/>
  </w:num>
  <w:num w:numId="20">
    <w:abstractNumId w:val="1"/>
  </w:num>
  <w:num w:numId="21">
    <w:abstractNumId w:val="14"/>
  </w:num>
  <w:num w:numId="22">
    <w:abstractNumId w:val="30"/>
  </w:num>
  <w:num w:numId="23">
    <w:abstractNumId w:val="19"/>
  </w:num>
  <w:num w:numId="24">
    <w:abstractNumId w:val="12"/>
  </w:num>
  <w:num w:numId="25">
    <w:abstractNumId w:val="13"/>
  </w:num>
  <w:num w:numId="26">
    <w:abstractNumId w:val="24"/>
  </w:num>
  <w:num w:numId="27">
    <w:abstractNumId w:val="11"/>
  </w:num>
  <w:num w:numId="28">
    <w:abstractNumId w:val="42"/>
  </w:num>
  <w:num w:numId="29">
    <w:abstractNumId w:val="9"/>
  </w:num>
  <w:num w:numId="30">
    <w:abstractNumId w:val="34"/>
  </w:num>
  <w:num w:numId="31">
    <w:abstractNumId w:val="6"/>
  </w:num>
  <w:num w:numId="32">
    <w:abstractNumId w:val="28"/>
  </w:num>
  <w:num w:numId="33">
    <w:abstractNumId w:val="7"/>
  </w:num>
  <w:num w:numId="34">
    <w:abstractNumId w:val="8"/>
  </w:num>
  <w:num w:numId="35">
    <w:abstractNumId w:val="37"/>
  </w:num>
  <w:num w:numId="36">
    <w:abstractNumId w:val="27"/>
  </w:num>
  <w:num w:numId="37">
    <w:abstractNumId w:val="23"/>
  </w:num>
  <w:num w:numId="38">
    <w:abstractNumId w:val="18"/>
  </w:num>
  <w:num w:numId="39">
    <w:abstractNumId w:val="40"/>
  </w:num>
  <w:num w:numId="40">
    <w:abstractNumId w:val="32"/>
  </w:num>
  <w:num w:numId="41">
    <w:abstractNumId w:val="4"/>
  </w:num>
  <w:num w:numId="42">
    <w:abstractNumId w:val="31"/>
  </w:num>
  <w:num w:numId="43">
    <w:abstractNumId w:val="39"/>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F7A"/>
    <w:rsid w:val="00002C69"/>
    <w:rsid w:val="00005417"/>
    <w:rsid w:val="000141A0"/>
    <w:rsid w:val="00015E77"/>
    <w:rsid w:val="00031AC3"/>
    <w:rsid w:val="00033ACC"/>
    <w:rsid w:val="0004293D"/>
    <w:rsid w:val="0004426B"/>
    <w:rsid w:val="00045AED"/>
    <w:rsid w:val="00050640"/>
    <w:rsid w:val="00052674"/>
    <w:rsid w:val="00054060"/>
    <w:rsid w:val="00054100"/>
    <w:rsid w:val="00055D98"/>
    <w:rsid w:val="00061B40"/>
    <w:rsid w:val="000648AA"/>
    <w:rsid w:val="00066161"/>
    <w:rsid w:val="00071E38"/>
    <w:rsid w:val="0007233B"/>
    <w:rsid w:val="000776B9"/>
    <w:rsid w:val="0007785C"/>
    <w:rsid w:val="000934B6"/>
    <w:rsid w:val="0009634C"/>
    <w:rsid w:val="000A104B"/>
    <w:rsid w:val="000A23E9"/>
    <w:rsid w:val="000A3C4A"/>
    <w:rsid w:val="000A5CEC"/>
    <w:rsid w:val="000B365F"/>
    <w:rsid w:val="000B4D92"/>
    <w:rsid w:val="000C610E"/>
    <w:rsid w:val="000C7A60"/>
    <w:rsid w:val="000D26F6"/>
    <w:rsid w:val="000D641F"/>
    <w:rsid w:val="000E02E3"/>
    <w:rsid w:val="000E0EB5"/>
    <w:rsid w:val="000E31B0"/>
    <w:rsid w:val="000E52E8"/>
    <w:rsid w:val="000F4181"/>
    <w:rsid w:val="000F50AB"/>
    <w:rsid w:val="000F5D43"/>
    <w:rsid w:val="0010288B"/>
    <w:rsid w:val="001220BD"/>
    <w:rsid w:val="001224B7"/>
    <w:rsid w:val="00122B92"/>
    <w:rsid w:val="00135122"/>
    <w:rsid w:val="001379E9"/>
    <w:rsid w:val="00140569"/>
    <w:rsid w:val="00144E20"/>
    <w:rsid w:val="0014571E"/>
    <w:rsid w:val="001463AE"/>
    <w:rsid w:val="0014772E"/>
    <w:rsid w:val="00153A35"/>
    <w:rsid w:val="001567E1"/>
    <w:rsid w:val="0016164C"/>
    <w:rsid w:val="00161B7F"/>
    <w:rsid w:val="00162A16"/>
    <w:rsid w:val="0016416B"/>
    <w:rsid w:val="001716F4"/>
    <w:rsid w:val="00172437"/>
    <w:rsid w:val="001A1F35"/>
    <w:rsid w:val="001A20B7"/>
    <w:rsid w:val="001A21D8"/>
    <w:rsid w:val="001B100A"/>
    <w:rsid w:val="001B4012"/>
    <w:rsid w:val="001B72A3"/>
    <w:rsid w:val="001C48C6"/>
    <w:rsid w:val="001D13E4"/>
    <w:rsid w:val="001D3BCE"/>
    <w:rsid w:val="001F2289"/>
    <w:rsid w:val="001F3E92"/>
    <w:rsid w:val="00200DCA"/>
    <w:rsid w:val="0021314E"/>
    <w:rsid w:val="002178D6"/>
    <w:rsid w:val="00217B75"/>
    <w:rsid w:val="00222127"/>
    <w:rsid w:val="00225A78"/>
    <w:rsid w:val="00226103"/>
    <w:rsid w:val="00232ED8"/>
    <w:rsid w:val="00234464"/>
    <w:rsid w:val="00235A6C"/>
    <w:rsid w:val="00236755"/>
    <w:rsid w:val="00241917"/>
    <w:rsid w:val="00245AE9"/>
    <w:rsid w:val="00252AB1"/>
    <w:rsid w:val="00253A41"/>
    <w:rsid w:val="002551A6"/>
    <w:rsid w:val="00255721"/>
    <w:rsid w:val="0026058A"/>
    <w:rsid w:val="002609F0"/>
    <w:rsid w:val="002809BE"/>
    <w:rsid w:val="00281AA6"/>
    <w:rsid w:val="00281C95"/>
    <w:rsid w:val="00285639"/>
    <w:rsid w:val="002912A9"/>
    <w:rsid w:val="002A383D"/>
    <w:rsid w:val="002A4BC9"/>
    <w:rsid w:val="002A5B30"/>
    <w:rsid w:val="002A7B8C"/>
    <w:rsid w:val="002B7F1A"/>
    <w:rsid w:val="002C1224"/>
    <w:rsid w:val="002C21CC"/>
    <w:rsid w:val="002C3B9F"/>
    <w:rsid w:val="002C3CDE"/>
    <w:rsid w:val="002C6450"/>
    <w:rsid w:val="002E25F8"/>
    <w:rsid w:val="002E552B"/>
    <w:rsid w:val="002E57AF"/>
    <w:rsid w:val="002F5F51"/>
    <w:rsid w:val="00313198"/>
    <w:rsid w:val="00320AF8"/>
    <w:rsid w:val="00322704"/>
    <w:rsid w:val="00322E0A"/>
    <w:rsid w:val="003239B7"/>
    <w:rsid w:val="003325A5"/>
    <w:rsid w:val="00342BA0"/>
    <w:rsid w:val="00343100"/>
    <w:rsid w:val="00346745"/>
    <w:rsid w:val="0035098F"/>
    <w:rsid w:val="0035515E"/>
    <w:rsid w:val="00360078"/>
    <w:rsid w:val="003600EF"/>
    <w:rsid w:val="00360B48"/>
    <w:rsid w:val="003621E7"/>
    <w:rsid w:val="00363702"/>
    <w:rsid w:val="00363A36"/>
    <w:rsid w:val="00396577"/>
    <w:rsid w:val="00396BA4"/>
    <w:rsid w:val="00397ED1"/>
    <w:rsid w:val="003A2B9E"/>
    <w:rsid w:val="003A6AF2"/>
    <w:rsid w:val="003A744A"/>
    <w:rsid w:val="003B4943"/>
    <w:rsid w:val="003C5D44"/>
    <w:rsid w:val="003D0751"/>
    <w:rsid w:val="003D51FA"/>
    <w:rsid w:val="003D659A"/>
    <w:rsid w:val="003E0E36"/>
    <w:rsid w:val="003E2C66"/>
    <w:rsid w:val="003E5D49"/>
    <w:rsid w:val="003F6BE6"/>
    <w:rsid w:val="004001EE"/>
    <w:rsid w:val="00407D00"/>
    <w:rsid w:val="00427CAE"/>
    <w:rsid w:val="00437777"/>
    <w:rsid w:val="00446B8F"/>
    <w:rsid w:val="00451946"/>
    <w:rsid w:val="00463073"/>
    <w:rsid w:val="004767E6"/>
    <w:rsid w:val="00486EC8"/>
    <w:rsid w:val="00487738"/>
    <w:rsid w:val="004A4B5D"/>
    <w:rsid w:val="004A729E"/>
    <w:rsid w:val="004B1944"/>
    <w:rsid w:val="004B32F8"/>
    <w:rsid w:val="004C05BB"/>
    <w:rsid w:val="004C0C7C"/>
    <w:rsid w:val="004C1E56"/>
    <w:rsid w:val="004C538B"/>
    <w:rsid w:val="004D2B75"/>
    <w:rsid w:val="004E09D6"/>
    <w:rsid w:val="004E3536"/>
    <w:rsid w:val="004E3BA2"/>
    <w:rsid w:val="004E6A0C"/>
    <w:rsid w:val="004E77E2"/>
    <w:rsid w:val="00500674"/>
    <w:rsid w:val="00516AF9"/>
    <w:rsid w:val="005333D3"/>
    <w:rsid w:val="00534696"/>
    <w:rsid w:val="00545DE2"/>
    <w:rsid w:val="005556BC"/>
    <w:rsid w:val="00557DF9"/>
    <w:rsid w:val="00565767"/>
    <w:rsid w:val="00585CAF"/>
    <w:rsid w:val="005876F7"/>
    <w:rsid w:val="005906F8"/>
    <w:rsid w:val="00590FA1"/>
    <w:rsid w:val="00591D8E"/>
    <w:rsid w:val="005A0CE0"/>
    <w:rsid w:val="005A125E"/>
    <w:rsid w:val="005A319D"/>
    <w:rsid w:val="005A50C8"/>
    <w:rsid w:val="005B009D"/>
    <w:rsid w:val="005B2D93"/>
    <w:rsid w:val="005C1ACB"/>
    <w:rsid w:val="005C6267"/>
    <w:rsid w:val="005D2941"/>
    <w:rsid w:val="005E1556"/>
    <w:rsid w:val="005E65A5"/>
    <w:rsid w:val="005E6F4B"/>
    <w:rsid w:val="005F638D"/>
    <w:rsid w:val="005F71D4"/>
    <w:rsid w:val="00604747"/>
    <w:rsid w:val="00611826"/>
    <w:rsid w:val="00611C7E"/>
    <w:rsid w:val="00611FF2"/>
    <w:rsid w:val="006173D2"/>
    <w:rsid w:val="00630664"/>
    <w:rsid w:val="00642D26"/>
    <w:rsid w:val="00645D02"/>
    <w:rsid w:val="006577E0"/>
    <w:rsid w:val="00657DE3"/>
    <w:rsid w:val="006656D3"/>
    <w:rsid w:val="006674E8"/>
    <w:rsid w:val="00670409"/>
    <w:rsid w:val="00671082"/>
    <w:rsid w:val="00674AAA"/>
    <w:rsid w:val="00677A68"/>
    <w:rsid w:val="00677A86"/>
    <w:rsid w:val="006838E7"/>
    <w:rsid w:val="006A1555"/>
    <w:rsid w:val="006A17A9"/>
    <w:rsid w:val="006A349E"/>
    <w:rsid w:val="006A7CC5"/>
    <w:rsid w:val="006B0209"/>
    <w:rsid w:val="006B0FEA"/>
    <w:rsid w:val="006B715F"/>
    <w:rsid w:val="006C3885"/>
    <w:rsid w:val="006E11F5"/>
    <w:rsid w:val="006E46D4"/>
    <w:rsid w:val="006F32C4"/>
    <w:rsid w:val="00701C49"/>
    <w:rsid w:val="007169E6"/>
    <w:rsid w:val="00723907"/>
    <w:rsid w:val="0072548E"/>
    <w:rsid w:val="007259C1"/>
    <w:rsid w:val="00741F7A"/>
    <w:rsid w:val="00746862"/>
    <w:rsid w:val="0075151D"/>
    <w:rsid w:val="00762569"/>
    <w:rsid w:val="00766DA0"/>
    <w:rsid w:val="0076795F"/>
    <w:rsid w:val="00767F24"/>
    <w:rsid w:val="00776441"/>
    <w:rsid w:val="007915CD"/>
    <w:rsid w:val="00796AB0"/>
    <w:rsid w:val="007979C1"/>
    <w:rsid w:val="007A194E"/>
    <w:rsid w:val="007A483C"/>
    <w:rsid w:val="007A676F"/>
    <w:rsid w:val="007C0441"/>
    <w:rsid w:val="007C110A"/>
    <w:rsid w:val="007C275D"/>
    <w:rsid w:val="007C7143"/>
    <w:rsid w:val="007D3376"/>
    <w:rsid w:val="007D3707"/>
    <w:rsid w:val="007D6B57"/>
    <w:rsid w:val="007D7B65"/>
    <w:rsid w:val="007E0477"/>
    <w:rsid w:val="007E0EE7"/>
    <w:rsid w:val="007E142D"/>
    <w:rsid w:val="007E54A0"/>
    <w:rsid w:val="007E5A36"/>
    <w:rsid w:val="007F11C7"/>
    <w:rsid w:val="007F751C"/>
    <w:rsid w:val="00801A8D"/>
    <w:rsid w:val="008049CB"/>
    <w:rsid w:val="008071E4"/>
    <w:rsid w:val="00810ACF"/>
    <w:rsid w:val="00813ACA"/>
    <w:rsid w:val="00825601"/>
    <w:rsid w:val="00832DD4"/>
    <w:rsid w:val="008408D3"/>
    <w:rsid w:val="008417F7"/>
    <w:rsid w:val="00842375"/>
    <w:rsid w:val="008457ED"/>
    <w:rsid w:val="00846A0B"/>
    <w:rsid w:val="00854935"/>
    <w:rsid w:val="008561C1"/>
    <w:rsid w:val="008573AA"/>
    <w:rsid w:val="00863214"/>
    <w:rsid w:val="008745CA"/>
    <w:rsid w:val="008809DE"/>
    <w:rsid w:val="00881D95"/>
    <w:rsid w:val="00886D52"/>
    <w:rsid w:val="00893151"/>
    <w:rsid w:val="00893E71"/>
    <w:rsid w:val="00894988"/>
    <w:rsid w:val="008A046D"/>
    <w:rsid w:val="008A46A6"/>
    <w:rsid w:val="008B2E4B"/>
    <w:rsid w:val="008C00D4"/>
    <w:rsid w:val="008D527C"/>
    <w:rsid w:val="008E5AEA"/>
    <w:rsid w:val="008E6B5C"/>
    <w:rsid w:val="008F3115"/>
    <w:rsid w:val="008F649B"/>
    <w:rsid w:val="008F67F3"/>
    <w:rsid w:val="00914AE2"/>
    <w:rsid w:val="00922C6D"/>
    <w:rsid w:val="009230F0"/>
    <w:rsid w:val="00923E9A"/>
    <w:rsid w:val="00925356"/>
    <w:rsid w:val="00926CC9"/>
    <w:rsid w:val="00932F0F"/>
    <w:rsid w:val="009332AD"/>
    <w:rsid w:val="009426AC"/>
    <w:rsid w:val="009439A4"/>
    <w:rsid w:val="00954C3A"/>
    <w:rsid w:val="009573AB"/>
    <w:rsid w:val="00957EA9"/>
    <w:rsid w:val="00960CE8"/>
    <w:rsid w:val="00963728"/>
    <w:rsid w:val="00975809"/>
    <w:rsid w:val="0098167C"/>
    <w:rsid w:val="00982FFE"/>
    <w:rsid w:val="00986F88"/>
    <w:rsid w:val="00994793"/>
    <w:rsid w:val="00996AE9"/>
    <w:rsid w:val="009A07EC"/>
    <w:rsid w:val="009A7795"/>
    <w:rsid w:val="009A7CEB"/>
    <w:rsid w:val="009B13E7"/>
    <w:rsid w:val="009B14FE"/>
    <w:rsid w:val="009B1714"/>
    <w:rsid w:val="009B1AD5"/>
    <w:rsid w:val="009B64BE"/>
    <w:rsid w:val="009B767F"/>
    <w:rsid w:val="009C2B32"/>
    <w:rsid w:val="009D0485"/>
    <w:rsid w:val="009D6511"/>
    <w:rsid w:val="009E505D"/>
    <w:rsid w:val="009E5C96"/>
    <w:rsid w:val="009E7E4D"/>
    <w:rsid w:val="009F14BC"/>
    <w:rsid w:val="00A02966"/>
    <w:rsid w:val="00A0443E"/>
    <w:rsid w:val="00A10AB8"/>
    <w:rsid w:val="00A13249"/>
    <w:rsid w:val="00A1685B"/>
    <w:rsid w:val="00A22C39"/>
    <w:rsid w:val="00A23817"/>
    <w:rsid w:val="00A2594E"/>
    <w:rsid w:val="00A332C3"/>
    <w:rsid w:val="00A33C6C"/>
    <w:rsid w:val="00A37B4B"/>
    <w:rsid w:val="00A402AF"/>
    <w:rsid w:val="00A404B0"/>
    <w:rsid w:val="00A537A8"/>
    <w:rsid w:val="00A7309D"/>
    <w:rsid w:val="00A75613"/>
    <w:rsid w:val="00A7603F"/>
    <w:rsid w:val="00A80900"/>
    <w:rsid w:val="00A85A64"/>
    <w:rsid w:val="00A8755E"/>
    <w:rsid w:val="00AA0932"/>
    <w:rsid w:val="00AB4C7D"/>
    <w:rsid w:val="00AB5BE5"/>
    <w:rsid w:val="00AC6236"/>
    <w:rsid w:val="00AC6680"/>
    <w:rsid w:val="00AD0CBE"/>
    <w:rsid w:val="00AD2D66"/>
    <w:rsid w:val="00AE16C5"/>
    <w:rsid w:val="00AF08FF"/>
    <w:rsid w:val="00AF1B9F"/>
    <w:rsid w:val="00B0257A"/>
    <w:rsid w:val="00B0570A"/>
    <w:rsid w:val="00B11C6D"/>
    <w:rsid w:val="00B23565"/>
    <w:rsid w:val="00B34F59"/>
    <w:rsid w:val="00B36B6F"/>
    <w:rsid w:val="00B43A03"/>
    <w:rsid w:val="00B453CF"/>
    <w:rsid w:val="00B5297C"/>
    <w:rsid w:val="00B53125"/>
    <w:rsid w:val="00B56154"/>
    <w:rsid w:val="00B60AB9"/>
    <w:rsid w:val="00B653CA"/>
    <w:rsid w:val="00B661F8"/>
    <w:rsid w:val="00B83B01"/>
    <w:rsid w:val="00B85DAF"/>
    <w:rsid w:val="00B91DFA"/>
    <w:rsid w:val="00BA3EF0"/>
    <w:rsid w:val="00BA481F"/>
    <w:rsid w:val="00BA5A02"/>
    <w:rsid w:val="00BB4E1A"/>
    <w:rsid w:val="00BC18A1"/>
    <w:rsid w:val="00BC4D45"/>
    <w:rsid w:val="00BD5DCC"/>
    <w:rsid w:val="00BD5E1E"/>
    <w:rsid w:val="00BD6B9A"/>
    <w:rsid w:val="00BE057D"/>
    <w:rsid w:val="00BE29D2"/>
    <w:rsid w:val="00BE33B5"/>
    <w:rsid w:val="00BF17CD"/>
    <w:rsid w:val="00BF1AE4"/>
    <w:rsid w:val="00BF5931"/>
    <w:rsid w:val="00C07958"/>
    <w:rsid w:val="00C07984"/>
    <w:rsid w:val="00C103FE"/>
    <w:rsid w:val="00C116B6"/>
    <w:rsid w:val="00C157D9"/>
    <w:rsid w:val="00C176A1"/>
    <w:rsid w:val="00C305F0"/>
    <w:rsid w:val="00C41A0E"/>
    <w:rsid w:val="00C50918"/>
    <w:rsid w:val="00C75DCC"/>
    <w:rsid w:val="00C767E0"/>
    <w:rsid w:val="00C83323"/>
    <w:rsid w:val="00C85959"/>
    <w:rsid w:val="00CA049C"/>
    <w:rsid w:val="00CA4FFA"/>
    <w:rsid w:val="00CB1E26"/>
    <w:rsid w:val="00CB25EE"/>
    <w:rsid w:val="00CB2F90"/>
    <w:rsid w:val="00CC34FF"/>
    <w:rsid w:val="00CC40C4"/>
    <w:rsid w:val="00CC59D6"/>
    <w:rsid w:val="00CC7D37"/>
    <w:rsid w:val="00CD589F"/>
    <w:rsid w:val="00CE5EA2"/>
    <w:rsid w:val="00CE7950"/>
    <w:rsid w:val="00D05F5E"/>
    <w:rsid w:val="00D1128C"/>
    <w:rsid w:val="00D12A1E"/>
    <w:rsid w:val="00D13759"/>
    <w:rsid w:val="00D15409"/>
    <w:rsid w:val="00D162D7"/>
    <w:rsid w:val="00D17CCD"/>
    <w:rsid w:val="00D20F1B"/>
    <w:rsid w:val="00D25112"/>
    <w:rsid w:val="00D41A6C"/>
    <w:rsid w:val="00D42FBA"/>
    <w:rsid w:val="00D57FD7"/>
    <w:rsid w:val="00D84ECF"/>
    <w:rsid w:val="00D93675"/>
    <w:rsid w:val="00D95894"/>
    <w:rsid w:val="00DA123C"/>
    <w:rsid w:val="00DA4748"/>
    <w:rsid w:val="00DA7791"/>
    <w:rsid w:val="00DB17D9"/>
    <w:rsid w:val="00DB5B14"/>
    <w:rsid w:val="00DE4A6C"/>
    <w:rsid w:val="00DE72D0"/>
    <w:rsid w:val="00DF001A"/>
    <w:rsid w:val="00DF6E24"/>
    <w:rsid w:val="00E32381"/>
    <w:rsid w:val="00E3316E"/>
    <w:rsid w:val="00E332C2"/>
    <w:rsid w:val="00E36C02"/>
    <w:rsid w:val="00E4290C"/>
    <w:rsid w:val="00E55950"/>
    <w:rsid w:val="00E60052"/>
    <w:rsid w:val="00E6144D"/>
    <w:rsid w:val="00E856F3"/>
    <w:rsid w:val="00E92979"/>
    <w:rsid w:val="00E93FE9"/>
    <w:rsid w:val="00E97214"/>
    <w:rsid w:val="00EA3F62"/>
    <w:rsid w:val="00EA6F4E"/>
    <w:rsid w:val="00EB4415"/>
    <w:rsid w:val="00EB64E1"/>
    <w:rsid w:val="00EC03AE"/>
    <w:rsid w:val="00EC18BB"/>
    <w:rsid w:val="00EC1AD8"/>
    <w:rsid w:val="00ED0B9F"/>
    <w:rsid w:val="00ED0D04"/>
    <w:rsid w:val="00ED3618"/>
    <w:rsid w:val="00EE1AE0"/>
    <w:rsid w:val="00EE3807"/>
    <w:rsid w:val="00EE6D14"/>
    <w:rsid w:val="00EF01CE"/>
    <w:rsid w:val="00EF322F"/>
    <w:rsid w:val="00EF44B0"/>
    <w:rsid w:val="00F03305"/>
    <w:rsid w:val="00F068DE"/>
    <w:rsid w:val="00F15422"/>
    <w:rsid w:val="00F2152B"/>
    <w:rsid w:val="00F23C03"/>
    <w:rsid w:val="00F27A08"/>
    <w:rsid w:val="00F30A50"/>
    <w:rsid w:val="00F3706A"/>
    <w:rsid w:val="00F4083C"/>
    <w:rsid w:val="00F41E89"/>
    <w:rsid w:val="00F43A82"/>
    <w:rsid w:val="00F44081"/>
    <w:rsid w:val="00F4657F"/>
    <w:rsid w:val="00F469E6"/>
    <w:rsid w:val="00F61E1A"/>
    <w:rsid w:val="00F633F0"/>
    <w:rsid w:val="00F63BDA"/>
    <w:rsid w:val="00F65A6E"/>
    <w:rsid w:val="00F67D59"/>
    <w:rsid w:val="00F71FDF"/>
    <w:rsid w:val="00F73EA3"/>
    <w:rsid w:val="00F74154"/>
    <w:rsid w:val="00F76EAE"/>
    <w:rsid w:val="00F80BC3"/>
    <w:rsid w:val="00F81735"/>
    <w:rsid w:val="00F826C9"/>
    <w:rsid w:val="00F84280"/>
    <w:rsid w:val="00F870D1"/>
    <w:rsid w:val="00F91A37"/>
    <w:rsid w:val="00F93D1D"/>
    <w:rsid w:val="00F97CD5"/>
    <w:rsid w:val="00FA1FE6"/>
    <w:rsid w:val="00FA39E2"/>
    <w:rsid w:val="00FB10F1"/>
    <w:rsid w:val="00FB148F"/>
    <w:rsid w:val="00FB6C96"/>
    <w:rsid w:val="00FC2A59"/>
    <w:rsid w:val="00FC3C65"/>
    <w:rsid w:val="00FE2CD2"/>
    <w:rsid w:val="00FF0BFB"/>
    <w:rsid w:val="00FF6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5C7F7CBC"/>
  <w15:docId w15:val="{8561B9B7-E632-4719-9D75-0BB1A708E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link w:val="Heading1Char"/>
    <w:qFormat/>
    <w:pPr>
      <w:keepNext/>
      <w:keepLines/>
      <w:spacing w:before="240" w:after="120"/>
      <w:ind w:left="432" w:hanging="432"/>
      <w:outlineLvl w:val="0"/>
    </w:pPr>
    <w:rPr>
      <w:b/>
      <w:sz w:val="32"/>
    </w:rPr>
  </w:style>
  <w:style w:type="paragraph" w:styleId="Heading2">
    <w:name w:val="heading 2"/>
    <w:basedOn w:val="Normal1"/>
    <w:next w:val="Normal1"/>
    <w:link w:val="Heading2Char"/>
    <w:qFormat/>
    <w:pPr>
      <w:keepNext/>
      <w:keepLines/>
      <w:spacing w:before="240" w:after="60"/>
      <w:outlineLvl w:val="1"/>
    </w:pPr>
    <w:rPr>
      <w:rFonts w:ascii="Arial" w:eastAsia="Arial" w:hAnsi="Arial" w:cs="Arial"/>
      <w:b/>
      <w:i/>
      <w:sz w:val="28"/>
    </w:rPr>
  </w:style>
  <w:style w:type="paragraph" w:styleId="Heading3">
    <w:name w:val="heading 3"/>
    <w:basedOn w:val="Normal1"/>
    <w:next w:val="Normal1"/>
    <w:link w:val="Heading3Char"/>
    <w:qFormat/>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qFormat/>
    <w:pPr>
      <w:keepNext/>
      <w:keepLines/>
      <w:spacing w:before="240" w:after="60"/>
      <w:outlineLvl w:val="3"/>
    </w:pPr>
    <w:rPr>
      <w:b/>
      <w:sz w:val="28"/>
    </w:rPr>
  </w:style>
  <w:style w:type="paragraph" w:styleId="Heading5">
    <w:name w:val="heading 5"/>
    <w:basedOn w:val="Normal1"/>
    <w:next w:val="Normal1"/>
    <w:link w:val="Heading5Char"/>
    <w:qFormat/>
    <w:pPr>
      <w:keepNext/>
      <w:keepLines/>
      <w:spacing w:before="240" w:after="60"/>
      <w:outlineLvl w:val="4"/>
    </w:pPr>
    <w:rPr>
      <w:b/>
      <w:i/>
      <w:sz w:val="26"/>
    </w:rPr>
  </w:style>
  <w:style w:type="paragraph" w:styleId="Heading6">
    <w:name w:val="heading 6"/>
    <w:basedOn w:val="Normal1"/>
    <w:next w:val="Normal1"/>
    <w:link w:val="Heading6Char"/>
    <w:qFormat/>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EF01C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style>
  <w:style w:type="paragraph" w:styleId="Title">
    <w:name w:val="Title"/>
    <w:basedOn w:val="Normal1"/>
    <w:next w:val="Normal1"/>
    <w:link w:val="TitleChar"/>
    <w:qFormat/>
    <w:pPr>
      <w:keepNext/>
      <w:keepLines/>
      <w:spacing w:before="240" w:after="60"/>
      <w:jc w:val="center"/>
    </w:pPr>
    <w:rPr>
      <w:rFonts w:ascii="Arial" w:eastAsia="Arial" w:hAnsi="Arial" w:cs="Arial"/>
      <w:b/>
      <w:sz w:val="32"/>
    </w:rPr>
  </w:style>
  <w:style w:type="paragraph" w:styleId="Subtitle">
    <w:name w:val="Subtitle"/>
    <w:basedOn w:val="Normal1"/>
    <w:next w:val="Normal1"/>
    <w:link w:val="SubtitleChar"/>
    <w:qFormat/>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szCs w:val="24"/>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832DD4"/>
  </w:style>
  <w:style w:type="paragraph" w:styleId="BalloonText">
    <w:name w:val="Balloon Text"/>
    <w:basedOn w:val="Normal"/>
    <w:link w:val="BalloonTextChar"/>
    <w:uiPriority w:val="99"/>
    <w:semiHidden/>
    <w:unhideWhenUsed/>
    <w:rsid w:val="00832D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DD4"/>
    <w:rPr>
      <w:rFonts w:ascii="Lucida Grande" w:hAnsi="Lucida Grande" w:cs="Lucida Grande"/>
      <w:sz w:val="18"/>
      <w:szCs w:val="18"/>
    </w:rPr>
  </w:style>
  <w:style w:type="paragraph" w:styleId="TOC1">
    <w:name w:val="toc 1"/>
    <w:basedOn w:val="Normal"/>
    <w:next w:val="Normal"/>
    <w:autoRedefine/>
    <w:uiPriority w:val="39"/>
    <w:unhideWhenUsed/>
    <w:rsid w:val="004C05BB"/>
    <w:pPr>
      <w:tabs>
        <w:tab w:val="right" w:leader="dot" w:pos="9629"/>
      </w:tabs>
      <w:spacing w:before="120"/>
    </w:pPr>
    <w:rPr>
      <w:rFonts w:asciiTheme="minorHAnsi" w:hAnsiTheme="minorHAnsi"/>
      <w:b/>
      <w:szCs w:val="24"/>
    </w:rPr>
  </w:style>
  <w:style w:type="paragraph" w:styleId="TOC2">
    <w:name w:val="toc 2"/>
    <w:basedOn w:val="Normal"/>
    <w:next w:val="Normal"/>
    <w:autoRedefine/>
    <w:uiPriority w:val="39"/>
    <w:unhideWhenUsed/>
    <w:rsid w:val="00D162D7"/>
    <w:pPr>
      <w:ind w:left="240"/>
    </w:pPr>
    <w:rPr>
      <w:rFonts w:asciiTheme="minorHAnsi" w:hAnsiTheme="minorHAnsi"/>
      <w:b/>
      <w:sz w:val="22"/>
      <w:szCs w:val="22"/>
    </w:rPr>
  </w:style>
  <w:style w:type="paragraph" w:styleId="TOC3">
    <w:name w:val="toc 3"/>
    <w:basedOn w:val="Normal"/>
    <w:next w:val="Normal"/>
    <w:autoRedefine/>
    <w:uiPriority w:val="39"/>
    <w:unhideWhenUsed/>
    <w:rsid w:val="00D162D7"/>
    <w:pPr>
      <w:ind w:left="480"/>
    </w:pPr>
    <w:rPr>
      <w:rFonts w:asciiTheme="minorHAnsi" w:hAnsiTheme="minorHAnsi"/>
      <w:sz w:val="22"/>
      <w:szCs w:val="22"/>
    </w:rPr>
  </w:style>
  <w:style w:type="paragraph" w:styleId="TOC4">
    <w:name w:val="toc 4"/>
    <w:basedOn w:val="Normal"/>
    <w:next w:val="Normal"/>
    <w:autoRedefine/>
    <w:uiPriority w:val="39"/>
    <w:unhideWhenUsed/>
    <w:rsid w:val="00D162D7"/>
    <w:pPr>
      <w:ind w:left="720"/>
    </w:pPr>
    <w:rPr>
      <w:rFonts w:asciiTheme="minorHAnsi" w:hAnsiTheme="minorHAnsi"/>
      <w:sz w:val="20"/>
    </w:rPr>
  </w:style>
  <w:style w:type="paragraph" w:styleId="TOC5">
    <w:name w:val="toc 5"/>
    <w:basedOn w:val="Normal"/>
    <w:next w:val="Normal"/>
    <w:autoRedefine/>
    <w:uiPriority w:val="39"/>
    <w:unhideWhenUsed/>
    <w:rsid w:val="00D162D7"/>
    <w:pPr>
      <w:ind w:left="960"/>
    </w:pPr>
    <w:rPr>
      <w:rFonts w:asciiTheme="minorHAnsi" w:hAnsiTheme="minorHAnsi"/>
      <w:sz w:val="20"/>
    </w:rPr>
  </w:style>
  <w:style w:type="paragraph" w:styleId="TOC6">
    <w:name w:val="toc 6"/>
    <w:basedOn w:val="Normal"/>
    <w:next w:val="Normal"/>
    <w:autoRedefine/>
    <w:uiPriority w:val="39"/>
    <w:unhideWhenUsed/>
    <w:rsid w:val="00D162D7"/>
    <w:pPr>
      <w:ind w:left="1200"/>
    </w:pPr>
    <w:rPr>
      <w:rFonts w:asciiTheme="minorHAnsi" w:hAnsiTheme="minorHAnsi"/>
      <w:sz w:val="20"/>
    </w:rPr>
  </w:style>
  <w:style w:type="paragraph" w:styleId="TOC7">
    <w:name w:val="toc 7"/>
    <w:basedOn w:val="Normal"/>
    <w:next w:val="Normal"/>
    <w:autoRedefine/>
    <w:uiPriority w:val="39"/>
    <w:unhideWhenUsed/>
    <w:rsid w:val="00D162D7"/>
    <w:pPr>
      <w:ind w:left="1440"/>
    </w:pPr>
    <w:rPr>
      <w:rFonts w:asciiTheme="minorHAnsi" w:hAnsiTheme="minorHAnsi"/>
      <w:sz w:val="20"/>
    </w:rPr>
  </w:style>
  <w:style w:type="paragraph" w:styleId="TOC8">
    <w:name w:val="toc 8"/>
    <w:basedOn w:val="Normal"/>
    <w:next w:val="Normal"/>
    <w:autoRedefine/>
    <w:uiPriority w:val="39"/>
    <w:unhideWhenUsed/>
    <w:rsid w:val="00D162D7"/>
    <w:pPr>
      <w:ind w:left="1680"/>
    </w:pPr>
    <w:rPr>
      <w:rFonts w:asciiTheme="minorHAnsi" w:hAnsiTheme="minorHAnsi"/>
      <w:sz w:val="20"/>
    </w:rPr>
  </w:style>
  <w:style w:type="paragraph" w:styleId="TOC9">
    <w:name w:val="toc 9"/>
    <w:basedOn w:val="Normal"/>
    <w:next w:val="Normal"/>
    <w:autoRedefine/>
    <w:uiPriority w:val="39"/>
    <w:unhideWhenUsed/>
    <w:rsid w:val="00D162D7"/>
    <w:pPr>
      <w:ind w:left="1920"/>
    </w:pPr>
    <w:rPr>
      <w:rFonts w:asciiTheme="minorHAnsi" w:hAnsiTheme="minorHAnsi"/>
      <w:sz w:val="20"/>
    </w:rPr>
  </w:style>
  <w:style w:type="character" w:styleId="Hyperlink">
    <w:name w:val="Hyperlink"/>
    <w:basedOn w:val="DefaultParagraphFont"/>
    <w:uiPriority w:val="99"/>
    <w:unhideWhenUsed/>
    <w:rsid w:val="00701C49"/>
    <w:rPr>
      <w:color w:val="0000FF" w:themeColor="hyperlink"/>
      <w:u w:val="single"/>
    </w:rPr>
  </w:style>
  <w:style w:type="character" w:styleId="FollowedHyperlink">
    <w:name w:val="FollowedHyperlink"/>
    <w:basedOn w:val="DefaultParagraphFont"/>
    <w:uiPriority w:val="99"/>
    <w:semiHidden/>
    <w:unhideWhenUsed/>
    <w:rsid w:val="00E4290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7D6B57"/>
    <w:rPr>
      <w:b/>
      <w:bCs/>
      <w:sz w:val="20"/>
      <w:szCs w:val="20"/>
    </w:rPr>
  </w:style>
  <w:style w:type="character" w:customStyle="1" w:styleId="CommentSubjectChar">
    <w:name w:val="Comment Subject Char"/>
    <w:basedOn w:val="CommentTextChar"/>
    <w:link w:val="CommentSubject"/>
    <w:uiPriority w:val="99"/>
    <w:semiHidden/>
    <w:rsid w:val="007D6B57"/>
    <w:rPr>
      <w:b/>
      <w:bCs/>
      <w:sz w:val="20"/>
      <w:szCs w:val="24"/>
    </w:rPr>
  </w:style>
  <w:style w:type="paragraph" w:styleId="Caption">
    <w:name w:val="caption"/>
    <w:basedOn w:val="Normal"/>
    <w:next w:val="Normal"/>
    <w:uiPriority w:val="35"/>
    <w:unhideWhenUsed/>
    <w:qFormat/>
    <w:rsid w:val="007C110A"/>
    <w:pPr>
      <w:spacing w:after="200"/>
    </w:pPr>
    <w:rPr>
      <w:b/>
      <w:bCs/>
      <w:color w:val="4F81BD" w:themeColor="accent1"/>
      <w:sz w:val="18"/>
      <w:szCs w:val="18"/>
    </w:rPr>
  </w:style>
  <w:style w:type="paragraph" w:styleId="FootnoteText">
    <w:name w:val="footnote text"/>
    <w:basedOn w:val="Normal"/>
    <w:link w:val="FootnoteTextChar"/>
    <w:uiPriority w:val="99"/>
    <w:unhideWhenUsed/>
    <w:rsid w:val="009E7E4D"/>
    <w:rPr>
      <w:szCs w:val="24"/>
    </w:rPr>
  </w:style>
  <w:style w:type="character" w:customStyle="1" w:styleId="FootnoteTextChar">
    <w:name w:val="Footnote Text Char"/>
    <w:basedOn w:val="DefaultParagraphFont"/>
    <w:link w:val="FootnoteText"/>
    <w:uiPriority w:val="99"/>
    <w:rsid w:val="009E7E4D"/>
    <w:rPr>
      <w:szCs w:val="24"/>
    </w:rPr>
  </w:style>
  <w:style w:type="character" w:styleId="FootnoteReference">
    <w:name w:val="footnote reference"/>
    <w:basedOn w:val="DefaultParagraphFont"/>
    <w:unhideWhenUsed/>
    <w:rsid w:val="009E7E4D"/>
    <w:rPr>
      <w:vertAlign w:val="superscript"/>
    </w:rPr>
  </w:style>
  <w:style w:type="table" w:styleId="TableGrid">
    <w:name w:val="Table Grid"/>
    <w:basedOn w:val="TableNormal"/>
    <w:uiPriority w:val="59"/>
    <w:rsid w:val="00B5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531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B5312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B5312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B5312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7D3376"/>
    <w:pPr>
      <w:tabs>
        <w:tab w:val="center" w:pos="4320"/>
        <w:tab w:val="right" w:pos="8640"/>
      </w:tabs>
    </w:pPr>
  </w:style>
  <w:style w:type="character" w:customStyle="1" w:styleId="HeaderChar">
    <w:name w:val="Header Char"/>
    <w:basedOn w:val="DefaultParagraphFont"/>
    <w:link w:val="Header"/>
    <w:uiPriority w:val="99"/>
    <w:rsid w:val="007D3376"/>
  </w:style>
  <w:style w:type="paragraph" w:styleId="Footer">
    <w:name w:val="footer"/>
    <w:basedOn w:val="Normal"/>
    <w:link w:val="FooterChar"/>
    <w:uiPriority w:val="99"/>
    <w:unhideWhenUsed/>
    <w:rsid w:val="007D3376"/>
    <w:pPr>
      <w:tabs>
        <w:tab w:val="center" w:pos="4320"/>
        <w:tab w:val="right" w:pos="8640"/>
      </w:tabs>
    </w:pPr>
  </w:style>
  <w:style w:type="character" w:customStyle="1" w:styleId="FooterChar">
    <w:name w:val="Footer Char"/>
    <w:basedOn w:val="DefaultParagraphFont"/>
    <w:link w:val="Footer"/>
    <w:uiPriority w:val="99"/>
    <w:rsid w:val="007D3376"/>
  </w:style>
  <w:style w:type="character" w:styleId="PageNumber">
    <w:name w:val="page number"/>
    <w:basedOn w:val="DefaultParagraphFont"/>
    <w:uiPriority w:val="99"/>
    <w:semiHidden/>
    <w:unhideWhenUsed/>
    <w:rsid w:val="007D3376"/>
  </w:style>
  <w:style w:type="table" w:styleId="DarkList-Accent1">
    <w:name w:val="Dark List Accent 1"/>
    <w:basedOn w:val="TableNormal"/>
    <w:uiPriority w:val="70"/>
    <w:rsid w:val="00B11C6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ghtGrid-Accent1">
    <w:name w:val="Light Grid Accent 1"/>
    <w:basedOn w:val="TableNormal"/>
    <w:uiPriority w:val="62"/>
    <w:rsid w:val="00B11C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Paragraph">
    <w:name w:val="List Paragraph"/>
    <w:basedOn w:val="Normal"/>
    <w:uiPriority w:val="34"/>
    <w:qFormat/>
    <w:rsid w:val="00767F24"/>
    <w:pPr>
      <w:ind w:left="720"/>
      <w:contextualSpacing/>
    </w:pPr>
  </w:style>
  <w:style w:type="paragraph" w:styleId="TOCHeading">
    <w:name w:val="TOC Heading"/>
    <w:basedOn w:val="Heading1"/>
    <w:next w:val="Normal"/>
    <w:uiPriority w:val="39"/>
    <w:unhideWhenUsed/>
    <w:qFormat/>
    <w:rsid w:val="00122B92"/>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rPr>
  </w:style>
  <w:style w:type="paragraph" w:styleId="NormalWeb">
    <w:name w:val="Normal (Web)"/>
    <w:basedOn w:val="Normal"/>
    <w:uiPriority w:val="99"/>
    <w:unhideWhenUsed/>
    <w:rsid w:val="000C7A60"/>
    <w:pPr>
      <w:spacing w:before="100" w:beforeAutospacing="1" w:after="100" w:afterAutospacing="1"/>
    </w:pPr>
    <w:rPr>
      <w:color w:val="auto"/>
      <w:sz w:val="20"/>
    </w:rPr>
  </w:style>
  <w:style w:type="character" w:customStyle="1" w:styleId="Heading7Char">
    <w:name w:val="Heading 7 Char"/>
    <w:basedOn w:val="DefaultParagraphFont"/>
    <w:link w:val="Heading7"/>
    <w:uiPriority w:val="9"/>
    <w:rsid w:val="00EF01CE"/>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rsid w:val="008E5AEA"/>
    <w:rPr>
      <w:b/>
      <w:sz w:val="32"/>
    </w:rPr>
  </w:style>
  <w:style w:type="character" w:customStyle="1" w:styleId="Heading2Char">
    <w:name w:val="Heading 2 Char"/>
    <w:basedOn w:val="DefaultParagraphFont"/>
    <w:link w:val="Heading2"/>
    <w:rsid w:val="008E5AEA"/>
    <w:rPr>
      <w:rFonts w:ascii="Arial" w:eastAsia="Arial" w:hAnsi="Arial" w:cs="Arial"/>
      <w:b/>
      <w:i/>
      <w:sz w:val="28"/>
    </w:rPr>
  </w:style>
  <w:style w:type="character" w:customStyle="1" w:styleId="Heading3Char">
    <w:name w:val="Heading 3 Char"/>
    <w:basedOn w:val="DefaultParagraphFont"/>
    <w:link w:val="Heading3"/>
    <w:rsid w:val="008E5AEA"/>
    <w:rPr>
      <w:rFonts w:ascii="Arial" w:eastAsia="Arial" w:hAnsi="Arial" w:cs="Arial"/>
      <w:b/>
      <w:sz w:val="26"/>
    </w:rPr>
  </w:style>
  <w:style w:type="character" w:customStyle="1" w:styleId="Heading4Char">
    <w:name w:val="Heading 4 Char"/>
    <w:basedOn w:val="DefaultParagraphFont"/>
    <w:link w:val="Heading4"/>
    <w:rsid w:val="008E5AEA"/>
    <w:rPr>
      <w:b/>
      <w:sz w:val="28"/>
    </w:rPr>
  </w:style>
  <w:style w:type="character" w:customStyle="1" w:styleId="Heading5Char">
    <w:name w:val="Heading 5 Char"/>
    <w:basedOn w:val="DefaultParagraphFont"/>
    <w:link w:val="Heading5"/>
    <w:rsid w:val="008E5AEA"/>
    <w:rPr>
      <w:b/>
      <w:i/>
      <w:sz w:val="26"/>
    </w:rPr>
  </w:style>
  <w:style w:type="character" w:customStyle="1" w:styleId="Heading6Char">
    <w:name w:val="Heading 6 Char"/>
    <w:basedOn w:val="DefaultParagraphFont"/>
    <w:link w:val="Heading6"/>
    <w:rsid w:val="008E5AEA"/>
    <w:rPr>
      <w:b/>
      <w:sz w:val="22"/>
    </w:rPr>
  </w:style>
  <w:style w:type="character" w:customStyle="1" w:styleId="TitleChar">
    <w:name w:val="Title Char"/>
    <w:basedOn w:val="DefaultParagraphFont"/>
    <w:link w:val="Title"/>
    <w:rsid w:val="008E5AEA"/>
    <w:rPr>
      <w:rFonts w:ascii="Arial" w:eastAsia="Arial" w:hAnsi="Arial" w:cs="Arial"/>
      <w:b/>
      <w:sz w:val="32"/>
    </w:rPr>
  </w:style>
  <w:style w:type="character" w:customStyle="1" w:styleId="SubtitleChar">
    <w:name w:val="Subtitle Char"/>
    <w:basedOn w:val="DefaultParagraphFont"/>
    <w:link w:val="Subtitle"/>
    <w:rsid w:val="008E5AEA"/>
    <w:rPr>
      <w:rFonts w:ascii="Arial" w:eastAsia="Arial" w:hAnsi="Arial" w:cs="Arial"/>
      <w:i/>
      <w:color w:val="666666"/>
    </w:rPr>
  </w:style>
  <w:style w:type="character" w:customStyle="1" w:styleId="tw4winMark">
    <w:name w:val="tw4winMark"/>
    <w:basedOn w:val="DefaultParagraphFont"/>
    <w:rsid w:val="008E5AEA"/>
    <w:rPr>
      <w:rFonts w:ascii="Courier New" w:hAnsi="Courier New" w:cs="Courier New" w:hint="default"/>
      <w:b w:val="0"/>
      <w:bCs w:val="0"/>
      <w:i w:val="0"/>
      <w:iCs w:val="0"/>
      <w:strike w:val="0"/>
      <w:dstrike w:val="0"/>
      <w:noProof/>
      <w:vanish/>
      <w:webHidden w:val="0"/>
      <w:color w:val="800080"/>
      <w:sz w:val="18"/>
      <w:u w:val="none"/>
      <w:effect w:val="none"/>
      <w:vertAlign w:val="sub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2758">
      <w:bodyDiv w:val="1"/>
      <w:marLeft w:val="0"/>
      <w:marRight w:val="0"/>
      <w:marTop w:val="0"/>
      <w:marBottom w:val="0"/>
      <w:divBdr>
        <w:top w:val="none" w:sz="0" w:space="0" w:color="auto"/>
        <w:left w:val="none" w:sz="0" w:space="0" w:color="auto"/>
        <w:bottom w:val="none" w:sz="0" w:space="0" w:color="auto"/>
        <w:right w:val="none" w:sz="0" w:space="0" w:color="auto"/>
      </w:divBdr>
    </w:div>
    <w:div w:id="450781987">
      <w:bodyDiv w:val="1"/>
      <w:marLeft w:val="0"/>
      <w:marRight w:val="0"/>
      <w:marTop w:val="0"/>
      <w:marBottom w:val="0"/>
      <w:divBdr>
        <w:top w:val="none" w:sz="0" w:space="0" w:color="auto"/>
        <w:left w:val="none" w:sz="0" w:space="0" w:color="auto"/>
        <w:bottom w:val="none" w:sz="0" w:space="0" w:color="auto"/>
        <w:right w:val="none" w:sz="0" w:space="0" w:color="auto"/>
      </w:divBdr>
    </w:div>
    <w:div w:id="482354833">
      <w:bodyDiv w:val="1"/>
      <w:marLeft w:val="0"/>
      <w:marRight w:val="0"/>
      <w:marTop w:val="0"/>
      <w:marBottom w:val="0"/>
      <w:divBdr>
        <w:top w:val="none" w:sz="0" w:space="0" w:color="auto"/>
        <w:left w:val="none" w:sz="0" w:space="0" w:color="auto"/>
        <w:bottom w:val="none" w:sz="0" w:space="0" w:color="auto"/>
        <w:right w:val="none" w:sz="0" w:space="0" w:color="auto"/>
      </w:divBdr>
    </w:div>
    <w:div w:id="876621779">
      <w:bodyDiv w:val="1"/>
      <w:marLeft w:val="0"/>
      <w:marRight w:val="0"/>
      <w:marTop w:val="0"/>
      <w:marBottom w:val="0"/>
      <w:divBdr>
        <w:top w:val="none" w:sz="0" w:space="0" w:color="auto"/>
        <w:left w:val="none" w:sz="0" w:space="0" w:color="auto"/>
        <w:bottom w:val="none" w:sz="0" w:space="0" w:color="auto"/>
        <w:right w:val="none" w:sz="0" w:space="0" w:color="auto"/>
      </w:divBdr>
    </w:div>
    <w:div w:id="906259496">
      <w:bodyDiv w:val="1"/>
      <w:marLeft w:val="0"/>
      <w:marRight w:val="0"/>
      <w:marTop w:val="0"/>
      <w:marBottom w:val="0"/>
      <w:divBdr>
        <w:top w:val="none" w:sz="0" w:space="0" w:color="auto"/>
        <w:left w:val="none" w:sz="0" w:space="0" w:color="auto"/>
        <w:bottom w:val="none" w:sz="0" w:space="0" w:color="auto"/>
        <w:right w:val="none" w:sz="0" w:space="0" w:color="auto"/>
      </w:divBdr>
    </w:div>
    <w:div w:id="1187258511">
      <w:bodyDiv w:val="1"/>
      <w:marLeft w:val="0"/>
      <w:marRight w:val="0"/>
      <w:marTop w:val="0"/>
      <w:marBottom w:val="0"/>
      <w:divBdr>
        <w:top w:val="none" w:sz="0" w:space="0" w:color="auto"/>
        <w:left w:val="none" w:sz="0" w:space="0" w:color="auto"/>
        <w:bottom w:val="none" w:sz="0" w:space="0" w:color="auto"/>
        <w:right w:val="none" w:sz="0" w:space="0" w:color="auto"/>
      </w:divBdr>
    </w:div>
    <w:div w:id="1274824360">
      <w:bodyDiv w:val="1"/>
      <w:marLeft w:val="0"/>
      <w:marRight w:val="0"/>
      <w:marTop w:val="0"/>
      <w:marBottom w:val="0"/>
      <w:divBdr>
        <w:top w:val="none" w:sz="0" w:space="0" w:color="auto"/>
        <w:left w:val="none" w:sz="0" w:space="0" w:color="auto"/>
        <w:bottom w:val="none" w:sz="0" w:space="0" w:color="auto"/>
        <w:right w:val="none" w:sz="0" w:space="0" w:color="auto"/>
      </w:divBdr>
    </w:div>
    <w:div w:id="1300189835">
      <w:bodyDiv w:val="1"/>
      <w:marLeft w:val="0"/>
      <w:marRight w:val="0"/>
      <w:marTop w:val="0"/>
      <w:marBottom w:val="0"/>
      <w:divBdr>
        <w:top w:val="none" w:sz="0" w:space="0" w:color="auto"/>
        <w:left w:val="none" w:sz="0" w:space="0" w:color="auto"/>
        <w:bottom w:val="none" w:sz="0" w:space="0" w:color="auto"/>
        <w:right w:val="none" w:sz="0" w:space="0" w:color="auto"/>
      </w:divBdr>
    </w:div>
    <w:div w:id="1379740370">
      <w:bodyDiv w:val="1"/>
      <w:marLeft w:val="0"/>
      <w:marRight w:val="0"/>
      <w:marTop w:val="0"/>
      <w:marBottom w:val="0"/>
      <w:divBdr>
        <w:top w:val="none" w:sz="0" w:space="0" w:color="auto"/>
        <w:left w:val="none" w:sz="0" w:space="0" w:color="auto"/>
        <w:bottom w:val="none" w:sz="0" w:space="0" w:color="auto"/>
        <w:right w:val="none" w:sz="0" w:space="0" w:color="auto"/>
      </w:divBdr>
    </w:div>
    <w:div w:id="1444615850">
      <w:bodyDiv w:val="1"/>
      <w:marLeft w:val="0"/>
      <w:marRight w:val="0"/>
      <w:marTop w:val="0"/>
      <w:marBottom w:val="0"/>
      <w:divBdr>
        <w:top w:val="none" w:sz="0" w:space="0" w:color="auto"/>
        <w:left w:val="none" w:sz="0" w:space="0" w:color="auto"/>
        <w:bottom w:val="none" w:sz="0" w:space="0" w:color="auto"/>
        <w:right w:val="none" w:sz="0" w:space="0" w:color="auto"/>
      </w:divBdr>
      <w:divsChild>
        <w:div w:id="422184469">
          <w:marLeft w:val="0"/>
          <w:marRight w:val="0"/>
          <w:marTop w:val="0"/>
          <w:marBottom w:val="0"/>
          <w:divBdr>
            <w:top w:val="none" w:sz="0" w:space="0" w:color="auto"/>
            <w:left w:val="none" w:sz="0" w:space="0" w:color="auto"/>
            <w:bottom w:val="none" w:sz="0" w:space="0" w:color="auto"/>
            <w:right w:val="none" w:sz="0" w:space="0" w:color="auto"/>
          </w:divBdr>
          <w:divsChild>
            <w:div w:id="982585769">
              <w:marLeft w:val="0"/>
              <w:marRight w:val="0"/>
              <w:marTop w:val="0"/>
              <w:marBottom w:val="0"/>
              <w:divBdr>
                <w:top w:val="none" w:sz="0" w:space="0" w:color="auto"/>
                <w:left w:val="none" w:sz="0" w:space="0" w:color="auto"/>
                <w:bottom w:val="none" w:sz="0" w:space="0" w:color="auto"/>
                <w:right w:val="none" w:sz="0" w:space="0" w:color="auto"/>
              </w:divBdr>
              <w:divsChild>
                <w:div w:id="1605307758">
                  <w:marLeft w:val="0"/>
                  <w:marRight w:val="0"/>
                  <w:marTop w:val="0"/>
                  <w:marBottom w:val="0"/>
                  <w:divBdr>
                    <w:top w:val="none" w:sz="0" w:space="0" w:color="auto"/>
                    <w:left w:val="none" w:sz="0" w:space="0" w:color="auto"/>
                    <w:bottom w:val="none" w:sz="0" w:space="0" w:color="auto"/>
                    <w:right w:val="none" w:sz="0" w:space="0" w:color="auto"/>
                  </w:divBdr>
                  <w:divsChild>
                    <w:div w:id="7880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83784">
      <w:bodyDiv w:val="1"/>
      <w:marLeft w:val="0"/>
      <w:marRight w:val="0"/>
      <w:marTop w:val="0"/>
      <w:marBottom w:val="0"/>
      <w:divBdr>
        <w:top w:val="none" w:sz="0" w:space="0" w:color="auto"/>
        <w:left w:val="none" w:sz="0" w:space="0" w:color="auto"/>
        <w:bottom w:val="none" w:sz="0" w:space="0" w:color="auto"/>
        <w:right w:val="none" w:sz="0" w:space="0" w:color="auto"/>
      </w:divBdr>
      <w:divsChild>
        <w:div w:id="542138257">
          <w:marLeft w:val="0"/>
          <w:marRight w:val="0"/>
          <w:marTop w:val="0"/>
          <w:marBottom w:val="0"/>
          <w:divBdr>
            <w:top w:val="none" w:sz="0" w:space="0" w:color="auto"/>
            <w:left w:val="none" w:sz="0" w:space="0" w:color="auto"/>
            <w:bottom w:val="none" w:sz="0" w:space="0" w:color="auto"/>
            <w:right w:val="none" w:sz="0" w:space="0" w:color="auto"/>
          </w:divBdr>
          <w:divsChild>
            <w:div w:id="849300353">
              <w:marLeft w:val="0"/>
              <w:marRight w:val="0"/>
              <w:marTop w:val="0"/>
              <w:marBottom w:val="0"/>
              <w:divBdr>
                <w:top w:val="none" w:sz="0" w:space="0" w:color="auto"/>
                <w:left w:val="none" w:sz="0" w:space="0" w:color="auto"/>
                <w:bottom w:val="none" w:sz="0" w:space="0" w:color="auto"/>
                <w:right w:val="none" w:sz="0" w:space="0" w:color="auto"/>
              </w:divBdr>
              <w:divsChild>
                <w:div w:id="1865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20065">
      <w:bodyDiv w:val="1"/>
      <w:marLeft w:val="0"/>
      <w:marRight w:val="0"/>
      <w:marTop w:val="0"/>
      <w:marBottom w:val="0"/>
      <w:divBdr>
        <w:top w:val="none" w:sz="0" w:space="0" w:color="auto"/>
        <w:left w:val="none" w:sz="0" w:space="0" w:color="auto"/>
        <w:bottom w:val="none" w:sz="0" w:space="0" w:color="auto"/>
        <w:right w:val="none" w:sz="0" w:space="0" w:color="auto"/>
      </w:divBdr>
    </w:div>
    <w:div w:id="1709640860">
      <w:bodyDiv w:val="1"/>
      <w:marLeft w:val="0"/>
      <w:marRight w:val="0"/>
      <w:marTop w:val="0"/>
      <w:marBottom w:val="0"/>
      <w:divBdr>
        <w:top w:val="none" w:sz="0" w:space="0" w:color="auto"/>
        <w:left w:val="none" w:sz="0" w:space="0" w:color="auto"/>
        <w:bottom w:val="none" w:sz="0" w:space="0" w:color="auto"/>
        <w:right w:val="none" w:sz="0" w:space="0" w:color="auto"/>
      </w:divBdr>
    </w:div>
    <w:div w:id="1753504961">
      <w:bodyDiv w:val="1"/>
      <w:marLeft w:val="0"/>
      <w:marRight w:val="0"/>
      <w:marTop w:val="0"/>
      <w:marBottom w:val="0"/>
      <w:divBdr>
        <w:top w:val="none" w:sz="0" w:space="0" w:color="auto"/>
        <w:left w:val="none" w:sz="0" w:space="0" w:color="auto"/>
        <w:bottom w:val="none" w:sz="0" w:space="0" w:color="auto"/>
        <w:right w:val="none" w:sz="0" w:space="0" w:color="auto"/>
      </w:divBdr>
    </w:div>
    <w:div w:id="1920551487">
      <w:bodyDiv w:val="1"/>
      <w:marLeft w:val="0"/>
      <w:marRight w:val="0"/>
      <w:marTop w:val="0"/>
      <w:marBottom w:val="0"/>
      <w:divBdr>
        <w:top w:val="none" w:sz="0" w:space="0" w:color="auto"/>
        <w:left w:val="none" w:sz="0" w:space="0" w:color="auto"/>
        <w:bottom w:val="none" w:sz="0" w:space="0" w:color="auto"/>
        <w:right w:val="none" w:sz="0" w:space="0" w:color="auto"/>
      </w:divBdr>
    </w:div>
    <w:div w:id="2017224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pe.wetlands.org/search?form%5Bspecies%5D=&amp;form%5Bpopulation%5D=&amp;form%5Bpublication%5D=10&amp;form%5Bprotection%5D%5B1%5D=1" TargetMode="External"/><Relationship Id="rId42" Type="http://schemas.openxmlformats.org/officeDocument/2006/relationships/image" Target="media/image19.png"/><Relationship Id="rId47" Type="http://schemas.openxmlformats.org/officeDocument/2006/relationships/image" Target="media/image24.jpeg"/><Relationship Id="rId63" Type="http://schemas.openxmlformats.org/officeDocument/2006/relationships/image" Target="media/image39.png"/><Relationship Id="rId68" Type="http://schemas.openxmlformats.org/officeDocument/2006/relationships/chart" Target="charts/chart1.xml"/><Relationship Id="rId16" Type="http://schemas.openxmlformats.org/officeDocument/2006/relationships/diagramLayout" Target="diagrams/layout1.xml"/><Relationship Id="rId11" Type="http://schemas.openxmlformats.org/officeDocument/2006/relationships/hyperlink" Target="http://www.unep-aewa.org/sites/default/files/document/mop5_14_csr5_0.pdf" TargetMode="External"/><Relationship Id="rId24" Type="http://schemas.openxmlformats.org/officeDocument/2006/relationships/hyperlink" Target="https://www.caff.is/assessment-series/all-assessment-documents/458-a-global-audit-of-the-status-and-trends-of-arctic-and-northern-hemisphere-goos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hyperlink" Target="https://www.wetlands.org/publications/state-of-worlds-waterbirds-2010/" TargetMode="External"/><Relationship Id="rId74"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7.png"/><Relationship Id="rId19" Type="http://schemas.microsoft.com/office/2007/relationships/diagramDrawing" Target="diagrams/drawing1.xml"/><Relationship Id="rId14" Type="http://schemas.openxmlformats.org/officeDocument/2006/relationships/hyperlink" Target="https://www.wetlands.org/publications/1304/" TargetMode="External"/><Relationship Id="rId22" Type="http://schemas.openxmlformats.org/officeDocument/2006/relationships/hyperlink" Target="http://iwc.wetlands.org/index.php/aewatrends" TargetMode="External"/><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0.png"/><Relationship Id="rId69" Type="http://schemas.openxmlformats.org/officeDocument/2006/relationships/image" Target="media/image43.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jpeg"/><Relationship Id="rId72"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hyperlink" Target="http://www.unep-aewa.org/sites/default/files/document/mop5_14_csr5_0.pdf" TargetMode="External"/><Relationship Id="rId17" Type="http://schemas.openxmlformats.org/officeDocument/2006/relationships/diagramQuickStyle" Target="diagrams/quickStyle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59" Type="http://schemas.openxmlformats.org/officeDocument/2006/relationships/hyperlink" Target="http://www.unep-aewa.org/sites/default/files/document/mop5_14_csr5_0.pdf" TargetMode="External"/><Relationship Id="rId67" Type="http://schemas.openxmlformats.org/officeDocument/2006/relationships/image" Target="media/image42.png"/><Relationship Id="rId20" Type="http://schemas.openxmlformats.org/officeDocument/2006/relationships/diagramData" Target="diagrams/data2.xml"/><Relationship Id="rId41" Type="http://schemas.openxmlformats.org/officeDocument/2006/relationships/image" Target="media/image18.emf"/><Relationship Id="rId54" Type="http://schemas.openxmlformats.org/officeDocument/2006/relationships/image" Target="media/image31.jpeg"/><Relationship Id="rId62" Type="http://schemas.openxmlformats.org/officeDocument/2006/relationships/image" Target="media/image38.png"/><Relationship Id="rId70" Type="http://schemas.openxmlformats.org/officeDocument/2006/relationships/image" Target="media/image44.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datazone.birdlife.org/info/euroredlist"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http://www.unep-aewa.org/sites/default/files/document/mop5_14_csr5_0.pdf"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pe.wetlands.org/search?form%5Bspecies%5D=&amp;form%5Bpopulation%5D=&amp;form%5Bpublication%5D=10&amp;form%5Bprotection%5D%5B1%5D=1" TargetMode="External"/><Relationship Id="rId18" Type="http://schemas.openxmlformats.org/officeDocument/2006/relationships/diagramColors" Target="diagrams/colors1.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bioscience/article/51/11/933/227116" TargetMode="External"/><Relationship Id="rId3" Type="http://schemas.openxmlformats.org/officeDocument/2006/relationships/hyperlink" Target="http://www.waddensea-secretariat.org/management/projects/wadden-sea-flyway-initiative-wsfi" TargetMode="External"/><Relationship Id="rId7" Type="http://schemas.openxmlformats.org/officeDocument/2006/relationships/hyperlink" Target="http://www.birdlife.org/datazone/info/taxonomy" TargetMode="External"/><Relationship Id="rId2" Type="http://schemas.openxmlformats.org/officeDocument/2006/relationships/hyperlink" Target="http://www.medwaterbirds.net/" TargetMode="External"/><Relationship Id="rId1" Type="http://schemas.openxmlformats.org/officeDocument/2006/relationships/hyperlink" Target="http://www.ebcc.info/pecbm.html" TargetMode="External"/><Relationship Id="rId6" Type="http://schemas.openxmlformats.org/officeDocument/2006/relationships/hyperlink" Target="http://www.unep-aewa.org/en/meetings/meetings-of-parties" TargetMode="External"/><Relationship Id="rId5" Type="http://schemas.openxmlformats.org/officeDocument/2006/relationships/hyperlink" Target="https://europe.wetlands.org/our-network/waterbird-monitoring-partnership/" TargetMode="External"/><Relationship Id="rId10" Type="http://schemas.openxmlformats.org/officeDocument/2006/relationships/hyperlink" Target="http://wpe.wetlands.org/search?form%5Bspecies%5D=&amp;form%5Bpopulation%5D=&amp;form%5Bpublication%5D=8&amp;form%5Bprotection%5D%5B1%5D=1" TargetMode="External"/><Relationship Id="rId4" Type="http://schemas.openxmlformats.org/officeDocument/2006/relationships/hyperlink" Target="http://www.euronatur.org/Adriatic-Flyway.937.0.html" TargetMode="External"/><Relationship Id="rId9" Type="http://schemas.openxmlformats.org/officeDocument/2006/relationships/hyperlink" Target="http://www.waderstudygroup.org/pubs/iws15.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birdlife.org\data\Departments\SPI\Science\11%20RLI\RLI%20for%20AEWA\2017%20contract%20for%20RLI%20for%20AEWA\AEWA%20RLI%20%20datasets%2025%20Oct%202017%20v2.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54748341828"/>
          <c:y val="0.103634419434944"/>
          <c:w val="0.60153046606226002"/>
          <c:h val="0.60811078314498501"/>
        </c:manualLayout>
      </c:layout>
      <c:scatterChart>
        <c:scatterStyle val="lineMarker"/>
        <c:varyColors val="0"/>
        <c:ser>
          <c:idx val="0"/>
          <c:order val="0"/>
          <c:tx>
            <c:v>All species</c:v>
          </c:tx>
          <c:spPr>
            <a:ln w="12700">
              <a:solidFill>
                <a:srgbClr val="000080"/>
              </a:solidFill>
              <a:prstDash val="solid"/>
            </a:ln>
          </c:spPr>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Szabolcs'!$B$4:$B$10</c:f>
              <c:numCache>
                <c:formatCode>General</c:formatCode>
                <c:ptCount val="7"/>
                <c:pt idx="0">
                  <c:v>0.91875459221160904</c:v>
                </c:pt>
                <c:pt idx="1">
                  <c:v>0.91816678912564298</c:v>
                </c:pt>
                <c:pt idx="2">
                  <c:v>0.915503306392358</c:v>
                </c:pt>
                <c:pt idx="3">
                  <c:v>0.91484202792064595</c:v>
                </c:pt>
                <c:pt idx="4">
                  <c:v>0.91414401175606197</c:v>
                </c:pt>
                <c:pt idx="5">
                  <c:v>0.91146216017634096</c:v>
                </c:pt>
                <c:pt idx="6">
                  <c:v>0.91111315209404897</c:v>
                </c:pt>
              </c:numCache>
            </c:numRef>
          </c:yVal>
          <c:smooth val="0"/>
          <c:extLst>
            <c:ext xmlns:c16="http://schemas.microsoft.com/office/drawing/2014/chart" uri="{C3380CC4-5D6E-409C-BE32-E72D297353CC}">
              <c16:uniqueId val="{00000000-C5F9-4D75-A4AF-6FA1B8B12D29}"/>
            </c:ext>
          </c:extLst>
        </c:ser>
        <c:ser>
          <c:idx val="1"/>
          <c:order val="1"/>
          <c:tx>
            <c:v>AEWA species</c:v>
          </c:tx>
          <c:marker>
            <c:symbol val="none"/>
          </c:marker>
          <c:xVal>
            <c:numRef>
              <c:f>'[AEWA RLI  datasets 25 Oct 2017 v2.xls]RLI for Szabolcs'!$A$4:$A$10</c:f>
              <c:numCache>
                <c:formatCode>General</c:formatCode>
                <c:ptCount val="7"/>
                <c:pt idx="0">
                  <c:v>1988</c:v>
                </c:pt>
                <c:pt idx="1">
                  <c:v>1994</c:v>
                </c:pt>
                <c:pt idx="2">
                  <c:v>2000</c:v>
                </c:pt>
                <c:pt idx="3">
                  <c:v>2004</c:v>
                </c:pt>
                <c:pt idx="4">
                  <c:v>2008</c:v>
                </c:pt>
                <c:pt idx="5">
                  <c:v>2012</c:v>
                </c:pt>
                <c:pt idx="6">
                  <c:v>2016</c:v>
                </c:pt>
              </c:numCache>
            </c:numRef>
          </c:xVal>
          <c:yVal>
            <c:numRef>
              <c:f>'[AEWA RLI  datasets 25 Oct 2017 v2.xls]RLI for Szabolcs'!$C$4:$C$10</c:f>
              <c:numCache>
                <c:formatCode>General</c:formatCode>
                <c:ptCount val="7"/>
                <c:pt idx="0">
                  <c:v>0.94173228346456705</c:v>
                </c:pt>
                <c:pt idx="1">
                  <c:v>0.93700787401574803</c:v>
                </c:pt>
                <c:pt idx="2">
                  <c:v>0.93228346456692901</c:v>
                </c:pt>
                <c:pt idx="3">
                  <c:v>0.92913385826771699</c:v>
                </c:pt>
                <c:pt idx="4">
                  <c:v>0.92519685039370103</c:v>
                </c:pt>
                <c:pt idx="5">
                  <c:v>0.92204724409448802</c:v>
                </c:pt>
                <c:pt idx="6">
                  <c:v>0.91968503937007895</c:v>
                </c:pt>
              </c:numCache>
            </c:numRef>
          </c:yVal>
          <c:smooth val="0"/>
          <c:extLst>
            <c:ext xmlns:c16="http://schemas.microsoft.com/office/drawing/2014/chart" uri="{C3380CC4-5D6E-409C-BE32-E72D297353CC}">
              <c16:uniqueId val="{00000001-C5F9-4D75-A4AF-6FA1B8B12D29}"/>
            </c:ext>
          </c:extLst>
        </c:ser>
        <c:dLbls>
          <c:showLegendKey val="0"/>
          <c:showVal val="0"/>
          <c:showCatName val="0"/>
          <c:showSerName val="0"/>
          <c:showPercent val="0"/>
          <c:showBubbleSize val="0"/>
        </c:dLbls>
        <c:axId val="192276160"/>
        <c:axId val="147854400"/>
      </c:scatterChart>
      <c:valAx>
        <c:axId val="192276160"/>
        <c:scaling>
          <c:orientation val="minMax"/>
          <c:max val="2016"/>
          <c:min val="1988"/>
        </c:scaling>
        <c:delete val="0"/>
        <c:axPos val="b"/>
        <c:title>
          <c:tx>
            <c:rich>
              <a:bodyPr/>
              <a:lstStyle/>
              <a:p>
                <a:pPr>
                  <a:defRPr sz="800" b="0" i="0" u="none" strike="noStrike" baseline="0">
                    <a:solidFill>
                      <a:srgbClr val="000000"/>
                    </a:solidFill>
                    <a:latin typeface="Arial"/>
                    <a:ea typeface="Arial"/>
                    <a:cs typeface="Arial"/>
                  </a:defRPr>
                </a:pPr>
                <a:r>
                  <a:rPr lang="en-GB"/>
                  <a:t>Year</a:t>
                </a:r>
              </a:p>
            </c:rich>
          </c:tx>
          <c:layout>
            <c:manualLayout>
              <c:xMode val="edge"/>
              <c:yMode val="edge"/>
              <c:x val="0.50136996348510299"/>
              <c:y val="0.831764362787985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7854400"/>
        <c:crosses val="autoZero"/>
        <c:crossBetween val="midCat"/>
        <c:majorUnit val="4"/>
      </c:valAx>
      <c:valAx>
        <c:axId val="147854400"/>
        <c:scaling>
          <c:orientation val="minMax"/>
          <c:max val="0.96"/>
          <c:min val="0.9"/>
        </c:scaling>
        <c:delete val="0"/>
        <c:axPos val="l"/>
        <c:title>
          <c:tx>
            <c:rich>
              <a:bodyPr/>
              <a:lstStyle/>
              <a:p>
                <a:pPr>
                  <a:defRPr sz="800" b="0" i="0" u="none" strike="noStrike" baseline="0">
                    <a:solidFill>
                      <a:srgbClr val="000000"/>
                    </a:solidFill>
                    <a:latin typeface="Arial"/>
                    <a:ea typeface="Arial"/>
                    <a:cs typeface="Arial"/>
                  </a:defRPr>
                </a:pPr>
                <a:r>
                  <a:rPr lang="en-GB"/>
                  <a:t>Red List Index of 
species survival</a:t>
                </a:r>
              </a:p>
            </c:rich>
          </c:tx>
          <c:layout>
            <c:manualLayout>
              <c:xMode val="edge"/>
              <c:yMode val="edge"/>
              <c:x val="6.1758058685778001E-2"/>
              <c:y val="0.26114089274194302"/>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2276160"/>
        <c:crosses val="autoZero"/>
        <c:crossBetween val="midCat"/>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iagrams/_rels/data1.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_rels/data2.xml.rels><?xml version="1.0" encoding="UTF-8" standalone="yes"?>
<Relationships xmlns="http://schemas.openxmlformats.org/package/2006/relationships"><Relationship Id="rId1" Type="http://schemas.openxmlformats.org/officeDocument/2006/relationships/hyperlink" Target="http://iwc.wetlands.org/index.php/aewatrends"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7E32E-26BF-3340-9048-732F6B43E2ED}" type="doc">
      <dgm:prSet loTypeId="urn:microsoft.com/office/officeart/2008/layout/RadialCluster" loCatId="" qsTypeId="urn:microsoft.com/office/officeart/2005/8/quickstyle/simple4" qsCatId="simple" csTypeId="urn:microsoft.com/office/officeart/2005/8/colors/accent1_3" csCatId="accent1" phldr="1"/>
      <dgm:spPr/>
      <dgm:t>
        <a:bodyPr/>
        <a:lstStyle/>
        <a:p>
          <a:endParaRPr lang="en-US"/>
        </a:p>
      </dgm:t>
    </dgm:pt>
    <dgm:pt modelId="{CC0F2049-3779-7A4F-8EBF-FC9768A7B312}">
      <dgm:prSet phldrT="[Text]"/>
      <dgm:spPr/>
      <dgm:t>
        <a:bodyPr/>
        <a:lstStyle/>
        <a:p>
          <a:r>
            <a:rPr lang="en-US"/>
            <a:t>Analyses CSR7</a:t>
          </a:r>
        </a:p>
      </dgm:t>
    </dgm:pt>
    <dgm:pt modelId="{0F21F69B-F453-8242-A1CB-916DD9BE840C}" type="parTrans" cxnId="{1A1A7C76-E61B-414E-B330-315411D81E76}">
      <dgm:prSet/>
      <dgm:spPr/>
      <dgm:t>
        <a:bodyPr/>
        <a:lstStyle/>
        <a:p>
          <a:endParaRPr lang="en-US"/>
        </a:p>
      </dgm:t>
    </dgm:pt>
    <dgm:pt modelId="{7E20BCC7-D720-5E47-ADF5-7CC3128BC24F}" type="sibTrans" cxnId="{1A1A7C76-E61B-414E-B330-315411D81E76}">
      <dgm:prSet/>
      <dgm:spPr/>
      <dgm:t>
        <a:bodyPr/>
        <a:lstStyle/>
        <a:p>
          <a:endParaRPr lang="en-US"/>
        </a:p>
      </dgm:t>
    </dgm:pt>
    <dgm:pt modelId="{1BA21396-00A0-9B43-8363-D71C2A300E4D}">
      <dgm:prSet phldrT="[Text]" custT="1"/>
      <dgm:spPr/>
      <dgm:t>
        <a:bodyPr/>
        <a:lstStyle/>
        <a:p>
          <a:r>
            <a:rPr lang="en-US" sz="800"/>
            <a:t>Estimations des taille et tendences des populations</a:t>
          </a:r>
          <a:r>
            <a:rPr lang="en-US" sz="800" baseline="30000"/>
            <a:t>1</a:t>
          </a:r>
          <a:endParaRPr lang="en-US" sz="700" baseline="30000"/>
        </a:p>
      </dgm:t>
    </dgm:pt>
    <dgm:pt modelId="{EF281776-3156-B042-A1D2-9CA200BC6F3A}" type="parTrans" cxnId="{6A5517D4-1BD0-B04D-AFA2-A211845DE5D5}">
      <dgm:prSet/>
      <dgm:spPr/>
      <dgm:t>
        <a:bodyPr/>
        <a:lstStyle/>
        <a:p>
          <a:endParaRPr lang="en-US"/>
        </a:p>
      </dgm:t>
    </dgm:pt>
    <dgm:pt modelId="{95CB0F4B-4DD5-624B-8AFA-812E48187229}" type="sibTrans" cxnId="{6A5517D4-1BD0-B04D-AFA2-A211845DE5D5}">
      <dgm:prSet/>
      <dgm:spPr/>
      <dgm:t>
        <a:bodyPr/>
        <a:lstStyle/>
        <a:p>
          <a:endParaRPr lang="en-US"/>
        </a:p>
      </dgm:t>
    </dgm:pt>
    <dgm:pt modelId="{8F17947F-552A-1548-B158-115088F7EE64}">
      <dgm:prSet phldrT="[Text]" custT="1"/>
      <dgm:spPr/>
      <dgm:t>
        <a:bodyPr/>
        <a:lstStyle/>
        <a:p>
          <a:r>
            <a:rPr lang="en-US" sz="700"/>
            <a:t>Tendences IWCs</a:t>
          </a:r>
          <a:r>
            <a:rPr lang="en-US" sz="700" baseline="30000"/>
            <a:t>2</a:t>
          </a: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endParaRPr lang="en-US"/>
        </a:p>
      </dgm:t>
    </dgm:pt>
    <dgm:pt modelId="{0403E9A2-D7D3-644F-B08D-E5C4A291C485}" type="sibTrans" cxnId="{20ED8650-C3B3-AD41-8263-B5257B2BB08E}">
      <dgm:prSet/>
      <dgm:spPr/>
      <dgm:t>
        <a:bodyPr/>
        <a:lstStyle/>
        <a:p>
          <a:endParaRPr lang="en-US"/>
        </a:p>
      </dgm:t>
    </dgm:pt>
    <dgm:pt modelId="{CF91FEC3-BD3B-964D-94B1-A84C5275A554}">
      <dgm:prSet phldrT="[Text]" custT="1"/>
      <dgm:spPr/>
      <dgm:t>
        <a:bodyPr/>
        <a:lstStyle/>
        <a:p>
          <a:r>
            <a:rPr lang="en-US" sz="700"/>
            <a:t>European Red List of Birds</a:t>
          </a:r>
          <a:r>
            <a:rPr lang="en-US" sz="700" baseline="30000"/>
            <a:t>3</a:t>
          </a:r>
        </a:p>
      </dgm:t>
    </dgm:pt>
    <dgm:pt modelId="{2BBD66A0-86DC-6C40-91F5-7F2D880E094F}" type="parTrans" cxnId="{F0F23128-9D5C-254D-94C6-FFF7909C9C8E}">
      <dgm:prSet/>
      <dgm:spPr/>
      <dgm:t>
        <a:bodyPr/>
        <a:lstStyle/>
        <a:p>
          <a:endParaRPr lang="en-US"/>
        </a:p>
      </dgm:t>
    </dgm:pt>
    <dgm:pt modelId="{669B7B81-2043-7B45-9A44-4742F71B392E}" type="sibTrans" cxnId="{F0F23128-9D5C-254D-94C6-FFF7909C9C8E}">
      <dgm:prSet/>
      <dgm:spPr/>
      <dgm:t>
        <a:bodyPr/>
        <a:lstStyle/>
        <a:p>
          <a:endParaRPr lang="en-US"/>
        </a:p>
      </dgm:t>
    </dgm:pt>
    <dgm:pt modelId="{DF43E394-69B6-DB47-A200-BA750AE1D443}">
      <dgm:prSet phldrT="[Text]" custT="1"/>
      <dgm:spPr/>
      <dgm:t>
        <a:bodyPr/>
        <a:lstStyle/>
        <a:p>
          <a:r>
            <a:rPr lang="en-US" sz="800" baseline="0"/>
            <a:t>Autres études</a:t>
          </a:r>
          <a:r>
            <a:rPr lang="en-US" sz="800" baseline="30000"/>
            <a:t>6</a:t>
          </a:r>
          <a:r>
            <a:rPr lang="en-US" sz="800" baseline="0"/>
            <a:t> </a:t>
          </a:r>
        </a:p>
      </dgm:t>
    </dgm:pt>
    <dgm:pt modelId="{8B552B25-B8A4-CC4F-84E6-E4202A289C24}" type="parTrans" cxnId="{8F17CD0C-2E1F-4545-99EE-82B6408C6F4F}">
      <dgm:prSet/>
      <dgm:spPr/>
      <dgm:t>
        <a:bodyPr/>
        <a:lstStyle/>
        <a:p>
          <a:endParaRPr lang="en-US"/>
        </a:p>
      </dgm:t>
    </dgm:pt>
    <dgm:pt modelId="{830B471A-9550-174B-8832-886AD805CB4B}" type="sibTrans" cxnId="{8F17CD0C-2E1F-4545-99EE-82B6408C6F4F}">
      <dgm:prSet/>
      <dgm:spPr/>
      <dgm:t>
        <a:bodyPr/>
        <a:lstStyle/>
        <a:p>
          <a:endParaRPr lang="en-US"/>
        </a:p>
      </dgm:t>
    </dgm:pt>
    <dgm:pt modelId="{7FB1BE77-4868-684B-843F-2F1E92916D86}">
      <dgm:prSet phldrT="[Text]" custT="1"/>
      <dgm:spPr/>
      <dgm:t>
        <a:bodyPr/>
        <a:lstStyle/>
        <a:p>
          <a:r>
            <a:rPr lang="en-US" sz="700" baseline="30000"/>
            <a:t>Initiative de la voie de migration de la mer des Wadden4</a:t>
          </a:r>
        </a:p>
      </dgm:t>
    </dgm:pt>
    <dgm:pt modelId="{FEA49600-B4AD-A248-8CBC-8AF953EDB084}" type="parTrans" cxnId="{6732DB42-9DB5-294B-A1F6-1D14EBE09A7F}">
      <dgm:prSet/>
      <dgm:spPr/>
      <dgm:t>
        <a:bodyPr/>
        <a:lstStyle/>
        <a:p>
          <a:endParaRPr lang="en-US"/>
        </a:p>
      </dgm:t>
    </dgm:pt>
    <dgm:pt modelId="{D9C76859-8E2F-824D-B810-CEB0D87E32CD}" type="sibTrans" cxnId="{6732DB42-9DB5-294B-A1F6-1D14EBE09A7F}">
      <dgm:prSet/>
      <dgm:spPr/>
      <dgm:t>
        <a:bodyPr/>
        <a:lstStyle/>
        <a:p>
          <a:endParaRPr lang="en-US"/>
        </a:p>
      </dgm:t>
    </dgm:pt>
    <dgm:pt modelId="{721C2F56-C976-774B-B1B5-4EA1229C82E8}">
      <dgm:prSet phldrT="[Text]" custT="1"/>
      <dgm:spPr/>
      <dgm:t>
        <a:bodyPr/>
        <a:lstStyle/>
        <a:p>
          <a:r>
            <a:rPr lang="en-US" sz="700" baseline="0"/>
            <a:t>Audit sur les Oies de la CAFF</a:t>
          </a:r>
          <a:r>
            <a:rPr lang="en-US" sz="700" baseline="30000"/>
            <a:t>5</a:t>
          </a:r>
        </a:p>
      </dgm:t>
    </dgm:pt>
    <dgm:pt modelId="{3856751A-933F-7241-9865-D1F7ECC845B9}" type="parTrans" cxnId="{35F2ED91-3A06-0448-980F-713620102A0F}">
      <dgm:prSet/>
      <dgm:spPr/>
      <dgm:t>
        <a:bodyPr/>
        <a:lstStyle/>
        <a:p>
          <a:endParaRPr lang="en-US"/>
        </a:p>
      </dgm:t>
    </dgm:pt>
    <dgm:pt modelId="{4B5F00A1-2495-4F42-BD7E-76C7D80CE5BE}" type="sibTrans" cxnId="{35F2ED91-3A06-0448-980F-713620102A0F}">
      <dgm:prSet/>
      <dgm:spPr/>
      <dgm:t>
        <a:bodyPr/>
        <a:lstStyle/>
        <a:p>
          <a:endParaRPr lang="en-US"/>
        </a:p>
      </dgm:t>
    </dgm:pt>
    <dgm:pt modelId="{8B2B11F9-63D5-F749-A40D-FEDE735F5A9F}" type="pres">
      <dgm:prSet presAssocID="{D177E32E-26BF-3340-9048-732F6B43E2ED}" presName="Name0" presStyleCnt="0">
        <dgm:presLayoutVars>
          <dgm:chMax val="1"/>
          <dgm:chPref val="1"/>
          <dgm:dir/>
          <dgm:animOne val="branch"/>
          <dgm:animLvl val="lvl"/>
        </dgm:presLayoutVars>
      </dgm:prSet>
      <dgm:spPr/>
    </dgm:pt>
    <dgm:pt modelId="{0022A471-BFA9-004A-B188-8CFEC3BA68DB}" type="pres">
      <dgm:prSet presAssocID="{CC0F2049-3779-7A4F-8EBF-FC9768A7B312}" presName="textCenter" presStyleLbl="node1" presStyleIdx="0" presStyleCnt="7"/>
      <dgm:spPr/>
    </dgm:pt>
    <dgm:pt modelId="{43A98160-D25E-5F48-8DF5-6E4F41D3A4F7}" type="pres">
      <dgm:prSet presAssocID="{CC0F2049-3779-7A4F-8EBF-FC9768A7B312}" presName="cycle_1" presStyleCnt="0"/>
      <dgm:spPr/>
    </dgm:pt>
    <dgm:pt modelId="{DE97B4EB-0956-8242-9686-AA59CF0DC042}" type="pres">
      <dgm:prSet presAssocID="{1BA21396-00A0-9B43-8363-D71C2A300E4D}" presName="childCenter1" presStyleLbl="node1" presStyleIdx="1" presStyleCnt="7" custScaleX="143334" custLinFactNeighborX="-965" custLinFactNeighborY="-20270"/>
      <dgm:spPr/>
    </dgm:pt>
    <dgm:pt modelId="{4A65C28B-10EA-FA4A-84F0-C2BB4C88D146}" type="pres">
      <dgm:prSet presAssocID="{C1BD0EE3-7FA8-D44D-8E4E-7AFB746E9F4F}" presName="Name141" presStyleLbl="parChTrans1D3" presStyleIdx="0" presStyleCnt="5"/>
      <dgm:spPr/>
    </dgm:pt>
    <dgm:pt modelId="{1D6AC827-AFEA-134F-AAFE-10290B6BE0B7}" type="pres">
      <dgm:prSet presAssocID="{8F17947F-552A-1548-B158-115088F7EE64}" presName="text1" presStyleLbl="node1" presStyleIdx="2" presStyleCnt="7">
        <dgm:presLayoutVars>
          <dgm:bulletEnabled val="1"/>
        </dgm:presLayoutVars>
      </dgm:prSet>
      <dgm:spPr/>
    </dgm:pt>
    <dgm:pt modelId="{553D25AE-94CE-F948-BFEA-EB8AFBCB87C1}" type="pres">
      <dgm:prSet presAssocID="{2BBD66A0-86DC-6C40-91F5-7F2D880E094F}" presName="Name141" presStyleLbl="parChTrans1D3" presStyleIdx="1" presStyleCnt="5"/>
      <dgm:spPr/>
    </dgm:pt>
    <dgm:pt modelId="{E30138E1-23EA-784F-8A15-E451EA80DDB3}" type="pres">
      <dgm:prSet presAssocID="{CF91FEC3-BD3B-964D-94B1-A84C5275A554}" presName="text1" presStyleLbl="node1" presStyleIdx="3" presStyleCnt="7">
        <dgm:presLayoutVars>
          <dgm:bulletEnabled val="1"/>
        </dgm:presLayoutVars>
      </dgm:prSet>
      <dgm:spPr/>
    </dgm:pt>
    <dgm:pt modelId="{E7BA9910-4ADB-FC4F-8567-884D909839CD}" type="pres">
      <dgm:prSet presAssocID="{FEA49600-B4AD-A248-8CBC-8AF953EDB084}" presName="Name141" presStyleLbl="parChTrans1D3" presStyleIdx="2" presStyleCnt="5"/>
      <dgm:spPr/>
    </dgm:pt>
    <dgm:pt modelId="{EAB48F5D-685E-124A-8295-EB0FF482A850}" type="pres">
      <dgm:prSet presAssocID="{7FB1BE77-4868-684B-843F-2F1E92916D86}" presName="text1" presStyleLbl="node1" presStyleIdx="4" presStyleCnt="7">
        <dgm:presLayoutVars>
          <dgm:bulletEnabled val="1"/>
        </dgm:presLayoutVars>
      </dgm:prSet>
      <dgm:spPr/>
    </dgm:pt>
    <dgm:pt modelId="{FEC5F9A2-5FFE-0142-ADC2-2DE574B527E2}" type="pres">
      <dgm:prSet presAssocID="{3856751A-933F-7241-9865-D1F7ECC845B9}" presName="Name141" presStyleLbl="parChTrans1D3" presStyleIdx="3" presStyleCnt="5"/>
      <dgm:spPr/>
    </dgm:pt>
    <dgm:pt modelId="{20F69858-870F-C546-AA27-3601916B5087}" type="pres">
      <dgm:prSet presAssocID="{721C2F56-C976-774B-B1B5-4EA1229C82E8}" presName="text1" presStyleLbl="node1" presStyleIdx="5" presStyleCnt="7">
        <dgm:presLayoutVars>
          <dgm:bulletEnabled val="1"/>
        </dgm:presLayoutVars>
      </dgm:prSet>
      <dgm:spPr/>
    </dgm:pt>
    <dgm:pt modelId="{98D9BE66-0A7B-CF49-9630-FE5C44EE98FE}" type="pres">
      <dgm:prSet presAssocID="{8B552B25-B8A4-CC4F-84E6-E4202A289C24}" presName="Name141" presStyleLbl="parChTrans1D3" presStyleIdx="4" presStyleCnt="5"/>
      <dgm:spPr/>
    </dgm:pt>
    <dgm:pt modelId="{4A87424E-580C-7C49-AA2F-8FD839A5F00F}" type="pres">
      <dgm:prSet presAssocID="{DF43E394-69B6-DB47-A200-BA750AE1D443}" presName="text1" presStyleLbl="node1" presStyleIdx="6" presStyleCnt="7">
        <dgm:presLayoutVars>
          <dgm:bulletEnabled val="1"/>
        </dgm:presLayoutVars>
      </dgm:prSet>
      <dgm:spPr/>
    </dgm:pt>
    <dgm:pt modelId="{071EC908-F397-394F-8649-3827BB965E3C}" type="pres">
      <dgm:prSet presAssocID="{EF281776-3156-B042-A1D2-9CA200BC6F3A}" presName="Name144" presStyleLbl="parChTrans1D2" presStyleIdx="0" presStyleCnt="1"/>
      <dgm:spPr/>
    </dgm:pt>
  </dgm:ptLst>
  <dgm:cxnLst>
    <dgm:cxn modelId="{8F17CD0C-2E1F-4545-99EE-82B6408C6F4F}" srcId="{1BA21396-00A0-9B43-8363-D71C2A300E4D}" destId="{DF43E394-69B6-DB47-A200-BA750AE1D443}" srcOrd="4" destOrd="0" parTransId="{8B552B25-B8A4-CC4F-84E6-E4202A289C24}" sibTransId="{830B471A-9550-174B-8832-886AD805CB4B}"/>
    <dgm:cxn modelId="{14A96523-F627-C540-A5F1-1751E6802CCB}" type="presOf" srcId="{7FB1BE77-4868-684B-843F-2F1E92916D86}" destId="{EAB48F5D-685E-124A-8295-EB0FF482A850}" srcOrd="0" destOrd="0" presId="urn:microsoft.com/office/officeart/2008/layout/RadialCluster"/>
    <dgm:cxn modelId="{F0F23128-9D5C-254D-94C6-FFF7909C9C8E}" srcId="{1BA21396-00A0-9B43-8363-D71C2A300E4D}" destId="{CF91FEC3-BD3B-964D-94B1-A84C5275A554}" srcOrd="1" destOrd="0" parTransId="{2BBD66A0-86DC-6C40-91F5-7F2D880E094F}" sibTransId="{669B7B81-2043-7B45-9A44-4742F71B392E}"/>
    <dgm:cxn modelId="{275C363B-D96C-384E-8C11-BA9C84DB9C03}" type="presOf" srcId="{DF43E394-69B6-DB47-A200-BA750AE1D443}" destId="{4A87424E-580C-7C49-AA2F-8FD839A5F00F}" srcOrd="0" destOrd="0" presId="urn:microsoft.com/office/officeart/2008/layout/RadialCluster"/>
    <dgm:cxn modelId="{31A27C5E-2171-FC4A-8D9D-BABA5C7FB32F}" type="presOf" srcId="{721C2F56-C976-774B-B1B5-4EA1229C82E8}" destId="{20F69858-870F-C546-AA27-3601916B5087}" srcOrd="0" destOrd="0" presId="urn:microsoft.com/office/officeart/2008/layout/RadialCluster"/>
    <dgm:cxn modelId="{6732DB42-9DB5-294B-A1F6-1D14EBE09A7F}" srcId="{1BA21396-00A0-9B43-8363-D71C2A300E4D}" destId="{7FB1BE77-4868-684B-843F-2F1E92916D86}" srcOrd="2" destOrd="0" parTransId="{FEA49600-B4AD-A248-8CBC-8AF953EDB084}" sibTransId="{D9C76859-8E2F-824D-B810-CEB0D87E32CD}"/>
    <dgm:cxn modelId="{20ED8650-C3B3-AD41-8263-B5257B2BB08E}" srcId="{1BA21396-00A0-9B43-8363-D71C2A300E4D}" destId="{8F17947F-552A-1548-B158-115088F7EE64}" srcOrd="0" destOrd="0" parTransId="{C1BD0EE3-7FA8-D44D-8E4E-7AFB746E9F4F}" sibTransId="{0403E9A2-D7D3-644F-B08D-E5C4A291C485}"/>
    <dgm:cxn modelId="{1A1A7C76-E61B-414E-B330-315411D81E76}" srcId="{D177E32E-26BF-3340-9048-732F6B43E2ED}" destId="{CC0F2049-3779-7A4F-8EBF-FC9768A7B312}" srcOrd="0" destOrd="0" parTransId="{0F21F69B-F453-8242-A1CB-916DD9BE840C}" sibTransId="{7E20BCC7-D720-5E47-ADF5-7CC3128BC24F}"/>
    <dgm:cxn modelId="{1DC49A58-17C8-1A47-BE22-FE3D465BE1B7}" type="presOf" srcId="{8B552B25-B8A4-CC4F-84E6-E4202A289C24}" destId="{98D9BE66-0A7B-CF49-9630-FE5C44EE98FE}" srcOrd="0" destOrd="0" presId="urn:microsoft.com/office/officeart/2008/layout/RadialCluster"/>
    <dgm:cxn modelId="{023F698C-E6BF-6448-91B6-E9CCE6F09DB2}" type="presOf" srcId="{CC0F2049-3779-7A4F-8EBF-FC9768A7B312}" destId="{0022A471-BFA9-004A-B188-8CFEC3BA68DB}" srcOrd="0" destOrd="0" presId="urn:microsoft.com/office/officeart/2008/layout/RadialCluster"/>
    <dgm:cxn modelId="{35F2ED91-3A06-0448-980F-713620102A0F}" srcId="{1BA21396-00A0-9B43-8363-D71C2A300E4D}" destId="{721C2F56-C976-774B-B1B5-4EA1229C82E8}" srcOrd="3" destOrd="0" parTransId="{3856751A-933F-7241-9865-D1F7ECC845B9}" sibTransId="{4B5F00A1-2495-4F42-BD7E-76C7D80CE5BE}"/>
    <dgm:cxn modelId="{95D0F491-6FD6-7241-9AC2-218E764763E7}" type="presOf" srcId="{1BA21396-00A0-9B43-8363-D71C2A300E4D}" destId="{DE97B4EB-0956-8242-9686-AA59CF0DC042}" srcOrd="0" destOrd="0" presId="urn:microsoft.com/office/officeart/2008/layout/RadialCluster"/>
    <dgm:cxn modelId="{6CBAC7A6-07E8-564D-8517-6396C9B4A2B1}" type="presOf" srcId="{8F17947F-552A-1548-B158-115088F7EE64}" destId="{1D6AC827-AFEA-134F-AAFE-10290B6BE0B7}" srcOrd="0" destOrd="0" presId="urn:microsoft.com/office/officeart/2008/layout/RadialCluster"/>
    <dgm:cxn modelId="{1360F6A7-245F-174E-82E7-54A6E55CDEA1}" type="presOf" srcId="{FEA49600-B4AD-A248-8CBC-8AF953EDB084}" destId="{E7BA9910-4ADB-FC4F-8567-884D909839CD}" srcOrd="0" destOrd="0" presId="urn:microsoft.com/office/officeart/2008/layout/RadialCluster"/>
    <dgm:cxn modelId="{BC09A7A8-4775-2145-8D4E-DF9B6C7CB42B}" type="presOf" srcId="{D177E32E-26BF-3340-9048-732F6B43E2ED}" destId="{8B2B11F9-63D5-F749-A40D-FEDE735F5A9F}" srcOrd="0" destOrd="0" presId="urn:microsoft.com/office/officeart/2008/layout/RadialCluster"/>
    <dgm:cxn modelId="{8CBC0DB1-A10A-8449-A978-5DB50EDCD27D}" type="presOf" srcId="{2BBD66A0-86DC-6C40-91F5-7F2D880E094F}" destId="{553D25AE-94CE-F948-BFEA-EB8AFBCB87C1}" srcOrd="0" destOrd="0" presId="urn:microsoft.com/office/officeart/2008/layout/RadialCluster"/>
    <dgm:cxn modelId="{C0DBBEB6-F987-FC49-87B0-11275D06C15F}" type="presOf" srcId="{CF91FEC3-BD3B-964D-94B1-A84C5275A554}" destId="{E30138E1-23EA-784F-8A15-E451EA80DDB3}" srcOrd="0" destOrd="0" presId="urn:microsoft.com/office/officeart/2008/layout/RadialCluster"/>
    <dgm:cxn modelId="{157DBFD1-A088-4945-8D23-9A97A0E5A39B}" type="presOf" srcId="{C1BD0EE3-7FA8-D44D-8E4E-7AFB746E9F4F}" destId="{4A65C28B-10EA-FA4A-84F0-C2BB4C88D146}" srcOrd="0" destOrd="0" presId="urn:microsoft.com/office/officeart/2008/layout/RadialCluster"/>
    <dgm:cxn modelId="{4CABF9D2-8664-CD4C-A7AE-3038F023D314}" type="presOf" srcId="{3856751A-933F-7241-9865-D1F7ECC845B9}" destId="{FEC5F9A2-5FFE-0142-ADC2-2DE574B527E2}" srcOrd="0" destOrd="0" presId="urn:microsoft.com/office/officeart/2008/layout/RadialCluster"/>
    <dgm:cxn modelId="{6A5517D4-1BD0-B04D-AFA2-A211845DE5D5}" srcId="{CC0F2049-3779-7A4F-8EBF-FC9768A7B312}" destId="{1BA21396-00A0-9B43-8363-D71C2A300E4D}" srcOrd="0" destOrd="0" parTransId="{EF281776-3156-B042-A1D2-9CA200BC6F3A}" sibTransId="{95CB0F4B-4DD5-624B-8AFA-812E48187229}"/>
    <dgm:cxn modelId="{F73D98E8-6747-8847-B559-1A48385A891A}" type="presOf" srcId="{EF281776-3156-B042-A1D2-9CA200BC6F3A}" destId="{071EC908-F397-394F-8649-3827BB965E3C}" srcOrd="0" destOrd="0" presId="urn:microsoft.com/office/officeart/2008/layout/RadialCluster"/>
    <dgm:cxn modelId="{1E982330-455D-774A-A9B3-550CB79D1A96}" type="presParOf" srcId="{8B2B11F9-63D5-F749-A40D-FEDE735F5A9F}" destId="{0022A471-BFA9-004A-B188-8CFEC3BA68DB}" srcOrd="0" destOrd="0" presId="urn:microsoft.com/office/officeart/2008/layout/RadialCluster"/>
    <dgm:cxn modelId="{49A3AED2-8EE5-D646-B302-8C83BE8CC70E}" type="presParOf" srcId="{8B2B11F9-63D5-F749-A40D-FEDE735F5A9F}" destId="{43A98160-D25E-5F48-8DF5-6E4F41D3A4F7}" srcOrd="1" destOrd="0" presId="urn:microsoft.com/office/officeart/2008/layout/RadialCluster"/>
    <dgm:cxn modelId="{81A5E97F-64CE-EE43-91A8-1F603DEB7BA6}" type="presParOf" srcId="{43A98160-D25E-5F48-8DF5-6E4F41D3A4F7}" destId="{DE97B4EB-0956-8242-9686-AA59CF0DC042}" srcOrd="0" destOrd="0" presId="urn:microsoft.com/office/officeart/2008/layout/RadialCluster"/>
    <dgm:cxn modelId="{32F960DE-1D90-6F4F-A6B3-50AA51A8775C}" type="presParOf" srcId="{43A98160-D25E-5F48-8DF5-6E4F41D3A4F7}" destId="{4A65C28B-10EA-FA4A-84F0-C2BB4C88D146}" srcOrd="1" destOrd="0" presId="urn:microsoft.com/office/officeart/2008/layout/RadialCluster"/>
    <dgm:cxn modelId="{24A51D76-AC54-4140-9B2C-E533BDED6EB7}" type="presParOf" srcId="{43A98160-D25E-5F48-8DF5-6E4F41D3A4F7}" destId="{1D6AC827-AFEA-134F-AAFE-10290B6BE0B7}" srcOrd="2" destOrd="0" presId="urn:microsoft.com/office/officeart/2008/layout/RadialCluster"/>
    <dgm:cxn modelId="{25B1C419-1F30-2C43-8DF7-3D688B5EE55B}" type="presParOf" srcId="{43A98160-D25E-5F48-8DF5-6E4F41D3A4F7}" destId="{553D25AE-94CE-F948-BFEA-EB8AFBCB87C1}" srcOrd="3" destOrd="0" presId="urn:microsoft.com/office/officeart/2008/layout/RadialCluster"/>
    <dgm:cxn modelId="{B43368B8-9FDA-0147-8347-79CD79C71D82}" type="presParOf" srcId="{43A98160-D25E-5F48-8DF5-6E4F41D3A4F7}" destId="{E30138E1-23EA-784F-8A15-E451EA80DDB3}" srcOrd="4" destOrd="0" presId="urn:microsoft.com/office/officeart/2008/layout/RadialCluster"/>
    <dgm:cxn modelId="{D52E597F-44BE-9148-A185-E27674F1936C}" type="presParOf" srcId="{43A98160-D25E-5F48-8DF5-6E4F41D3A4F7}" destId="{E7BA9910-4ADB-FC4F-8567-884D909839CD}" srcOrd="5" destOrd="0" presId="urn:microsoft.com/office/officeart/2008/layout/RadialCluster"/>
    <dgm:cxn modelId="{0DA396EB-0634-4948-926A-8A68076DE764}" type="presParOf" srcId="{43A98160-D25E-5F48-8DF5-6E4F41D3A4F7}" destId="{EAB48F5D-685E-124A-8295-EB0FF482A850}" srcOrd="6" destOrd="0" presId="urn:microsoft.com/office/officeart/2008/layout/RadialCluster"/>
    <dgm:cxn modelId="{D51ED157-0CAF-594E-AD42-FADDC1EC9821}" type="presParOf" srcId="{43A98160-D25E-5F48-8DF5-6E4F41D3A4F7}" destId="{FEC5F9A2-5FFE-0142-ADC2-2DE574B527E2}" srcOrd="7" destOrd="0" presId="urn:microsoft.com/office/officeart/2008/layout/RadialCluster"/>
    <dgm:cxn modelId="{FAEBF8C5-BEA3-EF44-8309-04BB4CFD973A}" type="presParOf" srcId="{43A98160-D25E-5F48-8DF5-6E4F41D3A4F7}" destId="{20F69858-870F-C546-AA27-3601916B5087}" srcOrd="8" destOrd="0" presId="urn:microsoft.com/office/officeart/2008/layout/RadialCluster"/>
    <dgm:cxn modelId="{D330F254-78FD-C14C-9F99-88B6F0664A7C}" type="presParOf" srcId="{43A98160-D25E-5F48-8DF5-6E4F41D3A4F7}" destId="{98D9BE66-0A7B-CF49-9630-FE5C44EE98FE}" srcOrd="9" destOrd="0" presId="urn:microsoft.com/office/officeart/2008/layout/RadialCluster"/>
    <dgm:cxn modelId="{CF2F180D-2BEF-464C-BCB3-9D4DF93E9FB3}" type="presParOf" srcId="{43A98160-D25E-5F48-8DF5-6E4F41D3A4F7}" destId="{4A87424E-580C-7C49-AA2F-8FD839A5F00F}" srcOrd="10" destOrd="0" presId="urn:microsoft.com/office/officeart/2008/layout/RadialCluster"/>
    <dgm:cxn modelId="{4A856E5A-7725-8D41-9071-ED31B722CC7C}" type="presParOf" srcId="{8B2B11F9-63D5-F749-A40D-FEDE735F5A9F}" destId="{071EC908-F397-394F-8649-3827BB965E3C}" srcOrd="2" destOrd="0" presId="urn:microsoft.com/office/officeart/2008/layout/Radial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77E32E-26BF-3340-9048-732F6B43E2ED}" type="doc">
      <dgm:prSet loTypeId="urn:microsoft.com/office/officeart/2008/layout/RadialCluster" loCatId="" qsTypeId="urn:microsoft.com/office/officeart/2005/8/quickstyle/simple4" qsCatId="simple" csTypeId="urn:microsoft.com/office/officeart/2005/8/colors/accent1_3" csCatId="accent1" phldr="1"/>
      <dgm:spPr/>
      <dgm:t>
        <a:bodyPr/>
        <a:lstStyle/>
        <a:p>
          <a:endParaRPr lang="en-US"/>
        </a:p>
      </dgm:t>
    </dgm:pt>
    <dgm:pt modelId="{CC0F2049-3779-7A4F-8EBF-FC9768A7B312}">
      <dgm:prSet phldrT="[Text]"/>
      <dgm:spPr/>
      <dgm:t>
        <a:bodyPr/>
        <a:lstStyle/>
        <a:p>
          <a:r>
            <a:rPr lang="en-US"/>
            <a:t>Analyses CSR7</a:t>
          </a:r>
        </a:p>
      </dgm:t>
    </dgm:pt>
    <dgm:pt modelId="{0F21F69B-F453-8242-A1CB-916DD9BE840C}" type="parTrans" cxnId="{1A1A7C76-E61B-414E-B330-315411D81E76}">
      <dgm:prSet/>
      <dgm:spPr/>
      <dgm:t>
        <a:bodyPr/>
        <a:lstStyle/>
        <a:p>
          <a:endParaRPr lang="en-US"/>
        </a:p>
      </dgm:t>
    </dgm:pt>
    <dgm:pt modelId="{7E20BCC7-D720-5E47-ADF5-7CC3128BC24F}" type="sibTrans" cxnId="{1A1A7C76-E61B-414E-B330-315411D81E76}">
      <dgm:prSet/>
      <dgm:spPr/>
      <dgm:t>
        <a:bodyPr/>
        <a:lstStyle/>
        <a:p>
          <a:endParaRPr lang="en-US"/>
        </a:p>
      </dgm:t>
    </dgm:pt>
    <dgm:pt modelId="{1BA21396-00A0-9B43-8363-D71C2A300E4D}">
      <dgm:prSet phldrT="[Text]" custT="1"/>
      <dgm:spPr/>
      <dgm:t>
        <a:bodyPr/>
        <a:lstStyle/>
        <a:p>
          <a:r>
            <a:rPr lang="en-US" sz="800"/>
            <a:t>Estimations des taille et tendences des populations</a:t>
          </a:r>
          <a:r>
            <a:rPr lang="en-US" sz="800" baseline="30000"/>
            <a:t>1</a:t>
          </a:r>
          <a:endParaRPr lang="en-US" sz="700" baseline="30000"/>
        </a:p>
      </dgm:t>
    </dgm:pt>
    <dgm:pt modelId="{EF281776-3156-B042-A1D2-9CA200BC6F3A}" type="parTrans" cxnId="{6A5517D4-1BD0-B04D-AFA2-A211845DE5D5}">
      <dgm:prSet/>
      <dgm:spPr/>
      <dgm:t>
        <a:bodyPr/>
        <a:lstStyle/>
        <a:p>
          <a:endParaRPr lang="en-US"/>
        </a:p>
      </dgm:t>
    </dgm:pt>
    <dgm:pt modelId="{95CB0F4B-4DD5-624B-8AFA-812E48187229}" type="sibTrans" cxnId="{6A5517D4-1BD0-B04D-AFA2-A211845DE5D5}">
      <dgm:prSet/>
      <dgm:spPr/>
      <dgm:t>
        <a:bodyPr/>
        <a:lstStyle/>
        <a:p>
          <a:endParaRPr lang="en-US"/>
        </a:p>
      </dgm:t>
    </dgm:pt>
    <dgm:pt modelId="{8F17947F-552A-1548-B158-115088F7EE64}">
      <dgm:prSet phldrT="[Text]" custT="1"/>
      <dgm:spPr/>
      <dgm:t>
        <a:bodyPr/>
        <a:lstStyle/>
        <a:p>
          <a:r>
            <a:rPr lang="en-US" sz="700"/>
            <a:t>Tendences IWCs</a:t>
          </a:r>
          <a:r>
            <a:rPr lang="en-US" sz="700" baseline="30000"/>
            <a:t>2</a:t>
          </a:r>
        </a:p>
      </dgm:t>
      <dgm:extLst>
        <a:ext uri="{E40237B7-FDA0-4F09-8148-C483321AD2D9}">
          <dgm14:cNvPr xmlns:dgm14="http://schemas.microsoft.com/office/drawing/2010/diagram" id="0" name="">
            <a:hlinkClick xmlns:r="http://schemas.openxmlformats.org/officeDocument/2006/relationships" r:id="rId1"/>
          </dgm14:cNvPr>
        </a:ext>
      </dgm:extLst>
    </dgm:pt>
    <dgm:pt modelId="{C1BD0EE3-7FA8-D44D-8E4E-7AFB746E9F4F}" type="parTrans" cxnId="{20ED8650-C3B3-AD41-8263-B5257B2BB08E}">
      <dgm:prSet/>
      <dgm:spPr/>
      <dgm:t>
        <a:bodyPr/>
        <a:lstStyle/>
        <a:p>
          <a:endParaRPr lang="en-US"/>
        </a:p>
      </dgm:t>
    </dgm:pt>
    <dgm:pt modelId="{0403E9A2-D7D3-644F-B08D-E5C4A291C485}" type="sibTrans" cxnId="{20ED8650-C3B3-AD41-8263-B5257B2BB08E}">
      <dgm:prSet/>
      <dgm:spPr/>
      <dgm:t>
        <a:bodyPr/>
        <a:lstStyle/>
        <a:p>
          <a:endParaRPr lang="en-US"/>
        </a:p>
      </dgm:t>
    </dgm:pt>
    <dgm:pt modelId="{CF91FEC3-BD3B-964D-94B1-A84C5275A554}">
      <dgm:prSet phldrT="[Text]" custT="1"/>
      <dgm:spPr/>
      <dgm:t>
        <a:bodyPr/>
        <a:lstStyle/>
        <a:p>
          <a:r>
            <a:rPr lang="en-US" sz="700"/>
            <a:t>European Red List of Birds</a:t>
          </a:r>
          <a:r>
            <a:rPr lang="en-US" sz="700" baseline="30000"/>
            <a:t>3</a:t>
          </a:r>
        </a:p>
      </dgm:t>
    </dgm:pt>
    <dgm:pt modelId="{2BBD66A0-86DC-6C40-91F5-7F2D880E094F}" type="parTrans" cxnId="{F0F23128-9D5C-254D-94C6-FFF7909C9C8E}">
      <dgm:prSet/>
      <dgm:spPr/>
      <dgm:t>
        <a:bodyPr/>
        <a:lstStyle/>
        <a:p>
          <a:endParaRPr lang="en-US"/>
        </a:p>
      </dgm:t>
    </dgm:pt>
    <dgm:pt modelId="{669B7B81-2043-7B45-9A44-4742F71B392E}" type="sibTrans" cxnId="{F0F23128-9D5C-254D-94C6-FFF7909C9C8E}">
      <dgm:prSet/>
      <dgm:spPr/>
      <dgm:t>
        <a:bodyPr/>
        <a:lstStyle/>
        <a:p>
          <a:endParaRPr lang="en-US"/>
        </a:p>
      </dgm:t>
    </dgm:pt>
    <dgm:pt modelId="{DF43E394-69B6-DB47-A200-BA750AE1D443}">
      <dgm:prSet phldrT="[Text]" custT="1"/>
      <dgm:spPr/>
      <dgm:t>
        <a:bodyPr/>
        <a:lstStyle/>
        <a:p>
          <a:r>
            <a:rPr lang="en-US" sz="800" baseline="0"/>
            <a:t>Autres études</a:t>
          </a:r>
          <a:r>
            <a:rPr lang="en-US" sz="800" baseline="30000"/>
            <a:t>6</a:t>
          </a:r>
          <a:r>
            <a:rPr lang="en-US" sz="800" baseline="0"/>
            <a:t> </a:t>
          </a:r>
        </a:p>
      </dgm:t>
    </dgm:pt>
    <dgm:pt modelId="{8B552B25-B8A4-CC4F-84E6-E4202A289C24}" type="parTrans" cxnId="{8F17CD0C-2E1F-4545-99EE-82B6408C6F4F}">
      <dgm:prSet/>
      <dgm:spPr/>
      <dgm:t>
        <a:bodyPr/>
        <a:lstStyle/>
        <a:p>
          <a:endParaRPr lang="en-US"/>
        </a:p>
      </dgm:t>
    </dgm:pt>
    <dgm:pt modelId="{830B471A-9550-174B-8832-886AD805CB4B}" type="sibTrans" cxnId="{8F17CD0C-2E1F-4545-99EE-82B6408C6F4F}">
      <dgm:prSet/>
      <dgm:spPr/>
      <dgm:t>
        <a:bodyPr/>
        <a:lstStyle/>
        <a:p>
          <a:endParaRPr lang="en-US"/>
        </a:p>
      </dgm:t>
    </dgm:pt>
    <dgm:pt modelId="{7FB1BE77-4868-684B-843F-2F1E92916D86}">
      <dgm:prSet phldrT="[Text]" custT="1"/>
      <dgm:spPr/>
      <dgm:t>
        <a:bodyPr/>
        <a:lstStyle/>
        <a:p>
          <a:r>
            <a:rPr lang="en-US" sz="700" baseline="30000"/>
            <a:t>Initiative de la voie de migration de la mer des Wadden4</a:t>
          </a:r>
        </a:p>
      </dgm:t>
    </dgm:pt>
    <dgm:pt modelId="{FEA49600-B4AD-A248-8CBC-8AF953EDB084}" type="parTrans" cxnId="{6732DB42-9DB5-294B-A1F6-1D14EBE09A7F}">
      <dgm:prSet/>
      <dgm:spPr/>
      <dgm:t>
        <a:bodyPr/>
        <a:lstStyle/>
        <a:p>
          <a:endParaRPr lang="en-US"/>
        </a:p>
      </dgm:t>
    </dgm:pt>
    <dgm:pt modelId="{D9C76859-8E2F-824D-B810-CEB0D87E32CD}" type="sibTrans" cxnId="{6732DB42-9DB5-294B-A1F6-1D14EBE09A7F}">
      <dgm:prSet/>
      <dgm:spPr/>
      <dgm:t>
        <a:bodyPr/>
        <a:lstStyle/>
        <a:p>
          <a:endParaRPr lang="en-US"/>
        </a:p>
      </dgm:t>
    </dgm:pt>
    <dgm:pt modelId="{721C2F56-C976-774B-B1B5-4EA1229C82E8}">
      <dgm:prSet phldrT="[Text]" custT="1"/>
      <dgm:spPr/>
      <dgm:t>
        <a:bodyPr/>
        <a:lstStyle/>
        <a:p>
          <a:r>
            <a:rPr lang="en-US" sz="700" baseline="0"/>
            <a:t>Audit sur les Oies de la CAFF</a:t>
          </a:r>
          <a:r>
            <a:rPr lang="en-US" sz="700" baseline="30000"/>
            <a:t>5</a:t>
          </a:r>
        </a:p>
      </dgm:t>
    </dgm:pt>
    <dgm:pt modelId="{3856751A-933F-7241-9865-D1F7ECC845B9}" type="parTrans" cxnId="{35F2ED91-3A06-0448-980F-713620102A0F}">
      <dgm:prSet/>
      <dgm:spPr/>
      <dgm:t>
        <a:bodyPr/>
        <a:lstStyle/>
        <a:p>
          <a:endParaRPr lang="en-US"/>
        </a:p>
      </dgm:t>
    </dgm:pt>
    <dgm:pt modelId="{4B5F00A1-2495-4F42-BD7E-76C7D80CE5BE}" type="sibTrans" cxnId="{35F2ED91-3A06-0448-980F-713620102A0F}">
      <dgm:prSet/>
      <dgm:spPr/>
      <dgm:t>
        <a:bodyPr/>
        <a:lstStyle/>
        <a:p>
          <a:endParaRPr lang="en-US"/>
        </a:p>
      </dgm:t>
    </dgm:pt>
    <dgm:pt modelId="{8B2B11F9-63D5-F749-A40D-FEDE735F5A9F}" type="pres">
      <dgm:prSet presAssocID="{D177E32E-26BF-3340-9048-732F6B43E2ED}" presName="Name0" presStyleCnt="0">
        <dgm:presLayoutVars>
          <dgm:chMax val="1"/>
          <dgm:chPref val="1"/>
          <dgm:dir/>
          <dgm:animOne val="branch"/>
          <dgm:animLvl val="lvl"/>
        </dgm:presLayoutVars>
      </dgm:prSet>
      <dgm:spPr/>
    </dgm:pt>
    <dgm:pt modelId="{0022A471-BFA9-004A-B188-8CFEC3BA68DB}" type="pres">
      <dgm:prSet presAssocID="{CC0F2049-3779-7A4F-8EBF-FC9768A7B312}" presName="textCenter" presStyleLbl="node1" presStyleIdx="0" presStyleCnt="7"/>
      <dgm:spPr/>
    </dgm:pt>
    <dgm:pt modelId="{43A98160-D25E-5F48-8DF5-6E4F41D3A4F7}" type="pres">
      <dgm:prSet presAssocID="{CC0F2049-3779-7A4F-8EBF-FC9768A7B312}" presName="cycle_1" presStyleCnt="0"/>
      <dgm:spPr/>
    </dgm:pt>
    <dgm:pt modelId="{DE97B4EB-0956-8242-9686-AA59CF0DC042}" type="pres">
      <dgm:prSet presAssocID="{1BA21396-00A0-9B43-8363-D71C2A300E4D}" presName="childCenter1" presStyleLbl="node1" presStyleIdx="1" presStyleCnt="7" custScaleX="143334" custLinFactNeighborX="-965" custLinFactNeighborY="-20270"/>
      <dgm:spPr/>
    </dgm:pt>
    <dgm:pt modelId="{4A65C28B-10EA-FA4A-84F0-C2BB4C88D146}" type="pres">
      <dgm:prSet presAssocID="{C1BD0EE3-7FA8-D44D-8E4E-7AFB746E9F4F}" presName="Name141" presStyleLbl="parChTrans1D3" presStyleIdx="0" presStyleCnt="5"/>
      <dgm:spPr/>
    </dgm:pt>
    <dgm:pt modelId="{1D6AC827-AFEA-134F-AAFE-10290B6BE0B7}" type="pres">
      <dgm:prSet presAssocID="{8F17947F-552A-1548-B158-115088F7EE64}" presName="text1" presStyleLbl="node1" presStyleIdx="2" presStyleCnt="7">
        <dgm:presLayoutVars>
          <dgm:bulletEnabled val="1"/>
        </dgm:presLayoutVars>
      </dgm:prSet>
      <dgm:spPr/>
    </dgm:pt>
    <dgm:pt modelId="{553D25AE-94CE-F948-BFEA-EB8AFBCB87C1}" type="pres">
      <dgm:prSet presAssocID="{2BBD66A0-86DC-6C40-91F5-7F2D880E094F}" presName="Name141" presStyleLbl="parChTrans1D3" presStyleIdx="1" presStyleCnt="5"/>
      <dgm:spPr/>
    </dgm:pt>
    <dgm:pt modelId="{E30138E1-23EA-784F-8A15-E451EA80DDB3}" type="pres">
      <dgm:prSet presAssocID="{CF91FEC3-BD3B-964D-94B1-A84C5275A554}" presName="text1" presStyleLbl="node1" presStyleIdx="3" presStyleCnt="7">
        <dgm:presLayoutVars>
          <dgm:bulletEnabled val="1"/>
        </dgm:presLayoutVars>
      </dgm:prSet>
      <dgm:spPr/>
    </dgm:pt>
    <dgm:pt modelId="{E7BA9910-4ADB-FC4F-8567-884D909839CD}" type="pres">
      <dgm:prSet presAssocID="{FEA49600-B4AD-A248-8CBC-8AF953EDB084}" presName="Name141" presStyleLbl="parChTrans1D3" presStyleIdx="2" presStyleCnt="5"/>
      <dgm:spPr/>
    </dgm:pt>
    <dgm:pt modelId="{EAB48F5D-685E-124A-8295-EB0FF482A850}" type="pres">
      <dgm:prSet presAssocID="{7FB1BE77-4868-684B-843F-2F1E92916D86}" presName="text1" presStyleLbl="node1" presStyleIdx="4" presStyleCnt="7">
        <dgm:presLayoutVars>
          <dgm:bulletEnabled val="1"/>
        </dgm:presLayoutVars>
      </dgm:prSet>
      <dgm:spPr/>
    </dgm:pt>
    <dgm:pt modelId="{FEC5F9A2-5FFE-0142-ADC2-2DE574B527E2}" type="pres">
      <dgm:prSet presAssocID="{3856751A-933F-7241-9865-D1F7ECC845B9}" presName="Name141" presStyleLbl="parChTrans1D3" presStyleIdx="3" presStyleCnt="5"/>
      <dgm:spPr/>
    </dgm:pt>
    <dgm:pt modelId="{20F69858-870F-C546-AA27-3601916B5087}" type="pres">
      <dgm:prSet presAssocID="{721C2F56-C976-774B-B1B5-4EA1229C82E8}" presName="text1" presStyleLbl="node1" presStyleIdx="5" presStyleCnt="7">
        <dgm:presLayoutVars>
          <dgm:bulletEnabled val="1"/>
        </dgm:presLayoutVars>
      </dgm:prSet>
      <dgm:spPr/>
    </dgm:pt>
    <dgm:pt modelId="{98D9BE66-0A7B-CF49-9630-FE5C44EE98FE}" type="pres">
      <dgm:prSet presAssocID="{8B552B25-B8A4-CC4F-84E6-E4202A289C24}" presName="Name141" presStyleLbl="parChTrans1D3" presStyleIdx="4" presStyleCnt="5"/>
      <dgm:spPr/>
    </dgm:pt>
    <dgm:pt modelId="{4A87424E-580C-7C49-AA2F-8FD839A5F00F}" type="pres">
      <dgm:prSet presAssocID="{DF43E394-69B6-DB47-A200-BA750AE1D443}" presName="text1" presStyleLbl="node1" presStyleIdx="6" presStyleCnt="7">
        <dgm:presLayoutVars>
          <dgm:bulletEnabled val="1"/>
        </dgm:presLayoutVars>
      </dgm:prSet>
      <dgm:spPr/>
    </dgm:pt>
    <dgm:pt modelId="{071EC908-F397-394F-8649-3827BB965E3C}" type="pres">
      <dgm:prSet presAssocID="{EF281776-3156-B042-A1D2-9CA200BC6F3A}" presName="Name144" presStyleLbl="parChTrans1D2" presStyleIdx="0" presStyleCnt="1"/>
      <dgm:spPr/>
    </dgm:pt>
  </dgm:ptLst>
  <dgm:cxnLst>
    <dgm:cxn modelId="{8F17CD0C-2E1F-4545-99EE-82B6408C6F4F}" srcId="{1BA21396-00A0-9B43-8363-D71C2A300E4D}" destId="{DF43E394-69B6-DB47-A200-BA750AE1D443}" srcOrd="4" destOrd="0" parTransId="{8B552B25-B8A4-CC4F-84E6-E4202A289C24}" sibTransId="{830B471A-9550-174B-8832-886AD805CB4B}"/>
    <dgm:cxn modelId="{14A96523-F627-C540-A5F1-1751E6802CCB}" type="presOf" srcId="{7FB1BE77-4868-684B-843F-2F1E92916D86}" destId="{EAB48F5D-685E-124A-8295-EB0FF482A850}" srcOrd="0" destOrd="0" presId="urn:microsoft.com/office/officeart/2008/layout/RadialCluster"/>
    <dgm:cxn modelId="{F0F23128-9D5C-254D-94C6-FFF7909C9C8E}" srcId="{1BA21396-00A0-9B43-8363-D71C2A300E4D}" destId="{CF91FEC3-BD3B-964D-94B1-A84C5275A554}" srcOrd="1" destOrd="0" parTransId="{2BBD66A0-86DC-6C40-91F5-7F2D880E094F}" sibTransId="{669B7B81-2043-7B45-9A44-4742F71B392E}"/>
    <dgm:cxn modelId="{275C363B-D96C-384E-8C11-BA9C84DB9C03}" type="presOf" srcId="{DF43E394-69B6-DB47-A200-BA750AE1D443}" destId="{4A87424E-580C-7C49-AA2F-8FD839A5F00F}" srcOrd="0" destOrd="0" presId="urn:microsoft.com/office/officeart/2008/layout/RadialCluster"/>
    <dgm:cxn modelId="{31A27C5E-2171-FC4A-8D9D-BABA5C7FB32F}" type="presOf" srcId="{721C2F56-C976-774B-B1B5-4EA1229C82E8}" destId="{20F69858-870F-C546-AA27-3601916B5087}" srcOrd="0" destOrd="0" presId="urn:microsoft.com/office/officeart/2008/layout/RadialCluster"/>
    <dgm:cxn modelId="{6732DB42-9DB5-294B-A1F6-1D14EBE09A7F}" srcId="{1BA21396-00A0-9B43-8363-D71C2A300E4D}" destId="{7FB1BE77-4868-684B-843F-2F1E92916D86}" srcOrd="2" destOrd="0" parTransId="{FEA49600-B4AD-A248-8CBC-8AF953EDB084}" sibTransId="{D9C76859-8E2F-824D-B810-CEB0D87E32CD}"/>
    <dgm:cxn modelId="{20ED8650-C3B3-AD41-8263-B5257B2BB08E}" srcId="{1BA21396-00A0-9B43-8363-D71C2A300E4D}" destId="{8F17947F-552A-1548-B158-115088F7EE64}" srcOrd="0" destOrd="0" parTransId="{C1BD0EE3-7FA8-D44D-8E4E-7AFB746E9F4F}" sibTransId="{0403E9A2-D7D3-644F-B08D-E5C4A291C485}"/>
    <dgm:cxn modelId="{1A1A7C76-E61B-414E-B330-315411D81E76}" srcId="{D177E32E-26BF-3340-9048-732F6B43E2ED}" destId="{CC0F2049-3779-7A4F-8EBF-FC9768A7B312}" srcOrd="0" destOrd="0" parTransId="{0F21F69B-F453-8242-A1CB-916DD9BE840C}" sibTransId="{7E20BCC7-D720-5E47-ADF5-7CC3128BC24F}"/>
    <dgm:cxn modelId="{1DC49A58-17C8-1A47-BE22-FE3D465BE1B7}" type="presOf" srcId="{8B552B25-B8A4-CC4F-84E6-E4202A289C24}" destId="{98D9BE66-0A7B-CF49-9630-FE5C44EE98FE}" srcOrd="0" destOrd="0" presId="urn:microsoft.com/office/officeart/2008/layout/RadialCluster"/>
    <dgm:cxn modelId="{023F698C-E6BF-6448-91B6-E9CCE6F09DB2}" type="presOf" srcId="{CC0F2049-3779-7A4F-8EBF-FC9768A7B312}" destId="{0022A471-BFA9-004A-B188-8CFEC3BA68DB}" srcOrd="0" destOrd="0" presId="urn:microsoft.com/office/officeart/2008/layout/RadialCluster"/>
    <dgm:cxn modelId="{35F2ED91-3A06-0448-980F-713620102A0F}" srcId="{1BA21396-00A0-9B43-8363-D71C2A300E4D}" destId="{721C2F56-C976-774B-B1B5-4EA1229C82E8}" srcOrd="3" destOrd="0" parTransId="{3856751A-933F-7241-9865-D1F7ECC845B9}" sibTransId="{4B5F00A1-2495-4F42-BD7E-76C7D80CE5BE}"/>
    <dgm:cxn modelId="{95D0F491-6FD6-7241-9AC2-218E764763E7}" type="presOf" srcId="{1BA21396-00A0-9B43-8363-D71C2A300E4D}" destId="{DE97B4EB-0956-8242-9686-AA59CF0DC042}" srcOrd="0" destOrd="0" presId="urn:microsoft.com/office/officeart/2008/layout/RadialCluster"/>
    <dgm:cxn modelId="{6CBAC7A6-07E8-564D-8517-6396C9B4A2B1}" type="presOf" srcId="{8F17947F-552A-1548-B158-115088F7EE64}" destId="{1D6AC827-AFEA-134F-AAFE-10290B6BE0B7}" srcOrd="0" destOrd="0" presId="urn:microsoft.com/office/officeart/2008/layout/RadialCluster"/>
    <dgm:cxn modelId="{1360F6A7-245F-174E-82E7-54A6E55CDEA1}" type="presOf" srcId="{FEA49600-B4AD-A248-8CBC-8AF953EDB084}" destId="{E7BA9910-4ADB-FC4F-8567-884D909839CD}" srcOrd="0" destOrd="0" presId="urn:microsoft.com/office/officeart/2008/layout/RadialCluster"/>
    <dgm:cxn modelId="{BC09A7A8-4775-2145-8D4E-DF9B6C7CB42B}" type="presOf" srcId="{D177E32E-26BF-3340-9048-732F6B43E2ED}" destId="{8B2B11F9-63D5-F749-A40D-FEDE735F5A9F}" srcOrd="0" destOrd="0" presId="urn:microsoft.com/office/officeart/2008/layout/RadialCluster"/>
    <dgm:cxn modelId="{8CBC0DB1-A10A-8449-A978-5DB50EDCD27D}" type="presOf" srcId="{2BBD66A0-86DC-6C40-91F5-7F2D880E094F}" destId="{553D25AE-94CE-F948-BFEA-EB8AFBCB87C1}" srcOrd="0" destOrd="0" presId="urn:microsoft.com/office/officeart/2008/layout/RadialCluster"/>
    <dgm:cxn modelId="{C0DBBEB6-F987-FC49-87B0-11275D06C15F}" type="presOf" srcId="{CF91FEC3-BD3B-964D-94B1-A84C5275A554}" destId="{E30138E1-23EA-784F-8A15-E451EA80DDB3}" srcOrd="0" destOrd="0" presId="urn:microsoft.com/office/officeart/2008/layout/RadialCluster"/>
    <dgm:cxn modelId="{157DBFD1-A088-4945-8D23-9A97A0E5A39B}" type="presOf" srcId="{C1BD0EE3-7FA8-D44D-8E4E-7AFB746E9F4F}" destId="{4A65C28B-10EA-FA4A-84F0-C2BB4C88D146}" srcOrd="0" destOrd="0" presId="urn:microsoft.com/office/officeart/2008/layout/RadialCluster"/>
    <dgm:cxn modelId="{4CABF9D2-8664-CD4C-A7AE-3038F023D314}" type="presOf" srcId="{3856751A-933F-7241-9865-D1F7ECC845B9}" destId="{FEC5F9A2-5FFE-0142-ADC2-2DE574B527E2}" srcOrd="0" destOrd="0" presId="urn:microsoft.com/office/officeart/2008/layout/RadialCluster"/>
    <dgm:cxn modelId="{6A5517D4-1BD0-B04D-AFA2-A211845DE5D5}" srcId="{CC0F2049-3779-7A4F-8EBF-FC9768A7B312}" destId="{1BA21396-00A0-9B43-8363-D71C2A300E4D}" srcOrd="0" destOrd="0" parTransId="{EF281776-3156-B042-A1D2-9CA200BC6F3A}" sibTransId="{95CB0F4B-4DD5-624B-8AFA-812E48187229}"/>
    <dgm:cxn modelId="{F73D98E8-6747-8847-B559-1A48385A891A}" type="presOf" srcId="{EF281776-3156-B042-A1D2-9CA200BC6F3A}" destId="{071EC908-F397-394F-8649-3827BB965E3C}" srcOrd="0" destOrd="0" presId="urn:microsoft.com/office/officeart/2008/layout/RadialCluster"/>
    <dgm:cxn modelId="{1E982330-455D-774A-A9B3-550CB79D1A96}" type="presParOf" srcId="{8B2B11F9-63D5-F749-A40D-FEDE735F5A9F}" destId="{0022A471-BFA9-004A-B188-8CFEC3BA68DB}" srcOrd="0" destOrd="0" presId="urn:microsoft.com/office/officeart/2008/layout/RadialCluster"/>
    <dgm:cxn modelId="{49A3AED2-8EE5-D646-B302-8C83BE8CC70E}" type="presParOf" srcId="{8B2B11F9-63D5-F749-A40D-FEDE735F5A9F}" destId="{43A98160-D25E-5F48-8DF5-6E4F41D3A4F7}" srcOrd="1" destOrd="0" presId="urn:microsoft.com/office/officeart/2008/layout/RadialCluster"/>
    <dgm:cxn modelId="{81A5E97F-64CE-EE43-91A8-1F603DEB7BA6}" type="presParOf" srcId="{43A98160-D25E-5F48-8DF5-6E4F41D3A4F7}" destId="{DE97B4EB-0956-8242-9686-AA59CF0DC042}" srcOrd="0" destOrd="0" presId="urn:microsoft.com/office/officeart/2008/layout/RadialCluster"/>
    <dgm:cxn modelId="{32F960DE-1D90-6F4F-A6B3-50AA51A8775C}" type="presParOf" srcId="{43A98160-D25E-5F48-8DF5-6E4F41D3A4F7}" destId="{4A65C28B-10EA-FA4A-84F0-C2BB4C88D146}" srcOrd="1" destOrd="0" presId="urn:microsoft.com/office/officeart/2008/layout/RadialCluster"/>
    <dgm:cxn modelId="{24A51D76-AC54-4140-9B2C-E533BDED6EB7}" type="presParOf" srcId="{43A98160-D25E-5F48-8DF5-6E4F41D3A4F7}" destId="{1D6AC827-AFEA-134F-AAFE-10290B6BE0B7}" srcOrd="2" destOrd="0" presId="urn:microsoft.com/office/officeart/2008/layout/RadialCluster"/>
    <dgm:cxn modelId="{25B1C419-1F30-2C43-8DF7-3D688B5EE55B}" type="presParOf" srcId="{43A98160-D25E-5F48-8DF5-6E4F41D3A4F7}" destId="{553D25AE-94CE-F948-BFEA-EB8AFBCB87C1}" srcOrd="3" destOrd="0" presId="urn:microsoft.com/office/officeart/2008/layout/RadialCluster"/>
    <dgm:cxn modelId="{B43368B8-9FDA-0147-8347-79CD79C71D82}" type="presParOf" srcId="{43A98160-D25E-5F48-8DF5-6E4F41D3A4F7}" destId="{E30138E1-23EA-784F-8A15-E451EA80DDB3}" srcOrd="4" destOrd="0" presId="urn:microsoft.com/office/officeart/2008/layout/RadialCluster"/>
    <dgm:cxn modelId="{D52E597F-44BE-9148-A185-E27674F1936C}" type="presParOf" srcId="{43A98160-D25E-5F48-8DF5-6E4F41D3A4F7}" destId="{E7BA9910-4ADB-FC4F-8567-884D909839CD}" srcOrd="5" destOrd="0" presId="urn:microsoft.com/office/officeart/2008/layout/RadialCluster"/>
    <dgm:cxn modelId="{0DA396EB-0634-4948-926A-8A68076DE764}" type="presParOf" srcId="{43A98160-D25E-5F48-8DF5-6E4F41D3A4F7}" destId="{EAB48F5D-685E-124A-8295-EB0FF482A850}" srcOrd="6" destOrd="0" presId="urn:microsoft.com/office/officeart/2008/layout/RadialCluster"/>
    <dgm:cxn modelId="{D51ED157-0CAF-594E-AD42-FADDC1EC9821}" type="presParOf" srcId="{43A98160-D25E-5F48-8DF5-6E4F41D3A4F7}" destId="{FEC5F9A2-5FFE-0142-ADC2-2DE574B527E2}" srcOrd="7" destOrd="0" presId="urn:microsoft.com/office/officeart/2008/layout/RadialCluster"/>
    <dgm:cxn modelId="{FAEBF8C5-BEA3-EF44-8309-04BB4CFD973A}" type="presParOf" srcId="{43A98160-D25E-5F48-8DF5-6E4F41D3A4F7}" destId="{20F69858-870F-C546-AA27-3601916B5087}" srcOrd="8" destOrd="0" presId="urn:microsoft.com/office/officeart/2008/layout/RadialCluster"/>
    <dgm:cxn modelId="{D330F254-78FD-C14C-9F99-88B6F0664A7C}" type="presParOf" srcId="{43A98160-D25E-5F48-8DF5-6E4F41D3A4F7}" destId="{98D9BE66-0A7B-CF49-9630-FE5C44EE98FE}" srcOrd="9" destOrd="0" presId="urn:microsoft.com/office/officeart/2008/layout/RadialCluster"/>
    <dgm:cxn modelId="{CF2F180D-2BEF-464C-BCB3-9D4DF93E9FB3}" type="presParOf" srcId="{43A98160-D25E-5F48-8DF5-6E4F41D3A4F7}" destId="{4A87424E-580C-7C49-AA2F-8FD839A5F00F}" srcOrd="10" destOrd="0" presId="urn:microsoft.com/office/officeart/2008/layout/RadialCluster"/>
    <dgm:cxn modelId="{4A856E5A-7725-8D41-9071-ED31B722CC7C}" type="presParOf" srcId="{8B2B11F9-63D5-F749-A40D-FEDE735F5A9F}" destId="{071EC908-F397-394F-8649-3827BB965E3C}" srcOrd="2" destOrd="0" presId="urn:microsoft.com/office/officeart/2008/layout/Radial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EC908-F397-394F-8649-3827BB965E3C}">
      <dsp:nvSpPr>
        <dsp:cNvPr id="0" name=""/>
        <dsp:cNvSpPr/>
      </dsp:nvSpPr>
      <dsp:spPr>
        <a:xfrm rot="20398291">
          <a:off x="1834442" y="1233401"/>
          <a:ext cx="268477" cy="0"/>
        </a:xfrm>
        <a:custGeom>
          <a:avLst/>
          <a:gdLst/>
          <a:ahLst/>
          <a:cxnLst/>
          <a:rect l="0" t="0" r="0" b="0"/>
          <a:pathLst>
            <a:path>
              <a:moveTo>
                <a:pt x="0" y="0"/>
              </a:moveTo>
              <a:lnTo>
                <a:pt x="268477" y="0"/>
              </a:lnTo>
            </a:path>
          </a:pathLst>
        </a:custGeom>
        <a:noFill/>
        <a:ln w="9525" cap="flat" cmpd="sng" algn="ctr">
          <a:solidFill>
            <a:schemeClr val="accent1">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22A471-BFA9-004A-B188-8CFEC3BA68DB}">
      <dsp:nvSpPr>
        <dsp:cNvPr id="0" name=""/>
        <dsp:cNvSpPr/>
      </dsp:nvSpPr>
      <dsp:spPr>
        <a:xfrm>
          <a:off x="957421" y="998138"/>
          <a:ext cx="885139" cy="885139"/>
        </a:xfrm>
        <a:prstGeom prst="roundRect">
          <a:avLst/>
        </a:prstGeom>
        <a:gradFill rotWithShape="0">
          <a:gsLst>
            <a:gs pos="0">
              <a:schemeClr val="accent1">
                <a:shade val="80000"/>
                <a:hueOff val="0"/>
                <a:satOff val="0"/>
                <a:lumOff val="0"/>
                <a:alphaOff val="0"/>
                <a:tint val="100000"/>
                <a:shade val="100000"/>
                <a:satMod val="130000"/>
              </a:schemeClr>
            </a:gs>
            <a:gs pos="100000">
              <a:schemeClr val="accent1">
                <a:shade val="8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Analyses CSR7</a:t>
          </a:r>
        </a:p>
      </dsp:txBody>
      <dsp:txXfrm>
        <a:off x="1000630" y="1041347"/>
        <a:ext cx="798721" cy="798721"/>
      </dsp:txXfrm>
    </dsp:sp>
    <dsp:sp modelId="{DE97B4EB-0956-8242-9686-AA59CF0DC042}">
      <dsp:nvSpPr>
        <dsp:cNvPr id="0" name=""/>
        <dsp:cNvSpPr/>
      </dsp:nvSpPr>
      <dsp:spPr>
        <a:xfrm>
          <a:off x="2094801" y="759779"/>
          <a:ext cx="805206" cy="561769"/>
        </a:xfrm>
        <a:prstGeom prst="roundRect">
          <a:avLst/>
        </a:prstGeom>
        <a:gradFill rotWithShape="0">
          <a:gsLst>
            <a:gs pos="0">
              <a:schemeClr val="accent1">
                <a:shade val="80000"/>
                <a:hueOff val="51041"/>
                <a:satOff val="-732"/>
                <a:lumOff val="4269"/>
                <a:alphaOff val="0"/>
                <a:tint val="100000"/>
                <a:shade val="100000"/>
                <a:satMod val="130000"/>
              </a:schemeClr>
            </a:gs>
            <a:gs pos="100000">
              <a:schemeClr val="accent1">
                <a:shade val="80000"/>
                <a:hueOff val="51041"/>
                <a:satOff val="-732"/>
                <a:lumOff val="426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a:t>Estimations des taille et tendences des populations</a:t>
          </a:r>
          <a:r>
            <a:rPr lang="en-US" sz="800" kern="1200" baseline="30000"/>
            <a:t>1</a:t>
          </a:r>
          <a:endParaRPr lang="en-US" sz="700" kern="1200" baseline="30000"/>
        </a:p>
      </dsp:txBody>
      <dsp:txXfrm>
        <a:off x="2122224" y="787202"/>
        <a:ext cx="750360" cy="506923"/>
      </dsp:txXfrm>
    </dsp:sp>
    <dsp:sp modelId="{4A65C28B-10EA-FA4A-84F0-C2BB4C88D146}">
      <dsp:nvSpPr>
        <dsp:cNvPr id="0" name=""/>
        <dsp:cNvSpPr/>
      </dsp:nvSpPr>
      <dsp:spPr>
        <a:xfrm rot="16311546">
          <a:off x="2494433" y="747292"/>
          <a:ext cx="24988" cy="0"/>
        </a:xfrm>
        <a:custGeom>
          <a:avLst/>
          <a:gdLst/>
          <a:ahLst/>
          <a:cxnLst/>
          <a:rect l="0" t="0" r="0" b="0"/>
          <a:pathLst>
            <a:path>
              <a:moveTo>
                <a:pt x="0" y="0"/>
              </a:moveTo>
              <a:lnTo>
                <a:pt x="24988"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6AC827-AFEA-134F-AAFE-10290B6BE0B7}">
      <dsp:nvSpPr>
        <dsp:cNvPr id="0" name=""/>
        <dsp:cNvSpPr/>
      </dsp:nvSpPr>
      <dsp:spPr>
        <a:xfrm>
          <a:off x="2235565" y="173035"/>
          <a:ext cx="561769" cy="561769"/>
        </a:xfrm>
        <a:prstGeom prst="roundRect">
          <a:avLst/>
        </a:prstGeom>
        <a:gradFill rotWithShape="0">
          <a:gsLst>
            <a:gs pos="0">
              <a:schemeClr val="accent1">
                <a:shade val="80000"/>
                <a:hueOff val="102082"/>
                <a:satOff val="-1464"/>
                <a:lumOff val="8538"/>
                <a:alphaOff val="0"/>
                <a:tint val="100000"/>
                <a:shade val="100000"/>
                <a:satMod val="130000"/>
              </a:schemeClr>
            </a:gs>
            <a:gs pos="100000">
              <a:schemeClr val="accent1">
                <a:shade val="80000"/>
                <a:hueOff val="102082"/>
                <a:satOff val="-1464"/>
                <a:lumOff val="853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a:t>Tendences IWCs</a:t>
          </a:r>
          <a:r>
            <a:rPr lang="en-US" sz="700" kern="1200" baseline="30000"/>
            <a:t>2</a:t>
          </a:r>
        </a:p>
      </dsp:txBody>
      <dsp:txXfrm>
        <a:off x="2262988" y="200458"/>
        <a:ext cx="506923" cy="506923"/>
      </dsp:txXfrm>
    </dsp:sp>
    <dsp:sp modelId="{553D25AE-94CE-F948-BFEA-EB8AFBCB87C1}">
      <dsp:nvSpPr>
        <dsp:cNvPr id="0" name=""/>
        <dsp:cNvSpPr/>
      </dsp:nvSpPr>
      <dsp:spPr>
        <a:xfrm rot="20246692">
          <a:off x="2898628" y="866526"/>
          <a:ext cx="36081" cy="0"/>
        </a:xfrm>
        <a:custGeom>
          <a:avLst/>
          <a:gdLst/>
          <a:ahLst/>
          <a:cxnLst/>
          <a:rect l="0" t="0" r="0" b="0"/>
          <a:pathLst>
            <a:path>
              <a:moveTo>
                <a:pt x="0" y="0"/>
              </a:moveTo>
              <a:lnTo>
                <a:pt x="36081"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0138E1-23EA-784F-8A15-E451EA80DDB3}">
      <dsp:nvSpPr>
        <dsp:cNvPr id="0" name=""/>
        <dsp:cNvSpPr/>
      </dsp:nvSpPr>
      <dsp:spPr>
        <a:xfrm>
          <a:off x="2933330" y="462058"/>
          <a:ext cx="561769" cy="561769"/>
        </a:xfrm>
        <a:prstGeom prst="roundRect">
          <a:avLst/>
        </a:prstGeom>
        <a:gradFill rotWithShape="0">
          <a:gsLst>
            <a:gs pos="0">
              <a:schemeClr val="accent1">
                <a:shade val="80000"/>
                <a:hueOff val="153123"/>
                <a:satOff val="-2196"/>
                <a:lumOff val="12807"/>
                <a:alphaOff val="0"/>
                <a:tint val="100000"/>
                <a:shade val="100000"/>
                <a:satMod val="130000"/>
              </a:schemeClr>
            </a:gs>
            <a:gs pos="100000">
              <a:schemeClr val="accent1">
                <a:shade val="80000"/>
                <a:hueOff val="153123"/>
                <a:satOff val="-2196"/>
                <a:lumOff val="1280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a:t>European Red List of Birds</a:t>
          </a:r>
          <a:r>
            <a:rPr lang="en-US" sz="700" kern="1200" baseline="30000"/>
            <a:t>3</a:t>
          </a:r>
        </a:p>
      </dsp:txBody>
      <dsp:txXfrm>
        <a:off x="2960753" y="489481"/>
        <a:ext cx="506923" cy="506923"/>
      </dsp:txXfrm>
    </dsp:sp>
    <dsp:sp modelId="{E7BA9910-4ADB-FC4F-8567-884D909839CD}">
      <dsp:nvSpPr>
        <dsp:cNvPr id="0" name=""/>
        <dsp:cNvSpPr/>
      </dsp:nvSpPr>
      <dsp:spPr>
        <a:xfrm rot="1301334">
          <a:off x="2887728" y="1264891"/>
          <a:ext cx="346904" cy="0"/>
        </a:xfrm>
        <a:custGeom>
          <a:avLst/>
          <a:gdLst/>
          <a:ahLst/>
          <a:cxnLst/>
          <a:rect l="0" t="0" r="0" b="0"/>
          <a:pathLst>
            <a:path>
              <a:moveTo>
                <a:pt x="0" y="0"/>
              </a:moveTo>
              <a:lnTo>
                <a:pt x="346904"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B48F5D-685E-124A-8295-EB0FF482A850}">
      <dsp:nvSpPr>
        <dsp:cNvPr id="0" name=""/>
        <dsp:cNvSpPr/>
      </dsp:nvSpPr>
      <dsp:spPr>
        <a:xfrm>
          <a:off x="3222353" y="1159823"/>
          <a:ext cx="561769" cy="561769"/>
        </a:xfrm>
        <a:prstGeom prst="roundRect">
          <a:avLst/>
        </a:prstGeom>
        <a:gradFill rotWithShape="0">
          <a:gsLst>
            <a:gs pos="0">
              <a:schemeClr val="accent1">
                <a:shade val="80000"/>
                <a:hueOff val="204164"/>
                <a:satOff val="-2928"/>
                <a:lumOff val="17077"/>
                <a:alphaOff val="0"/>
                <a:tint val="100000"/>
                <a:shade val="100000"/>
                <a:satMod val="130000"/>
              </a:schemeClr>
            </a:gs>
            <a:gs pos="100000">
              <a:schemeClr val="accent1">
                <a:shade val="80000"/>
                <a:hueOff val="204164"/>
                <a:satOff val="-2928"/>
                <a:lumOff val="1707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30000"/>
            <a:t>Initiative de la voie de migration de la mer des Wadden4</a:t>
          </a:r>
        </a:p>
      </dsp:txBody>
      <dsp:txXfrm>
        <a:off x="3249776" y="1187246"/>
        <a:ext cx="506923" cy="506923"/>
      </dsp:txXfrm>
    </dsp:sp>
    <dsp:sp modelId="{FEC5F9A2-5FFE-0142-ADC2-2DE574B527E2}">
      <dsp:nvSpPr>
        <dsp:cNvPr id="0" name=""/>
        <dsp:cNvSpPr/>
      </dsp:nvSpPr>
      <dsp:spPr>
        <a:xfrm rot="3411458">
          <a:off x="2535715" y="1589568"/>
          <a:ext cx="640188" cy="0"/>
        </a:xfrm>
        <a:custGeom>
          <a:avLst/>
          <a:gdLst/>
          <a:ahLst/>
          <a:cxnLst/>
          <a:rect l="0" t="0" r="0" b="0"/>
          <a:pathLst>
            <a:path>
              <a:moveTo>
                <a:pt x="0" y="0"/>
              </a:moveTo>
              <a:lnTo>
                <a:pt x="640188"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F69858-870F-C546-AA27-3601916B5087}">
      <dsp:nvSpPr>
        <dsp:cNvPr id="0" name=""/>
        <dsp:cNvSpPr/>
      </dsp:nvSpPr>
      <dsp:spPr>
        <a:xfrm>
          <a:off x="2933330" y="1857588"/>
          <a:ext cx="561769" cy="561769"/>
        </a:xfrm>
        <a:prstGeom prst="roundRect">
          <a:avLst/>
        </a:prstGeom>
        <a:gradFill rotWithShape="0">
          <a:gsLst>
            <a:gs pos="0">
              <a:schemeClr val="accent1">
                <a:shade val="80000"/>
                <a:hueOff val="255205"/>
                <a:satOff val="-3660"/>
                <a:lumOff val="21346"/>
                <a:alphaOff val="0"/>
                <a:tint val="100000"/>
                <a:shade val="100000"/>
                <a:satMod val="130000"/>
              </a:schemeClr>
            </a:gs>
            <a:gs pos="100000">
              <a:schemeClr val="accent1">
                <a:shade val="80000"/>
                <a:hueOff val="255205"/>
                <a:satOff val="-3660"/>
                <a:lumOff val="2134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en-US" sz="700" kern="1200" baseline="0"/>
            <a:t>Audit sur les Oies de la CAFF</a:t>
          </a:r>
          <a:r>
            <a:rPr lang="en-US" sz="700" kern="1200" baseline="30000"/>
            <a:t>5</a:t>
          </a:r>
        </a:p>
      </dsp:txBody>
      <dsp:txXfrm>
        <a:off x="2960753" y="1885011"/>
        <a:ext cx="506923" cy="506923"/>
      </dsp:txXfrm>
    </dsp:sp>
    <dsp:sp modelId="{98D9BE66-0A7B-CF49-9630-FE5C44EE98FE}">
      <dsp:nvSpPr>
        <dsp:cNvPr id="0" name=""/>
        <dsp:cNvSpPr/>
      </dsp:nvSpPr>
      <dsp:spPr>
        <a:xfrm rot="5352793">
          <a:off x="2094357" y="1734080"/>
          <a:ext cx="825140" cy="0"/>
        </a:xfrm>
        <a:custGeom>
          <a:avLst/>
          <a:gdLst/>
          <a:ahLst/>
          <a:cxnLst/>
          <a:rect l="0" t="0" r="0" b="0"/>
          <a:pathLst>
            <a:path>
              <a:moveTo>
                <a:pt x="0" y="0"/>
              </a:moveTo>
              <a:lnTo>
                <a:pt x="825140" y="0"/>
              </a:lnTo>
            </a:path>
          </a:pathLst>
        </a:custGeom>
        <a:noFill/>
        <a:ln w="9525" cap="flat" cmpd="sng" algn="ctr">
          <a:solidFill>
            <a:schemeClr val="accent1">
              <a:tint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87424E-580C-7C49-AA2F-8FD839A5F00F}">
      <dsp:nvSpPr>
        <dsp:cNvPr id="0" name=""/>
        <dsp:cNvSpPr/>
      </dsp:nvSpPr>
      <dsp:spPr>
        <a:xfrm>
          <a:off x="2235565" y="2146612"/>
          <a:ext cx="561769" cy="561769"/>
        </a:xfrm>
        <a:prstGeom prst="roundRect">
          <a:avLst/>
        </a:prstGeom>
        <a:gradFill rotWithShape="0">
          <a:gsLst>
            <a:gs pos="0">
              <a:schemeClr val="accent1">
                <a:shade val="80000"/>
                <a:hueOff val="306246"/>
                <a:satOff val="-4392"/>
                <a:lumOff val="25615"/>
                <a:alphaOff val="0"/>
                <a:tint val="100000"/>
                <a:shade val="100000"/>
                <a:satMod val="130000"/>
              </a:schemeClr>
            </a:gs>
            <a:gs pos="100000">
              <a:schemeClr val="accent1">
                <a:shade val="80000"/>
                <a:hueOff val="306246"/>
                <a:satOff val="-4392"/>
                <a:lumOff val="2561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US" sz="800" kern="1200" baseline="0"/>
            <a:t>Autres études</a:t>
          </a:r>
          <a:r>
            <a:rPr lang="en-US" sz="800" kern="1200" baseline="30000"/>
            <a:t>6</a:t>
          </a:r>
          <a:r>
            <a:rPr lang="en-US" sz="800" kern="1200" baseline="0"/>
            <a:t> </a:t>
          </a:r>
        </a:p>
      </dsp:txBody>
      <dsp:txXfrm>
        <a:off x="2262988" y="2174035"/>
        <a:ext cx="506923" cy="50692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0.01366</cdr:x>
      <cdr:y>0.06656</cdr:y>
    </cdr:from>
    <cdr:to>
      <cdr:x>0.04224</cdr:x>
      <cdr:y>0.1715</cdr:y>
    </cdr:to>
    <cdr:sp macro="" textlink="">
      <cdr:nvSpPr>
        <cdr:cNvPr id="97281" name="Text Box 1"/>
        <cdr:cNvSpPr txBox="1">
          <a:spLocks xmlns:a="http://schemas.openxmlformats.org/drawingml/2006/main" noChangeArrowheads="1"/>
        </cdr:cNvSpPr>
      </cdr:nvSpPr>
      <cdr:spPr bwMode="auto">
        <a:xfrm xmlns:a="http://schemas.openxmlformats.org/drawingml/2006/main">
          <a:off x="65186" y="188293"/>
          <a:ext cx="136384" cy="29687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Better</a:t>
          </a:r>
        </a:p>
      </cdr:txBody>
    </cdr:sp>
  </cdr:relSizeAnchor>
  <cdr:relSizeAnchor xmlns:cdr="http://schemas.openxmlformats.org/drawingml/2006/chartDrawing">
    <cdr:from>
      <cdr:x>0.01366</cdr:x>
      <cdr:y>0.60983</cdr:y>
    </cdr:from>
    <cdr:to>
      <cdr:x>0.04224</cdr:x>
      <cdr:y>0.72277</cdr:y>
    </cdr:to>
    <cdr:sp macro="" textlink="">
      <cdr:nvSpPr>
        <cdr:cNvPr id="97282" name="Text Box 2"/>
        <cdr:cNvSpPr txBox="1">
          <a:spLocks xmlns:a="http://schemas.openxmlformats.org/drawingml/2006/main" noChangeArrowheads="1"/>
        </cdr:cNvSpPr>
      </cdr:nvSpPr>
      <cdr:spPr bwMode="auto">
        <a:xfrm xmlns:a="http://schemas.openxmlformats.org/drawingml/2006/main">
          <a:off x="65186" y="1725163"/>
          <a:ext cx="136384" cy="319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vert270" wrap="none" lIns="18288" tIns="22860" rIns="0" bIns="0" anchor="t" upright="1">
          <a:spAutoFit/>
        </a:bodyPr>
        <a:lstStyle xmlns:a="http://schemas.openxmlformats.org/drawingml/2006/main"/>
        <a:p xmlns:a="http://schemas.openxmlformats.org/drawingml/2006/main">
          <a:pPr algn="r" rtl="0">
            <a:defRPr sz="1000"/>
          </a:pPr>
          <a:r>
            <a:rPr lang="en-GB" sz="800" b="0" i="0" u="none" strike="noStrike" baseline="0">
              <a:solidFill>
                <a:srgbClr val="000000"/>
              </a:solidFill>
              <a:latin typeface="Arial"/>
              <a:cs typeface="Arial"/>
            </a:rPr>
            <a:t>Worse</a:t>
          </a:r>
        </a:p>
      </cdr:txBody>
    </cdr:sp>
  </cdr:relSizeAnchor>
  <cdr:relSizeAnchor xmlns:cdr="http://schemas.openxmlformats.org/drawingml/2006/chartDrawing">
    <cdr:from>
      <cdr:x>0.0893</cdr:x>
      <cdr:y>0.5912</cdr:y>
    </cdr:from>
    <cdr:to>
      <cdr:x>0.0893</cdr:x>
      <cdr:y>0.77724</cdr:y>
    </cdr:to>
    <cdr:sp macro="" textlink="">
      <cdr:nvSpPr>
        <cdr:cNvPr id="97283" name="Line 3"/>
        <cdr:cNvSpPr>
          <a:spLocks xmlns:a="http://schemas.openxmlformats.org/drawingml/2006/main" noChangeShapeType="1"/>
        </cdr:cNvSpPr>
      </cdr:nvSpPr>
      <cdr:spPr bwMode="auto">
        <a:xfrm xmlns:a="http://schemas.openxmlformats.org/drawingml/2006/main" flipH="1">
          <a:off x="317833" y="1250850"/>
          <a:ext cx="0" cy="39054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0.0893</cdr:x>
      <cdr:y>0.03126</cdr:y>
    </cdr:from>
    <cdr:to>
      <cdr:x>0.0893</cdr:x>
      <cdr:y>0.23948</cdr:y>
    </cdr:to>
    <cdr:sp macro="" textlink="">
      <cdr:nvSpPr>
        <cdr:cNvPr id="97284" name="Line 4"/>
        <cdr:cNvSpPr>
          <a:spLocks xmlns:a="http://schemas.openxmlformats.org/drawingml/2006/main" noChangeShapeType="1"/>
        </cdr:cNvSpPr>
      </cdr:nvSpPr>
      <cdr:spPr bwMode="auto">
        <a:xfrm xmlns:a="http://schemas.openxmlformats.org/drawingml/2006/main" flipH="1" flipV="1">
          <a:off x="317833" y="69059"/>
          <a:ext cx="0" cy="4412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0.80369</cdr:x>
      <cdr:y>0.46886</cdr:y>
    </cdr:from>
    <cdr:to>
      <cdr:x>0.95056</cdr:x>
      <cdr:y>0.54403</cdr:y>
    </cdr:to>
    <cdr:sp macro="" textlink="">
      <cdr:nvSpPr>
        <cdr:cNvPr id="2" name="TextBox 1"/>
        <cdr:cNvSpPr txBox="1"/>
      </cdr:nvSpPr>
      <cdr:spPr>
        <a:xfrm xmlns:a="http://schemas.openxmlformats.org/drawingml/2006/main" flipH="1">
          <a:off x="4161549" y="1326356"/>
          <a:ext cx="760496" cy="2126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900">
              <a:solidFill>
                <a:sysClr val="windowText" lastClr="000000"/>
              </a:solidFill>
            </a:rPr>
            <a:t>AEWA species</a:t>
          </a:r>
        </a:p>
      </cdr:txBody>
    </cdr:sp>
  </cdr:relSizeAnchor>
  <cdr:relSizeAnchor xmlns:cdr="http://schemas.openxmlformats.org/drawingml/2006/chartDrawing">
    <cdr:from>
      <cdr:x>0.81749</cdr:x>
      <cdr:y>0.56106</cdr:y>
    </cdr:from>
    <cdr:to>
      <cdr:x>0.82755</cdr:x>
      <cdr:y>0.57722</cdr:y>
    </cdr:to>
    <cdr:sp macro="" textlink="">
      <cdr:nvSpPr>
        <cdr:cNvPr id="9" name="TextBox 1"/>
        <cdr:cNvSpPr txBox="1"/>
      </cdr:nvSpPr>
      <cdr:spPr>
        <a:xfrm xmlns:a="http://schemas.openxmlformats.org/drawingml/2006/main" flipH="1">
          <a:off x="4232986" y="1587193"/>
          <a:ext cx="52073" cy="4571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t>All species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E3426-018C-4846-9D86-1D248BCF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18080</Words>
  <Characters>103057</Characters>
  <Application>Microsoft Office Word</Application>
  <DocSecurity>0</DocSecurity>
  <Lines>858</Lines>
  <Paragraphs>241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Rubicon Foundation</Company>
  <LinksUpToDate>false</LinksUpToDate>
  <CharactersWithSpaces>120896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Sergey Dereliev (UNEP/AEWA Secretariat)</dc:creator>
  <cp:lastModifiedBy>Jolanta Kremer</cp:lastModifiedBy>
  <cp:revision>3</cp:revision>
  <cp:lastPrinted>2018-06-27T09:56:00Z</cp:lastPrinted>
  <dcterms:created xsi:type="dcterms:W3CDTF">2018-06-26T15:10:00Z</dcterms:created>
  <dcterms:modified xsi:type="dcterms:W3CDTF">2018-06-27T09:56:00Z</dcterms:modified>
</cp:coreProperties>
</file>