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6C5" w14:textId="77777777" w:rsidR="00C95369" w:rsidRPr="001E10F9" w:rsidRDefault="00C95369" w:rsidP="00F564C0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14:paraId="0889B28B" w14:textId="38C50533" w:rsidR="006305FC" w:rsidRPr="001E10F9" w:rsidRDefault="00F564C0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1E10F9">
        <w:rPr>
          <w:rFonts w:ascii="Times New Roman" w:hAnsi="Times New Roman" w:cs="Times New Roman"/>
          <w:lang w:val="fr-FR"/>
        </w:rPr>
        <w:t xml:space="preserve">RÉSOLUTION </w:t>
      </w:r>
      <w:r w:rsidR="000001DE">
        <w:rPr>
          <w:rFonts w:ascii="Times New Roman" w:hAnsi="Times New Roman" w:cs="Times New Roman"/>
          <w:lang w:val="fr-FR"/>
        </w:rPr>
        <w:t>8</w:t>
      </w:r>
      <w:r w:rsidR="006A7852" w:rsidRPr="001E10F9">
        <w:rPr>
          <w:rFonts w:ascii="Times New Roman" w:hAnsi="Times New Roman" w:cs="Times New Roman"/>
          <w:lang w:val="fr-FR"/>
        </w:rPr>
        <w:t>.</w:t>
      </w:r>
      <w:r w:rsidR="00C95369" w:rsidRPr="001E10F9">
        <w:rPr>
          <w:rFonts w:ascii="Times New Roman" w:hAnsi="Times New Roman" w:cs="Times New Roman"/>
          <w:lang w:val="fr-FR"/>
        </w:rPr>
        <w:t>1</w:t>
      </w:r>
      <w:r w:rsidR="003B55E6" w:rsidRPr="001E10F9">
        <w:rPr>
          <w:rFonts w:ascii="Times New Roman" w:hAnsi="Times New Roman" w:cs="Times New Roman"/>
          <w:lang w:val="fr-FR"/>
        </w:rPr>
        <w:t>0</w:t>
      </w:r>
    </w:p>
    <w:p w14:paraId="7E9B033F" w14:textId="77777777" w:rsidR="007D7948" w:rsidRPr="001E10F9" w:rsidRDefault="007D7948" w:rsidP="005303BF">
      <w:pPr>
        <w:rPr>
          <w:rFonts w:ascii="Times New Roman" w:hAnsi="Times New Roman" w:cs="Times New Roman"/>
          <w:lang w:val="fr-FR"/>
        </w:rPr>
      </w:pPr>
    </w:p>
    <w:p w14:paraId="1D861163" w14:textId="5268475A" w:rsidR="002E0DFD" w:rsidRPr="001E10F9" w:rsidRDefault="00EA1181" w:rsidP="00EA1181">
      <w:pPr>
        <w:jc w:val="center"/>
        <w:rPr>
          <w:rFonts w:ascii="Times New Roman" w:hAnsi="Times New Roman" w:cs="Times New Roman"/>
          <w:b/>
          <w:lang w:val="fr-FR"/>
        </w:rPr>
      </w:pPr>
      <w:r w:rsidRPr="001E10F9">
        <w:rPr>
          <w:rFonts w:ascii="Times New Roman" w:hAnsi="Times New Roman" w:cs="Times New Roman"/>
          <w:b/>
          <w:lang w:val="fr-FR"/>
        </w:rPr>
        <w:t>DISPOSITIFS INSTITUTIONNELS :</w:t>
      </w:r>
      <w:r w:rsidR="002E0DFD" w:rsidRPr="001E10F9">
        <w:rPr>
          <w:rFonts w:ascii="Times New Roman" w:hAnsi="Times New Roman" w:cs="Times New Roman"/>
          <w:b/>
          <w:lang w:val="fr-FR"/>
        </w:rPr>
        <w:t xml:space="preserve"> </w:t>
      </w:r>
      <w:r w:rsidRPr="001E10F9">
        <w:rPr>
          <w:rFonts w:ascii="Times New Roman" w:hAnsi="Times New Roman" w:cs="Times New Roman"/>
          <w:b/>
          <w:lang w:val="fr-FR"/>
        </w:rPr>
        <w:t>C</w:t>
      </w:r>
      <w:r w:rsidR="001E10F9" w:rsidRPr="001E10F9">
        <w:rPr>
          <w:rFonts w:ascii="Times New Roman" w:hAnsi="Times New Roman" w:cs="Times New Roman"/>
          <w:b/>
          <w:lang w:val="fr-FR"/>
        </w:rPr>
        <w:t>OMITÉ PERMANENT</w:t>
      </w:r>
    </w:p>
    <w:p w14:paraId="3B55C13B" w14:textId="77777777" w:rsidR="002E0DFD" w:rsidRPr="001E10F9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3E2CC19" w14:textId="77777777" w:rsidR="006A7852" w:rsidRPr="001E10F9" w:rsidRDefault="006A7852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EBCC8DB" w14:textId="5472DBC1" w:rsidR="002E0DFD" w:rsidRPr="001E10F9" w:rsidRDefault="002E0DFD" w:rsidP="00EA1181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A1181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Rappelant </w:t>
      </w:r>
      <w:r w:rsidR="00EA1181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la Résolution 2.6 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concernant </w:t>
      </w:r>
      <w:r w:rsidR="00EA1181" w:rsidRPr="001E10F9">
        <w:rPr>
          <w:rFonts w:ascii="Times New Roman" w:hAnsi="Times New Roman" w:cs="Times New Roman"/>
          <w:iCs/>
          <w:sz w:val="22"/>
          <w:szCs w:val="22"/>
          <w:lang w:val="fr-FR"/>
        </w:rPr>
        <w:t>l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a mise en place du </w:t>
      </w:r>
      <w:r w:rsidR="00EA1181" w:rsidRPr="001E10F9">
        <w:rPr>
          <w:rFonts w:ascii="Times New Roman" w:hAnsi="Times New Roman" w:cs="Times New Roman"/>
          <w:sz w:val="22"/>
          <w:szCs w:val="22"/>
          <w:lang w:val="fr-FR"/>
        </w:rPr>
        <w:t>Comité Permanent</w:t>
      </w:r>
      <w:r w:rsidR="00EA1181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EA1181" w:rsidRPr="001E10F9">
        <w:rPr>
          <w:rFonts w:ascii="Times New Roman" w:hAnsi="Times New Roman" w:cs="Times New Roman"/>
          <w:iCs/>
          <w:sz w:val="22"/>
          <w:szCs w:val="22"/>
          <w:lang w:val="fr-FR"/>
        </w:rPr>
        <w:t>et, en particulier, la composition de ses membres,</w:t>
      </w:r>
    </w:p>
    <w:p w14:paraId="7B723101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6CEDD16" w14:textId="64BD7795" w:rsidR="002E0DFD" w:rsidRPr="001E10F9" w:rsidRDefault="002E0DFD" w:rsidP="002C544D">
      <w:pPr>
        <w:pStyle w:val="Default"/>
        <w:spacing w:line="276" w:lineRule="auto"/>
        <w:jc w:val="both"/>
        <w:rPr>
          <w:color w:val="auto"/>
          <w:sz w:val="22"/>
          <w:szCs w:val="22"/>
          <w:lang w:val="fr-FR"/>
        </w:rPr>
      </w:pPr>
      <w:r w:rsidRPr="001E10F9">
        <w:rPr>
          <w:color w:val="auto"/>
          <w:sz w:val="22"/>
          <w:szCs w:val="22"/>
          <w:lang w:val="fr-FR"/>
        </w:rPr>
        <w:tab/>
      </w:r>
      <w:r w:rsidR="00EA1181" w:rsidRPr="001E10F9">
        <w:rPr>
          <w:i/>
          <w:color w:val="auto"/>
          <w:sz w:val="22"/>
          <w:szCs w:val="22"/>
          <w:lang w:val="fr-FR"/>
        </w:rPr>
        <w:t xml:space="preserve">Rappelant </w:t>
      </w:r>
      <w:r w:rsidR="002C544D" w:rsidRPr="001E10F9">
        <w:rPr>
          <w:i/>
          <w:color w:val="auto"/>
          <w:sz w:val="22"/>
          <w:szCs w:val="22"/>
          <w:lang w:val="fr-FR"/>
        </w:rPr>
        <w:t xml:space="preserve">également </w:t>
      </w:r>
      <w:r w:rsidR="00EA1181" w:rsidRPr="001E10F9">
        <w:rPr>
          <w:iCs/>
          <w:color w:val="auto"/>
          <w:sz w:val="22"/>
          <w:szCs w:val="22"/>
          <w:lang w:val="fr-FR"/>
        </w:rPr>
        <w:t xml:space="preserve">les tâches </w:t>
      </w:r>
      <w:r w:rsidR="002C544D" w:rsidRPr="001E10F9">
        <w:rPr>
          <w:iCs/>
          <w:color w:val="auto"/>
          <w:sz w:val="22"/>
          <w:szCs w:val="22"/>
          <w:lang w:val="fr-FR"/>
        </w:rPr>
        <w:t xml:space="preserve">confiées </w:t>
      </w:r>
      <w:r w:rsidR="00EA1181" w:rsidRPr="001E10F9">
        <w:rPr>
          <w:iCs/>
          <w:color w:val="auto"/>
          <w:sz w:val="22"/>
          <w:szCs w:val="22"/>
          <w:lang w:val="fr-FR"/>
        </w:rPr>
        <w:t xml:space="preserve">au </w:t>
      </w:r>
      <w:r w:rsidR="002C544D" w:rsidRPr="001E10F9">
        <w:rPr>
          <w:iCs/>
          <w:color w:val="auto"/>
          <w:sz w:val="22"/>
          <w:szCs w:val="22"/>
          <w:lang w:val="fr-FR"/>
        </w:rPr>
        <w:t>C</w:t>
      </w:r>
      <w:r w:rsidR="00EA1181" w:rsidRPr="001E10F9">
        <w:rPr>
          <w:color w:val="auto"/>
          <w:sz w:val="22"/>
          <w:szCs w:val="22"/>
          <w:lang w:val="fr-FR"/>
        </w:rPr>
        <w:t xml:space="preserve">omité </w:t>
      </w:r>
      <w:r w:rsidR="002C544D" w:rsidRPr="001E10F9">
        <w:rPr>
          <w:color w:val="auto"/>
          <w:sz w:val="22"/>
          <w:szCs w:val="22"/>
          <w:lang w:val="fr-FR"/>
        </w:rPr>
        <w:t>p</w:t>
      </w:r>
      <w:r w:rsidR="00EA1181" w:rsidRPr="001E10F9">
        <w:rPr>
          <w:color w:val="auto"/>
          <w:sz w:val="22"/>
          <w:szCs w:val="22"/>
          <w:lang w:val="fr-FR"/>
        </w:rPr>
        <w:t>ermanent</w:t>
      </w:r>
      <w:r w:rsidR="002C544D" w:rsidRPr="001E10F9">
        <w:rPr>
          <w:color w:val="auto"/>
          <w:sz w:val="22"/>
          <w:szCs w:val="22"/>
          <w:lang w:val="fr-FR"/>
        </w:rPr>
        <w:t>,</w:t>
      </w:r>
      <w:r w:rsidR="00EA1181" w:rsidRPr="001E10F9">
        <w:rPr>
          <w:color w:val="auto"/>
          <w:sz w:val="22"/>
          <w:szCs w:val="22"/>
          <w:lang w:val="fr-FR"/>
        </w:rPr>
        <w:t xml:space="preserve"> telles </w:t>
      </w:r>
      <w:r w:rsidR="002C544D" w:rsidRPr="001E10F9">
        <w:rPr>
          <w:color w:val="auto"/>
          <w:sz w:val="22"/>
          <w:szCs w:val="22"/>
          <w:lang w:val="fr-FR"/>
        </w:rPr>
        <w:t>qu</w:t>
      </w:r>
      <w:r w:rsidR="003846A9">
        <w:rPr>
          <w:color w:val="auto"/>
          <w:sz w:val="22"/>
          <w:szCs w:val="22"/>
          <w:lang w:val="fr-FR"/>
        </w:rPr>
        <w:t>’</w:t>
      </w:r>
      <w:r w:rsidR="002C544D" w:rsidRPr="001E10F9">
        <w:rPr>
          <w:color w:val="auto"/>
          <w:sz w:val="22"/>
          <w:szCs w:val="22"/>
          <w:lang w:val="fr-FR"/>
        </w:rPr>
        <w:t>énoncées dans les Résolutions</w:t>
      </w:r>
      <w:r w:rsidR="002C544D" w:rsidRPr="001E10F9">
        <w:rPr>
          <w:iCs/>
          <w:color w:val="auto"/>
          <w:sz w:val="22"/>
          <w:szCs w:val="22"/>
          <w:lang w:val="fr-FR"/>
        </w:rPr>
        <w:t xml:space="preserve"> 2.6, 4.6, 4.17</w:t>
      </w:r>
      <w:r w:rsidR="00E26DE9">
        <w:rPr>
          <w:iCs/>
          <w:color w:val="auto"/>
          <w:sz w:val="22"/>
          <w:szCs w:val="22"/>
          <w:lang w:val="fr-FR"/>
        </w:rPr>
        <w:t xml:space="preserve"> et,</w:t>
      </w:r>
    </w:p>
    <w:p w14:paraId="1A099851" w14:textId="7D2509CE" w:rsidR="004626D2" w:rsidRPr="001E10F9" w:rsidRDefault="004626D2" w:rsidP="00A75DC3">
      <w:pPr>
        <w:pStyle w:val="Default"/>
        <w:spacing w:line="276" w:lineRule="auto"/>
        <w:jc w:val="both"/>
        <w:rPr>
          <w:color w:val="auto"/>
          <w:sz w:val="22"/>
          <w:szCs w:val="22"/>
          <w:lang w:val="fr-FR"/>
        </w:rPr>
      </w:pPr>
    </w:p>
    <w:p w14:paraId="10F60E63" w14:textId="796559DA" w:rsidR="004626D2" w:rsidRPr="001E10F9" w:rsidRDefault="004626D2" w:rsidP="002C544D">
      <w:pPr>
        <w:pStyle w:val="Default"/>
        <w:spacing w:line="276" w:lineRule="auto"/>
        <w:jc w:val="both"/>
        <w:rPr>
          <w:color w:val="auto"/>
          <w:sz w:val="22"/>
          <w:szCs w:val="22"/>
          <w:lang w:val="fr-FR"/>
        </w:rPr>
      </w:pPr>
      <w:r w:rsidRPr="001E10F9">
        <w:rPr>
          <w:color w:val="auto"/>
          <w:sz w:val="22"/>
          <w:szCs w:val="22"/>
          <w:lang w:val="fr-FR"/>
        </w:rPr>
        <w:tab/>
      </w:r>
      <w:r w:rsidR="002C544D" w:rsidRPr="001E10F9">
        <w:rPr>
          <w:i/>
          <w:iCs/>
          <w:color w:val="auto"/>
          <w:sz w:val="22"/>
          <w:szCs w:val="22"/>
          <w:lang w:val="fr-FR"/>
        </w:rPr>
        <w:t xml:space="preserve">Rappelant également </w:t>
      </w:r>
      <w:r w:rsidR="002C544D" w:rsidRPr="001E10F9">
        <w:rPr>
          <w:color w:val="auto"/>
          <w:sz w:val="22"/>
          <w:szCs w:val="22"/>
          <w:lang w:val="fr-FR"/>
        </w:rPr>
        <w:t>le schéma révisé de régionalisation pour le fonctionnement du Comité permanent de l</w:t>
      </w:r>
      <w:r w:rsidR="003846A9">
        <w:rPr>
          <w:color w:val="auto"/>
          <w:sz w:val="22"/>
          <w:szCs w:val="22"/>
          <w:lang w:val="fr-FR"/>
        </w:rPr>
        <w:t>’</w:t>
      </w:r>
      <w:r w:rsidR="002C544D" w:rsidRPr="001E10F9">
        <w:rPr>
          <w:color w:val="auto"/>
          <w:sz w:val="22"/>
          <w:szCs w:val="22"/>
          <w:lang w:val="fr-FR"/>
        </w:rPr>
        <w:t>AEWA adopté par le biais de la Résolution 7.10</w:t>
      </w:r>
      <w:r w:rsidR="0043339E">
        <w:rPr>
          <w:color w:val="auto"/>
          <w:sz w:val="22"/>
          <w:szCs w:val="22"/>
          <w:lang w:val="fr-FR"/>
        </w:rPr>
        <w:t>,</w:t>
      </w:r>
    </w:p>
    <w:p w14:paraId="29047A39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BD19F65" w14:textId="69198A0E" w:rsidR="002E0DFD" w:rsidRPr="001E10F9" w:rsidRDefault="002E0DFD" w:rsidP="002C54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>le rôle actif joué par le Comité permanent, en qualité de représentant de la Réunion des parties, dans la supervision de la mise en œuvre de l</w:t>
      </w:r>
      <w:r w:rsidR="003846A9">
        <w:rPr>
          <w:rFonts w:ascii="Times New Roman" w:hAnsi="Times New Roman" w:cs="Times New Roman"/>
          <w:iCs/>
          <w:sz w:val="22"/>
          <w:szCs w:val="22"/>
          <w:lang w:val="fr-FR"/>
        </w:rPr>
        <w:t>’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Accord et du fonctionnement du Secrétariat,  </w:t>
      </w:r>
    </w:p>
    <w:p w14:paraId="23DCB27F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4B86C94" w14:textId="009B95B1" w:rsidR="002E0DFD" w:rsidRPr="001E10F9" w:rsidRDefault="002E0DFD" w:rsidP="002C54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que le Comité permanent a fourni des recommandations et des conseils au Secrétariat PNUE/AEWA sur la mise en œuvre de l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Accord, la préparation des réunions et toute autre question,</w:t>
      </w:r>
    </w:p>
    <w:p w14:paraId="122A5DAF" w14:textId="73159AFD" w:rsidR="002E0DFD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F64660F" w14:textId="7C7B4914" w:rsidR="00E26DE9" w:rsidRPr="00E26DE9" w:rsidRDefault="00E26DE9" w:rsidP="00E26DE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E26DE9">
        <w:rPr>
          <w:rFonts w:ascii="Times New Roman" w:hAnsi="Times New Roman" w:cs="Times New Roman"/>
          <w:i/>
          <w:iCs/>
          <w:sz w:val="22"/>
          <w:szCs w:val="22"/>
          <w:lang w:val="fr-FR"/>
        </w:rPr>
        <w:t>Prenant note</w:t>
      </w:r>
      <w:r w:rsidRPr="00E26DE9">
        <w:rPr>
          <w:rFonts w:ascii="Times New Roman" w:hAnsi="Times New Roman" w:cs="Times New Roman"/>
          <w:sz w:val="22"/>
          <w:szCs w:val="22"/>
          <w:lang w:val="fr-FR"/>
        </w:rPr>
        <w:t xml:space="preserve"> de la décision prise par le Comité permanent à sa 20</w:t>
      </w:r>
      <w:r w:rsidRPr="00E26DE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Pr="00E26DE9">
        <w:rPr>
          <w:rFonts w:ascii="Times New Roman" w:hAnsi="Times New Roman" w:cs="Times New Roman"/>
          <w:sz w:val="22"/>
          <w:szCs w:val="22"/>
          <w:lang w:val="fr-FR"/>
        </w:rPr>
        <w:t xml:space="preserve"> réunion de tenir toutes ses réunions intersessions en ligne sans frais.</w:t>
      </w:r>
    </w:p>
    <w:p w14:paraId="7E58B5F9" w14:textId="20AF76AF" w:rsidR="002E0DFD" w:rsidRDefault="002E0DFD" w:rsidP="00A75DC3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14:paraId="0668D924" w14:textId="77777777" w:rsidR="00E26DE9" w:rsidRPr="001E10F9" w:rsidRDefault="00E26DE9" w:rsidP="00A75DC3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14:paraId="2C4A0286" w14:textId="546B6964" w:rsidR="002E0DFD" w:rsidRPr="001E10F9" w:rsidRDefault="002C544D" w:rsidP="002C544D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i/>
          <w:sz w:val="22"/>
          <w:szCs w:val="22"/>
          <w:lang w:val="fr-FR"/>
        </w:rPr>
        <w:t>La Réunion des Parties :</w:t>
      </w:r>
    </w:p>
    <w:p w14:paraId="5FC5BCD5" w14:textId="77777777" w:rsidR="00C95369" w:rsidRPr="001E10F9" w:rsidRDefault="00C95369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3FEA1856" w14:textId="00F9BBDE" w:rsidR="002E0DFD" w:rsidRPr="001E10F9" w:rsidRDefault="007472B4" w:rsidP="002C544D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Approuve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la liste des représentants régionaux élus ou reconfirmés pour le Comité permanent, comme suit :</w:t>
      </w:r>
    </w:p>
    <w:p w14:paraId="12B476BC" w14:textId="77777777" w:rsidR="002E0DFD" w:rsidRPr="001E10F9" w:rsidRDefault="002E0DFD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303BB575" w14:textId="0918C696" w:rsidR="006305FC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u w:val="single"/>
          <w:lang w:val="fr-FR"/>
        </w:rPr>
        <w:t>Région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14:paraId="7DAD14F4" w14:textId="77777777" w:rsidR="006305FC" w:rsidRPr="001E10F9" w:rsidRDefault="006305FC" w:rsidP="00A75DC3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7409D178" w14:textId="7B64D490" w:rsidR="006305FC" w:rsidRPr="001E10F9" w:rsidRDefault="002C544D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Région Europe et Asie centrale (1)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Royaume-Uni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Luxembourg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37B5DA1C" w14:textId="663B87E1" w:rsidR="006305FC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Région Europe et Asie centrale (2)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Ukraine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République de Moldavie</w:t>
      </w:r>
    </w:p>
    <w:p w14:paraId="567D4534" w14:textId="77777777" w:rsidR="006305FC" w:rsidRPr="001E10F9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1ED4BE59" w14:textId="57A7CCA8" w:rsidR="004979F1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  <w:sectPr w:rsidR="004979F1" w:rsidRPr="001E10F9" w:rsidSect="009840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8" w:right="1138" w:bottom="1138" w:left="1138" w:header="288" w:footer="720" w:gutter="0"/>
          <w:cols w:space="720"/>
          <w:docGrid w:linePitch="360"/>
        </w:sect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Moyen-Orient et Afrique du Nord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Maroc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Liban</w:t>
      </w:r>
    </w:p>
    <w:p w14:paraId="26B7E793" w14:textId="07AA7AC1" w:rsidR="006305FC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lastRenderedPageBreak/>
        <w:t>Afrique de l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Ouest et Afrique centrale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C</w:t>
      </w:r>
      <w:r w:rsidR="0043339E" w:rsidRPr="0043339E">
        <w:rPr>
          <w:rFonts w:ascii="Times New Roman" w:hAnsi="Times New Roman" w:cs="Times New Roman"/>
          <w:sz w:val="22"/>
          <w:szCs w:val="22"/>
          <w:lang w:val="fr-FR"/>
        </w:rPr>
        <w:t>ô</w:t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te d’Ivoire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République Centrafricaine</w:t>
      </w:r>
    </w:p>
    <w:p w14:paraId="783BA8CC" w14:textId="77777777" w:rsidR="006305FC" w:rsidRPr="001E10F9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23C7955E" w14:textId="43A43C13" w:rsidR="006A7852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Afrique de l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Est et Afrique australe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Afrique du Sud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3339E">
        <w:rPr>
          <w:rFonts w:ascii="Times New Roman" w:hAnsi="Times New Roman" w:cs="Times New Roman"/>
          <w:sz w:val="22"/>
          <w:szCs w:val="22"/>
          <w:lang w:val="fr-FR"/>
        </w:rPr>
        <w:t>Ethiopie</w:t>
      </w:r>
      <w:r w:rsidR="00972E6C">
        <w:rPr>
          <w:rFonts w:ascii="Times New Roman" w:hAnsi="Times New Roman" w:cs="Times New Roman"/>
          <w:sz w:val="22"/>
          <w:szCs w:val="22"/>
          <w:lang w:val="fr-FR"/>
        </w:rPr>
        <w:t> ;</w:t>
      </w:r>
    </w:p>
    <w:p w14:paraId="3ABA0958" w14:textId="77777777" w:rsidR="004979F1" w:rsidRPr="001E10F9" w:rsidRDefault="004979F1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0E0558C7" w14:textId="30D7BD6A" w:rsidR="002E0DFD" w:rsidRPr="001E10F9" w:rsidRDefault="007472B4" w:rsidP="002C544D">
      <w:pPr>
        <w:tabs>
          <w:tab w:val="left" w:pos="720"/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que le Comité permanent doit aussi inclure un représentant du pays hôte de la prochaine session de la Réunion des Parties, ainsi qu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un représentant du dépositaire ;</w:t>
      </w:r>
    </w:p>
    <w:p w14:paraId="7E2B7BAB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53443DC" w14:textId="03D558A2" w:rsidR="002E0DFD" w:rsidRPr="001E10F9" w:rsidRDefault="007472B4" w:rsidP="002C54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3</w:t>
      </w:r>
      <w:r w:rsidR="002E0DFD" w:rsidRPr="001E10F9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que le Comité permanent se réunira au moins une fois entre la 8</w:t>
      </w:r>
      <w:r w:rsidR="002C544D" w:rsidRPr="001E10F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 xml:space="preserve"> et la 9</w:t>
      </w:r>
      <w:r w:rsidR="002C544D" w:rsidRPr="001E10F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 xml:space="preserve"> session de la Réunion des Parties</w:t>
      </w:r>
      <w:r w:rsidR="00E26DE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11C28C3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A00734A" w14:textId="3F0A4BDE" w:rsidR="00C95369" w:rsidRPr="001E10F9" w:rsidRDefault="00C95369" w:rsidP="00E26DE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E53B267" w14:textId="7AA994E8" w:rsidR="00C95369" w:rsidRPr="001E10F9" w:rsidRDefault="00C95369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sectPr w:rsidR="00C95369" w:rsidRPr="001E10F9" w:rsidSect="007D7948">
      <w:headerReference w:type="default" r:id="rId14"/>
      <w:footerReference w:type="default" r:id="rId15"/>
      <w:pgSz w:w="12240" w:h="15840"/>
      <w:pgMar w:top="1138" w:right="1138" w:bottom="1138" w:left="113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FCC" w14:textId="77777777" w:rsidR="00401B2D" w:rsidRDefault="00401B2D" w:rsidP="006305FC">
      <w:r>
        <w:separator/>
      </w:r>
    </w:p>
  </w:endnote>
  <w:endnote w:type="continuationSeparator" w:id="0">
    <w:p w14:paraId="714DDE96" w14:textId="77777777" w:rsidR="00401B2D" w:rsidRDefault="00401B2D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2D06" w14:textId="77777777" w:rsidR="00850BAB" w:rsidRDefault="0085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0F08" w14:textId="77777777" w:rsidR="003B55E6" w:rsidRPr="003B55E6" w:rsidRDefault="003B55E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664E" w14:textId="77777777" w:rsidR="00850BAB" w:rsidRDefault="00850B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4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76B8CF" w14:textId="77777777" w:rsidR="00A75DC3" w:rsidRPr="003B55E6" w:rsidRDefault="00A75DC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FCBE" w14:textId="77777777" w:rsidR="00401B2D" w:rsidRDefault="00401B2D" w:rsidP="006305FC">
      <w:r>
        <w:separator/>
      </w:r>
    </w:p>
  </w:footnote>
  <w:footnote w:type="continuationSeparator" w:id="0">
    <w:p w14:paraId="5404B624" w14:textId="77777777" w:rsidR="00401B2D" w:rsidRDefault="00401B2D" w:rsidP="0063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BD22" w14:textId="77777777" w:rsidR="00850BAB" w:rsidRDefault="00850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AFA2" w14:textId="77777777" w:rsidR="00984045" w:rsidRPr="00984045" w:rsidRDefault="00984045" w:rsidP="00984045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</w:rPr>
    </w:pPr>
  </w:p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850BAB" w:rsidRPr="00850BAB" w14:paraId="598B28F5" w14:textId="77777777" w:rsidTr="00637A2B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1B32CB" w14:textId="77777777" w:rsidR="00850BAB" w:rsidRPr="00850BAB" w:rsidRDefault="00850BAB" w:rsidP="00850BAB">
          <w:pPr>
            <w:suppressAutoHyphens/>
            <w:autoSpaceDN w:val="0"/>
            <w:textAlignment w:val="baseline"/>
            <w:rPr>
              <w:rFonts w:ascii="Times New Roman" w:hAnsi="Times New Roman" w:cs="Times New Roman"/>
            </w:rPr>
          </w:pPr>
          <w:r w:rsidRPr="00850BA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491B5550" wp14:editId="38A4B235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787B32" w14:textId="77777777" w:rsidR="00850BAB" w:rsidRPr="00850BAB" w:rsidRDefault="00850BAB" w:rsidP="00850BAB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</w:rPr>
          </w:pPr>
          <w:r w:rsidRPr="00850BAB">
            <w:rPr>
              <w:rFonts w:ascii="Times New Roman" w:hAnsi="Times New Roman" w:cs="Times New Roman"/>
              <w:i/>
              <w:caps/>
              <w:sz w:val="22"/>
              <w:szCs w:val="22"/>
            </w:rPr>
            <w:t>ACCORD SUR LA CONSERVATION DES OISEAUX 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1B2B1E" w14:textId="77777777" w:rsidR="00850BAB" w:rsidRPr="00850BAB" w:rsidRDefault="00850BAB" w:rsidP="00850BAB">
          <w:pPr>
            <w:suppressAutoHyphens/>
            <w:autoSpaceDN w:val="0"/>
            <w:jc w:val="right"/>
            <w:textAlignment w:val="baseline"/>
            <w:rPr>
              <w:rFonts w:ascii="Calibri" w:eastAsia="Calibri" w:hAnsi="Calibri" w:cs="Times New Roman"/>
              <w:noProof/>
              <w:sz w:val="22"/>
              <w:szCs w:val="22"/>
            </w:rPr>
          </w:pPr>
          <w:r w:rsidRPr="00850BAB">
            <w:rPr>
              <w:rFonts w:ascii="Calibri" w:eastAsia="Calibri" w:hAnsi="Calibri" w:cs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155746C" wp14:editId="66600C8D">
                <wp:simplePos x="0" y="0"/>
                <wp:positionH relativeFrom="column">
                  <wp:posOffset>537210</wp:posOffset>
                </wp:positionH>
                <wp:positionV relativeFrom="page">
                  <wp:posOffset>6985</wp:posOffset>
                </wp:positionV>
                <wp:extent cx="666115" cy="956780"/>
                <wp:effectExtent l="0" t="0" r="63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3250" cy="96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5204B4" w14:textId="77777777" w:rsidR="00850BAB" w:rsidRPr="00850BAB" w:rsidRDefault="00850BAB" w:rsidP="00850BAB">
          <w:pPr>
            <w:suppressAutoHyphens/>
            <w:autoSpaceDN w:val="0"/>
            <w:jc w:val="right"/>
            <w:textAlignment w:val="baseline"/>
            <w:rPr>
              <w:rFonts w:ascii="Times New Roman" w:hAnsi="Times New Roman" w:cs="Times New Roman"/>
            </w:rPr>
          </w:pPr>
        </w:p>
      </w:tc>
    </w:tr>
    <w:tr w:rsidR="00850BAB" w:rsidRPr="00850BAB" w14:paraId="2ABE25D6" w14:textId="77777777" w:rsidTr="00637A2B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AF285A" w14:textId="77777777" w:rsidR="00850BAB" w:rsidRPr="00850BAB" w:rsidRDefault="00850BAB" w:rsidP="00850BAB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</w:rPr>
          </w:pPr>
          <w:r w:rsidRPr="00850BAB">
            <w:rPr>
              <w:rFonts w:ascii="Times New Roman" w:hAnsi="Times New Roman" w:cs="Times New Roman"/>
              <w:b/>
              <w:bCs/>
              <w:sz w:val="26"/>
              <w:szCs w:val="26"/>
            </w:rPr>
            <w:t>8</w:t>
          </w:r>
          <w:r w:rsidRPr="00850BAB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</w:rPr>
            <w:t>ème</w:t>
          </w:r>
          <w:r w:rsidRPr="00850BAB"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 </w:t>
          </w:r>
          <w:r w:rsidRPr="00850BAB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Session DE LA RÉUNION DES Parties</w:t>
          </w:r>
        </w:p>
        <w:p w14:paraId="3CABED5F" w14:textId="77777777" w:rsidR="00850BAB" w:rsidRPr="00850BAB" w:rsidRDefault="00850BAB" w:rsidP="00850BAB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</w:rPr>
          </w:pPr>
          <w:r w:rsidRPr="00850BAB">
            <w:rPr>
              <w:rFonts w:ascii="Times New Roman" w:hAnsi="Times New Roman" w:cs="Times New Roman"/>
              <w:i/>
              <w:iCs/>
            </w:rPr>
            <w:t xml:space="preserve">26-30 </w:t>
          </w:r>
          <w:proofErr w:type="spellStart"/>
          <w:r w:rsidRPr="00850BAB">
            <w:rPr>
              <w:rFonts w:ascii="Times New Roman" w:hAnsi="Times New Roman" w:cs="Times New Roman"/>
              <w:i/>
              <w:iCs/>
            </w:rPr>
            <w:t>septembre</w:t>
          </w:r>
          <w:proofErr w:type="spellEnd"/>
          <w:r w:rsidRPr="00850BAB">
            <w:rPr>
              <w:rFonts w:ascii="Times New Roman" w:hAnsi="Times New Roman" w:cs="Times New Roman"/>
              <w:i/>
              <w:iCs/>
            </w:rPr>
            <w:t xml:space="preserve"> 2022, Budapest, </w:t>
          </w:r>
          <w:proofErr w:type="spellStart"/>
          <w:r w:rsidRPr="00850BAB">
            <w:rPr>
              <w:rFonts w:ascii="Times New Roman" w:hAnsi="Times New Roman" w:cs="Times New Roman"/>
              <w:i/>
              <w:iCs/>
            </w:rPr>
            <w:t>Hongrie</w:t>
          </w:r>
          <w:proofErr w:type="spellEnd"/>
        </w:p>
      </w:tc>
    </w:tr>
    <w:tr w:rsidR="00850BAB" w:rsidRPr="00850BAB" w14:paraId="2F54A46D" w14:textId="77777777" w:rsidTr="00637A2B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BE51CA" w14:textId="77777777" w:rsidR="00850BAB" w:rsidRPr="00850BAB" w:rsidRDefault="00850BAB" w:rsidP="00850BAB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 w:cs="Times New Roman"/>
              <w:i/>
              <w:iCs/>
            </w:rPr>
          </w:pPr>
          <w:r w:rsidRPr="00850BAB">
            <w:rPr>
              <w:rFonts w:ascii="Times New Roman" w:hAnsi="Times New Roman" w:cs="Times New Roman"/>
              <w:i/>
              <w:iCs/>
            </w:rPr>
            <w:t xml:space="preserve">« </w:t>
          </w:r>
          <w:proofErr w:type="spellStart"/>
          <w:r w:rsidRPr="00850BAB">
            <w:rPr>
              <w:rFonts w:ascii="Times New Roman" w:hAnsi="Times New Roman" w:cs="Times New Roman"/>
              <w:i/>
              <w:iCs/>
            </w:rPr>
            <w:t>Renforcer</w:t>
          </w:r>
          <w:proofErr w:type="spellEnd"/>
          <w:r w:rsidRPr="00850BAB">
            <w:rPr>
              <w:rFonts w:ascii="Times New Roman" w:hAnsi="Times New Roman" w:cs="Times New Roman"/>
              <w:i/>
              <w:iCs/>
            </w:rPr>
            <w:t xml:space="preserve"> la conservation des </w:t>
          </w:r>
          <w:proofErr w:type="spellStart"/>
          <w:r w:rsidRPr="00850BAB">
            <w:rPr>
              <w:rFonts w:ascii="Times New Roman" w:hAnsi="Times New Roman" w:cs="Times New Roman"/>
              <w:i/>
              <w:iCs/>
            </w:rPr>
            <w:t>voies</w:t>
          </w:r>
          <w:proofErr w:type="spellEnd"/>
          <w:r w:rsidRPr="00850BAB">
            <w:rPr>
              <w:rFonts w:ascii="Times New Roman" w:hAnsi="Times New Roman" w:cs="Times New Roman"/>
              <w:i/>
              <w:iCs/>
            </w:rPr>
            <w:t xml:space="preserve"> de migration dans un monde </w:t>
          </w:r>
          <w:proofErr w:type="spellStart"/>
          <w:r w:rsidRPr="00850BAB">
            <w:rPr>
              <w:rFonts w:ascii="Times New Roman" w:hAnsi="Times New Roman" w:cs="Times New Roman"/>
              <w:i/>
              <w:iCs/>
            </w:rPr>
            <w:t>en</w:t>
          </w:r>
          <w:proofErr w:type="spellEnd"/>
          <w:r w:rsidRPr="00850BAB">
            <w:rPr>
              <w:rFonts w:ascii="Times New Roman" w:hAnsi="Times New Roman" w:cs="Times New Roman"/>
              <w:i/>
              <w:iCs/>
            </w:rPr>
            <w:t xml:space="preserve"> mutation »</w:t>
          </w:r>
        </w:p>
      </w:tc>
    </w:tr>
  </w:tbl>
  <w:p w14:paraId="14A42819" w14:textId="77777777" w:rsidR="006A7852" w:rsidRPr="000001DE" w:rsidRDefault="006A7852" w:rsidP="00984045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CBBC" w14:textId="77777777" w:rsidR="00850BAB" w:rsidRDefault="00850B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8928" w14:textId="77777777" w:rsidR="006A7852" w:rsidRPr="00A75DC3" w:rsidRDefault="006A7852" w:rsidP="00A7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20"/>
    <w:multiLevelType w:val="hybridMultilevel"/>
    <w:tmpl w:val="B644EAE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lassic" w:val="0,375,Untranslatable=0"/>
  </w:docVars>
  <w:rsids>
    <w:rsidRoot w:val="002E0DFD"/>
    <w:rsid w:val="000001DE"/>
    <w:rsid w:val="000A1093"/>
    <w:rsid w:val="000E4585"/>
    <w:rsid w:val="001C0DF8"/>
    <w:rsid w:val="001E10F9"/>
    <w:rsid w:val="00276F8F"/>
    <w:rsid w:val="002C544D"/>
    <w:rsid w:val="002E0DFD"/>
    <w:rsid w:val="002F1E06"/>
    <w:rsid w:val="003029CF"/>
    <w:rsid w:val="003135CA"/>
    <w:rsid w:val="003846A9"/>
    <w:rsid w:val="003B55E6"/>
    <w:rsid w:val="00401B2D"/>
    <w:rsid w:val="0043339E"/>
    <w:rsid w:val="004626D2"/>
    <w:rsid w:val="004979F1"/>
    <w:rsid w:val="005303BF"/>
    <w:rsid w:val="005545F7"/>
    <w:rsid w:val="005F09DC"/>
    <w:rsid w:val="006156E6"/>
    <w:rsid w:val="006305FC"/>
    <w:rsid w:val="00635233"/>
    <w:rsid w:val="00641FDA"/>
    <w:rsid w:val="006A7852"/>
    <w:rsid w:val="007472B4"/>
    <w:rsid w:val="0075018F"/>
    <w:rsid w:val="007D7948"/>
    <w:rsid w:val="00850BAB"/>
    <w:rsid w:val="008E1832"/>
    <w:rsid w:val="00923FBF"/>
    <w:rsid w:val="00927C85"/>
    <w:rsid w:val="00972E6C"/>
    <w:rsid w:val="00984045"/>
    <w:rsid w:val="009F7F01"/>
    <w:rsid w:val="00A435CC"/>
    <w:rsid w:val="00A56408"/>
    <w:rsid w:val="00A75DC3"/>
    <w:rsid w:val="00AC2D30"/>
    <w:rsid w:val="00AD7FE7"/>
    <w:rsid w:val="00B85E1B"/>
    <w:rsid w:val="00C4798D"/>
    <w:rsid w:val="00C95369"/>
    <w:rsid w:val="00DB357C"/>
    <w:rsid w:val="00E00ADD"/>
    <w:rsid w:val="00E06E55"/>
    <w:rsid w:val="00E26DE9"/>
    <w:rsid w:val="00EA1181"/>
    <w:rsid w:val="00ED589A"/>
    <w:rsid w:val="00EE63AF"/>
    <w:rsid w:val="00F564C0"/>
    <w:rsid w:val="00F83299"/>
    <w:rsid w:val="00FA4DFD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584C"/>
  <w15:chartTrackingRefBased/>
  <w15:docId w15:val="{0A72C136-0681-4680-A3A2-4D1D41B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5CC"/>
    <w:pPr>
      <w:ind w:left="720"/>
      <w:contextualSpacing/>
    </w:pPr>
  </w:style>
  <w:style w:type="character" w:customStyle="1" w:styleId="tw4winMark">
    <w:name w:val="tw4winMark"/>
    <w:basedOn w:val="DefaultParagraphFont"/>
    <w:rsid w:val="00F564C0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2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7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0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0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C7DE-2AB2-49BB-951B-39EBCFFC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Jeannine Dicken</cp:lastModifiedBy>
  <cp:revision>5</cp:revision>
  <cp:lastPrinted>2018-10-09T07:38:00Z</cp:lastPrinted>
  <dcterms:created xsi:type="dcterms:W3CDTF">2022-10-20T13:22:00Z</dcterms:created>
  <dcterms:modified xsi:type="dcterms:W3CDTF">2022-11-02T09:41:00Z</dcterms:modified>
</cp:coreProperties>
</file>