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D7BB" w14:textId="2376240F" w:rsidR="002450E0" w:rsidRPr="002450E0" w:rsidRDefault="002450E0" w:rsidP="002450E0">
      <w:pPr>
        <w:pStyle w:val="NormalWeb"/>
        <w:shd w:val="clear" w:color="auto" w:fill="FFFFFF"/>
        <w:spacing w:before="0" w:beforeAutospacing="0" w:after="0" w:afterAutospacing="0"/>
        <w:jc w:val="center"/>
        <w:rPr>
          <w:color w:val="000000" w:themeColor="text1"/>
        </w:rPr>
      </w:pPr>
      <w:r w:rsidRPr="002450E0">
        <w:rPr>
          <w:b/>
          <w:bCs/>
          <w:color w:val="000000" w:themeColor="text1"/>
        </w:rPr>
        <w:t>DISSEMINATION OF INFORMATION SUPPLEMENTARY TO CONSERVATION GUIDELINES</w:t>
      </w:r>
    </w:p>
    <w:p w14:paraId="6060540F" w14:textId="14D30486" w:rsidR="002450E0" w:rsidRDefault="002450E0" w:rsidP="00E96181">
      <w:pPr>
        <w:pStyle w:val="NormalWeb"/>
        <w:shd w:val="clear" w:color="auto" w:fill="FFFFFF"/>
        <w:spacing w:before="0" w:beforeAutospacing="0" w:after="0" w:afterAutospacing="0"/>
        <w:rPr>
          <w:color w:val="000000" w:themeColor="text1"/>
        </w:rPr>
      </w:pPr>
    </w:p>
    <w:p w14:paraId="7E614D16" w14:textId="6D1C80BF" w:rsidR="00ED0D0B" w:rsidRPr="00ED0D0B" w:rsidRDefault="00ED0D0B" w:rsidP="00ED0D0B">
      <w:pPr>
        <w:pStyle w:val="NormalWeb"/>
        <w:shd w:val="clear" w:color="auto" w:fill="FFFFFF"/>
        <w:spacing w:before="0" w:beforeAutospacing="0" w:after="0" w:afterAutospacing="0"/>
        <w:jc w:val="center"/>
        <w:rPr>
          <w:i/>
          <w:iCs/>
          <w:color w:val="000000" w:themeColor="text1"/>
        </w:rPr>
      </w:pPr>
      <w:r w:rsidRPr="00ED0D0B">
        <w:rPr>
          <w:i/>
          <w:iCs/>
          <w:color w:val="000000" w:themeColor="text1"/>
        </w:rPr>
        <w:t>Compiled by the Technical Committee</w:t>
      </w:r>
    </w:p>
    <w:p w14:paraId="08E705AB" w14:textId="77777777" w:rsidR="000A0FD1" w:rsidRDefault="000A0FD1" w:rsidP="00E96181">
      <w:pPr>
        <w:pStyle w:val="NormalWeb"/>
        <w:jc w:val="both"/>
      </w:pPr>
    </w:p>
    <w:p w14:paraId="1FFBE2F7" w14:textId="738D2590" w:rsidR="00E96181" w:rsidRPr="00E96181" w:rsidRDefault="00E16A99" w:rsidP="00E96181">
      <w:pPr>
        <w:pStyle w:val="NormalWeb"/>
        <w:jc w:val="both"/>
        <w:rPr>
          <w:sz w:val="22"/>
          <w:szCs w:val="22"/>
        </w:rPr>
      </w:pPr>
      <w:hyperlink r:id="rId7" w:history="1">
        <w:r w:rsidR="00E96181" w:rsidRPr="00E96181">
          <w:rPr>
            <w:rStyle w:val="Hyperlink"/>
            <w:sz w:val="22"/>
            <w:szCs w:val="22"/>
          </w:rPr>
          <w:t>Resolution 7.8</w:t>
        </w:r>
      </w:hyperlink>
      <w:hyperlink r:id="rId8" w:history="1">
        <w:r w:rsidR="00E96181" w:rsidRPr="00ED0D0B">
          <w:rPr>
            <w:rStyle w:val="Hyperlink"/>
            <w:sz w:val="22"/>
            <w:szCs w:val="22"/>
            <w:u w:val="none"/>
          </w:rPr>
          <w:t xml:space="preserve"> </w:t>
        </w:r>
      </w:hyperlink>
      <w:r w:rsidR="00E96181" w:rsidRPr="00E96181">
        <w:rPr>
          <w:sz w:val="22"/>
          <w:szCs w:val="22"/>
        </w:rPr>
        <w:t>adopted a number of conservation guidelines and requested the T</w:t>
      </w:r>
      <w:r w:rsidR="00ED0D0B">
        <w:rPr>
          <w:sz w:val="22"/>
          <w:szCs w:val="22"/>
        </w:rPr>
        <w:t xml:space="preserve">echnical </w:t>
      </w:r>
      <w:r w:rsidR="00E96181" w:rsidRPr="00E96181">
        <w:rPr>
          <w:sz w:val="22"/>
          <w:szCs w:val="22"/>
        </w:rPr>
        <w:t>C</w:t>
      </w:r>
      <w:r w:rsidR="00ED0D0B">
        <w:rPr>
          <w:sz w:val="22"/>
          <w:szCs w:val="22"/>
        </w:rPr>
        <w:t>ommittee (TC)</w:t>
      </w:r>
      <w:r w:rsidR="00E96181" w:rsidRPr="00E96181">
        <w:rPr>
          <w:sz w:val="22"/>
          <w:szCs w:val="22"/>
        </w:rPr>
        <w:t>:</w:t>
      </w:r>
    </w:p>
    <w:p w14:paraId="1D3EDDCC" w14:textId="77777777" w:rsidR="00E96181" w:rsidRPr="00E96181" w:rsidRDefault="00E96181" w:rsidP="00E96181">
      <w:pPr>
        <w:pStyle w:val="NormalWeb"/>
        <w:spacing w:after="120"/>
        <w:ind w:left="720"/>
        <w:jc w:val="both"/>
        <w:rPr>
          <w:sz w:val="22"/>
          <w:szCs w:val="22"/>
        </w:rPr>
      </w:pPr>
      <w:r w:rsidRPr="00E96181">
        <w:rPr>
          <w:i/>
          <w:iCs/>
          <w:sz w:val="22"/>
          <w:szCs w:val="22"/>
        </w:rPr>
        <w:t>"to consider how new or topical information relating to existing Conservation Guidelines can best be disseminated to Parties and others, including through existing publication platforms and social and other media, resources permitting; make recommendations to the Standing Committee to that effect; and in developing any such mechanisms always to make clear that such information does not form part of, or supersede, the relevant Conservation Guidelines;"</w:t>
      </w:r>
    </w:p>
    <w:p w14:paraId="0FCF9A34" w14:textId="77777777" w:rsidR="00E96181" w:rsidRPr="00E96181" w:rsidRDefault="00E96181" w:rsidP="00E96181">
      <w:pPr>
        <w:pStyle w:val="NormalWeb"/>
        <w:spacing w:after="120"/>
        <w:jc w:val="both"/>
        <w:rPr>
          <w:sz w:val="22"/>
          <w:szCs w:val="22"/>
        </w:rPr>
      </w:pPr>
      <w:r w:rsidRPr="00E96181">
        <w:rPr>
          <w:sz w:val="22"/>
          <w:szCs w:val="22"/>
        </w:rPr>
        <w:t xml:space="preserve">The issue essentially relates to the dissemination of information pertinent to </w:t>
      </w:r>
      <w:r w:rsidRPr="00E96181">
        <w:rPr>
          <w:i/>
          <w:iCs/>
          <w:sz w:val="22"/>
          <w:szCs w:val="22"/>
        </w:rPr>
        <w:t>Conservation Guidelines</w:t>
      </w:r>
      <w:r w:rsidRPr="00E96181">
        <w:rPr>
          <w:sz w:val="22"/>
          <w:szCs w:val="22"/>
        </w:rPr>
        <w:t xml:space="preserve"> in advance of a full revision of the </w:t>
      </w:r>
      <w:r w:rsidRPr="00E96181">
        <w:rPr>
          <w:i/>
          <w:iCs/>
          <w:sz w:val="22"/>
          <w:szCs w:val="22"/>
        </w:rPr>
        <w:t>Guideline</w:t>
      </w:r>
      <w:r w:rsidRPr="00E96181">
        <w:rPr>
          <w:sz w:val="22"/>
          <w:szCs w:val="22"/>
        </w:rPr>
        <w:t xml:space="preserve"> text.</w:t>
      </w:r>
    </w:p>
    <w:p w14:paraId="2A5B6E1F" w14:textId="79577DE9" w:rsidR="00E96181" w:rsidRPr="00E96181" w:rsidRDefault="00ED0D0B" w:rsidP="00E96181">
      <w:pPr>
        <w:pStyle w:val="NormalWeb"/>
        <w:spacing w:after="120"/>
        <w:jc w:val="both"/>
        <w:rPr>
          <w:sz w:val="22"/>
          <w:szCs w:val="22"/>
        </w:rPr>
      </w:pPr>
      <w:r>
        <w:rPr>
          <w:sz w:val="22"/>
          <w:szCs w:val="22"/>
        </w:rPr>
        <w:t>At its 16</w:t>
      </w:r>
      <w:r w:rsidRPr="00ED0D0B">
        <w:rPr>
          <w:sz w:val="22"/>
          <w:szCs w:val="22"/>
          <w:vertAlign w:val="superscript"/>
        </w:rPr>
        <w:t>th</w:t>
      </w:r>
      <w:r>
        <w:rPr>
          <w:sz w:val="22"/>
          <w:szCs w:val="22"/>
        </w:rPr>
        <w:t xml:space="preserve"> meeting in January 2021 the TC agreed to </w:t>
      </w:r>
      <w:r w:rsidR="00E96181" w:rsidRPr="00E96181">
        <w:rPr>
          <w:sz w:val="22"/>
          <w:szCs w:val="22"/>
        </w:rPr>
        <w:t xml:space="preserve">propose </w:t>
      </w:r>
      <w:r>
        <w:rPr>
          <w:sz w:val="22"/>
          <w:szCs w:val="22"/>
        </w:rPr>
        <w:t xml:space="preserve">the following </w:t>
      </w:r>
      <w:r w:rsidR="00E96181" w:rsidRPr="00E96181">
        <w:rPr>
          <w:sz w:val="22"/>
          <w:szCs w:val="22"/>
        </w:rPr>
        <w:t>dual process:</w:t>
      </w:r>
    </w:p>
    <w:p w14:paraId="109C5BB4" w14:textId="64AA302B" w:rsidR="00E96181" w:rsidRPr="00E96181" w:rsidRDefault="00E96181" w:rsidP="00E96181">
      <w:pPr>
        <w:pStyle w:val="NormalWeb"/>
        <w:numPr>
          <w:ilvl w:val="0"/>
          <w:numId w:val="6"/>
        </w:numPr>
        <w:spacing w:after="120"/>
        <w:jc w:val="both"/>
        <w:rPr>
          <w:sz w:val="22"/>
          <w:szCs w:val="22"/>
        </w:rPr>
      </w:pPr>
      <w:r w:rsidRPr="00E96181">
        <w:rPr>
          <w:sz w:val="22"/>
          <w:szCs w:val="22"/>
        </w:rPr>
        <w:t xml:space="preserve">For the regular AEWA </w:t>
      </w:r>
      <w:r w:rsidR="00334CC9">
        <w:rPr>
          <w:sz w:val="22"/>
          <w:szCs w:val="22"/>
        </w:rPr>
        <w:t>E-n</w:t>
      </w:r>
      <w:r w:rsidRPr="00E96181">
        <w:rPr>
          <w:sz w:val="22"/>
          <w:szCs w:val="22"/>
        </w:rPr>
        <w:t>ewsletter to include a section giving links to "</w:t>
      </w:r>
      <w:r w:rsidRPr="00E96181">
        <w:rPr>
          <w:b/>
          <w:bCs/>
          <w:sz w:val="22"/>
          <w:szCs w:val="22"/>
        </w:rPr>
        <w:t>Useful new publications</w:t>
      </w:r>
      <w:r w:rsidRPr="00E96181">
        <w:rPr>
          <w:sz w:val="22"/>
          <w:szCs w:val="22"/>
        </w:rPr>
        <w:t>" or similar - giving a link to the publication and a few words on why it is useful in an AEWA context.  For this to work, this would require TC member</w:t>
      </w:r>
      <w:r>
        <w:rPr>
          <w:sz w:val="22"/>
          <w:szCs w:val="22"/>
        </w:rPr>
        <w:t>s</w:t>
      </w:r>
      <w:r w:rsidRPr="00E96181">
        <w:rPr>
          <w:sz w:val="22"/>
          <w:szCs w:val="22"/>
        </w:rPr>
        <w:t xml:space="preserve"> to supply the Newsletter editor with material.  There may be merit in establishing a dedicated email inbox to this end (</w:t>
      </w:r>
      <w:r w:rsidRPr="00E96181">
        <w:rPr>
          <w:i/>
          <w:iCs/>
          <w:sz w:val="22"/>
          <w:szCs w:val="22"/>
        </w:rPr>
        <w:t>e.g.</w:t>
      </w:r>
      <w:r w:rsidRPr="00E96181">
        <w:rPr>
          <w:sz w:val="22"/>
          <w:szCs w:val="22"/>
        </w:rPr>
        <w:t xml:space="preserve"> </w:t>
      </w:r>
      <w:r w:rsidR="00334CC9">
        <w:rPr>
          <w:sz w:val="22"/>
          <w:szCs w:val="22"/>
        </w:rPr>
        <w:t>e-</w:t>
      </w:r>
      <w:r w:rsidR="00117BF7">
        <w:rPr>
          <w:sz w:val="22"/>
          <w:szCs w:val="22"/>
        </w:rPr>
        <w:t>n</w:t>
      </w:r>
      <w:r w:rsidRPr="00E96181">
        <w:rPr>
          <w:sz w:val="22"/>
          <w:szCs w:val="22"/>
        </w:rPr>
        <w:t>ewsletter@</w:t>
      </w:r>
      <w:r w:rsidR="00117BF7">
        <w:rPr>
          <w:sz w:val="22"/>
          <w:szCs w:val="22"/>
        </w:rPr>
        <w:t>unep-aewa.org</w:t>
      </w:r>
      <w:r w:rsidRPr="00E96181">
        <w:rPr>
          <w:sz w:val="22"/>
          <w:szCs w:val="22"/>
        </w:rPr>
        <w:t>) but that depends how the Secretariat wishes to run this.</w:t>
      </w:r>
    </w:p>
    <w:p w14:paraId="5976C3F5" w14:textId="77777777" w:rsidR="00E96181" w:rsidRPr="00E96181" w:rsidRDefault="00E96181" w:rsidP="00E96181">
      <w:pPr>
        <w:pStyle w:val="NormalWeb"/>
        <w:numPr>
          <w:ilvl w:val="0"/>
          <w:numId w:val="6"/>
        </w:numPr>
        <w:jc w:val="both"/>
        <w:rPr>
          <w:sz w:val="22"/>
          <w:szCs w:val="22"/>
        </w:rPr>
      </w:pPr>
      <w:r w:rsidRPr="00E96181">
        <w:rPr>
          <w:sz w:val="22"/>
          <w:szCs w:val="22"/>
        </w:rPr>
        <w:t xml:space="preserve">There is also a need to aid retrieval of such information when people are accessing the formal </w:t>
      </w:r>
      <w:r w:rsidRPr="00E96181">
        <w:rPr>
          <w:i/>
          <w:iCs/>
          <w:sz w:val="22"/>
          <w:szCs w:val="22"/>
        </w:rPr>
        <w:t>Conservation Guidelines</w:t>
      </w:r>
      <w:r w:rsidRPr="00E96181">
        <w:rPr>
          <w:sz w:val="22"/>
          <w:szCs w:val="22"/>
        </w:rPr>
        <w:t xml:space="preserve"> on a topic.  </w:t>
      </w:r>
    </w:p>
    <w:p w14:paraId="3C48775B" w14:textId="107DDF63" w:rsidR="00E96181" w:rsidRPr="00E96181" w:rsidRDefault="00E96181" w:rsidP="00E96181">
      <w:pPr>
        <w:pStyle w:val="NormalWeb"/>
        <w:jc w:val="both"/>
        <w:rPr>
          <w:sz w:val="22"/>
          <w:szCs w:val="22"/>
        </w:rPr>
      </w:pPr>
      <w:r w:rsidRPr="00E96181">
        <w:rPr>
          <w:sz w:val="22"/>
          <w:szCs w:val="22"/>
        </w:rPr>
        <w:t>It is proposed that a new link could be added to the individual page of the guidance (</w:t>
      </w:r>
      <w:r w:rsidRPr="00E96181">
        <w:rPr>
          <w:i/>
          <w:iCs/>
          <w:sz w:val="22"/>
          <w:szCs w:val="22"/>
        </w:rPr>
        <w:t xml:space="preserve">e.g. </w:t>
      </w:r>
      <w:hyperlink r:id="rId9" w:history="1">
        <w:r w:rsidRPr="00E96181">
          <w:rPr>
            <w:rStyle w:val="Hyperlink"/>
            <w:sz w:val="22"/>
            <w:szCs w:val="22"/>
          </w:rPr>
          <w:t>https://www.unep-aewa.org/en/publication/aewa-conservation-guidelines-no-4-guidelines-management-key-sites-migratory-waterbirds</w:t>
        </w:r>
      </w:hyperlink>
      <w:r w:rsidRPr="00E96181">
        <w:rPr>
          <w:sz w:val="22"/>
          <w:szCs w:val="22"/>
        </w:rPr>
        <w:t>) that collect</w:t>
      </w:r>
      <w:r>
        <w:rPr>
          <w:sz w:val="22"/>
          <w:szCs w:val="22"/>
        </w:rPr>
        <w:t>s</w:t>
      </w:r>
      <w:r w:rsidRPr="00E96181">
        <w:rPr>
          <w:sz w:val="22"/>
          <w:szCs w:val="22"/>
        </w:rPr>
        <w:t xml:space="preserve"> links and citations to further sources of relevant information produced after the publication of that guidance.  This could include a link to pertinent search of </w:t>
      </w:r>
      <w:hyperlink r:id="rId10" w:history="1">
        <w:r w:rsidR="00ED0D0B" w:rsidRPr="005B137B">
          <w:rPr>
            <w:rStyle w:val="Hyperlink"/>
            <w:sz w:val="22"/>
            <w:szCs w:val="22"/>
          </w:rPr>
          <w:t>www.ConservationEvidence.com</w:t>
        </w:r>
      </w:hyperlink>
      <w:r w:rsidRPr="00E96181">
        <w:rPr>
          <w:sz w:val="22"/>
          <w:szCs w:val="22"/>
        </w:rPr>
        <w:t>, for example for power line avoidance this would include:</w:t>
      </w:r>
    </w:p>
    <w:p w14:paraId="4317A05F" w14:textId="77777777" w:rsidR="00E96181" w:rsidRPr="00E96181" w:rsidRDefault="00E16A99" w:rsidP="00E96181">
      <w:pPr>
        <w:pStyle w:val="NormalWeb"/>
        <w:numPr>
          <w:ilvl w:val="0"/>
          <w:numId w:val="7"/>
        </w:numPr>
        <w:jc w:val="both"/>
        <w:rPr>
          <w:bCs/>
          <w:sz w:val="22"/>
          <w:szCs w:val="22"/>
        </w:rPr>
      </w:pPr>
      <w:hyperlink r:id="rId11" w:history="1">
        <w:r w:rsidR="00E96181" w:rsidRPr="00E96181">
          <w:rPr>
            <w:rStyle w:val="Hyperlink"/>
            <w:bCs/>
            <w:sz w:val="22"/>
            <w:szCs w:val="22"/>
          </w:rPr>
          <w:t>Mark power lines to reduce incidental bird mortality</w:t>
        </w:r>
      </w:hyperlink>
    </w:p>
    <w:p w14:paraId="7C702CD5" w14:textId="77777777" w:rsidR="00E96181" w:rsidRPr="00E96181" w:rsidRDefault="00E16A99" w:rsidP="00E96181">
      <w:pPr>
        <w:pStyle w:val="NormalWeb"/>
        <w:numPr>
          <w:ilvl w:val="0"/>
          <w:numId w:val="7"/>
        </w:numPr>
        <w:jc w:val="both"/>
        <w:rPr>
          <w:sz w:val="22"/>
          <w:szCs w:val="22"/>
        </w:rPr>
      </w:pPr>
      <w:hyperlink r:id="rId12" w:history="1">
        <w:r w:rsidR="00E96181" w:rsidRPr="00E96181">
          <w:rPr>
            <w:rStyle w:val="Hyperlink"/>
            <w:sz w:val="22"/>
            <w:szCs w:val="22"/>
          </w:rPr>
          <w:t>Insulate power pylons to prevent electrocution</w:t>
        </w:r>
      </w:hyperlink>
      <w:r w:rsidR="00E96181" w:rsidRPr="00E96181">
        <w:rPr>
          <w:sz w:val="22"/>
          <w:szCs w:val="22"/>
        </w:rPr>
        <w:t xml:space="preserve"> </w:t>
      </w:r>
    </w:p>
    <w:p w14:paraId="7674DCCA" w14:textId="77777777" w:rsidR="00E96181" w:rsidRPr="00E96181" w:rsidRDefault="00E16A99" w:rsidP="00E96181">
      <w:pPr>
        <w:pStyle w:val="NormalWeb"/>
        <w:numPr>
          <w:ilvl w:val="0"/>
          <w:numId w:val="7"/>
        </w:numPr>
        <w:jc w:val="both"/>
        <w:rPr>
          <w:sz w:val="22"/>
          <w:szCs w:val="22"/>
        </w:rPr>
      </w:pPr>
      <w:hyperlink r:id="rId13" w:history="1">
        <w:r w:rsidR="00E96181" w:rsidRPr="00E96181">
          <w:rPr>
            <w:rStyle w:val="Hyperlink"/>
            <w:sz w:val="22"/>
            <w:szCs w:val="22"/>
          </w:rPr>
          <w:t>Bury or isolate power lines to reduce incidental bird mortality</w:t>
        </w:r>
      </w:hyperlink>
    </w:p>
    <w:p w14:paraId="7C47237F" w14:textId="77777777" w:rsidR="00E96181" w:rsidRPr="00E96181" w:rsidRDefault="00E16A99" w:rsidP="00E96181">
      <w:pPr>
        <w:pStyle w:val="NormalWeb"/>
        <w:numPr>
          <w:ilvl w:val="0"/>
          <w:numId w:val="7"/>
        </w:numPr>
        <w:jc w:val="both"/>
        <w:rPr>
          <w:sz w:val="22"/>
          <w:szCs w:val="22"/>
        </w:rPr>
      </w:pPr>
      <w:hyperlink r:id="rId14" w:history="1">
        <w:r w:rsidR="00E96181" w:rsidRPr="00E96181">
          <w:rPr>
            <w:rStyle w:val="Hyperlink"/>
            <w:sz w:val="22"/>
            <w:szCs w:val="22"/>
          </w:rPr>
          <w:t>Remove earth wires to reduce incidental bird mortality</w:t>
        </w:r>
      </w:hyperlink>
    </w:p>
    <w:p w14:paraId="5029B18D" w14:textId="7006D323" w:rsidR="00E96181" w:rsidRPr="00E96181" w:rsidRDefault="00E96181" w:rsidP="00E96181">
      <w:pPr>
        <w:pStyle w:val="NormalWeb"/>
        <w:jc w:val="both"/>
        <w:rPr>
          <w:sz w:val="22"/>
          <w:szCs w:val="22"/>
        </w:rPr>
      </w:pPr>
      <w:r w:rsidRPr="00E96181">
        <w:rPr>
          <w:sz w:val="22"/>
          <w:szCs w:val="22"/>
        </w:rPr>
        <w:t>Conservation</w:t>
      </w:r>
      <w:r w:rsidR="00117BF7">
        <w:rPr>
          <w:sz w:val="22"/>
          <w:szCs w:val="22"/>
        </w:rPr>
        <w:t>E</w:t>
      </w:r>
      <w:r w:rsidRPr="00E96181">
        <w:rPr>
          <w:sz w:val="22"/>
          <w:szCs w:val="22"/>
        </w:rPr>
        <w:t>vidence.com</w:t>
      </w:r>
      <w:r>
        <w:rPr>
          <w:sz w:val="22"/>
          <w:szCs w:val="22"/>
        </w:rPr>
        <w:t xml:space="preserve"> </w:t>
      </w:r>
      <w:r w:rsidRPr="00E96181">
        <w:rPr>
          <w:sz w:val="22"/>
          <w:szCs w:val="22"/>
        </w:rPr>
        <w:t xml:space="preserve">would be willing to supply tailormade links to supplement each of the guidance documents and is about to complete updating the bird synopses. </w:t>
      </w:r>
    </w:p>
    <w:p w14:paraId="6A8D5625" w14:textId="77777777" w:rsidR="00E96181" w:rsidRPr="00E96181" w:rsidRDefault="00E96181" w:rsidP="00E96181">
      <w:pPr>
        <w:pStyle w:val="NormalWeb"/>
        <w:jc w:val="both"/>
        <w:rPr>
          <w:sz w:val="22"/>
          <w:szCs w:val="22"/>
        </w:rPr>
      </w:pPr>
      <w:r w:rsidRPr="00E96181">
        <w:rPr>
          <w:sz w:val="22"/>
          <w:szCs w:val="22"/>
        </w:rPr>
        <w:t xml:space="preserve">Such a ‘supplementary page’ would a) need to be established and maintained by the Secretariat, and b) would need to indicate that these are additional materials provided by the Technical Committee, but not (yet) formally adopted </w:t>
      </w:r>
      <w:r w:rsidRPr="00E96181">
        <w:rPr>
          <w:sz w:val="22"/>
          <w:szCs w:val="22"/>
        </w:rPr>
        <w:lastRenderedPageBreak/>
        <w:t xml:space="preserve">by the Parties.  This would maintain the distinction from the formally adopted </w:t>
      </w:r>
      <w:r w:rsidRPr="00E96181">
        <w:rPr>
          <w:i/>
          <w:iCs/>
          <w:sz w:val="22"/>
          <w:szCs w:val="22"/>
        </w:rPr>
        <w:t xml:space="preserve">Conservation Guidelines </w:t>
      </w:r>
      <w:r w:rsidRPr="00E96181">
        <w:rPr>
          <w:sz w:val="22"/>
          <w:szCs w:val="22"/>
        </w:rPr>
        <w:t xml:space="preserve">which is legally sensitive for some Parties.  </w:t>
      </w:r>
    </w:p>
    <w:p w14:paraId="4B2EC72C" w14:textId="77777777" w:rsidR="00E96181" w:rsidRPr="00E96181" w:rsidRDefault="00E96181" w:rsidP="00E96181">
      <w:pPr>
        <w:pStyle w:val="NormalWeb"/>
        <w:spacing w:after="120"/>
        <w:jc w:val="both"/>
        <w:rPr>
          <w:sz w:val="22"/>
          <w:szCs w:val="22"/>
        </w:rPr>
      </w:pPr>
      <w:r w:rsidRPr="00E96181">
        <w:rPr>
          <w:sz w:val="22"/>
          <w:szCs w:val="22"/>
        </w:rPr>
        <w:t xml:space="preserve">At the time of the next revision of a </w:t>
      </w:r>
      <w:r w:rsidRPr="00E96181">
        <w:rPr>
          <w:i/>
          <w:iCs/>
          <w:sz w:val="22"/>
          <w:szCs w:val="22"/>
        </w:rPr>
        <w:t>Guideline</w:t>
      </w:r>
      <w:r w:rsidRPr="00E96181">
        <w:rPr>
          <w:sz w:val="22"/>
          <w:szCs w:val="22"/>
        </w:rPr>
        <w:t xml:space="preserve">, the new material could be included in the main text thus negating the supplementary information page.  In this way, the supplementary information page can act as a ‘parking lot’ to gather newly published material in advance of </w:t>
      </w:r>
      <w:r w:rsidRPr="00E96181">
        <w:rPr>
          <w:i/>
          <w:iCs/>
          <w:sz w:val="22"/>
          <w:szCs w:val="22"/>
        </w:rPr>
        <w:t>Guideline</w:t>
      </w:r>
      <w:r w:rsidRPr="00E96181">
        <w:rPr>
          <w:sz w:val="22"/>
          <w:szCs w:val="22"/>
        </w:rPr>
        <w:t xml:space="preserve"> revision. </w:t>
      </w:r>
    </w:p>
    <w:p w14:paraId="5C770A08" w14:textId="51A39446" w:rsidR="00E96181" w:rsidRPr="00E96181" w:rsidRDefault="00E96181" w:rsidP="00E96181">
      <w:pPr>
        <w:pStyle w:val="NormalWeb"/>
        <w:spacing w:after="120"/>
        <w:jc w:val="both"/>
        <w:rPr>
          <w:sz w:val="22"/>
          <w:szCs w:val="22"/>
        </w:rPr>
      </w:pPr>
      <w:r w:rsidRPr="00E96181">
        <w:rPr>
          <w:sz w:val="22"/>
          <w:szCs w:val="22"/>
        </w:rPr>
        <w:t>The communications team of the Secretariat</w:t>
      </w:r>
      <w:r w:rsidR="00E6159F">
        <w:rPr>
          <w:sz w:val="22"/>
          <w:szCs w:val="22"/>
        </w:rPr>
        <w:t xml:space="preserve"> (joint CMS/AEWA Information Management, Communication and Awareness team) </w:t>
      </w:r>
      <w:r w:rsidRPr="00E96181">
        <w:rPr>
          <w:sz w:val="22"/>
          <w:szCs w:val="22"/>
        </w:rPr>
        <w:t>have confirmed that the above proposal is feasible.</w:t>
      </w:r>
    </w:p>
    <w:p w14:paraId="5DC8BD21" w14:textId="77777777" w:rsidR="00E96181" w:rsidRPr="00E96181" w:rsidRDefault="00E96181" w:rsidP="00E96181">
      <w:pPr>
        <w:pStyle w:val="NormalWeb"/>
        <w:spacing w:after="120"/>
        <w:jc w:val="both"/>
        <w:rPr>
          <w:sz w:val="22"/>
          <w:szCs w:val="22"/>
        </w:rPr>
      </w:pPr>
      <w:r w:rsidRPr="00E96181">
        <w:rPr>
          <w:sz w:val="22"/>
          <w:szCs w:val="22"/>
        </w:rPr>
        <w:t xml:space="preserve">Before passing the supplementary materials to the Secretariat for inclusion into the E-newsletter and the web page of the respective </w:t>
      </w:r>
      <w:r w:rsidRPr="00E96181">
        <w:rPr>
          <w:i/>
          <w:iCs/>
          <w:sz w:val="22"/>
          <w:szCs w:val="22"/>
        </w:rPr>
        <w:t>Conservation Guideline</w:t>
      </w:r>
      <w:r w:rsidRPr="00E96181">
        <w:rPr>
          <w:sz w:val="22"/>
          <w:szCs w:val="22"/>
        </w:rPr>
        <w:t xml:space="preserve">, the TC member proposing this supplementary information shall post it on the TC Workspace (a dedicated heading will be established) for review and consideration by the entire Committee for a period of not less than two weeks and provide a short description on how it complements the existing AEWA </w:t>
      </w:r>
      <w:r w:rsidRPr="00E96181">
        <w:rPr>
          <w:i/>
          <w:iCs/>
          <w:sz w:val="22"/>
          <w:szCs w:val="22"/>
        </w:rPr>
        <w:t>Guideline</w:t>
      </w:r>
      <w:r w:rsidRPr="00E96181">
        <w:rPr>
          <w:sz w:val="22"/>
          <w:szCs w:val="22"/>
        </w:rPr>
        <w:t xml:space="preserve">.  </w:t>
      </w:r>
    </w:p>
    <w:p w14:paraId="790C8E3A" w14:textId="77777777" w:rsidR="00E96181" w:rsidRPr="00E96181" w:rsidRDefault="00E96181" w:rsidP="00E96181">
      <w:pPr>
        <w:pStyle w:val="NormalWeb"/>
        <w:spacing w:after="120"/>
        <w:jc w:val="both"/>
        <w:rPr>
          <w:sz w:val="22"/>
          <w:szCs w:val="22"/>
        </w:rPr>
      </w:pPr>
      <w:r w:rsidRPr="00E96181">
        <w:rPr>
          <w:sz w:val="22"/>
          <w:szCs w:val="22"/>
        </w:rPr>
        <w:t xml:space="preserve">Once the TC has agreed on the usefulness of the proposed content and the appropriateness of its dissemination to Parties, it can be passed on to the Secretariat for dissemination.  Only content approved by the TC can be disseminated as supplementary material to the AEWA </w:t>
      </w:r>
      <w:r w:rsidRPr="00E96181">
        <w:rPr>
          <w:i/>
          <w:iCs/>
          <w:sz w:val="22"/>
          <w:szCs w:val="22"/>
        </w:rPr>
        <w:t>Conservation Guidelines</w:t>
      </w:r>
      <w:r w:rsidRPr="00E96181">
        <w:rPr>
          <w:sz w:val="22"/>
          <w:szCs w:val="22"/>
        </w:rPr>
        <w:t xml:space="preserve">. </w:t>
      </w:r>
    </w:p>
    <w:p w14:paraId="2A6F769E" w14:textId="0D67067D" w:rsidR="00117BF7" w:rsidRPr="00E6159F" w:rsidRDefault="00117BF7" w:rsidP="00117BF7">
      <w:pPr>
        <w:pStyle w:val="NormalWeb"/>
        <w:shd w:val="clear" w:color="auto" w:fill="FFFFFF"/>
        <w:spacing w:before="0" w:beforeAutospacing="0" w:after="0" w:afterAutospacing="0"/>
        <w:jc w:val="both"/>
        <w:rPr>
          <w:b/>
          <w:bCs/>
        </w:rPr>
      </w:pPr>
      <w:r w:rsidRPr="00E6159F">
        <w:rPr>
          <w:b/>
          <w:bCs/>
        </w:rPr>
        <w:t xml:space="preserve">Action requested from the </w:t>
      </w:r>
      <w:r w:rsidR="00026CA1" w:rsidRPr="00E6159F">
        <w:rPr>
          <w:b/>
          <w:bCs/>
        </w:rPr>
        <w:t>Standing</w:t>
      </w:r>
      <w:r w:rsidRPr="00E6159F">
        <w:rPr>
          <w:b/>
          <w:bCs/>
        </w:rPr>
        <w:t xml:space="preserve"> Committee</w:t>
      </w:r>
    </w:p>
    <w:p w14:paraId="6DCBC72C" w14:textId="504EE62B" w:rsidR="00E85B6E" w:rsidRPr="00254C91" w:rsidRDefault="00117BF7" w:rsidP="00E96181">
      <w:pPr>
        <w:pStyle w:val="NormalWeb"/>
        <w:shd w:val="clear" w:color="auto" w:fill="FFFFFF"/>
        <w:spacing w:before="0" w:beforeAutospacing="0" w:after="120" w:afterAutospacing="0"/>
        <w:jc w:val="both"/>
        <w:rPr>
          <w:b/>
        </w:rPr>
      </w:pPr>
      <w:r w:rsidRPr="00E6159F">
        <w:rPr>
          <w:b/>
          <w:bCs/>
        </w:rPr>
        <w:br/>
      </w:r>
      <w:r w:rsidRPr="00E6159F">
        <w:t xml:space="preserve">The </w:t>
      </w:r>
      <w:r w:rsidR="00026CA1" w:rsidRPr="00E6159F">
        <w:t>Standing</w:t>
      </w:r>
      <w:r w:rsidRPr="00E6159F">
        <w:t xml:space="preserve"> Committee is requested to</w:t>
      </w:r>
      <w:r w:rsidR="00E6159F" w:rsidRPr="00E6159F">
        <w:t xml:space="preserve"> review this proposed process for dissemination of information supplementary to conservation guidelines and approve it for implementation.</w:t>
      </w:r>
      <w:r w:rsidR="00E6159F">
        <w:t xml:space="preserve"> </w:t>
      </w:r>
      <w:r w:rsidRPr="00117BF7">
        <w:t xml:space="preserve"> </w:t>
      </w:r>
    </w:p>
    <w:sectPr w:rsidR="00E85B6E" w:rsidRPr="00254C91" w:rsidSect="0012126E">
      <w:headerReference w:type="even" r:id="rId15"/>
      <w:headerReference w:type="default" r:id="rId16"/>
      <w:footerReference w:type="even" r:id="rId17"/>
      <w:footerReference w:type="default" r:id="rId18"/>
      <w:headerReference w:type="first" r:id="rId19"/>
      <w:footerReference w:type="first" r:id="rId20"/>
      <w:pgSz w:w="11906" w:h="16838" w:code="9"/>
      <w:pgMar w:top="1525" w:right="748" w:bottom="1134" w:left="902" w:header="288"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C1FF" w14:textId="77777777" w:rsidR="00B3363F" w:rsidRDefault="00B3363F">
      <w:r>
        <w:separator/>
      </w:r>
    </w:p>
  </w:endnote>
  <w:endnote w:type="continuationSeparator" w:id="0">
    <w:p w14:paraId="1CA6190F" w14:textId="77777777" w:rsidR="00B3363F" w:rsidRDefault="00B3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3785" w14:textId="77777777" w:rsidR="00E16A99" w:rsidRDefault="00E16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956955"/>
      <w:docPartObj>
        <w:docPartGallery w:val="Page Numbers (Bottom of Page)"/>
        <w:docPartUnique/>
      </w:docPartObj>
    </w:sdtPr>
    <w:sdtEndPr>
      <w:rPr>
        <w:noProof/>
        <w:sz w:val="20"/>
      </w:rPr>
    </w:sdtEndPr>
    <w:sdtContent>
      <w:p w14:paraId="6E58BB31" w14:textId="21B37DAE" w:rsidR="00E96181" w:rsidRPr="00E96181" w:rsidRDefault="00E96181">
        <w:pPr>
          <w:pStyle w:val="Footer"/>
          <w:jc w:val="center"/>
          <w:rPr>
            <w:sz w:val="20"/>
          </w:rPr>
        </w:pPr>
        <w:r w:rsidRPr="00E96181">
          <w:rPr>
            <w:sz w:val="20"/>
          </w:rPr>
          <w:fldChar w:fldCharType="begin"/>
        </w:r>
        <w:r w:rsidRPr="00E96181">
          <w:rPr>
            <w:sz w:val="20"/>
          </w:rPr>
          <w:instrText xml:space="preserve"> PAGE   \* MERGEFORMAT </w:instrText>
        </w:r>
        <w:r w:rsidRPr="00E96181">
          <w:rPr>
            <w:sz w:val="20"/>
          </w:rPr>
          <w:fldChar w:fldCharType="separate"/>
        </w:r>
        <w:r w:rsidRPr="00E96181">
          <w:rPr>
            <w:noProof/>
            <w:sz w:val="20"/>
          </w:rPr>
          <w:t>2</w:t>
        </w:r>
        <w:r w:rsidRPr="00E96181">
          <w:rPr>
            <w:noProof/>
            <w:sz w:val="20"/>
          </w:rPr>
          <w:fldChar w:fldCharType="end"/>
        </w:r>
      </w:p>
    </w:sdtContent>
  </w:sdt>
  <w:p w14:paraId="7745A94A" w14:textId="77777777" w:rsidR="00E96181" w:rsidRPr="00E96181" w:rsidRDefault="00E96181">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7EAE" w14:textId="77777777" w:rsidR="000C750D" w:rsidRDefault="000C750D">
    <w:pPr>
      <w:ind w:left="-810" w:right="-111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D118" w14:textId="77777777" w:rsidR="00B3363F" w:rsidRDefault="00B3363F">
      <w:r>
        <w:separator/>
      </w:r>
    </w:p>
  </w:footnote>
  <w:footnote w:type="continuationSeparator" w:id="0">
    <w:p w14:paraId="7534623B" w14:textId="77777777" w:rsidR="00B3363F" w:rsidRDefault="00B33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E5EC" w14:textId="77777777" w:rsidR="00E16A99" w:rsidRDefault="00E16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A41F" w14:textId="77777777" w:rsidR="00E16A99" w:rsidRDefault="00E16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8970" w14:textId="77777777" w:rsidR="004F531D" w:rsidRPr="004F531D" w:rsidRDefault="004F531D" w:rsidP="004F531D">
    <w:pPr>
      <w:tabs>
        <w:tab w:val="center" w:pos="4680"/>
        <w:tab w:val="right" w:pos="9360"/>
      </w:tabs>
      <w:rPr>
        <w:rFonts w:ascii="Calibri" w:eastAsia="Calibri" w:hAnsi="Calibri"/>
        <w:sz w:val="22"/>
        <w:szCs w:val="22"/>
        <w:lang w:val="en-US"/>
      </w:rPr>
    </w:pPr>
  </w:p>
  <w:tbl>
    <w:tblPr>
      <w:tblW w:w="5000" w:type="pct"/>
      <w:tblBorders>
        <w:bottom w:val="single" w:sz="2" w:space="0" w:color="auto"/>
      </w:tblBorders>
      <w:tblLook w:val="04A0" w:firstRow="1" w:lastRow="0" w:firstColumn="1" w:lastColumn="0" w:noHBand="0" w:noVBand="1"/>
    </w:tblPr>
    <w:tblGrid>
      <w:gridCol w:w="2353"/>
      <w:gridCol w:w="5454"/>
      <w:gridCol w:w="2449"/>
    </w:tblGrid>
    <w:tr w:rsidR="004F531D" w:rsidRPr="004F531D" w14:paraId="13C1AA53" w14:textId="77777777" w:rsidTr="004F531D">
      <w:trPr>
        <w:trHeight w:val="1256"/>
      </w:trPr>
      <w:tc>
        <w:tcPr>
          <w:tcW w:w="1147" w:type="pct"/>
          <w:tcBorders>
            <w:top w:val="nil"/>
            <w:left w:val="nil"/>
            <w:bottom w:val="nil"/>
            <w:right w:val="nil"/>
          </w:tcBorders>
          <w:hideMark/>
        </w:tcPr>
        <w:p w14:paraId="7B949408" w14:textId="77777777" w:rsidR="004F531D" w:rsidRPr="004F531D" w:rsidRDefault="004F531D" w:rsidP="004F531D">
          <w:pPr>
            <w:spacing w:line="256" w:lineRule="auto"/>
          </w:pPr>
          <w:bookmarkStart w:id="0" w:name="_Hlk513643711"/>
          <w:r w:rsidRPr="004F531D">
            <w:rPr>
              <w:noProof/>
              <w:lang w:val="de-DE" w:eastAsia="de-DE"/>
            </w:rPr>
            <w:drawing>
              <wp:inline distT="0" distB="0" distL="0" distR="0" wp14:anchorId="357B7703" wp14:editId="5C918DB2">
                <wp:extent cx="800100" cy="67056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0DFFEAF9" w14:textId="77777777" w:rsidR="004F531D" w:rsidRPr="004F531D" w:rsidRDefault="004F531D" w:rsidP="004F531D">
          <w:pPr>
            <w:spacing w:line="256" w:lineRule="auto"/>
            <w:jc w:val="center"/>
            <w:rPr>
              <w:i/>
              <w:sz w:val="22"/>
              <w:szCs w:val="22"/>
            </w:rPr>
          </w:pPr>
          <w:r w:rsidRPr="004F531D">
            <w:rPr>
              <w:i/>
              <w:sz w:val="22"/>
              <w:szCs w:val="22"/>
            </w:rPr>
            <w:t>AGREEMENT ON THE CONSERVATION OF</w:t>
          </w:r>
        </w:p>
        <w:p w14:paraId="2DE613DF" w14:textId="77777777" w:rsidR="004F531D" w:rsidRPr="004F531D" w:rsidRDefault="004F531D" w:rsidP="004F531D">
          <w:pPr>
            <w:spacing w:line="256" w:lineRule="auto"/>
            <w:jc w:val="center"/>
          </w:pPr>
          <w:r w:rsidRPr="004F531D">
            <w:rPr>
              <w:i/>
              <w:sz w:val="22"/>
              <w:szCs w:val="22"/>
            </w:rPr>
            <w:t>AFRICAN-EURASIAN MIGRATORY WATERBIRDS</w:t>
          </w:r>
        </w:p>
      </w:tc>
      <w:tc>
        <w:tcPr>
          <w:tcW w:w="1194" w:type="pct"/>
          <w:tcBorders>
            <w:top w:val="nil"/>
            <w:left w:val="nil"/>
            <w:bottom w:val="nil"/>
            <w:right w:val="nil"/>
          </w:tcBorders>
          <w:hideMark/>
        </w:tcPr>
        <w:p w14:paraId="6E951B70" w14:textId="0815177E" w:rsidR="004F531D" w:rsidRPr="004F531D" w:rsidRDefault="004F531D" w:rsidP="004F531D">
          <w:pPr>
            <w:spacing w:line="276" w:lineRule="auto"/>
            <w:jc w:val="right"/>
            <w:rPr>
              <w:i/>
              <w:iCs/>
              <w:sz w:val="20"/>
              <w:szCs w:val="20"/>
              <w:lang w:val="it-IT"/>
            </w:rPr>
          </w:pPr>
          <w:r w:rsidRPr="004F531D">
            <w:rPr>
              <w:i/>
              <w:iCs/>
              <w:sz w:val="20"/>
              <w:szCs w:val="20"/>
              <w:lang w:val="it-IT"/>
            </w:rPr>
            <w:t>Doc. AEWA/MOP</w:t>
          </w:r>
          <w:r w:rsidR="00E16A99">
            <w:rPr>
              <w:i/>
              <w:iCs/>
              <w:sz w:val="20"/>
              <w:szCs w:val="20"/>
              <w:lang w:val="it-IT"/>
            </w:rPr>
            <w:t>8</w:t>
          </w:r>
          <w:r>
            <w:rPr>
              <w:i/>
              <w:iCs/>
              <w:sz w:val="20"/>
              <w:szCs w:val="20"/>
              <w:lang w:val="it-IT"/>
            </w:rPr>
            <w:t xml:space="preserve"> Inf.8</w:t>
          </w:r>
        </w:p>
        <w:p w14:paraId="694A9830" w14:textId="6B475E0C" w:rsidR="004F531D" w:rsidRPr="004F531D" w:rsidRDefault="004F531D" w:rsidP="004F531D">
          <w:pPr>
            <w:spacing w:line="276" w:lineRule="auto"/>
            <w:jc w:val="right"/>
            <w:rPr>
              <w:i/>
              <w:iCs/>
              <w:sz w:val="20"/>
              <w:szCs w:val="20"/>
              <w:lang w:val="it-IT"/>
            </w:rPr>
          </w:pPr>
          <w:r w:rsidRPr="004F531D">
            <w:rPr>
              <w:i/>
              <w:iCs/>
              <w:sz w:val="20"/>
              <w:szCs w:val="20"/>
              <w:lang w:val="it-IT"/>
            </w:rPr>
            <w:t xml:space="preserve">Agenda item </w:t>
          </w:r>
          <w:r>
            <w:rPr>
              <w:i/>
              <w:iCs/>
              <w:sz w:val="20"/>
              <w:szCs w:val="20"/>
              <w:lang w:val="it-IT"/>
            </w:rPr>
            <w:t>2</w:t>
          </w:r>
          <w:r w:rsidR="0012126E">
            <w:rPr>
              <w:i/>
              <w:iCs/>
              <w:sz w:val="20"/>
              <w:szCs w:val="20"/>
              <w:lang w:val="it-IT"/>
            </w:rPr>
            <w:t>4</w:t>
          </w:r>
        </w:p>
        <w:p w14:paraId="6DBD570E" w14:textId="3B7DB95B" w:rsidR="004F531D" w:rsidRPr="004F531D" w:rsidRDefault="0012126E" w:rsidP="004F531D">
          <w:pPr>
            <w:spacing w:line="276" w:lineRule="auto"/>
            <w:jc w:val="right"/>
          </w:pPr>
          <w:r>
            <w:rPr>
              <w:i/>
              <w:iCs/>
              <w:sz w:val="20"/>
              <w:szCs w:val="20"/>
            </w:rPr>
            <w:t>20 July</w:t>
          </w:r>
          <w:r w:rsidR="004F531D" w:rsidRPr="004F531D">
            <w:rPr>
              <w:i/>
              <w:iCs/>
              <w:sz w:val="20"/>
              <w:szCs w:val="20"/>
            </w:rPr>
            <w:t xml:space="preserve"> 202</w:t>
          </w:r>
          <w:r>
            <w:rPr>
              <w:i/>
              <w:iCs/>
              <w:sz w:val="20"/>
              <w:szCs w:val="20"/>
            </w:rPr>
            <w:t>2</w:t>
          </w:r>
        </w:p>
      </w:tc>
    </w:tr>
    <w:tr w:rsidR="004F531D" w:rsidRPr="004F531D" w14:paraId="44B4B9DC" w14:textId="77777777" w:rsidTr="004F531D">
      <w:tc>
        <w:tcPr>
          <w:tcW w:w="5000" w:type="pct"/>
          <w:gridSpan w:val="3"/>
          <w:tcBorders>
            <w:top w:val="nil"/>
            <w:left w:val="nil"/>
            <w:bottom w:val="nil"/>
            <w:right w:val="nil"/>
          </w:tcBorders>
          <w:hideMark/>
        </w:tcPr>
        <w:p w14:paraId="07AFFDE9" w14:textId="77777777" w:rsidR="004F531D" w:rsidRPr="004F531D" w:rsidRDefault="004F531D" w:rsidP="004F531D">
          <w:pPr>
            <w:spacing w:line="256" w:lineRule="auto"/>
            <w:jc w:val="center"/>
            <w:rPr>
              <w:b/>
              <w:bCs/>
              <w:caps/>
              <w:sz w:val="26"/>
              <w:szCs w:val="26"/>
            </w:rPr>
          </w:pPr>
          <w:r w:rsidRPr="004F531D">
            <w:rPr>
              <w:b/>
              <w:bCs/>
              <w:sz w:val="26"/>
              <w:szCs w:val="26"/>
            </w:rPr>
            <w:t>8</w:t>
          </w:r>
          <w:r w:rsidRPr="004F531D">
            <w:rPr>
              <w:b/>
              <w:bCs/>
              <w:sz w:val="26"/>
              <w:szCs w:val="26"/>
              <w:vertAlign w:val="superscript"/>
            </w:rPr>
            <w:t>th</w:t>
          </w:r>
          <w:r w:rsidRPr="004F531D">
            <w:rPr>
              <w:b/>
              <w:bCs/>
              <w:sz w:val="26"/>
              <w:szCs w:val="26"/>
            </w:rPr>
            <w:t xml:space="preserve"> SESSION OF THE </w:t>
          </w:r>
          <w:r w:rsidRPr="004F531D">
            <w:rPr>
              <w:b/>
              <w:bCs/>
              <w:caps/>
              <w:sz w:val="26"/>
              <w:szCs w:val="26"/>
            </w:rPr>
            <w:t>Meeting of the PARTIES</w:t>
          </w:r>
        </w:p>
        <w:p w14:paraId="0A563131" w14:textId="77777777" w:rsidR="004F531D" w:rsidRDefault="0012126E" w:rsidP="004F531D">
          <w:pPr>
            <w:spacing w:line="256" w:lineRule="auto"/>
            <w:jc w:val="center"/>
            <w:rPr>
              <w:i/>
              <w:sz w:val="22"/>
              <w:szCs w:val="22"/>
            </w:rPr>
          </w:pPr>
          <w:r>
            <w:rPr>
              <w:i/>
              <w:sz w:val="22"/>
              <w:szCs w:val="22"/>
            </w:rPr>
            <w:t>26 – 30 September</w:t>
          </w:r>
          <w:r w:rsidR="004F531D" w:rsidRPr="004F531D">
            <w:rPr>
              <w:i/>
              <w:sz w:val="22"/>
              <w:szCs w:val="22"/>
            </w:rPr>
            <w:t xml:space="preserve"> 202</w:t>
          </w:r>
          <w:r>
            <w:rPr>
              <w:i/>
              <w:sz w:val="22"/>
              <w:szCs w:val="22"/>
            </w:rPr>
            <w:t>2</w:t>
          </w:r>
          <w:r w:rsidR="004F531D" w:rsidRPr="004F531D">
            <w:rPr>
              <w:i/>
              <w:sz w:val="22"/>
              <w:szCs w:val="22"/>
            </w:rPr>
            <w:t>, Budapest, Hungary</w:t>
          </w:r>
        </w:p>
        <w:p w14:paraId="3CBACC5C" w14:textId="5D1CBE35" w:rsidR="0012126E" w:rsidRDefault="0012126E" w:rsidP="004F531D">
          <w:pPr>
            <w:spacing w:line="256" w:lineRule="auto"/>
            <w:jc w:val="center"/>
            <w:rPr>
              <w:i/>
              <w:sz w:val="22"/>
              <w:szCs w:val="22"/>
            </w:rPr>
          </w:pPr>
        </w:p>
        <w:p w14:paraId="05AC7943" w14:textId="29462AD8" w:rsidR="0012126E" w:rsidRPr="004F531D" w:rsidRDefault="0012126E" w:rsidP="004F531D">
          <w:pPr>
            <w:spacing w:line="256" w:lineRule="auto"/>
            <w:jc w:val="center"/>
            <w:rPr>
              <w:i/>
              <w:sz w:val="22"/>
              <w:szCs w:val="22"/>
            </w:rPr>
          </w:pPr>
          <w:r w:rsidRPr="0012126E">
            <w:rPr>
              <w:i/>
              <w:lang w:val="en-US"/>
            </w:rPr>
            <w:t>“</w:t>
          </w:r>
          <w:r w:rsidRPr="0012126E">
            <w:rPr>
              <w:bCs/>
              <w:i/>
              <w:sz w:val="22"/>
              <w:szCs w:val="22"/>
              <w:lang w:val="en-US"/>
            </w:rPr>
            <w:t>Strengthening Flyway Conservation in a Changing World</w:t>
          </w:r>
          <w:r w:rsidRPr="0012126E">
            <w:rPr>
              <w:i/>
              <w:lang w:val="en-US"/>
            </w:rPr>
            <w:t>”</w:t>
          </w:r>
        </w:p>
      </w:tc>
    </w:tr>
    <w:tr w:rsidR="004F531D" w:rsidRPr="004F531D" w14:paraId="2C8321B2" w14:textId="77777777" w:rsidTr="004F531D">
      <w:trPr>
        <w:trHeight w:val="270"/>
      </w:trPr>
      <w:tc>
        <w:tcPr>
          <w:tcW w:w="5000" w:type="pct"/>
          <w:gridSpan w:val="3"/>
          <w:tcBorders>
            <w:top w:val="nil"/>
            <w:left w:val="nil"/>
            <w:bottom w:val="single" w:sz="2" w:space="0" w:color="auto"/>
            <w:right w:val="nil"/>
          </w:tcBorders>
          <w:vAlign w:val="center"/>
        </w:tcPr>
        <w:p w14:paraId="644B0170" w14:textId="77777777" w:rsidR="004F531D" w:rsidRPr="004F531D" w:rsidRDefault="004F531D" w:rsidP="004F531D">
          <w:pPr>
            <w:spacing w:line="256" w:lineRule="auto"/>
            <w:rPr>
              <w:bCs/>
              <w:i/>
            </w:rPr>
          </w:pPr>
        </w:p>
      </w:tc>
    </w:tr>
    <w:bookmarkEnd w:id="0"/>
  </w:tbl>
  <w:p w14:paraId="71C19ACB" w14:textId="086FB424" w:rsidR="000C750D" w:rsidRDefault="000C750D" w:rsidP="004F531D">
    <w:pPr>
      <w:pStyle w:val="Header"/>
    </w:pPr>
  </w:p>
  <w:p w14:paraId="405E7A62" w14:textId="77777777" w:rsidR="004F531D" w:rsidRPr="004F531D" w:rsidRDefault="004F531D" w:rsidP="004F5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EE8"/>
    <w:multiLevelType w:val="hybridMultilevel"/>
    <w:tmpl w:val="2B467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31515A"/>
    <w:multiLevelType w:val="hybridMultilevel"/>
    <w:tmpl w:val="78E2F492"/>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0E1DA0"/>
    <w:multiLevelType w:val="hybridMultilevel"/>
    <w:tmpl w:val="52FCF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5921F0"/>
    <w:multiLevelType w:val="hybridMultilevel"/>
    <w:tmpl w:val="DD2A23AA"/>
    <w:lvl w:ilvl="0" w:tplc="19BA756A">
      <w:start w:val="1"/>
      <w:numFmt w:val="decimal"/>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5964C9D"/>
    <w:multiLevelType w:val="hybridMultilevel"/>
    <w:tmpl w:val="D264C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0207C"/>
    <w:rsid w:val="00006A1C"/>
    <w:rsid w:val="00011820"/>
    <w:rsid w:val="000223D3"/>
    <w:rsid w:val="00026CA1"/>
    <w:rsid w:val="00027E38"/>
    <w:rsid w:val="00035933"/>
    <w:rsid w:val="00043AA8"/>
    <w:rsid w:val="000626D9"/>
    <w:rsid w:val="00063536"/>
    <w:rsid w:val="000768A8"/>
    <w:rsid w:val="00083A63"/>
    <w:rsid w:val="0009053C"/>
    <w:rsid w:val="0009087E"/>
    <w:rsid w:val="00092BB0"/>
    <w:rsid w:val="00096D9F"/>
    <w:rsid w:val="000A0FD1"/>
    <w:rsid w:val="000A1842"/>
    <w:rsid w:val="000B006D"/>
    <w:rsid w:val="000B63CA"/>
    <w:rsid w:val="000C1464"/>
    <w:rsid w:val="000C711E"/>
    <w:rsid w:val="000C750D"/>
    <w:rsid w:val="000D088F"/>
    <w:rsid w:val="000E0575"/>
    <w:rsid w:val="000E0DD4"/>
    <w:rsid w:val="000E1FA8"/>
    <w:rsid w:val="000E62E7"/>
    <w:rsid w:val="000E759A"/>
    <w:rsid w:val="00107897"/>
    <w:rsid w:val="00111B53"/>
    <w:rsid w:val="0011551C"/>
    <w:rsid w:val="00117BF7"/>
    <w:rsid w:val="00120EE9"/>
    <w:rsid w:val="0012126E"/>
    <w:rsid w:val="0013448D"/>
    <w:rsid w:val="00136FD2"/>
    <w:rsid w:val="00140EE2"/>
    <w:rsid w:val="001512A5"/>
    <w:rsid w:val="001813C5"/>
    <w:rsid w:val="0019378B"/>
    <w:rsid w:val="00194C6B"/>
    <w:rsid w:val="001A461D"/>
    <w:rsid w:val="001A4EC2"/>
    <w:rsid w:val="001A7894"/>
    <w:rsid w:val="001B69BF"/>
    <w:rsid w:val="001C6EA7"/>
    <w:rsid w:val="001E3B3C"/>
    <w:rsid w:val="001E5626"/>
    <w:rsid w:val="001F110F"/>
    <w:rsid w:val="0020398F"/>
    <w:rsid w:val="002100AC"/>
    <w:rsid w:val="0021519E"/>
    <w:rsid w:val="00216F15"/>
    <w:rsid w:val="002175E1"/>
    <w:rsid w:val="00232D81"/>
    <w:rsid w:val="002450E0"/>
    <w:rsid w:val="002526E9"/>
    <w:rsid w:val="00254C00"/>
    <w:rsid w:val="00254C91"/>
    <w:rsid w:val="002629E1"/>
    <w:rsid w:val="002651FE"/>
    <w:rsid w:val="002777C6"/>
    <w:rsid w:val="00282929"/>
    <w:rsid w:val="00285EAB"/>
    <w:rsid w:val="00286B90"/>
    <w:rsid w:val="0028700E"/>
    <w:rsid w:val="0029228D"/>
    <w:rsid w:val="002946CF"/>
    <w:rsid w:val="002B15C7"/>
    <w:rsid w:val="002C5D2E"/>
    <w:rsid w:val="002D24A9"/>
    <w:rsid w:val="002D270A"/>
    <w:rsid w:val="002D3E02"/>
    <w:rsid w:val="002E02E3"/>
    <w:rsid w:val="002E06F9"/>
    <w:rsid w:val="002E7A81"/>
    <w:rsid w:val="002F1D64"/>
    <w:rsid w:val="002F5D4F"/>
    <w:rsid w:val="002F67D4"/>
    <w:rsid w:val="002F7971"/>
    <w:rsid w:val="0030540B"/>
    <w:rsid w:val="00320D37"/>
    <w:rsid w:val="00334CC9"/>
    <w:rsid w:val="00345F89"/>
    <w:rsid w:val="00347DEF"/>
    <w:rsid w:val="00351559"/>
    <w:rsid w:val="00355571"/>
    <w:rsid w:val="003560B2"/>
    <w:rsid w:val="003600A7"/>
    <w:rsid w:val="003606F0"/>
    <w:rsid w:val="00361E8F"/>
    <w:rsid w:val="00362BD8"/>
    <w:rsid w:val="00365C13"/>
    <w:rsid w:val="00367789"/>
    <w:rsid w:val="00370E48"/>
    <w:rsid w:val="003806D4"/>
    <w:rsid w:val="00395865"/>
    <w:rsid w:val="003A0850"/>
    <w:rsid w:val="003B5C08"/>
    <w:rsid w:val="003D457B"/>
    <w:rsid w:val="003F19F1"/>
    <w:rsid w:val="004011DB"/>
    <w:rsid w:val="00403458"/>
    <w:rsid w:val="00403C18"/>
    <w:rsid w:val="00405E30"/>
    <w:rsid w:val="004150A8"/>
    <w:rsid w:val="0042403E"/>
    <w:rsid w:val="0042534E"/>
    <w:rsid w:val="0042686D"/>
    <w:rsid w:val="00436413"/>
    <w:rsid w:val="00441521"/>
    <w:rsid w:val="004448DE"/>
    <w:rsid w:val="00447CAE"/>
    <w:rsid w:val="004629C0"/>
    <w:rsid w:val="004701E1"/>
    <w:rsid w:val="00472450"/>
    <w:rsid w:val="00472D24"/>
    <w:rsid w:val="004851A2"/>
    <w:rsid w:val="004A2F7C"/>
    <w:rsid w:val="004A4B1F"/>
    <w:rsid w:val="004A69A5"/>
    <w:rsid w:val="004B217A"/>
    <w:rsid w:val="004C10A8"/>
    <w:rsid w:val="004C23C1"/>
    <w:rsid w:val="004D78C3"/>
    <w:rsid w:val="004D7C57"/>
    <w:rsid w:val="004E1F13"/>
    <w:rsid w:val="004E453C"/>
    <w:rsid w:val="004F2309"/>
    <w:rsid w:val="004F531D"/>
    <w:rsid w:val="005009B5"/>
    <w:rsid w:val="0050462D"/>
    <w:rsid w:val="005331CF"/>
    <w:rsid w:val="005477EA"/>
    <w:rsid w:val="005523F6"/>
    <w:rsid w:val="005542EC"/>
    <w:rsid w:val="005630DE"/>
    <w:rsid w:val="0056610B"/>
    <w:rsid w:val="0057017E"/>
    <w:rsid w:val="00577BBD"/>
    <w:rsid w:val="005872E7"/>
    <w:rsid w:val="00593700"/>
    <w:rsid w:val="005A3E7C"/>
    <w:rsid w:val="005B6361"/>
    <w:rsid w:val="005C0905"/>
    <w:rsid w:val="005D0AB1"/>
    <w:rsid w:val="005E3C3B"/>
    <w:rsid w:val="00602A95"/>
    <w:rsid w:val="00605F5A"/>
    <w:rsid w:val="00606382"/>
    <w:rsid w:val="006068FE"/>
    <w:rsid w:val="0061328F"/>
    <w:rsid w:val="00614E07"/>
    <w:rsid w:val="00624AFB"/>
    <w:rsid w:val="00633515"/>
    <w:rsid w:val="00641AD5"/>
    <w:rsid w:val="00653EC6"/>
    <w:rsid w:val="006559C0"/>
    <w:rsid w:val="00655C78"/>
    <w:rsid w:val="006604D6"/>
    <w:rsid w:val="006815BC"/>
    <w:rsid w:val="00681CA7"/>
    <w:rsid w:val="006820EA"/>
    <w:rsid w:val="006837B2"/>
    <w:rsid w:val="00686863"/>
    <w:rsid w:val="006879E1"/>
    <w:rsid w:val="006B0155"/>
    <w:rsid w:val="006B5829"/>
    <w:rsid w:val="006C7259"/>
    <w:rsid w:val="006C794E"/>
    <w:rsid w:val="006C7F44"/>
    <w:rsid w:val="006D40FD"/>
    <w:rsid w:val="006D7A5B"/>
    <w:rsid w:val="006D7A5F"/>
    <w:rsid w:val="00705176"/>
    <w:rsid w:val="007059C4"/>
    <w:rsid w:val="007210E9"/>
    <w:rsid w:val="00724FA2"/>
    <w:rsid w:val="00725A5C"/>
    <w:rsid w:val="007317BA"/>
    <w:rsid w:val="00733F29"/>
    <w:rsid w:val="00745311"/>
    <w:rsid w:val="00747B16"/>
    <w:rsid w:val="007512C4"/>
    <w:rsid w:val="007546CC"/>
    <w:rsid w:val="00755973"/>
    <w:rsid w:val="00776E93"/>
    <w:rsid w:val="007871B8"/>
    <w:rsid w:val="00787F3D"/>
    <w:rsid w:val="00796EC0"/>
    <w:rsid w:val="007A21BB"/>
    <w:rsid w:val="007C03C3"/>
    <w:rsid w:val="007D372C"/>
    <w:rsid w:val="007E1C81"/>
    <w:rsid w:val="007F4E2C"/>
    <w:rsid w:val="00801AA9"/>
    <w:rsid w:val="00803B4F"/>
    <w:rsid w:val="00806D33"/>
    <w:rsid w:val="00807EC3"/>
    <w:rsid w:val="0081312D"/>
    <w:rsid w:val="00826193"/>
    <w:rsid w:val="008276E2"/>
    <w:rsid w:val="00837824"/>
    <w:rsid w:val="008431F9"/>
    <w:rsid w:val="00843A41"/>
    <w:rsid w:val="00846722"/>
    <w:rsid w:val="008509A5"/>
    <w:rsid w:val="00852F8C"/>
    <w:rsid w:val="0087286B"/>
    <w:rsid w:val="0087366A"/>
    <w:rsid w:val="00881A5A"/>
    <w:rsid w:val="00884B9C"/>
    <w:rsid w:val="0088562D"/>
    <w:rsid w:val="00886865"/>
    <w:rsid w:val="00897FD5"/>
    <w:rsid w:val="008A3A80"/>
    <w:rsid w:val="008A5500"/>
    <w:rsid w:val="008B596C"/>
    <w:rsid w:val="008B5B9E"/>
    <w:rsid w:val="008B6957"/>
    <w:rsid w:val="008C33BA"/>
    <w:rsid w:val="008D167E"/>
    <w:rsid w:val="008D2510"/>
    <w:rsid w:val="008E3BD3"/>
    <w:rsid w:val="008E3EC2"/>
    <w:rsid w:val="008F3C83"/>
    <w:rsid w:val="008F69B7"/>
    <w:rsid w:val="00903573"/>
    <w:rsid w:val="0091303B"/>
    <w:rsid w:val="00916294"/>
    <w:rsid w:val="0092018C"/>
    <w:rsid w:val="00937462"/>
    <w:rsid w:val="0094401D"/>
    <w:rsid w:val="009451B5"/>
    <w:rsid w:val="00947875"/>
    <w:rsid w:val="009603D0"/>
    <w:rsid w:val="009616F1"/>
    <w:rsid w:val="0096403F"/>
    <w:rsid w:val="009661C1"/>
    <w:rsid w:val="00967BAE"/>
    <w:rsid w:val="009745D4"/>
    <w:rsid w:val="00976CC7"/>
    <w:rsid w:val="0098572B"/>
    <w:rsid w:val="009908F2"/>
    <w:rsid w:val="0099318F"/>
    <w:rsid w:val="009B177E"/>
    <w:rsid w:val="009B24D2"/>
    <w:rsid w:val="009B5CF8"/>
    <w:rsid w:val="009D0FDF"/>
    <w:rsid w:val="009E0F2B"/>
    <w:rsid w:val="009E1E64"/>
    <w:rsid w:val="009E325D"/>
    <w:rsid w:val="009E7FBF"/>
    <w:rsid w:val="009F1935"/>
    <w:rsid w:val="00A148CD"/>
    <w:rsid w:val="00A267F6"/>
    <w:rsid w:val="00A30980"/>
    <w:rsid w:val="00A417CC"/>
    <w:rsid w:val="00A42794"/>
    <w:rsid w:val="00A461E4"/>
    <w:rsid w:val="00A5559E"/>
    <w:rsid w:val="00A56C8F"/>
    <w:rsid w:val="00A61260"/>
    <w:rsid w:val="00A6422C"/>
    <w:rsid w:val="00A653A6"/>
    <w:rsid w:val="00A72E93"/>
    <w:rsid w:val="00A73EC6"/>
    <w:rsid w:val="00AA072B"/>
    <w:rsid w:val="00AA7552"/>
    <w:rsid w:val="00AB7F1B"/>
    <w:rsid w:val="00AB7FA7"/>
    <w:rsid w:val="00AC05AC"/>
    <w:rsid w:val="00AC2C3B"/>
    <w:rsid w:val="00AD003B"/>
    <w:rsid w:val="00AD360D"/>
    <w:rsid w:val="00AE10B4"/>
    <w:rsid w:val="00AE2466"/>
    <w:rsid w:val="00AE2FF7"/>
    <w:rsid w:val="00AE311F"/>
    <w:rsid w:val="00AE4827"/>
    <w:rsid w:val="00AF6E76"/>
    <w:rsid w:val="00AF7E75"/>
    <w:rsid w:val="00B00CFB"/>
    <w:rsid w:val="00B10521"/>
    <w:rsid w:val="00B13081"/>
    <w:rsid w:val="00B16CF8"/>
    <w:rsid w:val="00B26495"/>
    <w:rsid w:val="00B314CF"/>
    <w:rsid w:val="00B31727"/>
    <w:rsid w:val="00B3363F"/>
    <w:rsid w:val="00B34E74"/>
    <w:rsid w:val="00B5129C"/>
    <w:rsid w:val="00B52FBC"/>
    <w:rsid w:val="00B53AA5"/>
    <w:rsid w:val="00B53C93"/>
    <w:rsid w:val="00B610B5"/>
    <w:rsid w:val="00B651FB"/>
    <w:rsid w:val="00B80266"/>
    <w:rsid w:val="00B82C38"/>
    <w:rsid w:val="00B9124E"/>
    <w:rsid w:val="00BA156A"/>
    <w:rsid w:val="00BA45CF"/>
    <w:rsid w:val="00BA695D"/>
    <w:rsid w:val="00BB2AC6"/>
    <w:rsid w:val="00BB4CAA"/>
    <w:rsid w:val="00BB5C4E"/>
    <w:rsid w:val="00BC4354"/>
    <w:rsid w:val="00BD220B"/>
    <w:rsid w:val="00BD7782"/>
    <w:rsid w:val="00BE084F"/>
    <w:rsid w:val="00BE13A1"/>
    <w:rsid w:val="00C007E0"/>
    <w:rsid w:val="00C216D2"/>
    <w:rsid w:val="00C22CE0"/>
    <w:rsid w:val="00C359A2"/>
    <w:rsid w:val="00C36811"/>
    <w:rsid w:val="00C46E7B"/>
    <w:rsid w:val="00C50C9C"/>
    <w:rsid w:val="00C518D6"/>
    <w:rsid w:val="00C5677E"/>
    <w:rsid w:val="00C61C15"/>
    <w:rsid w:val="00C66498"/>
    <w:rsid w:val="00C80AE1"/>
    <w:rsid w:val="00C82538"/>
    <w:rsid w:val="00C86F69"/>
    <w:rsid w:val="00C90756"/>
    <w:rsid w:val="00C928D3"/>
    <w:rsid w:val="00C960F2"/>
    <w:rsid w:val="00CA4720"/>
    <w:rsid w:val="00CA4867"/>
    <w:rsid w:val="00CA66F0"/>
    <w:rsid w:val="00CB076B"/>
    <w:rsid w:val="00CB1413"/>
    <w:rsid w:val="00CB2D2A"/>
    <w:rsid w:val="00CB34C8"/>
    <w:rsid w:val="00CC64FE"/>
    <w:rsid w:val="00CD00EA"/>
    <w:rsid w:val="00CD4205"/>
    <w:rsid w:val="00CD56C9"/>
    <w:rsid w:val="00CE0ED3"/>
    <w:rsid w:val="00CE402B"/>
    <w:rsid w:val="00CF348A"/>
    <w:rsid w:val="00CF3E0E"/>
    <w:rsid w:val="00CF5D85"/>
    <w:rsid w:val="00CF5EE7"/>
    <w:rsid w:val="00D16F2C"/>
    <w:rsid w:val="00D2238E"/>
    <w:rsid w:val="00D32F7A"/>
    <w:rsid w:val="00D34C6D"/>
    <w:rsid w:val="00D41644"/>
    <w:rsid w:val="00D50E73"/>
    <w:rsid w:val="00D5599C"/>
    <w:rsid w:val="00D624C8"/>
    <w:rsid w:val="00D77053"/>
    <w:rsid w:val="00D81665"/>
    <w:rsid w:val="00D856E6"/>
    <w:rsid w:val="00D93F55"/>
    <w:rsid w:val="00D9438F"/>
    <w:rsid w:val="00D97AFA"/>
    <w:rsid w:val="00DC1331"/>
    <w:rsid w:val="00DC2418"/>
    <w:rsid w:val="00DC2CC3"/>
    <w:rsid w:val="00DC7A95"/>
    <w:rsid w:val="00DD59A0"/>
    <w:rsid w:val="00DE0B89"/>
    <w:rsid w:val="00DE7287"/>
    <w:rsid w:val="00DF564C"/>
    <w:rsid w:val="00DF68A5"/>
    <w:rsid w:val="00E16A99"/>
    <w:rsid w:val="00E17369"/>
    <w:rsid w:val="00E23D0B"/>
    <w:rsid w:val="00E31264"/>
    <w:rsid w:val="00E32A61"/>
    <w:rsid w:val="00E33463"/>
    <w:rsid w:val="00E34A8E"/>
    <w:rsid w:val="00E35AC9"/>
    <w:rsid w:val="00E37464"/>
    <w:rsid w:val="00E40167"/>
    <w:rsid w:val="00E505FD"/>
    <w:rsid w:val="00E55874"/>
    <w:rsid w:val="00E5731B"/>
    <w:rsid w:val="00E57DE3"/>
    <w:rsid w:val="00E6159F"/>
    <w:rsid w:val="00E6473A"/>
    <w:rsid w:val="00E72D00"/>
    <w:rsid w:val="00E85B6E"/>
    <w:rsid w:val="00E868E4"/>
    <w:rsid w:val="00E87584"/>
    <w:rsid w:val="00E917FF"/>
    <w:rsid w:val="00E93ED5"/>
    <w:rsid w:val="00E9400D"/>
    <w:rsid w:val="00E96181"/>
    <w:rsid w:val="00EA1751"/>
    <w:rsid w:val="00EA548F"/>
    <w:rsid w:val="00EB1661"/>
    <w:rsid w:val="00EB19C0"/>
    <w:rsid w:val="00EB34E4"/>
    <w:rsid w:val="00EB46CA"/>
    <w:rsid w:val="00EB4AEE"/>
    <w:rsid w:val="00EC1261"/>
    <w:rsid w:val="00EC3257"/>
    <w:rsid w:val="00ED0D0B"/>
    <w:rsid w:val="00ED5683"/>
    <w:rsid w:val="00ED5F18"/>
    <w:rsid w:val="00ED748D"/>
    <w:rsid w:val="00EE40D1"/>
    <w:rsid w:val="00EE573C"/>
    <w:rsid w:val="00EF1D15"/>
    <w:rsid w:val="00EF1EFC"/>
    <w:rsid w:val="00EF70DC"/>
    <w:rsid w:val="00F0635C"/>
    <w:rsid w:val="00F06712"/>
    <w:rsid w:val="00F17CCB"/>
    <w:rsid w:val="00F21F7C"/>
    <w:rsid w:val="00F462B5"/>
    <w:rsid w:val="00F73421"/>
    <w:rsid w:val="00F80E6F"/>
    <w:rsid w:val="00F86A8A"/>
    <w:rsid w:val="00F942ED"/>
    <w:rsid w:val="00F9584E"/>
    <w:rsid w:val="00F96DD5"/>
    <w:rsid w:val="00FA4BD7"/>
    <w:rsid w:val="00FB5789"/>
    <w:rsid w:val="00FC6F84"/>
    <w:rsid w:val="00FD2DEE"/>
    <w:rsid w:val="00FD575A"/>
    <w:rsid w:val="00FD63EE"/>
    <w:rsid w:val="00FE43A6"/>
    <w:rsid w:val="00FE5747"/>
    <w:rsid w:val="00FF1187"/>
    <w:rsid w:val="00FF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8D52B5"/>
  <w15:chartTrackingRefBased/>
  <w15:docId w15:val="{A5FCBD49-7D22-4D51-86CC-D1F3590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CFB"/>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ind w:left="720"/>
      <w:outlineLvl w:val="2"/>
    </w:pPr>
    <w:rPr>
      <w:i/>
      <w:iCs/>
    </w:rPr>
  </w:style>
  <w:style w:type="paragraph" w:styleId="Heading4">
    <w:name w:val="heading 4"/>
    <w:basedOn w:val="Normal"/>
    <w:next w:val="Normal"/>
    <w:qFormat/>
    <w:pPr>
      <w:keepNext/>
      <w:ind w:left="14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i/>
      <w:iCs/>
    </w:rPr>
  </w:style>
  <w:style w:type="paragraph" w:styleId="BodyTextIndent3">
    <w:name w:val="Body Text Indent 3"/>
    <w:basedOn w:val="Normal"/>
    <w:pPr>
      <w:ind w:left="1440"/>
    </w:pPr>
    <w:rPr>
      <w:i/>
      <w:iCs/>
    </w:rPr>
  </w:style>
  <w:style w:type="character" w:styleId="CommentReference">
    <w:name w:val="annotation reference"/>
    <w:semiHidden/>
    <w:rsid w:val="00C86F69"/>
    <w:rPr>
      <w:sz w:val="16"/>
      <w:szCs w:val="16"/>
    </w:rPr>
  </w:style>
  <w:style w:type="paragraph" w:styleId="CommentText">
    <w:name w:val="annotation text"/>
    <w:basedOn w:val="Normal"/>
    <w:semiHidden/>
    <w:rsid w:val="00C86F69"/>
    <w:rPr>
      <w:sz w:val="20"/>
      <w:szCs w:val="20"/>
    </w:rPr>
  </w:style>
  <w:style w:type="paragraph" w:styleId="CommentSubject">
    <w:name w:val="annotation subject"/>
    <w:basedOn w:val="CommentText"/>
    <w:next w:val="CommentText"/>
    <w:semiHidden/>
    <w:rsid w:val="00C86F69"/>
    <w:rPr>
      <w:b/>
      <w:bCs/>
    </w:rPr>
  </w:style>
  <w:style w:type="paragraph" w:styleId="ListParagraph">
    <w:name w:val="List Paragraph"/>
    <w:basedOn w:val="Normal"/>
    <w:uiPriority w:val="34"/>
    <w:qFormat/>
    <w:rsid w:val="00705176"/>
    <w:pPr>
      <w:ind w:left="720"/>
    </w:pPr>
  </w:style>
  <w:style w:type="paragraph" w:styleId="DocumentMap">
    <w:name w:val="Document Map"/>
    <w:basedOn w:val="Normal"/>
    <w:semiHidden/>
    <w:rsid w:val="00787F3D"/>
    <w:pPr>
      <w:shd w:val="clear" w:color="auto" w:fill="000080"/>
    </w:pPr>
    <w:rPr>
      <w:rFonts w:ascii="Tahoma" w:hAnsi="Tahoma" w:cs="Tahoma"/>
      <w:sz w:val="20"/>
      <w:szCs w:val="20"/>
    </w:rPr>
  </w:style>
  <w:style w:type="character" w:customStyle="1" w:styleId="FooterChar">
    <w:name w:val="Footer Char"/>
    <w:link w:val="Footer"/>
    <w:uiPriority w:val="99"/>
    <w:rsid w:val="000C750D"/>
    <w:rPr>
      <w:snapToGrid w:val="0"/>
      <w:sz w:val="24"/>
      <w:lang w:eastAsia="en-US"/>
    </w:rPr>
  </w:style>
  <w:style w:type="paragraph" w:styleId="NormalWeb">
    <w:name w:val="Normal (Web)"/>
    <w:basedOn w:val="Normal"/>
    <w:uiPriority w:val="99"/>
    <w:unhideWhenUsed/>
    <w:rsid w:val="002450E0"/>
    <w:pPr>
      <w:spacing w:before="100" w:beforeAutospacing="1" w:after="100" w:afterAutospacing="1"/>
    </w:pPr>
    <w:rPr>
      <w:lang w:eastAsia="en-GB"/>
    </w:rPr>
  </w:style>
  <w:style w:type="character" w:styleId="Emphasis">
    <w:name w:val="Emphasis"/>
    <w:basedOn w:val="DefaultParagraphFont"/>
    <w:uiPriority w:val="20"/>
    <w:qFormat/>
    <w:rsid w:val="002450E0"/>
    <w:rPr>
      <w:i/>
      <w:iCs/>
    </w:rPr>
  </w:style>
  <w:style w:type="character" w:styleId="Strong">
    <w:name w:val="Strong"/>
    <w:basedOn w:val="DefaultParagraphFont"/>
    <w:uiPriority w:val="22"/>
    <w:qFormat/>
    <w:rsid w:val="002450E0"/>
    <w:rPr>
      <w:b/>
      <w:bCs/>
    </w:rPr>
  </w:style>
  <w:style w:type="character" w:styleId="UnresolvedMention">
    <w:name w:val="Unresolved Mention"/>
    <w:basedOn w:val="DefaultParagraphFont"/>
    <w:uiPriority w:val="99"/>
    <w:semiHidden/>
    <w:unhideWhenUsed/>
    <w:rsid w:val="00E96181"/>
    <w:rPr>
      <w:color w:val="605E5C"/>
      <w:shd w:val="clear" w:color="auto" w:fill="E1DFDD"/>
    </w:rPr>
  </w:style>
  <w:style w:type="character" w:styleId="FollowedHyperlink">
    <w:name w:val="FollowedHyperlink"/>
    <w:basedOn w:val="DefaultParagraphFont"/>
    <w:rsid w:val="00ED0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7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ep-aewa.org/sites/default/files/document/aewa_mop7_8_guida..." TargetMode="External"/><Relationship Id="rId13" Type="http://schemas.openxmlformats.org/officeDocument/2006/relationships/hyperlink" Target="https://www.conservationevidence.com/actions/26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nep-aewa.org/sites/default/files/document/aewa_mop7_8_guidance_en_0.docx" TargetMode="External"/><Relationship Id="rId12" Type="http://schemas.openxmlformats.org/officeDocument/2006/relationships/hyperlink" Target="https://www.conservationevidence.com/actions/26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ervationevidence.com/actions/26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nservationEvidence.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unep-aewa.org/en/publication/aewa-conservation-guidelines-no-4-guidelines-management-key-sites-migratory-waterbirds" TargetMode="External"/><Relationship Id="rId14" Type="http://schemas.openxmlformats.org/officeDocument/2006/relationships/hyperlink" Target="https://www.conservationevidence.com/actions/263"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letterhead_eng</Template>
  <TotalTime>4</TotalTime>
  <Pages>2</Pages>
  <Words>620</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UNEP/CMS Secretariat</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Jeannine Dicken</cp:lastModifiedBy>
  <cp:revision>3</cp:revision>
  <cp:lastPrinted>2018-04-06T14:44:00Z</cp:lastPrinted>
  <dcterms:created xsi:type="dcterms:W3CDTF">2022-07-20T14:08:00Z</dcterms:created>
  <dcterms:modified xsi:type="dcterms:W3CDTF">2022-07-21T06:42:00Z</dcterms:modified>
</cp:coreProperties>
</file>