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76DB" w14:textId="77777777" w:rsidR="005D197C" w:rsidRPr="00115A34" w:rsidRDefault="005D197C" w:rsidP="005D197C">
      <w:pPr>
        <w:rPr>
          <w:rFonts w:ascii="Arial" w:hAnsi="Arial" w:cs="Arial"/>
          <w:sz w:val="16"/>
          <w:szCs w:val="16"/>
          <w:lang w:val="fr-FR"/>
        </w:rPr>
      </w:pPr>
    </w:p>
    <w:p w14:paraId="630DAB73" w14:textId="19A2185D" w:rsidR="00AC7338" w:rsidRPr="00115A34" w:rsidRDefault="00115A34" w:rsidP="00506507">
      <w:pPr>
        <w:shd w:val="clear" w:color="auto" w:fill="FFFFFF" w:themeFill="background1"/>
        <w:jc w:val="center"/>
        <w:rPr>
          <w:b/>
          <w:lang w:val="fr-FR"/>
        </w:rPr>
      </w:pPr>
      <w:bookmarkStart w:id="0" w:name="_Hlk109303139"/>
      <w:r w:rsidRPr="00115A34">
        <w:rPr>
          <w:b/>
          <w:lang w:val="fr-FR"/>
        </w:rPr>
        <w:t>POSSIBILITÉS DE PRISE EN MAIN DES</w:t>
      </w:r>
      <w:r w:rsidR="00506507" w:rsidRPr="00115A34">
        <w:rPr>
          <w:b/>
          <w:lang w:val="fr-FR"/>
        </w:rPr>
        <w:t xml:space="preserve"> CAUSES </w:t>
      </w:r>
      <w:r w:rsidRPr="00115A34">
        <w:rPr>
          <w:b/>
          <w:lang w:val="fr-FR"/>
        </w:rPr>
        <w:t>DE MORTALITÉ DES OISEAUX D’EAU</w:t>
      </w:r>
      <w:bookmarkEnd w:id="0"/>
    </w:p>
    <w:p w14:paraId="1E774135" w14:textId="77777777" w:rsidR="00AC7338" w:rsidRPr="00115A34" w:rsidRDefault="00AC7338" w:rsidP="00AC7338">
      <w:pPr>
        <w:rPr>
          <w:sz w:val="12"/>
          <w:szCs w:val="12"/>
          <w:lang w:val="fr-FR"/>
        </w:rPr>
      </w:pPr>
    </w:p>
    <w:p w14:paraId="795D008F" w14:textId="55782760" w:rsidR="00AC7338" w:rsidRPr="00115A34" w:rsidRDefault="00AC7338" w:rsidP="00AC7338">
      <w:pPr>
        <w:rPr>
          <w:sz w:val="22"/>
          <w:szCs w:val="22"/>
          <w:lang w:val="fr-FR"/>
        </w:rPr>
      </w:pPr>
    </w:p>
    <w:p w14:paraId="7D8B61DE" w14:textId="6736733D" w:rsidR="00E1163B" w:rsidRPr="00115A34" w:rsidRDefault="00E1163B" w:rsidP="00AC7338">
      <w:pPr>
        <w:rPr>
          <w:sz w:val="22"/>
          <w:szCs w:val="22"/>
          <w:lang w:val="fr-FR"/>
        </w:rPr>
      </w:pPr>
    </w:p>
    <w:p w14:paraId="189493FF" w14:textId="77777777" w:rsidR="001C3838" w:rsidRPr="00115A34" w:rsidRDefault="001C3838" w:rsidP="001C3838">
      <w:pPr>
        <w:spacing w:after="180"/>
        <w:jc w:val="both"/>
        <w:rPr>
          <w:rFonts w:eastAsia="Calibri"/>
          <w:b/>
          <w:bCs/>
          <w:lang w:val="fr-FR" w:eastAsia="en-US"/>
        </w:rPr>
      </w:pPr>
      <w:r w:rsidRPr="00115A34">
        <w:rPr>
          <w:rFonts w:eastAsia="Calibri"/>
          <w:b/>
          <w:bCs/>
          <w:lang w:val="fr-FR" w:eastAsia="en-US"/>
        </w:rPr>
        <w:t>Introduction</w:t>
      </w:r>
    </w:p>
    <w:p w14:paraId="16FE546A" w14:textId="33BEB823" w:rsidR="001C3838" w:rsidRPr="00115A34" w:rsidRDefault="00115A34" w:rsidP="001C3838">
      <w:pPr>
        <w:spacing w:before="180" w:after="180"/>
        <w:jc w:val="both"/>
        <w:rPr>
          <w:rFonts w:eastAsia="Calibri"/>
          <w:sz w:val="22"/>
          <w:szCs w:val="22"/>
          <w:lang w:val="fr-FR" w:eastAsia="en-US"/>
        </w:rPr>
      </w:pPr>
      <w:r w:rsidRPr="00115A34">
        <w:rPr>
          <w:rFonts w:eastAsia="Calibri"/>
          <w:sz w:val="22"/>
          <w:szCs w:val="22"/>
          <w:lang w:val="fr-FR" w:eastAsia="en-US"/>
        </w:rPr>
        <w:t>En vertu de l’</w:t>
      </w:r>
      <w:r w:rsidR="001C3838" w:rsidRPr="00115A34">
        <w:rPr>
          <w:rFonts w:eastAsia="Calibri"/>
          <w:sz w:val="22"/>
          <w:szCs w:val="22"/>
          <w:lang w:val="fr-FR" w:eastAsia="en-US"/>
        </w:rPr>
        <w:t>Objecti</w:t>
      </w:r>
      <w:r>
        <w:rPr>
          <w:rFonts w:eastAsia="Calibri"/>
          <w:sz w:val="22"/>
          <w:szCs w:val="22"/>
          <w:lang w:val="fr-FR" w:eastAsia="en-US"/>
        </w:rPr>
        <w:t>f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1 </w:t>
      </w:r>
      <w:r>
        <w:rPr>
          <w:rFonts w:eastAsia="Calibri"/>
          <w:sz w:val="22"/>
          <w:szCs w:val="22"/>
          <w:lang w:val="fr-FR" w:eastAsia="en-US"/>
        </w:rPr>
        <w:t xml:space="preserve">du Plan stratégique 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2019-2027 </w:t>
      </w:r>
      <w:r>
        <w:rPr>
          <w:rFonts w:eastAsia="Calibri"/>
          <w:sz w:val="22"/>
          <w:szCs w:val="22"/>
          <w:lang w:val="fr-FR" w:eastAsia="en-US"/>
        </w:rPr>
        <w:t xml:space="preserve">de l’AEWA </w:t>
      </w:r>
      <w:r w:rsidR="001C3838" w:rsidRPr="00115A34">
        <w:rPr>
          <w:rFonts w:eastAsia="Calibri"/>
          <w:sz w:val="22"/>
          <w:szCs w:val="22"/>
          <w:lang w:val="fr-FR" w:eastAsia="en-US"/>
        </w:rPr>
        <w:t>(</w:t>
      </w:r>
      <w:r w:rsidRPr="00115A34">
        <w:rPr>
          <w:rFonts w:eastAsia="Calibri"/>
          <w:i/>
          <w:iCs/>
          <w:sz w:val="22"/>
          <w:szCs w:val="22"/>
          <w:lang w:val="fr-FR" w:eastAsia="en-US"/>
        </w:rPr>
        <w:t>renforcer la</w:t>
      </w:r>
      <w:r w:rsidR="001C3838" w:rsidRPr="00115A34">
        <w:rPr>
          <w:rFonts w:eastAsia="Calibri"/>
          <w:i/>
          <w:sz w:val="22"/>
          <w:szCs w:val="22"/>
          <w:lang w:val="fr-FR" w:eastAsia="en-US"/>
        </w:rPr>
        <w:t xml:space="preserve"> conservation </w:t>
      </w:r>
      <w:r>
        <w:rPr>
          <w:rFonts w:eastAsia="Calibri"/>
          <w:i/>
          <w:sz w:val="22"/>
          <w:szCs w:val="22"/>
          <w:lang w:val="fr-FR" w:eastAsia="en-US"/>
        </w:rPr>
        <w:t>et le rétablissement des espèces, et réduire les</w:t>
      </w:r>
      <w:r w:rsidR="001C3838" w:rsidRPr="00115A34">
        <w:rPr>
          <w:rFonts w:eastAsia="Calibri"/>
          <w:i/>
          <w:sz w:val="22"/>
          <w:szCs w:val="22"/>
          <w:lang w:val="fr-FR" w:eastAsia="en-US"/>
        </w:rPr>
        <w:t xml:space="preserve"> causes </w:t>
      </w:r>
      <w:r>
        <w:rPr>
          <w:rFonts w:eastAsia="Calibri"/>
          <w:i/>
          <w:sz w:val="22"/>
          <w:szCs w:val="22"/>
          <w:lang w:val="fr-FR" w:eastAsia="en-US"/>
        </w:rPr>
        <w:t>de mortalité inutile</w:t>
      </w:r>
      <w:r w:rsidR="001C3838" w:rsidRPr="00115A34">
        <w:rPr>
          <w:rFonts w:eastAsia="Calibri"/>
          <w:sz w:val="22"/>
          <w:szCs w:val="22"/>
          <w:lang w:val="fr-FR" w:eastAsia="en-US"/>
        </w:rPr>
        <w:t>)</w:t>
      </w:r>
      <w:r w:rsidR="00B549AF">
        <w:rPr>
          <w:rFonts w:eastAsia="Calibri"/>
          <w:sz w:val="22"/>
          <w:szCs w:val="22"/>
          <w:lang w:val="fr-FR" w:eastAsia="en-US"/>
        </w:rPr>
        <w:t>,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</w:t>
      </w:r>
      <w:r w:rsidR="00B549AF">
        <w:rPr>
          <w:rFonts w:eastAsia="Calibri"/>
          <w:sz w:val="22"/>
          <w:szCs w:val="22"/>
          <w:lang w:val="fr-FR" w:eastAsia="en-US"/>
        </w:rPr>
        <w:t>la Cible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1.6 </w:t>
      </w:r>
      <w:r w:rsidR="00B549AF">
        <w:rPr>
          <w:rFonts w:eastAsia="Calibri"/>
          <w:sz w:val="22"/>
          <w:szCs w:val="22"/>
          <w:lang w:val="fr-FR" w:eastAsia="en-US"/>
        </w:rPr>
        <w:t>prévoit l’intégration des priorités de l’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AEWA </w:t>
      </w:r>
      <w:r w:rsidR="00B549AF">
        <w:rPr>
          <w:rFonts w:eastAsia="Calibri"/>
          <w:sz w:val="22"/>
          <w:szCs w:val="22"/>
          <w:lang w:val="fr-FR" w:eastAsia="en-US"/>
        </w:rPr>
        <w:t xml:space="preserve">relatives à quatre causes de mortalité supplémentaire inutile et à d’autres menaces </w:t>
      </w:r>
      <w:r w:rsidR="00544CEA">
        <w:rPr>
          <w:rFonts w:eastAsia="Calibri"/>
          <w:sz w:val="22"/>
          <w:szCs w:val="22"/>
          <w:lang w:val="fr-FR" w:eastAsia="en-US"/>
        </w:rPr>
        <w:t xml:space="preserve">majeures </w:t>
      </w:r>
      <w:r w:rsidR="00B549AF">
        <w:rPr>
          <w:rFonts w:eastAsia="Calibri"/>
          <w:sz w:val="22"/>
          <w:szCs w:val="22"/>
          <w:lang w:val="fr-FR" w:eastAsia="en-US"/>
        </w:rPr>
        <w:t>pesant sur les oiseaux d’eau migrateurs et leurs habitats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. </w:t>
      </w:r>
      <w:r w:rsidR="00B549AF">
        <w:rPr>
          <w:rFonts w:eastAsia="Calibri"/>
          <w:sz w:val="22"/>
          <w:szCs w:val="22"/>
          <w:lang w:val="fr-FR" w:eastAsia="en-US"/>
        </w:rPr>
        <w:t>Les quatre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causes </w:t>
      </w:r>
      <w:r w:rsidR="00B549AF">
        <w:rPr>
          <w:rFonts w:eastAsia="Calibri"/>
          <w:sz w:val="22"/>
          <w:szCs w:val="22"/>
          <w:lang w:val="fr-FR" w:eastAsia="en-US"/>
        </w:rPr>
        <w:t xml:space="preserve">identifiées dans le 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Plan </w:t>
      </w:r>
      <w:r w:rsidR="00B549AF">
        <w:rPr>
          <w:rFonts w:eastAsia="Calibri"/>
          <w:sz w:val="22"/>
          <w:szCs w:val="22"/>
          <w:lang w:val="fr-FR" w:eastAsia="en-US"/>
        </w:rPr>
        <w:t>stratégique sont les infrastructures relatives à l’énergie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(</w:t>
      </w:r>
      <w:r w:rsidR="00B549AF">
        <w:rPr>
          <w:rFonts w:eastAsia="Calibri"/>
          <w:sz w:val="22"/>
          <w:szCs w:val="22"/>
          <w:lang w:val="fr-FR" w:eastAsia="en-US"/>
        </w:rPr>
        <w:t>en particulier les lignes électriques et les éoliennes</w:t>
      </w:r>
      <w:r w:rsidR="001C3838" w:rsidRPr="00115A34">
        <w:rPr>
          <w:rFonts w:eastAsia="Calibri"/>
          <w:sz w:val="22"/>
          <w:szCs w:val="22"/>
          <w:lang w:val="fr-FR" w:eastAsia="en-US"/>
        </w:rPr>
        <w:t>)</w:t>
      </w:r>
      <w:r w:rsidR="00133B65">
        <w:rPr>
          <w:rFonts w:eastAsia="Calibri"/>
          <w:sz w:val="22"/>
          <w:szCs w:val="22"/>
          <w:lang w:val="fr-FR" w:eastAsia="en-US"/>
        </w:rPr>
        <w:t>,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</w:t>
      </w:r>
      <w:r w:rsidR="00B549AF">
        <w:rPr>
          <w:rFonts w:eastAsia="Calibri"/>
          <w:sz w:val="22"/>
          <w:szCs w:val="22"/>
          <w:lang w:val="fr-FR" w:eastAsia="en-US"/>
        </w:rPr>
        <w:t>le prélèvement et l’abattage illégaux</w:t>
      </w:r>
      <w:r w:rsidR="00133B65">
        <w:rPr>
          <w:rFonts w:eastAsia="Calibri"/>
          <w:sz w:val="22"/>
          <w:szCs w:val="22"/>
          <w:lang w:val="fr-FR" w:eastAsia="en-US"/>
        </w:rPr>
        <w:t xml:space="preserve">, 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</w:t>
      </w:r>
      <w:r w:rsidR="00B549AF">
        <w:rPr>
          <w:rFonts w:eastAsia="Calibri"/>
          <w:sz w:val="22"/>
          <w:szCs w:val="22"/>
          <w:lang w:val="fr-FR" w:eastAsia="en-US"/>
        </w:rPr>
        <w:t xml:space="preserve">les prises accessoires </w:t>
      </w:r>
      <w:r w:rsidR="00907A2E">
        <w:rPr>
          <w:rFonts w:eastAsia="Calibri"/>
          <w:sz w:val="22"/>
          <w:szCs w:val="22"/>
          <w:lang w:val="fr-FR" w:eastAsia="en-US"/>
        </w:rPr>
        <w:t>d</w:t>
      </w:r>
      <w:r w:rsidR="00133B65">
        <w:rPr>
          <w:rFonts w:eastAsia="Calibri"/>
          <w:sz w:val="22"/>
          <w:szCs w:val="22"/>
          <w:lang w:val="fr-FR" w:eastAsia="en-US"/>
        </w:rPr>
        <w:t>e</w:t>
      </w:r>
      <w:r w:rsidR="00907A2E">
        <w:rPr>
          <w:rFonts w:eastAsia="Calibri"/>
          <w:sz w:val="22"/>
          <w:szCs w:val="22"/>
          <w:lang w:val="fr-FR" w:eastAsia="en-US"/>
        </w:rPr>
        <w:t xml:space="preserve"> la pêche et les espèces exotiques envahissantes</w:t>
      </w:r>
      <w:r w:rsidR="001C3838" w:rsidRPr="00115A34">
        <w:rPr>
          <w:rFonts w:eastAsia="Calibri"/>
          <w:sz w:val="22"/>
          <w:szCs w:val="22"/>
          <w:lang w:val="fr-FR" w:eastAsia="en-US"/>
        </w:rPr>
        <w:t>.</w:t>
      </w:r>
    </w:p>
    <w:p w14:paraId="35F91185" w14:textId="455939DC" w:rsidR="001C3838" w:rsidRPr="00115A34" w:rsidRDefault="00907A2E" w:rsidP="001C3838">
      <w:pPr>
        <w:spacing w:before="180" w:after="180"/>
        <w:jc w:val="both"/>
        <w:rPr>
          <w:rFonts w:eastAsia="Calibri"/>
          <w:sz w:val="22"/>
          <w:szCs w:val="22"/>
          <w:lang w:val="fr-FR" w:eastAsia="en-US"/>
        </w:rPr>
      </w:pPr>
      <w:r>
        <w:rPr>
          <w:rFonts w:eastAsia="Calibri"/>
          <w:sz w:val="22"/>
          <w:szCs w:val="22"/>
          <w:lang w:val="fr-FR" w:eastAsia="en-US"/>
        </w:rPr>
        <w:t xml:space="preserve">En vertu des </w:t>
      </w:r>
      <w:r w:rsidR="00EE38DB">
        <w:rPr>
          <w:rFonts w:eastAsia="Calibri"/>
          <w:sz w:val="22"/>
          <w:szCs w:val="22"/>
          <w:lang w:val="fr-FR" w:eastAsia="en-US"/>
        </w:rPr>
        <w:t>A</w:t>
      </w:r>
      <w:r>
        <w:rPr>
          <w:rFonts w:eastAsia="Calibri"/>
          <w:sz w:val="22"/>
          <w:szCs w:val="22"/>
          <w:lang w:val="fr-FR" w:eastAsia="en-US"/>
        </w:rPr>
        <w:t>ctions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1.6(a) </w:t>
      </w:r>
      <w:r>
        <w:rPr>
          <w:rFonts w:eastAsia="Calibri"/>
          <w:sz w:val="22"/>
          <w:szCs w:val="22"/>
          <w:lang w:val="fr-FR" w:eastAsia="en-US"/>
        </w:rPr>
        <w:t>et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1.6(b)</w:t>
      </w:r>
      <w:r>
        <w:rPr>
          <w:rFonts w:eastAsia="Calibri"/>
          <w:sz w:val="22"/>
          <w:szCs w:val="22"/>
          <w:lang w:val="fr-FR" w:eastAsia="en-US"/>
        </w:rPr>
        <w:t>, le Comité technique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</w:t>
      </w:r>
      <w:r>
        <w:rPr>
          <w:rFonts w:eastAsia="Calibri"/>
          <w:sz w:val="22"/>
          <w:szCs w:val="22"/>
          <w:lang w:val="fr-FR" w:eastAsia="en-US"/>
        </w:rPr>
        <w:t>a été chargé d’identifier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</w:t>
      </w:r>
      <w:r w:rsidR="00EE38DB">
        <w:rPr>
          <w:rFonts w:eastAsia="Calibri"/>
          <w:sz w:val="22"/>
          <w:szCs w:val="22"/>
          <w:lang w:val="fr-FR" w:eastAsia="en-US"/>
        </w:rPr>
        <w:t xml:space="preserve">tant les </w:t>
      </w:r>
      <w:r>
        <w:rPr>
          <w:rFonts w:eastAsia="Calibri"/>
          <w:sz w:val="22"/>
          <w:szCs w:val="22"/>
          <w:lang w:val="fr-FR" w:eastAsia="en-US"/>
        </w:rPr>
        <w:t>processus multilatéraux pouvant le plus contribuer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</w:t>
      </w:r>
      <w:r>
        <w:rPr>
          <w:rFonts w:eastAsia="Calibri"/>
          <w:sz w:val="22"/>
          <w:szCs w:val="22"/>
          <w:lang w:val="fr-FR" w:eastAsia="en-US"/>
        </w:rPr>
        <w:t>à faire progresser les priorités de l’</w:t>
      </w:r>
      <w:r w:rsidR="001C3838" w:rsidRPr="00115A34">
        <w:rPr>
          <w:rFonts w:eastAsia="Calibri"/>
          <w:sz w:val="22"/>
          <w:szCs w:val="22"/>
          <w:lang w:val="fr-FR" w:eastAsia="en-US"/>
        </w:rPr>
        <w:t>AEWA</w:t>
      </w:r>
      <w:r w:rsidR="00EE38DB">
        <w:rPr>
          <w:rFonts w:eastAsia="Calibri"/>
          <w:sz w:val="22"/>
          <w:szCs w:val="22"/>
          <w:lang w:val="fr-FR" w:eastAsia="en-US"/>
        </w:rPr>
        <w:t>,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</w:t>
      </w:r>
      <w:r w:rsidR="00EE38DB">
        <w:rPr>
          <w:rFonts w:eastAsia="Calibri"/>
          <w:sz w:val="22"/>
          <w:szCs w:val="22"/>
          <w:lang w:val="fr-FR" w:eastAsia="en-US"/>
        </w:rPr>
        <w:t xml:space="preserve">que </w:t>
      </w:r>
      <w:r>
        <w:rPr>
          <w:rFonts w:eastAsia="Calibri"/>
          <w:sz w:val="22"/>
          <w:szCs w:val="22"/>
          <w:lang w:val="fr-FR" w:eastAsia="en-US"/>
        </w:rPr>
        <w:t>les o</w:t>
      </w:r>
      <w:r w:rsidR="009A08D0">
        <w:rPr>
          <w:rFonts w:eastAsia="Calibri"/>
          <w:sz w:val="22"/>
          <w:szCs w:val="22"/>
          <w:lang w:val="fr-FR" w:eastAsia="en-US"/>
        </w:rPr>
        <w:t>pportunités</w:t>
      </w:r>
      <w:r>
        <w:rPr>
          <w:rFonts w:eastAsia="Calibri"/>
          <w:sz w:val="22"/>
          <w:szCs w:val="22"/>
          <w:lang w:val="fr-FR" w:eastAsia="en-US"/>
        </w:rPr>
        <w:t xml:space="preserve"> stratégiques susceptibles d’influencer positivement ces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process</w:t>
      </w:r>
      <w:r>
        <w:rPr>
          <w:rFonts w:eastAsia="Calibri"/>
          <w:sz w:val="22"/>
          <w:szCs w:val="22"/>
          <w:lang w:val="fr-FR" w:eastAsia="en-US"/>
        </w:rPr>
        <w:t>u</w:t>
      </w:r>
      <w:r w:rsidR="001C3838" w:rsidRPr="00115A34">
        <w:rPr>
          <w:rFonts w:eastAsia="Calibri"/>
          <w:sz w:val="22"/>
          <w:szCs w:val="22"/>
          <w:lang w:val="fr-FR" w:eastAsia="en-US"/>
        </w:rPr>
        <w:t>s (</w:t>
      </w:r>
      <w:r>
        <w:rPr>
          <w:rFonts w:eastAsia="Calibri"/>
          <w:sz w:val="22"/>
          <w:szCs w:val="22"/>
          <w:lang w:val="fr-FR" w:eastAsia="en-US"/>
        </w:rPr>
        <w:t>réunions des organes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techni</w:t>
      </w:r>
      <w:r>
        <w:rPr>
          <w:rFonts w:eastAsia="Calibri"/>
          <w:sz w:val="22"/>
          <w:szCs w:val="22"/>
          <w:lang w:val="fr-FR" w:eastAsia="en-US"/>
        </w:rPr>
        <w:t>ques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, </w:t>
      </w:r>
      <w:r>
        <w:rPr>
          <w:rFonts w:eastAsia="Calibri"/>
          <w:sz w:val="22"/>
          <w:szCs w:val="22"/>
          <w:lang w:val="fr-FR" w:eastAsia="en-US"/>
        </w:rPr>
        <w:t>groupes de travail,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etc.) </w:t>
      </w:r>
      <w:r>
        <w:rPr>
          <w:rFonts w:eastAsia="Calibri"/>
          <w:sz w:val="22"/>
          <w:szCs w:val="22"/>
          <w:lang w:val="fr-FR" w:eastAsia="en-US"/>
        </w:rPr>
        <w:t>afin d’assurer autant que possible</w:t>
      </w:r>
      <w:r w:rsidR="00EE38DB">
        <w:rPr>
          <w:rFonts w:eastAsia="Calibri"/>
          <w:sz w:val="22"/>
          <w:szCs w:val="22"/>
          <w:lang w:val="fr-FR" w:eastAsia="en-US"/>
        </w:rPr>
        <w:t xml:space="preserve"> que les points de vue de l’</w:t>
      </w:r>
      <w:r w:rsidR="001C3838" w:rsidRPr="00115A34">
        <w:rPr>
          <w:rFonts w:eastAsia="Calibri"/>
          <w:sz w:val="22"/>
          <w:szCs w:val="22"/>
          <w:lang w:val="fr-FR" w:eastAsia="en-US"/>
        </w:rPr>
        <w:t>AEWA</w:t>
      </w:r>
      <w:r w:rsidR="00EE38DB">
        <w:rPr>
          <w:rFonts w:eastAsia="Calibri"/>
          <w:sz w:val="22"/>
          <w:szCs w:val="22"/>
          <w:lang w:val="fr-FR" w:eastAsia="en-US"/>
        </w:rPr>
        <w:t xml:space="preserve"> y soient représentés</w:t>
      </w:r>
      <w:r w:rsidR="001C3838" w:rsidRPr="00115A34">
        <w:rPr>
          <w:rFonts w:eastAsia="Calibri"/>
          <w:sz w:val="22"/>
          <w:szCs w:val="22"/>
          <w:lang w:val="fr-FR" w:eastAsia="en-US"/>
        </w:rPr>
        <w:t>.</w:t>
      </w:r>
    </w:p>
    <w:p w14:paraId="2F21D8D5" w14:textId="039C5198" w:rsidR="001C3838" w:rsidRPr="00115A34" w:rsidRDefault="00EE38DB" w:rsidP="001C3838">
      <w:pPr>
        <w:spacing w:before="180" w:after="180"/>
        <w:jc w:val="both"/>
        <w:rPr>
          <w:rFonts w:eastAsia="Calibri"/>
          <w:sz w:val="22"/>
          <w:szCs w:val="22"/>
          <w:lang w:val="fr-FR" w:eastAsia="en-US"/>
        </w:rPr>
      </w:pPr>
      <w:r>
        <w:rPr>
          <w:rFonts w:eastAsia="Calibri"/>
          <w:sz w:val="22"/>
          <w:szCs w:val="22"/>
          <w:lang w:val="fr-FR" w:eastAsia="en-US"/>
        </w:rPr>
        <w:t>En réponse à ce mandat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, </w:t>
      </w:r>
      <w:r>
        <w:rPr>
          <w:rFonts w:eastAsia="Calibri"/>
          <w:sz w:val="22"/>
          <w:szCs w:val="22"/>
          <w:lang w:val="fr-FR" w:eastAsia="en-US"/>
        </w:rPr>
        <w:t>la Tâche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4.1 </w:t>
      </w:r>
      <w:r>
        <w:rPr>
          <w:rFonts w:eastAsia="Calibri"/>
          <w:sz w:val="22"/>
          <w:szCs w:val="22"/>
          <w:lang w:val="fr-FR" w:eastAsia="en-US"/>
        </w:rPr>
        <w:t>a été ajoutée au Plan de travail 2019-2021/22 du Comité technique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. </w:t>
      </w:r>
      <w:r>
        <w:rPr>
          <w:rFonts w:eastAsia="Calibri"/>
          <w:sz w:val="22"/>
          <w:szCs w:val="22"/>
          <w:lang w:val="fr-FR" w:eastAsia="en-US"/>
        </w:rPr>
        <w:t xml:space="preserve">En raison d’un manque de capacité, cette tâche n’a pu </w:t>
      </w:r>
      <w:r w:rsidR="00544CEA">
        <w:rPr>
          <w:rFonts w:eastAsia="Calibri"/>
          <w:sz w:val="22"/>
          <w:szCs w:val="22"/>
          <w:lang w:val="fr-FR" w:eastAsia="en-US"/>
        </w:rPr>
        <w:t xml:space="preserve">être </w:t>
      </w:r>
      <w:r w:rsidR="000A086C">
        <w:rPr>
          <w:rFonts w:eastAsia="Calibri"/>
          <w:sz w:val="22"/>
          <w:szCs w:val="22"/>
          <w:lang w:val="fr-FR" w:eastAsia="en-US"/>
        </w:rPr>
        <w:t xml:space="preserve">prise en compte que très tard pendant la période entre les </w:t>
      </w:r>
      <w:r w:rsidR="001C3838" w:rsidRPr="00115A34">
        <w:rPr>
          <w:rFonts w:eastAsia="Calibri"/>
          <w:sz w:val="22"/>
          <w:szCs w:val="22"/>
          <w:lang w:val="fr-FR" w:eastAsia="en-US"/>
        </w:rPr>
        <w:t>sessio</w:t>
      </w:r>
      <w:r w:rsidR="000A086C">
        <w:rPr>
          <w:rFonts w:eastAsia="Calibri"/>
          <w:sz w:val="22"/>
          <w:szCs w:val="22"/>
          <w:lang w:val="fr-FR" w:eastAsia="en-US"/>
        </w:rPr>
        <w:t>ns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. </w:t>
      </w:r>
    </w:p>
    <w:p w14:paraId="40884217" w14:textId="5FC22A34" w:rsidR="001C3838" w:rsidRPr="00115A34" w:rsidRDefault="000A086C" w:rsidP="001C3838">
      <w:pPr>
        <w:spacing w:before="180" w:after="180"/>
        <w:jc w:val="both"/>
        <w:rPr>
          <w:rFonts w:eastAsia="Calibri"/>
          <w:sz w:val="22"/>
          <w:szCs w:val="22"/>
          <w:lang w:val="fr-FR" w:eastAsia="en-US"/>
        </w:rPr>
      </w:pPr>
      <w:r>
        <w:rPr>
          <w:rFonts w:eastAsia="Calibri"/>
          <w:sz w:val="22"/>
          <w:szCs w:val="22"/>
          <w:lang w:val="fr-FR" w:eastAsia="en-US"/>
        </w:rPr>
        <w:t>Avec le soutien financier du gouvernement du Royaume-Uni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, </w:t>
      </w:r>
      <w:r>
        <w:rPr>
          <w:rFonts w:eastAsia="Calibri"/>
          <w:sz w:val="22"/>
          <w:szCs w:val="22"/>
          <w:lang w:val="fr-FR" w:eastAsia="en-US"/>
        </w:rPr>
        <w:t>le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Secr</w:t>
      </w:r>
      <w:r>
        <w:rPr>
          <w:rFonts w:eastAsia="Calibri"/>
          <w:sz w:val="22"/>
          <w:szCs w:val="22"/>
          <w:lang w:val="fr-FR" w:eastAsia="en-US"/>
        </w:rPr>
        <w:t>é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tariat </w:t>
      </w:r>
      <w:r>
        <w:rPr>
          <w:rFonts w:eastAsia="Calibri"/>
          <w:sz w:val="22"/>
          <w:szCs w:val="22"/>
          <w:lang w:val="fr-FR" w:eastAsia="en-US"/>
        </w:rPr>
        <w:t>a commandé début 2021 la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compilation </w:t>
      </w:r>
      <w:r>
        <w:rPr>
          <w:rFonts w:eastAsia="Calibri"/>
          <w:sz w:val="22"/>
          <w:szCs w:val="22"/>
          <w:lang w:val="fr-FR" w:eastAsia="en-US"/>
        </w:rPr>
        <w:t>d’une liste des possibilités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</w:t>
      </w:r>
      <w:r>
        <w:rPr>
          <w:rFonts w:eastAsia="Calibri"/>
          <w:sz w:val="22"/>
          <w:szCs w:val="22"/>
          <w:lang w:val="fr-FR" w:eastAsia="en-US"/>
        </w:rPr>
        <w:t>offertes pour s’attaquer aux quatre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causes </w:t>
      </w:r>
      <w:r>
        <w:rPr>
          <w:rFonts w:eastAsia="Calibri"/>
          <w:sz w:val="22"/>
          <w:szCs w:val="22"/>
          <w:lang w:val="fr-FR" w:eastAsia="en-US"/>
        </w:rPr>
        <w:t>de mortalité des oiseaux d’eau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</w:t>
      </w:r>
      <w:r>
        <w:rPr>
          <w:rFonts w:eastAsia="Calibri"/>
          <w:sz w:val="22"/>
          <w:szCs w:val="22"/>
          <w:lang w:val="fr-FR" w:eastAsia="en-US"/>
        </w:rPr>
        <w:t>dans le cadre d’autres processus multilatéraux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. </w:t>
      </w:r>
      <w:r>
        <w:rPr>
          <w:rFonts w:eastAsia="Calibri"/>
          <w:sz w:val="22"/>
          <w:szCs w:val="22"/>
          <w:lang w:val="fr-FR" w:eastAsia="en-US"/>
        </w:rPr>
        <w:t xml:space="preserve">En raison du report de la 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MOP8 </w:t>
      </w:r>
      <w:r>
        <w:rPr>
          <w:rFonts w:eastAsia="Calibri"/>
          <w:sz w:val="22"/>
          <w:szCs w:val="22"/>
          <w:lang w:val="fr-FR" w:eastAsia="en-US"/>
        </w:rPr>
        <w:t>d’o</w:t>
      </w:r>
      <w:r w:rsidR="001C3838" w:rsidRPr="00115A34">
        <w:rPr>
          <w:rFonts w:eastAsia="Calibri"/>
          <w:sz w:val="22"/>
          <w:szCs w:val="22"/>
          <w:lang w:val="fr-FR" w:eastAsia="en-US"/>
        </w:rPr>
        <w:t>ctobr</w:t>
      </w:r>
      <w:r>
        <w:rPr>
          <w:rFonts w:eastAsia="Calibri"/>
          <w:sz w:val="22"/>
          <w:szCs w:val="22"/>
          <w:lang w:val="fr-FR" w:eastAsia="en-US"/>
        </w:rPr>
        <w:t>e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2021 </w:t>
      </w:r>
      <w:r>
        <w:rPr>
          <w:rFonts w:eastAsia="Calibri"/>
          <w:sz w:val="22"/>
          <w:szCs w:val="22"/>
          <w:lang w:val="fr-FR" w:eastAsia="en-US"/>
        </w:rPr>
        <w:t>à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</w:t>
      </w:r>
      <w:r>
        <w:rPr>
          <w:rFonts w:eastAsia="Calibri"/>
          <w:sz w:val="22"/>
          <w:szCs w:val="22"/>
          <w:lang w:val="fr-FR" w:eastAsia="en-US"/>
        </w:rPr>
        <w:t>s</w:t>
      </w:r>
      <w:r w:rsidR="001C3838" w:rsidRPr="00115A34">
        <w:rPr>
          <w:rFonts w:eastAsia="Calibri"/>
          <w:sz w:val="22"/>
          <w:szCs w:val="22"/>
          <w:lang w:val="fr-FR" w:eastAsia="en-US"/>
        </w:rPr>
        <w:t>eptembr</w:t>
      </w:r>
      <w:r>
        <w:rPr>
          <w:rFonts w:eastAsia="Calibri"/>
          <w:sz w:val="22"/>
          <w:szCs w:val="22"/>
          <w:lang w:val="fr-FR" w:eastAsia="en-US"/>
        </w:rPr>
        <w:t>e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2022, </w:t>
      </w:r>
      <w:r w:rsidR="0088584D">
        <w:rPr>
          <w:rFonts w:eastAsia="Calibri"/>
          <w:sz w:val="22"/>
          <w:szCs w:val="22"/>
          <w:lang w:val="fr-FR" w:eastAsia="en-US"/>
        </w:rPr>
        <w:t>ce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document </w:t>
      </w:r>
      <w:r w:rsidR="0088584D">
        <w:rPr>
          <w:rFonts w:eastAsia="Calibri"/>
          <w:sz w:val="22"/>
          <w:szCs w:val="22"/>
          <w:lang w:val="fr-FR" w:eastAsia="en-US"/>
        </w:rPr>
        <w:t>a pu être finalisé en vue d’être soumis à la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MOP8.</w:t>
      </w:r>
    </w:p>
    <w:p w14:paraId="465C369C" w14:textId="31385C7B" w:rsidR="001C3838" w:rsidRPr="00115A34" w:rsidRDefault="0088584D" w:rsidP="001C3838">
      <w:pPr>
        <w:spacing w:before="180"/>
        <w:jc w:val="both"/>
        <w:rPr>
          <w:rFonts w:eastAsia="Calibri"/>
          <w:sz w:val="22"/>
          <w:szCs w:val="22"/>
          <w:lang w:val="fr-FR" w:eastAsia="en-US"/>
        </w:rPr>
      </w:pPr>
      <w:r>
        <w:rPr>
          <w:rFonts w:eastAsia="Calibri"/>
          <w:sz w:val="22"/>
          <w:szCs w:val="22"/>
          <w:lang w:val="fr-FR" w:eastAsia="en-US"/>
        </w:rPr>
        <w:t>Le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document </w:t>
      </w:r>
      <w:r w:rsidR="00AB0923">
        <w:rPr>
          <w:rFonts w:eastAsia="Calibri"/>
          <w:sz w:val="22"/>
          <w:szCs w:val="22"/>
          <w:lang w:val="fr-FR" w:eastAsia="en-US"/>
        </w:rPr>
        <w:t xml:space="preserve">a été </w:t>
      </w:r>
      <w:r w:rsidR="001C3838" w:rsidRPr="00115A34">
        <w:rPr>
          <w:rFonts w:eastAsia="Calibri"/>
          <w:sz w:val="22"/>
          <w:szCs w:val="22"/>
          <w:lang w:val="fr-FR" w:eastAsia="en-US"/>
        </w:rPr>
        <w:t>compil</w:t>
      </w:r>
      <w:r w:rsidR="00AB0923">
        <w:rPr>
          <w:rFonts w:eastAsia="Calibri"/>
          <w:sz w:val="22"/>
          <w:szCs w:val="22"/>
          <w:lang w:val="fr-FR" w:eastAsia="en-US"/>
        </w:rPr>
        <w:t>é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</w:t>
      </w:r>
      <w:r w:rsidR="00AB0923">
        <w:rPr>
          <w:rFonts w:eastAsia="Calibri"/>
          <w:sz w:val="22"/>
          <w:szCs w:val="22"/>
          <w:lang w:val="fr-FR" w:eastAsia="en-US"/>
        </w:rPr>
        <w:t>en étroite concertation avec le Comité technique et avec sa contribution, au moyen de son espace de travail</w:t>
      </w:r>
      <w:r w:rsidR="009A08D0">
        <w:rPr>
          <w:rFonts w:eastAsia="Calibri"/>
          <w:sz w:val="22"/>
          <w:szCs w:val="22"/>
          <w:lang w:val="fr-FR" w:eastAsia="en-US"/>
        </w:rPr>
        <w:t xml:space="preserve"> en ligne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. </w:t>
      </w:r>
      <w:r w:rsidR="00AB0923">
        <w:rPr>
          <w:rFonts w:eastAsia="Calibri"/>
          <w:sz w:val="22"/>
          <w:szCs w:val="22"/>
          <w:lang w:val="fr-FR" w:eastAsia="en-US"/>
        </w:rPr>
        <w:t>Le Comité technique a examiné l’avant-projet de</w:t>
      </w:r>
      <w:r w:rsidR="009A08D0">
        <w:rPr>
          <w:rFonts w:eastAsia="Calibri"/>
          <w:sz w:val="22"/>
          <w:szCs w:val="22"/>
          <w:lang w:val="fr-FR" w:eastAsia="en-US"/>
        </w:rPr>
        <w:t xml:space="preserve"> ce</w:t>
      </w:r>
      <w:r w:rsidR="00AB0923">
        <w:rPr>
          <w:rFonts w:eastAsia="Calibri"/>
          <w:sz w:val="22"/>
          <w:szCs w:val="22"/>
          <w:lang w:val="fr-FR" w:eastAsia="en-US"/>
        </w:rPr>
        <w:t xml:space="preserve"> 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document </w:t>
      </w:r>
      <w:r w:rsidR="00AB0923">
        <w:rPr>
          <w:rFonts w:eastAsia="Calibri"/>
          <w:sz w:val="22"/>
          <w:szCs w:val="22"/>
          <w:lang w:val="fr-FR" w:eastAsia="en-US"/>
        </w:rPr>
        <w:t xml:space="preserve">et approuvé la version finale et convenue, pour </w:t>
      </w:r>
      <w:r w:rsidR="001C3838" w:rsidRPr="00115A34">
        <w:rPr>
          <w:rFonts w:eastAsia="Calibri"/>
          <w:sz w:val="22"/>
          <w:szCs w:val="22"/>
          <w:lang w:val="fr-FR" w:eastAsia="en-US"/>
        </w:rPr>
        <w:t>s</w:t>
      </w:r>
      <w:r w:rsidR="00AB0923">
        <w:rPr>
          <w:rFonts w:eastAsia="Calibri"/>
          <w:sz w:val="22"/>
          <w:szCs w:val="22"/>
          <w:lang w:val="fr-FR" w:eastAsia="en-US"/>
        </w:rPr>
        <w:t>o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umission </w:t>
      </w:r>
      <w:r w:rsidR="00AB0923">
        <w:rPr>
          <w:rFonts w:eastAsia="Calibri"/>
          <w:sz w:val="22"/>
          <w:szCs w:val="22"/>
          <w:lang w:val="fr-FR" w:eastAsia="en-US"/>
        </w:rPr>
        <w:t>au Comité permanent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. </w:t>
      </w:r>
      <w:r w:rsidR="00AB0923">
        <w:rPr>
          <w:rFonts w:eastAsia="Calibri"/>
          <w:sz w:val="22"/>
          <w:szCs w:val="22"/>
          <w:lang w:val="fr-FR" w:eastAsia="en-US"/>
        </w:rPr>
        <w:t>Le Comité permanent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</w:t>
      </w:r>
      <w:r w:rsidR="00AB0923">
        <w:rPr>
          <w:rFonts w:eastAsia="Calibri"/>
          <w:sz w:val="22"/>
          <w:szCs w:val="22"/>
          <w:lang w:val="fr-FR" w:eastAsia="en-US"/>
        </w:rPr>
        <w:t xml:space="preserve">a </w:t>
      </w:r>
      <w:r w:rsidR="001C3838" w:rsidRPr="00115A34">
        <w:rPr>
          <w:rFonts w:eastAsia="Calibri"/>
          <w:sz w:val="22"/>
          <w:szCs w:val="22"/>
          <w:lang w:val="fr-FR" w:eastAsia="en-US"/>
        </w:rPr>
        <w:t>appro</w:t>
      </w:r>
      <w:r w:rsidR="00AB0923">
        <w:rPr>
          <w:rFonts w:eastAsia="Calibri"/>
          <w:sz w:val="22"/>
          <w:szCs w:val="22"/>
          <w:lang w:val="fr-FR" w:eastAsia="en-US"/>
        </w:rPr>
        <w:t>uvé le document par correspondance pour soumission à la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MOP8.</w:t>
      </w:r>
    </w:p>
    <w:p w14:paraId="5AA7D8BC" w14:textId="77777777" w:rsidR="001C3838" w:rsidRPr="00115A34" w:rsidRDefault="001C3838" w:rsidP="001C3838">
      <w:pPr>
        <w:spacing w:after="240"/>
        <w:jc w:val="both"/>
        <w:rPr>
          <w:rFonts w:eastAsia="Calibri"/>
          <w:sz w:val="22"/>
          <w:szCs w:val="22"/>
          <w:lang w:val="fr-FR" w:eastAsia="en-US"/>
        </w:rPr>
      </w:pPr>
    </w:p>
    <w:p w14:paraId="74328ADF" w14:textId="53903DF5" w:rsidR="001C3838" w:rsidRPr="00115A34" w:rsidRDefault="001C3838" w:rsidP="001C3838">
      <w:pPr>
        <w:spacing w:before="180" w:after="180"/>
        <w:jc w:val="both"/>
        <w:rPr>
          <w:rFonts w:eastAsia="Calibri"/>
          <w:b/>
          <w:bCs/>
          <w:lang w:val="fr-FR" w:eastAsia="en-US"/>
        </w:rPr>
      </w:pPr>
      <w:r w:rsidRPr="00115A34">
        <w:rPr>
          <w:rFonts w:eastAsia="Calibri"/>
          <w:b/>
          <w:bCs/>
          <w:lang w:val="fr-FR" w:eastAsia="en-US"/>
        </w:rPr>
        <w:t xml:space="preserve">Action </w:t>
      </w:r>
      <w:r w:rsidR="00AB0923">
        <w:rPr>
          <w:rFonts w:eastAsia="Calibri"/>
          <w:b/>
          <w:bCs/>
          <w:lang w:val="fr-FR" w:eastAsia="en-US"/>
        </w:rPr>
        <w:t>requise de la Réunion des</w:t>
      </w:r>
      <w:r w:rsidRPr="00115A34">
        <w:rPr>
          <w:rFonts w:eastAsia="Calibri"/>
          <w:b/>
          <w:bCs/>
          <w:lang w:val="fr-FR" w:eastAsia="en-US"/>
        </w:rPr>
        <w:t xml:space="preserve"> Parties</w:t>
      </w:r>
    </w:p>
    <w:p w14:paraId="52068067" w14:textId="53C78F61" w:rsidR="001C3838" w:rsidRPr="00115A34" w:rsidRDefault="00AB0923" w:rsidP="00F415C8">
      <w:pPr>
        <w:spacing w:after="200"/>
        <w:jc w:val="both"/>
        <w:rPr>
          <w:rFonts w:ascii="Calibri" w:eastAsia="Calibri" w:hAnsi="Calibri"/>
          <w:lang w:val="fr-FR" w:eastAsia="en-US"/>
        </w:rPr>
      </w:pPr>
      <w:r>
        <w:rPr>
          <w:rFonts w:eastAsia="Calibri"/>
          <w:sz w:val="22"/>
          <w:szCs w:val="22"/>
          <w:lang w:val="fr-FR" w:eastAsia="en-US"/>
        </w:rPr>
        <w:t>La Réunion des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Parties </w:t>
      </w:r>
      <w:r>
        <w:rPr>
          <w:rFonts w:eastAsia="Calibri"/>
          <w:sz w:val="22"/>
          <w:szCs w:val="22"/>
          <w:lang w:val="fr-FR" w:eastAsia="en-US"/>
        </w:rPr>
        <w:t>est priée d’examiner le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document </w:t>
      </w:r>
      <w:r w:rsidR="00485356">
        <w:rPr>
          <w:rFonts w:eastAsia="Calibri"/>
          <w:sz w:val="22"/>
          <w:szCs w:val="22"/>
          <w:lang w:val="fr-FR" w:eastAsia="en-US"/>
        </w:rPr>
        <w:t>et d’étudier ses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 recomm</w:t>
      </w:r>
      <w:r w:rsidR="00485356">
        <w:rPr>
          <w:rFonts w:eastAsia="Calibri"/>
          <w:sz w:val="22"/>
          <w:szCs w:val="22"/>
          <w:lang w:val="fr-FR" w:eastAsia="en-US"/>
        </w:rPr>
        <w:t>a</w:t>
      </w:r>
      <w:r w:rsidR="001C3838" w:rsidRPr="00115A34">
        <w:rPr>
          <w:rFonts w:eastAsia="Calibri"/>
          <w:sz w:val="22"/>
          <w:szCs w:val="22"/>
          <w:lang w:val="fr-FR" w:eastAsia="en-US"/>
        </w:rPr>
        <w:t xml:space="preserve">ndations </w:t>
      </w:r>
      <w:r w:rsidR="00485356">
        <w:rPr>
          <w:rFonts w:eastAsia="Calibri"/>
          <w:sz w:val="22"/>
          <w:szCs w:val="22"/>
          <w:lang w:val="fr-FR" w:eastAsia="en-US"/>
        </w:rPr>
        <w:t>en vue de leur mise en œuvre (voir aussi l’avant-projet de Ré</w:t>
      </w:r>
      <w:r w:rsidR="001C3838" w:rsidRPr="00115A34">
        <w:rPr>
          <w:rFonts w:eastAsia="Calibri"/>
          <w:sz w:val="22"/>
          <w:szCs w:val="22"/>
          <w:lang w:val="fr-FR" w:eastAsia="en-US"/>
        </w:rPr>
        <w:t>solution 8.15).</w:t>
      </w:r>
    </w:p>
    <w:p w14:paraId="06617CAA" w14:textId="77777777" w:rsidR="001C3838" w:rsidRPr="00115A34" w:rsidRDefault="001C3838" w:rsidP="00AC7338">
      <w:pPr>
        <w:rPr>
          <w:b/>
          <w:lang w:val="fr-FR"/>
        </w:rPr>
      </w:pPr>
    </w:p>
    <w:p w14:paraId="2200613D" w14:textId="77777777" w:rsidR="001C3838" w:rsidRPr="00115A34" w:rsidRDefault="001C3838" w:rsidP="00AC7338">
      <w:pPr>
        <w:rPr>
          <w:b/>
          <w:lang w:val="fr-FR"/>
        </w:rPr>
      </w:pPr>
    </w:p>
    <w:p w14:paraId="0AA50ED8" w14:textId="77777777" w:rsidR="001C3838" w:rsidRPr="00115A34" w:rsidRDefault="001C3838" w:rsidP="00AC7338">
      <w:pPr>
        <w:rPr>
          <w:b/>
          <w:lang w:val="fr-FR"/>
        </w:rPr>
      </w:pPr>
    </w:p>
    <w:p w14:paraId="55F58A36" w14:textId="77777777" w:rsidR="001C3838" w:rsidRPr="00115A34" w:rsidRDefault="001C3838" w:rsidP="00AC7338">
      <w:pPr>
        <w:rPr>
          <w:b/>
          <w:lang w:val="fr-FR"/>
        </w:rPr>
      </w:pPr>
    </w:p>
    <w:p w14:paraId="4A812647" w14:textId="77777777" w:rsidR="001C3838" w:rsidRPr="00115A34" w:rsidRDefault="001C3838" w:rsidP="00AC7338">
      <w:pPr>
        <w:rPr>
          <w:b/>
          <w:lang w:val="fr-FR"/>
        </w:rPr>
      </w:pPr>
    </w:p>
    <w:p w14:paraId="1FA52F10" w14:textId="77777777" w:rsidR="001C3838" w:rsidRPr="00115A34" w:rsidRDefault="001C3838" w:rsidP="00AC7338">
      <w:pPr>
        <w:rPr>
          <w:b/>
          <w:lang w:val="fr-FR"/>
        </w:rPr>
      </w:pPr>
    </w:p>
    <w:p w14:paraId="56B7BC02" w14:textId="37E989A5" w:rsidR="001C3838" w:rsidRPr="00115A34" w:rsidRDefault="001C3838" w:rsidP="00AC7338">
      <w:pPr>
        <w:rPr>
          <w:b/>
          <w:lang w:val="fr-FR"/>
        </w:rPr>
      </w:pPr>
    </w:p>
    <w:p w14:paraId="155252DD" w14:textId="77777777" w:rsidR="00F443AE" w:rsidRPr="00115A34" w:rsidRDefault="00F443AE" w:rsidP="00AC7338">
      <w:pPr>
        <w:rPr>
          <w:b/>
          <w:lang w:val="fr-FR"/>
        </w:rPr>
      </w:pPr>
    </w:p>
    <w:p w14:paraId="6678C9DC" w14:textId="77777777" w:rsidR="001C3838" w:rsidRPr="00115A34" w:rsidRDefault="001C3838" w:rsidP="00AC7338">
      <w:pPr>
        <w:rPr>
          <w:sz w:val="22"/>
          <w:szCs w:val="22"/>
          <w:lang w:val="fr-FR"/>
        </w:rPr>
      </w:pPr>
    </w:p>
    <w:p w14:paraId="2B3CFD52" w14:textId="77777777" w:rsidR="00E1163B" w:rsidRPr="00115A34" w:rsidRDefault="00E1163B" w:rsidP="00AC7338">
      <w:pPr>
        <w:rPr>
          <w:sz w:val="22"/>
          <w:szCs w:val="22"/>
          <w:lang w:val="fr-FR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fr-FR" w:eastAsia="en-GB"/>
        </w:rPr>
        <w:id w:val="-6678673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75D431C" w14:textId="6DA8E410" w:rsidR="00E1163B" w:rsidRPr="00115A34" w:rsidRDefault="00485356">
          <w:pPr>
            <w:pStyle w:val="TOCHeading"/>
            <w:rPr>
              <w:rFonts w:ascii="Times New Roman" w:hAnsi="Times New Roman" w:cs="Times New Roman"/>
              <w:sz w:val="28"/>
              <w:szCs w:val="28"/>
              <w:lang w:val="fr-FR"/>
            </w:rPr>
          </w:pPr>
          <w:r>
            <w:rPr>
              <w:rFonts w:ascii="Times New Roman" w:hAnsi="Times New Roman" w:cs="Times New Roman"/>
              <w:sz w:val="28"/>
              <w:szCs w:val="28"/>
              <w:lang w:val="fr-FR"/>
            </w:rPr>
            <w:t>Table des matières</w:t>
          </w:r>
        </w:p>
        <w:p w14:paraId="0FED9856" w14:textId="510CBF2B" w:rsidR="002C4205" w:rsidRDefault="00E1163B">
          <w:pPr>
            <w:pStyle w:val="TOC1"/>
            <w:tabs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r w:rsidRPr="00115A34">
            <w:rPr>
              <w:lang w:val="fr-FR"/>
            </w:rPr>
            <w:fldChar w:fldCharType="begin"/>
          </w:r>
          <w:r w:rsidRPr="00115A34">
            <w:rPr>
              <w:lang w:val="fr-FR"/>
            </w:rPr>
            <w:instrText xml:space="preserve"> TOC \o "1-3" \h \z \u </w:instrText>
          </w:r>
          <w:r w:rsidRPr="00115A34">
            <w:rPr>
              <w:lang w:val="fr-FR"/>
            </w:rPr>
            <w:fldChar w:fldCharType="separate"/>
          </w:r>
          <w:hyperlink w:anchor="_Toc112941096" w:history="1">
            <w:r w:rsidR="002C4205" w:rsidRPr="00DF1D58">
              <w:rPr>
                <w:rStyle w:val="Hyperlink"/>
                <w:noProof/>
                <w:lang w:val="fr-FR"/>
              </w:rPr>
              <w:t>Introduction et objectif de ce document</w:t>
            </w:r>
            <w:r w:rsidR="002C4205">
              <w:rPr>
                <w:noProof/>
                <w:webHidden/>
              </w:rPr>
              <w:tab/>
            </w:r>
            <w:r w:rsidR="002C4205">
              <w:rPr>
                <w:noProof/>
                <w:webHidden/>
              </w:rPr>
              <w:fldChar w:fldCharType="begin"/>
            </w:r>
            <w:r w:rsidR="002C4205">
              <w:rPr>
                <w:noProof/>
                <w:webHidden/>
              </w:rPr>
              <w:instrText xml:space="preserve"> PAGEREF _Toc112941096 \h </w:instrText>
            </w:r>
            <w:r w:rsidR="002C4205">
              <w:rPr>
                <w:noProof/>
                <w:webHidden/>
              </w:rPr>
            </w:r>
            <w:r w:rsidR="002C4205">
              <w:rPr>
                <w:noProof/>
                <w:webHidden/>
              </w:rPr>
              <w:fldChar w:fldCharType="separate"/>
            </w:r>
            <w:r w:rsidR="00BD1F43">
              <w:rPr>
                <w:noProof/>
                <w:webHidden/>
              </w:rPr>
              <w:t>3</w:t>
            </w:r>
            <w:r w:rsidR="002C4205">
              <w:rPr>
                <w:noProof/>
                <w:webHidden/>
              </w:rPr>
              <w:fldChar w:fldCharType="end"/>
            </w:r>
          </w:hyperlink>
        </w:p>
        <w:p w14:paraId="28F9C248" w14:textId="05C01294" w:rsidR="002C4205" w:rsidRDefault="00BD1F43">
          <w:pPr>
            <w:pStyle w:val="TOC1"/>
            <w:tabs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112941097" w:history="1">
            <w:r w:rsidR="002C4205" w:rsidRPr="00DF1D58">
              <w:rPr>
                <w:rStyle w:val="Hyperlink"/>
                <w:noProof/>
                <w:lang w:val="fr-FR"/>
              </w:rPr>
              <w:t>Qu’entendons-nous par « influencer » ?</w:t>
            </w:r>
            <w:r w:rsidR="002C4205">
              <w:rPr>
                <w:noProof/>
                <w:webHidden/>
              </w:rPr>
              <w:tab/>
            </w:r>
            <w:r w:rsidR="002C4205">
              <w:rPr>
                <w:noProof/>
                <w:webHidden/>
              </w:rPr>
              <w:fldChar w:fldCharType="begin"/>
            </w:r>
            <w:r w:rsidR="002C4205">
              <w:rPr>
                <w:noProof/>
                <w:webHidden/>
              </w:rPr>
              <w:instrText xml:space="preserve"> PAGEREF _Toc112941097 \h </w:instrText>
            </w:r>
            <w:r w:rsidR="002C4205">
              <w:rPr>
                <w:noProof/>
                <w:webHidden/>
              </w:rPr>
            </w:r>
            <w:r w:rsidR="002C420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C4205">
              <w:rPr>
                <w:noProof/>
                <w:webHidden/>
              </w:rPr>
              <w:fldChar w:fldCharType="end"/>
            </w:r>
          </w:hyperlink>
        </w:p>
        <w:p w14:paraId="109F0FFD" w14:textId="6300BE0A" w:rsidR="002C4205" w:rsidRDefault="00BD1F43">
          <w:pPr>
            <w:pStyle w:val="TOC1"/>
            <w:tabs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112941098" w:history="1">
            <w:r w:rsidR="002C4205" w:rsidRPr="00DF1D58">
              <w:rPr>
                <w:rStyle w:val="Hyperlink"/>
                <w:noProof/>
                <w:lang w:val="fr-FR"/>
              </w:rPr>
              <w:t>Comment les possibilités d’influence ont-elles été priorisées pour cette étude ?</w:t>
            </w:r>
            <w:r w:rsidR="002C4205">
              <w:rPr>
                <w:noProof/>
                <w:webHidden/>
              </w:rPr>
              <w:tab/>
            </w:r>
            <w:r w:rsidR="002C4205">
              <w:rPr>
                <w:noProof/>
                <w:webHidden/>
              </w:rPr>
              <w:fldChar w:fldCharType="begin"/>
            </w:r>
            <w:r w:rsidR="002C4205">
              <w:rPr>
                <w:noProof/>
                <w:webHidden/>
              </w:rPr>
              <w:instrText xml:space="preserve"> PAGEREF _Toc112941098 \h </w:instrText>
            </w:r>
            <w:r w:rsidR="002C4205">
              <w:rPr>
                <w:noProof/>
                <w:webHidden/>
              </w:rPr>
            </w:r>
            <w:r w:rsidR="002C420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C4205">
              <w:rPr>
                <w:noProof/>
                <w:webHidden/>
              </w:rPr>
              <w:fldChar w:fldCharType="end"/>
            </w:r>
          </w:hyperlink>
        </w:p>
        <w:p w14:paraId="4135097E" w14:textId="1C6BDF5A" w:rsidR="002C4205" w:rsidRDefault="00BD1F43">
          <w:pPr>
            <w:pStyle w:val="TOC1"/>
            <w:tabs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112941099" w:history="1">
            <w:r w:rsidR="002C4205" w:rsidRPr="00DF1D58">
              <w:rPr>
                <w:rStyle w:val="Hyperlink"/>
                <w:noProof/>
                <w:lang w:val="fr-FR"/>
              </w:rPr>
              <w:t>Les possibilités relatives à chaque cause de mortalité</w:t>
            </w:r>
            <w:r w:rsidR="002C4205">
              <w:rPr>
                <w:noProof/>
                <w:webHidden/>
              </w:rPr>
              <w:tab/>
            </w:r>
            <w:r w:rsidR="002C4205">
              <w:rPr>
                <w:noProof/>
                <w:webHidden/>
              </w:rPr>
              <w:fldChar w:fldCharType="begin"/>
            </w:r>
            <w:r w:rsidR="002C4205">
              <w:rPr>
                <w:noProof/>
                <w:webHidden/>
              </w:rPr>
              <w:instrText xml:space="preserve"> PAGEREF _Toc112941099 \h </w:instrText>
            </w:r>
            <w:r w:rsidR="002C4205">
              <w:rPr>
                <w:noProof/>
                <w:webHidden/>
              </w:rPr>
            </w:r>
            <w:r w:rsidR="002C420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C4205">
              <w:rPr>
                <w:noProof/>
                <w:webHidden/>
              </w:rPr>
              <w:fldChar w:fldCharType="end"/>
            </w:r>
          </w:hyperlink>
        </w:p>
        <w:p w14:paraId="2ABA0389" w14:textId="2FCC0576" w:rsidR="002C4205" w:rsidRDefault="00BD1F43">
          <w:pPr>
            <w:pStyle w:val="TOC1"/>
            <w:tabs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112941100" w:history="1">
            <w:r w:rsidR="002C4205" w:rsidRPr="00DF1D58">
              <w:rPr>
                <w:rStyle w:val="Hyperlink"/>
                <w:noProof/>
                <w:lang w:val="fr-FR"/>
              </w:rPr>
              <w:t>Conclusions et étapes futures</w:t>
            </w:r>
            <w:r w:rsidR="002C4205">
              <w:rPr>
                <w:noProof/>
                <w:webHidden/>
              </w:rPr>
              <w:tab/>
            </w:r>
            <w:r w:rsidR="002C4205">
              <w:rPr>
                <w:noProof/>
                <w:webHidden/>
              </w:rPr>
              <w:fldChar w:fldCharType="begin"/>
            </w:r>
            <w:r w:rsidR="002C4205">
              <w:rPr>
                <w:noProof/>
                <w:webHidden/>
              </w:rPr>
              <w:instrText xml:space="preserve"> PAGEREF _Toc112941100 \h </w:instrText>
            </w:r>
            <w:r w:rsidR="002C4205">
              <w:rPr>
                <w:noProof/>
                <w:webHidden/>
              </w:rPr>
            </w:r>
            <w:r w:rsidR="002C420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2C4205">
              <w:rPr>
                <w:noProof/>
                <w:webHidden/>
              </w:rPr>
              <w:fldChar w:fldCharType="end"/>
            </w:r>
          </w:hyperlink>
        </w:p>
        <w:p w14:paraId="2FE47FDC" w14:textId="3D2673AA" w:rsidR="00E1163B" w:rsidRPr="00115A34" w:rsidRDefault="00E1163B">
          <w:pPr>
            <w:rPr>
              <w:lang w:val="fr-FR"/>
            </w:rPr>
          </w:pPr>
          <w:r w:rsidRPr="00115A34">
            <w:rPr>
              <w:b/>
              <w:bCs/>
              <w:noProof/>
              <w:lang w:val="fr-FR"/>
            </w:rPr>
            <w:fldChar w:fldCharType="end"/>
          </w:r>
        </w:p>
      </w:sdtContent>
    </w:sdt>
    <w:p w14:paraId="1C0B88D7" w14:textId="319CA3A2" w:rsidR="00AC7338" w:rsidRPr="00115A34" w:rsidRDefault="00AC7338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613E397F" w14:textId="2B309E18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032DDA36" w14:textId="1118F4C7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057341C1" w14:textId="31AE29DC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01889EDD" w14:textId="714331C4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39D90FDC" w14:textId="57424044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23A84646" w14:textId="099CAF8B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5B071F3E" w14:textId="3B466CC2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17C72326" w14:textId="4D9C2605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7A6B7703" w14:textId="07C1AF32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2C6AC371" w14:textId="16D89B52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0ECB6764" w14:textId="2C4A2F8F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350F5EAF" w14:textId="29B04255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69ED79CA" w14:textId="56661C17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265072CD" w14:textId="7750F125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77400E00" w14:textId="6F66160D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3A68DAE6" w14:textId="63A26BDD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6910F3F8" w14:textId="4A6C6682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3BA554E8" w14:textId="50B70D4A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1985B4E4" w14:textId="39793C9C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7B1705D5" w14:textId="3D47C26D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04FAA7CB" w14:textId="1F03C235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6E3E2C37" w14:textId="62332653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5F52312A" w14:textId="6F35117D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61ECE491" w14:textId="580967C4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19EF80AF" w14:textId="5DCEFAB8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68754D11" w14:textId="42E4D81C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6043862F" w14:textId="197F9504" w:rsidR="001C3838" w:rsidRPr="00115A34" w:rsidRDefault="001C3838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4E84690F" w14:textId="48BF3D8A" w:rsidR="001C3838" w:rsidRPr="00115A34" w:rsidRDefault="001C3838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6BA8AFD8" w14:textId="416EF412" w:rsidR="001C3838" w:rsidRPr="00115A34" w:rsidRDefault="001C3838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58962117" w14:textId="1280654C" w:rsidR="001C3838" w:rsidRPr="00115A34" w:rsidRDefault="001C3838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62BAC456" w14:textId="320B0C22" w:rsidR="001C3838" w:rsidRPr="00115A34" w:rsidRDefault="001C3838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6CDD359D" w14:textId="7D5EA9E3" w:rsidR="001C3838" w:rsidRPr="00115A34" w:rsidRDefault="001C3838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33A8725C" w14:textId="603807DD" w:rsidR="001C3838" w:rsidRPr="00115A34" w:rsidRDefault="001C3838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60929E52" w14:textId="73D0A559" w:rsidR="001C3838" w:rsidRPr="00115A34" w:rsidRDefault="001C3838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26644750" w14:textId="0A7C3D52" w:rsidR="001C3838" w:rsidRPr="00115A34" w:rsidRDefault="001C3838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5B492FB4" w14:textId="21B80015" w:rsidR="00F443AE" w:rsidRPr="00115A34" w:rsidRDefault="00F443AE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2AE7EA7D" w14:textId="1E1B947B" w:rsidR="00F443AE" w:rsidRPr="00115A34" w:rsidRDefault="00F443AE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231BE8B6" w14:textId="00BB402C" w:rsidR="00F443AE" w:rsidRPr="00115A34" w:rsidRDefault="00F443AE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2A999859" w14:textId="6176694B" w:rsidR="00F443AE" w:rsidRPr="00115A34" w:rsidRDefault="00F443AE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16B25B38" w14:textId="77777777" w:rsidR="00F443AE" w:rsidRPr="00115A34" w:rsidRDefault="00F443AE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44C49EC5" w14:textId="460BB8D1" w:rsidR="001C3838" w:rsidRPr="00115A34" w:rsidRDefault="001C3838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4ABE0E2E" w14:textId="77777777" w:rsidR="001C3838" w:rsidRPr="00115A34" w:rsidRDefault="001C3838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6D1A86D5" w14:textId="701441E4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5430AB1B" w14:textId="77777777" w:rsidR="005E2A1E" w:rsidRPr="00115A34" w:rsidRDefault="005E2A1E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5D1DA60D" w14:textId="77777777" w:rsidR="00E1163B" w:rsidRPr="00115A34" w:rsidRDefault="00E1163B" w:rsidP="005D197C">
      <w:pPr>
        <w:shd w:val="clear" w:color="auto" w:fill="FFFFFF" w:themeFill="background1"/>
        <w:rPr>
          <w:sz w:val="22"/>
          <w:szCs w:val="22"/>
          <w:lang w:val="fr-FR"/>
        </w:rPr>
      </w:pPr>
    </w:p>
    <w:p w14:paraId="6A3AFD9A" w14:textId="77777777" w:rsidR="002B5FE9" w:rsidRPr="00115A34" w:rsidRDefault="002B5FE9" w:rsidP="005D197C">
      <w:pPr>
        <w:shd w:val="clear" w:color="auto" w:fill="FFFFFF" w:themeFill="background1"/>
        <w:rPr>
          <w:sz w:val="10"/>
          <w:szCs w:val="10"/>
          <w:lang w:val="fr-FR"/>
        </w:rPr>
      </w:pPr>
    </w:p>
    <w:p w14:paraId="03288A85" w14:textId="509B837A" w:rsidR="005D197C" w:rsidRPr="00115A34" w:rsidRDefault="00506507" w:rsidP="00E1163B">
      <w:pPr>
        <w:pStyle w:val="Heading1"/>
        <w:keepNext/>
        <w:tabs>
          <w:tab w:val="left" w:pos="5780"/>
        </w:tabs>
        <w:spacing w:before="0" w:beforeAutospacing="0" w:after="0" w:afterAutospacing="0"/>
        <w:rPr>
          <w:bCs w:val="0"/>
          <w:color w:val="264D74"/>
          <w:sz w:val="24"/>
          <w:szCs w:val="24"/>
          <w:lang w:val="fr-FR"/>
        </w:rPr>
      </w:pPr>
      <w:bookmarkStart w:id="1" w:name="_Toc112941096"/>
      <w:r w:rsidRPr="00115A34">
        <w:rPr>
          <w:bCs w:val="0"/>
          <w:color w:val="264D74"/>
          <w:sz w:val="24"/>
          <w:szCs w:val="24"/>
          <w:lang w:val="fr-FR"/>
        </w:rPr>
        <w:t xml:space="preserve">Introduction </w:t>
      </w:r>
      <w:r w:rsidR="00B2405B">
        <w:rPr>
          <w:bCs w:val="0"/>
          <w:color w:val="264D74"/>
          <w:sz w:val="24"/>
          <w:szCs w:val="24"/>
          <w:lang w:val="fr-FR"/>
        </w:rPr>
        <w:t>et objectif de ce</w:t>
      </w:r>
      <w:r w:rsidRPr="00115A34">
        <w:rPr>
          <w:bCs w:val="0"/>
          <w:color w:val="264D74"/>
          <w:sz w:val="24"/>
          <w:szCs w:val="24"/>
          <w:lang w:val="fr-FR"/>
        </w:rPr>
        <w:t xml:space="preserve"> </w:t>
      </w:r>
      <w:r w:rsidR="00B2405B">
        <w:rPr>
          <w:bCs w:val="0"/>
          <w:color w:val="264D74"/>
          <w:sz w:val="24"/>
          <w:szCs w:val="24"/>
          <w:lang w:val="fr-FR"/>
        </w:rPr>
        <w:t>d</w:t>
      </w:r>
      <w:r w:rsidRPr="00115A34">
        <w:rPr>
          <w:bCs w:val="0"/>
          <w:color w:val="264D74"/>
          <w:sz w:val="24"/>
          <w:szCs w:val="24"/>
          <w:lang w:val="fr-FR"/>
        </w:rPr>
        <w:t>ocument</w:t>
      </w:r>
      <w:bookmarkEnd w:id="1"/>
    </w:p>
    <w:p w14:paraId="3838C695" w14:textId="77777777" w:rsidR="005D197C" w:rsidRPr="00115A34" w:rsidRDefault="005D197C" w:rsidP="00B054EE">
      <w:pPr>
        <w:rPr>
          <w:sz w:val="22"/>
          <w:szCs w:val="22"/>
          <w:lang w:val="fr-FR"/>
        </w:rPr>
      </w:pPr>
    </w:p>
    <w:p w14:paraId="3E3EF1B2" w14:textId="5A409B58" w:rsidR="0024288E" w:rsidRPr="00115A34" w:rsidRDefault="00B2405B" w:rsidP="0050650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Les cinq</w:t>
      </w:r>
      <w:r w:rsidR="0024288E" w:rsidRPr="00115A34">
        <w:rPr>
          <w:sz w:val="22"/>
          <w:szCs w:val="22"/>
          <w:lang w:val="fr-FR"/>
        </w:rPr>
        <w:t xml:space="preserve"> objecti</w:t>
      </w:r>
      <w:r>
        <w:rPr>
          <w:sz w:val="22"/>
          <w:szCs w:val="22"/>
          <w:lang w:val="fr-FR"/>
        </w:rPr>
        <w:t>fs</w:t>
      </w:r>
      <w:r w:rsidR="0024288E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du Plan stratégique 2019-2027 de l’</w:t>
      </w:r>
      <w:r w:rsidR="0024288E" w:rsidRPr="00115A34">
        <w:rPr>
          <w:sz w:val="22"/>
          <w:szCs w:val="22"/>
          <w:lang w:val="fr-FR"/>
        </w:rPr>
        <w:t xml:space="preserve">AEWA </w:t>
      </w:r>
      <w:r>
        <w:rPr>
          <w:sz w:val="22"/>
          <w:szCs w:val="22"/>
          <w:lang w:val="fr-FR"/>
        </w:rPr>
        <w:t>comprennent</w:t>
      </w:r>
      <w:r w:rsidR="0024288E" w:rsidRPr="00115A34">
        <w:rPr>
          <w:sz w:val="22"/>
          <w:szCs w:val="22"/>
          <w:lang w:val="fr-FR"/>
        </w:rPr>
        <w:t xml:space="preserve"> (No.1) </w:t>
      </w:r>
      <w:r>
        <w:rPr>
          <w:sz w:val="22"/>
          <w:szCs w:val="22"/>
          <w:lang w:val="fr-FR"/>
        </w:rPr>
        <w:t>« </w:t>
      </w:r>
      <w:r>
        <w:rPr>
          <w:i/>
          <w:sz w:val="22"/>
          <w:szCs w:val="22"/>
          <w:lang w:val="fr-FR"/>
        </w:rPr>
        <w:t>Renforcer la</w:t>
      </w:r>
      <w:r w:rsidR="0024288E" w:rsidRPr="00115A34">
        <w:rPr>
          <w:i/>
          <w:sz w:val="22"/>
          <w:szCs w:val="22"/>
          <w:lang w:val="fr-FR"/>
        </w:rPr>
        <w:t xml:space="preserve"> conservation</w:t>
      </w:r>
      <w:r>
        <w:rPr>
          <w:i/>
          <w:sz w:val="22"/>
          <w:szCs w:val="22"/>
          <w:lang w:val="fr-FR"/>
        </w:rPr>
        <w:t xml:space="preserve"> et le rétablissement des espèces, et réduire les causes de mortalité inutile</w:t>
      </w:r>
      <w:r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»</w:t>
      </w:r>
      <w:r w:rsidR="0024288E" w:rsidRPr="00115A34">
        <w:rPr>
          <w:sz w:val="22"/>
          <w:szCs w:val="22"/>
          <w:lang w:val="fr-FR"/>
        </w:rPr>
        <w:t xml:space="preserve">.  </w:t>
      </w:r>
      <w:r>
        <w:rPr>
          <w:sz w:val="22"/>
          <w:szCs w:val="22"/>
          <w:lang w:val="fr-FR"/>
        </w:rPr>
        <w:t>La Cible</w:t>
      </w:r>
      <w:r w:rsidR="0024288E" w:rsidRPr="00115A34">
        <w:rPr>
          <w:sz w:val="22"/>
          <w:szCs w:val="22"/>
          <w:lang w:val="fr-FR"/>
        </w:rPr>
        <w:t xml:space="preserve"> 1.6 </w:t>
      </w:r>
      <w:r>
        <w:rPr>
          <w:sz w:val="22"/>
          <w:szCs w:val="22"/>
          <w:lang w:val="fr-FR"/>
        </w:rPr>
        <w:t>du</w:t>
      </w:r>
      <w:r w:rsidR="0024288E" w:rsidRPr="00115A34">
        <w:rPr>
          <w:sz w:val="22"/>
          <w:szCs w:val="22"/>
          <w:lang w:val="fr-FR"/>
        </w:rPr>
        <w:t xml:space="preserve"> Plan </w:t>
      </w:r>
      <w:r>
        <w:rPr>
          <w:sz w:val="22"/>
          <w:szCs w:val="22"/>
          <w:lang w:val="fr-FR"/>
        </w:rPr>
        <w:t>prévoit</w:t>
      </w:r>
      <w:r w:rsidR="0024288E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que</w:t>
      </w:r>
      <w:r w:rsidR="0024288E" w:rsidRPr="00115A34">
        <w:rPr>
          <w:sz w:val="22"/>
          <w:szCs w:val="22"/>
          <w:lang w:val="fr-FR"/>
        </w:rPr>
        <w:t xml:space="preserve"> </w:t>
      </w:r>
      <w:r w:rsidRPr="00B2405B">
        <w:rPr>
          <w:i/>
          <w:iCs/>
          <w:sz w:val="22"/>
          <w:szCs w:val="22"/>
          <w:lang w:val="fr-FR"/>
        </w:rPr>
        <w:t>« Les priorités de l’</w:t>
      </w:r>
      <w:r w:rsidR="0024288E" w:rsidRPr="00B2405B">
        <w:rPr>
          <w:i/>
          <w:iCs/>
          <w:sz w:val="22"/>
          <w:szCs w:val="22"/>
          <w:lang w:val="fr-FR"/>
        </w:rPr>
        <w:t>AEWA</w:t>
      </w:r>
      <w:r>
        <w:rPr>
          <w:i/>
          <w:iCs/>
          <w:sz w:val="22"/>
          <w:szCs w:val="22"/>
          <w:lang w:val="fr-FR"/>
        </w:rPr>
        <w:t xml:space="preserve"> relatives aux quatre causes de mortalité supplémentaire inutile</w:t>
      </w:r>
      <w:r w:rsidR="0024288E" w:rsidRPr="00115A34">
        <w:rPr>
          <w:i/>
          <w:sz w:val="22"/>
          <w:szCs w:val="22"/>
          <w:lang w:val="fr-FR"/>
        </w:rPr>
        <w:t xml:space="preserve"> </w:t>
      </w:r>
      <w:r>
        <w:rPr>
          <w:i/>
          <w:sz w:val="22"/>
          <w:szCs w:val="22"/>
          <w:lang w:val="fr-FR"/>
        </w:rPr>
        <w:t>et à d’autres principales menaces pesant sur les oiseaux d’eau migrateurs et leurs habitats</w:t>
      </w:r>
      <w:r w:rsidR="0024288E" w:rsidRPr="00115A34">
        <w:rPr>
          <w:i/>
          <w:sz w:val="22"/>
          <w:szCs w:val="22"/>
          <w:lang w:val="fr-FR"/>
        </w:rPr>
        <w:t xml:space="preserve"> </w:t>
      </w:r>
      <w:r>
        <w:rPr>
          <w:i/>
          <w:sz w:val="22"/>
          <w:szCs w:val="22"/>
          <w:lang w:val="fr-FR"/>
        </w:rPr>
        <w:t xml:space="preserve">sont </w:t>
      </w:r>
      <w:r w:rsidR="0024288E" w:rsidRPr="00115A34">
        <w:rPr>
          <w:i/>
          <w:sz w:val="22"/>
          <w:szCs w:val="22"/>
          <w:lang w:val="fr-FR"/>
        </w:rPr>
        <w:t>int</w:t>
      </w:r>
      <w:r>
        <w:rPr>
          <w:i/>
          <w:sz w:val="22"/>
          <w:szCs w:val="22"/>
          <w:lang w:val="fr-FR"/>
        </w:rPr>
        <w:t>é</w:t>
      </w:r>
      <w:r w:rsidR="0024288E" w:rsidRPr="00115A34">
        <w:rPr>
          <w:i/>
          <w:sz w:val="22"/>
          <w:szCs w:val="22"/>
          <w:lang w:val="fr-FR"/>
        </w:rPr>
        <w:t>gr</w:t>
      </w:r>
      <w:r>
        <w:rPr>
          <w:i/>
          <w:sz w:val="22"/>
          <w:szCs w:val="22"/>
          <w:lang w:val="fr-FR"/>
        </w:rPr>
        <w:t>ées dans les principaux processus multilatéraux</w:t>
      </w:r>
      <w:r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»</w:t>
      </w:r>
      <w:r w:rsidR="0024288E" w:rsidRPr="00115A34">
        <w:rPr>
          <w:sz w:val="22"/>
          <w:szCs w:val="22"/>
          <w:lang w:val="fr-FR"/>
        </w:rPr>
        <w:t>.</w:t>
      </w:r>
    </w:p>
    <w:p w14:paraId="7E8C9874" w14:textId="77777777" w:rsidR="0024288E" w:rsidRPr="00115A34" w:rsidRDefault="0024288E" w:rsidP="00506507">
      <w:pPr>
        <w:jc w:val="both"/>
        <w:rPr>
          <w:sz w:val="22"/>
          <w:szCs w:val="22"/>
          <w:lang w:val="fr-FR"/>
        </w:rPr>
      </w:pPr>
    </w:p>
    <w:p w14:paraId="2B9B3CFC" w14:textId="560B06F9" w:rsidR="0024288E" w:rsidRPr="00115A34" w:rsidRDefault="00133B65" w:rsidP="00506507">
      <w:pPr>
        <w:spacing w:after="4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Les</w:t>
      </w:r>
      <w:r w:rsidR="0024288E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« quatre</w:t>
      </w:r>
      <w:r w:rsidR="0024288E" w:rsidRPr="00115A34">
        <w:rPr>
          <w:sz w:val="22"/>
          <w:szCs w:val="22"/>
          <w:lang w:val="fr-FR"/>
        </w:rPr>
        <w:t xml:space="preserve"> causes</w:t>
      </w:r>
      <w:r>
        <w:rPr>
          <w:sz w:val="22"/>
          <w:szCs w:val="22"/>
          <w:lang w:val="fr-FR"/>
        </w:rPr>
        <w:t> » invoquées sont les suivantes,</w:t>
      </w:r>
    </w:p>
    <w:p w14:paraId="70F2C7AC" w14:textId="495DC49F" w:rsidR="0024288E" w:rsidRPr="00115A34" w:rsidRDefault="00133B65" w:rsidP="00506507">
      <w:pPr>
        <w:pStyle w:val="ListParagraph"/>
        <w:numPr>
          <w:ilvl w:val="0"/>
          <w:numId w:val="22"/>
        </w:numPr>
        <w:spacing w:after="20"/>
        <w:ind w:left="714" w:hanging="357"/>
        <w:contextualSpacing w:val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les</w:t>
      </w:r>
      <w:r w:rsidR="0024288E" w:rsidRPr="00115A34">
        <w:rPr>
          <w:sz w:val="22"/>
          <w:szCs w:val="22"/>
          <w:lang w:val="fr-FR"/>
        </w:rPr>
        <w:t xml:space="preserve"> infrastructure</w:t>
      </w:r>
      <w:r>
        <w:rPr>
          <w:sz w:val="22"/>
          <w:szCs w:val="22"/>
          <w:lang w:val="fr-FR"/>
        </w:rPr>
        <w:t>s relatives à l’énergie</w:t>
      </w:r>
      <w:r w:rsidR="0024288E" w:rsidRPr="00115A34">
        <w:rPr>
          <w:sz w:val="22"/>
          <w:szCs w:val="22"/>
          <w:lang w:val="fr-FR"/>
        </w:rPr>
        <w:t xml:space="preserve"> (</w:t>
      </w:r>
      <w:r>
        <w:rPr>
          <w:sz w:val="22"/>
          <w:szCs w:val="22"/>
          <w:lang w:val="fr-FR"/>
        </w:rPr>
        <w:t>en particulier les lignes électriques et les éoliennes</w:t>
      </w:r>
      <w:r w:rsidR="0024288E" w:rsidRPr="00115A34">
        <w:rPr>
          <w:sz w:val="22"/>
          <w:szCs w:val="22"/>
          <w:lang w:val="fr-FR"/>
        </w:rPr>
        <w:t>)</w:t>
      </w:r>
      <w:r>
        <w:rPr>
          <w:sz w:val="22"/>
          <w:szCs w:val="22"/>
          <w:lang w:val="fr-FR"/>
        </w:rPr>
        <w:t>,</w:t>
      </w:r>
    </w:p>
    <w:p w14:paraId="4F5421C3" w14:textId="622C1C25" w:rsidR="0024288E" w:rsidRPr="00115A34" w:rsidRDefault="00133B65" w:rsidP="00506507">
      <w:pPr>
        <w:pStyle w:val="ListParagraph"/>
        <w:numPr>
          <w:ilvl w:val="0"/>
          <w:numId w:val="22"/>
        </w:numPr>
        <w:spacing w:after="20"/>
        <w:ind w:left="714" w:hanging="357"/>
        <w:contextualSpacing w:val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 prélèvement et l’abattage illégaux,</w:t>
      </w:r>
    </w:p>
    <w:p w14:paraId="13CEF1A9" w14:textId="55994FCE" w:rsidR="0024288E" w:rsidRPr="00115A34" w:rsidRDefault="00133B65" w:rsidP="00506507">
      <w:pPr>
        <w:pStyle w:val="ListParagraph"/>
        <w:numPr>
          <w:ilvl w:val="0"/>
          <w:numId w:val="22"/>
        </w:numPr>
        <w:spacing w:after="20"/>
        <w:ind w:left="714" w:hanging="357"/>
        <w:contextualSpacing w:val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les prises accessoires de la pêche, et</w:t>
      </w:r>
    </w:p>
    <w:p w14:paraId="443BF226" w14:textId="7C28C532" w:rsidR="0024288E" w:rsidRPr="00115A34" w:rsidRDefault="00133B65" w:rsidP="00506507">
      <w:pPr>
        <w:pStyle w:val="ListParagraph"/>
        <w:numPr>
          <w:ilvl w:val="0"/>
          <w:numId w:val="22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les espèces exotiques envahissantes</w:t>
      </w:r>
      <w:r w:rsidR="0024288E" w:rsidRPr="00115A34">
        <w:rPr>
          <w:sz w:val="22"/>
          <w:szCs w:val="22"/>
          <w:lang w:val="fr-FR"/>
        </w:rPr>
        <w:t>.</w:t>
      </w:r>
    </w:p>
    <w:p w14:paraId="36CB8644" w14:textId="77777777" w:rsidR="0024288E" w:rsidRPr="00115A34" w:rsidRDefault="0024288E" w:rsidP="00506507">
      <w:pPr>
        <w:jc w:val="both"/>
        <w:rPr>
          <w:sz w:val="22"/>
          <w:szCs w:val="22"/>
          <w:lang w:val="fr-FR"/>
        </w:rPr>
      </w:pPr>
    </w:p>
    <w:p w14:paraId="32D15495" w14:textId="69A10782" w:rsidR="0024288E" w:rsidRPr="00115A34" w:rsidRDefault="00133B65" w:rsidP="00506507">
      <w:pPr>
        <w:spacing w:after="4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Des exemples de processus multilatéraux pertinents</w:t>
      </w:r>
      <w:r w:rsidR="0024288E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sont</w:t>
      </w:r>
      <w:r w:rsidR="0024288E" w:rsidRPr="00115A34">
        <w:rPr>
          <w:sz w:val="22"/>
          <w:szCs w:val="22"/>
          <w:lang w:val="fr-FR"/>
        </w:rPr>
        <w:t xml:space="preserve"> mention</w:t>
      </w:r>
      <w:r>
        <w:rPr>
          <w:sz w:val="22"/>
          <w:szCs w:val="22"/>
          <w:lang w:val="fr-FR"/>
        </w:rPr>
        <w:t>nés dans le</w:t>
      </w:r>
      <w:r w:rsidR="00992728" w:rsidRPr="00115A34">
        <w:rPr>
          <w:sz w:val="22"/>
          <w:szCs w:val="22"/>
          <w:lang w:val="fr-FR"/>
        </w:rPr>
        <w:t xml:space="preserve"> Plan </w:t>
      </w:r>
      <w:r>
        <w:rPr>
          <w:sz w:val="22"/>
          <w:szCs w:val="22"/>
          <w:lang w:val="fr-FR"/>
        </w:rPr>
        <w:t>comme incluant, mais sans y être limité </w:t>
      </w:r>
      <w:r w:rsidR="0024288E" w:rsidRPr="00115A34">
        <w:rPr>
          <w:sz w:val="22"/>
          <w:szCs w:val="22"/>
          <w:lang w:val="fr-FR"/>
        </w:rPr>
        <w:t>:</w:t>
      </w:r>
    </w:p>
    <w:p w14:paraId="6F0C4B27" w14:textId="64378FF8" w:rsidR="0024288E" w:rsidRPr="00115A34" w:rsidRDefault="00D61565" w:rsidP="00506507">
      <w:pPr>
        <w:pStyle w:val="ListParagraph"/>
        <w:numPr>
          <w:ilvl w:val="0"/>
          <w:numId w:val="23"/>
        </w:numPr>
        <w:spacing w:after="20"/>
        <w:ind w:left="714" w:hanging="357"/>
        <w:contextualSpacing w:val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L’</w:t>
      </w:r>
      <w:r w:rsidR="0024288E" w:rsidRPr="00115A34">
        <w:rPr>
          <w:sz w:val="22"/>
          <w:szCs w:val="22"/>
          <w:lang w:val="fr-FR"/>
        </w:rPr>
        <w:t xml:space="preserve">Agenda </w:t>
      </w:r>
      <w:r>
        <w:rPr>
          <w:sz w:val="22"/>
          <w:szCs w:val="22"/>
          <w:lang w:val="fr-FR"/>
        </w:rPr>
        <w:t>de développement durable 2030 de l’ONU (incluant les</w:t>
      </w:r>
      <w:r w:rsidR="0024288E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Objectifs de développement durable</w:t>
      </w:r>
      <w:r w:rsidR="0024288E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ou ODD</w:t>
      </w:r>
      <w:r w:rsidR="0024288E" w:rsidRPr="00115A34">
        <w:rPr>
          <w:sz w:val="22"/>
          <w:szCs w:val="22"/>
          <w:lang w:val="fr-FR"/>
        </w:rPr>
        <w:t>)</w:t>
      </w:r>
      <w:r>
        <w:rPr>
          <w:sz w:val="22"/>
          <w:szCs w:val="22"/>
          <w:lang w:val="fr-FR"/>
        </w:rPr>
        <w:t>,</w:t>
      </w:r>
    </w:p>
    <w:p w14:paraId="73D322CF" w14:textId="54D74044" w:rsidR="0024288E" w:rsidRPr="00115A34" w:rsidRDefault="00D61565" w:rsidP="00506507">
      <w:pPr>
        <w:pStyle w:val="ListParagraph"/>
        <w:numPr>
          <w:ilvl w:val="0"/>
          <w:numId w:val="23"/>
        </w:numPr>
        <w:spacing w:after="20"/>
        <w:ind w:left="714" w:hanging="357"/>
        <w:contextualSpacing w:val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La</w:t>
      </w:r>
      <w:r w:rsidR="0024288E" w:rsidRPr="00115A34">
        <w:rPr>
          <w:sz w:val="22"/>
          <w:szCs w:val="22"/>
          <w:lang w:val="fr-FR"/>
        </w:rPr>
        <w:t xml:space="preserve"> Convention </w:t>
      </w:r>
      <w:r>
        <w:rPr>
          <w:sz w:val="22"/>
          <w:szCs w:val="22"/>
          <w:lang w:val="fr-FR"/>
        </w:rPr>
        <w:t>sur la diversité biologique</w:t>
      </w:r>
      <w:r w:rsidR="0024288E" w:rsidRPr="00115A34">
        <w:rPr>
          <w:sz w:val="22"/>
          <w:szCs w:val="22"/>
          <w:lang w:val="fr-FR"/>
        </w:rPr>
        <w:t xml:space="preserve"> (C</w:t>
      </w:r>
      <w:r w:rsidR="00527D77">
        <w:rPr>
          <w:sz w:val="22"/>
          <w:szCs w:val="22"/>
          <w:lang w:val="fr-FR"/>
        </w:rPr>
        <w:t>D</w:t>
      </w:r>
      <w:r w:rsidR="0024288E" w:rsidRPr="00115A34">
        <w:rPr>
          <w:sz w:val="22"/>
          <w:szCs w:val="22"/>
          <w:lang w:val="fr-FR"/>
        </w:rPr>
        <w:t>B)</w:t>
      </w:r>
      <w:r>
        <w:rPr>
          <w:sz w:val="22"/>
          <w:szCs w:val="22"/>
          <w:lang w:val="fr-FR"/>
        </w:rPr>
        <w:t>,</w:t>
      </w:r>
    </w:p>
    <w:p w14:paraId="531F8665" w14:textId="634E470D" w:rsidR="0024288E" w:rsidRPr="00115A34" w:rsidRDefault="00D61565" w:rsidP="00506507">
      <w:pPr>
        <w:pStyle w:val="ListParagraph"/>
        <w:numPr>
          <w:ilvl w:val="0"/>
          <w:numId w:val="23"/>
        </w:numPr>
        <w:spacing w:after="20"/>
        <w:ind w:left="714" w:hanging="357"/>
        <w:contextualSpacing w:val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La</w:t>
      </w:r>
      <w:r w:rsidR="0024288E" w:rsidRPr="00115A34">
        <w:rPr>
          <w:sz w:val="22"/>
          <w:szCs w:val="22"/>
          <w:lang w:val="fr-FR"/>
        </w:rPr>
        <w:t xml:space="preserve"> Convention </w:t>
      </w:r>
      <w:r>
        <w:rPr>
          <w:sz w:val="22"/>
          <w:szCs w:val="22"/>
          <w:lang w:val="fr-FR"/>
        </w:rPr>
        <w:t>sur les espèces migratrices</w:t>
      </w:r>
      <w:r w:rsidR="0024288E" w:rsidRPr="00115A34">
        <w:rPr>
          <w:sz w:val="22"/>
          <w:szCs w:val="22"/>
          <w:lang w:val="fr-FR"/>
        </w:rPr>
        <w:t xml:space="preserve"> (CMS)</w:t>
      </w:r>
      <w:r>
        <w:rPr>
          <w:sz w:val="22"/>
          <w:szCs w:val="22"/>
          <w:lang w:val="fr-FR"/>
        </w:rPr>
        <w:t>,</w:t>
      </w:r>
    </w:p>
    <w:p w14:paraId="2BEB8278" w14:textId="53CE6D4C" w:rsidR="0024288E" w:rsidRPr="00115A34" w:rsidRDefault="00D61565" w:rsidP="00506507">
      <w:pPr>
        <w:pStyle w:val="ListParagraph"/>
        <w:numPr>
          <w:ilvl w:val="0"/>
          <w:numId w:val="23"/>
        </w:numPr>
        <w:spacing w:after="20"/>
        <w:ind w:left="714" w:hanging="357"/>
        <w:contextualSpacing w:val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La</w:t>
      </w:r>
      <w:r w:rsidR="0024288E" w:rsidRPr="00115A34">
        <w:rPr>
          <w:sz w:val="22"/>
          <w:szCs w:val="22"/>
          <w:lang w:val="fr-FR"/>
        </w:rPr>
        <w:t xml:space="preserve"> Convention </w:t>
      </w:r>
      <w:r>
        <w:rPr>
          <w:sz w:val="22"/>
          <w:szCs w:val="22"/>
          <w:lang w:val="fr-FR"/>
        </w:rPr>
        <w:t>sur les zones humides</w:t>
      </w:r>
      <w:r w:rsidR="0024288E" w:rsidRPr="00115A34">
        <w:rPr>
          <w:sz w:val="22"/>
          <w:szCs w:val="22"/>
          <w:lang w:val="fr-FR"/>
        </w:rPr>
        <w:t xml:space="preserve"> (Convention</w:t>
      </w:r>
      <w:r>
        <w:rPr>
          <w:sz w:val="22"/>
          <w:szCs w:val="22"/>
          <w:lang w:val="fr-FR"/>
        </w:rPr>
        <w:t xml:space="preserve"> de Ramsar</w:t>
      </w:r>
      <w:r w:rsidR="0024288E" w:rsidRPr="00115A34">
        <w:rPr>
          <w:sz w:val="22"/>
          <w:szCs w:val="22"/>
          <w:lang w:val="fr-FR"/>
        </w:rPr>
        <w:t>)</w:t>
      </w:r>
      <w:r>
        <w:rPr>
          <w:sz w:val="22"/>
          <w:szCs w:val="22"/>
          <w:lang w:val="fr-FR"/>
        </w:rPr>
        <w:t>,</w:t>
      </w:r>
    </w:p>
    <w:p w14:paraId="72C18656" w14:textId="39E0EBB9" w:rsidR="0024288E" w:rsidRPr="00115A34" w:rsidRDefault="00D61565" w:rsidP="00506507">
      <w:pPr>
        <w:pStyle w:val="ListParagraph"/>
        <w:numPr>
          <w:ilvl w:val="0"/>
          <w:numId w:val="23"/>
        </w:numPr>
        <w:spacing w:after="20"/>
        <w:ind w:left="714" w:hanging="357"/>
        <w:contextualSpacing w:val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Les o</w:t>
      </w:r>
      <w:r w:rsidR="00992728" w:rsidRPr="00115A34">
        <w:rPr>
          <w:sz w:val="22"/>
          <w:szCs w:val="22"/>
          <w:lang w:val="fr-FR"/>
        </w:rPr>
        <w:t xml:space="preserve">rganisations </w:t>
      </w:r>
      <w:r>
        <w:rPr>
          <w:sz w:val="22"/>
          <w:szCs w:val="22"/>
          <w:lang w:val="fr-FR"/>
        </w:rPr>
        <w:t xml:space="preserve">régionales de gestion des pêches </w:t>
      </w:r>
      <w:r w:rsidR="00992728" w:rsidRPr="00115A34">
        <w:rPr>
          <w:sz w:val="22"/>
          <w:szCs w:val="22"/>
          <w:lang w:val="fr-FR"/>
        </w:rPr>
        <w:t>(</w:t>
      </w:r>
      <w:r>
        <w:rPr>
          <w:sz w:val="22"/>
          <w:szCs w:val="22"/>
          <w:lang w:val="fr-FR"/>
        </w:rPr>
        <w:t>ORGP</w:t>
      </w:r>
      <w:r w:rsidR="00992728" w:rsidRPr="00115A34">
        <w:rPr>
          <w:sz w:val="22"/>
          <w:szCs w:val="22"/>
          <w:lang w:val="fr-FR"/>
        </w:rPr>
        <w:t>)</w:t>
      </w:r>
      <w:r>
        <w:rPr>
          <w:sz w:val="22"/>
          <w:szCs w:val="22"/>
          <w:lang w:val="fr-FR"/>
        </w:rPr>
        <w:t>,</w:t>
      </w:r>
      <w:r w:rsidR="00992728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et</w:t>
      </w:r>
      <w:r w:rsidR="0024288E" w:rsidRPr="00115A34">
        <w:rPr>
          <w:sz w:val="22"/>
          <w:szCs w:val="22"/>
          <w:lang w:val="fr-FR"/>
        </w:rPr>
        <w:t xml:space="preserve"> </w:t>
      </w:r>
    </w:p>
    <w:p w14:paraId="1EEA675A" w14:textId="7F9B11B2" w:rsidR="0024288E" w:rsidRPr="00115A34" w:rsidRDefault="00D61565" w:rsidP="00506507">
      <w:pPr>
        <w:pStyle w:val="ListParagraph"/>
        <w:numPr>
          <w:ilvl w:val="0"/>
          <w:numId w:val="23"/>
        </w:numPr>
        <w:spacing w:after="4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La Convention-cadre des </w:t>
      </w:r>
      <w:r w:rsidR="00E62FB8">
        <w:rPr>
          <w:sz w:val="22"/>
          <w:szCs w:val="22"/>
          <w:lang w:val="fr-FR"/>
        </w:rPr>
        <w:t>N</w:t>
      </w:r>
      <w:r>
        <w:rPr>
          <w:sz w:val="22"/>
          <w:szCs w:val="22"/>
          <w:lang w:val="fr-FR"/>
        </w:rPr>
        <w:t>ations Unies sur les changements climatiques</w:t>
      </w:r>
      <w:r w:rsidR="00992728" w:rsidRPr="00115A34">
        <w:rPr>
          <w:sz w:val="22"/>
          <w:szCs w:val="22"/>
          <w:lang w:val="fr-FR"/>
        </w:rPr>
        <w:t xml:space="preserve"> (</w:t>
      </w:r>
      <w:r>
        <w:rPr>
          <w:sz w:val="22"/>
          <w:szCs w:val="22"/>
          <w:lang w:val="fr-FR"/>
        </w:rPr>
        <w:t>CCNUCC</w:t>
      </w:r>
      <w:r w:rsidR="00992728" w:rsidRPr="00115A34">
        <w:rPr>
          <w:sz w:val="22"/>
          <w:szCs w:val="22"/>
          <w:lang w:val="fr-FR"/>
        </w:rPr>
        <w:t>).</w:t>
      </w:r>
    </w:p>
    <w:p w14:paraId="7D7F6530" w14:textId="77777777" w:rsidR="0024288E" w:rsidRPr="00115A34" w:rsidRDefault="0024288E" w:rsidP="00506507">
      <w:pPr>
        <w:jc w:val="both"/>
        <w:rPr>
          <w:sz w:val="22"/>
          <w:szCs w:val="22"/>
          <w:lang w:val="fr-FR"/>
        </w:rPr>
      </w:pPr>
    </w:p>
    <w:p w14:paraId="24B5C630" w14:textId="6927AE96" w:rsidR="005F7185" w:rsidRPr="00115A34" w:rsidRDefault="002A54F5" w:rsidP="0050650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Tout ceci est en lien avec la</w:t>
      </w:r>
      <w:r w:rsidR="002944B2" w:rsidRPr="00115A34">
        <w:rPr>
          <w:sz w:val="22"/>
          <w:szCs w:val="22"/>
          <w:lang w:val="fr-FR"/>
        </w:rPr>
        <w:t xml:space="preserve"> R</w:t>
      </w:r>
      <w:r>
        <w:rPr>
          <w:sz w:val="22"/>
          <w:szCs w:val="22"/>
          <w:lang w:val="fr-FR"/>
        </w:rPr>
        <w:t>é</w:t>
      </w:r>
      <w:r w:rsidR="002944B2" w:rsidRPr="00115A34">
        <w:rPr>
          <w:sz w:val="22"/>
          <w:szCs w:val="22"/>
          <w:lang w:val="fr-FR"/>
        </w:rPr>
        <w:t xml:space="preserve">solution </w:t>
      </w:r>
      <w:r>
        <w:rPr>
          <w:sz w:val="22"/>
          <w:szCs w:val="22"/>
          <w:lang w:val="fr-FR"/>
        </w:rPr>
        <w:t>MOP</w:t>
      </w:r>
      <w:r w:rsidR="002944B2" w:rsidRPr="00115A34">
        <w:rPr>
          <w:sz w:val="22"/>
          <w:szCs w:val="22"/>
          <w:lang w:val="fr-FR"/>
        </w:rPr>
        <w:t>6.12</w:t>
      </w:r>
      <w:r>
        <w:rPr>
          <w:sz w:val="22"/>
          <w:szCs w:val="22"/>
          <w:lang w:val="fr-FR"/>
        </w:rPr>
        <w:t xml:space="preserve"> de l’AEWA</w:t>
      </w:r>
      <w:r w:rsidR="002944B2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(2015) « </w:t>
      </w:r>
      <w:r>
        <w:rPr>
          <w:i/>
          <w:sz w:val="22"/>
          <w:szCs w:val="22"/>
          <w:lang w:val="fr-FR"/>
        </w:rPr>
        <w:t>Éviter une mortalité supplémentaire et inutile d’oiseaux d’eau migrateurs</w:t>
      </w:r>
      <w:r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»</w:t>
      </w:r>
      <w:r w:rsidR="002944B2" w:rsidRPr="00115A34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>qui énonce une série de</w:t>
      </w:r>
      <w:r w:rsidR="002944B2" w:rsidRPr="00115A34">
        <w:rPr>
          <w:sz w:val="22"/>
          <w:szCs w:val="22"/>
          <w:lang w:val="fr-FR"/>
        </w:rPr>
        <w:t xml:space="preserve"> </w:t>
      </w:r>
      <w:r w:rsidR="00F32D9A">
        <w:rPr>
          <w:sz w:val="22"/>
          <w:szCs w:val="22"/>
          <w:lang w:val="fr-FR"/>
        </w:rPr>
        <w:t>r</w:t>
      </w:r>
      <w:r>
        <w:rPr>
          <w:sz w:val="22"/>
          <w:szCs w:val="22"/>
          <w:lang w:val="fr-FR"/>
        </w:rPr>
        <w:t>é</w:t>
      </w:r>
      <w:r w:rsidR="002944B2" w:rsidRPr="00115A34">
        <w:rPr>
          <w:sz w:val="22"/>
          <w:szCs w:val="22"/>
          <w:lang w:val="fr-FR"/>
        </w:rPr>
        <w:t xml:space="preserve">solutions </w:t>
      </w:r>
      <w:r>
        <w:rPr>
          <w:sz w:val="22"/>
          <w:szCs w:val="22"/>
          <w:lang w:val="fr-FR"/>
        </w:rPr>
        <w:t>précédentes de la Réunion des Parties et d’autres</w:t>
      </w:r>
      <w:r w:rsidR="002944B2" w:rsidRPr="00115A34">
        <w:rPr>
          <w:sz w:val="22"/>
          <w:szCs w:val="22"/>
          <w:lang w:val="fr-FR"/>
        </w:rPr>
        <w:t xml:space="preserve"> initiatives </w:t>
      </w:r>
      <w:r>
        <w:rPr>
          <w:sz w:val="22"/>
          <w:szCs w:val="22"/>
          <w:lang w:val="fr-FR"/>
        </w:rPr>
        <w:t>relatives aux menaces individuelles et aux</w:t>
      </w:r>
      <w:r w:rsidR="002944B2" w:rsidRPr="00115A34">
        <w:rPr>
          <w:sz w:val="22"/>
          <w:szCs w:val="22"/>
          <w:lang w:val="fr-FR"/>
        </w:rPr>
        <w:t xml:space="preserve"> causes</w:t>
      </w:r>
      <w:r>
        <w:rPr>
          <w:sz w:val="22"/>
          <w:szCs w:val="22"/>
          <w:lang w:val="fr-FR"/>
        </w:rPr>
        <w:t xml:space="preserve"> de mortalité</w:t>
      </w:r>
      <w:r w:rsidR="002944B2" w:rsidRPr="00115A34">
        <w:rPr>
          <w:sz w:val="22"/>
          <w:szCs w:val="22"/>
          <w:lang w:val="fr-FR"/>
        </w:rPr>
        <w:t xml:space="preserve">, </w:t>
      </w:r>
      <w:r w:rsidR="002D0ADA">
        <w:rPr>
          <w:sz w:val="22"/>
          <w:szCs w:val="22"/>
          <w:lang w:val="fr-FR"/>
        </w:rPr>
        <w:t>prie instamment</w:t>
      </w:r>
      <w:r>
        <w:rPr>
          <w:sz w:val="22"/>
          <w:szCs w:val="22"/>
          <w:lang w:val="fr-FR"/>
        </w:rPr>
        <w:t xml:space="preserve"> les</w:t>
      </w:r>
      <w:r w:rsidR="002944B2" w:rsidRPr="00115A34">
        <w:rPr>
          <w:sz w:val="22"/>
          <w:szCs w:val="22"/>
          <w:lang w:val="fr-FR"/>
        </w:rPr>
        <w:t xml:space="preserve"> Parties </w:t>
      </w:r>
      <w:r w:rsidR="002D0ADA">
        <w:rPr>
          <w:sz w:val="22"/>
          <w:szCs w:val="22"/>
          <w:lang w:val="fr-FR"/>
        </w:rPr>
        <w:t>d’accorder la priorité à l’utilisation de</w:t>
      </w:r>
      <w:r w:rsidR="00747197">
        <w:rPr>
          <w:sz w:val="22"/>
          <w:szCs w:val="22"/>
          <w:lang w:val="fr-FR"/>
        </w:rPr>
        <w:t xml:space="preserve"> ces </w:t>
      </w:r>
      <w:r w:rsidR="009A08D0">
        <w:rPr>
          <w:sz w:val="22"/>
          <w:szCs w:val="22"/>
          <w:lang w:val="fr-FR"/>
        </w:rPr>
        <w:t>résolutions et initiatives,</w:t>
      </w:r>
      <w:r w:rsidR="00747197">
        <w:rPr>
          <w:sz w:val="22"/>
          <w:szCs w:val="22"/>
          <w:lang w:val="fr-FR"/>
        </w:rPr>
        <w:t xml:space="preserve"> et </w:t>
      </w:r>
      <w:r w:rsidR="009A08D0">
        <w:rPr>
          <w:sz w:val="22"/>
          <w:szCs w:val="22"/>
          <w:lang w:val="fr-FR"/>
        </w:rPr>
        <w:t>établit</w:t>
      </w:r>
      <w:r w:rsidR="00747197">
        <w:rPr>
          <w:sz w:val="22"/>
          <w:szCs w:val="22"/>
          <w:lang w:val="fr-FR"/>
        </w:rPr>
        <w:t xml:space="preserve"> un</w:t>
      </w:r>
      <w:r w:rsidR="009A08D0">
        <w:rPr>
          <w:sz w:val="22"/>
          <w:szCs w:val="22"/>
          <w:lang w:val="fr-FR"/>
        </w:rPr>
        <w:t xml:space="preserve"> lien</w:t>
      </w:r>
      <w:r w:rsidR="00747197">
        <w:rPr>
          <w:sz w:val="22"/>
          <w:szCs w:val="22"/>
          <w:lang w:val="fr-FR"/>
        </w:rPr>
        <w:t>, notamment, avec</w:t>
      </w:r>
      <w:r w:rsidR="002944B2" w:rsidRPr="00115A34">
        <w:rPr>
          <w:sz w:val="22"/>
          <w:szCs w:val="22"/>
          <w:lang w:val="fr-FR"/>
        </w:rPr>
        <w:t xml:space="preserve"> </w:t>
      </w:r>
      <w:r w:rsidR="00747197">
        <w:rPr>
          <w:sz w:val="22"/>
          <w:szCs w:val="22"/>
          <w:lang w:val="fr-FR"/>
        </w:rPr>
        <w:t>les ré</w:t>
      </w:r>
      <w:r w:rsidR="002944B2" w:rsidRPr="00115A34">
        <w:rPr>
          <w:sz w:val="22"/>
          <w:szCs w:val="22"/>
          <w:lang w:val="fr-FR"/>
        </w:rPr>
        <w:t>solutions</w:t>
      </w:r>
      <w:r w:rsidR="00747197">
        <w:rPr>
          <w:sz w:val="22"/>
          <w:szCs w:val="22"/>
          <w:lang w:val="fr-FR"/>
        </w:rPr>
        <w:t xml:space="preserve"> et arrangements de travail afférents</w:t>
      </w:r>
      <w:r w:rsidR="002944B2" w:rsidRPr="00115A34">
        <w:rPr>
          <w:sz w:val="22"/>
          <w:szCs w:val="22"/>
          <w:lang w:val="fr-FR"/>
        </w:rPr>
        <w:t xml:space="preserve"> </w:t>
      </w:r>
      <w:r w:rsidR="00747197">
        <w:rPr>
          <w:sz w:val="22"/>
          <w:szCs w:val="22"/>
          <w:lang w:val="fr-FR"/>
        </w:rPr>
        <w:t>de la</w:t>
      </w:r>
      <w:r w:rsidR="002944B2" w:rsidRPr="00115A34">
        <w:rPr>
          <w:sz w:val="22"/>
          <w:szCs w:val="22"/>
          <w:lang w:val="fr-FR"/>
        </w:rPr>
        <w:t xml:space="preserve"> Convention </w:t>
      </w:r>
      <w:r w:rsidR="00747197">
        <w:rPr>
          <w:sz w:val="22"/>
          <w:szCs w:val="22"/>
          <w:lang w:val="fr-FR"/>
        </w:rPr>
        <w:t>sur les espèces migratrices</w:t>
      </w:r>
      <w:r w:rsidR="00C10DD9" w:rsidRPr="00115A34">
        <w:rPr>
          <w:sz w:val="22"/>
          <w:szCs w:val="22"/>
          <w:lang w:val="fr-FR"/>
        </w:rPr>
        <w:t>,</w:t>
      </w:r>
      <w:r w:rsidR="002944B2" w:rsidRPr="00115A34">
        <w:rPr>
          <w:sz w:val="22"/>
          <w:szCs w:val="22"/>
          <w:lang w:val="fr-FR"/>
        </w:rPr>
        <w:t xml:space="preserve"> </w:t>
      </w:r>
      <w:r w:rsidR="00F32D9A">
        <w:rPr>
          <w:sz w:val="22"/>
          <w:szCs w:val="22"/>
          <w:lang w:val="fr-FR"/>
        </w:rPr>
        <w:t>en ce qui concerne l’empoisonnement et l’abattage illégal</w:t>
      </w:r>
      <w:r w:rsidR="002944B2" w:rsidRPr="00115A34">
        <w:rPr>
          <w:sz w:val="22"/>
          <w:szCs w:val="22"/>
          <w:lang w:val="fr-FR"/>
        </w:rPr>
        <w:t>.</w:t>
      </w:r>
      <w:r w:rsidR="005F7185" w:rsidRPr="00115A34">
        <w:rPr>
          <w:sz w:val="22"/>
          <w:szCs w:val="22"/>
          <w:lang w:val="fr-FR"/>
        </w:rPr>
        <w:t xml:space="preserve">  </w:t>
      </w:r>
      <w:r w:rsidR="00F32D9A">
        <w:rPr>
          <w:sz w:val="22"/>
          <w:szCs w:val="22"/>
          <w:lang w:val="fr-FR"/>
        </w:rPr>
        <w:t>Un mandat général</w:t>
      </w:r>
      <w:r w:rsidR="005F7185" w:rsidRPr="00115A34">
        <w:rPr>
          <w:sz w:val="22"/>
          <w:szCs w:val="22"/>
          <w:lang w:val="fr-FR"/>
        </w:rPr>
        <w:t xml:space="preserve"> </w:t>
      </w:r>
      <w:r w:rsidR="00F32D9A">
        <w:rPr>
          <w:sz w:val="22"/>
          <w:szCs w:val="22"/>
          <w:lang w:val="fr-FR"/>
        </w:rPr>
        <w:t>est également contenu</w:t>
      </w:r>
      <w:r w:rsidR="005F7185" w:rsidRPr="00115A34">
        <w:rPr>
          <w:sz w:val="22"/>
          <w:szCs w:val="22"/>
          <w:lang w:val="fr-FR"/>
        </w:rPr>
        <w:t xml:space="preserve"> </w:t>
      </w:r>
      <w:r w:rsidR="00F32D9A">
        <w:rPr>
          <w:sz w:val="22"/>
          <w:szCs w:val="22"/>
          <w:lang w:val="fr-FR"/>
        </w:rPr>
        <w:t>dans l’Accord lui-même (</w:t>
      </w:r>
      <w:r w:rsidR="005F7185" w:rsidRPr="00115A34">
        <w:rPr>
          <w:sz w:val="22"/>
          <w:szCs w:val="22"/>
          <w:lang w:val="fr-FR"/>
        </w:rPr>
        <w:t>Article III.2(e)</w:t>
      </w:r>
      <w:r w:rsidR="00F32D9A">
        <w:rPr>
          <w:sz w:val="22"/>
          <w:szCs w:val="22"/>
          <w:lang w:val="fr-FR"/>
        </w:rPr>
        <w:t>), qui prévoit que les</w:t>
      </w:r>
      <w:r w:rsidR="005F7185" w:rsidRPr="00115A34">
        <w:rPr>
          <w:sz w:val="22"/>
          <w:szCs w:val="22"/>
          <w:lang w:val="fr-FR"/>
        </w:rPr>
        <w:t xml:space="preserve"> Parties </w:t>
      </w:r>
      <w:r w:rsidR="00F32D9A">
        <w:rPr>
          <w:sz w:val="22"/>
          <w:szCs w:val="22"/>
          <w:lang w:val="fr-FR"/>
        </w:rPr>
        <w:t>doivent</w:t>
      </w:r>
      <w:r w:rsidR="005F7185" w:rsidRPr="00115A34">
        <w:rPr>
          <w:sz w:val="22"/>
          <w:szCs w:val="22"/>
          <w:lang w:val="fr-FR"/>
        </w:rPr>
        <w:t xml:space="preserve"> </w:t>
      </w:r>
      <w:r w:rsidR="00F32D9A">
        <w:rPr>
          <w:sz w:val="22"/>
          <w:szCs w:val="22"/>
          <w:lang w:val="fr-FR"/>
        </w:rPr>
        <w:t>« </w:t>
      </w:r>
      <w:r w:rsidR="00F32D9A">
        <w:rPr>
          <w:i/>
          <w:sz w:val="22"/>
          <w:szCs w:val="22"/>
          <w:lang w:val="fr-FR"/>
        </w:rPr>
        <w:t>étudier les problèmes qui se posent</w:t>
      </w:r>
      <w:r w:rsidR="005F7185" w:rsidRPr="00115A34">
        <w:rPr>
          <w:i/>
          <w:sz w:val="22"/>
          <w:szCs w:val="22"/>
          <w:lang w:val="fr-FR"/>
        </w:rPr>
        <w:t xml:space="preserve"> </w:t>
      </w:r>
      <w:r w:rsidR="00F32D9A">
        <w:rPr>
          <w:i/>
          <w:sz w:val="22"/>
          <w:szCs w:val="22"/>
          <w:lang w:val="fr-FR"/>
        </w:rPr>
        <w:t>ou se poseront vraisemblablement du fait d’activités humaines et s’efforcent de mettre en œuvre des mesures correctrices</w:t>
      </w:r>
      <w:r w:rsidR="005F7185" w:rsidRPr="00115A34">
        <w:rPr>
          <w:i/>
          <w:sz w:val="22"/>
          <w:szCs w:val="22"/>
          <w:lang w:val="fr-FR"/>
        </w:rPr>
        <w:t xml:space="preserve">, </w:t>
      </w:r>
      <w:r w:rsidR="00F32D9A">
        <w:rPr>
          <w:i/>
          <w:sz w:val="22"/>
          <w:szCs w:val="22"/>
          <w:lang w:val="fr-FR"/>
        </w:rPr>
        <w:t>y compris des mesures de restauration et de réhabilitation d’habitats</w:t>
      </w:r>
      <w:r w:rsidR="005F7185" w:rsidRPr="00115A34">
        <w:rPr>
          <w:i/>
          <w:sz w:val="22"/>
          <w:szCs w:val="22"/>
          <w:lang w:val="fr-FR"/>
        </w:rPr>
        <w:t xml:space="preserve">, </w:t>
      </w:r>
      <w:r w:rsidR="00F32D9A">
        <w:rPr>
          <w:i/>
          <w:sz w:val="22"/>
          <w:szCs w:val="22"/>
          <w:lang w:val="fr-FR"/>
        </w:rPr>
        <w:t>et des mesures compensatoires pour la perte d’</w:t>
      </w:r>
      <w:r w:rsidR="005F7185" w:rsidRPr="00115A34">
        <w:rPr>
          <w:i/>
          <w:sz w:val="22"/>
          <w:szCs w:val="22"/>
          <w:lang w:val="fr-FR"/>
        </w:rPr>
        <w:t>habitat</w:t>
      </w:r>
      <w:r w:rsidR="00F32D9A">
        <w:rPr>
          <w:sz w:val="22"/>
          <w:szCs w:val="22"/>
          <w:lang w:val="fr-FR"/>
        </w:rPr>
        <w:t> ».</w:t>
      </w:r>
    </w:p>
    <w:p w14:paraId="6C80E9FD" w14:textId="77777777" w:rsidR="005F7185" w:rsidRPr="00115A34" w:rsidRDefault="005F7185" w:rsidP="00506507">
      <w:pPr>
        <w:jc w:val="both"/>
        <w:rPr>
          <w:sz w:val="22"/>
          <w:szCs w:val="22"/>
          <w:lang w:val="fr-FR"/>
        </w:rPr>
      </w:pPr>
    </w:p>
    <w:p w14:paraId="670045F4" w14:textId="1117CA18" w:rsidR="00006FA8" w:rsidRPr="00115A34" w:rsidRDefault="00F32D9A" w:rsidP="0050650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L’objectif du présent document</w:t>
      </w:r>
      <w:r w:rsidR="00DC63CE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est de décrire les possibilités</w:t>
      </w:r>
      <w:r w:rsidR="000B5B90">
        <w:rPr>
          <w:sz w:val="22"/>
          <w:szCs w:val="22"/>
          <w:lang w:val="fr-FR"/>
        </w:rPr>
        <w:t xml:space="preserve"> </w:t>
      </w:r>
      <w:r w:rsidR="009A08D0">
        <w:rPr>
          <w:sz w:val="22"/>
          <w:szCs w:val="22"/>
          <w:lang w:val="fr-FR"/>
        </w:rPr>
        <w:t xml:space="preserve">d’exercer une </w:t>
      </w:r>
      <w:r w:rsidR="000B5B90">
        <w:rPr>
          <w:sz w:val="22"/>
          <w:szCs w:val="22"/>
          <w:lang w:val="fr-FR"/>
        </w:rPr>
        <w:t>influence</w:t>
      </w:r>
      <w:r w:rsidR="009A08D0">
        <w:rPr>
          <w:sz w:val="22"/>
          <w:szCs w:val="22"/>
          <w:lang w:val="fr-FR"/>
        </w:rPr>
        <w:t xml:space="preserve"> su</w:t>
      </w:r>
      <w:r w:rsidR="000B5B90">
        <w:rPr>
          <w:sz w:val="22"/>
          <w:szCs w:val="22"/>
          <w:lang w:val="fr-FR"/>
        </w:rPr>
        <w:t>r les</w:t>
      </w:r>
      <w:r w:rsidR="00E31983" w:rsidRPr="00115A34">
        <w:rPr>
          <w:sz w:val="22"/>
          <w:szCs w:val="22"/>
          <w:lang w:val="fr-FR"/>
        </w:rPr>
        <w:t xml:space="preserve"> </w:t>
      </w:r>
      <w:r w:rsidR="000B5B90">
        <w:rPr>
          <w:sz w:val="22"/>
          <w:szCs w:val="22"/>
          <w:lang w:val="fr-FR"/>
        </w:rPr>
        <w:t>Accords environnementaux multilatéraux (AEM)</w:t>
      </w:r>
      <w:r w:rsidR="00E31983" w:rsidRPr="00115A34">
        <w:rPr>
          <w:sz w:val="22"/>
          <w:szCs w:val="22"/>
          <w:lang w:val="fr-FR"/>
        </w:rPr>
        <w:t xml:space="preserve"> </w:t>
      </w:r>
      <w:r w:rsidR="000B5B90">
        <w:rPr>
          <w:sz w:val="22"/>
          <w:szCs w:val="22"/>
          <w:lang w:val="fr-FR"/>
        </w:rPr>
        <w:t>et autres processus</w:t>
      </w:r>
      <w:r w:rsidR="00E31983" w:rsidRPr="00115A34">
        <w:rPr>
          <w:sz w:val="22"/>
          <w:szCs w:val="22"/>
          <w:lang w:val="fr-FR"/>
        </w:rPr>
        <w:t xml:space="preserve"> multilat</w:t>
      </w:r>
      <w:r w:rsidR="000B5B90">
        <w:rPr>
          <w:sz w:val="22"/>
          <w:szCs w:val="22"/>
          <w:lang w:val="fr-FR"/>
        </w:rPr>
        <w:t>éraux</w:t>
      </w:r>
      <w:r w:rsidR="00E31983" w:rsidRPr="00115A34">
        <w:rPr>
          <w:sz w:val="22"/>
          <w:szCs w:val="22"/>
          <w:lang w:val="fr-FR"/>
        </w:rPr>
        <w:t xml:space="preserve"> </w:t>
      </w:r>
      <w:r w:rsidR="000B5B90">
        <w:rPr>
          <w:sz w:val="22"/>
          <w:szCs w:val="22"/>
          <w:lang w:val="fr-FR"/>
        </w:rPr>
        <w:t>pour prendre en main les causes prioritaires citées de mortalité supplémentaire inutile des oiseaux d’eau migrateurs</w:t>
      </w:r>
      <w:r w:rsidR="00DC63CE" w:rsidRPr="00115A34">
        <w:rPr>
          <w:sz w:val="22"/>
          <w:szCs w:val="22"/>
          <w:lang w:val="fr-FR"/>
        </w:rPr>
        <w:t xml:space="preserve">. </w:t>
      </w:r>
      <w:r w:rsidR="000B5B90">
        <w:rPr>
          <w:sz w:val="22"/>
          <w:szCs w:val="22"/>
          <w:lang w:val="fr-FR"/>
        </w:rPr>
        <w:t>Ceci répond à l’</w:t>
      </w:r>
      <w:r w:rsidR="00006FA8" w:rsidRPr="00115A34">
        <w:rPr>
          <w:sz w:val="22"/>
          <w:szCs w:val="22"/>
          <w:lang w:val="fr-FR"/>
        </w:rPr>
        <w:t xml:space="preserve">Action 1.6 (a) </w:t>
      </w:r>
      <w:r w:rsidR="000B5B90">
        <w:rPr>
          <w:sz w:val="22"/>
          <w:szCs w:val="22"/>
          <w:lang w:val="fr-FR"/>
        </w:rPr>
        <w:t>du Plan</w:t>
      </w:r>
      <w:r w:rsidR="00006FA8" w:rsidRPr="00115A34">
        <w:rPr>
          <w:sz w:val="22"/>
          <w:szCs w:val="22"/>
          <w:lang w:val="fr-FR"/>
        </w:rPr>
        <w:t xml:space="preserve"> </w:t>
      </w:r>
      <w:r w:rsidR="000B5B90">
        <w:rPr>
          <w:sz w:val="22"/>
          <w:szCs w:val="22"/>
          <w:lang w:val="fr-FR"/>
        </w:rPr>
        <w:t>s</w:t>
      </w:r>
      <w:r w:rsidR="00006FA8" w:rsidRPr="00115A34">
        <w:rPr>
          <w:sz w:val="22"/>
          <w:szCs w:val="22"/>
          <w:lang w:val="fr-FR"/>
        </w:rPr>
        <w:t>trat</w:t>
      </w:r>
      <w:r w:rsidR="000B5B90">
        <w:rPr>
          <w:sz w:val="22"/>
          <w:szCs w:val="22"/>
          <w:lang w:val="fr-FR"/>
        </w:rPr>
        <w:t>égique, qui</w:t>
      </w:r>
      <w:r w:rsidR="00006FA8" w:rsidRPr="00115A34">
        <w:rPr>
          <w:sz w:val="22"/>
          <w:szCs w:val="22"/>
          <w:lang w:val="fr-FR"/>
        </w:rPr>
        <w:t xml:space="preserve"> </w:t>
      </w:r>
      <w:r w:rsidR="000B5B90">
        <w:rPr>
          <w:sz w:val="22"/>
          <w:szCs w:val="22"/>
          <w:lang w:val="fr-FR"/>
        </w:rPr>
        <w:t>demande d’« identifier les processus</w:t>
      </w:r>
      <w:r w:rsidR="00006FA8" w:rsidRPr="00115A34">
        <w:rPr>
          <w:sz w:val="22"/>
          <w:szCs w:val="22"/>
          <w:lang w:val="fr-FR"/>
        </w:rPr>
        <w:t xml:space="preserve"> multilat</w:t>
      </w:r>
      <w:r w:rsidR="000B5B90">
        <w:rPr>
          <w:sz w:val="22"/>
          <w:szCs w:val="22"/>
          <w:lang w:val="fr-FR"/>
        </w:rPr>
        <w:t>éraux</w:t>
      </w:r>
      <w:r w:rsidR="00006FA8" w:rsidRPr="00115A34">
        <w:rPr>
          <w:sz w:val="22"/>
          <w:szCs w:val="22"/>
          <w:lang w:val="fr-FR"/>
        </w:rPr>
        <w:t xml:space="preserve"> </w:t>
      </w:r>
      <w:r w:rsidR="000B5B90">
        <w:rPr>
          <w:sz w:val="22"/>
          <w:szCs w:val="22"/>
          <w:lang w:val="fr-FR"/>
        </w:rPr>
        <w:t>pouvant le plus contribuer à faire progresser les priorités de l’</w:t>
      </w:r>
      <w:r w:rsidR="00006FA8" w:rsidRPr="00115A34">
        <w:rPr>
          <w:sz w:val="22"/>
          <w:szCs w:val="22"/>
          <w:lang w:val="fr-FR"/>
        </w:rPr>
        <w:t>AEWA</w:t>
      </w:r>
      <w:r w:rsidR="000B5B90">
        <w:rPr>
          <w:sz w:val="22"/>
          <w:szCs w:val="22"/>
          <w:lang w:val="fr-FR"/>
        </w:rPr>
        <w:t> »</w:t>
      </w:r>
      <w:r w:rsidR="000B5B90" w:rsidRPr="00115A34">
        <w:rPr>
          <w:sz w:val="22"/>
          <w:szCs w:val="22"/>
          <w:lang w:val="fr-FR"/>
        </w:rPr>
        <w:t xml:space="preserve"> </w:t>
      </w:r>
      <w:r w:rsidR="008214A0">
        <w:rPr>
          <w:sz w:val="22"/>
          <w:szCs w:val="22"/>
          <w:lang w:val="fr-FR"/>
        </w:rPr>
        <w:t>et à l’</w:t>
      </w:r>
      <w:r w:rsidR="00006FA8" w:rsidRPr="00115A34">
        <w:rPr>
          <w:sz w:val="22"/>
          <w:szCs w:val="22"/>
          <w:lang w:val="fr-FR"/>
        </w:rPr>
        <w:t>Action 1.6 (b)</w:t>
      </w:r>
      <w:r w:rsidR="008214A0">
        <w:rPr>
          <w:sz w:val="22"/>
          <w:szCs w:val="22"/>
          <w:lang w:val="fr-FR"/>
        </w:rPr>
        <w:t>, qui prévoit d’« </w:t>
      </w:r>
      <w:r w:rsidR="00006FA8" w:rsidRPr="00115A34">
        <w:rPr>
          <w:sz w:val="22"/>
          <w:szCs w:val="22"/>
          <w:lang w:val="fr-FR"/>
        </w:rPr>
        <w:t>identif</w:t>
      </w:r>
      <w:r w:rsidR="008214A0">
        <w:rPr>
          <w:sz w:val="22"/>
          <w:szCs w:val="22"/>
          <w:lang w:val="fr-FR"/>
        </w:rPr>
        <w:t>ier</w:t>
      </w:r>
      <w:r w:rsidR="00006FA8" w:rsidRPr="00115A34">
        <w:rPr>
          <w:sz w:val="22"/>
          <w:szCs w:val="22"/>
          <w:lang w:val="fr-FR"/>
        </w:rPr>
        <w:t xml:space="preserve"> </w:t>
      </w:r>
      <w:r w:rsidR="008214A0">
        <w:rPr>
          <w:sz w:val="22"/>
          <w:szCs w:val="22"/>
          <w:lang w:val="fr-FR"/>
        </w:rPr>
        <w:t xml:space="preserve">les </w:t>
      </w:r>
      <w:r w:rsidR="003C72BB">
        <w:rPr>
          <w:sz w:val="22"/>
          <w:szCs w:val="22"/>
          <w:lang w:val="fr-FR"/>
        </w:rPr>
        <w:t>o</w:t>
      </w:r>
      <w:r w:rsidR="009A08D0">
        <w:rPr>
          <w:sz w:val="22"/>
          <w:szCs w:val="22"/>
          <w:lang w:val="fr-FR"/>
        </w:rPr>
        <w:t>pportunités</w:t>
      </w:r>
      <w:r w:rsidR="003C72BB">
        <w:rPr>
          <w:sz w:val="22"/>
          <w:szCs w:val="22"/>
          <w:lang w:val="fr-FR"/>
        </w:rPr>
        <w:t xml:space="preserve"> stratégiques </w:t>
      </w:r>
      <w:r w:rsidR="00D83E3F">
        <w:rPr>
          <w:sz w:val="22"/>
          <w:szCs w:val="22"/>
          <w:lang w:val="fr-FR"/>
        </w:rPr>
        <w:t xml:space="preserve">pour </w:t>
      </w:r>
      <w:r w:rsidR="001E3AA7">
        <w:rPr>
          <w:sz w:val="22"/>
          <w:szCs w:val="22"/>
          <w:lang w:val="fr-FR"/>
        </w:rPr>
        <w:t>influencer positivement ces processus</w:t>
      </w:r>
      <w:r w:rsidR="00006FA8" w:rsidRPr="00115A34">
        <w:rPr>
          <w:sz w:val="22"/>
          <w:szCs w:val="22"/>
          <w:lang w:val="fr-FR"/>
        </w:rPr>
        <w:t xml:space="preserve"> (</w:t>
      </w:r>
      <w:r w:rsidR="001E3AA7">
        <w:rPr>
          <w:sz w:val="22"/>
          <w:szCs w:val="22"/>
          <w:lang w:val="fr-FR"/>
        </w:rPr>
        <w:t>réunions des organes techniques</w:t>
      </w:r>
      <w:r w:rsidR="00006FA8" w:rsidRPr="00115A34">
        <w:rPr>
          <w:sz w:val="22"/>
          <w:szCs w:val="22"/>
          <w:lang w:val="fr-FR"/>
        </w:rPr>
        <w:t xml:space="preserve">, </w:t>
      </w:r>
      <w:r w:rsidR="001E3AA7">
        <w:rPr>
          <w:sz w:val="22"/>
          <w:szCs w:val="22"/>
          <w:lang w:val="fr-FR"/>
        </w:rPr>
        <w:t>groupes de travail,</w:t>
      </w:r>
      <w:r w:rsidR="00006FA8" w:rsidRPr="00115A34">
        <w:rPr>
          <w:sz w:val="22"/>
          <w:szCs w:val="22"/>
          <w:lang w:val="fr-FR"/>
        </w:rPr>
        <w:t xml:space="preserve"> etc.)</w:t>
      </w:r>
      <w:r w:rsidR="001E3AA7">
        <w:rPr>
          <w:sz w:val="22"/>
          <w:szCs w:val="22"/>
          <w:lang w:val="fr-FR"/>
        </w:rPr>
        <w:t> »</w:t>
      </w:r>
      <w:r w:rsidR="00006FA8" w:rsidRPr="00115A34">
        <w:rPr>
          <w:sz w:val="22"/>
          <w:szCs w:val="22"/>
          <w:lang w:val="fr-FR"/>
        </w:rPr>
        <w:t xml:space="preserve">. </w:t>
      </w:r>
      <w:r w:rsidR="001E3AA7">
        <w:rPr>
          <w:sz w:val="22"/>
          <w:szCs w:val="22"/>
          <w:lang w:val="fr-FR"/>
        </w:rPr>
        <w:t>D’autres actions sont spécifiées qui dépassent le cadre du présent document, mais qui seront soutenues par celui-ci en temps voulu</w:t>
      </w:r>
      <w:r w:rsidR="00006FA8" w:rsidRPr="00115A34">
        <w:rPr>
          <w:sz w:val="22"/>
          <w:szCs w:val="22"/>
          <w:lang w:val="fr-FR"/>
        </w:rPr>
        <w:t>, concern</w:t>
      </w:r>
      <w:r w:rsidR="001E3AA7">
        <w:rPr>
          <w:sz w:val="22"/>
          <w:szCs w:val="22"/>
          <w:lang w:val="fr-FR"/>
        </w:rPr>
        <w:t>ant</w:t>
      </w:r>
      <w:r w:rsidR="00006FA8" w:rsidRPr="00115A34">
        <w:rPr>
          <w:sz w:val="22"/>
          <w:szCs w:val="22"/>
          <w:lang w:val="fr-FR"/>
        </w:rPr>
        <w:t xml:space="preserve"> </w:t>
      </w:r>
      <w:r w:rsidR="001E3AA7">
        <w:rPr>
          <w:sz w:val="22"/>
          <w:szCs w:val="22"/>
          <w:lang w:val="fr-FR"/>
        </w:rPr>
        <w:t>la promotion des priorités de l’AEWA dans les forums pertinents</w:t>
      </w:r>
      <w:r w:rsidR="00006FA8" w:rsidRPr="00115A34">
        <w:rPr>
          <w:sz w:val="22"/>
          <w:szCs w:val="22"/>
          <w:lang w:val="fr-FR"/>
        </w:rPr>
        <w:t xml:space="preserve"> (</w:t>
      </w:r>
      <w:r w:rsidR="001E3AA7">
        <w:rPr>
          <w:sz w:val="22"/>
          <w:szCs w:val="22"/>
          <w:lang w:val="fr-FR"/>
        </w:rPr>
        <w:t>y compris par les</w:t>
      </w:r>
      <w:r w:rsidR="00006FA8" w:rsidRPr="00115A34">
        <w:rPr>
          <w:sz w:val="22"/>
          <w:szCs w:val="22"/>
          <w:lang w:val="fr-FR"/>
        </w:rPr>
        <w:t xml:space="preserve"> Parties) </w:t>
      </w:r>
      <w:r w:rsidR="001E3AA7">
        <w:rPr>
          <w:sz w:val="22"/>
          <w:szCs w:val="22"/>
          <w:lang w:val="fr-FR"/>
        </w:rPr>
        <w:t xml:space="preserve">de </w:t>
      </w:r>
      <w:r w:rsidR="005E061D">
        <w:rPr>
          <w:sz w:val="22"/>
          <w:szCs w:val="22"/>
          <w:lang w:val="fr-FR"/>
        </w:rPr>
        <w:t>manière</w:t>
      </w:r>
      <w:r w:rsidR="001E3AA7">
        <w:rPr>
          <w:sz w:val="22"/>
          <w:szCs w:val="22"/>
          <w:lang w:val="fr-FR"/>
        </w:rPr>
        <w:t xml:space="preserve"> cohérente et </w:t>
      </w:r>
      <w:r w:rsidR="005E061D">
        <w:rPr>
          <w:sz w:val="22"/>
          <w:szCs w:val="22"/>
          <w:lang w:val="fr-FR"/>
        </w:rPr>
        <w:t>complémentaire</w:t>
      </w:r>
      <w:r w:rsidR="00006FA8" w:rsidRPr="00115A34">
        <w:rPr>
          <w:sz w:val="22"/>
          <w:szCs w:val="22"/>
          <w:lang w:val="fr-FR"/>
        </w:rPr>
        <w:t>.</w:t>
      </w:r>
    </w:p>
    <w:p w14:paraId="276501E4" w14:textId="77777777" w:rsidR="00006FA8" w:rsidRPr="00115A34" w:rsidRDefault="00006FA8" w:rsidP="00506507">
      <w:pPr>
        <w:jc w:val="both"/>
        <w:rPr>
          <w:sz w:val="22"/>
          <w:szCs w:val="22"/>
          <w:lang w:val="fr-FR"/>
        </w:rPr>
      </w:pPr>
    </w:p>
    <w:p w14:paraId="2F5BBC17" w14:textId="5EE33377" w:rsidR="00992728" w:rsidRPr="00115A34" w:rsidRDefault="00EE413C" w:rsidP="00326B2D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La </w:t>
      </w:r>
      <w:r w:rsidR="002004BF">
        <w:rPr>
          <w:sz w:val="22"/>
          <w:szCs w:val="22"/>
          <w:lang w:val="fr-FR"/>
        </w:rPr>
        <w:t>liste</w:t>
      </w:r>
      <w:r>
        <w:rPr>
          <w:sz w:val="22"/>
          <w:szCs w:val="22"/>
          <w:lang w:val="fr-FR"/>
        </w:rPr>
        <w:t xml:space="preserve"> ci-dessous</w:t>
      </w:r>
      <w:r w:rsidR="00DC63CE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est </w:t>
      </w:r>
      <w:r w:rsidR="009A08D0">
        <w:rPr>
          <w:sz w:val="22"/>
          <w:szCs w:val="22"/>
          <w:lang w:val="fr-FR"/>
        </w:rPr>
        <w:t>essentiellement</w:t>
      </w:r>
      <w:r>
        <w:rPr>
          <w:sz w:val="22"/>
          <w:szCs w:val="22"/>
          <w:lang w:val="fr-FR"/>
        </w:rPr>
        <w:t xml:space="preserve"> limitée aux quatre </w:t>
      </w:r>
      <w:r w:rsidR="00DC63CE" w:rsidRPr="00115A34">
        <w:rPr>
          <w:sz w:val="22"/>
          <w:szCs w:val="22"/>
          <w:lang w:val="fr-FR"/>
        </w:rPr>
        <w:t xml:space="preserve">causes </w:t>
      </w:r>
      <w:r>
        <w:rPr>
          <w:sz w:val="22"/>
          <w:szCs w:val="22"/>
          <w:lang w:val="fr-FR"/>
        </w:rPr>
        <w:t>de mortalité citées dans le</w:t>
      </w:r>
      <w:r w:rsidR="00DC63CE" w:rsidRPr="00115A34">
        <w:rPr>
          <w:sz w:val="22"/>
          <w:szCs w:val="22"/>
          <w:lang w:val="fr-FR"/>
        </w:rPr>
        <w:t xml:space="preserve"> Plan </w:t>
      </w:r>
      <w:r>
        <w:rPr>
          <w:sz w:val="22"/>
          <w:szCs w:val="22"/>
          <w:lang w:val="fr-FR"/>
        </w:rPr>
        <w:t>et énumérées ci-dessus</w:t>
      </w:r>
      <w:r w:rsidR="001E1D7A" w:rsidRPr="00115A34">
        <w:rPr>
          <w:sz w:val="22"/>
          <w:szCs w:val="22"/>
          <w:lang w:val="fr-FR"/>
        </w:rPr>
        <w:t xml:space="preserve">. </w:t>
      </w:r>
      <w:r>
        <w:rPr>
          <w:sz w:val="22"/>
          <w:szCs w:val="22"/>
          <w:lang w:val="fr-FR"/>
        </w:rPr>
        <w:t>On tiendra également compte d’autres causes de mortalité, telles que l’empoisonnement</w:t>
      </w:r>
      <w:r w:rsidR="00992728" w:rsidRPr="00115A34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 xml:space="preserve">y compris le saturnisme, mais les </w:t>
      </w:r>
      <w:r w:rsidR="001E1D7A" w:rsidRPr="00115A34">
        <w:rPr>
          <w:sz w:val="22"/>
          <w:szCs w:val="22"/>
          <w:lang w:val="fr-FR"/>
        </w:rPr>
        <w:t xml:space="preserve">causes </w:t>
      </w:r>
      <w:r>
        <w:rPr>
          <w:sz w:val="22"/>
          <w:szCs w:val="22"/>
          <w:lang w:val="fr-FR"/>
        </w:rPr>
        <w:t xml:space="preserve">spécifiquement </w:t>
      </w:r>
      <w:r w:rsidR="002E1F69">
        <w:rPr>
          <w:sz w:val="22"/>
          <w:szCs w:val="22"/>
          <w:lang w:val="fr-FR"/>
        </w:rPr>
        <w:t>couvertes</w:t>
      </w:r>
      <w:r w:rsidR="001E1D7A" w:rsidRPr="00115A34">
        <w:rPr>
          <w:sz w:val="22"/>
          <w:szCs w:val="22"/>
          <w:lang w:val="fr-FR"/>
        </w:rPr>
        <w:t xml:space="preserve"> </w:t>
      </w:r>
      <w:r w:rsidR="002E1F69">
        <w:rPr>
          <w:sz w:val="22"/>
          <w:szCs w:val="22"/>
          <w:lang w:val="fr-FR"/>
        </w:rPr>
        <w:t>par</w:t>
      </w:r>
      <w:r>
        <w:rPr>
          <w:sz w:val="22"/>
          <w:szCs w:val="22"/>
          <w:lang w:val="fr-FR"/>
        </w:rPr>
        <w:t xml:space="preserve"> d’autres Cibles du Plan</w:t>
      </w:r>
      <w:r w:rsidR="001E1D7A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s</w:t>
      </w:r>
      <w:r w:rsidR="001E1D7A" w:rsidRPr="00115A34">
        <w:rPr>
          <w:sz w:val="22"/>
          <w:szCs w:val="22"/>
          <w:lang w:val="fr-FR"/>
        </w:rPr>
        <w:t>trat</w:t>
      </w:r>
      <w:r>
        <w:rPr>
          <w:sz w:val="22"/>
          <w:szCs w:val="22"/>
          <w:lang w:val="fr-FR"/>
        </w:rPr>
        <w:t>égique</w:t>
      </w:r>
      <w:r w:rsidR="001E1D7A" w:rsidRPr="00115A34">
        <w:rPr>
          <w:sz w:val="22"/>
          <w:szCs w:val="22"/>
          <w:lang w:val="fr-FR"/>
        </w:rPr>
        <w:t xml:space="preserve"> (</w:t>
      </w:r>
      <w:r w:rsidR="002E1F69">
        <w:rPr>
          <w:sz w:val="22"/>
          <w:szCs w:val="22"/>
          <w:lang w:val="fr-FR"/>
        </w:rPr>
        <w:t>telles que les développements autres qu’énergétiques</w:t>
      </w:r>
      <w:r w:rsidR="001E1D7A" w:rsidRPr="00115A34">
        <w:rPr>
          <w:sz w:val="22"/>
          <w:szCs w:val="22"/>
          <w:lang w:val="fr-FR"/>
        </w:rPr>
        <w:t xml:space="preserve">, </w:t>
      </w:r>
      <w:r w:rsidR="002E1F69">
        <w:rPr>
          <w:sz w:val="22"/>
          <w:szCs w:val="22"/>
          <w:lang w:val="fr-FR"/>
        </w:rPr>
        <w:t>les pertes d’habitats</w:t>
      </w:r>
      <w:r w:rsidR="001E1D7A" w:rsidRPr="00115A34">
        <w:rPr>
          <w:sz w:val="22"/>
          <w:szCs w:val="22"/>
          <w:lang w:val="fr-FR"/>
        </w:rPr>
        <w:t xml:space="preserve">, </w:t>
      </w:r>
      <w:r w:rsidR="002E1F69">
        <w:rPr>
          <w:sz w:val="22"/>
          <w:szCs w:val="22"/>
          <w:lang w:val="fr-FR"/>
        </w:rPr>
        <w:t>le changement climatique et</w:t>
      </w:r>
      <w:r w:rsidR="000B63C3" w:rsidRPr="00115A34">
        <w:rPr>
          <w:sz w:val="22"/>
          <w:szCs w:val="22"/>
          <w:lang w:val="fr-FR"/>
        </w:rPr>
        <w:t xml:space="preserve"> </w:t>
      </w:r>
      <w:r w:rsidR="002E1F69">
        <w:rPr>
          <w:sz w:val="22"/>
          <w:szCs w:val="22"/>
          <w:lang w:val="fr-FR"/>
        </w:rPr>
        <w:t>la chasse/le prélèvement non durable</w:t>
      </w:r>
      <w:r w:rsidR="001E1D7A" w:rsidRPr="00115A34">
        <w:rPr>
          <w:sz w:val="22"/>
          <w:szCs w:val="22"/>
          <w:lang w:val="fr-FR"/>
        </w:rPr>
        <w:t xml:space="preserve">) </w:t>
      </w:r>
      <w:r w:rsidR="002E1F69">
        <w:rPr>
          <w:sz w:val="22"/>
          <w:szCs w:val="22"/>
          <w:lang w:val="fr-FR"/>
        </w:rPr>
        <w:t>sortent du cadre</w:t>
      </w:r>
      <w:r w:rsidR="001E1D7A" w:rsidRPr="00115A34">
        <w:rPr>
          <w:sz w:val="22"/>
          <w:szCs w:val="22"/>
          <w:lang w:val="fr-FR"/>
        </w:rPr>
        <w:t xml:space="preserve">. </w:t>
      </w:r>
      <w:r w:rsidR="002E1F69">
        <w:rPr>
          <w:sz w:val="22"/>
          <w:szCs w:val="22"/>
          <w:lang w:val="fr-FR"/>
        </w:rPr>
        <w:t>Les AEM</w:t>
      </w:r>
      <w:r w:rsidR="00006FA8" w:rsidRPr="00115A34">
        <w:rPr>
          <w:sz w:val="22"/>
          <w:szCs w:val="22"/>
          <w:lang w:val="fr-FR"/>
        </w:rPr>
        <w:t xml:space="preserve"> </w:t>
      </w:r>
      <w:r w:rsidR="002E1F69">
        <w:rPr>
          <w:sz w:val="22"/>
          <w:szCs w:val="22"/>
          <w:lang w:val="fr-FR"/>
        </w:rPr>
        <w:t>et processus</w:t>
      </w:r>
      <w:r w:rsidR="00006FA8" w:rsidRPr="00115A34">
        <w:rPr>
          <w:sz w:val="22"/>
          <w:szCs w:val="22"/>
          <w:lang w:val="fr-FR"/>
        </w:rPr>
        <w:t xml:space="preserve"> multilat</w:t>
      </w:r>
      <w:r w:rsidR="002E1F69">
        <w:rPr>
          <w:sz w:val="22"/>
          <w:szCs w:val="22"/>
          <w:lang w:val="fr-FR"/>
        </w:rPr>
        <w:t>éraux pris en considération</w:t>
      </w:r>
      <w:r w:rsidR="00006FA8" w:rsidRPr="00115A34">
        <w:rPr>
          <w:sz w:val="22"/>
          <w:szCs w:val="22"/>
          <w:lang w:val="fr-FR"/>
        </w:rPr>
        <w:t xml:space="preserve"> </w:t>
      </w:r>
      <w:r w:rsidR="002E1F69">
        <w:rPr>
          <w:sz w:val="22"/>
          <w:szCs w:val="22"/>
          <w:lang w:val="fr-FR"/>
        </w:rPr>
        <w:t>comprennent ceux qui figurent dans la liste ci-dessus, ainsi que d’autres, le cas échéant</w:t>
      </w:r>
      <w:r w:rsidR="00006FA8" w:rsidRPr="00115A34">
        <w:rPr>
          <w:sz w:val="22"/>
          <w:szCs w:val="22"/>
          <w:lang w:val="fr-FR"/>
        </w:rPr>
        <w:t>.</w:t>
      </w:r>
    </w:p>
    <w:p w14:paraId="3CCAED0F" w14:textId="77777777" w:rsidR="00992728" w:rsidRPr="00115A34" w:rsidRDefault="00992728" w:rsidP="00326B2D">
      <w:pPr>
        <w:jc w:val="both"/>
        <w:rPr>
          <w:sz w:val="22"/>
          <w:szCs w:val="22"/>
          <w:lang w:val="fr-FR"/>
        </w:rPr>
      </w:pPr>
    </w:p>
    <w:p w14:paraId="6463F57F" w14:textId="77777777" w:rsidR="005F5B81" w:rsidRPr="00115A34" w:rsidRDefault="005F5B81" w:rsidP="00326B2D">
      <w:pPr>
        <w:jc w:val="both"/>
        <w:rPr>
          <w:sz w:val="22"/>
          <w:szCs w:val="22"/>
          <w:lang w:val="fr-FR"/>
        </w:rPr>
      </w:pPr>
    </w:p>
    <w:p w14:paraId="345D9020" w14:textId="391491B7" w:rsidR="00DC63CE" w:rsidRPr="00115A34" w:rsidRDefault="002E1F69" w:rsidP="00E1163B">
      <w:pPr>
        <w:pStyle w:val="Heading1"/>
        <w:keepNext/>
        <w:tabs>
          <w:tab w:val="left" w:pos="5780"/>
        </w:tabs>
        <w:spacing w:before="0" w:beforeAutospacing="0" w:after="0" w:afterAutospacing="0"/>
        <w:rPr>
          <w:bCs w:val="0"/>
          <w:sz w:val="24"/>
          <w:szCs w:val="24"/>
          <w:lang w:val="fr-FR"/>
        </w:rPr>
      </w:pPr>
      <w:bookmarkStart w:id="2" w:name="_Toc112941097"/>
      <w:r>
        <w:rPr>
          <w:bCs w:val="0"/>
          <w:color w:val="264D74"/>
          <w:sz w:val="24"/>
          <w:szCs w:val="24"/>
          <w:lang w:val="fr-FR"/>
        </w:rPr>
        <w:lastRenderedPageBreak/>
        <w:t>Qu’entendons-nous par</w:t>
      </w:r>
      <w:r w:rsidR="00506507" w:rsidRPr="00115A34">
        <w:rPr>
          <w:bCs w:val="0"/>
          <w:color w:val="264D74"/>
          <w:sz w:val="24"/>
          <w:szCs w:val="24"/>
          <w:lang w:val="fr-FR"/>
        </w:rPr>
        <w:t xml:space="preserve"> </w:t>
      </w:r>
      <w:r w:rsidR="00A5470F">
        <w:rPr>
          <w:bCs w:val="0"/>
          <w:color w:val="264D74"/>
          <w:sz w:val="24"/>
          <w:szCs w:val="24"/>
          <w:lang w:val="fr-FR"/>
        </w:rPr>
        <w:t>« </w:t>
      </w:r>
      <w:r>
        <w:rPr>
          <w:bCs w:val="0"/>
          <w:color w:val="264D74"/>
          <w:sz w:val="24"/>
          <w:szCs w:val="24"/>
          <w:lang w:val="fr-FR"/>
        </w:rPr>
        <w:t>i</w:t>
      </w:r>
      <w:r w:rsidR="00506507" w:rsidRPr="00115A34">
        <w:rPr>
          <w:bCs w:val="0"/>
          <w:color w:val="264D74"/>
          <w:sz w:val="24"/>
          <w:szCs w:val="24"/>
          <w:lang w:val="fr-FR"/>
        </w:rPr>
        <w:t>nfluenc</w:t>
      </w:r>
      <w:r>
        <w:rPr>
          <w:bCs w:val="0"/>
          <w:color w:val="264D74"/>
          <w:sz w:val="24"/>
          <w:szCs w:val="24"/>
          <w:lang w:val="fr-FR"/>
        </w:rPr>
        <w:t>e</w:t>
      </w:r>
      <w:r w:rsidR="00EC77AE">
        <w:rPr>
          <w:bCs w:val="0"/>
          <w:color w:val="264D74"/>
          <w:sz w:val="24"/>
          <w:szCs w:val="24"/>
          <w:lang w:val="fr-FR"/>
        </w:rPr>
        <w:t>r</w:t>
      </w:r>
      <w:r w:rsidR="00A5470F">
        <w:rPr>
          <w:bCs w:val="0"/>
          <w:color w:val="264D74"/>
          <w:sz w:val="24"/>
          <w:szCs w:val="24"/>
          <w:lang w:val="fr-FR"/>
        </w:rPr>
        <w:t> »</w:t>
      </w:r>
      <w:r>
        <w:rPr>
          <w:bCs w:val="0"/>
          <w:color w:val="264D74"/>
          <w:sz w:val="24"/>
          <w:szCs w:val="24"/>
          <w:lang w:val="fr-FR"/>
        </w:rPr>
        <w:t> </w:t>
      </w:r>
      <w:r w:rsidR="00506507" w:rsidRPr="00115A34">
        <w:rPr>
          <w:bCs w:val="0"/>
          <w:color w:val="264D74"/>
          <w:sz w:val="24"/>
          <w:szCs w:val="24"/>
          <w:lang w:val="fr-FR"/>
        </w:rPr>
        <w:t>?</w:t>
      </w:r>
      <w:bookmarkEnd w:id="2"/>
    </w:p>
    <w:p w14:paraId="2F08A898" w14:textId="77777777" w:rsidR="004D6D3F" w:rsidRPr="00115A34" w:rsidRDefault="004D6D3F" w:rsidP="00B054EE">
      <w:pPr>
        <w:rPr>
          <w:sz w:val="22"/>
          <w:szCs w:val="22"/>
          <w:lang w:val="fr-FR"/>
        </w:rPr>
      </w:pPr>
    </w:p>
    <w:p w14:paraId="4F1B21CE" w14:textId="7D75C2AC" w:rsidR="004D6D3F" w:rsidRPr="00115A34" w:rsidRDefault="002E1F69" w:rsidP="0050650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Dans ce contexte, « influence</w:t>
      </w:r>
      <w:r w:rsidR="00EC77AE">
        <w:rPr>
          <w:sz w:val="22"/>
          <w:szCs w:val="22"/>
          <w:lang w:val="fr-FR"/>
        </w:rPr>
        <w:t>r</w:t>
      </w:r>
      <w:r>
        <w:rPr>
          <w:sz w:val="22"/>
          <w:szCs w:val="22"/>
          <w:lang w:val="fr-FR"/>
        </w:rPr>
        <w:t xml:space="preserve"> » </w:t>
      </w:r>
      <w:r w:rsidR="0071282E">
        <w:rPr>
          <w:sz w:val="22"/>
          <w:szCs w:val="22"/>
          <w:lang w:val="fr-FR"/>
        </w:rPr>
        <w:t>peut</w:t>
      </w:r>
      <w:r w:rsidR="00EC77AE">
        <w:rPr>
          <w:sz w:val="22"/>
          <w:szCs w:val="22"/>
          <w:lang w:val="fr-FR"/>
        </w:rPr>
        <w:t xml:space="preserve"> se faire de</w:t>
      </w:r>
      <w:r w:rsidR="0071282E">
        <w:rPr>
          <w:sz w:val="22"/>
          <w:szCs w:val="22"/>
          <w:lang w:val="fr-FR"/>
        </w:rPr>
        <w:t xml:space="preserve"> différentes manières</w:t>
      </w:r>
      <w:r w:rsidR="00EC77AE">
        <w:rPr>
          <w:sz w:val="22"/>
          <w:szCs w:val="22"/>
          <w:lang w:val="fr-FR"/>
        </w:rPr>
        <w:t>,</w:t>
      </w:r>
      <w:r w:rsidR="0071282E">
        <w:rPr>
          <w:sz w:val="22"/>
          <w:szCs w:val="22"/>
          <w:lang w:val="fr-FR"/>
        </w:rPr>
        <w:t xml:space="preserve"> par des acteurs jouant de nombreux types de rôles dans le système de l’</w:t>
      </w:r>
      <w:r w:rsidR="004D6D3F" w:rsidRPr="00115A34">
        <w:rPr>
          <w:sz w:val="22"/>
          <w:szCs w:val="22"/>
          <w:lang w:val="fr-FR"/>
        </w:rPr>
        <w:t xml:space="preserve">AEWA. </w:t>
      </w:r>
      <w:r w:rsidR="0071282E">
        <w:rPr>
          <w:sz w:val="22"/>
          <w:szCs w:val="22"/>
          <w:lang w:val="fr-FR"/>
        </w:rPr>
        <w:t>Le</w:t>
      </w:r>
      <w:r w:rsidR="004D6D3F" w:rsidRPr="00115A34">
        <w:rPr>
          <w:sz w:val="22"/>
          <w:szCs w:val="22"/>
          <w:lang w:val="fr-FR"/>
        </w:rPr>
        <w:t xml:space="preserve"> Secr</w:t>
      </w:r>
      <w:r w:rsidR="0071282E">
        <w:rPr>
          <w:sz w:val="22"/>
          <w:szCs w:val="22"/>
          <w:lang w:val="fr-FR"/>
        </w:rPr>
        <w:t>é</w:t>
      </w:r>
      <w:r w:rsidR="004D6D3F" w:rsidRPr="00115A34">
        <w:rPr>
          <w:sz w:val="22"/>
          <w:szCs w:val="22"/>
          <w:lang w:val="fr-FR"/>
        </w:rPr>
        <w:t xml:space="preserve">tariat </w:t>
      </w:r>
      <w:r w:rsidR="0071282E">
        <w:rPr>
          <w:sz w:val="22"/>
          <w:szCs w:val="22"/>
          <w:lang w:val="fr-FR"/>
        </w:rPr>
        <w:t>assure la</w:t>
      </w:r>
      <w:r w:rsidR="004D6D3F" w:rsidRPr="00115A34">
        <w:rPr>
          <w:sz w:val="22"/>
          <w:szCs w:val="22"/>
          <w:lang w:val="fr-FR"/>
        </w:rPr>
        <w:t xml:space="preserve"> coordination </w:t>
      </w:r>
      <w:r w:rsidR="0071282E">
        <w:rPr>
          <w:sz w:val="22"/>
          <w:szCs w:val="22"/>
          <w:lang w:val="fr-FR"/>
        </w:rPr>
        <w:t>et les relations synergiques avec</w:t>
      </w:r>
      <w:r w:rsidR="004D6D3F" w:rsidRPr="00115A34">
        <w:rPr>
          <w:sz w:val="22"/>
          <w:szCs w:val="22"/>
          <w:lang w:val="fr-FR"/>
        </w:rPr>
        <w:t xml:space="preserve"> </w:t>
      </w:r>
      <w:r w:rsidR="0071282E">
        <w:rPr>
          <w:sz w:val="22"/>
          <w:szCs w:val="22"/>
          <w:lang w:val="fr-FR"/>
        </w:rPr>
        <w:t>les</w:t>
      </w:r>
      <w:r w:rsidR="004D6D3F" w:rsidRPr="00115A34">
        <w:rPr>
          <w:sz w:val="22"/>
          <w:szCs w:val="22"/>
          <w:lang w:val="fr-FR"/>
        </w:rPr>
        <w:t xml:space="preserve"> Secr</w:t>
      </w:r>
      <w:r w:rsidR="0071282E">
        <w:rPr>
          <w:sz w:val="22"/>
          <w:szCs w:val="22"/>
          <w:lang w:val="fr-FR"/>
        </w:rPr>
        <w:t>é</w:t>
      </w:r>
      <w:r w:rsidR="004D6D3F" w:rsidRPr="00115A34">
        <w:rPr>
          <w:sz w:val="22"/>
          <w:szCs w:val="22"/>
          <w:lang w:val="fr-FR"/>
        </w:rPr>
        <w:t xml:space="preserve">tariats </w:t>
      </w:r>
      <w:r w:rsidR="0071282E">
        <w:rPr>
          <w:sz w:val="22"/>
          <w:szCs w:val="22"/>
          <w:lang w:val="fr-FR"/>
        </w:rPr>
        <w:t>des autres AEM</w:t>
      </w:r>
      <w:r w:rsidR="004D6D3F" w:rsidRPr="00115A34">
        <w:rPr>
          <w:sz w:val="22"/>
          <w:szCs w:val="22"/>
          <w:lang w:val="fr-FR"/>
        </w:rPr>
        <w:t xml:space="preserve">, </w:t>
      </w:r>
      <w:r w:rsidR="0071282E">
        <w:rPr>
          <w:sz w:val="22"/>
          <w:szCs w:val="22"/>
          <w:lang w:val="fr-FR"/>
        </w:rPr>
        <w:t>et des</w:t>
      </w:r>
      <w:r w:rsidR="004D6D3F" w:rsidRPr="00115A34">
        <w:rPr>
          <w:sz w:val="22"/>
          <w:szCs w:val="22"/>
          <w:lang w:val="fr-FR"/>
        </w:rPr>
        <w:t xml:space="preserve"> experts </w:t>
      </w:r>
      <w:r w:rsidR="0071282E">
        <w:rPr>
          <w:sz w:val="22"/>
          <w:szCs w:val="22"/>
          <w:lang w:val="fr-FR"/>
        </w:rPr>
        <w:t>individuels e</w:t>
      </w:r>
      <w:r w:rsidR="004D6D3F" w:rsidRPr="00115A34">
        <w:rPr>
          <w:sz w:val="22"/>
          <w:szCs w:val="22"/>
          <w:lang w:val="fr-FR"/>
        </w:rPr>
        <w:t>n science</w:t>
      </w:r>
      <w:r w:rsidR="0071282E">
        <w:rPr>
          <w:sz w:val="22"/>
          <w:szCs w:val="22"/>
          <w:lang w:val="fr-FR"/>
        </w:rPr>
        <w:t>s</w:t>
      </w:r>
      <w:r w:rsidR="004D6D3F" w:rsidRPr="00115A34">
        <w:rPr>
          <w:sz w:val="22"/>
          <w:szCs w:val="22"/>
          <w:lang w:val="fr-FR"/>
        </w:rPr>
        <w:t xml:space="preserve">, </w:t>
      </w:r>
      <w:r w:rsidR="009A08D0">
        <w:rPr>
          <w:sz w:val="22"/>
          <w:szCs w:val="22"/>
          <w:lang w:val="fr-FR"/>
        </w:rPr>
        <w:t xml:space="preserve">en </w:t>
      </w:r>
      <w:r w:rsidR="004D6D3F" w:rsidRPr="00115A34">
        <w:rPr>
          <w:sz w:val="22"/>
          <w:szCs w:val="22"/>
          <w:lang w:val="fr-FR"/>
        </w:rPr>
        <w:t>poli</w:t>
      </w:r>
      <w:r w:rsidR="0071282E">
        <w:rPr>
          <w:sz w:val="22"/>
          <w:szCs w:val="22"/>
          <w:lang w:val="fr-FR"/>
        </w:rPr>
        <w:t>tique</w:t>
      </w:r>
      <w:r w:rsidR="004D6D3F" w:rsidRPr="00115A34">
        <w:rPr>
          <w:sz w:val="22"/>
          <w:szCs w:val="22"/>
          <w:lang w:val="fr-FR"/>
        </w:rPr>
        <w:t xml:space="preserve">, </w:t>
      </w:r>
      <w:r w:rsidR="009A08D0">
        <w:rPr>
          <w:sz w:val="22"/>
          <w:szCs w:val="22"/>
          <w:lang w:val="fr-FR"/>
        </w:rPr>
        <w:t>en droit</w:t>
      </w:r>
      <w:r w:rsidR="004D6D3F" w:rsidRPr="00115A34">
        <w:rPr>
          <w:sz w:val="22"/>
          <w:szCs w:val="22"/>
          <w:lang w:val="fr-FR"/>
        </w:rPr>
        <w:t xml:space="preserve"> </w:t>
      </w:r>
      <w:r w:rsidR="0071282E">
        <w:rPr>
          <w:sz w:val="22"/>
          <w:szCs w:val="22"/>
          <w:lang w:val="fr-FR"/>
        </w:rPr>
        <w:t>et</w:t>
      </w:r>
      <w:r w:rsidR="009A08D0">
        <w:rPr>
          <w:sz w:val="22"/>
          <w:szCs w:val="22"/>
          <w:lang w:val="fr-FR"/>
        </w:rPr>
        <w:t xml:space="preserve"> en</w:t>
      </w:r>
      <w:r w:rsidR="004D6D3F" w:rsidRPr="00115A34">
        <w:rPr>
          <w:sz w:val="22"/>
          <w:szCs w:val="22"/>
          <w:lang w:val="fr-FR"/>
        </w:rPr>
        <w:t xml:space="preserve"> communications</w:t>
      </w:r>
      <w:r w:rsidR="0071282E">
        <w:rPr>
          <w:sz w:val="22"/>
          <w:szCs w:val="22"/>
          <w:lang w:val="fr-FR"/>
        </w:rPr>
        <w:t>, ainsi que des organisations partenaires</w:t>
      </w:r>
      <w:r w:rsidR="004D6D3F" w:rsidRPr="00115A34">
        <w:rPr>
          <w:sz w:val="22"/>
          <w:szCs w:val="22"/>
          <w:lang w:val="fr-FR"/>
        </w:rPr>
        <w:t xml:space="preserve"> non</w:t>
      </w:r>
      <w:r w:rsidR="00E62FB8">
        <w:rPr>
          <w:sz w:val="22"/>
          <w:szCs w:val="22"/>
          <w:lang w:val="fr-FR"/>
        </w:rPr>
        <w:t xml:space="preserve"> </w:t>
      </w:r>
      <w:r w:rsidR="004D6D3F" w:rsidRPr="00115A34">
        <w:rPr>
          <w:sz w:val="22"/>
          <w:szCs w:val="22"/>
          <w:lang w:val="fr-FR"/>
        </w:rPr>
        <w:t>go</w:t>
      </w:r>
      <w:r w:rsidR="0071282E">
        <w:rPr>
          <w:sz w:val="22"/>
          <w:szCs w:val="22"/>
          <w:lang w:val="fr-FR"/>
        </w:rPr>
        <w:t>u</w:t>
      </w:r>
      <w:r w:rsidR="004D6D3F" w:rsidRPr="00115A34">
        <w:rPr>
          <w:sz w:val="22"/>
          <w:szCs w:val="22"/>
          <w:lang w:val="fr-FR"/>
        </w:rPr>
        <w:t>vern</w:t>
      </w:r>
      <w:r w:rsidR="0071282E">
        <w:rPr>
          <w:sz w:val="22"/>
          <w:szCs w:val="22"/>
          <w:lang w:val="fr-FR"/>
        </w:rPr>
        <w:t>e</w:t>
      </w:r>
      <w:r w:rsidR="004D6D3F" w:rsidRPr="00115A34">
        <w:rPr>
          <w:sz w:val="22"/>
          <w:szCs w:val="22"/>
          <w:lang w:val="fr-FR"/>
        </w:rPr>
        <w:t>menta</w:t>
      </w:r>
      <w:r w:rsidR="0071282E">
        <w:rPr>
          <w:sz w:val="22"/>
          <w:szCs w:val="22"/>
          <w:lang w:val="fr-FR"/>
        </w:rPr>
        <w:t>les disposant de compétences et des capacités nécessaires dans ce</w:t>
      </w:r>
      <w:r w:rsidR="00F649E3">
        <w:rPr>
          <w:sz w:val="22"/>
          <w:szCs w:val="22"/>
          <w:lang w:val="fr-FR"/>
        </w:rPr>
        <w:t>s</w:t>
      </w:r>
      <w:r w:rsidR="0071282E">
        <w:rPr>
          <w:sz w:val="22"/>
          <w:szCs w:val="22"/>
          <w:lang w:val="fr-FR"/>
        </w:rPr>
        <w:t xml:space="preserve"> domaine</w:t>
      </w:r>
      <w:r w:rsidR="00F649E3">
        <w:rPr>
          <w:sz w:val="22"/>
          <w:szCs w:val="22"/>
          <w:lang w:val="fr-FR"/>
        </w:rPr>
        <w:t>s</w:t>
      </w:r>
      <w:r w:rsidR="004D6D3F" w:rsidRPr="00115A34">
        <w:rPr>
          <w:sz w:val="22"/>
          <w:szCs w:val="22"/>
          <w:lang w:val="fr-FR"/>
        </w:rPr>
        <w:t xml:space="preserve"> </w:t>
      </w:r>
      <w:r w:rsidR="0071282E">
        <w:rPr>
          <w:sz w:val="22"/>
          <w:szCs w:val="22"/>
          <w:lang w:val="fr-FR"/>
        </w:rPr>
        <w:t>sont en mesure de promouvoir les intérêts</w:t>
      </w:r>
      <w:r w:rsidR="004D6D3F" w:rsidRPr="00115A34">
        <w:rPr>
          <w:sz w:val="22"/>
          <w:szCs w:val="22"/>
          <w:lang w:val="fr-FR"/>
        </w:rPr>
        <w:t xml:space="preserve"> </w:t>
      </w:r>
      <w:r w:rsidR="0071282E">
        <w:rPr>
          <w:sz w:val="22"/>
          <w:szCs w:val="22"/>
          <w:lang w:val="fr-FR"/>
        </w:rPr>
        <w:t>de l’</w:t>
      </w:r>
      <w:r w:rsidR="004D6D3F" w:rsidRPr="00115A34">
        <w:rPr>
          <w:sz w:val="22"/>
          <w:szCs w:val="22"/>
          <w:lang w:val="fr-FR"/>
        </w:rPr>
        <w:t xml:space="preserve">AEWA </w:t>
      </w:r>
      <w:r w:rsidR="0071282E">
        <w:rPr>
          <w:sz w:val="22"/>
          <w:szCs w:val="22"/>
          <w:lang w:val="fr-FR"/>
        </w:rPr>
        <w:t>dans d’autres forums internationaux</w:t>
      </w:r>
      <w:r w:rsidR="004D6D3F" w:rsidRPr="00115A34">
        <w:rPr>
          <w:sz w:val="22"/>
          <w:szCs w:val="22"/>
          <w:lang w:val="fr-FR"/>
        </w:rPr>
        <w:t>.</w:t>
      </w:r>
    </w:p>
    <w:p w14:paraId="3B5B7000" w14:textId="77777777" w:rsidR="004D6D3F" w:rsidRPr="00115A34" w:rsidRDefault="004D6D3F" w:rsidP="00506507">
      <w:pPr>
        <w:jc w:val="both"/>
        <w:rPr>
          <w:sz w:val="22"/>
          <w:szCs w:val="22"/>
          <w:lang w:val="fr-FR"/>
        </w:rPr>
      </w:pPr>
    </w:p>
    <w:p w14:paraId="239C0207" w14:textId="4A7F2010" w:rsidR="004D6D3F" w:rsidRPr="00115A34" w:rsidRDefault="0071282E" w:rsidP="0050650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Cependant, </w:t>
      </w:r>
      <w:r w:rsidR="00F649E3">
        <w:rPr>
          <w:sz w:val="22"/>
          <w:szCs w:val="22"/>
          <w:lang w:val="fr-FR"/>
        </w:rPr>
        <w:t>les données présentées reposent également essentiellement sur les</w:t>
      </w:r>
      <w:r w:rsidR="0065285C">
        <w:rPr>
          <w:sz w:val="22"/>
          <w:szCs w:val="22"/>
          <w:lang w:val="fr-FR"/>
        </w:rPr>
        <w:t xml:space="preserve"> agences gouvernementales nationales des États qui sont</w:t>
      </w:r>
      <w:r w:rsidR="004D6D3F" w:rsidRPr="00115A34">
        <w:rPr>
          <w:sz w:val="22"/>
          <w:szCs w:val="22"/>
          <w:lang w:val="fr-FR"/>
        </w:rPr>
        <w:t xml:space="preserve"> Parties </w:t>
      </w:r>
      <w:r w:rsidR="0065285C">
        <w:rPr>
          <w:sz w:val="22"/>
          <w:szCs w:val="22"/>
          <w:lang w:val="fr-FR"/>
        </w:rPr>
        <w:t>contractantes à l’Accord</w:t>
      </w:r>
      <w:r w:rsidR="004D6D3F" w:rsidRPr="00115A34">
        <w:rPr>
          <w:sz w:val="22"/>
          <w:szCs w:val="22"/>
          <w:lang w:val="fr-FR"/>
        </w:rPr>
        <w:t xml:space="preserve"> </w:t>
      </w:r>
      <w:r w:rsidR="0065285C">
        <w:rPr>
          <w:sz w:val="22"/>
          <w:szCs w:val="22"/>
          <w:lang w:val="fr-FR"/>
        </w:rPr>
        <w:t xml:space="preserve">et qui sont aussi </w:t>
      </w:r>
      <w:r w:rsidR="004D6D3F" w:rsidRPr="00115A34">
        <w:rPr>
          <w:sz w:val="22"/>
          <w:szCs w:val="22"/>
          <w:lang w:val="fr-FR"/>
        </w:rPr>
        <w:t>Parties</w:t>
      </w:r>
      <w:r w:rsidR="005C58EF" w:rsidRPr="00115A34">
        <w:rPr>
          <w:sz w:val="22"/>
          <w:szCs w:val="22"/>
          <w:lang w:val="fr-FR"/>
        </w:rPr>
        <w:t xml:space="preserve"> (</w:t>
      </w:r>
      <w:r w:rsidR="004D6D3F" w:rsidRPr="00115A34">
        <w:rPr>
          <w:sz w:val="22"/>
          <w:szCs w:val="22"/>
          <w:lang w:val="fr-FR"/>
        </w:rPr>
        <w:t>o</w:t>
      </w:r>
      <w:r w:rsidR="0065285C">
        <w:rPr>
          <w:sz w:val="22"/>
          <w:szCs w:val="22"/>
          <w:lang w:val="fr-FR"/>
        </w:rPr>
        <w:t>u signataires ou membres</w:t>
      </w:r>
      <w:r w:rsidR="005C58EF" w:rsidRPr="00115A34">
        <w:rPr>
          <w:sz w:val="22"/>
          <w:szCs w:val="22"/>
          <w:lang w:val="fr-FR"/>
        </w:rPr>
        <w:t>)</w:t>
      </w:r>
      <w:r w:rsidR="004D6D3F" w:rsidRPr="00115A34">
        <w:rPr>
          <w:sz w:val="22"/>
          <w:szCs w:val="22"/>
          <w:lang w:val="fr-FR"/>
        </w:rPr>
        <w:t xml:space="preserve"> </w:t>
      </w:r>
      <w:r w:rsidR="0065285C">
        <w:rPr>
          <w:sz w:val="22"/>
          <w:szCs w:val="22"/>
          <w:lang w:val="fr-FR"/>
        </w:rPr>
        <w:t xml:space="preserve">d’autres accords </w:t>
      </w:r>
      <w:r w:rsidR="00862152">
        <w:rPr>
          <w:sz w:val="22"/>
          <w:szCs w:val="22"/>
          <w:lang w:val="fr-FR"/>
        </w:rPr>
        <w:t xml:space="preserve">et processus </w:t>
      </w:r>
      <w:r w:rsidR="0065285C">
        <w:rPr>
          <w:sz w:val="22"/>
          <w:szCs w:val="22"/>
          <w:lang w:val="fr-FR"/>
        </w:rPr>
        <w:t>multilatéraux</w:t>
      </w:r>
      <w:r w:rsidR="004D6D3F" w:rsidRPr="00115A34">
        <w:rPr>
          <w:sz w:val="22"/>
          <w:szCs w:val="22"/>
          <w:lang w:val="fr-FR"/>
        </w:rPr>
        <w:t xml:space="preserve"> </w:t>
      </w:r>
      <w:r w:rsidR="00862152">
        <w:rPr>
          <w:sz w:val="22"/>
          <w:szCs w:val="22"/>
          <w:lang w:val="fr-FR"/>
        </w:rPr>
        <w:t>traités dans cette étude</w:t>
      </w:r>
      <w:r w:rsidR="004D6D3F" w:rsidRPr="00115A34">
        <w:rPr>
          <w:sz w:val="22"/>
          <w:szCs w:val="22"/>
          <w:lang w:val="fr-FR"/>
        </w:rPr>
        <w:t>.</w:t>
      </w:r>
      <w:r w:rsidR="005C58EF" w:rsidRPr="00115A34">
        <w:rPr>
          <w:sz w:val="22"/>
          <w:szCs w:val="22"/>
          <w:lang w:val="fr-FR"/>
        </w:rPr>
        <w:t xml:space="preserve"> </w:t>
      </w:r>
      <w:r w:rsidR="00862152">
        <w:rPr>
          <w:sz w:val="22"/>
          <w:szCs w:val="22"/>
          <w:lang w:val="fr-FR"/>
        </w:rPr>
        <w:t>Pour obtenir du succès dans ce domaine, une</w:t>
      </w:r>
      <w:r w:rsidR="005C58EF" w:rsidRPr="00115A34">
        <w:rPr>
          <w:sz w:val="22"/>
          <w:szCs w:val="22"/>
          <w:lang w:val="fr-FR"/>
        </w:rPr>
        <w:t xml:space="preserve"> coordination </w:t>
      </w:r>
      <w:r w:rsidR="00862152">
        <w:rPr>
          <w:sz w:val="22"/>
          <w:szCs w:val="22"/>
          <w:lang w:val="fr-FR"/>
        </w:rPr>
        <w:t>interne, dans chaque pays, entre les points focaux respectifs et</w:t>
      </w:r>
      <w:r w:rsidR="005C58EF" w:rsidRPr="00115A34">
        <w:rPr>
          <w:sz w:val="22"/>
          <w:szCs w:val="22"/>
          <w:lang w:val="fr-FR"/>
        </w:rPr>
        <w:t xml:space="preserve"> </w:t>
      </w:r>
      <w:r w:rsidR="00862152">
        <w:rPr>
          <w:sz w:val="22"/>
          <w:szCs w:val="22"/>
          <w:lang w:val="fr-FR"/>
        </w:rPr>
        <w:t>les départements ministériels responsables de chacune des possibilités identifiées ci-dessous, sera importante</w:t>
      </w:r>
      <w:r w:rsidR="005C58EF" w:rsidRPr="00115A34">
        <w:rPr>
          <w:sz w:val="22"/>
          <w:szCs w:val="22"/>
          <w:lang w:val="fr-FR"/>
        </w:rPr>
        <w:t>.</w:t>
      </w:r>
    </w:p>
    <w:p w14:paraId="5BF76751" w14:textId="77777777" w:rsidR="00C43232" w:rsidRPr="00115A34" w:rsidRDefault="00C43232" w:rsidP="00506507">
      <w:pPr>
        <w:jc w:val="both"/>
        <w:rPr>
          <w:sz w:val="22"/>
          <w:szCs w:val="22"/>
          <w:lang w:val="fr-FR"/>
        </w:rPr>
      </w:pPr>
    </w:p>
    <w:p w14:paraId="3D438291" w14:textId="71FDC948" w:rsidR="00C43232" w:rsidRPr="00115A34" w:rsidRDefault="00862152" w:rsidP="0050650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Dans le contexte des AEM, les réunions intergouvernementales de prise de décision</w:t>
      </w:r>
      <w:r w:rsidR="002004BF">
        <w:rPr>
          <w:sz w:val="22"/>
          <w:szCs w:val="22"/>
          <w:lang w:val="fr-FR"/>
        </w:rPr>
        <w:t>s</w:t>
      </w:r>
      <w:r>
        <w:rPr>
          <w:sz w:val="22"/>
          <w:szCs w:val="22"/>
          <w:lang w:val="fr-FR"/>
        </w:rPr>
        <w:t xml:space="preserve"> (telles que les réunions périodiques</w:t>
      </w:r>
      <w:r w:rsidR="00C854FD">
        <w:rPr>
          <w:sz w:val="22"/>
          <w:szCs w:val="22"/>
          <w:lang w:val="fr-FR"/>
        </w:rPr>
        <w:t xml:space="preserve"> de la Conférence des Parties ou du Comité permanent d’une Convention</w:t>
      </w:r>
      <w:r w:rsidR="00C43232" w:rsidRPr="00115A34">
        <w:rPr>
          <w:sz w:val="22"/>
          <w:szCs w:val="22"/>
          <w:lang w:val="fr-FR"/>
        </w:rPr>
        <w:t>)</w:t>
      </w:r>
      <w:r w:rsidR="00C854FD">
        <w:rPr>
          <w:sz w:val="22"/>
          <w:szCs w:val="22"/>
          <w:lang w:val="fr-FR"/>
        </w:rPr>
        <w:t>, où des résolutions officielles</w:t>
      </w:r>
      <w:r w:rsidR="00C43232" w:rsidRPr="00115A34">
        <w:rPr>
          <w:sz w:val="22"/>
          <w:szCs w:val="22"/>
          <w:lang w:val="fr-FR"/>
        </w:rPr>
        <w:t xml:space="preserve">, </w:t>
      </w:r>
      <w:r w:rsidR="00C854FD">
        <w:rPr>
          <w:sz w:val="22"/>
          <w:szCs w:val="22"/>
          <w:lang w:val="fr-FR"/>
        </w:rPr>
        <w:t>des documents d’orientation et des programmes de travail sont adoptés, ou les processus des organes subsidiaires scientifiques et techniques, où des</w:t>
      </w:r>
      <w:r w:rsidR="00C43232" w:rsidRPr="00115A34">
        <w:rPr>
          <w:sz w:val="22"/>
          <w:szCs w:val="22"/>
          <w:lang w:val="fr-FR"/>
        </w:rPr>
        <w:t xml:space="preserve"> </w:t>
      </w:r>
      <w:r w:rsidR="00C854FD">
        <w:rPr>
          <w:sz w:val="22"/>
          <w:szCs w:val="22"/>
          <w:lang w:val="fr-FR"/>
        </w:rPr>
        <w:t>orientations sont élaborées et des évaluations techniques sont planifiées et entreprises, constituent une excellente opportunité</w:t>
      </w:r>
      <w:r w:rsidR="00C43232" w:rsidRPr="00115A34">
        <w:rPr>
          <w:sz w:val="22"/>
          <w:szCs w:val="22"/>
          <w:lang w:val="fr-FR"/>
        </w:rPr>
        <w:t xml:space="preserve">. </w:t>
      </w:r>
      <w:r w:rsidR="00C854FD">
        <w:rPr>
          <w:sz w:val="22"/>
          <w:szCs w:val="22"/>
          <w:lang w:val="fr-FR"/>
        </w:rPr>
        <w:t xml:space="preserve">Les contextes plus « opérationnels » au niveau des programmes et des </w:t>
      </w:r>
      <w:r w:rsidR="00C43232" w:rsidRPr="00115A34">
        <w:rPr>
          <w:sz w:val="22"/>
          <w:szCs w:val="22"/>
          <w:lang w:val="fr-FR"/>
        </w:rPr>
        <w:t>projet</w:t>
      </w:r>
      <w:r w:rsidR="00C854FD">
        <w:rPr>
          <w:sz w:val="22"/>
          <w:szCs w:val="22"/>
          <w:lang w:val="fr-FR"/>
        </w:rPr>
        <w:t>s</w:t>
      </w:r>
      <w:r w:rsidR="002F4F3D" w:rsidRPr="00115A34">
        <w:rPr>
          <w:sz w:val="22"/>
          <w:szCs w:val="22"/>
          <w:lang w:val="fr-FR"/>
        </w:rPr>
        <w:t xml:space="preserve"> </w:t>
      </w:r>
      <w:r w:rsidR="007322F7">
        <w:rPr>
          <w:sz w:val="22"/>
          <w:szCs w:val="22"/>
          <w:lang w:val="fr-FR"/>
        </w:rPr>
        <w:t>sont également pertinents, mais se limitent, pour les besoins actuels, principalement aux situations plurinationales</w:t>
      </w:r>
      <w:r w:rsidR="002F4F3D" w:rsidRPr="00115A34">
        <w:rPr>
          <w:sz w:val="22"/>
          <w:szCs w:val="22"/>
          <w:lang w:val="fr-FR"/>
        </w:rPr>
        <w:t>.</w:t>
      </w:r>
    </w:p>
    <w:p w14:paraId="1F0F3A39" w14:textId="77777777" w:rsidR="004D6D3F" w:rsidRPr="00115A34" w:rsidRDefault="004D6D3F" w:rsidP="00506507">
      <w:pPr>
        <w:jc w:val="both"/>
        <w:rPr>
          <w:sz w:val="22"/>
          <w:szCs w:val="22"/>
          <w:lang w:val="fr-FR"/>
        </w:rPr>
      </w:pPr>
    </w:p>
    <w:p w14:paraId="091557D3" w14:textId="5C1843CE" w:rsidR="000C0D7E" w:rsidRPr="00115A34" w:rsidRDefault="007322F7" w:rsidP="0050650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Les processus m</w:t>
      </w:r>
      <w:r w:rsidR="005C58EF" w:rsidRPr="00115A34">
        <w:rPr>
          <w:sz w:val="22"/>
          <w:szCs w:val="22"/>
          <w:lang w:val="fr-FR"/>
        </w:rPr>
        <w:t>ultilat</w:t>
      </w:r>
      <w:r>
        <w:rPr>
          <w:sz w:val="22"/>
          <w:szCs w:val="22"/>
          <w:lang w:val="fr-FR"/>
        </w:rPr>
        <w:t>éraux pertinents</w:t>
      </w:r>
      <w:r w:rsidR="005C58EF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comprennent non seulement les</w:t>
      </w:r>
      <w:r w:rsidR="005C58EF" w:rsidRPr="00115A34">
        <w:rPr>
          <w:sz w:val="22"/>
          <w:szCs w:val="22"/>
          <w:lang w:val="fr-FR"/>
        </w:rPr>
        <w:t xml:space="preserve"> Conventions </w:t>
      </w:r>
      <w:r>
        <w:rPr>
          <w:sz w:val="22"/>
          <w:szCs w:val="22"/>
          <w:lang w:val="fr-FR"/>
        </w:rPr>
        <w:t xml:space="preserve">et autres systèmes de traités, mais </w:t>
      </w:r>
      <w:r w:rsidR="002004BF">
        <w:rPr>
          <w:sz w:val="22"/>
          <w:szCs w:val="22"/>
          <w:lang w:val="fr-FR"/>
        </w:rPr>
        <w:t xml:space="preserve">aussi </w:t>
      </w:r>
      <w:r>
        <w:rPr>
          <w:sz w:val="22"/>
          <w:szCs w:val="22"/>
          <w:lang w:val="fr-FR"/>
        </w:rPr>
        <w:t>les programmes de financement internationaux</w:t>
      </w:r>
      <w:r w:rsidR="005C58EF" w:rsidRPr="00115A34">
        <w:rPr>
          <w:sz w:val="22"/>
          <w:szCs w:val="22"/>
          <w:lang w:val="fr-FR"/>
        </w:rPr>
        <w:t xml:space="preserve"> </w:t>
      </w:r>
      <w:r w:rsidR="00C62624" w:rsidRPr="00115A34">
        <w:rPr>
          <w:sz w:val="22"/>
          <w:szCs w:val="22"/>
          <w:lang w:val="fr-FR"/>
        </w:rPr>
        <w:t>(</w:t>
      </w:r>
      <w:r>
        <w:rPr>
          <w:sz w:val="22"/>
          <w:szCs w:val="22"/>
          <w:lang w:val="fr-FR"/>
        </w:rPr>
        <w:t xml:space="preserve">ceux liés à la biodiversité et d’autres </w:t>
      </w:r>
      <w:r w:rsidR="00F649E3">
        <w:rPr>
          <w:sz w:val="22"/>
          <w:szCs w:val="22"/>
          <w:lang w:val="fr-FR"/>
        </w:rPr>
        <w:t xml:space="preserve">dotés </w:t>
      </w:r>
      <w:r>
        <w:rPr>
          <w:sz w:val="22"/>
          <w:szCs w:val="22"/>
          <w:lang w:val="fr-FR"/>
        </w:rPr>
        <w:t>de régimes de sauvegarde de l’environnement</w:t>
      </w:r>
      <w:r w:rsidR="00C62624" w:rsidRPr="00115A34">
        <w:rPr>
          <w:sz w:val="22"/>
          <w:szCs w:val="22"/>
          <w:lang w:val="fr-FR"/>
        </w:rPr>
        <w:t>)</w:t>
      </w:r>
      <w:r w:rsidR="003467A6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et</w:t>
      </w:r>
      <w:r w:rsidR="005C58EF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les organismes de réglementation et de normalisation</w:t>
      </w:r>
      <w:r w:rsidR="005C58EF" w:rsidRPr="00115A34">
        <w:rPr>
          <w:sz w:val="22"/>
          <w:szCs w:val="22"/>
          <w:lang w:val="fr-FR"/>
        </w:rPr>
        <w:t>.</w:t>
      </w:r>
    </w:p>
    <w:p w14:paraId="0506181B" w14:textId="77777777" w:rsidR="00015BE6" w:rsidRPr="00115A34" w:rsidRDefault="00015BE6" w:rsidP="00506507">
      <w:pPr>
        <w:jc w:val="both"/>
        <w:rPr>
          <w:sz w:val="22"/>
          <w:szCs w:val="22"/>
          <w:lang w:val="fr-FR"/>
        </w:rPr>
      </w:pPr>
    </w:p>
    <w:p w14:paraId="55D77DA7" w14:textId="0C94873B" w:rsidR="00015BE6" w:rsidRPr="00115A34" w:rsidRDefault="007322F7" w:rsidP="00506507">
      <w:pPr>
        <w:jc w:val="both"/>
        <w:rPr>
          <w:lang w:val="fr-FR"/>
        </w:rPr>
      </w:pPr>
      <w:r>
        <w:rPr>
          <w:sz w:val="22"/>
          <w:szCs w:val="22"/>
          <w:lang w:val="fr-FR"/>
        </w:rPr>
        <w:t xml:space="preserve">Parmi les possibilités </w:t>
      </w:r>
      <w:r w:rsidR="007F3D2F">
        <w:rPr>
          <w:sz w:val="22"/>
          <w:szCs w:val="22"/>
          <w:lang w:val="fr-FR"/>
        </w:rPr>
        <w:t>identifiées dans les tableaux ci-dessous se trouvent certaines mesures adoptées</w:t>
      </w:r>
      <w:r w:rsidR="00015BE6" w:rsidRPr="00115A34">
        <w:rPr>
          <w:sz w:val="22"/>
          <w:szCs w:val="22"/>
          <w:lang w:val="fr-FR"/>
        </w:rPr>
        <w:t xml:space="preserve"> </w:t>
      </w:r>
      <w:r w:rsidR="007F3D2F">
        <w:rPr>
          <w:sz w:val="22"/>
          <w:szCs w:val="22"/>
          <w:lang w:val="fr-FR"/>
        </w:rPr>
        <w:t>dans le cadre législatif et stratégique de l’Union européenne</w:t>
      </w:r>
      <w:r w:rsidR="00015BE6" w:rsidRPr="00115A34">
        <w:rPr>
          <w:sz w:val="22"/>
          <w:szCs w:val="22"/>
          <w:lang w:val="fr-FR"/>
        </w:rPr>
        <w:t xml:space="preserve">. </w:t>
      </w:r>
      <w:r w:rsidR="007F3D2F">
        <w:rPr>
          <w:sz w:val="22"/>
          <w:szCs w:val="22"/>
          <w:lang w:val="fr-FR"/>
        </w:rPr>
        <w:t>Une bonne mise en œuvre de ces dernières aiderait à atteindre les objectifs de l’</w:t>
      </w:r>
      <w:r w:rsidR="00015BE6" w:rsidRPr="00115A34">
        <w:rPr>
          <w:sz w:val="22"/>
          <w:szCs w:val="22"/>
          <w:lang w:val="fr-FR"/>
        </w:rPr>
        <w:t xml:space="preserve">AEWA </w:t>
      </w:r>
      <w:r w:rsidR="007F3D2F">
        <w:rPr>
          <w:sz w:val="22"/>
          <w:szCs w:val="22"/>
          <w:lang w:val="fr-FR"/>
        </w:rPr>
        <w:t>et devrait être encouragée. Ces</w:t>
      </w:r>
      <w:r w:rsidR="00015BE6" w:rsidRPr="00115A34">
        <w:rPr>
          <w:sz w:val="22"/>
          <w:szCs w:val="22"/>
          <w:lang w:val="fr-FR"/>
        </w:rPr>
        <w:t xml:space="preserve"> situations </w:t>
      </w:r>
      <w:r w:rsidR="007F3D2F">
        <w:rPr>
          <w:sz w:val="22"/>
          <w:szCs w:val="22"/>
          <w:lang w:val="fr-FR"/>
        </w:rPr>
        <w:t xml:space="preserve">ont toutefois un caractère légèrement différent de celui des autres </w:t>
      </w:r>
      <w:r w:rsidR="00EC77AE">
        <w:rPr>
          <w:sz w:val="22"/>
          <w:szCs w:val="22"/>
          <w:lang w:val="fr-FR"/>
        </w:rPr>
        <w:t xml:space="preserve">situations </w:t>
      </w:r>
      <w:r w:rsidR="007F3D2F">
        <w:rPr>
          <w:sz w:val="22"/>
          <w:szCs w:val="22"/>
          <w:lang w:val="fr-FR"/>
        </w:rPr>
        <w:t>décrites dans ce document</w:t>
      </w:r>
      <w:r w:rsidR="00015BE6" w:rsidRPr="00115A34">
        <w:rPr>
          <w:sz w:val="22"/>
          <w:szCs w:val="22"/>
          <w:lang w:val="fr-FR"/>
        </w:rPr>
        <w:t xml:space="preserve">, </w:t>
      </w:r>
      <w:r w:rsidR="00A5470F">
        <w:rPr>
          <w:sz w:val="22"/>
          <w:szCs w:val="22"/>
          <w:lang w:val="fr-FR"/>
        </w:rPr>
        <w:t>dans la mesure où l’Union européenne est une Partie de plein droit à l’AEWA</w:t>
      </w:r>
      <w:r w:rsidR="00015BE6" w:rsidRPr="00115A34">
        <w:rPr>
          <w:sz w:val="22"/>
          <w:szCs w:val="22"/>
          <w:lang w:val="fr-FR"/>
        </w:rPr>
        <w:t xml:space="preserve">, </w:t>
      </w:r>
      <w:r w:rsidR="00A5470F">
        <w:rPr>
          <w:sz w:val="22"/>
          <w:szCs w:val="22"/>
          <w:lang w:val="fr-FR"/>
        </w:rPr>
        <w:t>et est par conséquent déjà dans l’</w:t>
      </w:r>
      <w:r w:rsidR="00015BE6" w:rsidRPr="00115A34">
        <w:rPr>
          <w:sz w:val="22"/>
          <w:szCs w:val="22"/>
          <w:lang w:val="fr-FR"/>
        </w:rPr>
        <w:t xml:space="preserve">obligation </w:t>
      </w:r>
      <w:r w:rsidR="00A5470F">
        <w:rPr>
          <w:sz w:val="22"/>
          <w:szCs w:val="22"/>
          <w:lang w:val="fr-FR"/>
        </w:rPr>
        <w:t>de se conformer aux décisions et autres mandats de la MOP de l’</w:t>
      </w:r>
      <w:r w:rsidR="00015BE6" w:rsidRPr="00115A34">
        <w:rPr>
          <w:sz w:val="22"/>
          <w:szCs w:val="22"/>
          <w:lang w:val="fr-FR"/>
        </w:rPr>
        <w:t xml:space="preserve">AEWA. </w:t>
      </w:r>
      <w:r w:rsidR="00A5470F">
        <w:rPr>
          <w:sz w:val="22"/>
          <w:szCs w:val="22"/>
          <w:lang w:val="fr-FR"/>
        </w:rPr>
        <w:t>Dans ce cas précis, « influence</w:t>
      </w:r>
      <w:r w:rsidR="00EC77AE">
        <w:rPr>
          <w:sz w:val="22"/>
          <w:szCs w:val="22"/>
          <w:lang w:val="fr-FR"/>
        </w:rPr>
        <w:t>r</w:t>
      </w:r>
      <w:r w:rsidR="00A5470F">
        <w:rPr>
          <w:sz w:val="22"/>
          <w:szCs w:val="22"/>
          <w:lang w:val="fr-FR"/>
        </w:rPr>
        <w:t> » consiste plutôt à s’assurer que les</w:t>
      </w:r>
      <w:r w:rsidR="00015BE6" w:rsidRPr="00115A34">
        <w:rPr>
          <w:sz w:val="22"/>
          <w:szCs w:val="22"/>
          <w:lang w:val="fr-FR"/>
        </w:rPr>
        <w:t xml:space="preserve"> obligations </w:t>
      </w:r>
      <w:r w:rsidR="00A5470F">
        <w:rPr>
          <w:sz w:val="22"/>
          <w:szCs w:val="22"/>
          <w:lang w:val="fr-FR"/>
        </w:rPr>
        <w:t>existantes sont respectées</w:t>
      </w:r>
      <w:r w:rsidR="00015BE6" w:rsidRPr="00115A34">
        <w:rPr>
          <w:sz w:val="22"/>
          <w:szCs w:val="22"/>
          <w:lang w:val="fr-FR"/>
        </w:rPr>
        <w:t>.</w:t>
      </w:r>
    </w:p>
    <w:p w14:paraId="2DF40239" w14:textId="77777777" w:rsidR="00015BE6" w:rsidRPr="00115A34" w:rsidRDefault="00015BE6" w:rsidP="00506507">
      <w:pPr>
        <w:jc w:val="both"/>
        <w:rPr>
          <w:sz w:val="22"/>
          <w:szCs w:val="22"/>
          <w:lang w:val="fr-FR"/>
        </w:rPr>
      </w:pPr>
    </w:p>
    <w:p w14:paraId="31C51A5F" w14:textId="6AB18D88" w:rsidR="00233FFC" w:rsidRPr="00115A34" w:rsidRDefault="00A5470F" w:rsidP="0050650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 terme de « succès » peut pour sa part être interprété à deux principaux niveaux</w:t>
      </w:r>
      <w:r w:rsidR="005C58EF" w:rsidRPr="00115A34">
        <w:rPr>
          <w:sz w:val="22"/>
          <w:szCs w:val="22"/>
          <w:lang w:val="fr-FR"/>
        </w:rPr>
        <w:t>.</w:t>
      </w:r>
      <w:r w:rsidR="00233FFC" w:rsidRPr="00115A34">
        <w:rPr>
          <w:sz w:val="22"/>
          <w:szCs w:val="22"/>
          <w:lang w:val="fr-FR"/>
        </w:rPr>
        <w:t xml:space="preserve"> </w:t>
      </w:r>
      <w:r w:rsidR="00981B6A">
        <w:rPr>
          <w:sz w:val="22"/>
          <w:szCs w:val="22"/>
          <w:lang w:val="fr-FR"/>
        </w:rPr>
        <w:t>A</w:t>
      </w:r>
      <w:r w:rsidR="00EC77AE">
        <w:rPr>
          <w:sz w:val="22"/>
          <w:szCs w:val="22"/>
          <w:lang w:val="fr-FR"/>
        </w:rPr>
        <w:t>u</w:t>
      </w:r>
      <w:r w:rsidR="00981B6A">
        <w:rPr>
          <w:sz w:val="22"/>
          <w:szCs w:val="22"/>
          <w:lang w:val="fr-FR"/>
        </w:rPr>
        <w:t xml:space="preserve"> premier niveau, on peut considérer que le</w:t>
      </w:r>
      <w:r w:rsidR="00233FFC" w:rsidRPr="00115A34">
        <w:rPr>
          <w:sz w:val="22"/>
          <w:szCs w:val="22"/>
          <w:lang w:val="fr-FR"/>
        </w:rPr>
        <w:t xml:space="preserve"> succ</w:t>
      </w:r>
      <w:r w:rsidR="00981B6A">
        <w:rPr>
          <w:sz w:val="22"/>
          <w:szCs w:val="22"/>
          <w:lang w:val="fr-FR"/>
        </w:rPr>
        <w:t>è</w:t>
      </w:r>
      <w:r w:rsidR="00233FFC" w:rsidRPr="00115A34">
        <w:rPr>
          <w:sz w:val="22"/>
          <w:szCs w:val="22"/>
          <w:lang w:val="fr-FR"/>
        </w:rPr>
        <w:t xml:space="preserve">s </w:t>
      </w:r>
      <w:r w:rsidR="00037A52" w:rsidRPr="00115A34">
        <w:rPr>
          <w:sz w:val="22"/>
          <w:szCs w:val="22"/>
          <w:lang w:val="fr-FR"/>
        </w:rPr>
        <w:t xml:space="preserve">a </w:t>
      </w:r>
      <w:r w:rsidR="00981B6A">
        <w:rPr>
          <w:sz w:val="22"/>
          <w:szCs w:val="22"/>
          <w:lang w:val="fr-FR"/>
        </w:rPr>
        <w:t>été obtenu lorsque les principes, normes, idées et suggestions de l’</w:t>
      </w:r>
      <w:r w:rsidR="00233FFC" w:rsidRPr="00115A34">
        <w:rPr>
          <w:sz w:val="22"/>
          <w:szCs w:val="22"/>
          <w:lang w:val="fr-FR"/>
        </w:rPr>
        <w:t xml:space="preserve">AEWA </w:t>
      </w:r>
      <w:r w:rsidR="00981B6A">
        <w:rPr>
          <w:sz w:val="22"/>
          <w:szCs w:val="22"/>
          <w:lang w:val="fr-FR"/>
        </w:rPr>
        <w:t>sont repris et reflétés dans les politiques et décisions</w:t>
      </w:r>
      <w:r w:rsidR="00233FFC" w:rsidRPr="00115A34">
        <w:rPr>
          <w:sz w:val="22"/>
          <w:szCs w:val="22"/>
          <w:lang w:val="fr-FR"/>
        </w:rPr>
        <w:t xml:space="preserve"> </w:t>
      </w:r>
      <w:r w:rsidR="00981B6A">
        <w:rPr>
          <w:sz w:val="22"/>
          <w:szCs w:val="22"/>
          <w:lang w:val="fr-FR"/>
        </w:rPr>
        <w:t>d’autres processus</w:t>
      </w:r>
      <w:r w:rsidR="00233FFC" w:rsidRPr="00115A34">
        <w:rPr>
          <w:sz w:val="22"/>
          <w:szCs w:val="22"/>
          <w:lang w:val="fr-FR"/>
        </w:rPr>
        <w:t xml:space="preserve"> multilat</w:t>
      </w:r>
      <w:r w:rsidR="00981B6A">
        <w:rPr>
          <w:sz w:val="22"/>
          <w:szCs w:val="22"/>
          <w:lang w:val="fr-FR"/>
        </w:rPr>
        <w:t>éraux</w:t>
      </w:r>
      <w:r w:rsidR="00233FFC" w:rsidRPr="00115A34">
        <w:rPr>
          <w:sz w:val="22"/>
          <w:szCs w:val="22"/>
          <w:lang w:val="fr-FR"/>
        </w:rPr>
        <w:t>.</w:t>
      </w:r>
      <w:r w:rsidR="00F85C5C" w:rsidRPr="00115A34">
        <w:rPr>
          <w:sz w:val="22"/>
          <w:szCs w:val="22"/>
          <w:lang w:val="fr-FR"/>
        </w:rPr>
        <w:t xml:space="preserve"> </w:t>
      </w:r>
      <w:r w:rsidR="00981B6A">
        <w:rPr>
          <w:sz w:val="22"/>
          <w:szCs w:val="22"/>
          <w:lang w:val="fr-FR"/>
        </w:rPr>
        <w:t xml:space="preserve">Cela peut peut-être être considéré comme un succès pour les </w:t>
      </w:r>
      <w:r w:rsidR="00981B6A" w:rsidRPr="00F649E3">
        <w:rPr>
          <w:i/>
          <w:iCs/>
          <w:sz w:val="22"/>
          <w:szCs w:val="22"/>
          <w:lang w:val="fr-FR"/>
        </w:rPr>
        <w:t>contributions</w:t>
      </w:r>
      <w:r w:rsidR="00981B6A">
        <w:rPr>
          <w:sz w:val="22"/>
          <w:szCs w:val="22"/>
          <w:lang w:val="fr-FR"/>
        </w:rPr>
        <w:t xml:space="preserve"> de l’</w:t>
      </w:r>
      <w:r w:rsidR="00F85C5C" w:rsidRPr="00115A34">
        <w:rPr>
          <w:sz w:val="22"/>
          <w:szCs w:val="22"/>
          <w:lang w:val="fr-FR"/>
        </w:rPr>
        <w:t xml:space="preserve">AEWA. </w:t>
      </w:r>
      <w:r w:rsidR="00981B6A">
        <w:rPr>
          <w:sz w:val="22"/>
          <w:szCs w:val="22"/>
          <w:lang w:val="fr-FR"/>
        </w:rPr>
        <w:t xml:space="preserve">C’est peut-être tout ce </w:t>
      </w:r>
      <w:r w:rsidR="00C2086C">
        <w:rPr>
          <w:sz w:val="22"/>
          <w:szCs w:val="22"/>
          <w:lang w:val="fr-FR"/>
        </w:rPr>
        <w:t>que vise</w:t>
      </w:r>
      <w:r w:rsidR="00981B6A">
        <w:rPr>
          <w:sz w:val="22"/>
          <w:szCs w:val="22"/>
          <w:lang w:val="fr-FR"/>
        </w:rPr>
        <w:t xml:space="preserve"> la Cible</w:t>
      </w:r>
      <w:r w:rsidR="00233FFC" w:rsidRPr="00115A34">
        <w:rPr>
          <w:sz w:val="22"/>
          <w:szCs w:val="22"/>
          <w:lang w:val="fr-FR"/>
        </w:rPr>
        <w:t xml:space="preserve"> 1.6 </w:t>
      </w:r>
      <w:r w:rsidR="00981B6A">
        <w:rPr>
          <w:sz w:val="22"/>
          <w:szCs w:val="22"/>
          <w:lang w:val="fr-FR"/>
        </w:rPr>
        <w:t>du Plan stratégique</w:t>
      </w:r>
      <w:r w:rsidR="00F85C5C" w:rsidRPr="00115A34">
        <w:rPr>
          <w:sz w:val="22"/>
          <w:szCs w:val="22"/>
          <w:lang w:val="fr-FR"/>
        </w:rPr>
        <w:t xml:space="preserve">, </w:t>
      </w:r>
      <w:r w:rsidR="00760EEB">
        <w:rPr>
          <w:sz w:val="22"/>
          <w:szCs w:val="22"/>
          <w:lang w:val="fr-FR"/>
        </w:rPr>
        <w:t xml:space="preserve">qui fait référence à </w:t>
      </w:r>
      <w:r w:rsidR="00EC77AE">
        <w:rPr>
          <w:sz w:val="22"/>
          <w:szCs w:val="22"/>
          <w:lang w:val="fr-FR"/>
        </w:rPr>
        <w:t>« </w:t>
      </w:r>
      <w:r w:rsidR="00760EEB">
        <w:rPr>
          <w:sz w:val="22"/>
          <w:szCs w:val="22"/>
          <w:lang w:val="fr-FR"/>
        </w:rPr>
        <w:t>l’intégration » des priorités de l’</w:t>
      </w:r>
      <w:r w:rsidR="00233FFC" w:rsidRPr="00115A34">
        <w:rPr>
          <w:sz w:val="22"/>
          <w:szCs w:val="22"/>
          <w:lang w:val="fr-FR"/>
        </w:rPr>
        <w:t xml:space="preserve">AEWA </w:t>
      </w:r>
      <w:r w:rsidR="00760EEB">
        <w:rPr>
          <w:sz w:val="22"/>
          <w:szCs w:val="22"/>
          <w:lang w:val="fr-FR"/>
        </w:rPr>
        <w:t>dans ces autres processus</w:t>
      </w:r>
      <w:r w:rsidR="00233FFC" w:rsidRPr="00115A34">
        <w:rPr>
          <w:sz w:val="22"/>
          <w:szCs w:val="22"/>
          <w:lang w:val="fr-FR"/>
        </w:rPr>
        <w:t xml:space="preserve">, </w:t>
      </w:r>
      <w:r w:rsidR="00E34250">
        <w:rPr>
          <w:sz w:val="22"/>
          <w:szCs w:val="22"/>
          <w:lang w:val="fr-FR"/>
        </w:rPr>
        <w:t xml:space="preserve">les deux </w:t>
      </w:r>
      <w:r w:rsidR="000D638B">
        <w:rPr>
          <w:sz w:val="22"/>
          <w:szCs w:val="22"/>
          <w:lang w:val="fr-FR"/>
        </w:rPr>
        <w:t xml:space="preserve">indicateurs suggérés pour la </w:t>
      </w:r>
      <w:r w:rsidR="00E62FB8">
        <w:rPr>
          <w:sz w:val="22"/>
          <w:szCs w:val="22"/>
          <w:lang w:val="fr-FR"/>
        </w:rPr>
        <w:t>C</w:t>
      </w:r>
      <w:r w:rsidR="000D638B">
        <w:rPr>
          <w:sz w:val="22"/>
          <w:szCs w:val="22"/>
          <w:lang w:val="fr-FR"/>
        </w:rPr>
        <w:t>ible étant</w:t>
      </w:r>
      <w:r w:rsidR="00233FFC" w:rsidRPr="00115A34">
        <w:rPr>
          <w:sz w:val="22"/>
          <w:szCs w:val="22"/>
          <w:lang w:val="fr-FR"/>
        </w:rPr>
        <w:t xml:space="preserve"> (i) </w:t>
      </w:r>
      <w:r w:rsidR="00E62FB8">
        <w:rPr>
          <w:sz w:val="22"/>
          <w:szCs w:val="22"/>
          <w:lang w:val="fr-FR"/>
        </w:rPr>
        <w:t>« </w:t>
      </w:r>
      <w:r w:rsidR="000D638B">
        <w:rPr>
          <w:sz w:val="22"/>
          <w:szCs w:val="22"/>
          <w:lang w:val="fr-FR"/>
        </w:rPr>
        <w:t>l</w:t>
      </w:r>
      <w:r w:rsidR="00F85C5C" w:rsidRPr="00115A34">
        <w:rPr>
          <w:sz w:val="22"/>
          <w:szCs w:val="22"/>
          <w:lang w:val="fr-FR"/>
        </w:rPr>
        <w:t xml:space="preserve">e </w:t>
      </w:r>
      <w:r w:rsidR="00233FFC" w:rsidRPr="00115A34">
        <w:rPr>
          <w:i/>
          <w:sz w:val="22"/>
          <w:szCs w:val="22"/>
          <w:lang w:val="fr-FR"/>
        </w:rPr>
        <w:t>n</w:t>
      </w:r>
      <w:r w:rsidR="000D638B">
        <w:rPr>
          <w:i/>
          <w:sz w:val="22"/>
          <w:szCs w:val="22"/>
          <w:lang w:val="fr-FR"/>
        </w:rPr>
        <w:t>ombre de questions pour lesquelles les priorités de l’</w:t>
      </w:r>
      <w:r w:rsidR="00233FFC" w:rsidRPr="00115A34">
        <w:rPr>
          <w:i/>
          <w:sz w:val="22"/>
          <w:szCs w:val="22"/>
          <w:lang w:val="fr-FR"/>
        </w:rPr>
        <w:t>AEWA</w:t>
      </w:r>
      <w:r w:rsidR="000D638B">
        <w:rPr>
          <w:i/>
          <w:sz w:val="22"/>
          <w:szCs w:val="22"/>
          <w:lang w:val="fr-FR"/>
        </w:rPr>
        <w:t xml:space="preserve"> ont été formellement </w:t>
      </w:r>
      <w:r w:rsidR="00233FFC" w:rsidRPr="00115A34">
        <w:rPr>
          <w:i/>
          <w:sz w:val="22"/>
          <w:szCs w:val="22"/>
          <w:lang w:val="fr-FR"/>
        </w:rPr>
        <w:t>communi</w:t>
      </w:r>
      <w:r w:rsidR="000D638B">
        <w:rPr>
          <w:i/>
          <w:sz w:val="22"/>
          <w:szCs w:val="22"/>
          <w:lang w:val="fr-FR"/>
        </w:rPr>
        <w:t>quées au</w:t>
      </w:r>
      <w:r w:rsidR="00C2086C">
        <w:rPr>
          <w:i/>
          <w:sz w:val="22"/>
          <w:szCs w:val="22"/>
          <w:lang w:val="fr-FR"/>
        </w:rPr>
        <w:t>(</w:t>
      </w:r>
      <w:r w:rsidR="000D638B">
        <w:rPr>
          <w:i/>
          <w:sz w:val="22"/>
          <w:szCs w:val="22"/>
          <w:lang w:val="fr-FR"/>
        </w:rPr>
        <w:t>x</w:t>
      </w:r>
      <w:r w:rsidR="00C2086C">
        <w:rPr>
          <w:i/>
          <w:sz w:val="22"/>
          <w:szCs w:val="22"/>
          <w:lang w:val="fr-FR"/>
        </w:rPr>
        <w:t>)</w:t>
      </w:r>
      <w:r w:rsidR="000D638B">
        <w:rPr>
          <w:i/>
          <w:sz w:val="22"/>
          <w:szCs w:val="22"/>
          <w:lang w:val="fr-FR"/>
        </w:rPr>
        <w:t xml:space="preserve"> processus multilatéra</w:t>
      </w:r>
      <w:r w:rsidR="00C2086C">
        <w:rPr>
          <w:i/>
          <w:sz w:val="22"/>
          <w:szCs w:val="22"/>
          <w:lang w:val="fr-FR"/>
        </w:rPr>
        <w:t>l(a</w:t>
      </w:r>
      <w:r w:rsidR="000D638B">
        <w:rPr>
          <w:i/>
          <w:sz w:val="22"/>
          <w:szCs w:val="22"/>
          <w:lang w:val="fr-FR"/>
        </w:rPr>
        <w:t>ux</w:t>
      </w:r>
      <w:r w:rsidR="00C2086C">
        <w:rPr>
          <w:i/>
          <w:sz w:val="22"/>
          <w:szCs w:val="22"/>
          <w:lang w:val="fr-FR"/>
        </w:rPr>
        <w:t>)</w:t>
      </w:r>
      <w:r w:rsidR="000D638B">
        <w:rPr>
          <w:i/>
          <w:sz w:val="22"/>
          <w:szCs w:val="22"/>
          <w:lang w:val="fr-FR"/>
        </w:rPr>
        <w:t xml:space="preserve"> le</w:t>
      </w:r>
      <w:r w:rsidR="00C2086C">
        <w:rPr>
          <w:i/>
          <w:sz w:val="22"/>
          <w:szCs w:val="22"/>
          <w:lang w:val="fr-FR"/>
        </w:rPr>
        <w:t>(</w:t>
      </w:r>
      <w:r w:rsidR="000D638B">
        <w:rPr>
          <w:i/>
          <w:sz w:val="22"/>
          <w:szCs w:val="22"/>
          <w:lang w:val="fr-FR"/>
        </w:rPr>
        <w:t>s</w:t>
      </w:r>
      <w:r w:rsidR="00C2086C">
        <w:rPr>
          <w:i/>
          <w:sz w:val="22"/>
          <w:szCs w:val="22"/>
          <w:lang w:val="fr-FR"/>
        </w:rPr>
        <w:t>)</w:t>
      </w:r>
      <w:r w:rsidR="000D638B">
        <w:rPr>
          <w:i/>
          <w:sz w:val="22"/>
          <w:szCs w:val="22"/>
          <w:lang w:val="fr-FR"/>
        </w:rPr>
        <w:t xml:space="preserve"> plus pertinent</w:t>
      </w:r>
      <w:r w:rsidR="00233FFC" w:rsidRPr="00115A34">
        <w:rPr>
          <w:i/>
          <w:sz w:val="22"/>
          <w:szCs w:val="22"/>
          <w:lang w:val="fr-FR"/>
        </w:rPr>
        <w:t>(s)</w:t>
      </w:r>
      <w:r w:rsidR="000D638B">
        <w:rPr>
          <w:sz w:val="22"/>
          <w:szCs w:val="22"/>
          <w:lang w:val="fr-FR"/>
        </w:rPr>
        <w:t xml:space="preserve"> »</w:t>
      </w:r>
      <w:r w:rsidR="00233FFC" w:rsidRPr="00115A34">
        <w:rPr>
          <w:sz w:val="22"/>
          <w:szCs w:val="22"/>
          <w:lang w:val="fr-FR"/>
        </w:rPr>
        <w:t xml:space="preserve"> </w:t>
      </w:r>
      <w:r w:rsidR="000D638B">
        <w:rPr>
          <w:sz w:val="22"/>
          <w:szCs w:val="22"/>
          <w:lang w:val="fr-FR"/>
        </w:rPr>
        <w:t>et</w:t>
      </w:r>
      <w:r w:rsidR="00233FFC" w:rsidRPr="00115A34">
        <w:rPr>
          <w:sz w:val="22"/>
          <w:szCs w:val="22"/>
          <w:lang w:val="fr-FR"/>
        </w:rPr>
        <w:t xml:space="preserve"> (ii) </w:t>
      </w:r>
      <w:r w:rsidR="000D638B">
        <w:rPr>
          <w:sz w:val="22"/>
          <w:szCs w:val="22"/>
          <w:lang w:val="fr-FR"/>
        </w:rPr>
        <w:t>le « </w:t>
      </w:r>
      <w:r w:rsidR="00233FFC" w:rsidRPr="00115A34">
        <w:rPr>
          <w:i/>
          <w:sz w:val="22"/>
          <w:szCs w:val="22"/>
          <w:lang w:val="fr-FR"/>
        </w:rPr>
        <w:t>n</w:t>
      </w:r>
      <w:r w:rsidR="000D638B">
        <w:rPr>
          <w:i/>
          <w:sz w:val="22"/>
          <w:szCs w:val="22"/>
          <w:lang w:val="fr-FR"/>
        </w:rPr>
        <w:t>ombre  de décisions</w:t>
      </w:r>
      <w:r w:rsidR="00233FFC" w:rsidRPr="00115A34">
        <w:rPr>
          <w:i/>
          <w:sz w:val="22"/>
          <w:szCs w:val="22"/>
          <w:lang w:val="fr-FR"/>
        </w:rPr>
        <w:t>, actions, recomm</w:t>
      </w:r>
      <w:r w:rsidR="000D638B">
        <w:rPr>
          <w:i/>
          <w:sz w:val="22"/>
          <w:szCs w:val="22"/>
          <w:lang w:val="fr-FR"/>
        </w:rPr>
        <w:t>an</w:t>
      </w:r>
      <w:r w:rsidR="00233FFC" w:rsidRPr="00115A34">
        <w:rPr>
          <w:i/>
          <w:sz w:val="22"/>
          <w:szCs w:val="22"/>
          <w:lang w:val="fr-FR"/>
        </w:rPr>
        <w:t xml:space="preserve">dations </w:t>
      </w:r>
      <w:r w:rsidR="000D638B">
        <w:rPr>
          <w:i/>
          <w:sz w:val="22"/>
          <w:szCs w:val="22"/>
          <w:lang w:val="fr-FR"/>
        </w:rPr>
        <w:t>et orientations pertinentes</w:t>
      </w:r>
      <w:r w:rsidR="00233FFC" w:rsidRPr="00115A34">
        <w:rPr>
          <w:i/>
          <w:sz w:val="22"/>
          <w:szCs w:val="22"/>
          <w:lang w:val="fr-FR"/>
        </w:rPr>
        <w:t xml:space="preserve"> </w:t>
      </w:r>
      <w:r w:rsidR="000D638B">
        <w:rPr>
          <w:i/>
          <w:sz w:val="22"/>
          <w:szCs w:val="22"/>
          <w:lang w:val="fr-FR"/>
        </w:rPr>
        <w:t>dans ces processus qui intègrent les priorités de l’</w:t>
      </w:r>
      <w:r w:rsidR="00233FFC" w:rsidRPr="00115A34">
        <w:rPr>
          <w:i/>
          <w:sz w:val="22"/>
          <w:szCs w:val="22"/>
          <w:lang w:val="fr-FR"/>
        </w:rPr>
        <w:t>AEWA</w:t>
      </w:r>
      <w:r w:rsidR="000D638B" w:rsidRPr="00115A34">
        <w:rPr>
          <w:sz w:val="22"/>
          <w:szCs w:val="22"/>
          <w:lang w:val="fr-FR"/>
        </w:rPr>
        <w:t xml:space="preserve"> </w:t>
      </w:r>
      <w:r w:rsidR="000D638B">
        <w:rPr>
          <w:sz w:val="22"/>
          <w:szCs w:val="22"/>
          <w:lang w:val="fr-FR"/>
        </w:rPr>
        <w:t>»</w:t>
      </w:r>
      <w:r w:rsidR="00233FFC" w:rsidRPr="00115A34">
        <w:rPr>
          <w:sz w:val="22"/>
          <w:szCs w:val="22"/>
          <w:lang w:val="fr-FR"/>
        </w:rPr>
        <w:t>.</w:t>
      </w:r>
    </w:p>
    <w:p w14:paraId="14653682" w14:textId="0FBF1CEB" w:rsidR="005C58EF" w:rsidRPr="00115A34" w:rsidRDefault="005C58EF" w:rsidP="00506507">
      <w:pPr>
        <w:jc w:val="both"/>
        <w:rPr>
          <w:sz w:val="22"/>
          <w:szCs w:val="22"/>
          <w:lang w:val="fr-FR"/>
        </w:rPr>
      </w:pPr>
    </w:p>
    <w:p w14:paraId="40D3361E" w14:textId="092C1A26" w:rsidR="005F5B81" w:rsidRPr="00115A34" w:rsidRDefault="00F85C5C" w:rsidP="00506507">
      <w:pPr>
        <w:jc w:val="both"/>
        <w:rPr>
          <w:sz w:val="22"/>
          <w:szCs w:val="22"/>
          <w:lang w:val="fr-FR"/>
        </w:rPr>
      </w:pPr>
      <w:r w:rsidRPr="00115A34">
        <w:rPr>
          <w:sz w:val="22"/>
          <w:szCs w:val="22"/>
          <w:lang w:val="fr-FR"/>
        </w:rPr>
        <w:t>I</w:t>
      </w:r>
      <w:r w:rsidR="00436741">
        <w:rPr>
          <w:sz w:val="22"/>
          <w:szCs w:val="22"/>
          <w:lang w:val="fr-FR"/>
        </w:rPr>
        <w:t>l serait toutefois possible d’examiner également si le succès a été remporté</w:t>
      </w:r>
      <w:r w:rsidRPr="00115A34">
        <w:rPr>
          <w:sz w:val="22"/>
          <w:szCs w:val="22"/>
          <w:lang w:val="fr-FR"/>
        </w:rPr>
        <w:t xml:space="preserve"> </w:t>
      </w:r>
      <w:r w:rsidR="00436741">
        <w:rPr>
          <w:sz w:val="22"/>
          <w:szCs w:val="22"/>
          <w:lang w:val="fr-FR"/>
        </w:rPr>
        <w:t>au niveau des</w:t>
      </w:r>
      <w:r w:rsidRPr="00115A34">
        <w:rPr>
          <w:sz w:val="22"/>
          <w:szCs w:val="22"/>
          <w:lang w:val="fr-FR"/>
        </w:rPr>
        <w:t xml:space="preserve"> </w:t>
      </w:r>
      <w:r w:rsidR="00436741">
        <w:rPr>
          <w:i/>
          <w:sz w:val="22"/>
          <w:szCs w:val="22"/>
          <w:lang w:val="fr-FR"/>
        </w:rPr>
        <w:t>résultats</w:t>
      </w:r>
      <w:r w:rsidRPr="00115A34">
        <w:rPr>
          <w:sz w:val="22"/>
          <w:szCs w:val="22"/>
          <w:lang w:val="fr-FR"/>
        </w:rPr>
        <w:t xml:space="preserve">, </w:t>
      </w:r>
      <w:r w:rsidR="00436741">
        <w:rPr>
          <w:sz w:val="22"/>
          <w:szCs w:val="22"/>
          <w:lang w:val="fr-FR"/>
        </w:rPr>
        <w:t xml:space="preserve">ce qui se réfèrerait aux cas où, en conséquence de l’intégration des </w:t>
      </w:r>
      <w:r w:rsidR="003D2611">
        <w:rPr>
          <w:sz w:val="22"/>
          <w:szCs w:val="22"/>
          <w:lang w:val="fr-FR"/>
        </w:rPr>
        <w:t>contributions telles que décrites ci-dessus</w:t>
      </w:r>
      <w:r w:rsidR="00037A52" w:rsidRPr="00115A34">
        <w:rPr>
          <w:sz w:val="22"/>
          <w:szCs w:val="22"/>
          <w:lang w:val="fr-FR"/>
        </w:rPr>
        <w:t xml:space="preserve">, </w:t>
      </w:r>
      <w:r w:rsidR="003D2611">
        <w:rPr>
          <w:sz w:val="22"/>
          <w:szCs w:val="22"/>
          <w:lang w:val="fr-FR"/>
        </w:rPr>
        <w:t xml:space="preserve">des avancées </w:t>
      </w:r>
      <w:r w:rsidR="00492220" w:rsidRPr="00115A34">
        <w:rPr>
          <w:sz w:val="22"/>
          <w:szCs w:val="22"/>
          <w:lang w:val="fr-FR"/>
        </w:rPr>
        <w:t>tangible</w:t>
      </w:r>
      <w:r w:rsidR="003D2611">
        <w:rPr>
          <w:sz w:val="22"/>
          <w:szCs w:val="22"/>
          <w:lang w:val="fr-FR"/>
        </w:rPr>
        <w:t>s</w:t>
      </w:r>
      <w:r w:rsidR="00492220" w:rsidRPr="00115A34">
        <w:rPr>
          <w:sz w:val="22"/>
          <w:szCs w:val="22"/>
          <w:lang w:val="fr-FR"/>
        </w:rPr>
        <w:t xml:space="preserve"> </w:t>
      </w:r>
      <w:r w:rsidR="003D2611">
        <w:rPr>
          <w:sz w:val="22"/>
          <w:szCs w:val="22"/>
          <w:lang w:val="fr-FR"/>
        </w:rPr>
        <w:t>ont été réalisées pour atteindre les objectifs de l’</w:t>
      </w:r>
      <w:r w:rsidR="00037A52" w:rsidRPr="00115A34">
        <w:rPr>
          <w:sz w:val="22"/>
          <w:szCs w:val="22"/>
          <w:lang w:val="fr-FR"/>
        </w:rPr>
        <w:t>AEWA concern</w:t>
      </w:r>
      <w:r w:rsidR="003D2611">
        <w:rPr>
          <w:sz w:val="22"/>
          <w:szCs w:val="22"/>
          <w:lang w:val="fr-FR"/>
        </w:rPr>
        <w:t>ant</w:t>
      </w:r>
      <w:r w:rsidR="00037A52" w:rsidRPr="00115A34">
        <w:rPr>
          <w:sz w:val="22"/>
          <w:szCs w:val="22"/>
          <w:lang w:val="fr-FR"/>
        </w:rPr>
        <w:t xml:space="preserve"> </w:t>
      </w:r>
      <w:r w:rsidR="003D2611">
        <w:rPr>
          <w:i/>
          <w:sz w:val="22"/>
          <w:szCs w:val="22"/>
          <w:lang w:val="fr-FR"/>
        </w:rPr>
        <w:t xml:space="preserve">l’état de </w:t>
      </w:r>
      <w:r w:rsidR="00037A52" w:rsidRPr="00115A34">
        <w:rPr>
          <w:i/>
          <w:sz w:val="22"/>
          <w:szCs w:val="22"/>
          <w:lang w:val="fr-FR"/>
        </w:rPr>
        <w:t xml:space="preserve">conservation </w:t>
      </w:r>
      <w:r w:rsidR="003D2611">
        <w:rPr>
          <w:sz w:val="22"/>
          <w:szCs w:val="22"/>
          <w:lang w:val="fr-FR"/>
        </w:rPr>
        <w:t>des oiseaux d’eau migrateurs et de leurs</w:t>
      </w:r>
      <w:r w:rsidR="00037A52" w:rsidRPr="00115A34">
        <w:rPr>
          <w:sz w:val="22"/>
          <w:szCs w:val="22"/>
          <w:lang w:val="fr-FR"/>
        </w:rPr>
        <w:t xml:space="preserve"> habitats (</w:t>
      </w:r>
      <w:r w:rsidR="003D2611">
        <w:rPr>
          <w:sz w:val="22"/>
          <w:szCs w:val="22"/>
          <w:lang w:val="fr-FR"/>
        </w:rPr>
        <w:t>et vérifié</w:t>
      </w:r>
      <w:r w:rsidR="00C2086C">
        <w:rPr>
          <w:sz w:val="22"/>
          <w:szCs w:val="22"/>
          <w:lang w:val="fr-FR"/>
        </w:rPr>
        <w:t>e</w:t>
      </w:r>
      <w:r w:rsidR="003D2611">
        <w:rPr>
          <w:sz w:val="22"/>
          <w:szCs w:val="22"/>
          <w:lang w:val="fr-FR"/>
        </w:rPr>
        <w:t>s par des preuves</w:t>
      </w:r>
      <w:r w:rsidR="00037A52" w:rsidRPr="00115A34">
        <w:rPr>
          <w:sz w:val="22"/>
          <w:szCs w:val="22"/>
          <w:lang w:val="fr-FR"/>
        </w:rPr>
        <w:t xml:space="preserve">) </w:t>
      </w:r>
      <w:r w:rsidR="003D2611">
        <w:rPr>
          <w:i/>
          <w:sz w:val="22"/>
          <w:szCs w:val="22"/>
          <w:lang w:val="fr-FR"/>
        </w:rPr>
        <w:t xml:space="preserve">par le biais </w:t>
      </w:r>
      <w:r w:rsidR="003D2611">
        <w:rPr>
          <w:sz w:val="22"/>
          <w:szCs w:val="22"/>
          <w:lang w:val="fr-FR"/>
        </w:rPr>
        <w:t>des</w:t>
      </w:r>
      <w:r w:rsidR="00037A52" w:rsidRPr="00115A34">
        <w:rPr>
          <w:sz w:val="22"/>
          <w:szCs w:val="22"/>
          <w:lang w:val="fr-FR"/>
        </w:rPr>
        <w:t xml:space="preserve"> actions </w:t>
      </w:r>
      <w:r w:rsidR="003D2611">
        <w:rPr>
          <w:sz w:val="22"/>
          <w:szCs w:val="22"/>
          <w:lang w:val="fr-FR"/>
        </w:rPr>
        <w:t>d’autres processus</w:t>
      </w:r>
      <w:r w:rsidR="00037A52" w:rsidRPr="00115A34">
        <w:rPr>
          <w:sz w:val="22"/>
          <w:szCs w:val="22"/>
          <w:lang w:val="fr-FR"/>
        </w:rPr>
        <w:t xml:space="preserve"> multilat</w:t>
      </w:r>
      <w:r w:rsidR="003D2611">
        <w:rPr>
          <w:sz w:val="22"/>
          <w:szCs w:val="22"/>
          <w:lang w:val="fr-FR"/>
        </w:rPr>
        <w:t>éraux</w:t>
      </w:r>
      <w:r w:rsidR="00037A52" w:rsidRPr="00115A34">
        <w:rPr>
          <w:sz w:val="22"/>
          <w:szCs w:val="22"/>
          <w:lang w:val="fr-FR"/>
        </w:rPr>
        <w:t xml:space="preserve"> </w:t>
      </w:r>
      <w:r w:rsidR="003D2611">
        <w:rPr>
          <w:sz w:val="22"/>
          <w:szCs w:val="22"/>
          <w:lang w:val="fr-FR"/>
        </w:rPr>
        <w:t>qui ont été influencés</w:t>
      </w:r>
      <w:r w:rsidR="00037A52" w:rsidRPr="00115A34">
        <w:rPr>
          <w:sz w:val="22"/>
          <w:szCs w:val="22"/>
          <w:lang w:val="fr-FR"/>
        </w:rPr>
        <w:t xml:space="preserve">. </w:t>
      </w:r>
      <w:r w:rsidR="003D2611">
        <w:rPr>
          <w:sz w:val="22"/>
          <w:szCs w:val="22"/>
          <w:lang w:val="fr-FR"/>
        </w:rPr>
        <w:t>La Cible</w:t>
      </w:r>
      <w:r w:rsidR="00037A52" w:rsidRPr="00115A34">
        <w:rPr>
          <w:sz w:val="22"/>
          <w:szCs w:val="22"/>
          <w:lang w:val="fr-FR"/>
        </w:rPr>
        <w:t xml:space="preserve"> 1.6 </w:t>
      </w:r>
      <w:r w:rsidR="00A74E56">
        <w:rPr>
          <w:sz w:val="22"/>
          <w:szCs w:val="22"/>
          <w:lang w:val="fr-FR"/>
        </w:rPr>
        <w:t>pourrait en fait partiellement envisager cela</w:t>
      </w:r>
      <w:r w:rsidR="00C2086C">
        <w:rPr>
          <w:sz w:val="22"/>
          <w:szCs w:val="22"/>
          <w:lang w:val="fr-FR"/>
        </w:rPr>
        <w:t>, puisqu’elle</w:t>
      </w:r>
      <w:r w:rsidR="00A74E56">
        <w:rPr>
          <w:sz w:val="22"/>
          <w:szCs w:val="22"/>
          <w:lang w:val="fr-FR"/>
        </w:rPr>
        <w:t xml:space="preserve"> fait référence, dans le deuxième indicateur suggéré, aux « actions »</w:t>
      </w:r>
      <w:r w:rsidR="00037A52" w:rsidRPr="00115A34">
        <w:rPr>
          <w:sz w:val="22"/>
          <w:szCs w:val="22"/>
          <w:lang w:val="fr-FR"/>
        </w:rPr>
        <w:t xml:space="preserve"> (</w:t>
      </w:r>
      <w:r w:rsidR="00A74E56">
        <w:rPr>
          <w:sz w:val="22"/>
          <w:szCs w:val="22"/>
          <w:lang w:val="fr-FR"/>
        </w:rPr>
        <w:t>d’autres</w:t>
      </w:r>
      <w:r w:rsidR="00037A52" w:rsidRPr="00115A34">
        <w:rPr>
          <w:sz w:val="22"/>
          <w:szCs w:val="22"/>
          <w:lang w:val="fr-FR"/>
        </w:rPr>
        <w:t xml:space="preserve">) </w:t>
      </w:r>
      <w:r w:rsidR="00A74E56">
        <w:rPr>
          <w:sz w:val="22"/>
          <w:szCs w:val="22"/>
          <w:lang w:val="fr-FR"/>
        </w:rPr>
        <w:t xml:space="preserve">qui intègrent les priorités de l’AEWA </w:t>
      </w:r>
      <w:r w:rsidR="00037A52" w:rsidRPr="00115A34">
        <w:rPr>
          <w:sz w:val="22"/>
          <w:szCs w:val="22"/>
          <w:lang w:val="fr-FR"/>
        </w:rPr>
        <w:t xml:space="preserve">; </w:t>
      </w:r>
      <w:r w:rsidR="00C768B5">
        <w:rPr>
          <w:sz w:val="22"/>
          <w:szCs w:val="22"/>
          <w:lang w:val="fr-FR"/>
        </w:rPr>
        <w:t>mais pour cela</w:t>
      </w:r>
      <w:r w:rsidR="00C2086C">
        <w:rPr>
          <w:sz w:val="22"/>
          <w:szCs w:val="22"/>
          <w:lang w:val="fr-FR"/>
        </w:rPr>
        <w:t>, elle devrait inclure dans sa</w:t>
      </w:r>
      <w:r w:rsidR="00A74E56">
        <w:rPr>
          <w:sz w:val="22"/>
          <w:szCs w:val="22"/>
          <w:lang w:val="fr-FR"/>
        </w:rPr>
        <w:t xml:space="preserve"> formulation</w:t>
      </w:r>
      <w:r w:rsidR="00037A52" w:rsidRPr="00115A34">
        <w:rPr>
          <w:sz w:val="22"/>
          <w:szCs w:val="22"/>
          <w:lang w:val="fr-FR"/>
        </w:rPr>
        <w:t xml:space="preserve"> </w:t>
      </w:r>
      <w:r w:rsidR="00A74E56">
        <w:rPr>
          <w:sz w:val="22"/>
          <w:szCs w:val="22"/>
          <w:lang w:val="fr-FR"/>
        </w:rPr>
        <w:t xml:space="preserve">des </w:t>
      </w:r>
      <w:r w:rsidR="00037A52" w:rsidRPr="00115A34">
        <w:rPr>
          <w:sz w:val="22"/>
          <w:szCs w:val="22"/>
          <w:lang w:val="fr-FR"/>
        </w:rPr>
        <w:t>indicat</w:t>
      </w:r>
      <w:r w:rsidR="00A74E56">
        <w:rPr>
          <w:sz w:val="22"/>
          <w:szCs w:val="22"/>
          <w:lang w:val="fr-FR"/>
        </w:rPr>
        <w:t>eurs plus proches de ceux des</w:t>
      </w:r>
      <w:r w:rsidR="005F5B81" w:rsidRPr="00115A34">
        <w:rPr>
          <w:sz w:val="22"/>
          <w:szCs w:val="22"/>
          <w:lang w:val="fr-FR"/>
        </w:rPr>
        <w:t xml:space="preserve"> </w:t>
      </w:r>
      <w:r w:rsidR="00A74E56">
        <w:rPr>
          <w:sz w:val="22"/>
          <w:szCs w:val="22"/>
          <w:lang w:val="fr-FR"/>
        </w:rPr>
        <w:t>« </w:t>
      </w:r>
      <w:r w:rsidR="00421BD3">
        <w:rPr>
          <w:sz w:val="22"/>
          <w:szCs w:val="22"/>
          <w:lang w:val="fr-FR"/>
        </w:rPr>
        <w:t>objectifs » du</w:t>
      </w:r>
      <w:r w:rsidR="005F5B81" w:rsidRPr="00115A34">
        <w:rPr>
          <w:sz w:val="22"/>
          <w:szCs w:val="22"/>
          <w:lang w:val="fr-FR"/>
        </w:rPr>
        <w:t xml:space="preserve"> Plan (P1-P6), </w:t>
      </w:r>
      <w:r w:rsidR="00421BD3">
        <w:rPr>
          <w:sz w:val="22"/>
          <w:szCs w:val="22"/>
          <w:lang w:val="fr-FR"/>
        </w:rPr>
        <w:t>si les résultats concernés peuvent être attribués d’une manière ou d’une autre aux</w:t>
      </w:r>
      <w:r w:rsidR="005F5B81" w:rsidRPr="00115A34">
        <w:rPr>
          <w:sz w:val="22"/>
          <w:szCs w:val="22"/>
          <w:lang w:val="fr-FR"/>
        </w:rPr>
        <w:t xml:space="preserve"> </w:t>
      </w:r>
      <w:r w:rsidR="00027AA6" w:rsidRPr="00115A34">
        <w:rPr>
          <w:sz w:val="22"/>
          <w:szCs w:val="22"/>
          <w:lang w:val="fr-FR"/>
        </w:rPr>
        <w:t xml:space="preserve">actions </w:t>
      </w:r>
      <w:r w:rsidR="00421BD3">
        <w:rPr>
          <w:sz w:val="22"/>
          <w:szCs w:val="22"/>
          <w:lang w:val="fr-FR"/>
        </w:rPr>
        <w:t xml:space="preserve">d’une catégorie </w:t>
      </w:r>
      <w:r w:rsidR="00C2086C">
        <w:rPr>
          <w:sz w:val="22"/>
          <w:szCs w:val="22"/>
          <w:lang w:val="fr-FR"/>
        </w:rPr>
        <w:t>spécifique</w:t>
      </w:r>
      <w:r w:rsidR="00421BD3">
        <w:rPr>
          <w:sz w:val="22"/>
          <w:szCs w:val="22"/>
          <w:lang w:val="fr-FR"/>
        </w:rPr>
        <w:t xml:space="preserve"> d’acteurs</w:t>
      </w:r>
      <w:r w:rsidR="00027AA6" w:rsidRPr="00115A34">
        <w:rPr>
          <w:sz w:val="22"/>
          <w:szCs w:val="22"/>
          <w:lang w:val="fr-FR"/>
        </w:rPr>
        <w:t xml:space="preserve">. </w:t>
      </w:r>
      <w:r w:rsidR="00421BD3">
        <w:rPr>
          <w:sz w:val="22"/>
          <w:szCs w:val="22"/>
          <w:lang w:val="fr-FR"/>
        </w:rPr>
        <w:t>Ceci peut être possible dans certains cas à l’échelle des projets</w:t>
      </w:r>
      <w:r w:rsidR="005F5B81" w:rsidRPr="00115A34">
        <w:rPr>
          <w:sz w:val="22"/>
          <w:szCs w:val="22"/>
          <w:lang w:val="fr-FR"/>
        </w:rPr>
        <w:t xml:space="preserve">, </w:t>
      </w:r>
      <w:r w:rsidR="009C063A">
        <w:rPr>
          <w:sz w:val="22"/>
          <w:szCs w:val="22"/>
          <w:lang w:val="fr-FR"/>
        </w:rPr>
        <w:t>mais traiter ce sujet de manière plus vaste représente peut-être un défi à plus long</w:t>
      </w:r>
      <w:r w:rsidR="00C2086C">
        <w:rPr>
          <w:sz w:val="22"/>
          <w:szCs w:val="22"/>
          <w:lang w:val="fr-FR"/>
        </w:rPr>
        <w:t>ue échéance</w:t>
      </w:r>
      <w:r w:rsidR="005F5B81" w:rsidRPr="00115A34">
        <w:rPr>
          <w:sz w:val="22"/>
          <w:szCs w:val="22"/>
          <w:lang w:val="fr-FR"/>
        </w:rPr>
        <w:t>.</w:t>
      </w:r>
      <w:r w:rsidR="00492220" w:rsidRPr="00115A34">
        <w:rPr>
          <w:sz w:val="22"/>
          <w:szCs w:val="22"/>
          <w:lang w:val="fr-FR"/>
        </w:rPr>
        <w:t xml:space="preserve"> </w:t>
      </w:r>
      <w:r w:rsidR="009C063A">
        <w:rPr>
          <w:sz w:val="22"/>
          <w:szCs w:val="22"/>
          <w:lang w:val="fr-FR"/>
        </w:rPr>
        <w:t xml:space="preserve">Parvenir à un état de conservation favorable peut, en soi, être un processus </w:t>
      </w:r>
      <w:r w:rsidR="00C2086C">
        <w:rPr>
          <w:sz w:val="22"/>
          <w:szCs w:val="22"/>
          <w:lang w:val="fr-FR"/>
        </w:rPr>
        <w:t>de longue haleine</w:t>
      </w:r>
      <w:r w:rsidR="00492220" w:rsidRPr="00115A34">
        <w:rPr>
          <w:sz w:val="22"/>
          <w:szCs w:val="22"/>
          <w:lang w:val="fr-FR"/>
        </w:rPr>
        <w:t xml:space="preserve">, </w:t>
      </w:r>
      <w:r w:rsidR="009C063A">
        <w:rPr>
          <w:sz w:val="22"/>
          <w:szCs w:val="22"/>
          <w:lang w:val="fr-FR"/>
        </w:rPr>
        <w:t>mais</w:t>
      </w:r>
      <w:r w:rsidR="00492220" w:rsidRPr="00115A34">
        <w:rPr>
          <w:sz w:val="22"/>
          <w:szCs w:val="22"/>
          <w:lang w:val="fr-FR"/>
        </w:rPr>
        <w:t xml:space="preserve"> </w:t>
      </w:r>
      <w:r w:rsidR="009C063A">
        <w:rPr>
          <w:sz w:val="22"/>
          <w:szCs w:val="22"/>
          <w:lang w:val="fr-FR"/>
        </w:rPr>
        <w:t xml:space="preserve">dans l’intervalle, </w:t>
      </w:r>
      <w:r w:rsidR="009C063A">
        <w:rPr>
          <w:sz w:val="22"/>
          <w:szCs w:val="22"/>
          <w:lang w:val="fr-FR"/>
        </w:rPr>
        <w:lastRenderedPageBreak/>
        <w:t>une preuve de « la suppression de la menace » et/ou des tendances positives associées d</w:t>
      </w:r>
      <w:r w:rsidR="00C768B5">
        <w:rPr>
          <w:sz w:val="22"/>
          <w:szCs w:val="22"/>
          <w:lang w:val="fr-FR"/>
        </w:rPr>
        <w:t>écelé</w:t>
      </w:r>
      <w:r w:rsidR="009C063A">
        <w:rPr>
          <w:sz w:val="22"/>
          <w:szCs w:val="22"/>
          <w:lang w:val="fr-FR"/>
        </w:rPr>
        <w:t xml:space="preserve">es </w:t>
      </w:r>
      <w:r w:rsidR="00C768B5">
        <w:rPr>
          <w:sz w:val="22"/>
          <w:szCs w:val="22"/>
          <w:lang w:val="fr-FR"/>
        </w:rPr>
        <w:t xml:space="preserve">chez les </w:t>
      </w:r>
      <w:r w:rsidR="009C063A">
        <w:rPr>
          <w:sz w:val="22"/>
          <w:szCs w:val="22"/>
          <w:lang w:val="fr-FR"/>
        </w:rPr>
        <w:t>espèces affectées</w:t>
      </w:r>
      <w:r w:rsidR="00492220" w:rsidRPr="00115A34">
        <w:rPr>
          <w:sz w:val="22"/>
          <w:szCs w:val="22"/>
          <w:lang w:val="fr-FR"/>
        </w:rPr>
        <w:t xml:space="preserve">, </w:t>
      </w:r>
      <w:r w:rsidR="009C063A">
        <w:rPr>
          <w:sz w:val="22"/>
          <w:szCs w:val="22"/>
          <w:lang w:val="fr-FR"/>
        </w:rPr>
        <w:t>constituerait une base, au moins pour indiquer des progrès satisfaisants</w:t>
      </w:r>
      <w:r w:rsidR="00492220" w:rsidRPr="00115A34">
        <w:rPr>
          <w:sz w:val="22"/>
          <w:szCs w:val="22"/>
          <w:lang w:val="fr-FR"/>
        </w:rPr>
        <w:t>.</w:t>
      </w:r>
    </w:p>
    <w:p w14:paraId="22B7FCA5" w14:textId="77777777" w:rsidR="005F5B81" w:rsidRPr="00115A34" w:rsidRDefault="005F5B81" w:rsidP="00F85C5C">
      <w:pPr>
        <w:rPr>
          <w:sz w:val="22"/>
          <w:szCs w:val="22"/>
          <w:lang w:val="fr-FR"/>
        </w:rPr>
      </w:pPr>
    </w:p>
    <w:p w14:paraId="69CDEE36" w14:textId="77777777" w:rsidR="005F5B81" w:rsidRPr="00115A34" w:rsidRDefault="005F5B81" w:rsidP="00F85C5C">
      <w:pPr>
        <w:rPr>
          <w:sz w:val="22"/>
          <w:szCs w:val="22"/>
          <w:lang w:val="fr-FR"/>
        </w:rPr>
      </w:pPr>
    </w:p>
    <w:p w14:paraId="333A5E5C" w14:textId="6ED42519" w:rsidR="00B054EE" w:rsidRPr="00115A34" w:rsidRDefault="00E55AAC" w:rsidP="00E1163B">
      <w:pPr>
        <w:pStyle w:val="Heading1"/>
        <w:keepNext/>
        <w:tabs>
          <w:tab w:val="left" w:pos="5780"/>
        </w:tabs>
        <w:spacing w:before="0" w:beforeAutospacing="0" w:after="0" w:afterAutospacing="0"/>
        <w:rPr>
          <w:bCs w:val="0"/>
          <w:color w:val="264D74"/>
          <w:sz w:val="24"/>
          <w:szCs w:val="24"/>
          <w:lang w:val="fr-FR"/>
        </w:rPr>
      </w:pPr>
      <w:bookmarkStart w:id="3" w:name="_Toc112941098"/>
      <w:r>
        <w:rPr>
          <w:bCs w:val="0"/>
          <w:color w:val="264D74"/>
          <w:sz w:val="24"/>
          <w:szCs w:val="24"/>
          <w:lang w:val="fr-FR"/>
        </w:rPr>
        <w:t>Comment les possibilités d’influence ont-elles été priorisées</w:t>
      </w:r>
      <w:r w:rsidR="00506507" w:rsidRPr="00115A34">
        <w:rPr>
          <w:bCs w:val="0"/>
          <w:color w:val="264D74"/>
          <w:sz w:val="24"/>
          <w:szCs w:val="24"/>
          <w:lang w:val="fr-FR"/>
        </w:rPr>
        <w:t xml:space="preserve"> </w:t>
      </w:r>
      <w:r>
        <w:rPr>
          <w:bCs w:val="0"/>
          <w:color w:val="264D74"/>
          <w:sz w:val="24"/>
          <w:szCs w:val="24"/>
          <w:lang w:val="fr-FR"/>
        </w:rPr>
        <w:t>pour cette étude ?</w:t>
      </w:r>
      <w:bookmarkEnd w:id="3"/>
    </w:p>
    <w:p w14:paraId="166312D1" w14:textId="77777777" w:rsidR="00B054EE" w:rsidRPr="00115A34" w:rsidRDefault="00B054EE" w:rsidP="00B054EE">
      <w:pPr>
        <w:rPr>
          <w:sz w:val="22"/>
          <w:szCs w:val="22"/>
          <w:lang w:val="fr-FR"/>
        </w:rPr>
      </w:pPr>
    </w:p>
    <w:p w14:paraId="5606C5CD" w14:textId="08803019" w:rsidR="008D6AC7" w:rsidRPr="00115A34" w:rsidRDefault="008E3083" w:rsidP="0050650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Chacune des « quatre causes »</w:t>
      </w:r>
      <w:r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est traitée à tour de rôle dans les </w:t>
      </w:r>
      <w:r w:rsidR="000272BA">
        <w:rPr>
          <w:sz w:val="22"/>
          <w:szCs w:val="22"/>
          <w:lang w:val="fr-FR"/>
        </w:rPr>
        <w:t>sections</w:t>
      </w:r>
      <w:r>
        <w:rPr>
          <w:sz w:val="22"/>
          <w:szCs w:val="22"/>
          <w:lang w:val="fr-FR"/>
        </w:rPr>
        <w:t xml:space="preserve"> ci-dessous</w:t>
      </w:r>
      <w:r w:rsidR="008D6AC7" w:rsidRPr="00115A34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 xml:space="preserve">suivies par une cinquième </w:t>
      </w:r>
      <w:r w:rsidR="000272BA">
        <w:rPr>
          <w:sz w:val="22"/>
          <w:szCs w:val="22"/>
          <w:lang w:val="fr-FR"/>
        </w:rPr>
        <w:t>section</w:t>
      </w:r>
      <w:r w:rsidR="008D6AC7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portant sur quelques questions supplémentaires</w:t>
      </w:r>
      <w:r w:rsidR="008D6AC7" w:rsidRPr="00115A34">
        <w:rPr>
          <w:sz w:val="22"/>
          <w:szCs w:val="22"/>
          <w:lang w:val="fr-FR"/>
        </w:rPr>
        <w:t xml:space="preserve">. </w:t>
      </w:r>
      <w:r>
        <w:rPr>
          <w:sz w:val="22"/>
          <w:szCs w:val="22"/>
          <w:lang w:val="fr-FR"/>
        </w:rPr>
        <w:t xml:space="preserve">Chaque </w:t>
      </w:r>
      <w:r w:rsidR="000272BA">
        <w:rPr>
          <w:sz w:val="22"/>
          <w:szCs w:val="22"/>
          <w:lang w:val="fr-FR"/>
        </w:rPr>
        <w:t>section</w:t>
      </w:r>
      <w:r>
        <w:rPr>
          <w:sz w:val="22"/>
          <w:szCs w:val="22"/>
          <w:lang w:val="fr-FR"/>
        </w:rPr>
        <w:t xml:space="preserve"> contient</w:t>
      </w:r>
      <w:r w:rsidR="008D6AC7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deux tableaux</w:t>
      </w:r>
      <w:r w:rsidR="008D6AC7" w:rsidRPr="00115A34">
        <w:rPr>
          <w:sz w:val="22"/>
          <w:szCs w:val="22"/>
          <w:lang w:val="fr-FR"/>
        </w:rPr>
        <w:t xml:space="preserve">. </w:t>
      </w:r>
      <w:r>
        <w:rPr>
          <w:sz w:val="22"/>
          <w:szCs w:val="22"/>
          <w:lang w:val="fr-FR"/>
        </w:rPr>
        <w:t>Le tableau</w:t>
      </w:r>
      <w:r w:rsidR="008D6AC7" w:rsidRPr="00115A34">
        <w:rPr>
          <w:sz w:val="22"/>
          <w:szCs w:val="22"/>
          <w:lang w:val="fr-FR"/>
        </w:rPr>
        <w:t xml:space="preserve"> (a) </w:t>
      </w:r>
      <w:r>
        <w:rPr>
          <w:sz w:val="22"/>
          <w:szCs w:val="22"/>
          <w:lang w:val="fr-FR"/>
        </w:rPr>
        <w:t>décrit les possibilités dérivées des « </w:t>
      </w:r>
      <w:r w:rsidR="00AF2A42">
        <w:rPr>
          <w:sz w:val="22"/>
          <w:szCs w:val="22"/>
          <w:lang w:val="fr-FR"/>
        </w:rPr>
        <w:t>O</w:t>
      </w:r>
      <w:r>
        <w:rPr>
          <w:sz w:val="22"/>
          <w:szCs w:val="22"/>
          <w:lang w:val="fr-FR"/>
        </w:rPr>
        <w:t xml:space="preserve">rientations </w:t>
      </w:r>
      <w:r w:rsidR="00C768B5">
        <w:rPr>
          <w:sz w:val="22"/>
          <w:szCs w:val="22"/>
          <w:lang w:val="fr-FR"/>
        </w:rPr>
        <w:t xml:space="preserve">existantes </w:t>
      </w:r>
      <w:r>
        <w:rPr>
          <w:sz w:val="22"/>
          <w:szCs w:val="22"/>
          <w:lang w:val="fr-FR"/>
        </w:rPr>
        <w:t>de l’</w:t>
      </w:r>
      <w:r w:rsidR="008D6AC7" w:rsidRPr="00115A34">
        <w:rPr>
          <w:sz w:val="22"/>
          <w:szCs w:val="22"/>
          <w:lang w:val="fr-FR"/>
        </w:rPr>
        <w:t>AEWA</w:t>
      </w:r>
      <w:r w:rsidR="00C768B5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»</w:t>
      </w:r>
      <w:r w:rsidR="008D6AC7" w:rsidRPr="00115A34">
        <w:rPr>
          <w:sz w:val="22"/>
          <w:szCs w:val="22"/>
          <w:lang w:val="fr-FR"/>
        </w:rPr>
        <w:t xml:space="preserve">. </w:t>
      </w:r>
      <w:r>
        <w:rPr>
          <w:sz w:val="22"/>
          <w:szCs w:val="22"/>
          <w:lang w:val="fr-FR"/>
        </w:rPr>
        <w:t xml:space="preserve">Ces </w:t>
      </w:r>
      <w:r w:rsidR="008D6AC7" w:rsidRPr="00115A34">
        <w:rPr>
          <w:sz w:val="22"/>
          <w:szCs w:val="22"/>
          <w:lang w:val="fr-FR"/>
        </w:rPr>
        <w:t xml:space="preserve">orientations </w:t>
      </w:r>
      <w:r>
        <w:rPr>
          <w:sz w:val="22"/>
          <w:szCs w:val="22"/>
          <w:lang w:val="fr-FR"/>
        </w:rPr>
        <w:t xml:space="preserve">se réfèrent à des sources </w:t>
      </w:r>
      <w:r w:rsidR="00C768B5">
        <w:rPr>
          <w:sz w:val="22"/>
          <w:szCs w:val="22"/>
          <w:lang w:val="fr-FR"/>
        </w:rPr>
        <w:t>qui comprennent</w:t>
      </w:r>
      <w:r>
        <w:rPr>
          <w:sz w:val="22"/>
          <w:szCs w:val="22"/>
          <w:lang w:val="fr-FR"/>
        </w:rPr>
        <w:t xml:space="preserve"> des</w:t>
      </w:r>
      <w:r w:rsidR="008D6AC7" w:rsidRPr="00115A34">
        <w:rPr>
          <w:sz w:val="22"/>
          <w:szCs w:val="22"/>
          <w:lang w:val="fr-FR"/>
        </w:rPr>
        <w:t xml:space="preserve"> R</w:t>
      </w:r>
      <w:r>
        <w:rPr>
          <w:sz w:val="22"/>
          <w:szCs w:val="22"/>
          <w:lang w:val="fr-FR"/>
        </w:rPr>
        <w:t>é</w:t>
      </w:r>
      <w:r w:rsidR="008D6AC7" w:rsidRPr="00115A34">
        <w:rPr>
          <w:sz w:val="22"/>
          <w:szCs w:val="22"/>
          <w:lang w:val="fr-FR"/>
        </w:rPr>
        <w:t xml:space="preserve">solutions </w:t>
      </w:r>
      <w:r>
        <w:rPr>
          <w:sz w:val="22"/>
          <w:szCs w:val="22"/>
          <w:lang w:val="fr-FR"/>
        </w:rPr>
        <w:t>de la</w:t>
      </w:r>
      <w:r w:rsidR="008D6AC7" w:rsidRPr="00115A34">
        <w:rPr>
          <w:sz w:val="22"/>
          <w:szCs w:val="22"/>
          <w:lang w:val="fr-FR"/>
        </w:rPr>
        <w:t xml:space="preserve"> MOP, </w:t>
      </w:r>
      <w:r>
        <w:rPr>
          <w:sz w:val="22"/>
          <w:szCs w:val="22"/>
          <w:lang w:val="fr-FR"/>
        </w:rPr>
        <w:t>des</w:t>
      </w:r>
      <w:r w:rsidR="001C246D" w:rsidRPr="00115A34">
        <w:rPr>
          <w:sz w:val="22"/>
          <w:szCs w:val="22"/>
          <w:lang w:val="fr-FR"/>
        </w:rPr>
        <w:t xml:space="preserve"> Plans</w:t>
      </w:r>
      <w:r>
        <w:rPr>
          <w:sz w:val="22"/>
          <w:szCs w:val="22"/>
          <w:lang w:val="fr-FR"/>
        </w:rPr>
        <w:t xml:space="preserve"> d’action</w:t>
      </w:r>
      <w:r w:rsidR="001C246D" w:rsidRPr="00115A34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>des documents d’orientation</w:t>
      </w:r>
      <w:r w:rsidR="0063419B">
        <w:rPr>
          <w:sz w:val="22"/>
          <w:szCs w:val="22"/>
          <w:lang w:val="fr-FR"/>
        </w:rPr>
        <w:t xml:space="preserve"> et autres matériels</w:t>
      </w:r>
      <w:r w:rsidR="001C246D" w:rsidRPr="00115A34">
        <w:rPr>
          <w:sz w:val="22"/>
          <w:szCs w:val="22"/>
          <w:lang w:val="fr-FR"/>
        </w:rPr>
        <w:t xml:space="preserve"> </w:t>
      </w:r>
      <w:r w:rsidR="0063419B">
        <w:rPr>
          <w:sz w:val="22"/>
          <w:szCs w:val="22"/>
          <w:lang w:val="fr-FR"/>
        </w:rPr>
        <w:t>ou</w:t>
      </w:r>
      <w:r w:rsidR="001C246D" w:rsidRPr="00115A34">
        <w:rPr>
          <w:sz w:val="22"/>
          <w:szCs w:val="22"/>
          <w:lang w:val="fr-FR"/>
        </w:rPr>
        <w:t xml:space="preserve"> initiatives g</w:t>
      </w:r>
      <w:r w:rsidR="0063419B">
        <w:rPr>
          <w:sz w:val="22"/>
          <w:szCs w:val="22"/>
          <w:lang w:val="fr-FR"/>
        </w:rPr>
        <w:t>énérés</w:t>
      </w:r>
      <w:r w:rsidR="001C246D" w:rsidRPr="00115A34">
        <w:rPr>
          <w:sz w:val="22"/>
          <w:szCs w:val="22"/>
          <w:lang w:val="fr-FR"/>
        </w:rPr>
        <w:t xml:space="preserve"> </w:t>
      </w:r>
      <w:r w:rsidR="0063419B">
        <w:rPr>
          <w:sz w:val="22"/>
          <w:szCs w:val="22"/>
          <w:lang w:val="fr-FR"/>
        </w:rPr>
        <w:t>sous les</w:t>
      </w:r>
      <w:r w:rsidR="001C246D" w:rsidRPr="00115A34">
        <w:rPr>
          <w:sz w:val="22"/>
          <w:szCs w:val="22"/>
          <w:lang w:val="fr-FR"/>
        </w:rPr>
        <w:t xml:space="preserve"> auspices </w:t>
      </w:r>
      <w:r w:rsidR="0063419B">
        <w:rPr>
          <w:sz w:val="22"/>
          <w:szCs w:val="22"/>
          <w:lang w:val="fr-FR"/>
        </w:rPr>
        <w:t>de l’</w:t>
      </w:r>
      <w:r w:rsidR="001C246D" w:rsidRPr="00115A34">
        <w:rPr>
          <w:sz w:val="22"/>
          <w:szCs w:val="22"/>
          <w:lang w:val="fr-FR"/>
        </w:rPr>
        <w:t>A</w:t>
      </w:r>
      <w:r w:rsidR="0063419B">
        <w:rPr>
          <w:sz w:val="22"/>
          <w:szCs w:val="22"/>
          <w:lang w:val="fr-FR"/>
        </w:rPr>
        <w:t>ccord</w:t>
      </w:r>
      <w:r w:rsidR="001C246D" w:rsidRPr="00115A34">
        <w:rPr>
          <w:sz w:val="22"/>
          <w:szCs w:val="22"/>
          <w:lang w:val="fr-FR"/>
        </w:rPr>
        <w:t xml:space="preserve">. </w:t>
      </w:r>
      <w:r w:rsidR="0063419B">
        <w:rPr>
          <w:sz w:val="22"/>
          <w:szCs w:val="22"/>
          <w:lang w:val="fr-FR"/>
        </w:rPr>
        <w:t xml:space="preserve">Toutefois, rien </w:t>
      </w:r>
      <w:r w:rsidR="00C768B5">
        <w:rPr>
          <w:sz w:val="22"/>
          <w:szCs w:val="22"/>
          <w:lang w:val="fr-FR"/>
        </w:rPr>
        <w:t>de ce qui figure ici n’</w:t>
      </w:r>
      <w:r w:rsidR="003F130B">
        <w:rPr>
          <w:sz w:val="22"/>
          <w:szCs w:val="22"/>
          <w:lang w:val="fr-FR"/>
        </w:rPr>
        <w:t>es</w:t>
      </w:r>
      <w:r w:rsidR="0063419B">
        <w:rPr>
          <w:sz w:val="22"/>
          <w:szCs w:val="22"/>
          <w:lang w:val="fr-FR"/>
        </w:rPr>
        <w:t>t un processus ou une</w:t>
      </w:r>
      <w:r w:rsidR="001C246D" w:rsidRPr="00115A34">
        <w:rPr>
          <w:sz w:val="22"/>
          <w:szCs w:val="22"/>
          <w:lang w:val="fr-FR"/>
        </w:rPr>
        <w:t xml:space="preserve"> initiative </w:t>
      </w:r>
      <w:r w:rsidR="00C768B5">
        <w:rPr>
          <w:sz w:val="22"/>
          <w:szCs w:val="22"/>
          <w:lang w:val="fr-FR"/>
        </w:rPr>
        <w:t>propre à</w:t>
      </w:r>
      <w:r w:rsidR="0063419B">
        <w:rPr>
          <w:sz w:val="22"/>
          <w:szCs w:val="22"/>
          <w:lang w:val="fr-FR"/>
        </w:rPr>
        <w:t xml:space="preserve"> l’</w:t>
      </w:r>
      <w:r w:rsidR="001C246D" w:rsidRPr="00115A34">
        <w:rPr>
          <w:sz w:val="22"/>
          <w:szCs w:val="22"/>
          <w:lang w:val="fr-FR"/>
        </w:rPr>
        <w:t xml:space="preserve">AEWA </w:t>
      </w:r>
      <w:r w:rsidR="00506507" w:rsidRPr="00115A34">
        <w:rPr>
          <w:sz w:val="22"/>
          <w:szCs w:val="22"/>
          <w:lang w:val="fr-FR"/>
        </w:rPr>
        <w:t>o</w:t>
      </w:r>
      <w:r w:rsidR="0063419B">
        <w:rPr>
          <w:sz w:val="22"/>
          <w:szCs w:val="22"/>
          <w:lang w:val="fr-FR"/>
        </w:rPr>
        <w:t xml:space="preserve">u une </w:t>
      </w:r>
      <w:r w:rsidR="001C246D" w:rsidRPr="00115A34">
        <w:rPr>
          <w:sz w:val="22"/>
          <w:szCs w:val="22"/>
          <w:lang w:val="fr-FR"/>
        </w:rPr>
        <w:t xml:space="preserve">initiative </w:t>
      </w:r>
      <w:r w:rsidR="0063419B">
        <w:rPr>
          <w:sz w:val="22"/>
          <w:szCs w:val="22"/>
          <w:lang w:val="fr-FR"/>
        </w:rPr>
        <w:t>commune dans laquelle l’</w:t>
      </w:r>
      <w:r w:rsidR="001C246D" w:rsidRPr="00115A34">
        <w:rPr>
          <w:sz w:val="22"/>
          <w:szCs w:val="22"/>
          <w:lang w:val="fr-FR"/>
        </w:rPr>
        <w:t xml:space="preserve">AEWA </w:t>
      </w:r>
      <w:r w:rsidR="0063419B">
        <w:rPr>
          <w:sz w:val="22"/>
          <w:szCs w:val="22"/>
          <w:lang w:val="fr-FR"/>
        </w:rPr>
        <w:t>tient les rênes</w:t>
      </w:r>
      <w:r w:rsidR="001C246D" w:rsidRPr="00115A34">
        <w:rPr>
          <w:sz w:val="22"/>
          <w:szCs w:val="22"/>
          <w:lang w:val="fr-FR"/>
        </w:rPr>
        <w:t>, o</w:t>
      </w:r>
      <w:r w:rsidR="0063419B">
        <w:rPr>
          <w:sz w:val="22"/>
          <w:szCs w:val="22"/>
          <w:lang w:val="fr-FR"/>
        </w:rPr>
        <w:t>u</w:t>
      </w:r>
      <w:r w:rsidR="001C246D" w:rsidRPr="00115A34">
        <w:rPr>
          <w:sz w:val="22"/>
          <w:szCs w:val="22"/>
          <w:lang w:val="fr-FR"/>
        </w:rPr>
        <w:t xml:space="preserve"> </w:t>
      </w:r>
      <w:r w:rsidR="00C768B5">
        <w:rPr>
          <w:sz w:val="22"/>
          <w:szCs w:val="22"/>
          <w:lang w:val="fr-FR"/>
        </w:rPr>
        <w:t>encore une</w:t>
      </w:r>
      <w:r w:rsidR="0063419B">
        <w:rPr>
          <w:sz w:val="22"/>
          <w:szCs w:val="22"/>
          <w:lang w:val="fr-FR"/>
        </w:rPr>
        <w:t xml:space="preserve"> demande ou une</w:t>
      </w:r>
      <w:r w:rsidR="001C246D" w:rsidRPr="00115A34">
        <w:rPr>
          <w:sz w:val="22"/>
          <w:szCs w:val="22"/>
          <w:lang w:val="fr-FR"/>
        </w:rPr>
        <w:t xml:space="preserve"> recomm</w:t>
      </w:r>
      <w:r w:rsidR="0063419B">
        <w:rPr>
          <w:sz w:val="22"/>
          <w:szCs w:val="22"/>
          <w:lang w:val="fr-FR"/>
        </w:rPr>
        <w:t>a</w:t>
      </w:r>
      <w:r w:rsidR="001C246D" w:rsidRPr="00115A34">
        <w:rPr>
          <w:sz w:val="22"/>
          <w:szCs w:val="22"/>
          <w:lang w:val="fr-FR"/>
        </w:rPr>
        <w:t xml:space="preserve">ndation </w:t>
      </w:r>
      <w:r w:rsidR="0063419B">
        <w:rPr>
          <w:sz w:val="22"/>
          <w:szCs w:val="22"/>
          <w:lang w:val="fr-FR"/>
        </w:rPr>
        <w:t>de l’</w:t>
      </w:r>
      <w:r w:rsidR="001C246D" w:rsidRPr="00115A34">
        <w:rPr>
          <w:sz w:val="22"/>
          <w:szCs w:val="22"/>
          <w:lang w:val="fr-FR"/>
        </w:rPr>
        <w:t xml:space="preserve">AEWA </w:t>
      </w:r>
      <w:r w:rsidR="00C768B5">
        <w:rPr>
          <w:sz w:val="22"/>
          <w:szCs w:val="22"/>
          <w:lang w:val="fr-FR"/>
        </w:rPr>
        <w:t xml:space="preserve">faite </w:t>
      </w:r>
      <w:r w:rsidR="0063419B">
        <w:rPr>
          <w:sz w:val="22"/>
          <w:szCs w:val="22"/>
          <w:lang w:val="fr-FR"/>
        </w:rPr>
        <w:t>à un autre organisme</w:t>
      </w:r>
      <w:r w:rsidR="001C246D" w:rsidRPr="00115A34">
        <w:rPr>
          <w:sz w:val="22"/>
          <w:szCs w:val="22"/>
          <w:lang w:val="fr-FR"/>
        </w:rPr>
        <w:t xml:space="preserve">. </w:t>
      </w:r>
      <w:r w:rsidR="0063419B">
        <w:rPr>
          <w:sz w:val="22"/>
          <w:szCs w:val="22"/>
          <w:lang w:val="fr-FR"/>
        </w:rPr>
        <w:t>La raison en est que les propres activités de l’</w:t>
      </w:r>
      <w:r w:rsidR="001C246D" w:rsidRPr="00115A34">
        <w:rPr>
          <w:sz w:val="22"/>
          <w:szCs w:val="22"/>
          <w:lang w:val="fr-FR"/>
        </w:rPr>
        <w:t xml:space="preserve">AEWA </w:t>
      </w:r>
      <w:r w:rsidR="00BE2972">
        <w:rPr>
          <w:sz w:val="22"/>
          <w:szCs w:val="22"/>
          <w:lang w:val="fr-FR"/>
        </w:rPr>
        <w:t xml:space="preserve">ne sont pas des cibles </w:t>
      </w:r>
      <w:r w:rsidR="00C768B5">
        <w:rPr>
          <w:sz w:val="22"/>
          <w:szCs w:val="22"/>
          <w:lang w:val="fr-FR"/>
        </w:rPr>
        <w:t xml:space="preserve">visées par cette </w:t>
      </w:r>
      <w:r w:rsidR="00BE2972">
        <w:rPr>
          <w:sz w:val="22"/>
          <w:szCs w:val="22"/>
          <w:lang w:val="fr-FR"/>
        </w:rPr>
        <w:t>influence</w:t>
      </w:r>
      <w:r w:rsidR="001C246D" w:rsidRPr="00115A34">
        <w:rPr>
          <w:sz w:val="22"/>
          <w:szCs w:val="22"/>
          <w:lang w:val="fr-FR"/>
        </w:rPr>
        <w:t xml:space="preserve"> </w:t>
      </w:r>
      <w:r w:rsidR="00BE2972">
        <w:rPr>
          <w:sz w:val="22"/>
          <w:szCs w:val="22"/>
          <w:lang w:val="fr-FR"/>
        </w:rPr>
        <w:t>au sens</w:t>
      </w:r>
      <w:r w:rsidR="00C768B5">
        <w:rPr>
          <w:sz w:val="22"/>
          <w:szCs w:val="22"/>
          <w:lang w:val="fr-FR"/>
        </w:rPr>
        <w:t xml:space="preserve"> de</w:t>
      </w:r>
      <w:r w:rsidR="00BE2972">
        <w:rPr>
          <w:sz w:val="22"/>
          <w:szCs w:val="22"/>
          <w:lang w:val="fr-FR"/>
        </w:rPr>
        <w:t xml:space="preserve"> « dirigé</w:t>
      </w:r>
      <w:r w:rsidR="00C768B5">
        <w:rPr>
          <w:sz w:val="22"/>
          <w:szCs w:val="22"/>
          <w:lang w:val="fr-FR"/>
        </w:rPr>
        <w:t>e</w:t>
      </w:r>
      <w:r w:rsidR="00BE2972">
        <w:rPr>
          <w:sz w:val="22"/>
          <w:szCs w:val="22"/>
          <w:lang w:val="fr-FR"/>
        </w:rPr>
        <w:t xml:space="preserve"> vers l’extérieur » prévu dans la Cible 1.6 du Plan stratégique</w:t>
      </w:r>
      <w:r w:rsidR="001C246D" w:rsidRPr="00115A34">
        <w:rPr>
          <w:sz w:val="22"/>
          <w:szCs w:val="22"/>
          <w:lang w:val="fr-FR"/>
        </w:rPr>
        <w:t>.</w:t>
      </w:r>
    </w:p>
    <w:p w14:paraId="452B3B3C" w14:textId="77777777" w:rsidR="001C246D" w:rsidRPr="00115A34" w:rsidRDefault="001C246D" w:rsidP="00506507">
      <w:pPr>
        <w:jc w:val="both"/>
        <w:rPr>
          <w:sz w:val="22"/>
          <w:szCs w:val="22"/>
          <w:lang w:val="fr-FR"/>
        </w:rPr>
      </w:pPr>
    </w:p>
    <w:p w14:paraId="39BCC65C" w14:textId="00D69FA5" w:rsidR="007A3FD8" w:rsidRPr="00115A34" w:rsidRDefault="00BE2972" w:rsidP="0050650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</w:t>
      </w:r>
      <w:r w:rsidR="001C246D" w:rsidRPr="00115A34">
        <w:rPr>
          <w:sz w:val="22"/>
          <w:szCs w:val="22"/>
          <w:lang w:val="fr-FR"/>
        </w:rPr>
        <w:t xml:space="preserve"> second table</w:t>
      </w:r>
      <w:r>
        <w:rPr>
          <w:sz w:val="22"/>
          <w:szCs w:val="22"/>
          <w:lang w:val="fr-FR"/>
        </w:rPr>
        <w:t xml:space="preserve">au de chaque </w:t>
      </w:r>
      <w:r w:rsidR="000272BA">
        <w:rPr>
          <w:sz w:val="22"/>
          <w:szCs w:val="22"/>
          <w:lang w:val="fr-FR"/>
        </w:rPr>
        <w:t>section</w:t>
      </w:r>
      <w:r w:rsidR="001C246D" w:rsidRPr="00115A34">
        <w:rPr>
          <w:sz w:val="22"/>
          <w:szCs w:val="22"/>
          <w:lang w:val="fr-FR"/>
        </w:rPr>
        <w:t xml:space="preserve">, </w:t>
      </w:r>
      <w:r w:rsidR="00AF2A42">
        <w:rPr>
          <w:sz w:val="22"/>
          <w:szCs w:val="22"/>
          <w:lang w:val="fr-FR"/>
        </w:rPr>
        <w:t>t</w:t>
      </w:r>
      <w:r w:rsidR="001C246D" w:rsidRPr="00115A34">
        <w:rPr>
          <w:sz w:val="22"/>
          <w:szCs w:val="22"/>
          <w:lang w:val="fr-FR"/>
        </w:rPr>
        <w:t>able</w:t>
      </w:r>
      <w:r>
        <w:rPr>
          <w:sz w:val="22"/>
          <w:szCs w:val="22"/>
          <w:lang w:val="fr-FR"/>
        </w:rPr>
        <w:t>au</w:t>
      </w:r>
      <w:r w:rsidR="001C246D" w:rsidRPr="00115A34">
        <w:rPr>
          <w:sz w:val="22"/>
          <w:szCs w:val="22"/>
          <w:lang w:val="fr-FR"/>
        </w:rPr>
        <w:t xml:space="preserve"> (b), </w:t>
      </w:r>
      <w:r>
        <w:rPr>
          <w:sz w:val="22"/>
          <w:szCs w:val="22"/>
          <w:lang w:val="fr-FR"/>
        </w:rPr>
        <w:t>décrit les possibilités</w:t>
      </w:r>
      <w:r w:rsidR="001C246D" w:rsidRPr="00115A34">
        <w:rPr>
          <w:sz w:val="22"/>
          <w:szCs w:val="22"/>
          <w:lang w:val="fr-FR"/>
        </w:rPr>
        <w:t xml:space="preserve"> d</w:t>
      </w:r>
      <w:r>
        <w:rPr>
          <w:sz w:val="22"/>
          <w:szCs w:val="22"/>
          <w:lang w:val="fr-FR"/>
        </w:rPr>
        <w:t>érivées</w:t>
      </w:r>
      <w:r w:rsidR="001C246D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d’autres contextes pertinents qui n’ont pas encore été formellement mis</w:t>
      </w:r>
      <w:r w:rsidR="00AF2A42">
        <w:rPr>
          <w:sz w:val="22"/>
          <w:szCs w:val="22"/>
          <w:lang w:val="fr-FR"/>
        </w:rPr>
        <w:t>es</w:t>
      </w:r>
      <w:r>
        <w:rPr>
          <w:sz w:val="22"/>
          <w:szCs w:val="22"/>
          <w:lang w:val="fr-FR"/>
        </w:rPr>
        <w:t xml:space="preserve"> en évidence</w:t>
      </w:r>
      <w:r w:rsidR="001C246D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dans les sources existantes de l’</w:t>
      </w:r>
      <w:r w:rsidR="001C246D" w:rsidRPr="00115A34">
        <w:rPr>
          <w:sz w:val="22"/>
          <w:szCs w:val="22"/>
          <w:lang w:val="fr-FR"/>
        </w:rPr>
        <w:t xml:space="preserve">AEWA. </w:t>
      </w:r>
      <w:r>
        <w:rPr>
          <w:sz w:val="22"/>
          <w:szCs w:val="22"/>
          <w:lang w:val="fr-FR"/>
        </w:rPr>
        <w:t xml:space="preserve">Dans bien des cas, </w:t>
      </w:r>
      <w:r w:rsidR="000272BA">
        <w:rPr>
          <w:sz w:val="22"/>
          <w:szCs w:val="22"/>
          <w:lang w:val="fr-FR"/>
        </w:rPr>
        <w:t>la raison en est tout simplement qu’elles découlent de</w:t>
      </w:r>
      <w:r w:rsidR="007A3FD8" w:rsidRPr="00115A34">
        <w:rPr>
          <w:sz w:val="22"/>
          <w:szCs w:val="22"/>
          <w:lang w:val="fr-FR"/>
        </w:rPr>
        <w:t xml:space="preserve"> d</w:t>
      </w:r>
      <w:r w:rsidR="000272BA">
        <w:rPr>
          <w:sz w:val="22"/>
          <w:szCs w:val="22"/>
          <w:lang w:val="fr-FR"/>
        </w:rPr>
        <w:t>é</w:t>
      </w:r>
      <w:r w:rsidR="007A3FD8" w:rsidRPr="00115A34">
        <w:rPr>
          <w:sz w:val="22"/>
          <w:szCs w:val="22"/>
          <w:lang w:val="fr-FR"/>
        </w:rPr>
        <w:t>cisions o</w:t>
      </w:r>
      <w:r w:rsidR="000272BA">
        <w:rPr>
          <w:sz w:val="22"/>
          <w:szCs w:val="22"/>
          <w:lang w:val="fr-FR"/>
        </w:rPr>
        <w:t>u</w:t>
      </w:r>
      <w:r w:rsidR="007A3FD8" w:rsidRPr="00115A34">
        <w:rPr>
          <w:sz w:val="22"/>
          <w:szCs w:val="22"/>
          <w:lang w:val="fr-FR"/>
        </w:rPr>
        <w:t xml:space="preserve"> </w:t>
      </w:r>
      <w:r w:rsidR="00C768B5">
        <w:rPr>
          <w:sz w:val="22"/>
          <w:szCs w:val="22"/>
          <w:lang w:val="fr-FR"/>
        </w:rPr>
        <w:t>d’</w:t>
      </w:r>
      <w:r w:rsidR="007A3FD8" w:rsidRPr="00115A34">
        <w:rPr>
          <w:sz w:val="22"/>
          <w:szCs w:val="22"/>
          <w:lang w:val="fr-FR"/>
        </w:rPr>
        <w:t xml:space="preserve">initiatives </w:t>
      </w:r>
      <w:r w:rsidR="000272BA">
        <w:rPr>
          <w:sz w:val="22"/>
          <w:szCs w:val="22"/>
          <w:lang w:val="fr-FR"/>
        </w:rPr>
        <w:t>plus récentes que les dernières Résolutions de la MOP de l’AEWA ou</w:t>
      </w:r>
      <w:r w:rsidR="00C768B5">
        <w:rPr>
          <w:sz w:val="22"/>
          <w:szCs w:val="22"/>
          <w:lang w:val="fr-FR"/>
        </w:rPr>
        <w:t xml:space="preserve"> que les</w:t>
      </w:r>
      <w:r w:rsidR="000272BA">
        <w:rPr>
          <w:sz w:val="22"/>
          <w:szCs w:val="22"/>
          <w:lang w:val="fr-FR"/>
        </w:rPr>
        <w:t xml:space="preserve"> publications de l’Accord</w:t>
      </w:r>
      <w:r w:rsidR="007A3FD8" w:rsidRPr="00115A34">
        <w:rPr>
          <w:sz w:val="22"/>
          <w:szCs w:val="22"/>
          <w:lang w:val="fr-FR"/>
        </w:rPr>
        <w:t xml:space="preserve"> </w:t>
      </w:r>
      <w:r w:rsidR="000272BA">
        <w:rPr>
          <w:sz w:val="22"/>
          <w:szCs w:val="22"/>
          <w:lang w:val="fr-FR"/>
        </w:rPr>
        <w:t>relatives à ce sujet</w:t>
      </w:r>
      <w:r w:rsidR="007A3FD8" w:rsidRPr="00115A34">
        <w:rPr>
          <w:sz w:val="22"/>
          <w:szCs w:val="22"/>
          <w:lang w:val="fr-FR"/>
        </w:rPr>
        <w:t>.</w:t>
      </w:r>
    </w:p>
    <w:p w14:paraId="78AC303F" w14:textId="77777777" w:rsidR="007A3FD8" w:rsidRPr="00115A34" w:rsidRDefault="007A3FD8" w:rsidP="00506507">
      <w:pPr>
        <w:jc w:val="both"/>
        <w:rPr>
          <w:sz w:val="22"/>
          <w:szCs w:val="22"/>
          <w:lang w:val="fr-FR"/>
        </w:rPr>
      </w:pPr>
    </w:p>
    <w:p w14:paraId="00C3D3AE" w14:textId="4C7EEABF" w:rsidR="007A3FD8" w:rsidRPr="00115A34" w:rsidRDefault="000272BA" w:rsidP="0050650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Les deux listes de chaque section peuvent être considérées comme un échantillon des sujets les plus pertinents</w:t>
      </w:r>
      <w:r w:rsidR="007A3FD8" w:rsidRPr="00115A34">
        <w:rPr>
          <w:sz w:val="22"/>
          <w:szCs w:val="22"/>
          <w:lang w:val="fr-FR"/>
        </w:rPr>
        <w:t xml:space="preserve">, </w:t>
      </w:r>
      <w:r w:rsidR="00B475D9">
        <w:rPr>
          <w:sz w:val="22"/>
          <w:szCs w:val="22"/>
          <w:lang w:val="fr-FR"/>
        </w:rPr>
        <w:t xml:space="preserve">sur lesquels des informations ont été recueillies, entre autres, à partir de </w:t>
      </w:r>
      <w:r w:rsidR="00AF5A62">
        <w:rPr>
          <w:sz w:val="22"/>
          <w:szCs w:val="22"/>
          <w:lang w:val="fr-FR"/>
        </w:rPr>
        <w:t>contributions du Comité technique de l’A</w:t>
      </w:r>
      <w:r w:rsidR="003F130B">
        <w:rPr>
          <w:sz w:val="22"/>
          <w:szCs w:val="22"/>
          <w:lang w:val="fr-FR"/>
        </w:rPr>
        <w:t>E</w:t>
      </w:r>
      <w:r w:rsidR="00AF5A62">
        <w:rPr>
          <w:sz w:val="22"/>
          <w:szCs w:val="22"/>
          <w:lang w:val="fr-FR"/>
        </w:rPr>
        <w:t xml:space="preserve">WA </w:t>
      </w:r>
      <w:r w:rsidR="007A3FD8" w:rsidRPr="00115A34">
        <w:rPr>
          <w:sz w:val="22"/>
          <w:szCs w:val="22"/>
          <w:lang w:val="fr-FR"/>
        </w:rPr>
        <w:t>(</w:t>
      </w:r>
      <w:r w:rsidR="00AF5A62">
        <w:rPr>
          <w:sz w:val="22"/>
          <w:szCs w:val="22"/>
          <w:lang w:val="fr-FR"/>
        </w:rPr>
        <w:t>en</w:t>
      </w:r>
      <w:r w:rsidR="007A3FD8" w:rsidRPr="00115A34">
        <w:rPr>
          <w:sz w:val="22"/>
          <w:szCs w:val="22"/>
          <w:lang w:val="fr-FR"/>
        </w:rPr>
        <w:t xml:space="preserve"> 2022). </w:t>
      </w:r>
      <w:r w:rsidR="00AF5A62">
        <w:rPr>
          <w:sz w:val="22"/>
          <w:szCs w:val="22"/>
          <w:lang w:val="fr-FR"/>
        </w:rPr>
        <w:t>Les</w:t>
      </w:r>
      <w:r w:rsidR="007A3FD8" w:rsidRPr="00115A34">
        <w:rPr>
          <w:sz w:val="22"/>
          <w:szCs w:val="22"/>
          <w:lang w:val="fr-FR"/>
        </w:rPr>
        <w:t xml:space="preserve"> list</w:t>
      </w:r>
      <w:r w:rsidR="00AF5A62">
        <w:rPr>
          <w:sz w:val="22"/>
          <w:szCs w:val="22"/>
          <w:lang w:val="fr-FR"/>
        </w:rPr>
        <w:t>e</w:t>
      </w:r>
      <w:r w:rsidR="007A3FD8" w:rsidRPr="00115A34">
        <w:rPr>
          <w:sz w:val="22"/>
          <w:szCs w:val="22"/>
          <w:lang w:val="fr-FR"/>
        </w:rPr>
        <w:t xml:space="preserve">s </w:t>
      </w:r>
      <w:r w:rsidR="00AF5A62">
        <w:rPr>
          <w:sz w:val="22"/>
          <w:szCs w:val="22"/>
          <w:lang w:val="fr-FR"/>
        </w:rPr>
        <w:t>ne prétendent en aucun cas constituer un inventaire exhaustif </w:t>
      </w:r>
      <w:r w:rsidR="007A3FD8" w:rsidRPr="00115A34">
        <w:rPr>
          <w:sz w:val="22"/>
          <w:szCs w:val="22"/>
          <w:lang w:val="fr-FR"/>
        </w:rPr>
        <w:t xml:space="preserve">: </w:t>
      </w:r>
      <w:r w:rsidR="00E65BB6">
        <w:rPr>
          <w:sz w:val="22"/>
          <w:szCs w:val="22"/>
          <w:lang w:val="fr-FR"/>
        </w:rPr>
        <w:t>en revanche</w:t>
      </w:r>
      <w:r w:rsidR="00506507" w:rsidRPr="00115A34">
        <w:rPr>
          <w:sz w:val="22"/>
          <w:szCs w:val="22"/>
          <w:lang w:val="fr-FR"/>
        </w:rPr>
        <w:t>,</w:t>
      </w:r>
      <w:r w:rsidR="007A3FD8" w:rsidRPr="00115A34">
        <w:rPr>
          <w:sz w:val="22"/>
          <w:szCs w:val="22"/>
          <w:lang w:val="fr-FR"/>
        </w:rPr>
        <w:t xml:space="preserve"> </w:t>
      </w:r>
      <w:r w:rsidR="00AF5A62">
        <w:rPr>
          <w:sz w:val="22"/>
          <w:szCs w:val="22"/>
          <w:lang w:val="fr-FR"/>
        </w:rPr>
        <w:t>la</w:t>
      </w:r>
      <w:r w:rsidR="007A3FD8" w:rsidRPr="00115A34">
        <w:rPr>
          <w:sz w:val="22"/>
          <w:szCs w:val="22"/>
          <w:lang w:val="fr-FR"/>
        </w:rPr>
        <w:t xml:space="preserve"> s</w:t>
      </w:r>
      <w:r w:rsidR="00AF5A62">
        <w:rPr>
          <w:sz w:val="22"/>
          <w:szCs w:val="22"/>
          <w:lang w:val="fr-FR"/>
        </w:rPr>
        <w:t>é</w:t>
      </w:r>
      <w:r w:rsidR="007A3FD8" w:rsidRPr="00115A34">
        <w:rPr>
          <w:sz w:val="22"/>
          <w:szCs w:val="22"/>
          <w:lang w:val="fr-FR"/>
        </w:rPr>
        <w:t xml:space="preserve">lection </w:t>
      </w:r>
      <w:r w:rsidR="00AF5A62">
        <w:rPr>
          <w:sz w:val="22"/>
          <w:szCs w:val="22"/>
          <w:lang w:val="fr-FR"/>
        </w:rPr>
        <w:t xml:space="preserve">a été réalisée </w:t>
      </w:r>
      <w:r w:rsidR="00E65BB6">
        <w:rPr>
          <w:sz w:val="22"/>
          <w:szCs w:val="22"/>
          <w:lang w:val="fr-FR"/>
        </w:rPr>
        <w:t>sur la base des contextes qui semblent les plus propices à l’exercice d’une telle</w:t>
      </w:r>
      <w:r w:rsidR="00AF5A62">
        <w:rPr>
          <w:sz w:val="22"/>
          <w:szCs w:val="22"/>
          <w:lang w:val="fr-FR"/>
        </w:rPr>
        <w:t xml:space="preserve"> influence</w:t>
      </w:r>
      <w:r w:rsidR="007A3FD8" w:rsidRPr="00115A34">
        <w:rPr>
          <w:sz w:val="22"/>
          <w:szCs w:val="22"/>
          <w:lang w:val="fr-FR"/>
        </w:rPr>
        <w:t xml:space="preserve">. </w:t>
      </w:r>
      <w:r w:rsidR="00AF5A62">
        <w:rPr>
          <w:sz w:val="22"/>
          <w:szCs w:val="22"/>
          <w:lang w:val="fr-FR"/>
        </w:rPr>
        <w:t>Il s’agit nécessairement d’un avis subjectif</w:t>
      </w:r>
      <w:r w:rsidR="00AF2A42">
        <w:rPr>
          <w:sz w:val="22"/>
          <w:szCs w:val="22"/>
          <w:lang w:val="fr-FR"/>
        </w:rPr>
        <w:t>,</w:t>
      </w:r>
      <w:r w:rsidR="007A3FD8" w:rsidRPr="00115A34">
        <w:rPr>
          <w:sz w:val="22"/>
          <w:szCs w:val="22"/>
          <w:lang w:val="fr-FR"/>
        </w:rPr>
        <w:t xml:space="preserve"> </w:t>
      </w:r>
      <w:r w:rsidR="00AF5A62">
        <w:rPr>
          <w:sz w:val="22"/>
          <w:szCs w:val="22"/>
          <w:lang w:val="fr-FR"/>
        </w:rPr>
        <w:t>mais c’est un point de départ pour la réalisation d</w:t>
      </w:r>
      <w:r w:rsidR="007C644D">
        <w:rPr>
          <w:sz w:val="22"/>
          <w:szCs w:val="22"/>
          <w:lang w:val="fr-FR"/>
        </w:rPr>
        <w:t>’étapes plus spécifiques, qui peuvent être envisagées dans chaque cas</w:t>
      </w:r>
      <w:r w:rsidR="007A3FD8" w:rsidRPr="00115A34">
        <w:rPr>
          <w:sz w:val="22"/>
          <w:szCs w:val="22"/>
          <w:lang w:val="fr-FR"/>
        </w:rPr>
        <w:t>.</w:t>
      </w:r>
      <w:r w:rsidR="00050415" w:rsidRPr="00115A34">
        <w:rPr>
          <w:sz w:val="22"/>
          <w:szCs w:val="22"/>
          <w:lang w:val="fr-FR"/>
        </w:rPr>
        <w:t xml:space="preserve"> </w:t>
      </w:r>
      <w:r w:rsidR="007C644D">
        <w:rPr>
          <w:sz w:val="22"/>
          <w:szCs w:val="22"/>
          <w:lang w:val="fr-FR"/>
        </w:rPr>
        <w:t>Le tableau d’ensemble continuera également à évoluer</w:t>
      </w:r>
      <w:r w:rsidR="00050415" w:rsidRPr="00115A34">
        <w:rPr>
          <w:sz w:val="22"/>
          <w:szCs w:val="22"/>
          <w:lang w:val="fr-FR"/>
        </w:rPr>
        <w:t xml:space="preserve">, </w:t>
      </w:r>
      <w:r w:rsidR="007C644D">
        <w:rPr>
          <w:sz w:val="22"/>
          <w:szCs w:val="22"/>
          <w:lang w:val="fr-FR"/>
        </w:rPr>
        <w:t>au fur et à mesure que les processus externes se développeront plus avant et que la présente évaluation des possibilités sera mise à jour et élargie à l’avenir</w:t>
      </w:r>
      <w:r w:rsidR="00050415" w:rsidRPr="00115A34">
        <w:rPr>
          <w:sz w:val="22"/>
          <w:szCs w:val="22"/>
          <w:lang w:val="fr-FR"/>
        </w:rPr>
        <w:t xml:space="preserve"> (</w:t>
      </w:r>
      <w:r w:rsidR="007C644D">
        <w:rPr>
          <w:sz w:val="22"/>
          <w:szCs w:val="22"/>
          <w:lang w:val="fr-FR"/>
        </w:rPr>
        <w:t xml:space="preserve">voir </w:t>
      </w:r>
      <w:r w:rsidR="00E65BB6">
        <w:rPr>
          <w:sz w:val="22"/>
          <w:szCs w:val="22"/>
          <w:lang w:val="fr-FR"/>
        </w:rPr>
        <w:t xml:space="preserve">la section </w:t>
      </w:r>
      <w:r w:rsidR="007C644D">
        <w:rPr>
          <w:sz w:val="22"/>
          <w:szCs w:val="22"/>
          <w:lang w:val="fr-FR"/>
        </w:rPr>
        <w:t>« </w:t>
      </w:r>
      <w:r w:rsidR="00050415" w:rsidRPr="00115A34">
        <w:rPr>
          <w:sz w:val="22"/>
          <w:szCs w:val="22"/>
          <w:lang w:val="fr-FR"/>
        </w:rPr>
        <w:t>Conclusions</w:t>
      </w:r>
      <w:r w:rsidR="007C644D">
        <w:rPr>
          <w:sz w:val="22"/>
          <w:szCs w:val="22"/>
          <w:lang w:val="fr-FR"/>
        </w:rPr>
        <w:t> »</w:t>
      </w:r>
      <w:r w:rsidR="00050415" w:rsidRPr="00115A34">
        <w:rPr>
          <w:sz w:val="22"/>
          <w:szCs w:val="22"/>
          <w:lang w:val="fr-FR"/>
        </w:rPr>
        <w:t xml:space="preserve"> </w:t>
      </w:r>
      <w:r w:rsidR="007C644D">
        <w:rPr>
          <w:sz w:val="22"/>
          <w:szCs w:val="22"/>
          <w:lang w:val="fr-FR"/>
        </w:rPr>
        <w:t>ci-dessous</w:t>
      </w:r>
      <w:r w:rsidR="00050415" w:rsidRPr="00115A34">
        <w:rPr>
          <w:sz w:val="22"/>
          <w:szCs w:val="22"/>
          <w:lang w:val="fr-FR"/>
        </w:rPr>
        <w:t>).</w:t>
      </w:r>
    </w:p>
    <w:p w14:paraId="085AB158" w14:textId="77777777" w:rsidR="005F5B81" w:rsidRPr="00115A34" w:rsidRDefault="005F5B81" w:rsidP="00B054EE">
      <w:pPr>
        <w:rPr>
          <w:sz w:val="22"/>
          <w:szCs w:val="22"/>
          <w:lang w:val="fr-FR"/>
        </w:rPr>
      </w:pPr>
    </w:p>
    <w:p w14:paraId="1C388F19" w14:textId="4C279297" w:rsidR="007A3FD8" w:rsidRPr="00115A34" w:rsidRDefault="007A3FD8">
      <w:pPr>
        <w:rPr>
          <w:sz w:val="12"/>
          <w:szCs w:val="12"/>
          <w:lang w:val="fr-FR"/>
        </w:rPr>
      </w:pPr>
      <w:r w:rsidRPr="00115A34">
        <w:rPr>
          <w:sz w:val="12"/>
          <w:szCs w:val="12"/>
          <w:lang w:val="fr-FR"/>
        </w:rPr>
        <w:br w:type="page"/>
      </w:r>
    </w:p>
    <w:p w14:paraId="252F7F4D" w14:textId="77777777" w:rsidR="005F5B81" w:rsidRPr="00115A34" w:rsidRDefault="005F5B81" w:rsidP="00B054EE">
      <w:pPr>
        <w:rPr>
          <w:sz w:val="12"/>
          <w:szCs w:val="12"/>
          <w:lang w:val="fr-FR"/>
        </w:rPr>
      </w:pPr>
    </w:p>
    <w:p w14:paraId="59C034BF" w14:textId="44E7CC6C" w:rsidR="001E1D7A" w:rsidRPr="00115A34" w:rsidRDefault="00E55AAC" w:rsidP="00E1163B">
      <w:pPr>
        <w:pStyle w:val="Heading1"/>
        <w:keepNext/>
        <w:tabs>
          <w:tab w:val="left" w:pos="5780"/>
        </w:tabs>
        <w:spacing w:before="0" w:beforeAutospacing="0" w:after="0" w:afterAutospacing="0"/>
        <w:rPr>
          <w:bCs w:val="0"/>
          <w:color w:val="264D74"/>
          <w:sz w:val="24"/>
          <w:szCs w:val="24"/>
          <w:lang w:val="fr-FR"/>
        </w:rPr>
      </w:pPr>
      <w:bookmarkStart w:id="4" w:name="_Toc112941099"/>
      <w:r>
        <w:rPr>
          <w:bCs w:val="0"/>
          <w:color w:val="264D74"/>
          <w:sz w:val="24"/>
          <w:szCs w:val="24"/>
          <w:lang w:val="fr-FR"/>
        </w:rPr>
        <w:t>Les possibilités relatives à chaque cause de mortalité</w:t>
      </w:r>
      <w:bookmarkEnd w:id="4"/>
    </w:p>
    <w:p w14:paraId="3DB47B0C" w14:textId="77777777" w:rsidR="001E1D7A" w:rsidRPr="00115A34" w:rsidRDefault="001E1D7A" w:rsidP="00B054EE">
      <w:pPr>
        <w:rPr>
          <w:sz w:val="22"/>
          <w:szCs w:val="22"/>
          <w:lang w:val="fr-FR"/>
        </w:rPr>
      </w:pPr>
    </w:p>
    <w:p w14:paraId="446EB3F0" w14:textId="77777777" w:rsidR="004C70BC" w:rsidRPr="00115A34" w:rsidRDefault="004C70BC" w:rsidP="00B054EE">
      <w:pPr>
        <w:rPr>
          <w:sz w:val="16"/>
          <w:szCs w:val="16"/>
          <w:lang w:val="fr-FR"/>
        </w:rPr>
      </w:pPr>
    </w:p>
    <w:p w14:paraId="2F12EDEA" w14:textId="5A837CE0" w:rsidR="007722E8" w:rsidRPr="00115A34" w:rsidRDefault="007722E8" w:rsidP="00506507">
      <w:pPr>
        <w:shd w:val="clear" w:color="auto" w:fill="DEEAF6" w:themeFill="accent1" w:themeFillTint="33"/>
        <w:spacing w:after="20"/>
        <w:rPr>
          <w:b/>
          <w:lang w:val="fr-FR"/>
        </w:rPr>
      </w:pPr>
      <w:r w:rsidRPr="00115A34">
        <w:rPr>
          <w:b/>
          <w:lang w:val="fr-FR"/>
        </w:rPr>
        <w:t xml:space="preserve">1.  </w:t>
      </w:r>
      <w:r w:rsidR="00D87692" w:rsidRPr="00115A34">
        <w:rPr>
          <w:b/>
          <w:lang w:val="fr-FR"/>
        </w:rPr>
        <w:t>I</w:t>
      </w:r>
      <w:r w:rsidRPr="00115A34">
        <w:rPr>
          <w:b/>
          <w:lang w:val="fr-FR"/>
        </w:rPr>
        <w:t>nfrastructure</w:t>
      </w:r>
      <w:r w:rsidR="00E55AAC">
        <w:rPr>
          <w:b/>
          <w:lang w:val="fr-FR"/>
        </w:rPr>
        <w:t xml:space="preserve"> énergétique</w:t>
      </w:r>
    </w:p>
    <w:p w14:paraId="043DEB80" w14:textId="77777777" w:rsidR="007722E8" w:rsidRPr="00115A34" w:rsidRDefault="007722E8" w:rsidP="007722E8">
      <w:pPr>
        <w:rPr>
          <w:sz w:val="22"/>
          <w:szCs w:val="22"/>
          <w:lang w:val="fr-FR"/>
        </w:rPr>
      </w:pPr>
    </w:p>
    <w:p w14:paraId="56803789" w14:textId="14E50ABB" w:rsidR="007722E8" w:rsidRPr="00115A34" w:rsidRDefault="007722E8" w:rsidP="007722E8">
      <w:pPr>
        <w:spacing w:after="20"/>
        <w:rPr>
          <w:b/>
          <w:i/>
          <w:color w:val="003366"/>
          <w:sz w:val="22"/>
          <w:szCs w:val="22"/>
          <w:lang w:val="fr-FR"/>
        </w:rPr>
      </w:pPr>
      <w:r w:rsidRPr="00115A34">
        <w:rPr>
          <w:b/>
          <w:i/>
          <w:color w:val="003366"/>
          <w:sz w:val="22"/>
          <w:szCs w:val="22"/>
          <w:lang w:val="fr-FR"/>
        </w:rPr>
        <w:t xml:space="preserve">  (a)  </w:t>
      </w:r>
      <w:r w:rsidR="00E55AAC">
        <w:rPr>
          <w:b/>
          <w:i/>
          <w:color w:val="003366"/>
          <w:sz w:val="22"/>
          <w:szCs w:val="22"/>
          <w:lang w:val="fr-FR"/>
        </w:rPr>
        <w:t xml:space="preserve">Orientations </w:t>
      </w:r>
      <w:r w:rsidR="00773C6B">
        <w:rPr>
          <w:b/>
          <w:i/>
          <w:color w:val="003366"/>
          <w:sz w:val="22"/>
          <w:szCs w:val="22"/>
          <w:lang w:val="fr-FR"/>
        </w:rPr>
        <w:t xml:space="preserve">existantes </w:t>
      </w:r>
      <w:r w:rsidR="00E55AAC">
        <w:rPr>
          <w:b/>
          <w:i/>
          <w:color w:val="003366"/>
          <w:sz w:val="22"/>
          <w:szCs w:val="22"/>
          <w:lang w:val="fr-FR"/>
        </w:rPr>
        <w:t>de l’</w:t>
      </w:r>
      <w:r w:rsidRPr="00115A34">
        <w:rPr>
          <w:b/>
          <w:i/>
          <w:color w:val="003366"/>
          <w:sz w:val="22"/>
          <w:szCs w:val="22"/>
          <w:lang w:val="fr-FR"/>
        </w:rPr>
        <w:t>AEWA</w:t>
      </w:r>
    </w:p>
    <w:p w14:paraId="0FDF58CA" w14:textId="77777777" w:rsidR="007722E8" w:rsidRPr="00115A34" w:rsidRDefault="007722E8" w:rsidP="007722E8">
      <w:pPr>
        <w:rPr>
          <w:sz w:val="22"/>
          <w:szCs w:val="22"/>
          <w:lang w:val="fr-FR"/>
        </w:rPr>
      </w:pPr>
    </w:p>
    <w:p w14:paraId="081950ED" w14:textId="788FDECC" w:rsidR="005F7185" w:rsidRPr="00115A34" w:rsidRDefault="00E55AAC" w:rsidP="0050650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L’</w:t>
      </w:r>
      <w:r w:rsidR="007722E8" w:rsidRPr="00115A34">
        <w:rPr>
          <w:sz w:val="22"/>
          <w:szCs w:val="22"/>
          <w:lang w:val="fr-FR"/>
        </w:rPr>
        <w:t>AEWA a produ</w:t>
      </w:r>
      <w:r>
        <w:rPr>
          <w:sz w:val="22"/>
          <w:szCs w:val="22"/>
          <w:lang w:val="fr-FR"/>
        </w:rPr>
        <w:t>it deux</w:t>
      </w:r>
      <w:r w:rsidR="007722E8" w:rsidRPr="00115A34">
        <w:rPr>
          <w:sz w:val="22"/>
          <w:szCs w:val="22"/>
          <w:lang w:val="fr-FR"/>
        </w:rPr>
        <w:t xml:space="preserve"> publications </w:t>
      </w:r>
      <w:r>
        <w:rPr>
          <w:sz w:val="22"/>
          <w:szCs w:val="22"/>
          <w:lang w:val="fr-FR"/>
        </w:rPr>
        <w:t>dans sa série</w:t>
      </w:r>
      <w:r w:rsidR="005F7185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de « Lignes directrices de conservation » approuvées par la</w:t>
      </w:r>
      <w:r w:rsidR="005F7185" w:rsidRPr="00115A34">
        <w:rPr>
          <w:sz w:val="22"/>
          <w:szCs w:val="22"/>
          <w:lang w:val="fr-FR"/>
        </w:rPr>
        <w:t xml:space="preserve"> MOP</w:t>
      </w:r>
      <w:r>
        <w:rPr>
          <w:sz w:val="22"/>
          <w:szCs w:val="22"/>
          <w:lang w:val="fr-FR"/>
        </w:rPr>
        <w:t>, qui traitent de cette question </w:t>
      </w:r>
      <w:r w:rsidR="005F7185" w:rsidRPr="00115A34">
        <w:rPr>
          <w:sz w:val="22"/>
          <w:szCs w:val="22"/>
          <w:lang w:val="fr-FR"/>
        </w:rPr>
        <w:t>:</w:t>
      </w:r>
    </w:p>
    <w:p w14:paraId="5EA6F0BF" w14:textId="77777777" w:rsidR="005F7185" w:rsidRPr="00115A34" w:rsidRDefault="005F7185" w:rsidP="00506507">
      <w:pPr>
        <w:jc w:val="both"/>
        <w:rPr>
          <w:sz w:val="10"/>
          <w:szCs w:val="10"/>
          <w:lang w:val="fr-FR"/>
        </w:rPr>
      </w:pPr>
    </w:p>
    <w:p w14:paraId="0EBE8C4E" w14:textId="20950CBD" w:rsidR="005F7185" w:rsidRPr="00115A34" w:rsidRDefault="00084359" w:rsidP="00506507">
      <w:pPr>
        <w:pStyle w:val="ListParagraph"/>
        <w:numPr>
          <w:ilvl w:val="0"/>
          <w:numId w:val="34"/>
        </w:numPr>
        <w:jc w:val="both"/>
        <w:rPr>
          <w:sz w:val="20"/>
          <w:szCs w:val="20"/>
          <w:lang w:val="fr-FR"/>
        </w:rPr>
      </w:pPr>
      <w:r>
        <w:rPr>
          <w:color w:val="000000"/>
          <w:sz w:val="20"/>
          <w:szCs w:val="20"/>
          <w:lang w:val="fr-FR"/>
        </w:rPr>
        <w:t>Lignes directrices</w:t>
      </w:r>
      <w:r w:rsidR="005F7185" w:rsidRPr="00115A34">
        <w:rPr>
          <w:color w:val="000000"/>
          <w:sz w:val="20"/>
          <w:szCs w:val="20"/>
          <w:lang w:val="fr-FR"/>
        </w:rPr>
        <w:t xml:space="preserve"> </w:t>
      </w:r>
      <w:r w:rsidR="00C51981">
        <w:rPr>
          <w:color w:val="000000"/>
          <w:sz w:val="20"/>
          <w:szCs w:val="20"/>
          <w:lang w:val="fr-FR"/>
        </w:rPr>
        <w:t xml:space="preserve">de conservation </w:t>
      </w:r>
      <w:r>
        <w:rPr>
          <w:color w:val="000000"/>
          <w:sz w:val="20"/>
          <w:szCs w:val="20"/>
          <w:lang w:val="fr-FR"/>
        </w:rPr>
        <w:t>n</w:t>
      </w:r>
      <w:r w:rsidR="005F7185" w:rsidRPr="00084359">
        <w:rPr>
          <w:color w:val="000000"/>
          <w:sz w:val="20"/>
          <w:szCs w:val="20"/>
          <w:vertAlign w:val="superscript"/>
          <w:lang w:val="fr-FR"/>
        </w:rPr>
        <w:t>o</w:t>
      </w:r>
      <w:r w:rsidR="005F7185" w:rsidRPr="00115A34">
        <w:rPr>
          <w:color w:val="000000"/>
          <w:sz w:val="20"/>
          <w:szCs w:val="20"/>
          <w:lang w:val="fr-FR"/>
        </w:rPr>
        <w:t xml:space="preserve"> 11 (2008) </w:t>
      </w:r>
      <w:r>
        <w:rPr>
          <w:color w:val="000000"/>
          <w:sz w:val="20"/>
          <w:szCs w:val="20"/>
          <w:lang w:val="fr-FR"/>
        </w:rPr>
        <w:t>sur la façon d’éviter</w:t>
      </w:r>
      <w:r w:rsidR="005F7185" w:rsidRPr="00115A34">
        <w:rPr>
          <w:color w:val="000000"/>
          <w:sz w:val="20"/>
          <w:szCs w:val="20"/>
          <w:lang w:val="fr-FR"/>
        </w:rPr>
        <w:t xml:space="preserve">, </w:t>
      </w:r>
      <w:r>
        <w:rPr>
          <w:color w:val="000000"/>
          <w:sz w:val="20"/>
          <w:szCs w:val="20"/>
          <w:lang w:val="fr-FR"/>
        </w:rPr>
        <w:t xml:space="preserve">de </w:t>
      </w:r>
      <w:r w:rsidR="005F7185" w:rsidRPr="00115A34">
        <w:rPr>
          <w:color w:val="000000"/>
          <w:sz w:val="20"/>
          <w:szCs w:val="20"/>
          <w:lang w:val="fr-FR"/>
        </w:rPr>
        <w:t>minimise</w:t>
      </w:r>
      <w:r>
        <w:rPr>
          <w:color w:val="000000"/>
          <w:sz w:val="20"/>
          <w:szCs w:val="20"/>
          <w:lang w:val="fr-FR"/>
        </w:rPr>
        <w:t>r ou d’atténuer</w:t>
      </w:r>
      <w:r w:rsidR="005F7185" w:rsidRPr="00115A34">
        <w:rPr>
          <w:color w:val="000000"/>
          <w:sz w:val="20"/>
          <w:szCs w:val="20"/>
          <w:lang w:val="fr-FR"/>
        </w:rPr>
        <w:t xml:space="preserve"> </w:t>
      </w:r>
      <w:r>
        <w:rPr>
          <w:color w:val="000000"/>
          <w:sz w:val="20"/>
          <w:szCs w:val="20"/>
          <w:lang w:val="fr-FR"/>
        </w:rPr>
        <w:t>l’</w:t>
      </w:r>
      <w:r w:rsidR="005F7185" w:rsidRPr="00115A34">
        <w:rPr>
          <w:color w:val="000000"/>
          <w:sz w:val="20"/>
          <w:szCs w:val="20"/>
          <w:lang w:val="fr-FR"/>
        </w:rPr>
        <w:t xml:space="preserve">impact </w:t>
      </w:r>
      <w:r>
        <w:rPr>
          <w:color w:val="000000"/>
          <w:sz w:val="20"/>
          <w:szCs w:val="20"/>
          <w:lang w:val="fr-FR"/>
        </w:rPr>
        <w:t>du développement d’</w:t>
      </w:r>
      <w:r w:rsidR="005F7185" w:rsidRPr="00115A34">
        <w:rPr>
          <w:color w:val="000000"/>
          <w:sz w:val="20"/>
          <w:szCs w:val="20"/>
          <w:lang w:val="fr-FR"/>
        </w:rPr>
        <w:t>infrastructur</w:t>
      </w:r>
      <w:r>
        <w:rPr>
          <w:color w:val="000000"/>
          <w:sz w:val="20"/>
          <w:szCs w:val="20"/>
          <w:lang w:val="fr-FR"/>
        </w:rPr>
        <w:t xml:space="preserve">es et des perturbations afférentes sur les oiseaux </w:t>
      </w:r>
      <w:r w:rsidR="005F7185" w:rsidRPr="00115A34">
        <w:rPr>
          <w:color w:val="000000"/>
          <w:sz w:val="20"/>
          <w:szCs w:val="20"/>
          <w:lang w:val="fr-FR"/>
        </w:rPr>
        <w:t xml:space="preserve">- </w:t>
      </w:r>
      <w:hyperlink r:id="rId8" w:history="1">
        <w:r w:rsidR="005F7185" w:rsidRPr="00115A34">
          <w:rPr>
            <w:rStyle w:val="Hyperlink"/>
            <w:i/>
            <w:sz w:val="20"/>
            <w:szCs w:val="20"/>
            <w:lang w:val="fr-FR"/>
          </w:rPr>
          <w:t>https://www.unep-aewa.org/en/publication/aewa-conservation-guidelines-no-11-guidelines-how-avoid-minimize-or-mitigate-impact</w:t>
        </w:r>
      </w:hyperlink>
      <w:r w:rsidR="005F7185" w:rsidRPr="00115A34">
        <w:rPr>
          <w:color w:val="000000"/>
          <w:sz w:val="20"/>
          <w:szCs w:val="20"/>
          <w:lang w:val="fr-FR"/>
        </w:rPr>
        <w:t xml:space="preserve"> ;</w:t>
      </w:r>
    </w:p>
    <w:p w14:paraId="5C1AE48B" w14:textId="77777777" w:rsidR="005F7185" w:rsidRPr="00115A34" w:rsidRDefault="005F7185" w:rsidP="00506507">
      <w:pPr>
        <w:jc w:val="both"/>
        <w:rPr>
          <w:sz w:val="10"/>
          <w:szCs w:val="10"/>
          <w:lang w:val="fr-FR"/>
        </w:rPr>
      </w:pPr>
    </w:p>
    <w:p w14:paraId="456EBD02" w14:textId="3C0090CE" w:rsidR="005F7185" w:rsidRPr="00115A34" w:rsidRDefault="00084359" w:rsidP="00506507">
      <w:pPr>
        <w:pStyle w:val="ListParagraph"/>
        <w:numPr>
          <w:ilvl w:val="0"/>
          <w:numId w:val="34"/>
        </w:num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Lignes directrices </w:t>
      </w:r>
      <w:r w:rsidR="00C51981">
        <w:rPr>
          <w:sz w:val="20"/>
          <w:szCs w:val="20"/>
          <w:lang w:val="fr-FR"/>
        </w:rPr>
        <w:t xml:space="preserve">de conservation </w:t>
      </w:r>
      <w:r>
        <w:rPr>
          <w:sz w:val="20"/>
          <w:szCs w:val="20"/>
          <w:lang w:val="fr-FR"/>
        </w:rPr>
        <w:t>n</w:t>
      </w:r>
      <w:r w:rsidR="005F7185" w:rsidRPr="00084359">
        <w:rPr>
          <w:sz w:val="20"/>
          <w:szCs w:val="20"/>
          <w:vertAlign w:val="superscript"/>
          <w:lang w:val="fr-FR"/>
        </w:rPr>
        <w:t>o</w:t>
      </w:r>
      <w:r w:rsidR="005F7185" w:rsidRPr="00115A34">
        <w:rPr>
          <w:sz w:val="20"/>
          <w:szCs w:val="20"/>
          <w:lang w:val="fr-FR"/>
        </w:rPr>
        <w:t xml:space="preserve"> 14 (2012) </w:t>
      </w:r>
      <w:r>
        <w:rPr>
          <w:sz w:val="20"/>
          <w:szCs w:val="20"/>
          <w:lang w:val="fr-FR"/>
        </w:rPr>
        <w:t>sur la façon d’éviter ou d’atténuer</w:t>
      </w:r>
      <w:r w:rsidR="005F7185" w:rsidRPr="00115A34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l’</w:t>
      </w:r>
      <w:r w:rsidR="005F7185" w:rsidRPr="00115A34">
        <w:rPr>
          <w:sz w:val="20"/>
          <w:szCs w:val="20"/>
          <w:lang w:val="fr-FR"/>
        </w:rPr>
        <w:t xml:space="preserve">impact </w:t>
      </w:r>
      <w:r>
        <w:rPr>
          <w:sz w:val="20"/>
          <w:szCs w:val="20"/>
          <w:lang w:val="fr-FR"/>
        </w:rPr>
        <w:t>des lignes électriques sur</w:t>
      </w:r>
      <w:r w:rsidR="005F7185" w:rsidRPr="00115A34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les oiseaux migrateurs dans la région d’</w:t>
      </w:r>
      <w:r w:rsidR="005F7185" w:rsidRPr="00115A34">
        <w:rPr>
          <w:sz w:val="20"/>
          <w:szCs w:val="20"/>
          <w:lang w:val="fr-FR"/>
        </w:rPr>
        <w:t>Afri</w:t>
      </w:r>
      <w:r>
        <w:rPr>
          <w:sz w:val="20"/>
          <w:szCs w:val="20"/>
          <w:lang w:val="fr-FR"/>
        </w:rPr>
        <w:t>que</w:t>
      </w:r>
      <w:r w:rsidR="005F7185" w:rsidRPr="00115A34">
        <w:rPr>
          <w:sz w:val="20"/>
          <w:szCs w:val="20"/>
          <w:lang w:val="fr-FR"/>
        </w:rPr>
        <w:t>-Eurasi</w:t>
      </w:r>
      <w:r>
        <w:rPr>
          <w:sz w:val="20"/>
          <w:szCs w:val="20"/>
          <w:lang w:val="fr-FR"/>
        </w:rPr>
        <w:t>e</w:t>
      </w:r>
      <w:r w:rsidR="005F7185" w:rsidRPr="00115A34">
        <w:rPr>
          <w:sz w:val="20"/>
          <w:szCs w:val="20"/>
          <w:lang w:val="fr-FR"/>
        </w:rPr>
        <w:t xml:space="preserve"> - </w:t>
      </w:r>
      <w:hyperlink r:id="rId9" w:history="1">
        <w:r w:rsidR="005F7185" w:rsidRPr="00115A34">
          <w:rPr>
            <w:rStyle w:val="Hyperlink"/>
            <w:i/>
            <w:sz w:val="20"/>
            <w:szCs w:val="20"/>
            <w:lang w:val="fr-FR"/>
          </w:rPr>
          <w:t>https://www.unep-aewa.org/en/publication/aewa-conservation-guidelines-no-14-guidelines-how-avoid-or-mitigate-impact-electricity</w:t>
        </w:r>
      </w:hyperlink>
      <w:r w:rsidR="005F7185" w:rsidRPr="00115A34">
        <w:rPr>
          <w:sz w:val="20"/>
          <w:szCs w:val="20"/>
          <w:lang w:val="fr-FR"/>
        </w:rPr>
        <w:t>.</w:t>
      </w:r>
    </w:p>
    <w:p w14:paraId="2F434DDC" w14:textId="77777777" w:rsidR="005F7185" w:rsidRPr="00115A34" w:rsidRDefault="005F7185" w:rsidP="00506507">
      <w:pPr>
        <w:jc w:val="both"/>
        <w:rPr>
          <w:sz w:val="22"/>
          <w:szCs w:val="22"/>
          <w:lang w:val="fr-FR"/>
        </w:rPr>
      </w:pPr>
    </w:p>
    <w:p w14:paraId="15DF4C07" w14:textId="45DD2DC4" w:rsidR="00F91FFD" w:rsidRPr="00115A34" w:rsidRDefault="00084359" w:rsidP="0050650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La</w:t>
      </w:r>
      <w:r w:rsidR="007722E8" w:rsidRPr="00115A34">
        <w:rPr>
          <w:sz w:val="22"/>
          <w:szCs w:val="22"/>
          <w:lang w:val="fr-FR"/>
        </w:rPr>
        <w:t xml:space="preserve"> MOP a</w:t>
      </w:r>
      <w:r>
        <w:rPr>
          <w:sz w:val="22"/>
          <w:szCs w:val="22"/>
          <w:lang w:val="fr-FR"/>
        </w:rPr>
        <w:t xml:space="preserve"> également adopté à ce jour</w:t>
      </w:r>
      <w:r w:rsidR="00F91FFD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trois</w:t>
      </w:r>
      <w:r w:rsidR="007722E8" w:rsidRPr="00115A34">
        <w:rPr>
          <w:sz w:val="22"/>
          <w:szCs w:val="22"/>
          <w:lang w:val="fr-FR"/>
        </w:rPr>
        <w:t xml:space="preserve"> R</w:t>
      </w:r>
      <w:r>
        <w:rPr>
          <w:sz w:val="22"/>
          <w:szCs w:val="22"/>
          <w:lang w:val="fr-FR"/>
        </w:rPr>
        <w:t>é</w:t>
      </w:r>
      <w:r w:rsidR="007722E8" w:rsidRPr="00115A34">
        <w:rPr>
          <w:sz w:val="22"/>
          <w:szCs w:val="22"/>
          <w:lang w:val="fr-FR"/>
        </w:rPr>
        <w:t>solutions</w:t>
      </w:r>
      <w:r>
        <w:rPr>
          <w:sz w:val="22"/>
          <w:szCs w:val="22"/>
          <w:lang w:val="fr-FR"/>
        </w:rPr>
        <w:t xml:space="preserve"> pertinentes </w:t>
      </w:r>
      <w:r w:rsidR="00F91FFD" w:rsidRPr="00115A34">
        <w:rPr>
          <w:sz w:val="22"/>
          <w:szCs w:val="22"/>
          <w:lang w:val="fr-FR"/>
        </w:rPr>
        <w:t>:</w:t>
      </w:r>
    </w:p>
    <w:p w14:paraId="33BBEBD8" w14:textId="77777777" w:rsidR="00F91FFD" w:rsidRPr="00115A34" w:rsidRDefault="00F91FFD" w:rsidP="00506507">
      <w:pPr>
        <w:jc w:val="both"/>
        <w:rPr>
          <w:sz w:val="10"/>
          <w:szCs w:val="10"/>
          <w:lang w:val="fr-FR"/>
        </w:rPr>
      </w:pPr>
    </w:p>
    <w:p w14:paraId="3DBC0FD2" w14:textId="6CECB464" w:rsidR="00F91FFD" w:rsidRPr="00115A34" w:rsidRDefault="00F91FFD" w:rsidP="00506507">
      <w:pPr>
        <w:pStyle w:val="ListParagraph"/>
        <w:numPr>
          <w:ilvl w:val="0"/>
          <w:numId w:val="35"/>
        </w:numPr>
        <w:jc w:val="both"/>
        <w:rPr>
          <w:sz w:val="20"/>
          <w:szCs w:val="20"/>
          <w:lang w:val="fr-FR"/>
        </w:rPr>
      </w:pPr>
      <w:r w:rsidRPr="00115A34">
        <w:rPr>
          <w:sz w:val="20"/>
          <w:szCs w:val="20"/>
          <w:lang w:val="fr-FR"/>
        </w:rPr>
        <w:t>R</w:t>
      </w:r>
      <w:r w:rsidR="009451F3">
        <w:rPr>
          <w:sz w:val="20"/>
          <w:szCs w:val="20"/>
          <w:lang w:val="fr-FR"/>
        </w:rPr>
        <w:t>é</w:t>
      </w:r>
      <w:r w:rsidRPr="00115A34">
        <w:rPr>
          <w:sz w:val="20"/>
          <w:szCs w:val="20"/>
          <w:lang w:val="fr-FR"/>
        </w:rPr>
        <w:t xml:space="preserve">solution 5.11 (2012) </w:t>
      </w:r>
      <w:r w:rsidR="009451F3">
        <w:rPr>
          <w:sz w:val="20"/>
          <w:szCs w:val="20"/>
          <w:lang w:val="fr-FR"/>
        </w:rPr>
        <w:t>sur les</w:t>
      </w:r>
      <w:r w:rsidRPr="00115A34">
        <w:rPr>
          <w:sz w:val="20"/>
          <w:szCs w:val="20"/>
          <w:lang w:val="fr-FR"/>
        </w:rPr>
        <w:t xml:space="preserve"> </w:t>
      </w:r>
      <w:r w:rsidR="009451F3">
        <w:rPr>
          <w:sz w:val="20"/>
          <w:szCs w:val="20"/>
          <w:lang w:val="fr-FR"/>
        </w:rPr>
        <w:t>lignes électriques et les oiseaux</w:t>
      </w:r>
      <w:r w:rsidR="006E0384">
        <w:rPr>
          <w:sz w:val="20"/>
          <w:szCs w:val="20"/>
          <w:lang w:val="fr-FR"/>
        </w:rPr>
        <w:t xml:space="preserve"> d’eau</w:t>
      </w:r>
      <w:r w:rsidR="009451F3">
        <w:rPr>
          <w:sz w:val="20"/>
          <w:szCs w:val="20"/>
          <w:lang w:val="fr-FR"/>
        </w:rPr>
        <w:t xml:space="preserve"> migrateurs</w:t>
      </w:r>
      <w:r w:rsidRPr="00115A34">
        <w:rPr>
          <w:sz w:val="20"/>
          <w:szCs w:val="20"/>
          <w:lang w:val="fr-FR"/>
        </w:rPr>
        <w:t xml:space="preserve"> - </w:t>
      </w:r>
      <w:hyperlink r:id="rId10" w:history="1">
        <w:r w:rsidRPr="00115A34">
          <w:rPr>
            <w:rStyle w:val="Hyperlink"/>
            <w:i/>
            <w:sz w:val="20"/>
            <w:szCs w:val="20"/>
            <w:lang w:val="fr-FR"/>
          </w:rPr>
          <w:t>https://www.unep-aewa.org/en/document/power-lines-and-migratory-waterbirds</w:t>
        </w:r>
      </w:hyperlink>
      <w:r w:rsidRPr="00115A34">
        <w:rPr>
          <w:sz w:val="20"/>
          <w:szCs w:val="20"/>
          <w:lang w:val="fr-FR"/>
        </w:rPr>
        <w:t xml:space="preserve"> ;</w:t>
      </w:r>
    </w:p>
    <w:p w14:paraId="585952B7" w14:textId="77777777" w:rsidR="00F91FFD" w:rsidRPr="00115A34" w:rsidRDefault="00F91FFD" w:rsidP="00506507">
      <w:pPr>
        <w:jc w:val="both"/>
        <w:rPr>
          <w:sz w:val="10"/>
          <w:szCs w:val="10"/>
          <w:lang w:val="fr-FR"/>
        </w:rPr>
      </w:pPr>
    </w:p>
    <w:p w14:paraId="2F7A93CD" w14:textId="3894C070" w:rsidR="00F91FFD" w:rsidRPr="00115A34" w:rsidRDefault="00F91FFD" w:rsidP="00506507">
      <w:pPr>
        <w:pStyle w:val="ListParagraph"/>
        <w:numPr>
          <w:ilvl w:val="0"/>
          <w:numId w:val="35"/>
        </w:numPr>
        <w:jc w:val="both"/>
        <w:rPr>
          <w:sz w:val="20"/>
          <w:szCs w:val="20"/>
          <w:lang w:val="fr-FR"/>
        </w:rPr>
      </w:pPr>
      <w:r w:rsidRPr="00115A34">
        <w:rPr>
          <w:sz w:val="20"/>
          <w:szCs w:val="20"/>
          <w:lang w:val="fr-FR"/>
        </w:rPr>
        <w:t>R</w:t>
      </w:r>
      <w:r w:rsidR="009451F3">
        <w:rPr>
          <w:sz w:val="20"/>
          <w:szCs w:val="20"/>
          <w:lang w:val="fr-FR"/>
        </w:rPr>
        <w:t>é</w:t>
      </w:r>
      <w:r w:rsidRPr="00115A34">
        <w:rPr>
          <w:sz w:val="20"/>
          <w:szCs w:val="20"/>
          <w:lang w:val="fr-FR"/>
        </w:rPr>
        <w:t xml:space="preserve">solution 5.16 (2012) </w:t>
      </w:r>
      <w:r w:rsidR="009451F3">
        <w:rPr>
          <w:sz w:val="20"/>
          <w:szCs w:val="20"/>
          <w:lang w:val="fr-FR"/>
        </w:rPr>
        <w:t>sur l’énergie renouvelable et les oiseaux</w:t>
      </w:r>
      <w:r w:rsidR="006E0384">
        <w:rPr>
          <w:sz w:val="20"/>
          <w:szCs w:val="20"/>
          <w:lang w:val="fr-FR"/>
        </w:rPr>
        <w:t xml:space="preserve"> d’eau</w:t>
      </w:r>
      <w:r w:rsidR="009451F3">
        <w:rPr>
          <w:sz w:val="20"/>
          <w:szCs w:val="20"/>
          <w:lang w:val="fr-FR"/>
        </w:rPr>
        <w:t xml:space="preserve"> migrateurs</w:t>
      </w:r>
      <w:r w:rsidRPr="00115A34">
        <w:rPr>
          <w:sz w:val="20"/>
          <w:szCs w:val="20"/>
          <w:lang w:val="fr-FR"/>
        </w:rPr>
        <w:t xml:space="preserve"> - </w:t>
      </w:r>
      <w:hyperlink r:id="rId11" w:history="1">
        <w:r w:rsidRPr="00115A34">
          <w:rPr>
            <w:rStyle w:val="Hyperlink"/>
            <w:i/>
            <w:sz w:val="20"/>
            <w:szCs w:val="20"/>
            <w:lang w:val="fr-FR"/>
          </w:rPr>
          <w:t>https://www.unep-aewa.org/en/document/renewable-energy-and-migratory-waterbirds-1</w:t>
        </w:r>
      </w:hyperlink>
      <w:r w:rsidRPr="00115A34">
        <w:rPr>
          <w:sz w:val="20"/>
          <w:szCs w:val="20"/>
          <w:lang w:val="fr-FR"/>
        </w:rPr>
        <w:t xml:space="preserve"> ;</w:t>
      </w:r>
    </w:p>
    <w:p w14:paraId="75C71B08" w14:textId="77777777" w:rsidR="00F91FFD" w:rsidRPr="00115A34" w:rsidRDefault="00F91FFD" w:rsidP="00506507">
      <w:pPr>
        <w:jc w:val="both"/>
        <w:rPr>
          <w:sz w:val="10"/>
          <w:szCs w:val="10"/>
          <w:lang w:val="fr-FR"/>
        </w:rPr>
      </w:pPr>
    </w:p>
    <w:p w14:paraId="72B7CF04" w14:textId="0BE97C9E" w:rsidR="00F91FFD" w:rsidRPr="00115A34" w:rsidRDefault="00F91FFD" w:rsidP="00506507">
      <w:pPr>
        <w:pStyle w:val="ListParagraph"/>
        <w:numPr>
          <w:ilvl w:val="0"/>
          <w:numId w:val="35"/>
        </w:numPr>
        <w:jc w:val="both"/>
        <w:rPr>
          <w:sz w:val="20"/>
          <w:szCs w:val="20"/>
          <w:lang w:val="fr-FR"/>
        </w:rPr>
      </w:pPr>
      <w:r w:rsidRPr="00115A34">
        <w:rPr>
          <w:sz w:val="20"/>
          <w:szCs w:val="20"/>
          <w:lang w:val="fr-FR"/>
        </w:rPr>
        <w:t>R</w:t>
      </w:r>
      <w:r w:rsidR="009451F3">
        <w:rPr>
          <w:sz w:val="20"/>
          <w:szCs w:val="20"/>
          <w:lang w:val="fr-FR"/>
        </w:rPr>
        <w:t>é</w:t>
      </w:r>
      <w:r w:rsidRPr="00115A34">
        <w:rPr>
          <w:sz w:val="20"/>
          <w:szCs w:val="20"/>
          <w:lang w:val="fr-FR"/>
        </w:rPr>
        <w:t xml:space="preserve">solution 6.11 (2015) </w:t>
      </w:r>
      <w:r w:rsidR="009451F3">
        <w:rPr>
          <w:sz w:val="20"/>
          <w:szCs w:val="20"/>
          <w:lang w:val="fr-FR"/>
        </w:rPr>
        <w:t>sur la façon dont gérer les incidences du déploiement des énergies renouvelables sur les oiseaux d’eau</w:t>
      </w:r>
      <w:r w:rsidRPr="00115A34">
        <w:rPr>
          <w:sz w:val="20"/>
          <w:szCs w:val="20"/>
          <w:lang w:val="fr-FR"/>
        </w:rPr>
        <w:t xml:space="preserve"> - </w:t>
      </w:r>
      <w:hyperlink r:id="rId12" w:history="1">
        <w:r w:rsidRPr="00115A34">
          <w:rPr>
            <w:rStyle w:val="Hyperlink"/>
            <w:i/>
            <w:sz w:val="20"/>
            <w:szCs w:val="20"/>
            <w:lang w:val="fr-FR"/>
          </w:rPr>
          <w:t>https://www.unep-aewa.org/en/document/addressing-impacts-renewable-energy-deployment-migratory-waterbirds-2</w:t>
        </w:r>
      </w:hyperlink>
      <w:r w:rsidRPr="00115A34">
        <w:rPr>
          <w:sz w:val="20"/>
          <w:szCs w:val="20"/>
          <w:lang w:val="fr-FR"/>
        </w:rPr>
        <w:t xml:space="preserve"> .</w:t>
      </w:r>
    </w:p>
    <w:p w14:paraId="108DC398" w14:textId="77777777" w:rsidR="00F91FFD" w:rsidRPr="00115A34" w:rsidRDefault="00F91FFD" w:rsidP="00506507">
      <w:pPr>
        <w:jc w:val="both"/>
        <w:rPr>
          <w:sz w:val="22"/>
          <w:szCs w:val="22"/>
          <w:lang w:val="fr-FR"/>
        </w:rPr>
      </w:pPr>
    </w:p>
    <w:p w14:paraId="065E04F1" w14:textId="54025EE7" w:rsidR="007722E8" w:rsidRPr="00115A34" w:rsidRDefault="009451F3" w:rsidP="0050650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Les principaux</w:t>
      </w:r>
      <w:r w:rsidR="007722E8" w:rsidRPr="00115A34">
        <w:rPr>
          <w:sz w:val="22"/>
          <w:szCs w:val="22"/>
          <w:lang w:val="fr-FR"/>
        </w:rPr>
        <w:t xml:space="preserve"> process</w:t>
      </w:r>
      <w:r>
        <w:rPr>
          <w:sz w:val="22"/>
          <w:szCs w:val="22"/>
          <w:lang w:val="fr-FR"/>
        </w:rPr>
        <w:t>u</w:t>
      </w:r>
      <w:r w:rsidR="007722E8" w:rsidRPr="00115A34">
        <w:rPr>
          <w:sz w:val="22"/>
          <w:szCs w:val="22"/>
          <w:lang w:val="fr-FR"/>
        </w:rPr>
        <w:t>s/plat</w:t>
      </w:r>
      <w:r>
        <w:rPr>
          <w:sz w:val="22"/>
          <w:szCs w:val="22"/>
          <w:lang w:val="fr-FR"/>
        </w:rPr>
        <w:t>e</w:t>
      </w:r>
      <w:r w:rsidR="007722E8" w:rsidRPr="00115A34">
        <w:rPr>
          <w:sz w:val="22"/>
          <w:szCs w:val="22"/>
          <w:lang w:val="fr-FR"/>
        </w:rPr>
        <w:t>form</w:t>
      </w:r>
      <w:r>
        <w:rPr>
          <w:sz w:val="22"/>
          <w:szCs w:val="22"/>
          <w:lang w:val="fr-FR"/>
        </w:rPr>
        <w:t>e</w:t>
      </w:r>
      <w:r w:rsidR="007722E8" w:rsidRPr="00115A34">
        <w:rPr>
          <w:sz w:val="22"/>
          <w:szCs w:val="22"/>
          <w:lang w:val="fr-FR"/>
        </w:rPr>
        <w:t xml:space="preserve">s </w:t>
      </w:r>
      <w:r>
        <w:rPr>
          <w:sz w:val="22"/>
          <w:szCs w:val="22"/>
          <w:lang w:val="fr-FR"/>
        </w:rPr>
        <w:t xml:space="preserve">multilatéraux </w:t>
      </w:r>
      <w:r w:rsidR="007722E8" w:rsidRPr="00115A34">
        <w:rPr>
          <w:sz w:val="22"/>
          <w:szCs w:val="22"/>
          <w:lang w:val="fr-FR"/>
        </w:rPr>
        <w:t>identifi</w:t>
      </w:r>
      <w:r>
        <w:rPr>
          <w:sz w:val="22"/>
          <w:szCs w:val="22"/>
          <w:lang w:val="fr-FR"/>
        </w:rPr>
        <w:t xml:space="preserve">és dans ces documents et susceptibles </w:t>
      </w:r>
      <w:r w:rsidR="005A656A">
        <w:rPr>
          <w:sz w:val="22"/>
          <w:szCs w:val="22"/>
          <w:lang w:val="fr-FR"/>
        </w:rPr>
        <w:t xml:space="preserve">d’offrir </w:t>
      </w:r>
      <w:r w:rsidR="00544CEA">
        <w:rPr>
          <w:sz w:val="22"/>
          <w:szCs w:val="22"/>
          <w:lang w:val="fr-FR"/>
        </w:rPr>
        <w:t xml:space="preserve">des opportunités </w:t>
      </w:r>
      <w:r w:rsidR="005A656A">
        <w:rPr>
          <w:sz w:val="22"/>
          <w:szCs w:val="22"/>
          <w:lang w:val="fr-FR"/>
        </w:rPr>
        <w:t xml:space="preserve">pour </w:t>
      </w:r>
      <w:r w:rsidR="006E31C4">
        <w:rPr>
          <w:sz w:val="22"/>
          <w:szCs w:val="22"/>
          <w:lang w:val="fr-FR"/>
        </w:rPr>
        <w:t>exercer de l’influence</w:t>
      </w:r>
      <w:r w:rsidR="004C4702" w:rsidRPr="00115A34">
        <w:rPr>
          <w:sz w:val="22"/>
          <w:szCs w:val="22"/>
          <w:lang w:val="fr-FR"/>
        </w:rPr>
        <w:t xml:space="preserve">, </w:t>
      </w:r>
      <w:r w:rsidR="00E65BB6">
        <w:rPr>
          <w:sz w:val="22"/>
          <w:szCs w:val="22"/>
          <w:lang w:val="fr-FR"/>
        </w:rPr>
        <w:t>ainsi que</w:t>
      </w:r>
      <w:r w:rsidR="006E31C4">
        <w:rPr>
          <w:sz w:val="22"/>
          <w:szCs w:val="22"/>
          <w:lang w:val="fr-FR"/>
        </w:rPr>
        <w:t xml:space="preserve"> quelques autres</w:t>
      </w:r>
      <w:r w:rsidR="004C4702" w:rsidRPr="00115A34">
        <w:rPr>
          <w:sz w:val="22"/>
          <w:szCs w:val="22"/>
          <w:lang w:val="fr-FR"/>
        </w:rPr>
        <w:t>,</w:t>
      </w:r>
      <w:r w:rsidR="007722E8" w:rsidRPr="00115A34">
        <w:rPr>
          <w:sz w:val="22"/>
          <w:szCs w:val="22"/>
          <w:lang w:val="fr-FR"/>
        </w:rPr>
        <w:t xml:space="preserve"> </w:t>
      </w:r>
      <w:r w:rsidR="006E31C4">
        <w:rPr>
          <w:sz w:val="22"/>
          <w:szCs w:val="22"/>
          <w:lang w:val="fr-FR"/>
        </w:rPr>
        <w:t>sont ré</w:t>
      </w:r>
      <w:r w:rsidR="00367922">
        <w:rPr>
          <w:sz w:val="22"/>
          <w:szCs w:val="22"/>
          <w:lang w:val="fr-FR"/>
        </w:rPr>
        <w:t>capitulés</w:t>
      </w:r>
      <w:r w:rsidR="006E31C4">
        <w:rPr>
          <w:sz w:val="22"/>
          <w:szCs w:val="22"/>
          <w:lang w:val="fr-FR"/>
        </w:rPr>
        <w:t xml:space="preserve"> dans le tableau ci-dessous</w:t>
      </w:r>
      <w:r w:rsidR="007722E8" w:rsidRPr="00115A34">
        <w:rPr>
          <w:sz w:val="22"/>
          <w:szCs w:val="22"/>
          <w:lang w:val="fr-FR"/>
        </w:rPr>
        <w:t>.</w:t>
      </w:r>
    </w:p>
    <w:p w14:paraId="5FF056EF" w14:textId="77777777" w:rsidR="007722E8" w:rsidRPr="00115A34" w:rsidRDefault="007722E8" w:rsidP="007722E8">
      <w:pPr>
        <w:rPr>
          <w:sz w:val="22"/>
          <w:szCs w:val="22"/>
          <w:lang w:val="fr-FR"/>
        </w:rPr>
      </w:pPr>
    </w:p>
    <w:p w14:paraId="2243F04F" w14:textId="77777777" w:rsidR="007722E8" w:rsidRPr="00115A34" w:rsidRDefault="007722E8" w:rsidP="007722E8">
      <w:pPr>
        <w:rPr>
          <w:sz w:val="8"/>
          <w:szCs w:val="8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722E8" w:rsidRPr="00115A34" w14:paraId="6AB7771F" w14:textId="77777777" w:rsidTr="00506507">
        <w:trPr>
          <w:jc w:val="center"/>
        </w:trPr>
        <w:tc>
          <w:tcPr>
            <w:tcW w:w="3005" w:type="dxa"/>
            <w:shd w:val="clear" w:color="auto" w:fill="DEEAF6" w:themeFill="accent1" w:themeFillTint="33"/>
            <w:vAlign w:val="center"/>
          </w:tcPr>
          <w:p w14:paraId="2366C63E" w14:textId="654BBC5E" w:rsidR="007722E8" w:rsidRPr="00115A34" w:rsidRDefault="006E31C4" w:rsidP="005F7185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Processus/plateforme multilatéra</w:t>
            </w:r>
            <w:r w:rsidR="00CD6B91">
              <w:rPr>
                <w:b/>
                <w:sz w:val="20"/>
                <w:szCs w:val="20"/>
                <w:lang w:val="fr-FR"/>
              </w:rPr>
              <w:t>l(e)</w:t>
            </w:r>
          </w:p>
        </w:tc>
        <w:tc>
          <w:tcPr>
            <w:tcW w:w="3005" w:type="dxa"/>
            <w:shd w:val="clear" w:color="auto" w:fill="DEEAF6" w:themeFill="accent1" w:themeFillTint="33"/>
            <w:vAlign w:val="center"/>
          </w:tcPr>
          <w:p w14:paraId="38CFED33" w14:textId="7BD6870E" w:rsidR="007722E8" w:rsidRPr="00115A34" w:rsidRDefault="00E65BB6" w:rsidP="005F7185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</w:t>
            </w:r>
            <w:r w:rsidR="000C6216">
              <w:rPr>
                <w:b/>
                <w:sz w:val="20"/>
                <w:szCs w:val="20"/>
                <w:lang w:val="fr-FR"/>
              </w:rPr>
              <w:t>entionné</w:t>
            </w:r>
            <w:r w:rsidR="006E31C4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 xml:space="preserve">où </w:t>
            </w:r>
            <w:r w:rsidR="006E31C4">
              <w:rPr>
                <w:b/>
                <w:sz w:val="20"/>
                <w:szCs w:val="20"/>
                <w:lang w:val="fr-FR"/>
              </w:rPr>
              <w:t>par l’</w:t>
            </w:r>
            <w:r w:rsidR="007722E8" w:rsidRPr="00115A34">
              <w:rPr>
                <w:b/>
                <w:sz w:val="20"/>
                <w:szCs w:val="20"/>
                <w:lang w:val="fr-FR"/>
              </w:rPr>
              <w:t>AEWA</w:t>
            </w:r>
          </w:p>
        </w:tc>
        <w:tc>
          <w:tcPr>
            <w:tcW w:w="3006" w:type="dxa"/>
            <w:shd w:val="clear" w:color="auto" w:fill="DEEAF6" w:themeFill="accent1" w:themeFillTint="33"/>
            <w:vAlign w:val="center"/>
          </w:tcPr>
          <w:p w14:paraId="1BCB8B9B" w14:textId="5A75E6CE" w:rsidR="007722E8" w:rsidRPr="00115A34" w:rsidRDefault="006E31C4" w:rsidP="005F7185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Possibilités éventuelles d’influence</w:t>
            </w:r>
          </w:p>
        </w:tc>
      </w:tr>
      <w:tr w:rsidR="007722E8" w:rsidRPr="00326B2D" w14:paraId="1415709B" w14:textId="77777777" w:rsidTr="00506507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1B61DAD9" w14:textId="1FA37C02" w:rsidR="007722E8" w:rsidRPr="00115A34" w:rsidRDefault="007722E8" w:rsidP="005F7185">
            <w:pPr>
              <w:spacing w:before="20" w:after="20"/>
              <w:rPr>
                <w:b/>
                <w:i/>
                <w:color w:val="000066"/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Convention </w:t>
            </w:r>
            <w:r w:rsidR="00E1786F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sur la conservation </w:t>
            </w:r>
            <w:r w:rsidR="006E31C4">
              <w:rPr>
                <w:b/>
                <w:i/>
                <w:color w:val="000066"/>
                <w:sz w:val="19"/>
                <w:szCs w:val="19"/>
                <w:lang w:val="fr-FR"/>
              </w:rPr>
              <w:t>des espèces migratrices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(CMS)</w:t>
            </w:r>
          </w:p>
        </w:tc>
      </w:tr>
      <w:tr w:rsidR="007722E8" w:rsidRPr="00326B2D" w14:paraId="0B25046E" w14:textId="77777777" w:rsidTr="00506507">
        <w:trPr>
          <w:jc w:val="center"/>
        </w:trPr>
        <w:tc>
          <w:tcPr>
            <w:tcW w:w="3005" w:type="dxa"/>
          </w:tcPr>
          <w:p w14:paraId="158D9F83" w14:textId="6C3B6FB6" w:rsidR="007722E8" w:rsidRPr="00115A34" w:rsidRDefault="007722E8" w:rsidP="005F7185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R</w:t>
            </w:r>
            <w:r w:rsidR="006E31C4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solution 7.4 (2002) </w:t>
            </w:r>
            <w:r w:rsidR="009B06D5">
              <w:rPr>
                <w:sz w:val="19"/>
                <w:szCs w:val="19"/>
                <w:lang w:val="fr-FR"/>
              </w:rPr>
              <w:t xml:space="preserve">de la COP de la CMS </w:t>
            </w:r>
            <w:r w:rsidR="006E31C4">
              <w:rPr>
                <w:sz w:val="19"/>
                <w:szCs w:val="19"/>
                <w:lang w:val="fr-FR"/>
              </w:rPr>
              <w:t>sur l’électrocution des oiseaux migrateurs</w:t>
            </w:r>
          </w:p>
        </w:tc>
        <w:tc>
          <w:tcPr>
            <w:tcW w:w="3005" w:type="dxa"/>
          </w:tcPr>
          <w:p w14:paraId="752D16B7" w14:textId="2460C2E8" w:rsidR="007722E8" w:rsidRPr="00115A34" w:rsidRDefault="009B06D5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</w:t>
            </w:r>
            <w:r w:rsidR="00481F3A">
              <w:rPr>
                <w:sz w:val="19"/>
                <w:szCs w:val="19"/>
                <w:lang w:val="fr-FR"/>
              </w:rPr>
              <w:t>e</w:t>
            </w:r>
            <w:r w:rsidR="006E31C4">
              <w:rPr>
                <w:sz w:val="19"/>
                <w:szCs w:val="19"/>
                <w:lang w:val="fr-FR"/>
              </w:rPr>
              <w:t xml:space="preserve"> en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pr</w:t>
            </w:r>
            <w:r w:rsidR="006E31C4">
              <w:rPr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sz w:val="19"/>
                <w:szCs w:val="19"/>
                <w:lang w:val="fr-FR"/>
              </w:rPr>
              <w:t>amb</w:t>
            </w:r>
            <w:r w:rsidR="006E31C4">
              <w:rPr>
                <w:sz w:val="19"/>
                <w:szCs w:val="19"/>
                <w:lang w:val="fr-FR"/>
              </w:rPr>
              <w:t>u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le </w:t>
            </w:r>
            <w:r w:rsidR="006E31C4">
              <w:rPr>
                <w:sz w:val="19"/>
                <w:szCs w:val="19"/>
                <w:lang w:val="fr-FR"/>
              </w:rPr>
              <w:t>de la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</w:t>
            </w:r>
            <w:r w:rsidR="006E31C4">
              <w:rPr>
                <w:sz w:val="19"/>
                <w:szCs w:val="19"/>
                <w:lang w:val="fr-FR"/>
              </w:rPr>
              <w:t xml:space="preserve">Résolution 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MOP5.11 (2012) </w:t>
            </w:r>
            <w:r w:rsidR="006E31C4">
              <w:rPr>
                <w:sz w:val="19"/>
                <w:szCs w:val="19"/>
                <w:lang w:val="fr-FR"/>
              </w:rPr>
              <w:t xml:space="preserve">sur les lignes électriques et les oiseaux </w:t>
            </w:r>
            <w:r w:rsidR="006E0384">
              <w:rPr>
                <w:sz w:val="19"/>
                <w:szCs w:val="19"/>
                <w:lang w:val="fr-FR"/>
              </w:rPr>
              <w:t xml:space="preserve">d’eau </w:t>
            </w:r>
            <w:r w:rsidR="006E31C4">
              <w:rPr>
                <w:sz w:val="19"/>
                <w:szCs w:val="19"/>
                <w:lang w:val="fr-FR"/>
              </w:rPr>
              <w:t>migrateurs.</w:t>
            </w:r>
          </w:p>
          <w:p w14:paraId="5DCD582D" w14:textId="286343B9" w:rsidR="007722E8" w:rsidRPr="00115A34" w:rsidRDefault="006E31C4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Également mentionnée dans les Lignes directrices de conservation de l’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AEWA </w:t>
            </w:r>
            <w:r>
              <w:rPr>
                <w:sz w:val="19"/>
                <w:szCs w:val="19"/>
                <w:lang w:val="fr-FR"/>
              </w:rPr>
              <w:t>n</w:t>
            </w:r>
            <w:r w:rsidR="007722E8" w:rsidRPr="006E31C4">
              <w:rPr>
                <w:sz w:val="19"/>
                <w:szCs w:val="19"/>
                <w:vertAlign w:val="superscript"/>
                <w:lang w:val="fr-FR"/>
              </w:rPr>
              <w:t>o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14 (2012) </w:t>
            </w:r>
            <w:r>
              <w:rPr>
                <w:sz w:val="19"/>
                <w:szCs w:val="19"/>
                <w:lang w:val="fr-FR"/>
              </w:rPr>
              <w:t xml:space="preserve">sur la façon d’éviter ou d’atténuer </w:t>
            </w:r>
            <w:r w:rsidR="00314645">
              <w:rPr>
                <w:sz w:val="19"/>
                <w:szCs w:val="19"/>
                <w:lang w:val="fr-FR"/>
              </w:rPr>
              <w:t>l’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impact </w:t>
            </w:r>
            <w:r w:rsidR="00314645">
              <w:rPr>
                <w:sz w:val="19"/>
                <w:szCs w:val="19"/>
                <w:lang w:val="fr-FR"/>
              </w:rPr>
              <w:t>des lignes électriques sur les oiseaux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migrat</w:t>
            </w:r>
            <w:r w:rsidR="00314645">
              <w:rPr>
                <w:sz w:val="19"/>
                <w:szCs w:val="19"/>
                <w:lang w:val="fr-FR"/>
              </w:rPr>
              <w:t>eurs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</w:t>
            </w:r>
            <w:r w:rsidR="00314645">
              <w:rPr>
                <w:sz w:val="19"/>
                <w:szCs w:val="19"/>
                <w:lang w:val="fr-FR"/>
              </w:rPr>
              <w:t>dans la région d’Afrique-Eurasie</w:t>
            </w:r>
          </w:p>
        </w:tc>
        <w:tc>
          <w:tcPr>
            <w:tcW w:w="3006" w:type="dxa"/>
          </w:tcPr>
          <w:p w14:paraId="29BC8D31" w14:textId="4DD4A6DE" w:rsidR="007722E8" w:rsidRPr="00115A34" w:rsidRDefault="00314645" w:rsidP="005F7185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Les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Parties </w:t>
            </w:r>
            <w:r>
              <w:rPr>
                <w:sz w:val="19"/>
                <w:szCs w:val="19"/>
                <w:lang w:val="fr-FR"/>
              </w:rPr>
              <w:t>à la CMS rendent compte de leurs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action</w:t>
            </w:r>
            <w:r>
              <w:rPr>
                <w:sz w:val="19"/>
                <w:szCs w:val="19"/>
                <w:lang w:val="fr-FR"/>
              </w:rPr>
              <w:t>s par le biais des rapports nationaux</w:t>
            </w:r>
            <w:r w:rsidR="007722E8" w:rsidRPr="00115A34">
              <w:rPr>
                <w:sz w:val="19"/>
                <w:szCs w:val="19"/>
                <w:lang w:val="fr-FR"/>
              </w:rPr>
              <w:t>.</w:t>
            </w:r>
          </w:p>
          <w:p w14:paraId="41815848" w14:textId="4AD92079" w:rsidR="007722E8" w:rsidRPr="00115A34" w:rsidRDefault="00314645" w:rsidP="005F7185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Suivi d</w:t>
            </w:r>
            <w:r w:rsidR="00E65BB6">
              <w:rPr>
                <w:sz w:val="19"/>
                <w:szCs w:val="19"/>
                <w:lang w:val="fr-FR"/>
              </w:rPr>
              <w:t>e la prise en compte</w:t>
            </w:r>
            <w:r>
              <w:rPr>
                <w:sz w:val="19"/>
                <w:szCs w:val="19"/>
                <w:lang w:val="fr-FR"/>
              </w:rPr>
              <w:t xml:space="preserve"> lors des futures COP de la </w:t>
            </w:r>
            <w:r w:rsidR="007722E8" w:rsidRPr="00115A34">
              <w:rPr>
                <w:sz w:val="19"/>
                <w:szCs w:val="19"/>
                <w:lang w:val="fr-FR"/>
              </w:rPr>
              <w:t>CMS.</w:t>
            </w:r>
          </w:p>
          <w:p w14:paraId="1A24A6F0" w14:textId="4D0C7AC8" w:rsidR="007722E8" w:rsidRPr="00115A34" w:rsidRDefault="007722E8" w:rsidP="005F7185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S</w:t>
            </w:r>
            <w:r w:rsidR="0020210D">
              <w:rPr>
                <w:sz w:val="19"/>
                <w:szCs w:val="19"/>
                <w:lang w:val="fr-FR"/>
              </w:rPr>
              <w:t>timuler l’</w:t>
            </w:r>
            <w:r w:rsidRPr="00115A34">
              <w:rPr>
                <w:sz w:val="19"/>
                <w:szCs w:val="19"/>
                <w:lang w:val="fr-FR"/>
              </w:rPr>
              <w:t xml:space="preserve">action </w:t>
            </w:r>
            <w:r w:rsidR="0020210D">
              <w:rPr>
                <w:sz w:val="19"/>
                <w:szCs w:val="19"/>
                <w:lang w:val="fr-FR"/>
              </w:rPr>
              <w:t>dans d’autres forums/groupes industriels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326B2D" w14:paraId="0473CC6C" w14:textId="77777777" w:rsidTr="00506507">
        <w:trPr>
          <w:jc w:val="center"/>
        </w:trPr>
        <w:tc>
          <w:tcPr>
            <w:tcW w:w="3005" w:type="dxa"/>
          </w:tcPr>
          <w:p w14:paraId="2627AF21" w14:textId="3E2F76EC" w:rsidR="007722E8" w:rsidRPr="00115A34" w:rsidRDefault="007722E8" w:rsidP="005F7185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 xml:space="preserve">CMS </w:t>
            </w:r>
            <w:r w:rsidR="0020210D">
              <w:rPr>
                <w:sz w:val="19"/>
                <w:szCs w:val="19"/>
                <w:lang w:val="fr-FR"/>
              </w:rPr>
              <w:t>« Pratiques suggérées pour la p</w:t>
            </w:r>
            <w:r w:rsidRPr="00115A34">
              <w:rPr>
                <w:sz w:val="19"/>
                <w:szCs w:val="19"/>
                <w:lang w:val="fr-FR"/>
              </w:rPr>
              <w:t xml:space="preserve">rotection </w:t>
            </w:r>
            <w:r w:rsidR="0020210D">
              <w:rPr>
                <w:sz w:val="19"/>
                <w:szCs w:val="19"/>
                <w:lang w:val="fr-FR"/>
              </w:rPr>
              <w:t>des oiseaux vis-à-vis des lignes électriques »</w:t>
            </w:r>
            <w:r w:rsidRPr="00115A34">
              <w:rPr>
                <w:sz w:val="19"/>
                <w:szCs w:val="19"/>
                <w:lang w:val="fr-FR"/>
              </w:rPr>
              <w:t xml:space="preserve"> - Document Inf.7.21 </w:t>
            </w:r>
            <w:r w:rsidR="0020210D">
              <w:rPr>
                <w:sz w:val="19"/>
                <w:szCs w:val="19"/>
                <w:lang w:val="fr-FR"/>
              </w:rPr>
              <w:t>de la</w:t>
            </w:r>
            <w:r w:rsidRPr="00115A34">
              <w:rPr>
                <w:sz w:val="19"/>
                <w:szCs w:val="19"/>
                <w:lang w:val="fr-FR"/>
              </w:rPr>
              <w:t xml:space="preserve"> COP 7 (2012)</w:t>
            </w:r>
            <w:r w:rsidR="0020210D">
              <w:rPr>
                <w:sz w:val="19"/>
                <w:szCs w:val="19"/>
                <w:lang w:val="fr-FR"/>
              </w:rPr>
              <w:t xml:space="preserve"> de la CMS</w:t>
            </w:r>
          </w:p>
        </w:tc>
        <w:tc>
          <w:tcPr>
            <w:tcW w:w="3005" w:type="dxa"/>
          </w:tcPr>
          <w:p w14:paraId="5B763D2F" w14:textId="1228C211" w:rsidR="007722E8" w:rsidRPr="00115A34" w:rsidRDefault="00481F3A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</w:t>
            </w:r>
            <w:r w:rsidR="0020210D">
              <w:rPr>
                <w:sz w:val="19"/>
                <w:szCs w:val="19"/>
                <w:lang w:val="fr-FR"/>
              </w:rPr>
              <w:t xml:space="preserve"> en préambule de la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R</w:t>
            </w:r>
            <w:r w:rsidR="0020210D">
              <w:rPr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solution </w:t>
            </w:r>
            <w:r w:rsidR="0020210D">
              <w:rPr>
                <w:sz w:val="19"/>
                <w:szCs w:val="19"/>
                <w:lang w:val="fr-FR"/>
              </w:rPr>
              <w:t>MOP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5.11 (2012) </w:t>
            </w:r>
            <w:r w:rsidR="0020210D">
              <w:rPr>
                <w:sz w:val="19"/>
                <w:szCs w:val="19"/>
                <w:lang w:val="fr-FR"/>
              </w:rPr>
              <w:t>sur les lignes électriques et les oiseaux</w:t>
            </w:r>
            <w:r w:rsidR="006E0384">
              <w:rPr>
                <w:sz w:val="19"/>
                <w:szCs w:val="19"/>
                <w:lang w:val="fr-FR"/>
              </w:rPr>
              <w:t xml:space="preserve"> d’eau</w:t>
            </w:r>
            <w:r w:rsidR="0020210D">
              <w:rPr>
                <w:sz w:val="19"/>
                <w:szCs w:val="19"/>
                <w:lang w:val="fr-FR"/>
              </w:rPr>
              <w:t xml:space="preserve"> migrateurs</w:t>
            </w:r>
          </w:p>
        </w:tc>
        <w:tc>
          <w:tcPr>
            <w:tcW w:w="3006" w:type="dxa"/>
          </w:tcPr>
          <w:p w14:paraId="621616C1" w14:textId="7B26DE30" w:rsidR="007722E8" w:rsidRPr="00115A34" w:rsidRDefault="0020210D" w:rsidP="005F7185">
            <w:pPr>
              <w:pStyle w:val="ListParagraph"/>
              <w:numPr>
                <w:ilvl w:val="0"/>
                <w:numId w:val="31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Examiner l</w:t>
            </w:r>
            <w:r w:rsidR="00E3730A">
              <w:rPr>
                <w:sz w:val="19"/>
                <w:szCs w:val="19"/>
                <w:lang w:val="fr-FR"/>
              </w:rPr>
              <w:t>a portée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7722E8" w:rsidRPr="00115A34">
              <w:rPr>
                <w:sz w:val="19"/>
                <w:szCs w:val="19"/>
                <w:lang w:val="fr-FR"/>
              </w:rPr>
              <w:t>/</w:t>
            </w:r>
            <w:r>
              <w:rPr>
                <w:sz w:val="19"/>
                <w:szCs w:val="19"/>
                <w:lang w:val="fr-FR"/>
              </w:rPr>
              <w:t>la qualité de la mise en œuvre</w:t>
            </w:r>
            <w:r w:rsidR="007722E8"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326B2D" w14:paraId="2A8AA66B" w14:textId="77777777" w:rsidTr="00506507">
        <w:trPr>
          <w:jc w:val="center"/>
        </w:trPr>
        <w:tc>
          <w:tcPr>
            <w:tcW w:w="3005" w:type="dxa"/>
          </w:tcPr>
          <w:p w14:paraId="69760AB2" w14:textId="2DFFAB0D" w:rsidR="007722E8" w:rsidRPr="00115A34" w:rsidRDefault="007722E8" w:rsidP="005F7185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R</w:t>
            </w:r>
            <w:r w:rsidR="0020210D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solution 10.11 (2011) </w:t>
            </w:r>
            <w:r w:rsidR="00126981">
              <w:rPr>
                <w:sz w:val="19"/>
                <w:szCs w:val="19"/>
                <w:lang w:val="fr-FR"/>
              </w:rPr>
              <w:t xml:space="preserve">de la CMS </w:t>
            </w:r>
            <w:r w:rsidR="0020210D">
              <w:rPr>
                <w:sz w:val="19"/>
                <w:szCs w:val="19"/>
                <w:lang w:val="fr-FR"/>
              </w:rPr>
              <w:t>sur les lignes électriques et les oiseaux migrateurs</w:t>
            </w:r>
          </w:p>
        </w:tc>
        <w:tc>
          <w:tcPr>
            <w:tcW w:w="3005" w:type="dxa"/>
          </w:tcPr>
          <w:p w14:paraId="70854918" w14:textId="06453BE5" w:rsidR="007722E8" w:rsidRPr="00115A34" w:rsidRDefault="00481F3A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</w:t>
            </w:r>
            <w:r w:rsidR="00E21CD6">
              <w:rPr>
                <w:sz w:val="19"/>
                <w:szCs w:val="19"/>
                <w:lang w:val="fr-FR"/>
              </w:rPr>
              <w:t>e</w:t>
            </w:r>
            <w:r w:rsidR="00126981">
              <w:rPr>
                <w:sz w:val="19"/>
                <w:szCs w:val="19"/>
                <w:lang w:val="fr-FR"/>
              </w:rPr>
              <w:t xml:space="preserve"> en préambule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</w:t>
            </w:r>
            <w:r w:rsidR="00126981">
              <w:rPr>
                <w:sz w:val="19"/>
                <w:szCs w:val="19"/>
                <w:lang w:val="fr-FR"/>
              </w:rPr>
              <w:t>de la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R</w:t>
            </w:r>
            <w:r w:rsidR="00126981">
              <w:rPr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solution </w:t>
            </w:r>
            <w:r w:rsidR="00126981">
              <w:rPr>
                <w:sz w:val="19"/>
                <w:szCs w:val="19"/>
                <w:lang w:val="fr-FR"/>
              </w:rPr>
              <w:t>MOP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5.11 (2012) </w:t>
            </w:r>
            <w:r w:rsidR="00126981">
              <w:rPr>
                <w:sz w:val="19"/>
                <w:szCs w:val="19"/>
                <w:lang w:val="fr-FR"/>
              </w:rPr>
              <w:t xml:space="preserve">sur les lignes électriques et les oiseaux </w:t>
            </w:r>
            <w:r w:rsidR="006E0384">
              <w:rPr>
                <w:sz w:val="19"/>
                <w:szCs w:val="19"/>
                <w:lang w:val="fr-FR"/>
              </w:rPr>
              <w:t xml:space="preserve">d’eau </w:t>
            </w:r>
            <w:r w:rsidR="00126981">
              <w:rPr>
                <w:sz w:val="19"/>
                <w:szCs w:val="19"/>
                <w:lang w:val="fr-FR"/>
              </w:rPr>
              <w:t>migrateurs</w:t>
            </w:r>
          </w:p>
        </w:tc>
        <w:tc>
          <w:tcPr>
            <w:tcW w:w="3006" w:type="dxa"/>
          </w:tcPr>
          <w:p w14:paraId="10189B9D" w14:textId="77777777" w:rsidR="00126981" w:rsidRPr="00115A34" w:rsidRDefault="00126981" w:rsidP="00126981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Les</w:t>
            </w:r>
            <w:r w:rsidRPr="00115A34">
              <w:rPr>
                <w:sz w:val="19"/>
                <w:szCs w:val="19"/>
                <w:lang w:val="fr-FR"/>
              </w:rPr>
              <w:t xml:space="preserve"> Parties </w:t>
            </w:r>
            <w:r>
              <w:rPr>
                <w:sz w:val="19"/>
                <w:szCs w:val="19"/>
                <w:lang w:val="fr-FR"/>
              </w:rPr>
              <w:t>à la CMS rendent compte de leurs</w:t>
            </w:r>
            <w:r w:rsidRPr="00115A34">
              <w:rPr>
                <w:sz w:val="19"/>
                <w:szCs w:val="19"/>
                <w:lang w:val="fr-FR"/>
              </w:rPr>
              <w:t xml:space="preserve"> action</w:t>
            </w:r>
            <w:r>
              <w:rPr>
                <w:sz w:val="19"/>
                <w:szCs w:val="19"/>
                <w:lang w:val="fr-FR"/>
              </w:rPr>
              <w:t>s par le biais des rapports nationaux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  <w:p w14:paraId="1B169DBE" w14:textId="2D20BF4C" w:rsidR="00126981" w:rsidRPr="00115A34" w:rsidRDefault="00E65BB6" w:rsidP="00126981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Suivi de la prise en compte </w:t>
            </w:r>
            <w:r w:rsidR="00126981">
              <w:rPr>
                <w:sz w:val="19"/>
                <w:szCs w:val="19"/>
                <w:lang w:val="fr-FR"/>
              </w:rPr>
              <w:t xml:space="preserve">lors des futures COP de la </w:t>
            </w:r>
            <w:r w:rsidR="00126981" w:rsidRPr="00115A34">
              <w:rPr>
                <w:sz w:val="19"/>
                <w:szCs w:val="19"/>
                <w:lang w:val="fr-FR"/>
              </w:rPr>
              <w:t>CMS.</w:t>
            </w:r>
          </w:p>
          <w:p w14:paraId="196DF632" w14:textId="4DAE5558" w:rsidR="007722E8" w:rsidRPr="00115A34" w:rsidRDefault="00126981" w:rsidP="00126981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S</w:t>
            </w:r>
            <w:r>
              <w:rPr>
                <w:sz w:val="19"/>
                <w:szCs w:val="19"/>
                <w:lang w:val="fr-FR"/>
              </w:rPr>
              <w:t>timuler l’</w:t>
            </w:r>
            <w:r w:rsidRPr="00115A34">
              <w:rPr>
                <w:sz w:val="19"/>
                <w:szCs w:val="19"/>
                <w:lang w:val="fr-FR"/>
              </w:rPr>
              <w:t xml:space="preserve">action </w:t>
            </w:r>
            <w:r>
              <w:rPr>
                <w:sz w:val="19"/>
                <w:szCs w:val="19"/>
                <w:lang w:val="fr-FR"/>
              </w:rPr>
              <w:t>dans d’autres forums/groupes industriels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326B2D" w14:paraId="60E87E37" w14:textId="77777777" w:rsidTr="00506507">
        <w:trPr>
          <w:jc w:val="center"/>
        </w:trPr>
        <w:tc>
          <w:tcPr>
            <w:tcW w:w="3005" w:type="dxa"/>
          </w:tcPr>
          <w:p w14:paraId="241F30F0" w14:textId="66530A5B" w:rsidR="007722E8" w:rsidRPr="00115A34" w:rsidRDefault="007722E8" w:rsidP="005F7185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R</w:t>
            </w:r>
            <w:r w:rsidR="00126981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solution 7.5 (2002) </w:t>
            </w:r>
            <w:r w:rsidR="00126981">
              <w:rPr>
                <w:sz w:val="19"/>
                <w:szCs w:val="19"/>
                <w:lang w:val="fr-FR"/>
              </w:rPr>
              <w:t xml:space="preserve">de la CMS sur les éoliennes et </w:t>
            </w:r>
            <w:r w:rsidR="008E5AB1">
              <w:rPr>
                <w:sz w:val="19"/>
                <w:szCs w:val="19"/>
                <w:lang w:val="fr-FR"/>
              </w:rPr>
              <w:t>les</w:t>
            </w:r>
            <w:r w:rsidR="00126981">
              <w:rPr>
                <w:sz w:val="19"/>
                <w:szCs w:val="19"/>
                <w:lang w:val="fr-FR"/>
              </w:rPr>
              <w:t xml:space="preserve"> espèces migratrices</w:t>
            </w:r>
          </w:p>
        </w:tc>
        <w:tc>
          <w:tcPr>
            <w:tcW w:w="3005" w:type="dxa"/>
          </w:tcPr>
          <w:p w14:paraId="5BA52766" w14:textId="291768CE" w:rsidR="007722E8" w:rsidRPr="00115A34" w:rsidRDefault="00481F3A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</w:t>
            </w:r>
            <w:r w:rsidR="00E21CD6">
              <w:rPr>
                <w:sz w:val="19"/>
                <w:szCs w:val="19"/>
                <w:lang w:val="fr-FR"/>
              </w:rPr>
              <w:t>e</w:t>
            </w:r>
            <w:r w:rsidR="00126981">
              <w:rPr>
                <w:sz w:val="19"/>
                <w:szCs w:val="19"/>
                <w:lang w:val="fr-FR"/>
              </w:rPr>
              <w:t xml:space="preserve"> en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pr</w:t>
            </w:r>
            <w:r w:rsidR="00126981">
              <w:rPr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sz w:val="19"/>
                <w:szCs w:val="19"/>
                <w:lang w:val="fr-FR"/>
              </w:rPr>
              <w:t>amb</w:t>
            </w:r>
            <w:r w:rsidR="00126981">
              <w:rPr>
                <w:sz w:val="19"/>
                <w:szCs w:val="19"/>
                <w:lang w:val="fr-FR"/>
              </w:rPr>
              <w:t>u</w:t>
            </w:r>
            <w:r w:rsidR="007722E8" w:rsidRPr="00115A34">
              <w:rPr>
                <w:sz w:val="19"/>
                <w:szCs w:val="19"/>
                <w:lang w:val="fr-FR"/>
              </w:rPr>
              <w:t>le</w:t>
            </w:r>
            <w:r w:rsidR="00126981">
              <w:rPr>
                <w:sz w:val="19"/>
                <w:szCs w:val="19"/>
                <w:lang w:val="fr-FR"/>
              </w:rPr>
              <w:t xml:space="preserve"> des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R</w:t>
            </w:r>
            <w:r w:rsidR="00126981">
              <w:rPr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sz w:val="19"/>
                <w:szCs w:val="19"/>
                <w:lang w:val="fr-FR"/>
              </w:rPr>
              <w:t>solution</w:t>
            </w:r>
            <w:r w:rsidR="00126981">
              <w:rPr>
                <w:sz w:val="19"/>
                <w:szCs w:val="19"/>
                <w:lang w:val="fr-FR"/>
              </w:rPr>
              <w:t>s MOP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5.16 (2012) </w:t>
            </w:r>
            <w:r w:rsidR="00126981">
              <w:rPr>
                <w:sz w:val="19"/>
                <w:szCs w:val="19"/>
                <w:lang w:val="fr-FR"/>
              </w:rPr>
              <w:t>sur l</w:t>
            </w:r>
            <w:r w:rsidR="008E5AB1">
              <w:rPr>
                <w:sz w:val="19"/>
                <w:szCs w:val="19"/>
                <w:lang w:val="fr-FR"/>
              </w:rPr>
              <w:t>’</w:t>
            </w:r>
            <w:r w:rsidR="00126981">
              <w:rPr>
                <w:sz w:val="19"/>
                <w:szCs w:val="19"/>
                <w:lang w:val="fr-FR"/>
              </w:rPr>
              <w:t>énergie renouvelable</w:t>
            </w:r>
            <w:r w:rsidR="008E5AB1">
              <w:rPr>
                <w:sz w:val="19"/>
                <w:szCs w:val="19"/>
                <w:lang w:val="fr-FR"/>
              </w:rPr>
              <w:t xml:space="preserve"> et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</w:t>
            </w:r>
            <w:r w:rsidR="008E5AB1">
              <w:rPr>
                <w:sz w:val="19"/>
                <w:szCs w:val="19"/>
                <w:lang w:val="fr-FR"/>
              </w:rPr>
              <w:t xml:space="preserve">les oiseaux </w:t>
            </w:r>
            <w:r w:rsidR="006E0384">
              <w:rPr>
                <w:sz w:val="19"/>
                <w:szCs w:val="19"/>
                <w:lang w:val="fr-FR"/>
              </w:rPr>
              <w:lastRenderedPageBreak/>
              <w:t xml:space="preserve">d’eau </w:t>
            </w:r>
            <w:r w:rsidR="008E5AB1">
              <w:rPr>
                <w:sz w:val="19"/>
                <w:szCs w:val="19"/>
                <w:lang w:val="fr-FR"/>
              </w:rPr>
              <w:t>migrateurs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</w:t>
            </w:r>
            <w:r w:rsidR="008E5AB1">
              <w:rPr>
                <w:sz w:val="19"/>
                <w:szCs w:val="19"/>
                <w:lang w:val="fr-FR"/>
              </w:rPr>
              <w:t>et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</w:t>
            </w:r>
            <w:r w:rsidR="003F130B">
              <w:rPr>
                <w:sz w:val="19"/>
                <w:szCs w:val="19"/>
                <w:lang w:val="fr-FR"/>
              </w:rPr>
              <w:t>MOP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6.11 (2015) </w:t>
            </w:r>
            <w:r w:rsidR="008E5AB1">
              <w:rPr>
                <w:sz w:val="19"/>
                <w:szCs w:val="19"/>
                <w:lang w:val="fr-FR"/>
              </w:rPr>
              <w:t xml:space="preserve">sur la façon </w:t>
            </w:r>
            <w:r w:rsidR="008E5AB1">
              <w:rPr>
                <w:sz w:val="20"/>
                <w:szCs w:val="20"/>
                <w:lang w:val="fr-FR"/>
              </w:rPr>
              <w:t>dont gérer les incidences du déploiement des énergies renouvelables sur les oiseaux d’eau</w:t>
            </w:r>
          </w:p>
        </w:tc>
        <w:tc>
          <w:tcPr>
            <w:tcW w:w="3006" w:type="dxa"/>
          </w:tcPr>
          <w:p w14:paraId="729510BB" w14:textId="77777777" w:rsidR="008E5AB1" w:rsidRPr="00115A34" w:rsidRDefault="008E5AB1" w:rsidP="008E5AB1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lastRenderedPageBreak/>
              <w:t>Les</w:t>
            </w:r>
            <w:r w:rsidRPr="00115A34">
              <w:rPr>
                <w:sz w:val="19"/>
                <w:szCs w:val="19"/>
                <w:lang w:val="fr-FR"/>
              </w:rPr>
              <w:t xml:space="preserve"> Parties </w:t>
            </w:r>
            <w:r>
              <w:rPr>
                <w:sz w:val="19"/>
                <w:szCs w:val="19"/>
                <w:lang w:val="fr-FR"/>
              </w:rPr>
              <w:t>à la CMS rendent compte de leurs</w:t>
            </w:r>
            <w:r w:rsidRPr="00115A34">
              <w:rPr>
                <w:sz w:val="19"/>
                <w:szCs w:val="19"/>
                <w:lang w:val="fr-FR"/>
              </w:rPr>
              <w:t xml:space="preserve"> action</w:t>
            </w:r>
            <w:r>
              <w:rPr>
                <w:sz w:val="19"/>
                <w:szCs w:val="19"/>
                <w:lang w:val="fr-FR"/>
              </w:rPr>
              <w:t>s par le biais des rapports nationaux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  <w:p w14:paraId="5BAFC798" w14:textId="257472D4" w:rsidR="008E5AB1" w:rsidRPr="00115A34" w:rsidRDefault="00E65BB6" w:rsidP="008E5AB1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lastRenderedPageBreak/>
              <w:t xml:space="preserve">Suivi de la prise en compte </w:t>
            </w:r>
            <w:r w:rsidR="008E5AB1">
              <w:rPr>
                <w:sz w:val="19"/>
                <w:szCs w:val="19"/>
                <w:lang w:val="fr-FR"/>
              </w:rPr>
              <w:t xml:space="preserve">lors des futures COP de la </w:t>
            </w:r>
            <w:r w:rsidR="008E5AB1" w:rsidRPr="00115A34">
              <w:rPr>
                <w:sz w:val="19"/>
                <w:szCs w:val="19"/>
                <w:lang w:val="fr-FR"/>
              </w:rPr>
              <w:t>CMS.</w:t>
            </w:r>
          </w:p>
          <w:p w14:paraId="4006D364" w14:textId="0188F98D" w:rsidR="007722E8" w:rsidRPr="00115A34" w:rsidRDefault="008E5AB1" w:rsidP="008E5AB1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S</w:t>
            </w:r>
            <w:r>
              <w:rPr>
                <w:sz w:val="19"/>
                <w:szCs w:val="19"/>
                <w:lang w:val="fr-FR"/>
              </w:rPr>
              <w:t>timuler l’</w:t>
            </w:r>
            <w:r w:rsidRPr="00115A34">
              <w:rPr>
                <w:sz w:val="19"/>
                <w:szCs w:val="19"/>
                <w:lang w:val="fr-FR"/>
              </w:rPr>
              <w:t xml:space="preserve">action </w:t>
            </w:r>
            <w:r>
              <w:rPr>
                <w:sz w:val="19"/>
                <w:szCs w:val="19"/>
                <w:lang w:val="fr-FR"/>
              </w:rPr>
              <w:t>dans d’autres forums/groupes industriels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326B2D" w14:paraId="0EB3B39C" w14:textId="77777777" w:rsidTr="00506507">
        <w:trPr>
          <w:jc w:val="center"/>
        </w:trPr>
        <w:tc>
          <w:tcPr>
            <w:tcW w:w="3005" w:type="dxa"/>
          </w:tcPr>
          <w:p w14:paraId="523EEA7B" w14:textId="63995C6B" w:rsidR="007722E8" w:rsidRPr="00115A34" w:rsidRDefault="008E5AB1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lastRenderedPageBreak/>
              <w:t>Ré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solution 10.11 (2011) </w:t>
            </w:r>
            <w:r>
              <w:rPr>
                <w:sz w:val="19"/>
                <w:szCs w:val="19"/>
                <w:lang w:val="fr-FR"/>
              </w:rPr>
              <w:t>de la CMS sur les éoliennes et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 xml:space="preserve">les espèces </w:t>
            </w:r>
            <w:r w:rsidR="007722E8" w:rsidRPr="00115A34">
              <w:rPr>
                <w:sz w:val="19"/>
                <w:szCs w:val="19"/>
                <w:lang w:val="fr-FR"/>
              </w:rPr>
              <w:t>migrat</w:t>
            </w:r>
            <w:r>
              <w:rPr>
                <w:sz w:val="19"/>
                <w:szCs w:val="19"/>
                <w:lang w:val="fr-FR"/>
              </w:rPr>
              <w:t>rice</w:t>
            </w:r>
            <w:r w:rsidR="007722E8" w:rsidRPr="00115A34">
              <w:rPr>
                <w:sz w:val="19"/>
                <w:szCs w:val="19"/>
                <w:lang w:val="fr-FR"/>
              </w:rPr>
              <w:t>s</w:t>
            </w:r>
          </w:p>
        </w:tc>
        <w:tc>
          <w:tcPr>
            <w:tcW w:w="3005" w:type="dxa"/>
          </w:tcPr>
          <w:p w14:paraId="52B65D1B" w14:textId="021C6B8D" w:rsidR="007722E8" w:rsidRPr="00115A34" w:rsidRDefault="00481F3A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</w:t>
            </w:r>
            <w:r w:rsidR="00E21CD6">
              <w:rPr>
                <w:sz w:val="19"/>
                <w:szCs w:val="19"/>
                <w:lang w:val="fr-FR"/>
              </w:rPr>
              <w:t>e</w:t>
            </w:r>
            <w:r w:rsidR="008E5AB1">
              <w:rPr>
                <w:sz w:val="19"/>
                <w:szCs w:val="19"/>
                <w:lang w:val="fr-FR"/>
              </w:rPr>
              <w:t xml:space="preserve"> en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pr</w:t>
            </w:r>
            <w:r w:rsidR="008E5AB1">
              <w:rPr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sz w:val="19"/>
                <w:szCs w:val="19"/>
                <w:lang w:val="fr-FR"/>
              </w:rPr>
              <w:t>amb</w:t>
            </w:r>
            <w:r w:rsidR="008E5AB1">
              <w:rPr>
                <w:sz w:val="19"/>
                <w:szCs w:val="19"/>
                <w:lang w:val="fr-FR"/>
              </w:rPr>
              <w:t>u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le </w:t>
            </w:r>
            <w:r w:rsidR="008E5AB1">
              <w:rPr>
                <w:sz w:val="19"/>
                <w:szCs w:val="19"/>
                <w:lang w:val="fr-FR"/>
              </w:rPr>
              <w:t>de la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R</w:t>
            </w:r>
            <w:r w:rsidR="008E5AB1">
              <w:rPr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solutions </w:t>
            </w:r>
            <w:r w:rsidR="003F130B">
              <w:rPr>
                <w:sz w:val="19"/>
                <w:szCs w:val="19"/>
                <w:lang w:val="fr-FR"/>
              </w:rPr>
              <w:t>MOP</w:t>
            </w:r>
            <w:r w:rsidR="007722E8" w:rsidRPr="00115A34">
              <w:rPr>
                <w:sz w:val="19"/>
                <w:szCs w:val="19"/>
                <w:lang w:val="fr-FR"/>
              </w:rPr>
              <w:t>5.16 (2012)</w:t>
            </w:r>
            <w:r w:rsidR="007C644D">
              <w:rPr>
                <w:sz w:val="19"/>
                <w:szCs w:val="19"/>
                <w:lang w:val="fr-FR"/>
              </w:rPr>
              <w:t xml:space="preserve"> sur l’énergie renouvelable et les oiseaux </w:t>
            </w:r>
            <w:r w:rsidR="006E0384">
              <w:rPr>
                <w:sz w:val="19"/>
                <w:szCs w:val="19"/>
                <w:lang w:val="fr-FR"/>
              </w:rPr>
              <w:t>d’eau migrateurs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</w:t>
            </w:r>
            <w:r w:rsidR="006E0384">
              <w:rPr>
                <w:sz w:val="19"/>
                <w:szCs w:val="19"/>
                <w:lang w:val="fr-FR"/>
              </w:rPr>
              <w:t>et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</w:t>
            </w:r>
            <w:r w:rsidR="003F130B">
              <w:rPr>
                <w:sz w:val="19"/>
                <w:szCs w:val="19"/>
                <w:lang w:val="fr-FR"/>
              </w:rPr>
              <w:t>MOP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6.11 (2015) </w:t>
            </w:r>
            <w:r w:rsidR="006E0384">
              <w:rPr>
                <w:sz w:val="19"/>
                <w:szCs w:val="19"/>
                <w:lang w:val="fr-FR"/>
              </w:rPr>
              <w:t xml:space="preserve">sur la façon </w:t>
            </w:r>
            <w:r w:rsidR="006E0384">
              <w:rPr>
                <w:sz w:val="20"/>
                <w:szCs w:val="20"/>
                <w:lang w:val="fr-FR"/>
              </w:rPr>
              <w:t>dont gérer les incidences du déploiement des énergies renouvelables sur les oiseaux d’eau</w:t>
            </w:r>
            <w:r w:rsidR="006E0384" w:rsidRPr="00115A34">
              <w:rPr>
                <w:rStyle w:val="FootnoteReference"/>
                <w:sz w:val="19"/>
                <w:szCs w:val="19"/>
                <w:lang w:val="fr-FR"/>
              </w:rPr>
              <w:t xml:space="preserve"> </w:t>
            </w:r>
            <w:r w:rsidR="007722E8" w:rsidRPr="00115A34">
              <w:rPr>
                <w:rStyle w:val="FootnoteReference"/>
                <w:sz w:val="19"/>
                <w:szCs w:val="19"/>
                <w:lang w:val="fr-FR"/>
              </w:rPr>
              <w:footnoteReference w:id="1"/>
            </w:r>
          </w:p>
        </w:tc>
        <w:tc>
          <w:tcPr>
            <w:tcW w:w="3006" w:type="dxa"/>
          </w:tcPr>
          <w:p w14:paraId="14506BFA" w14:textId="77777777" w:rsidR="008E5AB1" w:rsidRPr="00115A34" w:rsidRDefault="008E5AB1" w:rsidP="008E5AB1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Les</w:t>
            </w:r>
            <w:r w:rsidRPr="00115A34">
              <w:rPr>
                <w:sz w:val="19"/>
                <w:szCs w:val="19"/>
                <w:lang w:val="fr-FR"/>
              </w:rPr>
              <w:t xml:space="preserve"> Parties </w:t>
            </w:r>
            <w:r>
              <w:rPr>
                <w:sz w:val="19"/>
                <w:szCs w:val="19"/>
                <w:lang w:val="fr-FR"/>
              </w:rPr>
              <w:t>à la CMS rendent compte de leurs</w:t>
            </w:r>
            <w:r w:rsidRPr="00115A34">
              <w:rPr>
                <w:sz w:val="19"/>
                <w:szCs w:val="19"/>
                <w:lang w:val="fr-FR"/>
              </w:rPr>
              <w:t xml:space="preserve"> action</w:t>
            </w:r>
            <w:r>
              <w:rPr>
                <w:sz w:val="19"/>
                <w:szCs w:val="19"/>
                <w:lang w:val="fr-FR"/>
              </w:rPr>
              <w:t>s par le biais des rapports nationaux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  <w:p w14:paraId="6C4B0001" w14:textId="02DFAB40" w:rsidR="008E5AB1" w:rsidRPr="00115A34" w:rsidRDefault="00E65BB6" w:rsidP="008E5AB1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Suivi de la prise en compte </w:t>
            </w:r>
            <w:r w:rsidR="008E5AB1">
              <w:rPr>
                <w:sz w:val="19"/>
                <w:szCs w:val="19"/>
                <w:lang w:val="fr-FR"/>
              </w:rPr>
              <w:t xml:space="preserve">lors des futures COP de la </w:t>
            </w:r>
            <w:r w:rsidR="008E5AB1" w:rsidRPr="00115A34">
              <w:rPr>
                <w:sz w:val="19"/>
                <w:szCs w:val="19"/>
                <w:lang w:val="fr-FR"/>
              </w:rPr>
              <w:t>CMS.</w:t>
            </w:r>
          </w:p>
          <w:p w14:paraId="44551281" w14:textId="144C0A52" w:rsidR="007722E8" w:rsidRPr="00115A34" w:rsidRDefault="008E5AB1" w:rsidP="008E5AB1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S</w:t>
            </w:r>
            <w:r>
              <w:rPr>
                <w:sz w:val="19"/>
                <w:szCs w:val="19"/>
                <w:lang w:val="fr-FR"/>
              </w:rPr>
              <w:t>timuler l’</w:t>
            </w:r>
            <w:r w:rsidRPr="00115A34">
              <w:rPr>
                <w:sz w:val="19"/>
                <w:szCs w:val="19"/>
                <w:lang w:val="fr-FR"/>
              </w:rPr>
              <w:t xml:space="preserve">action </w:t>
            </w:r>
            <w:r>
              <w:rPr>
                <w:sz w:val="19"/>
                <w:szCs w:val="19"/>
                <w:lang w:val="fr-FR"/>
              </w:rPr>
              <w:t>dans d’autres forums/groupes industriels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326B2D" w14:paraId="55734778" w14:textId="77777777" w:rsidTr="00506507">
        <w:trPr>
          <w:jc w:val="center"/>
        </w:trPr>
        <w:tc>
          <w:tcPr>
            <w:tcW w:w="3005" w:type="dxa"/>
          </w:tcPr>
          <w:p w14:paraId="1EFE2BDC" w14:textId="6D4C0370" w:rsidR="007722E8" w:rsidRPr="00115A34" w:rsidRDefault="007722E8" w:rsidP="005F7185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R</w:t>
            </w:r>
            <w:r w:rsidR="006E0384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solution 11.27 (2014) </w:t>
            </w:r>
            <w:r w:rsidR="006E0384">
              <w:rPr>
                <w:sz w:val="19"/>
                <w:szCs w:val="19"/>
                <w:lang w:val="fr-FR"/>
              </w:rPr>
              <w:t>de la CMS sur l’énergie renouvelable et les espèces migratrices</w:t>
            </w:r>
          </w:p>
        </w:tc>
        <w:tc>
          <w:tcPr>
            <w:tcW w:w="3005" w:type="dxa"/>
          </w:tcPr>
          <w:p w14:paraId="17E555A4" w14:textId="1756A2FE" w:rsidR="007722E8" w:rsidRPr="00115A34" w:rsidRDefault="00481F3A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</w:t>
            </w:r>
            <w:r w:rsidR="00E21CD6">
              <w:rPr>
                <w:sz w:val="19"/>
                <w:szCs w:val="19"/>
                <w:lang w:val="fr-FR"/>
              </w:rPr>
              <w:t>e</w:t>
            </w:r>
            <w:r w:rsidR="008C31CD">
              <w:rPr>
                <w:sz w:val="19"/>
                <w:szCs w:val="19"/>
                <w:lang w:val="fr-FR"/>
              </w:rPr>
              <w:t xml:space="preserve"> en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pr</w:t>
            </w:r>
            <w:r w:rsidR="008C31CD">
              <w:rPr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sz w:val="19"/>
                <w:szCs w:val="19"/>
                <w:lang w:val="fr-FR"/>
              </w:rPr>
              <w:t>amb</w:t>
            </w:r>
            <w:r w:rsidR="008C31CD">
              <w:rPr>
                <w:sz w:val="19"/>
                <w:szCs w:val="19"/>
                <w:lang w:val="fr-FR"/>
              </w:rPr>
              <w:t>u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le </w:t>
            </w:r>
            <w:r w:rsidR="008C31CD">
              <w:rPr>
                <w:sz w:val="19"/>
                <w:szCs w:val="19"/>
                <w:lang w:val="fr-FR"/>
              </w:rPr>
              <w:t>de la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R</w:t>
            </w:r>
            <w:r w:rsidR="008C31CD">
              <w:rPr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solution </w:t>
            </w:r>
            <w:r w:rsidR="008C31CD">
              <w:rPr>
                <w:sz w:val="19"/>
                <w:szCs w:val="19"/>
                <w:lang w:val="fr-FR"/>
              </w:rPr>
              <w:t>MOP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6.11 (2015) </w:t>
            </w:r>
            <w:r w:rsidR="008C31CD">
              <w:rPr>
                <w:sz w:val="19"/>
                <w:szCs w:val="19"/>
                <w:lang w:val="fr-FR"/>
              </w:rPr>
              <w:t xml:space="preserve">sur la façon </w:t>
            </w:r>
            <w:r w:rsidR="008C31CD">
              <w:rPr>
                <w:sz w:val="20"/>
                <w:szCs w:val="20"/>
                <w:lang w:val="fr-FR"/>
              </w:rPr>
              <w:t>dont gérer les incidences du déploiement des énergies renouvelables sur les oiseaux d’eau</w:t>
            </w:r>
          </w:p>
        </w:tc>
        <w:tc>
          <w:tcPr>
            <w:tcW w:w="3006" w:type="dxa"/>
          </w:tcPr>
          <w:p w14:paraId="339AB0AF" w14:textId="77777777" w:rsidR="008E5AB1" w:rsidRPr="00115A34" w:rsidRDefault="008E5AB1" w:rsidP="008E5AB1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Les</w:t>
            </w:r>
            <w:r w:rsidRPr="00115A34">
              <w:rPr>
                <w:sz w:val="19"/>
                <w:szCs w:val="19"/>
                <w:lang w:val="fr-FR"/>
              </w:rPr>
              <w:t xml:space="preserve"> Parties </w:t>
            </w:r>
            <w:r>
              <w:rPr>
                <w:sz w:val="19"/>
                <w:szCs w:val="19"/>
                <w:lang w:val="fr-FR"/>
              </w:rPr>
              <w:t>à la CMS rendent compte de leurs</w:t>
            </w:r>
            <w:r w:rsidRPr="00115A34">
              <w:rPr>
                <w:sz w:val="19"/>
                <w:szCs w:val="19"/>
                <w:lang w:val="fr-FR"/>
              </w:rPr>
              <w:t xml:space="preserve"> action</w:t>
            </w:r>
            <w:r>
              <w:rPr>
                <w:sz w:val="19"/>
                <w:szCs w:val="19"/>
                <w:lang w:val="fr-FR"/>
              </w:rPr>
              <w:t>s par le biais des rapports nationaux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  <w:p w14:paraId="5078FBC5" w14:textId="3A0B4B62" w:rsidR="008E5AB1" w:rsidRPr="00115A34" w:rsidRDefault="00E65BB6" w:rsidP="008E5AB1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Suivi de la prise en compte </w:t>
            </w:r>
            <w:r w:rsidR="008E5AB1">
              <w:rPr>
                <w:sz w:val="19"/>
                <w:szCs w:val="19"/>
                <w:lang w:val="fr-FR"/>
              </w:rPr>
              <w:t xml:space="preserve">lors des futures COP de la </w:t>
            </w:r>
            <w:r w:rsidR="008E5AB1" w:rsidRPr="00115A34">
              <w:rPr>
                <w:sz w:val="19"/>
                <w:szCs w:val="19"/>
                <w:lang w:val="fr-FR"/>
              </w:rPr>
              <w:t>CMS.</w:t>
            </w:r>
          </w:p>
          <w:p w14:paraId="78905E01" w14:textId="4C5F985F" w:rsidR="007722E8" w:rsidRPr="00115A34" w:rsidRDefault="008E5AB1" w:rsidP="008E5AB1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S</w:t>
            </w:r>
            <w:r>
              <w:rPr>
                <w:sz w:val="19"/>
                <w:szCs w:val="19"/>
                <w:lang w:val="fr-FR"/>
              </w:rPr>
              <w:t>timuler l’</w:t>
            </w:r>
            <w:r w:rsidRPr="00115A34">
              <w:rPr>
                <w:sz w:val="19"/>
                <w:szCs w:val="19"/>
                <w:lang w:val="fr-FR"/>
              </w:rPr>
              <w:t xml:space="preserve">action </w:t>
            </w:r>
            <w:r>
              <w:rPr>
                <w:sz w:val="19"/>
                <w:szCs w:val="19"/>
                <w:lang w:val="fr-FR"/>
              </w:rPr>
              <w:t>dans d’autres forums/groupes industriels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326B2D" w14:paraId="7A77432F" w14:textId="77777777" w:rsidTr="00506507">
        <w:trPr>
          <w:jc w:val="center"/>
        </w:trPr>
        <w:tc>
          <w:tcPr>
            <w:tcW w:w="3005" w:type="dxa"/>
          </w:tcPr>
          <w:p w14:paraId="4289B138" w14:textId="1180A1C3" w:rsidR="007722E8" w:rsidRPr="00115A34" w:rsidRDefault="008C31CD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Groupe de travail de la 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CMS </w:t>
            </w:r>
            <w:r>
              <w:rPr>
                <w:sz w:val="19"/>
                <w:szCs w:val="19"/>
                <w:lang w:val="fr-FR"/>
              </w:rPr>
              <w:t>sur l’énergie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(</w:t>
            </w:r>
            <w:r>
              <w:rPr>
                <w:sz w:val="19"/>
                <w:szCs w:val="19"/>
                <w:lang w:val="fr-FR"/>
              </w:rPr>
              <w:t>Groupe de travail sur la conciliation de certains développements dans le secteur de l’énergie avec la conservation des espèces migratrices</w:t>
            </w:r>
            <w:r w:rsidR="007722E8" w:rsidRPr="00115A34">
              <w:rPr>
                <w:sz w:val="19"/>
                <w:szCs w:val="19"/>
                <w:lang w:val="fr-FR"/>
              </w:rPr>
              <w:t>)</w:t>
            </w:r>
          </w:p>
        </w:tc>
        <w:tc>
          <w:tcPr>
            <w:tcW w:w="3005" w:type="dxa"/>
          </w:tcPr>
          <w:p w14:paraId="37607707" w14:textId="2BC43141" w:rsidR="007722E8" w:rsidRPr="00115A34" w:rsidRDefault="008C31CD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Section opérationnelle de la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R</w:t>
            </w:r>
            <w:r>
              <w:rPr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solution </w:t>
            </w:r>
            <w:r>
              <w:rPr>
                <w:sz w:val="19"/>
                <w:szCs w:val="19"/>
                <w:lang w:val="fr-FR"/>
              </w:rPr>
              <w:t>MOP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6.11 (2015) </w:t>
            </w:r>
            <w:r>
              <w:rPr>
                <w:sz w:val="19"/>
                <w:szCs w:val="19"/>
                <w:lang w:val="fr-FR"/>
              </w:rPr>
              <w:t xml:space="preserve">sur la façon </w:t>
            </w:r>
            <w:r>
              <w:rPr>
                <w:sz w:val="20"/>
                <w:szCs w:val="20"/>
                <w:lang w:val="fr-FR"/>
              </w:rPr>
              <w:t>dont gérer les incidences du déploiement des énergies renouvelables sur les oiseaux d’eau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–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qui charge le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Secr</w:t>
            </w:r>
            <w:r>
              <w:rPr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tariat </w:t>
            </w:r>
            <w:r>
              <w:rPr>
                <w:sz w:val="19"/>
                <w:szCs w:val="19"/>
                <w:lang w:val="fr-FR"/>
              </w:rPr>
              <w:t>de l’AEWA de rester impliqu</w:t>
            </w:r>
            <w:r w:rsidR="00E21CD6">
              <w:rPr>
                <w:sz w:val="19"/>
                <w:szCs w:val="19"/>
                <w:lang w:val="fr-FR"/>
              </w:rPr>
              <w:t>é</w:t>
            </w:r>
            <w:r>
              <w:rPr>
                <w:sz w:val="19"/>
                <w:szCs w:val="19"/>
                <w:lang w:val="fr-FR"/>
              </w:rPr>
              <w:t xml:space="preserve"> dans le groupe de travail</w:t>
            </w:r>
          </w:p>
        </w:tc>
        <w:tc>
          <w:tcPr>
            <w:tcW w:w="3006" w:type="dxa"/>
          </w:tcPr>
          <w:p w14:paraId="0AC31E8A" w14:textId="5C3A1556" w:rsidR="007722E8" w:rsidRPr="00115A34" w:rsidRDefault="00B360B2" w:rsidP="005F7185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Rôle direct dans le groupe de travail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, </w:t>
            </w:r>
            <w:r>
              <w:rPr>
                <w:sz w:val="19"/>
                <w:szCs w:val="19"/>
                <w:lang w:val="fr-FR"/>
              </w:rPr>
              <w:t>influençant les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positions/actions</w:t>
            </w:r>
            <w:r>
              <w:rPr>
                <w:sz w:val="19"/>
                <w:szCs w:val="19"/>
                <w:lang w:val="fr-FR"/>
              </w:rPr>
              <w:t xml:space="preserve"> communes</w:t>
            </w:r>
            <w:r w:rsidR="004C70BC"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115A34" w14:paraId="1C838AE3" w14:textId="77777777" w:rsidTr="00506507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4C5964F9" w14:textId="43F61CFF" w:rsidR="007722E8" w:rsidRPr="00115A34" w:rsidRDefault="007722E8" w:rsidP="005F7185">
            <w:pPr>
              <w:spacing w:before="20" w:after="20"/>
              <w:rPr>
                <w:b/>
                <w:i/>
                <w:color w:val="000066"/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</w:t>
            </w:r>
            <w:r w:rsidR="00B360B2">
              <w:rPr>
                <w:b/>
                <w:i/>
                <w:color w:val="000066"/>
                <w:sz w:val="19"/>
                <w:szCs w:val="19"/>
                <w:lang w:val="fr-FR"/>
              </w:rPr>
              <w:t>Lignes directrices communes</w:t>
            </w:r>
          </w:p>
        </w:tc>
      </w:tr>
      <w:tr w:rsidR="007722E8" w:rsidRPr="00326B2D" w14:paraId="68E20389" w14:textId="77777777" w:rsidTr="00506507">
        <w:trPr>
          <w:jc w:val="center"/>
        </w:trPr>
        <w:tc>
          <w:tcPr>
            <w:tcW w:w="3005" w:type="dxa"/>
          </w:tcPr>
          <w:p w14:paraId="7D73E58D" w14:textId="208C44CD" w:rsidR="007722E8" w:rsidRPr="00115A34" w:rsidRDefault="00B360B2" w:rsidP="005F7185">
            <w:pPr>
              <w:rPr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 xml:space="preserve">« Lignes directrices sur </w:t>
            </w:r>
            <w:r>
              <w:rPr>
                <w:sz w:val="20"/>
                <w:szCs w:val="20"/>
                <w:lang w:val="fr-FR"/>
              </w:rPr>
              <w:t>la façon d’éviter ou d’atténuer</w:t>
            </w:r>
            <w:r w:rsidRPr="00115A34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l’</w:t>
            </w:r>
            <w:r w:rsidRPr="00115A34">
              <w:rPr>
                <w:sz w:val="20"/>
                <w:szCs w:val="20"/>
                <w:lang w:val="fr-FR"/>
              </w:rPr>
              <w:t xml:space="preserve">impact </w:t>
            </w:r>
            <w:r>
              <w:rPr>
                <w:sz w:val="20"/>
                <w:szCs w:val="20"/>
                <w:lang w:val="fr-FR"/>
              </w:rPr>
              <w:t>des lignes électriques sur</w:t>
            </w:r>
            <w:r w:rsidRPr="00115A34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les oiseaux migrateurs dans la région d’</w:t>
            </w:r>
            <w:r w:rsidRPr="00115A34">
              <w:rPr>
                <w:sz w:val="20"/>
                <w:szCs w:val="20"/>
                <w:lang w:val="fr-FR"/>
              </w:rPr>
              <w:t>Afri</w:t>
            </w:r>
            <w:r>
              <w:rPr>
                <w:sz w:val="20"/>
                <w:szCs w:val="20"/>
                <w:lang w:val="fr-FR"/>
              </w:rPr>
              <w:t>que</w:t>
            </w:r>
            <w:r w:rsidRPr="00115A34">
              <w:rPr>
                <w:sz w:val="20"/>
                <w:szCs w:val="20"/>
                <w:lang w:val="fr-FR"/>
              </w:rPr>
              <w:t>-Eurasi</w:t>
            </w:r>
            <w:r>
              <w:rPr>
                <w:sz w:val="20"/>
                <w:szCs w:val="20"/>
                <w:lang w:val="fr-FR"/>
              </w:rPr>
              <w:t>e »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adopt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>e</w:t>
            </w:r>
            <w:r>
              <w:rPr>
                <w:color w:val="000000"/>
                <w:sz w:val="19"/>
                <w:szCs w:val="19"/>
                <w:lang w:val="fr-FR"/>
              </w:rPr>
              <w:t>s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par la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COP10 (2011)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 de la CMS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, </w:t>
            </w:r>
            <w:r>
              <w:rPr>
                <w:color w:val="000000"/>
                <w:sz w:val="19"/>
                <w:szCs w:val="19"/>
                <w:lang w:val="fr-FR"/>
              </w:rPr>
              <w:t>la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MOP5 (2012) </w:t>
            </w:r>
            <w:r>
              <w:rPr>
                <w:color w:val="000000"/>
                <w:sz w:val="19"/>
                <w:szCs w:val="19"/>
                <w:lang w:val="fr-FR"/>
              </w:rPr>
              <w:t>de l’AEWA et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54198B">
              <w:rPr>
                <w:color w:val="000000"/>
                <w:sz w:val="19"/>
                <w:szCs w:val="19"/>
                <w:lang w:val="fr-FR"/>
              </w:rPr>
              <w:t>la MoS1 du MdE Rapaces de la CMS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(2012)</w:t>
            </w:r>
          </w:p>
        </w:tc>
        <w:tc>
          <w:tcPr>
            <w:tcW w:w="3005" w:type="dxa"/>
          </w:tcPr>
          <w:p w14:paraId="623A502D" w14:textId="0CF815BA" w:rsidR="007722E8" w:rsidRPr="00115A34" w:rsidRDefault="00481F3A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</w:t>
            </w:r>
            <w:r w:rsidR="00E21CD6">
              <w:rPr>
                <w:sz w:val="19"/>
                <w:szCs w:val="19"/>
                <w:lang w:val="fr-FR"/>
              </w:rPr>
              <w:t>es</w:t>
            </w:r>
            <w:r w:rsidR="0054198B">
              <w:rPr>
                <w:sz w:val="19"/>
                <w:szCs w:val="19"/>
                <w:lang w:val="fr-FR"/>
              </w:rPr>
              <w:t xml:space="preserve"> en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pr</w:t>
            </w:r>
            <w:r w:rsidR="0054198B">
              <w:rPr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sz w:val="19"/>
                <w:szCs w:val="19"/>
                <w:lang w:val="fr-FR"/>
              </w:rPr>
              <w:t>amb</w:t>
            </w:r>
            <w:r w:rsidR="0054198B">
              <w:rPr>
                <w:sz w:val="19"/>
                <w:szCs w:val="19"/>
                <w:lang w:val="fr-FR"/>
              </w:rPr>
              <w:t>u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le </w:t>
            </w:r>
            <w:r w:rsidR="0054198B">
              <w:rPr>
                <w:sz w:val="19"/>
                <w:szCs w:val="19"/>
                <w:lang w:val="fr-FR"/>
              </w:rPr>
              <w:t>de la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R</w:t>
            </w:r>
            <w:r w:rsidR="0054198B">
              <w:rPr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solution </w:t>
            </w:r>
            <w:r w:rsidR="0054198B">
              <w:rPr>
                <w:sz w:val="19"/>
                <w:szCs w:val="19"/>
                <w:lang w:val="fr-FR"/>
              </w:rPr>
              <w:t>MOP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6.11 (2015) </w:t>
            </w:r>
            <w:r w:rsidR="0054198B">
              <w:rPr>
                <w:sz w:val="19"/>
                <w:szCs w:val="19"/>
                <w:lang w:val="fr-FR"/>
              </w:rPr>
              <w:t xml:space="preserve">sur la façon </w:t>
            </w:r>
            <w:r w:rsidR="0054198B">
              <w:rPr>
                <w:sz w:val="20"/>
                <w:szCs w:val="20"/>
                <w:lang w:val="fr-FR"/>
              </w:rPr>
              <w:t>dont gérer les incidences du déploiement des énergies renouvelables sur les oiseaux d’eau</w:t>
            </w:r>
          </w:p>
        </w:tc>
        <w:tc>
          <w:tcPr>
            <w:tcW w:w="3006" w:type="dxa"/>
          </w:tcPr>
          <w:p w14:paraId="7222B539" w14:textId="2C035607" w:rsidR="007722E8" w:rsidRPr="00115A34" w:rsidRDefault="0054198B" w:rsidP="005F7185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Examiner l</w:t>
            </w:r>
            <w:r w:rsidR="00E3730A">
              <w:rPr>
                <w:sz w:val="19"/>
                <w:szCs w:val="19"/>
                <w:lang w:val="fr-FR"/>
              </w:rPr>
              <w:t>a portée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7722E8" w:rsidRPr="00115A34">
              <w:rPr>
                <w:sz w:val="19"/>
                <w:szCs w:val="19"/>
                <w:lang w:val="fr-FR"/>
              </w:rPr>
              <w:t>/</w:t>
            </w:r>
            <w:r>
              <w:rPr>
                <w:sz w:val="19"/>
                <w:szCs w:val="19"/>
                <w:lang w:val="fr-FR"/>
              </w:rPr>
              <w:t xml:space="preserve">la </w:t>
            </w:r>
            <w:r w:rsidR="007722E8" w:rsidRPr="00115A34">
              <w:rPr>
                <w:sz w:val="19"/>
                <w:szCs w:val="19"/>
                <w:lang w:val="fr-FR"/>
              </w:rPr>
              <w:t>qualit</w:t>
            </w:r>
            <w:r>
              <w:rPr>
                <w:sz w:val="19"/>
                <w:szCs w:val="19"/>
                <w:lang w:val="fr-FR"/>
              </w:rPr>
              <w:t>é de la mise en œuvre</w:t>
            </w:r>
            <w:r w:rsidR="007722E8" w:rsidRPr="00115A34">
              <w:rPr>
                <w:sz w:val="19"/>
                <w:szCs w:val="19"/>
                <w:lang w:val="fr-FR"/>
              </w:rPr>
              <w:t>.</w:t>
            </w:r>
          </w:p>
          <w:p w14:paraId="388F349B" w14:textId="68CBBABA" w:rsidR="007722E8" w:rsidRPr="00115A34" w:rsidRDefault="007722E8" w:rsidP="005F7185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Promo</w:t>
            </w:r>
            <w:r w:rsidR="0054198B">
              <w:rPr>
                <w:sz w:val="19"/>
                <w:szCs w:val="19"/>
                <w:lang w:val="fr-FR"/>
              </w:rPr>
              <w:t>uvoir auprès d’autres forums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 </w:t>
            </w:r>
            <w:r w:rsidRPr="00115A34">
              <w:rPr>
                <w:sz w:val="19"/>
                <w:szCs w:val="19"/>
                <w:lang w:val="fr-FR"/>
              </w:rPr>
              <w:t>/</w:t>
            </w:r>
            <w:r w:rsidR="0054198B">
              <w:rPr>
                <w:sz w:val="19"/>
                <w:szCs w:val="19"/>
                <w:lang w:val="fr-FR"/>
              </w:rPr>
              <w:t>groupes industriels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326B2D" w14:paraId="355651F7" w14:textId="77777777" w:rsidTr="00506507">
        <w:trPr>
          <w:jc w:val="center"/>
        </w:trPr>
        <w:tc>
          <w:tcPr>
            <w:tcW w:w="3005" w:type="dxa"/>
          </w:tcPr>
          <w:p w14:paraId="41AE87D2" w14:textId="12132171" w:rsidR="007722E8" w:rsidRPr="00115A34" w:rsidRDefault="00AA278C" w:rsidP="005F7185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« 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Technologies </w:t>
            </w:r>
            <w:r>
              <w:rPr>
                <w:color w:val="000000"/>
                <w:sz w:val="19"/>
                <w:szCs w:val="19"/>
                <w:lang w:val="fr-FR"/>
              </w:rPr>
              <w:t>liées aux énergies renouvelables et espèces migratrices 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: </w:t>
            </w:r>
            <w:r>
              <w:rPr>
                <w:color w:val="000000"/>
                <w:sz w:val="19"/>
                <w:szCs w:val="19"/>
                <w:lang w:val="fr-FR"/>
              </w:rPr>
              <w:t>lignes directrices pour un déploiement durable »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adopt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>e</w:t>
            </w:r>
            <w:r>
              <w:rPr>
                <w:color w:val="000000"/>
                <w:sz w:val="19"/>
                <w:szCs w:val="19"/>
                <w:lang w:val="fr-FR"/>
              </w:rPr>
              <w:t>s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par la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R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solution </w:t>
            </w:r>
            <w:r>
              <w:rPr>
                <w:color w:val="000000"/>
                <w:sz w:val="19"/>
                <w:szCs w:val="19"/>
                <w:lang w:val="fr-FR"/>
              </w:rPr>
              <w:t>MOP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>6.5 (2015)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 de l’AEWA et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précédemment approuvées par la COP11 de la 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>CMS (2014)</w:t>
            </w:r>
          </w:p>
        </w:tc>
        <w:tc>
          <w:tcPr>
            <w:tcW w:w="3005" w:type="dxa"/>
          </w:tcPr>
          <w:p w14:paraId="5F9D5017" w14:textId="009C99E3" w:rsidR="007722E8" w:rsidRPr="00115A34" w:rsidRDefault="00481F3A" w:rsidP="005F7185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</w:t>
            </w:r>
            <w:r w:rsidR="00E21CD6">
              <w:rPr>
                <w:sz w:val="19"/>
                <w:szCs w:val="19"/>
                <w:lang w:val="fr-FR"/>
              </w:rPr>
              <w:t>es</w:t>
            </w:r>
            <w:r w:rsidR="0054198B">
              <w:rPr>
                <w:sz w:val="19"/>
                <w:szCs w:val="19"/>
                <w:lang w:val="fr-FR"/>
              </w:rPr>
              <w:t xml:space="preserve"> en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 pr</w:t>
            </w:r>
            <w:r w:rsidR="0054198B">
              <w:rPr>
                <w:sz w:val="19"/>
                <w:szCs w:val="19"/>
                <w:lang w:val="fr-FR"/>
              </w:rPr>
              <w:t>é</w:t>
            </w:r>
            <w:r w:rsidR="0054198B" w:rsidRPr="00115A34">
              <w:rPr>
                <w:sz w:val="19"/>
                <w:szCs w:val="19"/>
                <w:lang w:val="fr-FR"/>
              </w:rPr>
              <w:t>amb</w:t>
            </w:r>
            <w:r w:rsidR="0054198B">
              <w:rPr>
                <w:sz w:val="19"/>
                <w:szCs w:val="19"/>
                <w:lang w:val="fr-FR"/>
              </w:rPr>
              <w:t>u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le </w:t>
            </w:r>
            <w:r w:rsidR="0054198B">
              <w:rPr>
                <w:sz w:val="19"/>
                <w:szCs w:val="19"/>
                <w:lang w:val="fr-FR"/>
              </w:rPr>
              <w:t>de la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 R</w:t>
            </w:r>
            <w:r w:rsidR="0054198B">
              <w:rPr>
                <w:sz w:val="19"/>
                <w:szCs w:val="19"/>
                <w:lang w:val="fr-FR"/>
              </w:rPr>
              <w:t>é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solution </w:t>
            </w:r>
            <w:r w:rsidR="0054198B">
              <w:rPr>
                <w:sz w:val="19"/>
                <w:szCs w:val="19"/>
                <w:lang w:val="fr-FR"/>
              </w:rPr>
              <w:t>MOP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6.11 (2015) </w:t>
            </w:r>
            <w:r w:rsidR="0054198B">
              <w:rPr>
                <w:sz w:val="19"/>
                <w:szCs w:val="19"/>
                <w:lang w:val="fr-FR"/>
              </w:rPr>
              <w:t xml:space="preserve">sur la façon </w:t>
            </w:r>
            <w:r w:rsidR="0054198B">
              <w:rPr>
                <w:sz w:val="20"/>
                <w:szCs w:val="20"/>
                <w:lang w:val="fr-FR"/>
              </w:rPr>
              <w:t>dont gérer les incidences du déploiement des énergies renouvelables sur les oiseaux d’eau</w:t>
            </w:r>
          </w:p>
        </w:tc>
        <w:tc>
          <w:tcPr>
            <w:tcW w:w="3006" w:type="dxa"/>
          </w:tcPr>
          <w:p w14:paraId="23068A51" w14:textId="5A53AFBC" w:rsidR="0054198B" w:rsidRPr="00115A34" w:rsidRDefault="0054198B" w:rsidP="0054198B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Examiner l</w:t>
            </w:r>
            <w:r w:rsidR="00E3730A">
              <w:rPr>
                <w:sz w:val="19"/>
                <w:szCs w:val="19"/>
                <w:lang w:val="fr-FR"/>
              </w:rPr>
              <w:t>a portée</w:t>
            </w:r>
            <w:r w:rsidRPr="00115A34">
              <w:rPr>
                <w:sz w:val="19"/>
                <w:szCs w:val="19"/>
                <w:lang w:val="fr-FR"/>
              </w:rPr>
              <w:t xml:space="preserve"> /</w:t>
            </w:r>
            <w:r>
              <w:rPr>
                <w:sz w:val="19"/>
                <w:szCs w:val="19"/>
                <w:lang w:val="fr-FR"/>
              </w:rPr>
              <w:t xml:space="preserve">la </w:t>
            </w:r>
            <w:r w:rsidRPr="00115A34">
              <w:rPr>
                <w:sz w:val="19"/>
                <w:szCs w:val="19"/>
                <w:lang w:val="fr-FR"/>
              </w:rPr>
              <w:t>qualit</w:t>
            </w:r>
            <w:r>
              <w:rPr>
                <w:sz w:val="19"/>
                <w:szCs w:val="19"/>
                <w:lang w:val="fr-FR"/>
              </w:rPr>
              <w:t>é de la mise en œuvre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  <w:p w14:paraId="42E70FCF" w14:textId="4CF5117A" w:rsidR="007722E8" w:rsidRPr="00115A34" w:rsidRDefault="0054198B" w:rsidP="0054198B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Promo</w:t>
            </w:r>
            <w:r>
              <w:rPr>
                <w:sz w:val="19"/>
                <w:szCs w:val="19"/>
                <w:lang w:val="fr-FR"/>
              </w:rPr>
              <w:t>uvoir auprès d’autres forums</w:t>
            </w:r>
            <w:r w:rsidRPr="00115A34">
              <w:rPr>
                <w:sz w:val="19"/>
                <w:szCs w:val="19"/>
                <w:lang w:val="fr-FR"/>
              </w:rPr>
              <w:t xml:space="preserve"> /</w:t>
            </w:r>
            <w:r>
              <w:rPr>
                <w:sz w:val="19"/>
                <w:szCs w:val="19"/>
                <w:lang w:val="fr-FR"/>
              </w:rPr>
              <w:t>groupes industriels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326B2D" w14:paraId="20066B12" w14:textId="77777777" w:rsidTr="00506507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26EAFD5C" w14:textId="5EF00388" w:rsidR="007722E8" w:rsidRPr="00115A34" w:rsidRDefault="007722E8" w:rsidP="005F7185">
            <w:pPr>
              <w:spacing w:before="20" w:after="20"/>
              <w:rPr>
                <w:b/>
                <w:i/>
                <w:color w:val="000066"/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Convention </w:t>
            </w:r>
            <w:r w:rsidR="00AA278C">
              <w:rPr>
                <w:b/>
                <w:i/>
                <w:color w:val="000066"/>
                <w:sz w:val="19"/>
                <w:szCs w:val="19"/>
                <w:lang w:val="fr-FR"/>
              </w:rPr>
              <w:t>sur la diversité biologique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(C</w:t>
            </w:r>
            <w:r w:rsidR="00AA278C">
              <w:rPr>
                <w:b/>
                <w:i/>
                <w:color w:val="000066"/>
                <w:sz w:val="19"/>
                <w:szCs w:val="19"/>
                <w:lang w:val="fr-FR"/>
              </w:rPr>
              <w:t>D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>B)</w:t>
            </w:r>
          </w:p>
        </w:tc>
      </w:tr>
      <w:tr w:rsidR="007722E8" w:rsidRPr="00326B2D" w14:paraId="61A71601" w14:textId="77777777" w:rsidTr="00506507">
        <w:trPr>
          <w:jc w:val="center"/>
        </w:trPr>
        <w:tc>
          <w:tcPr>
            <w:tcW w:w="3005" w:type="dxa"/>
          </w:tcPr>
          <w:p w14:paraId="3146514E" w14:textId="62F2404B" w:rsidR="007722E8" w:rsidRPr="00115A34" w:rsidRDefault="00AA278C" w:rsidP="005F7185">
            <w:pPr>
              <w:rPr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L’a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rticle 14 </w:t>
            </w:r>
            <w:r>
              <w:rPr>
                <w:color w:val="000000"/>
                <w:sz w:val="19"/>
                <w:szCs w:val="19"/>
                <w:lang w:val="fr-FR"/>
              </w:rPr>
              <w:t>de la CDB demande aux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Parties </w:t>
            </w:r>
            <w:r w:rsidR="00C351A8">
              <w:rPr>
                <w:color w:val="000000"/>
                <w:sz w:val="19"/>
                <w:szCs w:val="19"/>
                <w:lang w:val="fr-FR"/>
              </w:rPr>
              <w:t>d’avoir des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proc</w:t>
            </w:r>
            <w:r w:rsidR="00C351A8">
              <w:rPr>
                <w:color w:val="000000"/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>dures</w:t>
            </w:r>
            <w:r w:rsidR="00C351A8">
              <w:rPr>
                <w:color w:val="000000"/>
                <w:sz w:val="19"/>
                <w:szCs w:val="19"/>
                <w:lang w:val="fr-FR"/>
              </w:rPr>
              <w:t xml:space="preserve"> pour réaliser des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C351A8">
              <w:rPr>
                <w:color w:val="000000"/>
                <w:sz w:val="19"/>
                <w:szCs w:val="19"/>
                <w:lang w:val="fr-FR"/>
              </w:rPr>
              <w:t>Évaluations d’impact environnement</w:t>
            </w:r>
            <w:r w:rsidR="00742CE0">
              <w:rPr>
                <w:color w:val="000000"/>
                <w:sz w:val="19"/>
                <w:szCs w:val="19"/>
                <w:lang w:val="fr-FR"/>
              </w:rPr>
              <w:t>al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(EI</w:t>
            </w:r>
            <w:r w:rsidR="00742CE0">
              <w:rPr>
                <w:color w:val="000000"/>
                <w:sz w:val="19"/>
                <w:szCs w:val="19"/>
                <w:lang w:val="fr-FR"/>
              </w:rPr>
              <w:t>E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) </w:t>
            </w:r>
            <w:r w:rsidR="00742CE0">
              <w:rPr>
                <w:color w:val="000000"/>
                <w:sz w:val="19"/>
                <w:szCs w:val="19"/>
                <w:lang w:val="fr-FR"/>
              </w:rPr>
              <w:t xml:space="preserve">pour les projets semblant avoir un 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impact </w:t>
            </w:r>
            <w:r w:rsidR="00742CE0">
              <w:rPr>
                <w:color w:val="000000"/>
                <w:sz w:val="19"/>
                <w:szCs w:val="19"/>
                <w:lang w:val="fr-FR"/>
              </w:rPr>
              <w:t>défavorable important sur la biodiversité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.  </w:t>
            </w:r>
            <w:r w:rsidR="00742CE0">
              <w:rPr>
                <w:color w:val="000000"/>
                <w:sz w:val="19"/>
                <w:szCs w:val="19"/>
                <w:lang w:val="fr-FR"/>
              </w:rPr>
              <w:t xml:space="preserve">La COP de la 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>CD</w:t>
            </w:r>
            <w:r w:rsidR="00742CE0">
              <w:rPr>
                <w:color w:val="000000"/>
                <w:sz w:val="19"/>
                <w:szCs w:val="19"/>
                <w:lang w:val="fr-FR"/>
              </w:rPr>
              <w:t>B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742CE0">
              <w:rPr>
                <w:color w:val="000000"/>
                <w:sz w:val="19"/>
                <w:szCs w:val="19"/>
                <w:lang w:val="fr-FR"/>
              </w:rPr>
              <w:t>a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adopt</w:t>
            </w:r>
            <w:r w:rsidR="00742CE0">
              <w:rPr>
                <w:color w:val="000000"/>
                <w:sz w:val="19"/>
                <w:szCs w:val="19"/>
                <w:lang w:val="fr-FR"/>
              </w:rPr>
              <w:t>é les Lignes directrices</w:t>
            </w:r>
            <w:r w:rsidR="00E21CD6">
              <w:rPr>
                <w:color w:val="000000"/>
                <w:sz w:val="19"/>
                <w:szCs w:val="19"/>
                <w:lang w:val="fr-FR"/>
              </w:rPr>
              <w:t xml:space="preserve"> facultatives</w:t>
            </w:r>
            <w:r w:rsidR="00742CE0">
              <w:rPr>
                <w:color w:val="000000"/>
                <w:sz w:val="19"/>
                <w:szCs w:val="19"/>
                <w:lang w:val="fr-FR"/>
              </w:rPr>
              <w:t xml:space="preserve"> sur l’EIE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(D</w:t>
            </w:r>
            <w:r w:rsidR="00742CE0">
              <w:rPr>
                <w:color w:val="000000"/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cision VII/7 </w:t>
            </w:r>
            <w:r w:rsidR="00742CE0">
              <w:rPr>
                <w:color w:val="000000"/>
                <w:sz w:val="19"/>
                <w:szCs w:val="19"/>
                <w:lang w:val="fr-FR"/>
              </w:rPr>
              <w:t>e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n 2004, </w:t>
            </w:r>
            <w:r w:rsidR="00742CE0">
              <w:rPr>
                <w:color w:val="000000"/>
                <w:sz w:val="19"/>
                <w:szCs w:val="19"/>
                <w:lang w:val="fr-FR"/>
              </w:rPr>
              <w:t>remplacée par la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D</w:t>
            </w:r>
            <w:r w:rsidR="00742CE0">
              <w:rPr>
                <w:color w:val="000000"/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cision VIII/28 </w:t>
            </w:r>
            <w:r w:rsidR="00742CE0">
              <w:rPr>
                <w:color w:val="000000"/>
                <w:sz w:val="19"/>
                <w:szCs w:val="19"/>
                <w:lang w:val="fr-FR"/>
              </w:rPr>
              <w:t>e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>n 2006)</w:t>
            </w:r>
            <w:r w:rsidR="003F130B">
              <w:rPr>
                <w:color w:val="000000"/>
                <w:sz w:val="19"/>
                <w:szCs w:val="19"/>
                <w:lang w:val="fr-FR"/>
              </w:rPr>
              <w:t>.</w:t>
            </w:r>
          </w:p>
        </w:tc>
        <w:tc>
          <w:tcPr>
            <w:tcW w:w="3005" w:type="dxa"/>
          </w:tcPr>
          <w:p w14:paraId="71A9E6EA" w14:textId="347E6E64" w:rsidR="007722E8" w:rsidRPr="00115A34" w:rsidRDefault="007722E8" w:rsidP="005F7185">
            <w:pPr>
              <w:rPr>
                <w:color w:val="000000"/>
                <w:sz w:val="19"/>
                <w:szCs w:val="19"/>
                <w:lang w:val="fr-FR"/>
              </w:rPr>
            </w:pPr>
            <w:r w:rsidRPr="00115A34">
              <w:rPr>
                <w:color w:val="000000"/>
                <w:sz w:val="19"/>
                <w:szCs w:val="19"/>
                <w:lang w:val="fr-FR"/>
              </w:rPr>
              <w:t>D</w:t>
            </w:r>
            <w:r w:rsidR="00742CE0">
              <w:rPr>
                <w:color w:val="000000"/>
                <w:sz w:val="19"/>
                <w:szCs w:val="19"/>
                <w:lang w:val="fr-FR"/>
              </w:rPr>
              <w:t xml:space="preserve">écrit dans </w:t>
            </w:r>
            <w:r w:rsidR="002D6D3C">
              <w:rPr>
                <w:color w:val="000000"/>
                <w:sz w:val="19"/>
                <w:szCs w:val="19"/>
                <w:lang w:val="fr-FR"/>
              </w:rPr>
              <w:t xml:space="preserve">les </w:t>
            </w:r>
            <w:r w:rsidR="00742CE0">
              <w:rPr>
                <w:color w:val="000000"/>
                <w:sz w:val="20"/>
                <w:szCs w:val="20"/>
                <w:lang w:val="fr-FR"/>
              </w:rPr>
              <w:t>Lignes directrices</w:t>
            </w:r>
            <w:r w:rsidR="00773C6B">
              <w:rPr>
                <w:color w:val="000000"/>
                <w:sz w:val="20"/>
                <w:szCs w:val="20"/>
                <w:lang w:val="fr-FR"/>
              </w:rPr>
              <w:t xml:space="preserve"> de conservation</w:t>
            </w:r>
            <w:r w:rsidR="00742CE0" w:rsidRPr="00115A34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="00742CE0">
              <w:rPr>
                <w:color w:val="000000"/>
                <w:sz w:val="20"/>
                <w:szCs w:val="20"/>
                <w:lang w:val="fr-FR"/>
              </w:rPr>
              <w:t>n</w:t>
            </w:r>
            <w:r w:rsidR="00742CE0" w:rsidRPr="00084359">
              <w:rPr>
                <w:color w:val="000000"/>
                <w:sz w:val="20"/>
                <w:szCs w:val="20"/>
                <w:vertAlign w:val="superscript"/>
                <w:lang w:val="fr-FR"/>
              </w:rPr>
              <w:t>o</w:t>
            </w:r>
            <w:r w:rsidR="00742CE0" w:rsidRPr="00115A34">
              <w:rPr>
                <w:color w:val="000000"/>
                <w:sz w:val="20"/>
                <w:szCs w:val="20"/>
                <w:lang w:val="fr-FR"/>
              </w:rPr>
              <w:t xml:space="preserve"> 11 (2008) </w:t>
            </w:r>
            <w:r w:rsidR="002D6D3C">
              <w:rPr>
                <w:color w:val="000000"/>
                <w:sz w:val="20"/>
                <w:szCs w:val="20"/>
                <w:lang w:val="fr-FR"/>
              </w:rPr>
              <w:t xml:space="preserve">de l’AEWA </w:t>
            </w:r>
            <w:r w:rsidR="00742CE0">
              <w:rPr>
                <w:color w:val="000000"/>
                <w:sz w:val="20"/>
                <w:szCs w:val="20"/>
                <w:lang w:val="fr-FR"/>
              </w:rPr>
              <w:t>sur la façon d’éviter</w:t>
            </w:r>
            <w:r w:rsidR="00742CE0" w:rsidRPr="00115A34">
              <w:rPr>
                <w:color w:val="000000"/>
                <w:sz w:val="20"/>
                <w:szCs w:val="20"/>
                <w:lang w:val="fr-FR"/>
              </w:rPr>
              <w:t xml:space="preserve">, </w:t>
            </w:r>
            <w:r w:rsidR="00742CE0">
              <w:rPr>
                <w:color w:val="000000"/>
                <w:sz w:val="20"/>
                <w:szCs w:val="20"/>
                <w:lang w:val="fr-FR"/>
              </w:rPr>
              <w:t xml:space="preserve">de </w:t>
            </w:r>
            <w:r w:rsidR="00742CE0" w:rsidRPr="00115A34">
              <w:rPr>
                <w:color w:val="000000"/>
                <w:sz w:val="20"/>
                <w:szCs w:val="20"/>
                <w:lang w:val="fr-FR"/>
              </w:rPr>
              <w:t>minimise</w:t>
            </w:r>
            <w:r w:rsidR="00742CE0">
              <w:rPr>
                <w:color w:val="000000"/>
                <w:sz w:val="20"/>
                <w:szCs w:val="20"/>
                <w:lang w:val="fr-FR"/>
              </w:rPr>
              <w:t>r ou d’atténuer</w:t>
            </w:r>
            <w:r w:rsidR="00742CE0" w:rsidRPr="00115A34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="00742CE0">
              <w:rPr>
                <w:color w:val="000000"/>
                <w:sz w:val="20"/>
                <w:szCs w:val="20"/>
                <w:lang w:val="fr-FR"/>
              </w:rPr>
              <w:t>l’</w:t>
            </w:r>
            <w:r w:rsidR="00742CE0" w:rsidRPr="00115A34">
              <w:rPr>
                <w:color w:val="000000"/>
                <w:sz w:val="20"/>
                <w:szCs w:val="20"/>
                <w:lang w:val="fr-FR"/>
              </w:rPr>
              <w:t xml:space="preserve">impact </w:t>
            </w:r>
            <w:r w:rsidR="00742CE0">
              <w:rPr>
                <w:color w:val="000000"/>
                <w:sz w:val="20"/>
                <w:szCs w:val="20"/>
                <w:lang w:val="fr-FR"/>
              </w:rPr>
              <w:t>du développement d’</w:t>
            </w:r>
            <w:r w:rsidR="00742CE0" w:rsidRPr="00115A34">
              <w:rPr>
                <w:color w:val="000000"/>
                <w:sz w:val="20"/>
                <w:szCs w:val="20"/>
                <w:lang w:val="fr-FR"/>
              </w:rPr>
              <w:t>infrastructur</w:t>
            </w:r>
            <w:r w:rsidR="00742CE0">
              <w:rPr>
                <w:color w:val="000000"/>
                <w:sz w:val="20"/>
                <w:szCs w:val="20"/>
                <w:lang w:val="fr-FR"/>
              </w:rPr>
              <w:t xml:space="preserve">es et des perturbations afférentes sur les oiseaux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; </w:t>
            </w:r>
            <w:r w:rsidR="00742CE0">
              <w:rPr>
                <w:color w:val="000000"/>
                <w:sz w:val="19"/>
                <w:szCs w:val="19"/>
                <w:lang w:val="fr-FR"/>
              </w:rPr>
              <w:t>et conseils mentionnés dans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6D433C">
              <w:rPr>
                <w:color w:val="000000"/>
                <w:sz w:val="19"/>
                <w:szCs w:val="19"/>
                <w:lang w:val="fr-FR"/>
              </w:rPr>
              <w:t>« Technologies liées aux énergies renouvelables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6D433C">
              <w:rPr>
                <w:sz w:val="19"/>
                <w:szCs w:val="19"/>
                <w:lang w:val="fr-FR"/>
              </w:rPr>
              <w:t>et espèces migratrices </w:t>
            </w:r>
            <w:r w:rsidRPr="00115A34">
              <w:rPr>
                <w:sz w:val="19"/>
                <w:szCs w:val="19"/>
                <w:lang w:val="fr-FR"/>
              </w:rPr>
              <w:t xml:space="preserve">: </w:t>
            </w:r>
            <w:r w:rsidR="006D433C">
              <w:rPr>
                <w:sz w:val="19"/>
                <w:szCs w:val="19"/>
                <w:lang w:val="fr-FR"/>
              </w:rPr>
              <w:t>lignes directrices pour un déploiement durable »</w:t>
            </w:r>
            <w:r w:rsidRPr="00115A34">
              <w:rPr>
                <w:sz w:val="19"/>
                <w:szCs w:val="19"/>
                <w:lang w:val="fr-FR"/>
              </w:rPr>
              <w:t xml:space="preserve"> (document </w:t>
            </w:r>
            <w:r w:rsidR="006D433C">
              <w:rPr>
                <w:sz w:val="19"/>
                <w:szCs w:val="19"/>
                <w:lang w:val="fr-FR"/>
              </w:rPr>
              <w:t>MOP</w:t>
            </w:r>
            <w:r w:rsidRPr="00115A34">
              <w:rPr>
                <w:sz w:val="19"/>
                <w:szCs w:val="19"/>
                <w:lang w:val="fr-FR"/>
              </w:rPr>
              <w:t>6.37</w:t>
            </w:r>
            <w:r w:rsidR="006D433C">
              <w:rPr>
                <w:sz w:val="19"/>
                <w:szCs w:val="19"/>
                <w:lang w:val="fr-FR"/>
              </w:rPr>
              <w:t xml:space="preserve"> de l’AEWA</w:t>
            </w:r>
            <w:r w:rsidRPr="00115A34">
              <w:rPr>
                <w:sz w:val="19"/>
                <w:szCs w:val="19"/>
                <w:lang w:val="fr-FR"/>
              </w:rPr>
              <w:t>, 2015)</w:t>
            </w:r>
          </w:p>
        </w:tc>
        <w:tc>
          <w:tcPr>
            <w:tcW w:w="3006" w:type="dxa"/>
          </w:tcPr>
          <w:p w14:paraId="7A7FE3F4" w14:textId="1B2F8EFF" w:rsidR="00147EBC" w:rsidRPr="00115A34" w:rsidRDefault="006D433C" w:rsidP="00147EBC">
            <w:pPr>
              <w:pStyle w:val="ListParagraph"/>
              <w:numPr>
                <w:ilvl w:val="0"/>
                <w:numId w:val="30"/>
              </w:num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Évaluer l’</w:t>
            </w:r>
            <w:r w:rsidR="00147EBC" w:rsidRPr="00115A34">
              <w:rPr>
                <w:color w:val="000000"/>
                <w:sz w:val="19"/>
                <w:szCs w:val="19"/>
                <w:lang w:val="fr-FR"/>
              </w:rPr>
              <w:t>ad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="00147EBC" w:rsidRPr="00115A34">
              <w:rPr>
                <w:color w:val="000000"/>
                <w:sz w:val="19"/>
                <w:szCs w:val="19"/>
                <w:lang w:val="fr-FR"/>
              </w:rPr>
              <w:t>qua</w:t>
            </w:r>
            <w:r>
              <w:rPr>
                <w:color w:val="000000"/>
                <w:sz w:val="19"/>
                <w:szCs w:val="19"/>
                <w:lang w:val="fr-FR"/>
              </w:rPr>
              <w:t>tion de la législation nationale</w:t>
            </w:r>
            <w:r w:rsidR="00147EBC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par rapport aux normes</w:t>
            </w:r>
            <w:r w:rsidR="00147EBC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des lignes directrices</w:t>
            </w:r>
            <w:r w:rsidR="00147EBC"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  <w:p w14:paraId="0892BDB9" w14:textId="611D9BC4" w:rsidR="007722E8" w:rsidRPr="00115A34" w:rsidRDefault="006D433C" w:rsidP="00844A24">
            <w:pPr>
              <w:pStyle w:val="ListParagraph"/>
              <w:numPr>
                <w:ilvl w:val="0"/>
                <w:numId w:val="30"/>
              </w:num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Invoquer les lignes directrices lors de la promotion des bonnes pratiques</w:t>
            </w:r>
            <w:r w:rsidR="00147EBC"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  <w:p w14:paraId="1E0C8716" w14:textId="260C1CDE" w:rsidR="00844A24" w:rsidRPr="00115A34" w:rsidRDefault="006D433C" w:rsidP="00844A24">
            <w:pPr>
              <w:pStyle w:val="ListParagraph"/>
              <w:numPr>
                <w:ilvl w:val="0"/>
                <w:numId w:val="30"/>
              </w:num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Suggérer l’examen</w:t>
            </w:r>
            <w:r w:rsidR="00844A24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de tout besoin de mise à jour des lignes directrices</w:t>
            </w:r>
            <w:r w:rsidR="00844A24"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</w:tc>
      </w:tr>
      <w:tr w:rsidR="007722E8" w:rsidRPr="00326B2D" w14:paraId="56ABB17E" w14:textId="77777777" w:rsidTr="00506507">
        <w:trPr>
          <w:jc w:val="center"/>
        </w:trPr>
        <w:tc>
          <w:tcPr>
            <w:tcW w:w="3005" w:type="dxa"/>
          </w:tcPr>
          <w:p w14:paraId="62041B59" w14:textId="48E85B0E" w:rsidR="007722E8" w:rsidRPr="00115A34" w:rsidRDefault="007722E8" w:rsidP="00844A24">
            <w:pPr>
              <w:rPr>
                <w:color w:val="000000"/>
                <w:sz w:val="19"/>
                <w:szCs w:val="19"/>
                <w:lang w:val="fr-FR"/>
              </w:rPr>
            </w:pPr>
            <w:r w:rsidRPr="00115A34">
              <w:rPr>
                <w:color w:val="000000"/>
                <w:sz w:val="19"/>
                <w:szCs w:val="19"/>
                <w:lang w:val="fr-FR"/>
              </w:rPr>
              <w:lastRenderedPageBreak/>
              <w:t>Recomm</w:t>
            </w:r>
            <w:r w:rsidR="0094410C">
              <w:rPr>
                <w:color w:val="000000"/>
                <w:sz w:val="19"/>
                <w:szCs w:val="19"/>
                <w:lang w:val="fr-FR"/>
              </w:rPr>
              <w:t>a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ndation XVI/9</w:t>
            </w:r>
            <w:r w:rsidR="0094410C">
              <w:rPr>
                <w:color w:val="000000"/>
                <w:sz w:val="19"/>
                <w:szCs w:val="19"/>
                <w:lang w:val="fr-FR"/>
              </w:rPr>
              <w:t xml:space="preserve"> d</w:t>
            </w:r>
            <w:r w:rsidR="00E47309">
              <w:rPr>
                <w:color w:val="000000"/>
                <w:sz w:val="19"/>
                <w:szCs w:val="19"/>
                <w:lang w:val="fr-FR"/>
              </w:rPr>
              <w:t>u</w:t>
            </w:r>
            <w:r w:rsidR="0094410C">
              <w:rPr>
                <w:color w:val="000000"/>
                <w:sz w:val="19"/>
                <w:szCs w:val="19"/>
                <w:lang w:val="fr-FR"/>
              </w:rPr>
              <w:t xml:space="preserve"> SBSTTA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(2012) </w:t>
            </w:r>
            <w:r w:rsidR="0094410C">
              <w:rPr>
                <w:color w:val="000000"/>
                <w:sz w:val="19"/>
                <w:szCs w:val="19"/>
                <w:lang w:val="fr-FR"/>
              </w:rPr>
              <w:t>sur les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94410C">
              <w:rPr>
                <w:color w:val="000000"/>
                <w:sz w:val="19"/>
                <w:szCs w:val="19"/>
                <w:lang w:val="fr-FR"/>
              </w:rPr>
              <w:t>« Questions techniques et réglementaires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94410C">
              <w:rPr>
                <w:color w:val="000000"/>
                <w:sz w:val="19"/>
                <w:szCs w:val="19"/>
                <w:lang w:val="fr-FR"/>
              </w:rPr>
              <w:t>relatives à la géo-ingénierie présentant un intérêt pour la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Convention </w:t>
            </w:r>
            <w:r w:rsidR="0094410C">
              <w:rPr>
                <w:color w:val="000000"/>
                <w:sz w:val="19"/>
                <w:szCs w:val="19"/>
                <w:lang w:val="fr-FR"/>
              </w:rPr>
              <w:t>sur la diversité biologique »</w:t>
            </w:r>
            <w:r w:rsidR="00B607DC" w:rsidRPr="00115A34">
              <w:rPr>
                <w:color w:val="000000"/>
                <w:sz w:val="19"/>
                <w:szCs w:val="19"/>
                <w:lang w:val="fr-FR"/>
              </w:rPr>
              <w:t>.  (</w:t>
            </w:r>
            <w:r w:rsidR="00E47309">
              <w:rPr>
                <w:color w:val="000000"/>
                <w:sz w:val="19"/>
                <w:szCs w:val="19"/>
                <w:lang w:val="fr-FR"/>
              </w:rPr>
              <w:t xml:space="preserve">a mené à la </w:t>
            </w:r>
            <w:r w:rsidR="00B607DC" w:rsidRPr="00115A34">
              <w:rPr>
                <w:color w:val="000000"/>
                <w:sz w:val="19"/>
                <w:szCs w:val="19"/>
                <w:lang w:val="fr-FR"/>
              </w:rPr>
              <w:t>D</w:t>
            </w:r>
            <w:r w:rsidR="00E47309">
              <w:rPr>
                <w:color w:val="000000"/>
                <w:sz w:val="19"/>
                <w:szCs w:val="19"/>
                <w:lang w:val="fr-FR"/>
              </w:rPr>
              <w:t>é</w:t>
            </w:r>
            <w:r w:rsidR="00B607DC" w:rsidRPr="00115A34">
              <w:rPr>
                <w:color w:val="000000"/>
                <w:sz w:val="19"/>
                <w:szCs w:val="19"/>
                <w:lang w:val="fr-FR"/>
              </w:rPr>
              <w:t xml:space="preserve">cision XI/20 (2012) </w:t>
            </w:r>
            <w:r w:rsidR="00E47309">
              <w:rPr>
                <w:color w:val="000000"/>
                <w:sz w:val="19"/>
                <w:szCs w:val="19"/>
                <w:lang w:val="fr-FR"/>
              </w:rPr>
              <w:t>de la COP de la CDB sur la Géo-ingénierie climatique</w:t>
            </w:r>
            <w:r w:rsidR="00B607DC" w:rsidRPr="00115A34">
              <w:rPr>
                <w:color w:val="000000"/>
                <w:sz w:val="19"/>
                <w:szCs w:val="19"/>
                <w:lang w:val="fr-FR"/>
              </w:rPr>
              <w:t xml:space="preserve">). </w:t>
            </w:r>
          </w:p>
        </w:tc>
        <w:tc>
          <w:tcPr>
            <w:tcW w:w="3005" w:type="dxa"/>
          </w:tcPr>
          <w:p w14:paraId="529A1041" w14:textId="15420355" w:rsidR="007722E8" w:rsidRPr="00115A34" w:rsidRDefault="00481F3A" w:rsidP="005F7185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Mentionnée</w:t>
            </w:r>
            <w:r w:rsidR="0054198B">
              <w:rPr>
                <w:sz w:val="19"/>
                <w:szCs w:val="19"/>
                <w:lang w:val="fr-FR"/>
              </w:rPr>
              <w:t xml:space="preserve"> en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 pr</w:t>
            </w:r>
            <w:r w:rsidR="0054198B">
              <w:rPr>
                <w:sz w:val="19"/>
                <w:szCs w:val="19"/>
                <w:lang w:val="fr-FR"/>
              </w:rPr>
              <w:t>é</w:t>
            </w:r>
            <w:r w:rsidR="0054198B" w:rsidRPr="00115A34">
              <w:rPr>
                <w:sz w:val="19"/>
                <w:szCs w:val="19"/>
                <w:lang w:val="fr-FR"/>
              </w:rPr>
              <w:t>amb</w:t>
            </w:r>
            <w:r w:rsidR="0054198B">
              <w:rPr>
                <w:sz w:val="19"/>
                <w:szCs w:val="19"/>
                <w:lang w:val="fr-FR"/>
              </w:rPr>
              <w:t>u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le </w:t>
            </w:r>
            <w:r w:rsidR="0054198B">
              <w:rPr>
                <w:sz w:val="19"/>
                <w:szCs w:val="19"/>
                <w:lang w:val="fr-FR"/>
              </w:rPr>
              <w:t>de la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 R</w:t>
            </w:r>
            <w:r w:rsidR="0054198B">
              <w:rPr>
                <w:sz w:val="19"/>
                <w:szCs w:val="19"/>
                <w:lang w:val="fr-FR"/>
              </w:rPr>
              <w:t>é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solution </w:t>
            </w:r>
            <w:r w:rsidR="0054198B">
              <w:rPr>
                <w:sz w:val="19"/>
                <w:szCs w:val="19"/>
                <w:lang w:val="fr-FR"/>
              </w:rPr>
              <w:t>MOP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6.11 (2015) </w:t>
            </w:r>
            <w:r w:rsidR="0054198B">
              <w:rPr>
                <w:sz w:val="19"/>
                <w:szCs w:val="19"/>
                <w:lang w:val="fr-FR"/>
              </w:rPr>
              <w:t xml:space="preserve">sur la façon </w:t>
            </w:r>
            <w:r w:rsidR="0054198B">
              <w:rPr>
                <w:sz w:val="20"/>
                <w:szCs w:val="20"/>
                <w:lang w:val="fr-FR"/>
              </w:rPr>
              <w:t>dont gérer les incidences du déploiement des énergies renouvelables sur les oiseaux d’eau</w:t>
            </w:r>
          </w:p>
        </w:tc>
        <w:tc>
          <w:tcPr>
            <w:tcW w:w="3006" w:type="dxa"/>
          </w:tcPr>
          <w:p w14:paraId="7B6E6F2B" w14:textId="2427EC11" w:rsidR="007722E8" w:rsidRPr="00115A34" w:rsidRDefault="00E47309" w:rsidP="00844A24">
            <w:pPr>
              <w:pStyle w:val="ListParagraph"/>
              <w:numPr>
                <w:ilvl w:val="0"/>
                <w:numId w:val="39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Action de suivi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B607DC" w:rsidRPr="00115A34">
              <w:rPr>
                <w:sz w:val="19"/>
                <w:szCs w:val="19"/>
                <w:lang w:val="fr-FR"/>
              </w:rPr>
              <w:t xml:space="preserve">/ </w:t>
            </w:r>
            <w:r>
              <w:rPr>
                <w:sz w:val="19"/>
                <w:szCs w:val="19"/>
                <w:lang w:val="fr-FR"/>
              </w:rPr>
              <w:t>rapport sur la mise en œuvre de la Décision de la COP de la CDB</w:t>
            </w:r>
            <w:r w:rsidR="00B607DC"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FB20E4" w:rsidRPr="00326B2D" w14:paraId="1FD426F7" w14:textId="77777777" w:rsidTr="00506507">
        <w:trPr>
          <w:trHeight w:val="1277"/>
          <w:jc w:val="center"/>
        </w:trPr>
        <w:tc>
          <w:tcPr>
            <w:tcW w:w="3005" w:type="dxa"/>
          </w:tcPr>
          <w:p w14:paraId="13C505C5" w14:textId="5AAA83F7" w:rsidR="00FB20E4" w:rsidRPr="00115A34" w:rsidRDefault="00E47309" w:rsidP="009B7FCF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Stratégies et Plans d’action nationaux pour la biodiversité </w:t>
            </w:r>
            <w:r w:rsidR="00FB20E4" w:rsidRPr="00115A34">
              <w:rPr>
                <w:sz w:val="19"/>
                <w:szCs w:val="19"/>
                <w:lang w:val="fr-FR"/>
              </w:rPr>
              <w:t xml:space="preserve">(NBSAP) </w:t>
            </w:r>
            <w:r>
              <w:rPr>
                <w:sz w:val="19"/>
                <w:szCs w:val="19"/>
                <w:lang w:val="fr-FR"/>
              </w:rPr>
              <w:t>de la CDB</w:t>
            </w:r>
          </w:p>
        </w:tc>
        <w:tc>
          <w:tcPr>
            <w:tcW w:w="3005" w:type="dxa"/>
          </w:tcPr>
          <w:p w14:paraId="087B05A0" w14:textId="784A2230" w:rsidR="00FB20E4" w:rsidRPr="00115A34" w:rsidRDefault="00E47309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Sections opérationnelles des</w:t>
            </w:r>
            <w:r w:rsidR="00FB20E4" w:rsidRPr="00115A34">
              <w:rPr>
                <w:sz w:val="19"/>
                <w:szCs w:val="19"/>
                <w:lang w:val="fr-FR"/>
              </w:rPr>
              <w:t xml:space="preserve"> R</w:t>
            </w:r>
            <w:r>
              <w:rPr>
                <w:sz w:val="19"/>
                <w:szCs w:val="19"/>
                <w:lang w:val="fr-FR"/>
              </w:rPr>
              <w:t>é</w:t>
            </w:r>
            <w:r w:rsidR="00FB20E4" w:rsidRPr="00115A34">
              <w:rPr>
                <w:sz w:val="19"/>
                <w:szCs w:val="19"/>
                <w:lang w:val="fr-FR"/>
              </w:rPr>
              <w:t xml:space="preserve">solutions </w:t>
            </w:r>
            <w:r>
              <w:rPr>
                <w:sz w:val="19"/>
                <w:szCs w:val="19"/>
                <w:lang w:val="fr-FR"/>
              </w:rPr>
              <w:t>MOP</w:t>
            </w:r>
            <w:r w:rsidR="00FB20E4" w:rsidRPr="00115A34">
              <w:rPr>
                <w:sz w:val="19"/>
                <w:szCs w:val="19"/>
                <w:lang w:val="fr-FR"/>
              </w:rPr>
              <w:t xml:space="preserve">5.11 (2012) </w:t>
            </w:r>
            <w:r>
              <w:rPr>
                <w:sz w:val="19"/>
                <w:szCs w:val="19"/>
                <w:lang w:val="fr-FR"/>
              </w:rPr>
              <w:t>sur les lignes électriques et les oiseaux d’eau migrateurs</w:t>
            </w:r>
            <w:r w:rsidR="00FB20E4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et MOP</w:t>
            </w:r>
            <w:r w:rsidR="00FB20E4" w:rsidRPr="00115A34">
              <w:rPr>
                <w:sz w:val="19"/>
                <w:szCs w:val="19"/>
                <w:lang w:val="fr-FR"/>
              </w:rPr>
              <w:t xml:space="preserve">5.16 (2012) </w:t>
            </w:r>
            <w:r>
              <w:rPr>
                <w:sz w:val="19"/>
                <w:szCs w:val="19"/>
                <w:lang w:val="fr-FR"/>
              </w:rPr>
              <w:t>sur l’énergie renouvelable et les oiseaux d’eau migrateurs</w:t>
            </w:r>
          </w:p>
        </w:tc>
        <w:tc>
          <w:tcPr>
            <w:tcW w:w="3006" w:type="dxa"/>
          </w:tcPr>
          <w:p w14:paraId="5D95C470" w14:textId="3042640C" w:rsidR="00FB20E4" w:rsidRPr="00115A34" w:rsidRDefault="001604D0" w:rsidP="009F6F95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Lorsque les </w:t>
            </w:r>
            <w:r w:rsidR="004C4702" w:rsidRPr="00115A34">
              <w:rPr>
                <w:sz w:val="19"/>
                <w:szCs w:val="19"/>
                <w:lang w:val="fr-FR"/>
              </w:rPr>
              <w:t>NBSAP</w:t>
            </w:r>
            <w:r>
              <w:rPr>
                <w:sz w:val="19"/>
                <w:szCs w:val="19"/>
                <w:lang w:val="fr-FR"/>
              </w:rPr>
              <w:t xml:space="preserve"> sont élaborés ou mis à jour, promouvoir l’</w:t>
            </w:r>
            <w:r w:rsidR="004C4702" w:rsidRPr="00115A34">
              <w:rPr>
                <w:sz w:val="19"/>
                <w:szCs w:val="19"/>
                <w:lang w:val="fr-FR"/>
              </w:rPr>
              <w:t xml:space="preserve">inclusion </w:t>
            </w:r>
            <w:r>
              <w:rPr>
                <w:sz w:val="19"/>
                <w:szCs w:val="19"/>
                <w:lang w:val="fr-FR"/>
              </w:rPr>
              <w:t>des</w:t>
            </w:r>
            <w:r w:rsidR="004C4702" w:rsidRPr="00115A34">
              <w:rPr>
                <w:sz w:val="19"/>
                <w:szCs w:val="19"/>
                <w:lang w:val="fr-FR"/>
              </w:rPr>
              <w:t xml:space="preserve"> mesures d</w:t>
            </w:r>
            <w:r>
              <w:rPr>
                <w:sz w:val="19"/>
                <w:szCs w:val="19"/>
                <w:lang w:val="fr-FR"/>
              </w:rPr>
              <w:t>éfinies dans ces deux</w:t>
            </w:r>
            <w:r w:rsidR="004C4702" w:rsidRPr="00115A34">
              <w:rPr>
                <w:sz w:val="19"/>
                <w:szCs w:val="19"/>
                <w:lang w:val="fr-FR"/>
              </w:rPr>
              <w:t xml:space="preserve"> R</w:t>
            </w:r>
            <w:r>
              <w:rPr>
                <w:sz w:val="19"/>
                <w:szCs w:val="19"/>
                <w:lang w:val="fr-FR"/>
              </w:rPr>
              <w:t>é</w:t>
            </w:r>
            <w:r w:rsidR="004C4702" w:rsidRPr="00115A34">
              <w:rPr>
                <w:sz w:val="19"/>
                <w:szCs w:val="19"/>
                <w:lang w:val="fr-FR"/>
              </w:rPr>
              <w:t>solutions</w:t>
            </w:r>
            <w:r>
              <w:rPr>
                <w:sz w:val="19"/>
                <w:szCs w:val="19"/>
                <w:lang w:val="fr-FR"/>
              </w:rPr>
              <w:t xml:space="preserve"> de l’AEWA</w:t>
            </w:r>
          </w:p>
          <w:p w14:paraId="59604B3F" w14:textId="77777777" w:rsidR="00506507" w:rsidRPr="00115A34" w:rsidRDefault="00506507" w:rsidP="00506507">
            <w:pPr>
              <w:rPr>
                <w:sz w:val="19"/>
                <w:szCs w:val="19"/>
                <w:lang w:val="fr-FR"/>
              </w:rPr>
            </w:pPr>
          </w:p>
          <w:p w14:paraId="7C0081AD" w14:textId="77777777" w:rsidR="00506507" w:rsidRPr="00115A34" w:rsidRDefault="00506507" w:rsidP="00506507">
            <w:pPr>
              <w:rPr>
                <w:sz w:val="19"/>
                <w:szCs w:val="19"/>
                <w:lang w:val="fr-FR"/>
              </w:rPr>
            </w:pPr>
          </w:p>
          <w:p w14:paraId="7293814C" w14:textId="5E3395A3" w:rsidR="00506507" w:rsidRPr="00115A34" w:rsidRDefault="00506507" w:rsidP="00506507">
            <w:pPr>
              <w:rPr>
                <w:sz w:val="19"/>
                <w:szCs w:val="19"/>
                <w:lang w:val="fr-FR"/>
              </w:rPr>
            </w:pPr>
          </w:p>
        </w:tc>
      </w:tr>
      <w:tr w:rsidR="007722E8" w:rsidRPr="00115A34" w14:paraId="5A1BED15" w14:textId="77777777" w:rsidTr="00506507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0D463996" w14:textId="0AA1EE34" w:rsidR="007722E8" w:rsidRPr="00115A34" w:rsidRDefault="007722E8" w:rsidP="005F7185">
            <w:pPr>
              <w:spacing w:before="20" w:after="20"/>
              <w:rPr>
                <w:b/>
                <w:i/>
                <w:color w:val="000066"/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="001604D0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>Convention</w:t>
            </w:r>
            <w:r w:rsidR="001604D0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de Bern</w:t>
            </w:r>
            <w:r w:rsidR="00E36D54">
              <w:rPr>
                <w:b/>
                <w:i/>
                <w:color w:val="000066"/>
                <w:sz w:val="19"/>
                <w:szCs w:val="19"/>
                <w:lang w:val="fr-FR"/>
              </w:rPr>
              <w:t>e</w:t>
            </w:r>
          </w:p>
        </w:tc>
      </w:tr>
      <w:tr w:rsidR="00E2703D" w:rsidRPr="007D1931" w14:paraId="2E5893F9" w14:textId="77777777" w:rsidTr="00506507">
        <w:trPr>
          <w:trHeight w:val="70"/>
          <w:jc w:val="center"/>
        </w:trPr>
        <w:tc>
          <w:tcPr>
            <w:tcW w:w="3005" w:type="dxa"/>
          </w:tcPr>
          <w:p w14:paraId="7C63244E" w14:textId="013BEF20" w:rsidR="00E2703D" w:rsidRPr="00115A34" w:rsidRDefault="00CD49DF" w:rsidP="00844A24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Recommandation n</w:t>
            </w:r>
            <w:r w:rsidRPr="00CD49DF">
              <w:rPr>
                <w:sz w:val="19"/>
                <w:szCs w:val="19"/>
                <w:vertAlign w:val="superscript"/>
                <w:lang w:val="fr-FR"/>
              </w:rPr>
              <w:t>o</w:t>
            </w:r>
            <w:r>
              <w:rPr>
                <w:sz w:val="19"/>
                <w:szCs w:val="19"/>
                <w:lang w:val="fr-FR"/>
              </w:rPr>
              <w:t xml:space="preserve"> 110 (2004) du Comité permanent de la Convention de </w:t>
            </w:r>
            <w:r w:rsidR="00E2703D" w:rsidRPr="00115A34">
              <w:rPr>
                <w:sz w:val="19"/>
                <w:szCs w:val="19"/>
                <w:lang w:val="fr-FR"/>
              </w:rPr>
              <w:t>Bern</w:t>
            </w:r>
            <w:r w:rsidR="00E36D54">
              <w:rPr>
                <w:sz w:val="19"/>
                <w:szCs w:val="19"/>
                <w:lang w:val="fr-FR"/>
              </w:rPr>
              <w:t>e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 xml:space="preserve">sur l’atténuation des nuisances des installations aériennes de transport d’électricité (lignes électriques)  pour les oiseaux </w:t>
            </w:r>
            <w:r w:rsidR="00E2703D" w:rsidRPr="00115A34">
              <w:rPr>
                <w:sz w:val="19"/>
                <w:szCs w:val="19"/>
                <w:lang w:val="fr-FR"/>
              </w:rPr>
              <w:t>; (</w:t>
            </w:r>
            <w:r>
              <w:rPr>
                <w:sz w:val="19"/>
                <w:szCs w:val="19"/>
                <w:lang w:val="fr-FR"/>
              </w:rPr>
              <w:t xml:space="preserve">et rapport sur la mise en œuvre </w:t>
            </w:r>
            <w:r w:rsidR="00E2703D" w:rsidRPr="00115A34">
              <w:rPr>
                <w:sz w:val="19"/>
                <w:szCs w:val="19"/>
                <w:lang w:val="fr-FR"/>
              </w:rPr>
              <w:t>pr</w:t>
            </w:r>
            <w:r>
              <w:rPr>
                <w:sz w:val="19"/>
                <w:szCs w:val="19"/>
                <w:lang w:val="fr-FR"/>
              </w:rPr>
              <w:t>é</w:t>
            </w:r>
            <w:r w:rsidR="00E2703D" w:rsidRPr="00115A34">
              <w:rPr>
                <w:sz w:val="19"/>
                <w:szCs w:val="19"/>
                <w:lang w:val="fr-FR"/>
              </w:rPr>
              <w:t>sent</w:t>
            </w:r>
            <w:r>
              <w:rPr>
                <w:sz w:val="19"/>
                <w:szCs w:val="19"/>
                <w:lang w:val="fr-FR"/>
              </w:rPr>
              <w:t>é au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 Comit</w:t>
            </w:r>
            <w:r>
              <w:rPr>
                <w:sz w:val="19"/>
                <w:szCs w:val="19"/>
                <w:lang w:val="fr-FR"/>
              </w:rPr>
              <w:t>é en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 2010)</w:t>
            </w:r>
          </w:p>
        </w:tc>
        <w:tc>
          <w:tcPr>
            <w:tcW w:w="3005" w:type="dxa"/>
          </w:tcPr>
          <w:p w14:paraId="0274B0D6" w14:textId="244F3C9B" w:rsidR="00E2703D" w:rsidRPr="00115A34" w:rsidRDefault="00481F3A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La s</w:t>
            </w:r>
            <w:r w:rsidR="00CD49DF">
              <w:rPr>
                <w:sz w:val="19"/>
                <w:szCs w:val="19"/>
                <w:lang w:val="fr-FR"/>
              </w:rPr>
              <w:t>ection opérationnelle de la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 R</w:t>
            </w:r>
            <w:r w:rsidR="00CD49DF">
              <w:rPr>
                <w:sz w:val="19"/>
                <w:szCs w:val="19"/>
                <w:lang w:val="fr-FR"/>
              </w:rPr>
              <w:t>é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solution </w:t>
            </w:r>
            <w:r w:rsidR="00CD49DF">
              <w:rPr>
                <w:sz w:val="19"/>
                <w:szCs w:val="19"/>
                <w:lang w:val="fr-FR"/>
              </w:rPr>
              <w:t>MOP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5.11 (2012) </w:t>
            </w:r>
            <w:r w:rsidR="00CD49DF">
              <w:rPr>
                <w:sz w:val="19"/>
                <w:szCs w:val="19"/>
                <w:lang w:val="fr-FR"/>
              </w:rPr>
              <w:t>sur les lignes électriques et les oiseaux d’eau migrateurs charge le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 Secr</w:t>
            </w:r>
            <w:r w:rsidR="00CD49DF">
              <w:rPr>
                <w:sz w:val="19"/>
                <w:szCs w:val="19"/>
                <w:lang w:val="fr-FR"/>
              </w:rPr>
              <w:t>é</w:t>
            </w:r>
            <w:r w:rsidR="00E2703D" w:rsidRPr="00115A34">
              <w:rPr>
                <w:sz w:val="19"/>
                <w:szCs w:val="19"/>
                <w:lang w:val="fr-FR"/>
              </w:rPr>
              <w:t>tariat</w:t>
            </w:r>
            <w:r w:rsidR="00CD49DF">
              <w:rPr>
                <w:sz w:val="19"/>
                <w:szCs w:val="19"/>
                <w:lang w:val="fr-FR"/>
              </w:rPr>
              <w:t xml:space="preserve"> de l’AEWA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, </w:t>
            </w:r>
            <w:r w:rsidR="00CD49DF">
              <w:rPr>
                <w:sz w:val="19"/>
                <w:szCs w:val="19"/>
                <w:lang w:val="fr-FR"/>
              </w:rPr>
              <w:t>en</w:t>
            </w:r>
            <w:r w:rsidR="003B2297">
              <w:rPr>
                <w:sz w:val="19"/>
                <w:szCs w:val="19"/>
                <w:lang w:val="fr-FR"/>
              </w:rPr>
              <w:t xml:space="preserve"> étroite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 coop</w:t>
            </w:r>
            <w:r w:rsidR="003B2297">
              <w:rPr>
                <w:sz w:val="19"/>
                <w:szCs w:val="19"/>
                <w:lang w:val="fr-FR"/>
              </w:rPr>
              <w:t>é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ration </w:t>
            </w:r>
            <w:r w:rsidR="003B2297">
              <w:rPr>
                <w:sz w:val="19"/>
                <w:szCs w:val="19"/>
                <w:lang w:val="fr-FR"/>
              </w:rPr>
              <w:t>avec le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 Secr</w:t>
            </w:r>
            <w:r w:rsidR="003B2297">
              <w:rPr>
                <w:sz w:val="19"/>
                <w:szCs w:val="19"/>
                <w:lang w:val="fr-FR"/>
              </w:rPr>
              <w:t>é</w:t>
            </w:r>
            <w:r w:rsidR="00E2703D" w:rsidRPr="00115A34">
              <w:rPr>
                <w:sz w:val="19"/>
                <w:szCs w:val="19"/>
                <w:lang w:val="fr-FR"/>
              </w:rPr>
              <w:t>tariat</w:t>
            </w:r>
            <w:r w:rsidR="003B2297">
              <w:rPr>
                <w:sz w:val="19"/>
                <w:szCs w:val="19"/>
                <w:lang w:val="fr-FR"/>
              </w:rPr>
              <w:t xml:space="preserve"> de la CMS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, </w:t>
            </w:r>
            <w:r w:rsidR="003B2297">
              <w:rPr>
                <w:sz w:val="19"/>
                <w:szCs w:val="19"/>
                <w:lang w:val="fr-FR"/>
              </w:rPr>
              <w:t>de consulter le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 Secr</w:t>
            </w:r>
            <w:r w:rsidR="003B2297">
              <w:rPr>
                <w:sz w:val="19"/>
                <w:szCs w:val="19"/>
                <w:lang w:val="fr-FR"/>
              </w:rPr>
              <w:t>é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tariat </w:t>
            </w:r>
            <w:r w:rsidR="003B2297">
              <w:rPr>
                <w:sz w:val="19"/>
                <w:szCs w:val="19"/>
                <w:lang w:val="fr-FR"/>
              </w:rPr>
              <w:t>de la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 Convention </w:t>
            </w:r>
            <w:r w:rsidR="003B2297">
              <w:rPr>
                <w:sz w:val="19"/>
                <w:szCs w:val="19"/>
                <w:lang w:val="fr-FR"/>
              </w:rPr>
              <w:t>de Bern</w:t>
            </w:r>
            <w:r w:rsidR="00C80AC1">
              <w:rPr>
                <w:sz w:val="19"/>
                <w:szCs w:val="19"/>
                <w:lang w:val="fr-FR"/>
              </w:rPr>
              <w:t>e</w:t>
            </w:r>
            <w:r w:rsidR="003B2297">
              <w:rPr>
                <w:sz w:val="19"/>
                <w:szCs w:val="19"/>
                <w:lang w:val="fr-FR"/>
              </w:rPr>
              <w:t xml:space="preserve"> afin </w:t>
            </w:r>
            <w:r w:rsidR="00E21CD6">
              <w:rPr>
                <w:sz w:val="19"/>
                <w:szCs w:val="19"/>
                <w:lang w:val="fr-FR"/>
              </w:rPr>
              <w:t xml:space="preserve">de </w:t>
            </w:r>
            <w:r w:rsidR="003B2297">
              <w:rPr>
                <w:sz w:val="19"/>
                <w:szCs w:val="19"/>
                <w:lang w:val="fr-FR"/>
              </w:rPr>
              <w:t>mettre à jour régulièrement les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 ex</w:t>
            </w:r>
            <w:r w:rsidR="003B2297">
              <w:rPr>
                <w:sz w:val="19"/>
                <w:szCs w:val="19"/>
                <w:lang w:val="fr-FR"/>
              </w:rPr>
              <w:t>e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mples </w:t>
            </w:r>
            <w:r w:rsidR="003B2297">
              <w:rPr>
                <w:sz w:val="19"/>
                <w:szCs w:val="19"/>
                <w:lang w:val="fr-FR"/>
              </w:rPr>
              <w:t>de mesures d’atténuation éventuelles adoptées en annexe de la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 Recomm</w:t>
            </w:r>
            <w:r w:rsidR="003B2297">
              <w:rPr>
                <w:sz w:val="19"/>
                <w:szCs w:val="19"/>
                <w:lang w:val="fr-FR"/>
              </w:rPr>
              <w:t>a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ndation </w:t>
            </w:r>
            <w:r w:rsidR="003B2297">
              <w:rPr>
                <w:sz w:val="19"/>
                <w:szCs w:val="19"/>
                <w:lang w:val="fr-FR"/>
              </w:rPr>
              <w:t>n</w:t>
            </w:r>
            <w:r w:rsidR="00E2703D" w:rsidRPr="003B2297">
              <w:rPr>
                <w:sz w:val="19"/>
                <w:szCs w:val="19"/>
                <w:vertAlign w:val="superscript"/>
                <w:lang w:val="fr-FR"/>
              </w:rPr>
              <w:t xml:space="preserve">o 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110 </w:t>
            </w:r>
            <w:r w:rsidR="003B2297">
              <w:rPr>
                <w:sz w:val="19"/>
                <w:szCs w:val="19"/>
                <w:lang w:val="fr-FR"/>
              </w:rPr>
              <w:t>de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 2004, </w:t>
            </w:r>
            <w:r w:rsidR="003B2297">
              <w:rPr>
                <w:sz w:val="19"/>
                <w:szCs w:val="19"/>
                <w:lang w:val="fr-FR"/>
              </w:rPr>
              <w:t>le cas échéant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, </w:t>
            </w:r>
            <w:r w:rsidR="003B2297">
              <w:rPr>
                <w:sz w:val="19"/>
                <w:szCs w:val="19"/>
                <w:lang w:val="fr-FR"/>
              </w:rPr>
              <w:t>et de les diffuser à leurs Parties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 respective</w:t>
            </w:r>
            <w:r w:rsidR="003B2297">
              <w:rPr>
                <w:sz w:val="19"/>
                <w:szCs w:val="19"/>
                <w:lang w:val="fr-FR"/>
              </w:rPr>
              <w:t>s</w:t>
            </w:r>
            <w:r w:rsidR="00E2703D" w:rsidRPr="00115A34">
              <w:rPr>
                <w:sz w:val="19"/>
                <w:szCs w:val="19"/>
                <w:lang w:val="fr-FR"/>
              </w:rPr>
              <w:t>.</w:t>
            </w:r>
          </w:p>
          <w:p w14:paraId="51B0B5D1" w14:textId="148261A2" w:rsidR="00E2703D" w:rsidRPr="00115A34" w:rsidRDefault="003B2297" w:rsidP="009F6F9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Également mentionnée dans les Lignes directrices de conservation n</w:t>
            </w:r>
            <w:r w:rsidRPr="003B2297">
              <w:rPr>
                <w:sz w:val="19"/>
                <w:szCs w:val="19"/>
                <w:vertAlign w:val="superscript"/>
                <w:lang w:val="fr-FR"/>
              </w:rPr>
              <w:t>o</w:t>
            </w:r>
            <w:r>
              <w:rPr>
                <w:sz w:val="19"/>
                <w:szCs w:val="19"/>
                <w:lang w:val="fr-FR"/>
              </w:rPr>
              <w:t xml:space="preserve"> 14 de l’A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EWA (2012) </w:t>
            </w:r>
            <w:r>
              <w:rPr>
                <w:sz w:val="20"/>
                <w:szCs w:val="20"/>
                <w:lang w:val="fr-FR"/>
              </w:rPr>
              <w:t>sur la façon d’éviter ou d’atténuer</w:t>
            </w:r>
            <w:r w:rsidRPr="00115A34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l’</w:t>
            </w:r>
            <w:r w:rsidRPr="00115A34">
              <w:rPr>
                <w:sz w:val="20"/>
                <w:szCs w:val="20"/>
                <w:lang w:val="fr-FR"/>
              </w:rPr>
              <w:t xml:space="preserve">impact </w:t>
            </w:r>
            <w:r>
              <w:rPr>
                <w:sz w:val="20"/>
                <w:szCs w:val="20"/>
                <w:lang w:val="fr-FR"/>
              </w:rPr>
              <w:t>des lignes électriques sur</w:t>
            </w:r>
            <w:r w:rsidRPr="00115A34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les oiseaux migrateurs dans la région d’</w:t>
            </w:r>
            <w:r w:rsidRPr="00115A34">
              <w:rPr>
                <w:sz w:val="20"/>
                <w:szCs w:val="20"/>
                <w:lang w:val="fr-FR"/>
              </w:rPr>
              <w:t>Afri</w:t>
            </w:r>
            <w:r>
              <w:rPr>
                <w:sz w:val="20"/>
                <w:szCs w:val="20"/>
                <w:lang w:val="fr-FR"/>
              </w:rPr>
              <w:t>que</w:t>
            </w:r>
            <w:r w:rsidRPr="00115A34">
              <w:rPr>
                <w:sz w:val="20"/>
                <w:szCs w:val="20"/>
                <w:lang w:val="fr-FR"/>
              </w:rPr>
              <w:t>-Eurasi</w:t>
            </w:r>
            <w:r>
              <w:rPr>
                <w:sz w:val="20"/>
                <w:szCs w:val="20"/>
                <w:lang w:val="fr-FR"/>
              </w:rPr>
              <w:t>e</w:t>
            </w:r>
          </w:p>
        </w:tc>
        <w:tc>
          <w:tcPr>
            <w:tcW w:w="3006" w:type="dxa"/>
          </w:tcPr>
          <w:p w14:paraId="033BF5FD" w14:textId="62BECFEB" w:rsidR="00E2703D" w:rsidRPr="00115A34" w:rsidRDefault="003B2297" w:rsidP="00844A24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Recueillir et diffuser/</w:t>
            </w:r>
            <w:r w:rsidR="00844A24" w:rsidRPr="00115A34">
              <w:rPr>
                <w:sz w:val="19"/>
                <w:szCs w:val="19"/>
                <w:lang w:val="fr-FR"/>
              </w:rPr>
              <w:t>promo</w:t>
            </w:r>
            <w:r>
              <w:rPr>
                <w:sz w:val="19"/>
                <w:szCs w:val="19"/>
                <w:lang w:val="fr-FR"/>
              </w:rPr>
              <w:t>uvoir</w:t>
            </w:r>
            <w:r w:rsidR="00844A24" w:rsidRPr="00115A34">
              <w:rPr>
                <w:sz w:val="19"/>
                <w:szCs w:val="19"/>
                <w:lang w:val="fr-FR"/>
              </w:rPr>
              <w:t xml:space="preserve"> </w:t>
            </w:r>
            <w:r w:rsidR="00E86450">
              <w:rPr>
                <w:sz w:val="19"/>
                <w:szCs w:val="19"/>
                <w:lang w:val="fr-FR"/>
              </w:rPr>
              <w:t xml:space="preserve">des </w:t>
            </w:r>
            <w:r w:rsidR="00844A24" w:rsidRPr="00115A34">
              <w:rPr>
                <w:sz w:val="19"/>
                <w:szCs w:val="19"/>
                <w:lang w:val="fr-FR"/>
              </w:rPr>
              <w:t>ex</w:t>
            </w:r>
            <w:r w:rsidR="00E86450">
              <w:rPr>
                <w:sz w:val="19"/>
                <w:szCs w:val="19"/>
                <w:lang w:val="fr-FR"/>
              </w:rPr>
              <w:t>e</w:t>
            </w:r>
            <w:r w:rsidR="00844A24" w:rsidRPr="00115A34">
              <w:rPr>
                <w:sz w:val="19"/>
                <w:szCs w:val="19"/>
                <w:lang w:val="fr-FR"/>
              </w:rPr>
              <w:t xml:space="preserve">mples </w:t>
            </w:r>
            <w:r w:rsidR="00E86450">
              <w:rPr>
                <w:sz w:val="19"/>
                <w:szCs w:val="19"/>
                <w:lang w:val="fr-FR"/>
              </w:rPr>
              <w:t>d’innovations évolutives</w:t>
            </w:r>
            <w:r w:rsidR="00844A24" w:rsidRPr="00115A34">
              <w:rPr>
                <w:sz w:val="19"/>
                <w:szCs w:val="19"/>
                <w:lang w:val="fr-FR"/>
              </w:rPr>
              <w:t xml:space="preserve"> </w:t>
            </w:r>
            <w:r w:rsidR="00E86450">
              <w:rPr>
                <w:sz w:val="19"/>
                <w:szCs w:val="19"/>
                <w:lang w:val="fr-FR"/>
              </w:rPr>
              <w:t xml:space="preserve">dans les </w:t>
            </w:r>
            <w:r w:rsidR="00844A24" w:rsidRPr="00115A34">
              <w:rPr>
                <w:sz w:val="19"/>
                <w:szCs w:val="19"/>
                <w:lang w:val="fr-FR"/>
              </w:rPr>
              <w:t>techniques</w:t>
            </w:r>
            <w:r w:rsidR="00E86450">
              <w:rPr>
                <w:sz w:val="19"/>
                <w:szCs w:val="19"/>
                <w:lang w:val="fr-FR"/>
              </w:rPr>
              <w:t xml:space="preserve"> d’atténuation</w:t>
            </w:r>
            <w:r w:rsidR="00844A24" w:rsidRPr="00115A34">
              <w:rPr>
                <w:sz w:val="19"/>
                <w:szCs w:val="19"/>
                <w:lang w:val="fr-FR"/>
              </w:rPr>
              <w:t xml:space="preserve">, </w:t>
            </w:r>
            <w:r w:rsidR="00E86450">
              <w:rPr>
                <w:sz w:val="19"/>
                <w:szCs w:val="19"/>
                <w:lang w:val="fr-FR"/>
              </w:rPr>
              <w:t>et des exemples de mise en œuvre réus</w:t>
            </w:r>
            <w:r w:rsidR="00811D75">
              <w:rPr>
                <w:sz w:val="19"/>
                <w:szCs w:val="19"/>
                <w:lang w:val="fr-FR"/>
              </w:rPr>
              <w:t>s</w:t>
            </w:r>
            <w:r w:rsidR="00E86450">
              <w:rPr>
                <w:sz w:val="19"/>
                <w:szCs w:val="19"/>
                <w:lang w:val="fr-FR"/>
              </w:rPr>
              <w:t>ie</w:t>
            </w:r>
            <w:r w:rsidR="00844A24"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326B2D" w14:paraId="46469235" w14:textId="77777777" w:rsidTr="00506507">
        <w:trPr>
          <w:jc w:val="center"/>
        </w:trPr>
        <w:tc>
          <w:tcPr>
            <w:tcW w:w="3005" w:type="dxa"/>
          </w:tcPr>
          <w:p w14:paraId="48FF24E9" w14:textId="735154DF" w:rsidR="007722E8" w:rsidRPr="00115A34" w:rsidRDefault="00E86450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Rapport de la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Convention </w:t>
            </w:r>
            <w:r>
              <w:rPr>
                <w:sz w:val="19"/>
                <w:szCs w:val="19"/>
                <w:lang w:val="fr-FR"/>
              </w:rPr>
              <w:t>de Bern</w:t>
            </w:r>
            <w:r w:rsidR="00E36D54">
              <w:rPr>
                <w:sz w:val="19"/>
                <w:szCs w:val="19"/>
                <w:lang w:val="fr-FR"/>
              </w:rPr>
              <w:t>e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« 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Effets </w:t>
            </w:r>
            <w:r>
              <w:rPr>
                <w:sz w:val="19"/>
                <w:szCs w:val="19"/>
                <w:lang w:val="fr-FR"/>
              </w:rPr>
              <w:t>des parcs éoliens sur les oiseaux »</w:t>
            </w:r>
          </w:p>
        </w:tc>
        <w:tc>
          <w:tcPr>
            <w:tcW w:w="3005" w:type="dxa"/>
          </w:tcPr>
          <w:p w14:paraId="7F37E0B9" w14:textId="0ED4C70D" w:rsidR="007722E8" w:rsidRPr="00115A34" w:rsidRDefault="00481F3A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</w:t>
            </w:r>
            <w:r w:rsidR="00E86450">
              <w:rPr>
                <w:sz w:val="19"/>
                <w:szCs w:val="19"/>
                <w:lang w:val="fr-FR"/>
              </w:rPr>
              <w:t xml:space="preserve"> en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pr</w:t>
            </w:r>
            <w:r w:rsidR="00E86450">
              <w:rPr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sz w:val="19"/>
                <w:szCs w:val="19"/>
                <w:lang w:val="fr-FR"/>
              </w:rPr>
              <w:t>amb</w:t>
            </w:r>
            <w:r w:rsidR="00E86450">
              <w:rPr>
                <w:sz w:val="19"/>
                <w:szCs w:val="19"/>
                <w:lang w:val="fr-FR"/>
              </w:rPr>
              <w:t>u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le </w:t>
            </w:r>
            <w:r w:rsidR="00E86450">
              <w:rPr>
                <w:sz w:val="19"/>
                <w:szCs w:val="19"/>
                <w:lang w:val="fr-FR"/>
              </w:rPr>
              <w:t>de la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R</w:t>
            </w:r>
            <w:r w:rsidR="00E86450">
              <w:rPr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solution </w:t>
            </w:r>
            <w:r w:rsidR="00E86450">
              <w:rPr>
                <w:sz w:val="19"/>
                <w:szCs w:val="19"/>
                <w:lang w:val="fr-FR"/>
              </w:rPr>
              <w:t>MOP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5.16 (2012) </w:t>
            </w:r>
            <w:r w:rsidR="00E86450">
              <w:rPr>
                <w:sz w:val="19"/>
                <w:szCs w:val="19"/>
                <w:lang w:val="fr-FR"/>
              </w:rPr>
              <w:t>sur l’énergie renouvelable et les oiseaux d’eau migrateurs</w:t>
            </w:r>
          </w:p>
        </w:tc>
        <w:tc>
          <w:tcPr>
            <w:tcW w:w="3006" w:type="dxa"/>
          </w:tcPr>
          <w:p w14:paraId="1DB5107F" w14:textId="65249E10" w:rsidR="007722E8" w:rsidRPr="00115A34" w:rsidRDefault="00E86450" w:rsidP="00844A24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Étude et mise à jour des connaissances scientifiques</w:t>
            </w:r>
            <w:r w:rsidR="00844A24"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7D1931" w14:paraId="23827D59" w14:textId="77777777" w:rsidTr="00506507">
        <w:trPr>
          <w:jc w:val="center"/>
        </w:trPr>
        <w:tc>
          <w:tcPr>
            <w:tcW w:w="3005" w:type="dxa"/>
          </w:tcPr>
          <w:p w14:paraId="1C63CC54" w14:textId="1231DC56" w:rsidR="007722E8" w:rsidRPr="00115A34" w:rsidRDefault="007722E8" w:rsidP="005F7185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Recomm</w:t>
            </w:r>
            <w:r w:rsidR="00811D75">
              <w:rPr>
                <w:sz w:val="19"/>
                <w:szCs w:val="19"/>
                <w:lang w:val="fr-FR"/>
              </w:rPr>
              <w:t>a</w:t>
            </w:r>
            <w:r w:rsidRPr="00115A34">
              <w:rPr>
                <w:sz w:val="19"/>
                <w:szCs w:val="19"/>
                <w:lang w:val="fr-FR"/>
              </w:rPr>
              <w:t xml:space="preserve">ndation </w:t>
            </w:r>
            <w:r w:rsidR="00811D75">
              <w:rPr>
                <w:sz w:val="19"/>
                <w:szCs w:val="19"/>
                <w:lang w:val="fr-FR"/>
              </w:rPr>
              <w:t>n</w:t>
            </w:r>
            <w:r w:rsidRPr="00811D75">
              <w:rPr>
                <w:sz w:val="19"/>
                <w:szCs w:val="19"/>
                <w:vertAlign w:val="superscript"/>
                <w:lang w:val="fr-FR"/>
              </w:rPr>
              <w:t>o</w:t>
            </w:r>
            <w:r w:rsidRPr="00115A34">
              <w:rPr>
                <w:sz w:val="19"/>
                <w:szCs w:val="19"/>
                <w:lang w:val="fr-FR"/>
              </w:rPr>
              <w:t xml:space="preserve"> 109 (2004) </w:t>
            </w:r>
            <w:r w:rsidR="00811D75">
              <w:rPr>
                <w:sz w:val="19"/>
                <w:szCs w:val="19"/>
                <w:lang w:val="fr-FR"/>
              </w:rPr>
              <w:t>du Comité permanent de la Convention de Bern</w:t>
            </w:r>
            <w:r w:rsidR="00E36D54">
              <w:rPr>
                <w:sz w:val="19"/>
                <w:szCs w:val="19"/>
                <w:lang w:val="fr-FR"/>
              </w:rPr>
              <w:t>e</w:t>
            </w:r>
            <w:r w:rsidR="00811D75">
              <w:rPr>
                <w:sz w:val="19"/>
                <w:szCs w:val="19"/>
                <w:lang w:val="fr-FR"/>
              </w:rPr>
              <w:t xml:space="preserve"> sur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811D75">
              <w:rPr>
                <w:sz w:val="19"/>
                <w:szCs w:val="19"/>
                <w:lang w:val="fr-FR"/>
              </w:rPr>
              <w:t>l’atténuation des nuisances de la production d’énergie éolienne sur la vie sauvage</w:t>
            </w:r>
          </w:p>
        </w:tc>
        <w:tc>
          <w:tcPr>
            <w:tcW w:w="3005" w:type="dxa"/>
          </w:tcPr>
          <w:p w14:paraId="3BA27A86" w14:textId="094C1AE8" w:rsidR="007722E8" w:rsidRPr="00115A34" w:rsidRDefault="00481F3A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Mentionnée</w:t>
            </w:r>
            <w:r w:rsidR="0054198B">
              <w:rPr>
                <w:sz w:val="19"/>
                <w:szCs w:val="19"/>
                <w:lang w:val="fr-FR"/>
              </w:rPr>
              <w:t xml:space="preserve"> en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 pr</w:t>
            </w:r>
            <w:r w:rsidR="0054198B">
              <w:rPr>
                <w:sz w:val="19"/>
                <w:szCs w:val="19"/>
                <w:lang w:val="fr-FR"/>
              </w:rPr>
              <w:t>é</w:t>
            </w:r>
            <w:r w:rsidR="0054198B" w:rsidRPr="00115A34">
              <w:rPr>
                <w:sz w:val="19"/>
                <w:szCs w:val="19"/>
                <w:lang w:val="fr-FR"/>
              </w:rPr>
              <w:t>amb</w:t>
            </w:r>
            <w:r w:rsidR="0054198B">
              <w:rPr>
                <w:sz w:val="19"/>
                <w:szCs w:val="19"/>
                <w:lang w:val="fr-FR"/>
              </w:rPr>
              <w:t>u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le </w:t>
            </w:r>
            <w:r w:rsidR="0054198B">
              <w:rPr>
                <w:sz w:val="19"/>
                <w:szCs w:val="19"/>
                <w:lang w:val="fr-FR"/>
              </w:rPr>
              <w:t>de la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 R</w:t>
            </w:r>
            <w:r w:rsidR="0054198B">
              <w:rPr>
                <w:sz w:val="19"/>
                <w:szCs w:val="19"/>
                <w:lang w:val="fr-FR"/>
              </w:rPr>
              <w:t>é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solution </w:t>
            </w:r>
            <w:r w:rsidR="0054198B">
              <w:rPr>
                <w:sz w:val="19"/>
                <w:szCs w:val="19"/>
                <w:lang w:val="fr-FR"/>
              </w:rPr>
              <w:t>MOP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6.11 (2015) </w:t>
            </w:r>
            <w:r w:rsidR="0054198B">
              <w:rPr>
                <w:sz w:val="19"/>
                <w:szCs w:val="19"/>
                <w:lang w:val="fr-FR"/>
              </w:rPr>
              <w:t xml:space="preserve">sur la façon </w:t>
            </w:r>
            <w:r w:rsidR="0054198B">
              <w:rPr>
                <w:sz w:val="20"/>
                <w:szCs w:val="20"/>
                <w:lang w:val="fr-FR"/>
              </w:rPr>
              <w:t>dont gérer les incidences du déploiement des énergies renouvelables sur les oiseaux d’eau</w:t>
            </w:r>
          </w:p>
        </w:tc>
        <w:tc>
          <w:tcPr>
            <w:tcW w:w="3006" w:type="dxa"/>
          </w:tcPr>
          <w:p w14:paraId="63432F82" w14:textId="13E4EECE" w:rsidR="007722E8" w:rsidRPr="00115A34" w:rsidRDefault="00811D75" w:rsidP="00844A24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Recueillir et diffuser/</w:t>
            </w:r>
            <w:r w:rsidRPr="00115A34">
              <w:rPr>
                <w:sz w:val="19"/>
                <w:szCs w:val="19"/>
                <w:lang w:val="fr-FR"/>
              </w:rPr>
              <w:t>promo</w:t>
            </w:r>
            <w:r>
              <w:rPr>
                <w:sz w:val="19"/>
                <w:szCs w:val="19"/>
                <w:lang w:val="fr-FR"/>
              </w:rPr>
              <w:t>uvoir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 xml:space="preserve">des </w:t>
            </w:r>
            <w:r w:rsidRPr="00115A34">
              <w:rPr>
                <w:sz w:val="19"/>
                <w:szCs w:val="19"/>
                <w:lang w:val="fr-FR"/>
              </w:rPr>
              <w:t>ex</w:t>
            </w:r>
            <w:r>
              <w:rPr>
                <w:sz w:val="19"/>
                <w:szCs w:val="19"/>
                <w:lang w:val="fr-FR"/>
              </w:rPr>
              <w:t>e</w:t>
            </w:r>
            <w:r w:rsidRPr="00115A34">
              <w:rPr>
                <w:sz w:val="19"/>
                <w:szCs w:val="19"/>
                <w:lang w:val="fr-FR"/>
              </w:rPr>
              <w:t xml:space="preserve">mples </w:t>
            </w:r>
            <w:r>
              <w:rPr>
                <w:sz w:val="19"/>
                <w:szCs w:val="19"/>
                <w:lang w:val="fr-FR"/>
              </w:rPr>
              <w:t>d’innovations évolutives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 xml:space="preserve">dans les </w:t>
            </w:r>
            <w:r w:rsidRPr="00115A34">
              <w:rPr>
                <w:sz w:val="19"/>
                <w:szCs w:val="19"/>
                <w:lang w:val="fr-FR"/>
              </w:rPr>
              <w:t>techniques</w:t>
            </w:r>
            <w:r>
              <w:rPr>
                <w:sz w:val="19"/>
                <w:szCs w:val="19"/>
                <w:lang w:val="fr-FR"/>
              </w:rPr>
              <w:t xml:space="preserve"> d’atténuation</w:t>
            </w:r>
            <w:r w:rsidRPr="00115A34">
              <w:rPr>
                <w:sz w:val="19"/>
                <w:szCs w:val="19"/>
                <w:lang w:val="fr-FR"/>
              </w:rPr>
              <w:t xml:space="preserve">, </w:t>
            </w:r>
            <w:r>
              <w:rPr>
                <w:sz w:val="19"/>
                <w:szCs w:val="19"/>
                <w:lang w:val="fr-FR"/>
              </w:rPr>
              <w:t>et des exemples de mise en œuvre réussie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326B2D" w14:paraId="12B90860" w14:textId="77777777" w:rsidTr="00506507">
        <w:trPr>
          <w:jc w:val="center"/>
        </w:trPr>
        <w:tc>
          <w:tcPr>
            <w:tcW w:w="3005" w:type="dxa"/>
          </w:tcPr>
          <w:p w14:paraId="600F811E" w14:textId="1C645989" w:rsidR="007722E8" w:rsidRPr="00115A34" w:rsidRDefault="00811D75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D</w:t>
            </w:r>
            <w:r w:rsidR="007722E8" w:rsidRPr="00115A34">
              <w:rPr>
                <w:sz w:val="19"/>
                <w:szCs w:val="19"/>
                <w:lang w:val="fr-FR"/>
              </w:rPr>
              <w:t>ocument T-PVS/</w:t>
            </w:r>
            <w:proofErr w:type="spellStart"/>
            <w:r w:rsidR="007722E8" w:rsidRPr="00115A34">
              <w:rPr>
                <w:sz w:val="19"/>
                <w:szCs w:val="19"/>
                <w:lang w:val="fr-FR"/>
              </w:rPr>
              <w:t>Inf</w:t>
            </w:r>
            <w:proofErr w:type="spellEnd"/>
            <w:r w:rsidR="007722E8" w:rsidRPr="00115A34">
              <w:rPr>
                <w:sz w:val="19"/>
                <w:szCs w:val="19"/>
                <w:lang w:val="fr-FR"/>
              </w:rPr>
              <w:t xml:space="preserve"> (2013)15</w:t>
            </w:r>
            <w:r>
              <w:rPr>
                <w:sz w:val="19"/>
                <w:szCs w:val="19"/>
                <w:lang w:val="fr-FR"/>
              </w:rPr>
              <w:t xml:space="preserve"> de la </w:t>
            </w:r>
            <w:r w:rsidRPr="00115A34">
              <w:rPr>
                <w:sz w:val="19"/>
                <w:szCs w:val="19"/>
                <w:lang w:val="fr-FR"/>
              </w:rPr>
              <w:t>Convention</w:t>
            </w:r>
            <w:r>
              <w:rPr>
                <w:sz w:val="19"/>
                <w:szCs w:val="19"/>
                <w:lang w:val="fr-FR"/>
              </w:rPr>
              <w:t xml:space="preserve"> de Bern</w:t>
            </w:r>
            <w:r w:rsidR="00E36D54">
              <w:rPr>
                <w:sz w:val="19"/>
                <w:szCs w:val="19"/>
                <w:lang w:val="fr-FR"/>
              </w:rPr>
              <w:t>e</w:t>
            </w:r>
            <w:r>
              <w:rPr>
                <w:sz w:val="19"/>
                <w:szCs w:val="19"/>
                <w:lang w:val="fr-FR"/>
              </w:rPr>
              <w:t> 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: </w:t>
            </w:r>
            <w:r w:rsidR="00225CBF">
              <w:rPr>
                <w:sz w:val="19"/>
                <w:szCs w:val="19"/>
                <w:lang w:val="fr-FR"/>
              </w:rPr>
              <w:t>« </w:t>
            </w:r>
            <w:r w:rsidR="00E36D54">
              <w:rPr>
                <w:sz w:val="19"/>
                <w:szCs w:val="19"/>
                <w:lang w:val="fr-FR"/>
              </w:rPr>
              <w:t>P</w:t>
            </w:r>
            <w:r w:rsidR="00225CBF">
              <w:rPr>
                <w:sz w:val="19"/>
                <w:szCs w:val="19"/>
                <w:lang w:val="fr-FR"/>
              </w:rPr>
              <w:t>arcs éoliens et oiseaux 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: </w:t>
            </w:r>
            <w:r w:rsidR="00225CBF">
              <w:rPr>
                <w:sz w:val="19"/>
                <w:szCs w:val="19"/>
                <w:lang w:val="fr-FR"/>
              </w:rPr>
              <w:t xml:space="preserve">une analyse </w:t>
            </w:r>
            <w:r w:rsidR="00E36D54">
              <w:rPr>
                <w:sz w:val="19"/>
                <w:szCs w:val="19"/>
                <w:lang w:val="fr-FR"/>
              </w:rPr>
              <w:t>actualisée des effets des</w:t>
            </w:r>
            <w:r w:rsidR="00225CBF">
              <w:rPr>
                <w:sz w:val="19"/>
                <w:szCs w:val="19"/>
                <w:lang w:val="fr-FR"/>
              </w:rPr>
              <w:t xml:space="preserve"> parcs éoliens sur les oiseaux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, </w:t>
            </w:r>
            <w:r w:rsidR="00225CBF">
              <w:rPr>
                <w:sz w:val="19"/>
                <w:szCs w:val="19"/>
                <w:lang w:val="fr-FR"/>
              </w:rPr>
              <w:t xml:space="preserve">et </w:t>
            </w:r>
            <w:r w:rsidR="00E36D54">
              <w:rPr>
                <w:sz w:val="19"/>
                <w:szCs w:val="19"/>
                <w:lang w:val="fr-FR"/>
              </w:rPr>
              <w:t>des orientations sur les</w:t>
            </w:r>
            <w:r w:rsidR="00225CBF">
              <w:rPr>
                <w:sz w:val="19"/>
                <w:szCs w:val="19"/>
                <w:lang w:val="fr-FR"/>
              </w:rPr>
              <w:t xml:space="preserve"> </w:t>
            </w:r>
            <w:r w:rsidR="00E36D54">
              <w:rPr>
                <w:sz w:val="19"/>
                <w:szCs w:val="19"/>
                <w:lang w:val="fr-FR"/>
              </w:rPr>
              <w:t>meilleures</w:t>
            </w:r>
            <w:r w:rsidR="00225CBF">
              <w:rPr>
                <w:sz w:val="19"/>
                <w:szCs w:val="19"/>
                <w:lang w:val="fr-FR"/>
              </w:rPr>
              <w:t xml:space="preserve"> pratique</w:t>
            </w:r>
            <w:r w:rsidR="00C9020F">
              <w:rPr>
                <w:sz w:val="19"/>
                <w:szCs w:val="19"/>
                <w:lang w:val="fr-FR"/>
              </w:rPr>
              <w:t>s de</w:t>
            </w:r>
            <w:r w:rsidR="00225CBF">
              <w:rPr>
                <w:sz w:val="19"/>
                <w:szCs w:val="19"/>
                <w:lang w:val="fr-FR"/>
              </w:rPr>
              <w:t xml:space="preserve"> planification </w:t>
            </w:r>
            <w:r w:rsidR="00C9020F">
              <w:rPr>
                <w:sz w:val="19"/>
                <w:szCs w:val="19"/>
                <w:lang w:val="fr-FR"/>
              </w:rPr>
              <w:t>intégrée et d’évaluation de</w:t>
            </w:r>
            <w:r w:rsidR="00225CBF">
              <w:rPr>
                <w:sz w:val="19"/>
                <w:szCs w:val="19"/>
                <w:lang w:val="fr-FR"/>
              </w:rPr>
              <w:t xml:space="preserve"> l’impact »</w:t>
            </w:r>
          </w:p>
        </w:tc>
        <w:tc>
          <w:tcPr>
            <w:tcW w:w="3005" w:type="dxa"/>
          </w:tcPr>
          <w:p w14:paraId="4DD9482B" w14:textId="6CEF9607" w:rsidR="007722E8" w:rsidRPr="00115A34" w:rsidRDefault="00481F3A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</w:t>
            </w:r>
            <w:r w:rsidR="00E36D54">
              <w:rPr>
                <w:sz w:val="19"/>
                <w:szCs w:val="19"/>
                <w:lang w:val="fr-FR"/>
              </w:rPr>
              <w:t xml:space="preserve"> </w:t>
            </w:r>
            <w:r w:rsidR="00C9020F">
              <w:rPr>
                <w:sz w:val="19"/>
                <w:szCs w:val="19"/>
                <w:lang w:val="fr-FR"/>
              </w:rPr>
              <w:t>en préambule de la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R</w:t>
            </w:r>
            <w:r w:rsidR="00C9020F">
              <w:rPr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solution </w:t>
            </w:r>
            <w:r w:rsidR="00C9020F">
              <w:rPr>
                <w:sz w:val="19"/>
                <w:szCs w:val="19"/>
                <w:lang w:val="fr-FR"/>
              </w:rPr>
              <w:t>MOP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6.11 (2015) </w:t>
            </w:r>
            <w:r w:rsidR="00C9020F">
              <w:rPr>
                <w:sz w:val="19"/>
                <w:szCs w:val="19"/>
                <w:lang w:val="fr-FR"/>
              </w:rPr>
              <w:t xml:space="preserve">sur la façon </w:t>
            </w:r>
            <w:r w:rsidR="00C9020F">
              <w:rPr>
                <w:sz w:val="20"/>
                <w:szCs w:val="20"/>
                <w:lang w:val="fr-FR"/>
              </w:rPr>
              <w:t>dont gérer les incidences du déploiement des énergies renouvelables sur les oiseaux d’eau</w:t>
            </w:r>
            <w:r w:rsidR="00C9020F" w:rsidRPr="00115A34">
              <w:rPr>
                <w:sz w:val="19"/>
                <w:szCs w:val="19"/>
                <w:lang w:val="fr-FR"/>
              </w:rPr>
              <w:t xml:space="preserve"> </w:t>
            </w:r>
            <w:r w:rsidR="00C9020F">
              <w:rPr>
                <w:sz w:val="19"/>
                <w:szCs w:val="19"/>
                <w:lang w:val="fr-FR"/>
              </w:rPr>
              <w:t>et dans « Technologies liées aux énergies renouvelables et espèces migratrices 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: </w:t>
            </w:r>
            <w:r w:rsidR="00C9020F">
              <w:rPr>
                <w:sz w:val="19"/>
                <w:szCs w:val="19"/>
                <w:lang w:val="fr-FR"/>
              </w:rPr>
              <w:t>lignes directrices pour un déploiement durable »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(document </w:t>
            </w:r>
            <w:r w:rsidR="00C9020F">
              <w:rPr>
                <w:sz w:val="19"/>
                <w:szCs w:val="19"/>
                <w:lang w:val="fr-FR"/>
              </w:rPr>
              <w:t>MOP</w:t>
            </w:r>
            <w:r w:rsidR="007722E8" w:rsidRPr="00115A34">
              <w:rPr>
                <w:sz w:val="19"/>
                <w:szCs w:val="19"/>
                <w:lang w:val="fr-FR"/>
              </w:rPr>
              <w:t>6.37, 2015</w:t>
            </w:r>
            <w:r w:rsidR="00C9020F">
              <w:rPr>
                <w:sz w:val="19"/>
                <w:szCs w:val="19"/>
                <w:lang w:val="fr-FR"/>
              </w:rPr>
              <w:t xml:space="preserve"> de l’AEWA</w:t>
            </w:r>
            <w:r w:rsidR="007722E8" w:rsidRPr="00115A34">
              <w:rPr>
                <w:sz w:val="19"/>
                <w:szCs w:val="19"/>
                <w:lang w:val="fr-FR"/>
              </w:rPr>
              <w:t>)</w:t>
            </w:r>
          </w:p>
        </w:tc>
        <w:tc>
          <w:tcPr>
            <w:tcW w:w="3006" w:type="dxa"/>
          </w:tcPr>
          <w:p w14:paraId="23B28585" w14:textId="414C0681" w:rsidR="007722E8" w:rsidRPr="00115A34" w:rsidRDefault="00C9020F" w:rsidP="00844A24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Étudier et mettre à jour les connaissances scientifiques et les conseils sur les meilleures pratiques</w:t>
            </w:r>
            <w:r w:rsidR="00844A24"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7D1931" w14:paraId="0ED47DB4" w14:textId="77777777" w:rsidTr="00506507">
        <w:trPr>
          <w:jc w:val="center"/>
        </w:trPr>
        <w:tc>
          <w:tcPr>
            <w:tcW w:w="3005" w:type="dxa"/>
          </w:tcPr>
          <w:p w14:paraId="5F83022C" w14:textId="314F9D4F" w:rsidR="007722E8" w:rsidRPr="00115A34" w:rsidRDefault="00C9020F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Recommandation n</w:t>
            </w:r>
            <w:r w:rsidRPr="00CD49DF">
              <w:rPr>
                <w:sz w:val="19"/>
                <w:szCs w:val="19"/>
                <w:vertAlign w:val="superscript"/>
                <w:lang w:val="fr-FR"/>
              </w:rPr>
              <w:t>o</w:t>
            </w:r>
            <w:r>
              <w:rPr>
                <w:sz w:val="19"/>
                <w:szCs w:val="19"/>
                <w:lang w:val="fr-FR"/>
              </w:rPr>
              <w:t xml:space="preserve"> 110 (2004) du Comité permanent de la Convention de </w:t>
            </w:r>
            <w:r w:rsidRPr="00115A34">
              <w:rPr>
                <w:sz w:val="19"/>
                <w:szCs w:val="19"/>
                <w:lang w:val="fr-FR"/>
              </w:rPr>
              <w:t>Bern</w:t>
            </w:r>
            <w:r>
              <w:rPr>
                <w:sz w:val="19"/>
                <w:szCs w:val="19"/>
                <w:lang w:val="fr-FR"/>
              </w:rPr>
              <w:t>e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 xml:space="preserve">sur l’atténuation des nuisances des installations aériennes </w:t>
            </w:r>
            <w:r>
              <w:rPr>
                <w:sz w:val="19"/>
                <w:szCs w:val="19"/>
                <w:lang w:val="fr-FR"/>
              </w:rPr>
              <w:lastRenderedPageBreak/>
              <w:t>de transport d’électricité (lignes électriques)  pour les oiseaux</w:t>
            </w:r>
          </w:p>
        </w:tc>
        <w:tc>
          <w:tcPr>
            <w:tcW w:w="3005" w:type="dxa"/>
          </w:tcPr>
          <w:p w14:paraId="3FF72DC6" w14:textId="3CCE6446" w:rsidR="007722E8" w:rsidRPr="00115A34" w:rsidRDefault="00481F3A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lastRenderedPageBreak/>
              <w:t>Mentionnée</w:t>
            </w:r>
            <w:r w:rsidR="0054198B">
              <w:rPr>
                <w:sz w:val="19"/>
                <w:szCs w:val="19"/>
                <w:lang w:val="fr-FR"/>
              </w:rPr>
              <w:t xml:space="preserve"> en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 pr</w:t>
            </w:r>
            <w:r w:rsidR="0054198B">
              <w:rPr>
                <w:sz w:val="19"/>
                <w:szCs w:val="19"/>
                <w:lang w:val="fr-FR"/>
              </w:rPr>
              <w:t>é</w:t>
            </w:r>
            <w:r w:rsidR="0054198B" w:rsidRPr="00115A34">
              <w:rPr>
                <w:sz w:val="19"/>
                <w:szCs w:val="19"/>
                <w:lang w:val="fr-FR"/>
              </w:rPr>
              <w:t>amb</w:t>
            </w:r>
            <w:r w:rsidR="0054198B">
              <w:rPr>
                <w:sz w:val="19"/>
                <w:szCs w:val="19"/>
                <w:lang w:val="fr-FR"/>
              </w:rPr>
              <w:t>u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le </w:t>
            </w:r>
            <w:r w:rsidR="0054198B">
              <w:rPr>
                <w:sz w:val="19"/>
                <w:szCs w:val="19"/>
                <w:lang w:val="fr-FR"/>
              </w:rPr>
              <w:t>de la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 R</w:t>
            </w:r>
            <w:r w:rsidR="0054198B">
              <w:rPr>
                <w:sz w:val="19"/>
                <w:szCs w:val="19"/>
                <w:lang w:val="fr-FR"/>
              </w:rPr>
              <w:t>é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solution </w:t>
            </w:r>
            <w:r w:rsidR="0054198B">
              <w:rPr>
                <w:sz w:val="19"/>
                <w:szCs w:val="19"/>
                <w:lang w:val="fr-FR"/>
              </w:rPr>
              <w:t>MOP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6.11 (2015) </w:t>
            </w:r>
            <w:r w:rsidR="0054198B">
              <w:rPr>
                <w:sz w:val="19"/>
                <w:szCs w:val="19"/>
                <w:lang w:val="fr-FR"/>
              </w:rPr>
              <w:t xml:space="preserve">sur la façon </w:t>
            </w:r>
            <w:r w:rsidR="0054198B">
              <w:rPr>
                <w:sz w:val="20"/>
                <w:szCs w:val="20"/>
                <w:lang w:val="fr-FR"/>
              </w:rPr>
              <w:t xml:space="preserve">dont gérer les incidences du déploiement des énergies </w:t>
            </w:r>
            <w:r w:rsidR="0054198B">
              <w:rPr>
                <w:sz w:val="20"/>
                <w:szCs w:val="20"/>
                <w:lang w:val="fr-FR"/>
              </w:rPr>
              <w:lastRenderedPageBreak/>
              <w:t>renouvelables sur les oiseaux d’eau</w:t>
            </w:r>
          </w:p>
        </w:tc>
        <w:tc>
          <w:tcPr>
            <w:tcW w:w="3006" w:type="dxa"/>
          </w:tcPr>
          <w:p w14:paraId="08A3CBF7" w14:textId="2D9F8018" w:rsidR="007722E8" w:rsidRPr="00115A34" w:rsidRDefault="00811D75" w:rsidP="00844A24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lastRenderedPageBreak/>
              <w:t>Recueillir et diffuser/</w:t>
            </w:r>
            <w:r w:rsidRPr="00115A34">
              <w:rPr>
                <w:sz w:val="19"/>
                <w:szCs w:val="19"/>
                <w:lang w:val="fr-FR"/>
              </w:rPr>
              <w:t>promo</w:t>
            </w:r>
            <w:r>
              <w:rPr>
                <w:sz w:val="19"/>
                <w:szCs w:val="19"/>
                <w:lang w:val="fr-FR"/>
              </w:rPr>
              <w:t>uvoir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 xml:space="preserve">des </w:t>
            </w:r>
            <w:r w:rsidRPr="00115A34">
              <w:rPr>
                <w:sz w:val="19"/>
                <w:szCs w:val="19"/>
                <w:lang w:val="fr-FR"/>
              </w:rPr>
              <w:t>ex</w:t>
            </w:r>
            <w:r>
              <w:rPr>
                <w:sz w:val="19"/>
                <w:szCs w:val="19"/>
                <w:lang w:val="fr-FR"/>
              </w:rPr>
              <w:t>e</w:t>
            </w:r>
            <w:r w:rsidRPr="00115A34">
              <w:rPr>
                <w:sz w:val="19"/>
                <w:szCs w:val="19"/>
                <w:lang w:val="fr-FR"/>
              </w:rPr>
              <w:t xml:space="preserve">mples </w:t>
            </w:r>
            <w:r>
              <w:rPr>
                <w:sz w:val="19"/>
                <w:szCs w:val="19"/>
                <w:lang w:val="fr-FR"/>
              </w:rPr>
              <w:t>d’innovations évolutives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 xml:space="preserve">dans les </w:t>
            </w:r>
            <w:r w:rsidRPr="00115A34">
              <w:rPr>
                <w:sz w:val="19"/>
                <w:szCs w:val="19"/>
                <w:lang w:val="fr-FR"/>
              </w:rPr>
              <w:t>techniques</w:t>
            </w:r>
            <w:r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lastRenderedPageBreak/>
              <w:t>d’atténuation</w:t>
            </w:r>
            <w:r w:rsidRPr="00115A34">
              <w:rPr>
                <w:sz w:val="19"/>
                <w:szCs w:val="19"/>
                <w:lang w:val="fr-FR"/>
              </w:rPr>
              <w:t xml:space="preserve">, </w:t>
            </w:r>
            <w:r>
              <w:rPr>
                <w:sz w:val="19"/>
                <w:szCs w:val="19"/>
                <w:lang w:val="fr-FR"/>
              </w:rPr>
              <w:t>et des exemples de mise en œuvre réussie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115A34" w14:paraId="23F6DA8E" w14:textId="77777777" w:rsidTr="00506507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08E713FF" w14:textId="71D6A6FC" w:rsidR="007722E8" w:rsidRPr="00115A34" w:rsidRDefault="007722E8" w:rsidP="005F7185">
            <w:pPr>
              <w:spacing w:before="20" w:after="20"/>
              <w:rPr>
                <w:b/>
                <w:i/>
                <w:color w:val="000066"/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lastRenderedPageBreak/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Convention</w:t>
            </w:r>
            <w:r w:rsidR="00C9020F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de Ramsar</w:t>
            </w:r>
          </w:p>
        </w:tc>
      </w:tr>
      <w:tr w:rsidR="007722E8" w:rsidRPr="00326B2D" w14:paraId="7841B2DD" w14:textId="77777777" w:rsidTr="00506507">
        <w:trPr>
          <w:jc w:val="center"/>
        </w:trPr>
        <w:tc>
          <w:tcPr>
            <w:tcW w:w="3005" w:type="dxa"/>
          </w:tcPr>
          <w:p w14:paraId="502B46E9" w14:textId="2C6F9CE1" w:rsidR="007722E8" w:rsidRPr="00115A34" w:rsidRDefault="00C9020F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Résolution 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X.25 </w:t>
            </w:r>
            <w:r>
              <w:rPr>
                <w:sz w:val="19"/>
                <w:szCs w:val="19"/>
                <w:lang w:val="fr-FR"/>
              </w:rPr>
              <w:t xml:space="preserve">de </w:t>
            </w:r>
            <w:r w:rsidR="00A32C43">
              <w:rPr>
                <w:sz w:val="19"/>
                <w:szCs w:val="19"/>
                <w:lang w:val="fr-FR"/>
              </w:rPr>
              <w:t xml:space="preserve">la Convention de </w:t>
            </w:r>
            <w:r>
              <w:rPr>
                <w:sz w:val="19"/>
                <w:szCs w:val="19"/>
                <w:lang w:val="fr-FR"/>
              </w:rPr>
              <w:t xml:space="preserve">Ramsar 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(2008) </w:t>
            </w:r>
            <w:r>
              <w:rPr>
                <w:sz w:val="19"/>
                <w:szCs w:val="19"/>
                <w:lang w:val="fr-FR"/>
              </w:rPr>
              <w:t>sur les zones humides et les biocarburants</w:t>
            </w:r>
          </w:p>
        </w:tc>
        <w:tc>
          <w:tcPr>
            <w:tcW w:w="3005" w:type="dxa"/>
          </w:tcPr>
          <w:p w14:paraId="274C43DE" w14:textId="23EB2944" w:rsidR="007722E8" w:rsidRPr="00115A34" w:rsidRDefault="00A32C43" w:rsidP="00E2703D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La s</w:t>
            </w:r>
            <w:r w:rsidR="00C9020F">
              <w:rPr>
                <w:sz w:val="19"/>
                <w:szCs w:val="19"/>
                <w:lang w:val="fr-FR"/>
              </w:rPr>
              <w:t xml:space="preserve">ection opérationnelle de la </w:t>
            </w:r>
            <w:r w:rsidR="007722E8" w:rsidRPr="00115A34">
              <w:rPr>
                <w:sz w:val="19"/>
                <w:szCs w:val="19"/>
                <w:lang w:val="fr-FR"/>
              </w:rPr>
              <w:t>R</w:t>
            </w:r>
            <w:r w:rsidR="00C9020F">
              <w:rPr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solution </w:t>
            </w:r>
            <w:r w:rsidR="00C9020F">
              <w:rPr>
                <w:sz w:val="19"/>
                <w:szCs w:val="19"/>
                <w:lang w:val="fr-FR"/>
              </w:rPr>
              <w:t>MOP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5.16 (2012) </w:t>
            </w:r>
            <w:r w:rsidR="00C9020F">
              <w:rPr>
                <w:sz w:val="19"/>
                <w:szCs w:val="19"/>
                <w:lang w:val="fr-FR"/>
              </w:rPr>
              <w:t>sur l’énergie renouvelable et les oiseaux d’eau migrateurs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exhorte les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 Parties </w:t>
            </w:r>
            <w:r>
              <w:rPr>
                <w:sz w:val="19"/>
                <w:szCs w:val="19"/>
                <w:lang w:val="fr-FR"/>
              </w:rPr>
              <w:t>à l’AEWA à réduire les effets potentiels négatifs de la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 production </w:t>
            </w:r>
            <w:r>
              <w:rPr>
                <w:sz w:val="19"/>
                <w:szCs w:val="19"/>
                <w:lang w:val="fr-FR"/>
              </w:rPr>
              <w:t>de biocarburant sur les oiseaux d’eau, en se basant sur les approches définies dans la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 R</w:t>
            </w:r>
            <w:r>
              <w:rPr>
                <w:sz w:val="19"/>
                <w:szCs w:val="19"/>
                <w:lang w:val="fr-FR"/>
              </w:rPr>
              <w:t>é</w:t>
            </w:r>
            <w:r w:rsidR="00E2703D" w:rsidRPr="00115A34">
              <w:rPr>
                <w:sz w:val="19"/>
                <w:szCs w:val="19"/>
                <w:lang w:val="fr-FR"/>
              </w:rPr>
              <w:t>solution X.25</w:t>
            </w:r>
            <w:r>
              <w:rPr>
                <w:sz w:val="19"/>
                <w:szCs w:val="19"/>
                <w:lang w:val="fr-FR"/>
              </w:rPr>
              <w:t xml:space="preserve"> de la Convention de Ramsar</w:t>
            </w:r>
          </w:p>
        </w:tc>
        <w:tc>
          <w:tcPr>
            <w:tcW w:w="3006" w:type="dxa"/>
          </w:tcPr>
          <w:p w14:paraId="341B93B2" w14:textId="73E8B416" w:rsidR="006C5284" w:rsidRPr="00115A34" w:rsidRDefault="00A32C43" w:rsidP="006C5284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Les </w:t>
            </w:r>
            <w:r w:rsidR="006C5284" w:rsidRPr="00115A34">
              <w:rPr>
                <w:sz w:val="19"/>
                <w:szCs w:val="19"/>
                <w:lang w:val="fr-FR"/>
              </w:rPr>
              <w:t xml:space="preserve">Parties </w:t>
            </w:r>
            <w:r>
              <w:rPr>
                <w:sz w:val="19"/>
                <w:szCs w:val="19"/>
                <w:lang w:val="fr-FR"/>
              </w:rPr>
              <w:t xml:space="preserve">Ramsar rendent compte de leurs </w:t>
            </w:r>
            <w:r w:rsidR="006C5284" w:rsidRPr="00115A34">
              <w:rPr>
                <w:sz w:val="19"/>
                <w:szCs w:val="19"/>
                <w:lang w:val="fr-FR"/>
              </w:rPr>
              <w:t>action</w:t>
            </w:r>
            <w:r>
              <w:rPr>
                <w:sz w:val="19"/>
                <w:szCs w:val="19"/>
                <w:lang w:val="fr-FR"/>
              </w:rPr>
              <w:t>s par le biais des rapports nationaux</w:t>
            </w:r>
            <w:r w:rsidR="006C5284" w:rsidRPr="00115A34">
              <w:rPr>
                <w:sz w:val="19"/>
                <w:szCs w:val="19"/>
                <w:lang w:val="fr-FR"/>
              </w:rPr>
              <w:t>.</w:t>
            </w:r>
          </w:p>
          <w:p w14:paraId="33D472B7" w14:textId="6630658F" w:rsidR="007722E8" w:rsidRPr="00115A34" w:rsidRDefault="00E65BB6" w:rsidP="006C5284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Suivi de la prise en compte </w:t>
            </w:r>
            <w:r w:rsidR="00634C1A">
              <w:rPr>
                <w:sz w:val="19"/>
                <w:szCs w:val="19"/>
                <w:lang w:val="fr-FR"/>
              </w:rPr>
              <w:t xml:space="preserve">lors des futures COP de </w:t>
            </w:r>
            <w:r w:rsidR="006C5284" w:rsidRPr="00115A34">
              <w:rPr>
                <w:sz w:val="19"/>
                <w:szCs w:val="19"/>
                <w:lang w:val="fr-FR"/>
              </w:rPr>
              <w:t>Ramsar.</w:t>
            </w:r>
          </w:p>
        </w:tc>
      </w:tr>
      <w:tr w:rsidR="007722E8" w:rsidRPr="00326B2D" w14:paraId="0082DA31" w14:textId="77777777" w:rsidTr="00506507">
        <w:trPr>
          <w:jc w:val="center"/>
        </w:trPr>
        <w:tc>
          <w:tcPr>
            <w:tcW w:w="3005" w:type="dxa"/>
          </w:tcPr>
          <w:p w14:paraId="0B77C711" w14:textId="168975AA" w:rsidR="007722E8" w:rsidRPr="00115A34" w:rsidRDefault="00634C1A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Avant-projet de rapport technique de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Ramsar </w:t>
            </w:r>
            <w:r>
              <w:rPr>
                <w:sz w:val="19"/>
                <w:szCs w:val="19"/>
                <w:lang w:val="fr-FR"/>
              </w:rPr>
              <w:t>« Zones humides et questions énergétiques 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: </w:t>
            </w:r>
            <w:r>
              <w:rPr>
                <w:sz w:val="19"/>
                <w:szCs w:val="19"/>
                <w:lang w:val="fr-FR"/>
              </w:rPr>
              <w:t xml:space="preserve">une étude des conséquences </w:t>
            </w:r>
            <w:r w:rsidR="00886BF5">
              <w:rPr>
                <w:sz w:val="19"/>
                <w:szCs w:val="19"/>
                <w:lang w:val="fr-FR"/>
              </w:rPr>
              <w:t>éventuelles des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poli</w:t>
            </w:r>
            <w:r w:rsidR="00886BF5">
              <w:rPr>
                <w:sz w:val="19"/>
                <w:szCs w:val="19"/>
                <w:lang w:val="fr-FR"/>
              </w:rPr>
              <w:t>tiques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, plans </w:t>
            </w:r>
            <w:r w:rsidR="00886BF5">
              <w:rPr>
                <w:sz w:val="19"/>
                <w:szCs w:val="19"/>
                <w:lang w:val="fr-FR"/>
              </w:rPr>
              <w:t>et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activit</w:t>
            </w:r>
            <w:r w:rsidR="00886BF5">
              <w:rPr>
                <w:sz w:val="19"/>
                <w:szCs w:val="19"/>
                <w:lang w:val="fr-FR"/>
              </w:rPr>
              <w:t>é</w:t>
            </w:r>
            <w:r w:rsidR="00E21CD6">
              <w:rPr>
                <w:sz w:val="19"/>
                <w:szCs w:val="19"/>
                <w:lang w:val="fr-FR"/>
              </w:rPr>
              <w:t>s</w:t>
            </w:r>
            <w:r w:rsidR="00886BF5">
              <w:rPr>
                <w:sz w:val="19"/>
                <w:szCs w:val="19"/>
                <w:lang w:val="fr-FR"/>
              </w:rPr>
              <w:t xml:space="preserve"> dans le secteur de l’énergie, pour l’utilisation judicieuse des zones humides »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(</w:t>
            </w:r>
            <w:r w:rsidR="00886BF5">
              <w:rPr>
                <w:sz w:val="19"/>
                <w:szCs w:val="19"/>
                <w:lang w:val="fr-FR"/>
              </w:rPr>
              <w:t>résumé fourni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</w:t>
            </w:r>
            <w:r w:rsidR="00886BF5">
              <w:rPr>
                <w:sz w:val="19"/>
                <w:szCs w:val="19"/>
                <w:lang w:val="fr-FR"/>
              </w:rPr>
              <w:t>à la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COP11 (2012) </w:t>
            </w:r>
            <w:r w:rsidR="00886BF5">
              <w:rPr>
                <w:sz w:val="19"/>
                <w:szCs w:val="19"/>
                <w:lang w:val="fr-FR"/>
              </w:rPr>
              <w:t>dans le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DOC. 28, </w:t>
            </w:r>
            <w:r w:rsidR="00886BF5">
              <w:rPr>
                <w:sz w:val="19"/>
                <w:szCs w:val="19"/>
                <w:lang w:val="fr-FR"/>
              </w:rPr>
              <w:t xml:space="preserve">mais le rapport technique lui-même </w:t>
            </w:r>
            <w:r w:rsidR="00E21CD6">
              <w:rPr>
                <w:sz w:val="19"/>
                <w:szCs w:val="19"/>
                <w:lang w:val="fr-FR"/>
              </w:rPr>
              <w:t>n'</w:t>
            </w:r>
            <w:r w:rsidR="00886BF5">
              <w:rPr>
                <w:sz w:val="19"/>
                <w:szCs w:val="19"/>
                <w:lang w:val="fr-FR"/>
              </w:rPr>
              <w:t>a</w:t>
            </w:r>
            <w:r w:rsidR="00E21CD6">
              <w:rPr>
                <w:sz w:val="19"/>
                <w:szCs w:val="19"/>
                <w:lang w:val="fr-FR"/>
              </w:rPr>
              <w:t xml:space="preserve"> </w:t>
            </w:r>
            <w:r w:rsidR="00886BF5">
              <w:rPr>
                <w:sz w:val="19"/>
                <w:szCs w:val="19"/>
                <w:lang w:val="fr-FR"/>
              </w:rPr>
              <w:t>jamais été publié </w:t>
            </w:r>
            <w:r w:rsidR="007722E8" w:rsidRPr="00115A34">
              <w:rPr>
                <w:sz w:val="19"/>
                <w:szCs w:val="19"/>
                <w:lang w:val="fr-FR"/>
              </w:rPr>
              <w:t>?)</w:t>
            </w:r>
          </w:p>
        </w:tc>
        <w:tc>
          <w:tcPr>
            <w:tcW w:w="3005" w:type="dxa"/>
          </w:tcPr>
          <w:p w14:paraId="0D1C978B" w14:textId="7456F69A" w:rsidR="007722E8" w:rsidRPr="00115A34" w:rsidRDefault="00886BF5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Avant-projet </w:t>
            </w:r>
            <w:r w:rsidR="00E21CD6">
              <w:rPr>
                <w:sz w:val="19"/>
                <w:szCs w:val="19"/>
                <w:lang w:val="fr-FR"/>
              </w:rPr>
              <w:t>mentionné</w:t>
            </w:r>
            <w:r>
              <w:rPr>
                <w:sz w:val="19"/>
                <w:szCs w:val="19"/>
                <w:lang w:val="fr-FR"/>
              </w:rPr>
              <w:t xml:space="preserve"> en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pr</w:t>
            </w:r>
            <w:r>
              <w:rPr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sz w:val="19"/>
                <w:szCs w:val="19"/>
                <w:lang w:val="fr-FR"/>
              </w:rPr>
              <w:t>amb</w:t>
            </w:r>
            <w:r>
              <w:rPr>
                <w:sz w:val="19"/>
                <w:szCs w:val="19"/>
                <w:lang w:val="fr-FR"/>
              </w:rPr>
              <w:t>u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le </w:t>
            </w:r>
            <w:r>
              <w:rPr>
                <w:sz w:val="19"/>
                <w:szCs w:val="19"/>
                <w:lang w:val="fr-FR"/>
              </w:rPr>
              <w:t>de la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R</w:t>
            </w:r>
            <w:r>
              <w:rPr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solution </w:t>
            </w:r>
            <w:r>
              <w:rPr>
                <w:sz w:val="19"/>
                <w:szCs w:val="19"/>
                <w:lang w:val="fr-FR"/>
              </w:rPr>
              <w:t>MOP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5.16 (2012) </w:t>
            </w:r>
            <w:r>
              <w:rPr>
                <w:sz w:val="19"/>
                <w:szCs w:val="19"/>
                <w:lang w:val="fr-FR"/>
              </w:rPr>
              <w:t>sur l’énergie renouvelable et les oiseaux d’eau migrateurs</w:t>
            </w:r>
          </w:p>
        </w:tc>
        <w:tc>
          <w:tcPr>
            <w:tcW w:w="3006" w:type="dxa"/>
          </w:tcPr>
          <w:p w14:paraId="1CEE6419" w14:textId="1A0C9E5C" w:rsidR="007722E8" w:rsidRPr="00115A34" w:rsidRDefault="00E21CD6" w:rsidP="006C5284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Suivi de la prise en compte</w:t>
            </w:r>
            <w:r w:rsidR="00886BF5">
              <w:rPr>
                <w:sz w:val="19"/>
                <w:szCs w:val="19"/>
                <w:lang w:val="fr-FR"/>
              </w:rPr>
              <w:t xml:space="preserve"> à la COP de </w:t>
            </w:r>
            <w:r w:rsidR="006C5284" w:rsidRPr="00115A34">
              <w:rPr>
                <w:sz w:val="19"/>
                <w:szCs w:val="19"/>
                <w:lang w:val="fr-FR"/>
              </w:rPr>
              <w:t xml:space="preserve">Ramsar </w:t>
            </w:r>
            <w:r w:rsidR="00886BF5">
              <w:rPr>
                <w:sz w:val="19"/>
                <w:szCs w:val="19"/>
                <w:lang w:val="fr-FR"/>
              </w:rPr>
              <w:t>et par le biais du Comité d’étude scientifique et technique de</w:t>
            </w:r>
            <w:r w:rsidR="006C5284" w:rsidRPr="00115A34">
              <w:rPr>
                <w:sz w:val="19"/>
                <w:szCs w:val="19"/>
                <w:lang w:val="fr-FR"/>
              </w:rPr>
              <w:t xml:space="preserve"> Ramsar</w:t>
            </w:r>
          </w:p>
        </w:tc>
      </w:tr>
      <w:tr w:rsidR="007722E8" w:rsidRPr="00326B2D" w14:paraId="74B02955" w14:textId="77777777" w:rsidTr="00506507">
        <w:trPr>
          <w:jc w:val="center"/>
        </w:trPr>
        <w:tc>
          <w:tcPr>
            <w:tcW w:w="3005" w:type="dxa"/>
          </w:tcPr>
          <w:p w14:paraId="36F94BBD" w14:textId="61BA7112" w:rsidR="007722E8" w:rsidRPr="00115A34" w:rsidRDefault="007722E8" w:rsidP="00387089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R</w:t>
            </w:r>
            <w:r w:rsidR="00886BF5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>solution VII.24 (1999)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 </w:t>
            </w:r>
            <w:r w:rsidR="00886BF5">
              <w:rPr>
                <w:sz w:val="19"/>
                <w:szCs w:val="19"/>
                <w:lang w:val="fr-FR"/>
              </w:rPr>
              <w:t>de Ramsar sur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 </w:t>
            </w:r>
            <w:r w:rsidR="006B3085">
              <w:rPr>
                <w:sz w:val="19"/>
                <w:szCs w:val="19"/>
                <w:lang w:val="fr-FR"/>
              </w:rPr>
              <w:t>la c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ompensation </w:t>
            </w:r>
            <w:r w:rsidR="006B3085">
              <w:rPr>
                <w:sz w:val="19"/>
                <w:szCs w:val="19"/>
                <w:lang w:val="fr-FR"/>
              </w:rPr>
              <w:t>pour la perte de biotopes et autres fonctions des zones humides</w:t>
            </w:r>
          </w:p>
        </w:tc>
        <w:tc>
          <w:tcPr>
            <w:tcW w:w="3005" w:type="dxa"/>
          </w:tcPr>
          <w:p w14:paraId="14DB6582" w14:textId="16BE930C" w:rsidR="007722E8" w:rsidRPr="00115A34" w:rsidRDefault="006B3085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La section opérationnelle de la </w:t>
            </w:r>
            <w:r w:rsidRPr="00115A34">
              <w:rPr>
                <w:sz w:val="19"/>
                <w:szCs w:val="19"/>
                <w:lang w:val="fr-FR"/>
              </w:rPr>
              <w:t>R</w:t>
            </w:r>
            <w:r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solution </w:t>
            </w:r>
            <w:r>
              <w:rPr>
                <w:sz w:val="19"/>
                <w:szCs w:val="19"/>
                <w:lang w:val="fr-FR"/>
              </w:rPr>
              <w:t>MOP</w:t>
            </w:r>
            <w:r w:rsidRPr="00115A34">
              <w:rPr>
                <w:sz w:val="19"/>
                <w:szCs w:val="19"/>
                <w:lang w:val="fr-FR"/>
              </w:rPr>
              <w:t xml:space="preserve">5.16 (2012) </w:t>
            </w:r>
            <w:r>
              <w:rPr>
                <w:sz w:val="19"/>
                <w:szCs w:val="19"/>
                <w:lang w:val="fr-FR"/>
              </w:rPr>
              <w:t>sur l’énergie renouvelable et les oiseaux d’eau migrateurs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exhorte les</w:t>
            </w:r>
            <w:r w:rsidRPr="00115A34">
              <w:rPr>
                <w:sz w:val="19"/>
                <w:szCs w:val="19"/>
                <w:lang w:val="fr-FR"/>
              </w:rPr>
              <w:t xml:space="preserve"> Parties </w:t>
            </w:r>
            <w:r>
              <w:rPr>
                <w:sz w:val="19"/>
                <w:szCs w:val="19"/>
                <w:lang w:val="fr-FR"/>
              </w:rPr>
              <w:t>à l’AEWA à envisager une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 compensation </w:t>
            </w:r>
            <w:r>
              <w:rPr>
                <w:sz w:val="19"/>
                <w:szCs w:val="19"/>
                <w:lang w:val="fr-FR"/>
              </w:rPr>
              <w:t xml:space="preserve">pour les dégâts résultants des 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installations </w:t>
            </w:r>
            <w:r>
              <w:rPr>
                <w:sz w:val="19"/>
                <w:szCs w:val="19"/>
                <w:lang w:val="fr-FR"/>
              </w:rPr>
              <w:t>d’énergie renouvelable, conformément à la</w:t>
            </w:r>
            <w:r w:rsidR="00E2703D" w:rsidRPr="00115A34">
              <w:rPr>
                <w:sz w:val="19"/>
                <w:szCs w:val="19"/>
                <w:lang w:val="fr-FR"/>
              </w:rPr>
              <w:t xml:space="preserve"> R</w:t>
            </w:r>
            <w:r>
              <w:rPr>
                <w:sz w:val="19"/>
                <w:szCs w:val="19"/>
                <w:lang w:val="fr-FR"/>
              </w:rPr>
              <w:t>é</w:t>
            </w:r>
            <w:r w:rsidR="00E2703D" w:rsidRPr="00115A34">
              <w:rPr>
                <w:sz w:val="19"/>
                <w:szCs w:val="19"/>
                <w:lang w:val="fr-FR"/>
              </w:rPr>
              <w:t>solution VII.24</w:t>
            </w:r>
            <w:r>
              <w:rPr>
                <w:sz w:val="19"/>
                <w:szCs w:val="19"/>
                <w:lang w:val="fr-FR"/>
              </w:rPr>
              <w:t xml:space="preserve"> de Ramsar</w:t>
            </w:r>
          </w:p>
        </w:tc>
        <w:tc>
          <w:tcPr>
            <w:tcW w:w="3006" w:type="dxa"/>
          </w:tcPr>
          <w:p w14:paraId="03F0C5BA" w14:textId="405B41DA" w:rsidR="006B3085" w:rsidRPr="00115A34" w:rsidRDefault="000C71A3" w:rsidP="006B3085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Les Parties Ramsar rendent </w:t>
            </w:r>
            <w:r w:rsidR="006B3085">
              <w:rPr>
                <w:sz w:val="19"/>
                <w:szCs w:val="19"/>
                <w:lang w:val="fr-FR"/>
              </w:rPr>
              <w:t xml:space="preserve">compte de leurs </w:t>
            </w:r>
            <w:r w:rsidR="006B3085" w:rsidRPr="00115A34">
              <w:rPr>
                <w:sz w:val="19"/>
                <w:szCs w:val="19"/>
                <w:lang w:val="fr-FR"/>
              </w:rPr>
              <w:t>action</w:t>
            </w:r>
            <w:r w:rsidR="006B3085">
              <w:rPr>
                <w:sz w:val="19"/>
                <w:szCs w:val="19"/>
                <w:lang w:val="fr-FR"/>
              </w:rPr>
              <w:t>s par le biais des rapports nationaux</w:t>
            </w:r>
            <w:r w:rsidR="006B3085" w:rsidRPr="00115A34">
              <w:rPr>
                <w:sz w:val="19"/>
                <w:szCs w:val="19"/>
                <w:lang w:val="fr-FR"/>
              </w:rPr>
              <w:t>.</w:t>
            </w:r>
          </w:p>
          <w:p w14:paraId="3FD1F4FB" w14:textId="3C222DD6" w:rsidR="007722E8" w:rsidRPr="00115A34" w:rsidRDefault="00E21CD6" w:rsidP="006B3085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Suivi de la prise en compte </w:t>
            </w:r>
            <w:r w:rsidR="006B3085">
              <w:rPr>
                <w:sz w:val="19"/>
                <w:szCs w:val="19"/>
                <w:lang w:val="fr-FR"/>
              </w:rPr>
              <w:t xml:space="preserve">lors des futures COP de </w:t>
            </w:r>
            <w:r w:rsidR="006B3085" w:rsidRPr="00115A34">
              <w:rPr>
                <w:sz w:val="19"/>
                <w:szCs w:val="19"/>
                <w:lang w:val="fr-FR"/>
              </w:rPr>
              <w:t>Ramsar.</w:t>
            </w:r>
          </w:p>
        </w:tc>
      </w:tr>
      <w:tr w:rsidR="00E2703D" w:rsidRPr="00326B2D" w14:paraId="502587B2" w14:textId="77777777" w:rsidTr="00506507">
        <w:trPr>
          <w:jc w:val="center"/>
        </w:trPr>
        <w:tc>
          <w:tcPr>
            <w:tcW w:w="3005" w:type="dxa"/>
          </w:tcPr>
          <w:p w14:paraId="4E4BD327" w14:textId="020A52CD" w:rsidR="00E2703D" w:rsidRPr="00115A34" w:rsidRDefault="00E2703D" w:rsidP="00387089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R</w:t>
            </w:r>
            <w:r w:rsidR="006B3085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solution VIII.20 (2002) </w:t>
            </w:r>
            <w:r w:rsidR="006B3085">
              <w:rPr>
                <w:sz w:val="19"/>
                <w:szCs w:val="19"/>
                <w:lang w:val="fr-FR"/>
              </w:rPr>
              <w:t>de Ramsar sur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6B3085">
              <w:rPr>
                <w:sz w:val="19"/>
                <w:szCs w:val="19"/>
                <w:lang w:val="fr-FR"/>
              </w:rPr>
              <w:t>les orientations générales pour interpréter les « raisons pressantes d’intérêt national »</w:t>
            </w:r>
            <w:r w:rsidR="00387089" w:rsidRPr="00115A34">
              <w:rPr>
                <w:sz w:val="19"/>
                <w:szCs w:val="19"/>
                <w:lang w:val="fr-FR"/>
              </w:rPr>
              <w:t xml:space="preserve"> </w:t>
            </w:r>
            <w:r w:rsidR="006B3085">
              <w:rPr>
                <w:sz w:val="19"/>
                <w:szCs w:val="19"/>
                <w:lang w:val="fr-FR"/>
              </w:rPr>
              <w:t>dans le c</w:t>
            </w:r>
            <w:r w:rsidR="00477689">
              <w:rPr>
                <w:sz w:val="19"/>
                <w:szCs w:val="19"/>
                <w:lang w:val="fr-FR"/>
              </w:rPr>
              <w:t>adre</w:t>
            </w:r>
            <w:r w:rsidR="006B3085">
              <w:rPr>
                <w:sz w:val="19"/>
                <w:szCs w:val="19"/>
                <w:lang w:val="fr-FR"/>
              </w:rPr>
              <w:t xml:space="preserve"> de l’</w:t>
            </w:r>
            <w:r w:rsidRPr="00115A34">
              <w:rPr>
                <w:sz w:val="19"/>
                <w:szCs w:val="19"/>
                <w:lang w:val="fr-FR"/>
              </w:rPr>
              <w:t xml:space="preserve">Article 2.5 </w:t>
            </w:r>
            <w:r w:rsidR="006B3085">
              <w:rPr>
                <w:sz w:val="19"/>
                <w:szCs w:val="19"/>
                <w:lang w:val="fr-FR"/>
              </w:rPr>
              <w:t>de la</w:t>
            </w:r>
            <w:r w:rsidRPr="00115A34">
              <w:rPr>
                <w:sz w:val="19"/>
                <w:szCs w:val="19"/>
                <w:lang w:val="fr-FR"/>
              </w:rPr>
              <w:t xml:space="preserve"> Convention </w:t>
            </w:r>
            <w:r w:rsidR="006B3085">
              <w:rPr>
                <w:sz w:val="19"/>
                <w:szCs w:val="19"/>
                <w:lang w:val="fr-FR"/>
              </w:rPr>
              <w:t>et envisager une</w:t>
            </w:r>
            <w:r w:rsidRPr="00115A34">
              <w:rPr>
                <w:sz w:val="19"/>
                <w:szCs w:val="19"/>
                <w:lang w:val="fr-FR"/>
              </w:rPr>
              <w:t xml:space="preserve"> compensation</w:t>
            </w:r>
            <w:r w:rsidR="00387089" w:rsidRPr="00115A34">
              <w:rPr>
                <w:sz w:val="19"/>
                <w:szCs w:val="19"/>
                <w:lang w:val="fr-FR"/>
              </w:rPr>
              <w:t xml:space="preserve"> </w:t>
            </w:r>
            <w:r w:rsidR="006B3085">
              <w:rPr>
                <w:sz w:val="19"/>
                <w:szCs w:val="19"/>
                <w:lang w:val="fr-FR"/>
              </w:rPr>
              <w:t>dans le c</w:t>
            </w:r>
            <w:r w:rsidR="00477689">
              <w:rPr>
                <w:sz w:val="19"/>
                <w:szCs w:val="19"/>
                <w:lang w:val="fr-FR"/>
              </w:rPr>
              <w:t>adre</w:t>
            </w:r>
            <w:r w:rsidR="006B3085">
              <w:rPr>
                <w:sz w:val="19"/>
                <w:szCs w:val="19"/>
                <w:lang w:val="fr-FR"/>
              </w:rPr>
              <w:t xml:space="preserve"> de l’</w:t>
            </w:r>
            <w:r w:rsidRPr="00115A34">
              <w:rPr>
                <w:sz w:val="19"/>
                <w:szCs w:val="19"/>
                <w:lang w:val="fr-FR"/>
              </w:rPr>
              <w:t>Article 4.2</w:t>
            </w:r>
          </w:p>
        </w:tc>
        <w:tc>
          <w:tcPr>
            <w:tcW w:w="3005" w:type="dxa"/>
          </w:tcPr>
          <w:p w14:paraId="4DF05A35" w14:textId="249A5E1B" w:rsidR="00E2703D" w:rsidRPr="00115A34" w:rsidRDefault="00E50F1B" w:rsidP="00E2703D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La section opérationnelle de la </w:t>
            </w:r>
            <w:r w:rsidRPr="00115A34">
              <w:rPr>
                <w:sz w:val="19"/>
                <w:szCs w:val="19"/>
                <w:lang w:val="fr-FR"/>
              </w:rPr>
              <w:t>R</w:t>
            </w:r>
            <w:r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solution </w:t>
            </w:r>
            <w:r>
              <w:rPr>
                <w:sz w:val="19"/>
                <w:szCs w:val="19"/>
                <w:lang w:val="fr-FR"/>
              </w:rPr>
              <w:t>MOP</w:t>
            </w:r>
            <w:r w:rsidRPr="00115A34">
              <w:rPr>
                <w:sz w:val="19"/>
                <w:szCs w:val="19"/>
                <w:lang w:val="fr-FR"/>
              </w:rPr>
              <w:t xml:space="preserve">5.16 (2012) </w:t>
            </w:r>
            <w:r>
              <w:rPr>
                <w:sz w:val="19"/>
                <w:szCs w:val="19"/>
                <w:lang w:val="fr-FR"/>
              </w:rPr>
              <w:t>sur l’énergie renouvelable et les oiseaux d’eau migrateurs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exhorte les</w:t>
            </w:r>
            <w:r w:rsidRPr="00115A34">
              <w:rPr>
                <w:sz w:val="19"/>
                <w:szCs w:val="19"/>
                <w:lang w:val="fr-FR"/>
              </w:rPr>
              <w:t xml:space="preserve"> Parties </w:t>
            </w:r>
            <w:r>
              <w:rPr>
                <w:sz w:val="19"/>
                <w:szCs w:val="19"/>
                <w:lang w:val="fr-FR"/>
              </w:rPr>
              <w:t>à l’AEWA à envisager une</w:t>
            </w:r>
            <w:r w:rsidRPr="00115A34">
              <w:rPr>
                <w:sz w:val="19"/>
                <w:szCs w:val="19"/>
                <w:lang w:val="fr-FR"/>
              </w:rPr>
              <w:t xml:space="preserve"> compensation </w:t>
            </w:r>
            <w:r>
              <w:rPr>
                <w:sz w:val="19"/>
                <w:szCs w:val="19"/>
                <w:lang w:val="fr-FR"/>
              </w:rPr>
              <w:t xml:space="preserve">pour les dégâts résultants des </w:t>
            </w:r>
            <w:r w:rsidRPr="00115A34">
              <w:rPr>
                <w:sz w:val="19"/>
                <w:szCs w:val="19"/>
                <w:lang w:val="fr-FR"/>
              </w:rPr>
              <w:t xml:space="preserve">installations </w:t>
            </w:r>
            <w:r>
              <w:rPr>
                <w:sz w:val="19"/>
                <w:szCs w:val="19"/>
                <w:lang w:val="fr-FR"/>
              </w:rPr>
              <w:t>d’énergie renouvelable, conformément à la</w:t>
            </w:r>
            <w:r w:rsidRPr="00115A34">
              <w:rPr>
                <w:sz w:val="19"/>
                <w:szCs w:val="19"/>
                <w:lang w:val="fr-FR"/>
              </w:rPr>
              <w:t xml:space="preserve"> R</w:t>
            </w:r>
            <w:r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solution </w:t>
            </w:r>
            <w:r w:rsidR="00E2703D" w:rsidRPr="00115A34">
              <w:rPr>
                <w:sz w:val="19"/>
                <w:szCs w:val="19"/>
                <w:lang w:val="fr-FR"/>
              </w:rPr>
              <w:t>VIII.20</w:t>
            </w:r>
            <w:r>
              <w:rPr>
                <w:sz w:val="19"/>
                <w:szCs w:val="19"/>
                <w:lang w:val="fr-FR"/>
              </w:rPr>
              <w:t xml:space="preserve"> de Ramsar</w:t>
            </w:r>
          </w:p>
        </w:tc>
        <w:tc>
          <w:tcPr>
            <w:tcW w:w="3006" w:type="dxa"/>
          </w:tcPr>
          <w:p w14:paraId="18C17155" w14:textId="7E21C172" w:rsidR="00E2703D" w:rsidRPr="00115A34" w:rsidRDefault="006C5284" w:rsidP="006C5284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Sugg</w:t>
            </w:r>
            <w:r w:rsidR="00E50F1B">
              <w:rPr>
                <w:sz w:val="19"/>
                <w:szCs w:val="19"/>
                <w:lang w:val="fr-FR"/>
              </w:rPr>
              <w:t>érer l’examen des cas d’</w:t>
            </w:r>
            <w:r w:rsidRPr="00115A34">
              <w:rPr>
                <w:sz w:val="19"/>
                <w:szCs w:val="19"/>
                <w:lang w:val="fr-FR"/>
              </w:rPr>
              <w:t xml:space="preserve">application </w:t>
            </w:r>
            <w:r w:rsidR="00E50F1B">
              <w:rPr>
                <w:sz w:val="19"/>
                <w:szCs w:val="19"/>
                <w:lang w:val="fr-FR"/>
              </w:rPr>
              <w:t>de ces dispositions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E50F1B">
              <w:rPr>
                <w:sz w:val="19"/>
                <w:szCs w:val="19"/>
                <w:lang w:val="fr-FR"/>
              </w:rPr>
              <w:t>dans le</w:t>
            </w:r>
            <w:r w:rsidR="00477689">
              <w:rPr>
                <w:sz w:val="19"/>
                <w:szCs w:val="19"/>
                <w:lang w:val="fr-FR"/>
              </w:rPr>
              <w:t>s</w:t>
            </w:r>
            <w:r w:rsidR="00E50F1B">
              <w:rPr>
                <w:sz w:val="19"/>
                <w:szCs w:val="19"/>
                <w:lang w:val="fr-FR"/>
              </w:rPr>
              <w:t xml:space="preserve"> contexte</w:t>
            </w:r>
            <w:r w:rsidR="00477689">
              <w:rPr>
                <w:sz w:val="19"/>
                <w:szCs w:val="19"/>
                <w:lang w:val="fr-FR"/>
              </w:rPr>
              <w:t>s</w:t>
            </w:r>
            <w:r w:rsidR="00E50F1B">
              <w:rPr>
                <w:sz w:val="19"/>
                <w:szCs w:val="19"/>
                <w:lang w:val="fr-FR"/>
              </w:rPr>
              <w:t xml:space="preserve"> de développement d’énergies renouvelables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326B2D" w14:paraId="2F1306BD" w14:textId="77777777" w:rsidTr="00506507">
        <w:trPr>
          <w:jc w:val="center"/>
        </w:trPr>
        <w:tc>
          <w:tcPr>
            <w:tcW w:w="3005" w:type="dxa"/>
          </w:tcPr>
          <w:p w14:paraId="23E99CE5" w14:textId="6DA83B18" w:rsidR="007722E8" w:rsidRPr="00115A34" w:rsidRDefault="007722E8" w:rsidP="005F7185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R</w:t>
            </w:r>
            <w:r w:rsidR="00E50F1B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solution XI.10 (2012) </w:t>
            </w:r>
            <w:r w:rsidR="00E50F1B">
              <w:rPr>
                <w:sz w:val="19"/>
                <w:szCs w:val="19"/>
                <w:lang w:val="fr-FR"/>
              </w:rPr>
              <w:t>de Ramsar fournissant des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E50F1B">
              <w:rPr>
                <w:sz w:val="19"/>
                <w:szCs w:val="19"/>
                <w:lang w:val="fr-FR"/>
              </w:rPr>
              <w:t>« Orientations sur les conséquences pour les zones humides des politiques, plans et activités du secteur de l’énergie »</w:t>
            </w:r>
          </w:p>
        </w:tc>
        <w:tc>
          <w:tcPr>
            <w:tcW w:w="3005" w:type="dxa"/>
          </w:tcPr>
          <w:p w14:paraId="5434C0B3" w14:textId="753A993C" w:rsidR="007722E8" w:rsidRPr="00115A34" w:rsidRDefault="00481F3A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Mentionnée</w:t>
            </w:r>
            <w:r w:rsidR="0054198B">
              <w:rPr>
                <w:sz w:val="19"/>
                <w:szCs w:val="19"/>
                <w:lang w:val="fr-FR"/>
              </w:rPr>
              <w:t xml:space="preserve"> en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 pr</w:t>
            </w:r>
            <w:r w:rsidR="0054198B">
              <w:rPr>
                <w:sz w:val="19"/>
                <w:szCs w:val="19"/>
                <w:lang w:val="fr-FR"/>
              </w:rPr>
              <w:t>é</w:t>
            </w:r>
            <w:r w:rsidR="0054198B" w:rsidRPr="00115A34">
              <w:rPr>
                <w:sz w:val="19"/>
                <w:szCs w:val="19"/>
                <w:lang w:val="fr-FR"/>
              </w:rPr>
              <w:t>amb</w:t>
            </w:r>
            <w:r w:rsidR="0054198B">
              <w:rPr>
                <w:sz w:val="19"/>
                <w:szCs w:val="19"/>
                <w:lang w:val="fr-FR"/>
              </w:rPr>
              <w:t>u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le </w:t>
            </w:r>
            <w:r w:rsidR="0054198B">
              <w:rPr>
                <w:sz w:val="19"/>
                <w:szCs w:val="19"/>
                <w:lang w:val="fr-FR"/>
              </w:rPr>
              <w:t>de la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 R</w:t>
            </w:r>
            <w:r w:rsidR="0054198B">
              <w:rPr>
                <w:sz w:val="19"/>
                <w:szCs w:val="19"/>
                <w:lang w:val="fr-FR"/>
              </w:rPr>
              <w:t>é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solution </w:t>
            </w:r>
            <w:r w:rsidR="0054198B">
              <w:rPr>
                <w:sz w:val="19"/>
                <w:szCs w:val="19"/>
                <w:lang w:val="fr-FR"/>
              </w:rPr>
              <w:t>MOP</w:t>
            </w:r>
            <w:r w:rsidR="0054198B" w:rsidRPr="00115A34">
              <w:rPr>
                <w:sz w:val="19"/>
                <w:szCs w:val="19"/>
                <w:lang w:val="fr-FR"/>
              </w:rPr>
              <w:t xml:space="preserve">6.11 (2015) </w:t>
            </w:r>
            <w:r w:rsidR="0054198B">
              <w:rPr>
                <w:sz w:val="19"/>
                <w:szCs w:val="19"/>
                <w:lang w:val="fr-FR"/>
              </w:rPr>
              <w:t xml:space="preserve">sur la façon </w:t>
            </w:r>
            <w:r w:rsidR="0054198B">
              <w:rPr>
                <w:sz w:val="20"/>
                <w:szCs w:val="20"/>
                <w:lang w:val="fr-FR"/>
              </w:rPr>
              <w:t>dont gérer les incidences du déploiement des énergies renouvelables sur les oiseaux d’eau</w:t>
            </w:r>
          </w:p>
        </w:tc>
        <w:tc>
          <w:tcPr>
            <w:tcW w:w="3006" w:type="dxa"/>
          </w:tcPr>
          <w:p w14:paraId="06D1861F" w14:textId="79C6A534" w:rsidR="007722E8" w:rsidRPr="00115A34" w:rsidRDefault="006C5284" w:rsidP="006C5284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Sugg</w:t>
            </w:r>
            <w:r w:rsidR="008E4D5E">
              <w:rPr>
                <w:sz w:val="19"/>
                <w:szCs w:val="19"/>
                <w:lang w:val="fr-FR"/>
              </w:rPr>
              <w:t>érer au Comité d’étude scientifique et technique de</w:t>
            </w:r>
            <w:r w:rsidR="008E4D5E" w:rsidRPr="00115A34">
              <w:rPr>
                <w:sz w:val="19"/>
                <w:szCs w:val="19"/>
                <w:lang w:val="fr-FR"/>
              </w:rPr>
              <w:t xml:space="preserve"> Ramsar</w:t>
            </w:r>
            <w:r w:rsidR="008E4D5E">
              <w:rPr>
                <w:sz w:val="19"/>
                <w:szCs w:val="19"/>
                <w:lang w:val="fr-FR"/>
              </w:rPr>
              <w:t xml:space="preserve"> d’examiner l</w:t>
            </w:r>
            <w:r w:rsidR="00477689">
              <w:rPr>
                <w:sz w:val="19"/>
                <w:szCs w:val="19"/>
                <w:lang w:val="fr-FR"/>
              </w:rPr>
              <w:t>a nécessité éventuelle</w:t>
            </w:r>
            <w:r w:rsidR="008E4D5E">
              <w:rPr>
                <w:sz w:val="19"/>
                <w:szCs w:val="19"/>
                <w:lang w:val="fr-FR"/>
              </w:rPr>
              <w:t xml:space="preserve"> d’actualiser les orientations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326B2D" w14:paraId="24B2DA00" w14:textId="77777777" w:rsidTr="00506507">
        <w:trPr>
          <w:jc w:val="center"/>
        </w:trPr>
        <w:tc>
          <w:tcPr>
            <w:tcW w:w="3005" w:type="dxa"/>
          </w:tcPr>
          <w:p w14:paraId="07F65256" w14:textId="2C10E93C" w:rsidR="007722E8" w:rsidRPr="00115A34" w:rsidRDefault="007722E8" w:rsidP="005F7185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R</w:t>
            </w:r>
            <w:r w:rsidR="008E4D5E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solution X.17 (2008) </w:t>
            </w:r>
            <w:r w:rsidR="008E4D5E">
              <w:rPr>
                <w:sz w:val="19"/>
                <w:szCs w:val="19"/>
                <w:lang w:val="fr-FR"/>
              </w:rPr>
              <w:t>de Ramsar relati</w:t>
            </w:r>
            <w:r w:rsidR="00477689">
              <w:rPr>
                <w:sz w:val="19"/>
                <w:szCs w:val="19"/>
                <w:lang w:val="fr-FR"/>
              </w:rPr>
              <w:t>ve</w:t>
            </w:r>
            <w:r w:rsidR="008E4D5E">
              <w:rPr>
                <w:sz w:val="19"/>
                <w:szCs w:val="19"/>
                <w:lang w:val="fr-FR"/>
              </w:rPr>
              <w:t xml:space="preserve"> à l’Étude d’impact sur l’environnement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8E4D5E">
              <w:rPr>
                <w:sz w:val="19"/>
                <w:szCs w:val="19"/>
                <w:lang w:val="fr-FR"/>
              </w:rPr>
              <w:t>et l’évaluation environnementale stratégique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8E4D5E">
              <w:rPr>
                <w:sz w:val="19"/>
                <w:szCs w:val="19"/>
                <w:lang w:val="fr-FR"/>
              </w:rPr>
              <w:t>–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8E4D5E">
              <w:rPr>
                <w:sz w:val="19"/>
                <w:szCs w:val="19"/>
                <w:lang w:val="fr-FR"/>
              </w:rPr>
              <w:t xml:space="preserve">orientations </w:t>
            </w:r>
            <w:r w:rsidRPr="00115A34">
              <w:rPr>
                <w:sz w:val="19"/>
                <w:szCs w:val="19"/>
                <w:lang w:val="fr-FR"/>
              </w:rPr>
              <w:t>scientif</w:t>
            </w:r>
            <w:r w:rsidR="008E4D5E">
              <w:rPr>
                <w:sz w:val="19"/>
                <w:szCs w:val="19"/>
                <w:lang w:val="fr-FR"/>
              </w:rPr>
              <w:t>iques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8E4D5E">
              <w:rPr>
                <w:sz w:val="19"/>
                <w:szCs w:val="19"/>
                <w:lang w:val="fr-FR"/>
              </w:rPr>
              <w:t>et</w:t>
            </w:r>
            <w:r w:rsidRPr="00115A34">
              <w:rPr>
                <w:sz w:val="19"/>
                <w:szCs w:val="19"/>
                <w:lang w:val="fr-FR"/>
              </w:rPr>
              <w:t xml:space="preserve"> techni</w:t>
            </w:r>
            <w:r w:rsidR="008E4D5E">
              <w:rPr>
                <w:sz w:val="19"/>
                <w:szCs w:val="19"/>
                <w:lang w:val="fr-FR"/>
              </w:rPr>
              <w:t>ques actualisées</w:t>
            </w:r>
          </w:p>
        </w:tc>
        <w:tc>
          <w:tcPr>
            <w:tcW w:w="3005" w:type="dxa"/>
          </w:tcPr>
          <w:p w14:paraId="0FC16046" w14:textId="4FD128A8" w:rsidR="007722E8" w:rsidRPr="00115A34" w:rsidRDefault="00481F3A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Mentionnée</w:t>
            </w:r>
            <w:r w:rsidR="008E4D5E">
              <w:rPr>
                <w:sz w:val="19"/>
                <w:szCs w:val="19"/>
                <w:lang w:val="fr-FR"/>
              </w:rPr>
              <w:t xml:space="preserve"> dans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8E4D5E">
              <w:rPr>
                <w:color w:val="000000"/>
                <w:sz w:val="19"/>
                <w:szCs w:val="19"/>
                <w:lang w:val="fr-FR"/>
              </w:rPr>
              <w:t>« </w:t>
            </w:r>
            <w:r w:rsidR="008E4D5E">
              <w:rPr>
                <w:sz w:val="19"/>
                <w:szCs w:val="19"/>
                <w:lang w:val="fr-FR"/>
              </w:rPr>
              <w:t>Technologies liées aux énergies renouvelables et espèces migratrices </w:t>
            </w:r>
            <w:r w:rsidR="008E4D5E" w:rsidRPr="00115A34">
              <w:rPr>
                <w:sz w:val="19"/>
                <w:szCs w:val="19"/>
                <w:lang w:val="fr-FR"/>
              </w:rPr>
              <w:t xml:space="preserve">: </w:t>
            </w:r>
            <w:r w:rsidR="008E4D5E">
              <w:rPr>
                <w:sz w:val="19"/>
                <w:szCs w:val="19"/>
                <w:lang w:val="fr-FR"/>
              </w:rPr>
              <w:t>lignes directrices pour un déploiement durable »</w:t>
            </w:r>
            <w:r w:rsidR="008E4D5E" w:rsidRPr="00115A34">
              <w:rPr>
                <w:sz w:val="19"/>
                <w:szCs w:val="19"/>
                <w:lang w:val="fr-FR"/>
              </w:rPr>
              <w:t xml:space="preserve"> 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(</w:t>
            </w:r>
            <w:r w:rsidR="008E4D5E">
              <w:rPr>
                <w:sz w:val="19"/>
                <w:szCs w:val="19"/>
                <w:lang w:val="fr-FR"/>
              </w:rPr>
              <w:t>D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ocument </w:t>
            </w:r>
            <w:r w:rsidR="008E4D5E">
              <w:rPr>
                <w:sz w:val="19"/>
                <w:szCs w:val="19"/>
                <w:lang w:val="fr-FR"/>
              </w:rPr>
              <w:t>MOP</w:t>
            </w:r>
            <w:r w:rsidR="007722E8" w:rsidRPr="00115A34">
              <w:rPr>
                <w:sz w:val="19"/>
                <w:szCs w:val="19"/>
                <w:lang w:val="fr-FR"/>
              </w:rPr>
              <w:t>6.37</w:t>
            </w:r>
            <w:r w:rsidR="008E4D5E">
              <w:rPr>
                <w:sz w:val="19"/>
                <w:szCs w:val="19"/>
                <w:lang w:val="fr-FR"/>
              </w:rPr>
              <w:t xml:space="preserve"> de l’AEWA, 2015</w:t>
            </w:r>
            <w:r w:rsidR="007722E8" w:rsidRPr="00115A34">
              <w:rPr>
                <w:sz w:val="19"/>
                <w:szCs w:val="19"/>
                <w:lang w:val="fr-FR"/>
              </w:rPr>
              <w:t>)</w:t>
            </w:r>
          </w:p>
        </w:tc>
        <w:tc>
          <w:tcPr>
            <w:tcW w:w="3006" w:type="dxa"/>
          </w:tcPr>
          <w:p w14:paraId="5D6AF087" w14:textId="77777777" w:rsidR="000C71A3" w:rsidRPr="00115A34" w:rsidRDefault="000C71A3" w:rsidP="000C71A3">
            <w:pPr>
              <w:pStyle w:val="ListParagraph"/>
              <w:numPr>
                <w:ilvl w:val="0"/>
                <w:numId w:val="30"/>
              </w:num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Évaluer l’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ad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qua</w:t>
            </w:r>
            <w:r>
              <w:rPr>
                <w:color w:val="000000"/>
                <w:sz w:val="19"/>
                <w:szCs w:val="19"/>
                <w:lang w:val="fr-FR"/>
              </w:rPr>
              <w:t>tion de la législation nationale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par rapport aux normes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des lignes directrices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  <w:p w14:paraId="6A9A6373" w14:textId="77777777" w:rsidR="000C71A3" w:rsidRPr="00115A34" w:rsidRDefault="000C71A3" w:rsidP="000C71A3">
            <w:pPr>
              <w:pStyle w:val="ListParagraph"/>
              <w:numPr>
                <w:ilvl w:val="0"/>
                <w:numId w:val="30"/>
              </w:num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Invoquer les lignes directrices lors de la promotion des bonnes pratiques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  <w:p w14:paraId="0897054C" w14:textId="3FE62F02" w:rsidR="007722E8" w:rsidRPr="00115A34" w:rsidRDefault="000C71A3" w:rsidP="000C71A3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Suggérer l’examen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de tout besoin de mise à jour des lignes directrices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</w:tc>
      </w:tr>
      <w:tr w:rsidR="007722E8" w:rsidRPr="00115A34" w14:paraId="565940B4" w14:textId="77777777" w:rsidTr="00506507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7C61FDF9" w14:textId="7B53774A" w:rsidR="007722E8" w:rsidRPr="00115A34" w:rsidRDefault="007722E8" w:rsidP="005F7185">
            <w:pPr>
              <w:spacing w:before="20" w:after="20"/>
              <w:rPr>
                <w:b/>
                <w:i/>
                <w:color w:val="000066"/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Convention</w:t>
            </w:r>
            <w:r w:rsidR="000C71A3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d’Espoo</w:t>
            </w:r>
          </w:p>
        </w:tc>
      </w:tr>
      <w:tr w:rsidR="007722E8" w:rsidRPr="00326B2D" w14:paraId="595AC58F" w14:textId="77777777" w:rsidTr="00506507">
        <w:trPr>
          <w:jc w:val="center"/>
        </w:trPr>
        <w:tc>
          <w:tcPr>
            <w:tcW w:w="3005" w:type="dxa"/>
          </w:tcPr>
          <w:p w14:paraId="39140DFC" w14:textId="1FD08062" w:rsidR="007722E8" w:rsidRPr="00115A34" w:rsidRDefault="000C71A3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La Convention CEE-ONU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sur l’évaluation de l’impact</w:t>
            </w:r>
            <w:r w:rsidR="00F11A46">
              <w:rPr>
                <w:sz w:val="19"/>
                <w:szCs w:val="19"/>
                <w:lang w:val="fr-FR"/>
              </w:rPr>
              <w:t xml:space="preserve"> sur l’environnement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</w:t>
            </w:r>
            <w:r w:rsidR="00F11A46">
              <w:rPr>
                <w:sz w:val="19"/>
                <w:szCs w:val="19"/>
                <w:lang w:val="fr-FR"/>
              </w:rPr>
              <w:t>dans un contexte « transfrontière »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(Convention</w:t>
            </w:r>
            <w:r w:rsidR="00F11A46">
              <w:rPr>
                <w:sz w:val="19"/>
                <w:szCs w:val="19"/>
                <w:lang w:val="fr-FR"/>
              </w:rPr>
              <w:t xml:space="preserve"> d’Espoo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, 1991) </w:t>
            </w:r>
            <w:r w:rsidR="00F11A46">
              <w:rPr>
                <w:sz w:val="19"/>
                <w:szCs w:val="19"/>
                <w:lang w:val="fr-FR"/>
              </w:rPr>
              <w:t>demande à ses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</w:t>
            </w:r>
            <w:r w:rsidR="007722E8" w:rsidRPr="00115A34">
              <w:rPr>
                <w:sz w:val="19"/>
                <w:szCs w:val="19"/>
                <w:lang w:val="fr-FR"/>
              </w:rPr>
              <w:lastRenderedPageBreak/>
              <w:t xml:space="preserve">Parties </w:t>
            </w:r>
            <w:r w:rsidR="00F11A46">
              <w:rPr>
                <w:sz w:val="19"/>
                <w:szCs w:val="19"/>
                <w:lang w:val="fr-FR"/>
              </w:rPr>
              <w:t>de se consulter avec d’autres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Parties </w:t>
            </w:r>
            <w:r w:rsidR="00F11A46">
              <w:rPr>
                <w:sz w:val="19"/>
                <w:szCs w:val="19"/>
                <w:lang w:val="fr-FR"/>
              </w:rPr>
              <w:t xml:space="preserve">lorsqu’un </w:t>
            </w:r>
            <w:r w:rsidR="007722E8" w:rsidRPr="00115A34">
              <w:rPr>
                <w:sz w:val="19"/>
                <w:szCs w:val="19"/>
                <w:lang w:val="fr-FR"/>
              </w:rPr>
              <w:t>plan o</w:t>
            </w:r>
            <w:r w:rsidR="00F11A46">
              <w:rPr>
                <w:sz w:val="19"/>
                <w:szCs w:val="19"/>
                <w:lang w:val="fr-FR"/>
              </w:rPr>
              <w:t>u un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programme </w:t>
            </w:r>
            <w:r w:rsidR="00F11A46">
              <w:rPr>
                <w:sz w:val="19"/>
                <w:szCs w:val="19"/>
                <w:lang w:val="fr-FR"/>
              </w:rPr>
              <w:t>est susceptible d’avoir des effets transfrontières significatifs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. </w:t>
            </w:r>
            <w:r w:rsidR="00F11A46">
              <w:rPr>
                <w:sz w:val="19"/>
                <w:szCs w:val="19"/>
                <w:lang w:val="fr-FR"/>
              </w:rPr>
              <w:t>Complété</w:t>
            </w:r>
            <w:r w:rsidR="00477689">
              <w:rPr>
                <w:sz w:val="19"/>
                <w:szCs w:val="19"/>
                <w:lang w:val="fr-FR"/>
              </w:rPr>
              <w:t>e</w:t>
            </w:r>
            <w:r w:rsidR="00F11A46">
              <w:rPr>
                <w:sz w:val="19"/>
                <w:szCs w:val="19"/>
                <w:lang w:val="fr-FR"/>
              </w:rPr>
              <w:t xml:space="preserve"> par un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</w:t>
            </w:r>
            <w:hyperlink r:id="rId13" w:tooltip="Protocol on Strategic Environmental Assessment (page does not exist)" w:history="1">
              <w:r w:rsidR="007722E8" w:rsidRPr="00115A34">
                <w:rPr>
                  <w:sz w:val="19"/>
                  <w:szCs w:val="19"/>
                  <w:lang w:val="fr-FR"/>
                </w:rPr>
                <w:t>Protocol</w:t>
              </w:r>
              <w:r w:rsidR="00F11A46">
                <w:rPr>
                  <w:sz w:val="19"/>
                  <w:szCs w:val="19"/>
                  <w:lang w:val="fr-FR"/>
                </w:rPr>
                <w:t>e</w:t>
              </w:r>
              <w:r w:rsidR="007722E8" w:rsidRPr="00115A34">
                <w:rPr>
                  <w:sz w:val="19"/>
                  <w:szCs w:val="19"/>
                  <w:lang w:val="fr-FR"/>
                </w:rPr>
                <w:t xml:space="preserve"> </w:t>
              </w:r>
              <w:r w:rsidR="00F11A46">
                <w:rPr>
                  <w:sz w:val="19"/>
                  <w:szCs w:val="19"/>
                  <w:lang w:val="fr-FR"/>
                </w:rPr>
                <w:t xml:space="preserve">relatif à l’évaluation stratégique environnementale </w:t>
              </w:r>
            </w:hyperlink>
            <w:r w:rsidR="007722E8" w:rsidRPr="00115A34">
              <w:rPr>
                <w:sz w:val="19"/>
                <w:szCs w:val="19"/>
                <w:lang w:val="fr-FR"/>
              </w:rPr>
              <w:t xml:space="preserve"> (2003).</w:t>
            </w:r>
          </w:p>
        </w:tc>
        <w:tc>
          <w:tcPr>
            <w:tcW w:w="3005" w:type="dxa"/>
          </w:tcPr>
          <w:p w14:paraId="51695928" w14:textId="16F11359" w:rsidR="007722E8" w:rsidRPr="00115A34" w:rsidRDefault="002D6D3C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lastRenderedPageBreak/>
              <w:t>Mentionné</w:t>
            </w:r>
            <w:r w:rsidR="00481F3A">
              <w:rPr>
                <w:sz w:val="19"/>
                <w:szCs w:val="19"/>
                <w:lang w:val="fr-FR"/>
              </w:rPr>
              <w:t>e</w:t>
            </w:r>
            <w:r>
              <w:rPr>
                <w:sz w:val="19"/>
                <w:szCs w:val="19"/>
                <w:lang w:val="fr-FR"/>
              </w:rPr>
              <w:t xml:space="preserve"> dans les Lignes directrices </w:t>
            </w:r>
            <w:r w:rsidR="00C51981">
              <w:rPr>
                <w:sz w:val="19"/>
                <w:szCs w:val="19"/>
                <w:lang w:val="fr-FR"/>
              </w:rPr>
              <w:t xml:space="preserve">de conservation </w:t>
            </w:r>
            <w:r>
              <w:rPr>
                <w:color w:val="000000"/>
                <w:sz w:val="20"/>
                <w:szCs w:val="20"/>
                <w:lang w:val="fr-FR"/>
              </w:rPr>
              <w:t>n</w:t>
            </w:r>
            <w:r w:rsidRPr="00084359">
              <w:rPr>
                <w:color w:val="000000"/>
                <w:sz w:val="20"/>
                <w:szCs w:val="20"/>
                <w:vertAlign w:val="superscript"/>
                <w:lang w:val="fr-FR"/>
              </w:rPr>
              <w:t>o</w:t>
            </w:r>
            <w:r w:rsidRPr="00115A34">
              <w:rPr>
                <w:color w:val="000000"/>
                <w:sz w:val="20"/>
                <w:szCs w:val="20"/>
                <w:lang w:val="fr-FR"/>
              </w:rPr>
              <w:t xml:space="preserve"> 11 (2008) </w:t>
            </w:r>
            <w:r>
              <w:rPr>
                <w:color w:val="000000"/>
                <w:sz w:val="20"/>
                <w:szCs w:val="20"/>
                <w:lang w:val="fr-FR"/>
              </w:rPr>
              <w:t>de l’AEWA sur la façon d’éviter</w:t>
            </w:r>
            <w:r w:rsidRPr="00115A34">
              <w:rPr>
                <w:color w:val="000000"/>
                <w:sz w:val="20"/>
                <w:szCs w:val="20"/>
                <w:lang w:val="fr-FR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de </w:t>
            </w:r>
            <w:r w:rsidRPr="00115A34">
              <w:rPr>
                <w:color w:val="000000"/>
                <w:sz w:val="20"/>
                <w:szCs w:val="20"/>
                <w:lang w:val="fr-FR"/>
              </w:rPr>
              <w:t>minimise</w:t>
            </w:r>
            <w:r>
              <w:rPr>
                <w:color w:val="000000"/>
                <w:sz w:val="20"/>
                <w:szCs w:val="20"/>
                <w:lang w:val="fr-FR"/>
              </w:rPr>
              <w:t>r ou d’atténuer</w:t>
            </w:r>
            <w:r w:rsidRPr="00115A34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fr-FR"/>
              </w:rPr>
              <w:t>l’</w:t>
            </w:r>
            <w:r w:rsidRPr="00115A34">
              <w:rPr>
                <w:color w:val="000000"/>
                <w:sz w:val="20"/>
                <w:szCs w:val="20"/>
                <w:lang w:val="fr-FR"/>
              </w:rPr>
              <w:t xml:space="preserve">impact 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du </w:t>
            </w:r>
            <w:r>
              <w:rPr>
                <w:color w:val="000000"/>
                <w:sz w:val="20"/>
                <w:szCs w:val="20"/>
                <w:lang w:val="fr-FR"/>
              </w:rPr>
              <w:lastRenderedPageBreak/>
              <w:t>développement d’</w:t>
            </w:r>
            <w:r w:rsidRPr="00115A34">
              <w:rPr>
                <w:color w:val="000000"/>
                <w:sz w:val="20"/>
                <w:szCs w:val="20"/>
                <w:lang w:val="fr-FR"/>
              </w:rPr>
              <w:t>infrastructur</w:t>
            </w:r>
            <w:r>
              <w:rPr>
                <w:color w:val="000000"/>
                <w:sz w:val="20"/>
                <w:szCs w:val="20"/>
                <w:lang w:val="fr-FR"/>
              </w:rPr>
              <w:t>es et des perturbations afférentes sur les oiseaux</w:t>
            </w:r>
            <w:r w:rsidR="00477689">
              <w:rPr>
                <w:color w:val="000000"/>
                <w:sz w:val="20"/>
                <w:szCs w:val="20"/>
                <w:lang w:val="fr-FR"/>
              </w:rPr>
              <w:t xml:space="preserve"> d’eau</w:t>
            </w:r>
          </w:p>
        </w:tc>
        <w:tc>
          <w:tcPr>
            <w:tcW w:w="3006" w:type="dxa"/>
          </w:tcPr>
          <w:p w14:paraId="518E40DA" w14:textId="7CD44138" w:rsidR="007722E8" w:rsidRPr="00115A34" w:rsidRDefault="002D6D3C" w:rsidP="00681726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lastRenderedPageBreak/>
              <w:t xml:space="preserve">Les Parties à 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Espoo </w:t>
            </w:r>
            <w:r>
              <w:rPr>
                <w:sz w:val="19"/>
                <w:szCs w:val="19"/>
                <w:lang w:val="fr-FR"/>
              </w:rPr>
              <w:t xml:space="preserve">rendent compte de leurs actions 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; </w:t>
            </w:r>
            <w:r>
              <w:rPr>
                <w:sz w:val="19"/>
                <w:szCs w:val="19"/>
                <w:lang w:val="fr-FR"/>
              </w:rPr>
              <w:t>rapports de synthèse de mise en œuvre ?</w:t>
            </w:r>
          </w:p>
        </w:tc>
      </w:tr>
      <w:tr w:rsidR="007722E8" w:rsidRPr="00115A34" w14:paraId="3434CB2D" w14:textId="77777777" w:rsidTr="00506507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0A59DB0A" w14:textId="0EC15AF2" w:rsidR="007722E8" w:rsidRPr="00115A34" w:rsidRDefault="007722E8" w:rsidP="005F7185">
            <w:pPr>
              <w:spacing w:before="20" w:after="20"/>
              <w:rPr>
                <w:b/>
                <w:i/>
                <w:color w:val="000066"/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Union</w:t>
            </w:r>
            <w:r w:rsidR="002D6D3C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européenne</w:t>
            </w:r>
          </w:p>
        </w:tc>
      </w:tr>
      <w:tr w:rsidR="007722E8" w:rsidRPr="007D1931" w14:paraId="0D05D736" w14:textId="77777777" w:rsidTr="00506507">
        <w:trPr>
          <w:jc w:val="center"/>
        </w:trPr>
        <w:tc>
          <w:tcPr>
            <w:tcW w:w="3005" w:type="dxa"/>
          </w:tcPr>
          <w:p w14:paraId="68634E31" w14:textId="61AFF0A9" w:rsidR="007722E8" w:rsidRPr="00115A34" w:rsidRDefault="007722E8" w:rsidP="005F7185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 xml:space="preserve">Directive </w:t>
            </w:r>
            <w:r w:rsidR="009B06D5">
              <w:rPr>
                <w:sz w:val="19"/>
                <w:szCs w:val="19"/>
                <w:lang w:val="fr-FR"/>
              </w:rPr>
              <w:t>européenne sur l’évaluation environnementale</w:t>
            </w:r>
            <w:r w:rsidRPr="00115A34">
              <w:rPr>
                <w:sz w:val="19"/>
                <w:szCs w:val="19"/>
                <w:lang w:val="fr-FR"/>
              </w:rPr>
              <w:t xml:space="preserve"> – </w:t>
            </w:r>
            <w:r w:rsidR="009B06D5">
              <w:rPr>
                <w:sz w:val="19"/>
                <w:szCs w:val="19"/>
                <w:lang w:val="fr-FR"/>
              </w:rPr>
              <w:t>à l’origine</w:t>
            </w:r>
            <w:r w:rsidRPr="00115A34">
              <w:rPr>
                <w:sz w:val="19"/>
                <w:szCs w:val="19"/>
                <w:lang w:val="fr-FR"/>
              </w:rPr>
              <w:t xml:space="preserve"> Directive 85/337/</w:t>
            </w:r>
            <w:r w:rsidR="009B06D5">
              <w:rPr>
                <w:sz w:val="19"/>
                <w:szCs w:val="19"/>
                <w:lang w:val="fr-FR"/>
              </w:rPr>
              <w:t>CEE</w:t>
            </w:r>
            <w:r w:rsidRPr="00115A34">
              <w:rPr>
                <w:sz w:val="19"/>
                <w:szCs w:val="19"/>
                <w:lang w:val="fr-FR"/>
              </w:rPr>
              <w:t xml:space="preserve"> (1985)</w:t>
            </w:r>
            <w:r w:rsidR="009B06D5">
              <w:rPr>
                <w:sz w:val="19"/>
                <w:szCs w:val="19"/>
                <w:lang w:val="fr-FR"/>
              </w:rPr>
              <w:t>, amendée plusieurs fois depuis</w:t>
            </w:r>
            <w:r w:rsidRPr="00115A34">
              <w:rPr>
                <w:sz w:val="19"/>
                <w:szCs w:val="19"/>
                <w:lang w:val="fr-FR"/>
              </w:rPr>
              <w:t xml:space="preserve"> (</w:t>
            </w:r>
            <w:r w:rsidR="009B06D5">
              <w:rPr>
                <w:sz w:val="19"/>
                <w:szCs w:val="19"/>
                <w:lang w:val="fr-FR"/>
              </w:rPr>
              <w:t xml:space="preserve">dernière </w:t>
            </w:r>
            <w:r w:rsidRPr="00115A34">
              <w:rPr>
                <w:sz w:val="19"/>
                <w:szCs w:val="19"/>
                <w:lang w:val="fr-FR"/>
              </w:rPr>
              <w:t>version Directive 2011/92/</w:t>
            </w:r>
            <w:r w:rsidR="009B06D5">
              <w:rPr>
                <w:sz w:val="19"/>
                <w:szCs w:val="19"/>
                <w:lang w:val="fr-FR"/>
              </w:rPr>
              <w:t>U</w:t>
            </w:r>
            <w:r w:rsidRPr="00115A34">
              <w:rPr>
                <w:sz w:val="19"/>
                <w:szCs w:val="19"/>
                <w:lang w:val="fr-FR"/>
              </w:rPr>
              <w:t xml:space="preserve">E (2011) </w:t>
            </w:r>
            <w:r w:rsidR="009B06D5">
              <w:rPr>
                <w:sz w:val="19"/>
                <w:szCs w:val="19"/>
                <w:lang w:val="fr-FR"/>
              </w:rPr>
              <w:t>avec amendements dans la</w:t>
            </w:r>
            <w:r w:rsidRPr="00115A34">
              <w:rPr>
                <w:sz w:val="19"/>
                <w:szCs w:val="19"/>
                <w:lang w:val="fr-FR"/>
              </w:rPr>
              <w:t xml:space="preserve"> Directive 2014/52/</w:t>
            </w:r>
            <w:r w:rsidR="009B06D5">
              <w:rPr>
                <w:sz w:val="19"/>
                <w:szCs w:val="19"/>
                <w:lang w:val="fr-FR"/>
              </w:rPr>
              <w:t>U</w:t>
            </w:r>
            <w:r w:rsidRPr="00115A34">
              <w:rPr>
                <w:sz w:val="19"/>
                <w:szCs w:val="19"/>
                <w:lang w:val="fr-FR"/>
              </w:rPr>
              <w:t>E (2014))</w:t>
            </w:r>
          </w:p>
        </w:tc>
        <w:tc>
          <w:tcPr>
            <w:tcW w:w="3005" w:type="dxa"/>
          </w:tcPr>
          <w:p w14:paraId="44BBADA1" w14:textId="72A707F9" w:rsidR="007722E8" w:rsidRPr="00115A34" w:rsidRDefault="009B06D5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Mentionnée dans les Lignes directrices </w:t>
            </w:r>
            <w:r w:rsidR="00C51981">
              <w:rPr>
                <w:sz w:val="19"/>
                <w:szCs w:val="19"/>
                <w:lang w:val="fr-FR"/>
              </w:rPr>
              <w:t xml:space="preserve">de conservation </w:t>
            </w:r>
            <w:r>
              <w:rPr>
                <w:color w:val="000000"/>
                <w:sz w:val="20"/>
                <w:szCs w:val="20"/>
                <w:lang w:val="fr-FR"/>
              </w:rPr>
              <w:t>n</w:t>
            </w:r>
            <w:r w:rsidRPr="00084359">
              <w:rPr>
                <w:color w:val="000000"/>
                <w:sz w:val="20"/>
                <w:szCs w:val="20"/>
                <w:vertAlign w:val="superscript"/>
                <w:lang w:val="fr-FR"/>
              </w:rPr>
              <w:t>o</w:t>
            </w:r>
            <w:r w:rsidRPr="00115A34">
              <w:rPr>
                <w:color w:val="000000"/>
                <w:sz w:val="20"/>
                <w:szCs w:val="20"/>
                <w:lang w:val="fr-FR"/>
              </w:rPr>
              <w:t xml:space="preserve"> 11 (2008) </w:t>
            </w:r>
            <w:r>
              <w:rPr>
                <w:color w:val="000000"/>
                <w:sz w:val="20"/>
                <w:szCs w:val="20"/>
                <w:lang w:val="fr-FR"/>
              </w:rPr>
              <w:t>de l’AEWA sur la façon d’éviter</w:t>
            </w:r>
            <w:r w:rsidRPr="00115A34">
              <w:rPr>
                <w:color w:val="000000"/>
                <w:sz w:val="20"/>
                <w:szCs w:val="20"/>
                <w:lang w:val="fr-FR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de </w:t>
            </w:r>
            <w:r w:rsidRPr="00115A34">
              <w:rPr>
                <w:color w:val="000000"/>
                <w:sz w:val="20"/>
                <w:szCs w:val="20"/>
                <w:lang w:val="fr-FR"/>
              </w:rPr>
              <w:t>minimise</w:t>
            </w:r>
            <w:r>
              <w:rPr>
                <w:color w:val="000000"/>
                <w:sz w:val="20"/>
                <w:szCs w:val="20"/>
                <w:lang w:val="fr-FR"/>
              </w:rPr>
              <w:t>r ou d’atténuer</w:t>
            </w:r>
            <w:r w:rsidRPr="00115A34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fr-FR"/>
              </w:rPr>
              <w:t>l’</w:t>
            </w:r>
            <w:r w:rsidRPr="00115A34">
              <w:rPr>
                <w:color w:val="000000"/>
                <w:sz w:val="20"/>
                <w:szCs w:val="20"/>
                <w:lang w:val="fr-FR"/>
              </w:rPr>
              <w:t xml:space="preserve">impact </w:t>
            </w:r>
            <w:r>
              <w:rPr>
                <w:color w:val="000000"/>
                <w:sz w:val="20"/>
                <w:szCs w:val="20"/>
                <w:lang w:val="fr-FR"/>
              </w:rPr>
              <w:t>du développement d’</w:t>
            </w:r>
            <w:r w:rsidRPr="00115A34">
              <w:rPr>
                <w:color w:val="000000"/>
                <w:sz w:val="20"/>
                <w:szCs w:val="20"/>
                <w:lang w:val="fr-FR"/>
              </w:rPr>
              <w:t>infrastructur</w:t>
            </w:r>
            <w:r>
              <w:rPr>
                <w:color w:val="000000"/>
                <w:sz w:val="20"/>
                <w:szCs w:val="20"/>
                <w:lang w:val="fr-FR"/>
              </w:rPr>
              <w:t>es et des perturbations afférentes sur les oiseaux</w:t>
            </w:r>
          </w:p>
        </w:tc>
        <w:tc>
          <w:tcPr>
            <w:tcW w:w="3006" w:type="dxa"/>
          </w:tcPr>
          <w:p w14:paraId="6F00CEAE" w14:textId="6E104E9E" w:rsidR="007722E8" w:rsidRPr="00115A34" w:rsidRDefault="009B06D5" w:rsidP="00681726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Études de mise en œuvre</w:t>
            </w:r>
            <w:r w:rsidR="00681726" w:rsidRPr="00115A34">
              <w:rPr>
                <w:sz w:val="19"/>
                <w:szCs w:val="19"/>
                <w:lang w:val="fr-FR"/>
              </w:rPr>
              <w:t>/</w:t>
            </w:r>
            <w:r>
              <w:rPr>
                <w:sz w:val="19"/>
                <w:szCs w:val="19"/>
                <w:lang w:val="fr-FR"/>
              </w:rPr>
              <w:t>conformité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au niveau de l’UE</w:t>
            </w:r>
            <w:r w:rsidR="00681726"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681726" w:rsidRPr="007D1931" w14:paraId="2AA515A6" w14:textId="77777777" w:rsidTr="00506507">
        <w:trPr>
          <w:jc w:val="center"/>
        </w:trPr>
        <w:tc>
          <w:tcPr>
            <w:tcW w:w="3005" w:type="dxa"/>
          </w:tcPr>
          <w:p w14:paraId="341DD89B" w14:textId="31F42C51" w:rsidR="00681726" w:rsidRPr="00115A34" w:rsidRDefault="00681726" w:rsidP="00681726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 xml:space="preserve">Directive </w:t>
            </w:r>
            <w:r w:rsidR="009B06D5">
              <w:rPr>
                <w:sz w:val="19"/>
                <w:szCs w:val="19"/>
                <w:lang w:val="fr-FR"/>
              </w:rPr>
              <w:t xml:space="preserve">européenne </w:t>
            </w:r>
            <w:r w:rsidRPr="00115A34">
              <w:rPr>
                <w:sz w:val="19"/>
                <w:szCs w:val="19"/>
                <w:lang w:val="fr-FR"/>
              </w:rPr>
              <w:t>2001/42/</w:t>
            </w:r>
            <w:r w:rsidR="009B06D5">
              <w:rPr>
                <w:sz w:val="19"/>
                <w:szCs w:val="19"/>
                <w:lang w:val="fr-FR"/>
              </w:rPr>
              <w:t>C</w:t>
            </w:r>
            <w:r w:rsidRPr="00115A34">
              <w:rPr>
                <w:sz w:val="19"/>
                <w:szCs w:val="19"/>
                <w:lang w:val="fr-FR"/>
              </w:rPr>
              <w:t xml:space="preserve">E </w:t>
            </w:r>
            <w:r w:rsidR="009B06D5">
              <w:rPr>
                <w:sz w:val="19"/>
                <w:szCs w:val="19"/>
                <w:lang w:val="fr-FR"/>
              </w:rPr>
              <w:t>relative à l’évaluation stratégique environnementale</w:t>
            </w:r>
            <w:r w:rsidRPr="00115A34">
              <w:rPr>
                <w:sz w:val="19"/>
                <w:szCs w:val="19"/>
                <w:lang w:val="fr-FR"/>
              </w:rPr>
              <w:t xml:space="preserve"> (2001)</w:t>
            </w:r>
          </w:p>
        </w:tc>
        <w:tc>
          <w:tcPr>
            <w:tcW w:w="3005" w:type="dxa"/>
          </w:tcPr>
          <w:p w14:paraId="780B8FAB" w14:textId="5D9E7D7B" w:rsidR="00681726" w:rsidRPr="00115A34" w:rsidRDefault="009B06D5" w:rsidP="00681726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Mentionnée dans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« </w:t>
            </w:r>
            <w:r>
              <w:rPr>
                <w:sz w:val="19"/>
                <w:szCs w:val="19"/>
                <w:lang w:val="fr-FR"/>
              </w:rPr>
              <w:t>Technologies liées aux énergies renouvelables et espèces migratrices </w:t>
            </w:r>
            <w:r w:rsidRPr="00115A34">
              <w:rPr>
                <w:sz w:val="19"/>
                <w:szCs w:val="19"/>
                <w:lang w:val="fr-FR"/>
              </w:rPr>
              <w:t xml:space="preserve">: </w:t>
            </w:r>
            <w:r>
              <w:rPr>
                <w:sz w:val="19"/>
                <w:szCs w:val="19"/>
                <w:lang w:val="fr-FR"/>
              </w:rPr>
              <w:t>lignes directrices pour un déploiement durable »</w:t>
            </w:r>
            <w:r w:rsidRPr="00115A34">
              <w:rPr>
                <w:sz w:val="19"/>
                <w:szCs w:val="19"/>
                <w:lang w:val="fr-FR"/>
              </w:rPr>
              <w:t xml:space="preserve">  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 (</w:t>
            </w:r>
            <w:r>
              <w:rPr>
                <w:sz w:val="19"/>
                <w:szCs w:val="19"/>
                <w:lang w:val="fr-FR"/>
              </w:rPr>
              <w:t>D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ocument </w:t>
            </w:r>
            <w:r>
              <w:rPr>
                <w:sz w:val="19"/>
                <w:szCs w:val="19"/>
                <w:lang w:val="fr-FR"/>
              </w:rPr>
              <w:t>MOP</w:t>
            </w:r>
            <w:r w:rsidR="00681726" w:rsidRPr="00115A34">
              <w:rPr>
                <w:sz w:val="19"/>
                <w:szCs w:val="19"/>
                <w:lang w:val="fr-FR"/>
              </w:rPr>
              <w:t>6.37</w:t>
            </w:r>
            <w:r>
              <w:rPr>
                <w:sz w:val="19"/>
                <w:szCs w:val="19"/>
                <w:lang w:val="fr-FR"/>
              </w:rPr>
              <w:t xml:space="preserve"> de l’AEWA</w:t>
            </w:r>
            <w:r w:rsidR="00681726" w:rsidRPr="00115A34">
              <w:rPr>
                <w:sz w:val="19"/>
                <w:szCs w:val="19"/>
                <w:lang w:val="fr-FR"/>
              </w:rPr>
              <w:t>, 2015)</w:t>
            </w:r>
          </w:p>
        </w:tc>
        <w:tc>
          <w:tcPr>
            <w:tcW w:w="3006" w:type="dxa"/>
          </w:tcPr>
          <w:p w14:paraId="6E937965" w14:textId="6B43FD04" w:rsidR="00681726" w:rsidRPr="00115A34" w:rsidRDefault="00481F3A" w:rsidP="00681726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Études de mise en œuvre</w:t>
            </w:r>
            <w:r w:rsidRPr="00115A34">
              <w:rPr>
                <w:sz w:val="19"/>
                <w:szCs w:val="19"/>
                <w:lang w:val="fr-FR"/>
              </w:rPr>
              <w:t>/</w:t>
            </w:r>
            <w:r>
              <w:rPr>
                <w:sz w:val="19"/>
                <w:szCs w:val="19"/>
                <w:lang w:val="fr-FR"/>
              </w:rPr>
              <w:t>conformité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au niveau de l’UE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681726" w:rsidRPr="00326B2D" w14:paraId="014D06CB" w14:textId="77777777" w:rsidTr="00506507">
        <w:trPr>
          <w:jc w:val="center"/>
        </w:trPr>
        <w:tc>
          <w:tcPr>
            <w:tcW w:w="3005" w:type="dxa"/>
          </w:tcPr>
          <w:p w14:paraId="1A3C41D2" w14:textId="4D857368" w:rsidR="00681726" w:rsidRPr="00115A34" w:rsidRDefault="00481F3A" w:rsidP="00681726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Document d’orientation de l’UE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 xml:space="preserve">sur le développement de l’énergie éolienne et </w:t>
            </w:r>
            <w:r w:rsidR="00681726" w:rsidRPr="00115A34">
              <w:rPr>
                <w:sz w:val="19"/>
                <w:szCs w:val="19"/>
                <w:lang w:val="fr-FR"/>
              </w:rPr>
              <w:t>Natura 2000 (2011)</w:t>
            </w:r>
            <w:r w:rsidR="0088356E" w:rsidRPr="00115A34">
              <w:rPr>
                <w:sz w:val="19"/>
                <w:szCs w:val="19"/>
                <w:lang w:val="fr-FR"/>
              </w:rPr>
              <w:t xml:space="preserve"> (</w:t>
            </w:r>
            <w:r>
              <w:rPr>
                <w:sz w:val="19"/>
                <w:szCs w:val="19"/>
                <w:lang w:val="fr-FR"/>
              </w:rPr>
              <w:t>par la suite actualisé en</w:t>
            </w:r>
            <w:r w:rsidR="0088356E" w:rsidRPr="00115A34">
              <w:rPr>
                <w:sz w:val="19"/>
                <w:szCs w:val="19"/>
                <w:lang w:val="fr-FR"/>
              </w:rPr>
              <w:t xml:space="preserve"> 2021 </w:t>
            </w:r>
            <w:r>
              <w:rPr>
                <w:sz w:val="19"/>
                <w:szCs w:val="19"/>
                <w:lang w:val="fr-FR"/>
              </w:rPr>
              <w:t xml:space="preserve">sous le nom de </w:t>
            </w:r>
            <w:r w:rsidR="000C43F4">
              <w:rPr>
                <w:sz w:val="19"/>
                <w:szCs w:val="19"/>
                <w:lang w:val="fr-FR"/>
              </w:rPr>
              <w:t>« Le développement de l’énergie éolienne et la législation de l’Union européenne</w:t>
            </w:r>
            <w:r w:rsidR="00C80AC1">
              <w:rPr>
                <w:sz w:val="19"/>
                <w:szCs w:val="19"/>
                <w:lang w:val="fr-FR"/>
              </w:rPr>
              <w:t> »</w:t>
            </w:r>
          </w:p>
        </w:tc>
        <w:tc>
          <w:tcPr>
            <w:tcW w:w="3005" w:type="dxa"/>
          </w:tcPr>
          <w:p w14:paraId="14B5D7D4" w14:textId="39800E41" w:rsidR="00681726" w:rsidRPr="00115A34" w:rsidRDefault="000C43F4" w:rsidP="00681726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 dans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« </w:t>
            </w:r>
            <w:r>
              <w:rPr>
                <w:sz w:val="19"/>
                <w:szCs w:val="19"/>
                <w:lang w:val="fr-FR"/>
              </w:rPr>
              <w:t>Technologies liées aux énergies renouvelables et espèces migratrices </w:t>
            </w:r>
            <w:r w:rsidRPr="00115A34">
              <w:rPr>
                <w:sz w:val="19"/>
                <w:szCs w:val="19"/>
                <w:lang w:val="fr-FR"/>
              </w:rPr>
              <w:t xml:space="preserve">: </w:t>
            </w:r>
            <w:r>
              <w:rPr>
                <w:sz w:val="19"/>
                <w:szCs w:val="19"/>
                <w:lang w:val="fr-FR"/>
              </w:rPr>
              <w:t>lignes directrices pour un déploiement durable »</w:t>
            </w:r>
            <w:r w:rsidRPr="00115A34">
              <w:rPr>
                <w:sz w:val="19"/>
                <w:szCs w:val="19"/>
                <w:lang w:val="fr-FR"/>
              </w:rPr>
              <w:t xml:space="preserve">   (</w:t>
            </w:r>
            <w:r>
              <w:rPr>
                <w:sz w:val="19"/>
                <w:szCs w:val="19"/>
                <w:lang w:val="fr-FR"/>
              </w:rPr>
              <w:t>D</w:t>
            </w:r>
            <w:r w:rsidRPr="00115A34">
              <w:rPr>
                <w:sz w:val="19"/>
                <w:szCs w:val="19"/>
                <w:lang w:val="fr-FR"/>
              </w:rPr>
              <w:t xml:space="preserve">ocument </w:t>
            </w:r>
            <w:r>
              <w:rPr>
                <w:sz w:val="19"/>
                <w:szCs w:val="19"/>
                <w:lang w:val="fr-FR"/>
              </w:rPr>
              <w:t>MOP</w:t>
            </w:r>
            <w:r w:rsidRPr="00115A34">
              <w:rPr>
                <w:sz w:val="19"/>
                <w:szCs w:val="19"/>
                <w:lang w:val="fr-FR"/>
              </w:rPr>
              <w:t>6.37</w:t>
            </w:r>
            <w:r>
              <w:rPr>
                <w:sz w:val="19"/>
                <w:szCs w:val="19"/>
                <w:lang w:val="fr-FR"/>
              </w:rPr>
              <w:t xml:space="preserve"> de l’AEWA</w:t>
            </w:r>
            <w:r w:rsidRPr="00115A34">
              <w:rPr>
                <w:sz w:val="19"/>
                <w:szCs w:val="19"/>
                <w:lang w:val="fr-FR"/>
              </w:rPr>
              <w:t>, 2015)</w:t>
            </w:r>
          </w:p>
        </w:tc>
        <w:tc>
          <w:tcPr>
            <w:tcW w:w="3006" w:type="dxa"/>
          </w:tcPr>
          <w:p w14:paraId="1F259EE2" w14:textId="1B5E0972" w:rsidR="00681726" w:rsidRPr="00115A34" w:rsidRDefault="000C43F4" w:rsidP="0088356E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Encourager la sensibilisation et l</w:t>
            </w:r>
            <w:r w:rsidR="007F6165">
              <w:rPr>
                <w:sz w:val="19"/>
                <w:szCs w:val="19"/>
                <w:lang w:val="fr-FR"/>
              </w:rPr>
              <w:t xml:space="preserve">a mise en œuvre </w:t>
            </w:r>
            <w:r>
              <w:rPr>
                <w:sz w:val="19"/>
                <w:szCs w:val="19"/>
                <w:lang w:val="fr-FR"/>
              </w:rPr>
              <w:t xml:space="preserve">des mises à jour les plus récentes des </w:t>
            </w:r>
            <w:r w:rsidR="00477689">
              <w:rPr>
                <w:sz w:val="19"/>
                <w:szCs w:val="19"/>
                <w:lang w:val="fr-FR"/>
              </w:rPr>
              <w:t>orientations</w:t>
            </w:r>
            <w:r w:rsidR="0088356E"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681726" w:rsidRPr="00115A34" w14:paraId="3B4D2BE2" w14:textId="77777777" w:rsidTr="00506507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030A4030" w14:textId="407C3701" w:rsidR="00681726" w:rsidRPr="00115A34" w:rsidRDefault="00681726" w:rsidP="00681726">
            <w:pPr>
              <w:spacing w:before="20" w:after="20"/>
              <w:rPr>
                <w:b/>
                <w:i/>
                <w:color w:val="000066"/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O</w:t>
            </w:r>
            <w:r w:rsidR="000C43F4">
              <w:rPr>
                <w:b/>
                <w:i/>
                <w:color w:val="000066"/>
                <w:sz w:val="19"/>
                <w:szCs w:val="19"/>
                <w:lang w:val="fr-FR"/>
              </w:rPr>
              <w:t>CD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>E</w:t>
            </w:r>
          </w:p>
        </w:tc>
      </w:tr>
      <w:tr w:rsidR="00681726" w:rsidRPr="007D1931" w14:paraId="31CC24B1" w14:textId="77777777" w:rsidTr="00506507">
        <w:trPr>
          <w:jc w:val="center"/>
        </w:trPr>
        <w:tc>
          <w:tcPr>
            <w:tcW w:w="3005" w:type="dxa"/>
          </w:tcPr>
          <w:p w14:paraId="1A995627" w14:textId="3376AA57" w:rsidR="00681726" w:rsidRPr="00115A34" w:rsidRDefault="00477689" w:rsidP="00681726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Publication du </w:t>
            </w:r>
            <w:r w:rsidR="000C43F4">
              <w:rPr>
                <w:sz w:val="19"/>
                <w:szCs w:val="19"/>
                <w:lang w:val="fr-FR"/>
              </w:rPr>
              <w:t>Comité d’aide au développement (CAD) de l’OCDE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relative à</w:t>
            </w:r>
            <w:r w:rsidR="00436F4F">
              <w:rPr>
                <w:sz w:val="19"/>
                <w:szCs w:val="19"/>
                <w:lang w:val="fr-FR"/>
              </w:rPr>
              <w:t xml:space="preserve"> l’EES 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: </w:t>
            </w:r>
            <w:r>
              <w:rPr>
                <w:sz w:val="19"/>
                <w:szCs w:val="19"/>
                <w:lang w:val="fr-FR"/>
              </w:rPr>
              <w:t>A</w:t>
            </w:r>
            <w:r w:rsidR="000D43F7">
              <w:rPr>
                <w:sz w:val="19"/>
                <w:szCs w:val="19"/>
                <w:lang w:val="fr-FR"/>
              </w:rPr>
              <w:t>pplication de l’évaluation environnementale stratégique</w:t>
            </w:r>
            <w:r w:rsidR="00681726" w:rsidRPr="00115A34">
              <w:rPr>
                <w:sz w:val="19"/>
                <w:szCs w:val="19"/>
                <w:lang w:val="fr-FR"/>
              </w:rPr>
              <w:t>. G</w:t>
            </w:r>
            <w:r w:rsidR="000D43F7">
              <w:rPr>
                <w:sz w:val="19"/>
                <w:szCs w:val="19"/>
                <w:lang w:val="fr-FR"/>
              </w:rPr>
              <w:t>uide de bonnes pratiques pour la c</w:t>
            </w:r>
            <w:r w:rsidR="00681726" w:rsidRPr="00115A34">
              <w:rPr>
                <w:sz w:val="19"/>
                <w:szCs w:val="19"/>
                <w:lang w:val="fr-FR"/>
              </w:rPr>
              <w:t>oop</w:t>
            </w:r>
            <w:r w:rsidR="000D43F7">
              <w:rPr>
                <w:sz w:val="19"/>
                <w:szCs w:val="19"/>
                <w:lang w:val="fr-FR"/>
              </w:rPr>
              <w:t>é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ration </w:t>
            </w:r>
            <w:r w:rsidR="000D43F7">
              <w:rPr>
                <w:sz w:val="19"/>
                <w:szCs w:val="19"/>
                <w:lang w:val="fr-FR"/>
              </w:rPr>
              <w:t xml:space="preserve">pour le développement </w:t>
            </w:r>
            <w:r w:rsidR="00681726" w:rsidRPr="00115A34">
              <w:rPr>
                <w:sz w:val="19"/>
                <w:szCs w:val="19"/>
                <w:lang w:val="fr-FR"/>
              </w:rPr>
              <w:t>(2006).</w:t>
            </w:r>
          </w:p>
        </w:tc>
        <w:tc>
          <w:tcPr>
            <w:tcW w:w="3005" w:type="dxa"/>
          </w:tcPr>
          <w:p w14:paraId="078AE79E" w14:textId="6A718B5E" w:rsidR="00681726" w:rsidRPr="00115A34" w:rsidRDefault="000D43F7" w:rsidP="00681726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</w:t>
            </w:r>
            <w:r w:rsidR="00477689">
              <w:rPr>
                <w:sz w:val="19"/>
                <w:szCs w:val="19"/>
                <w:lang w:val="fr-FR"/>
              </w:rPr>
              <w:t>e</w:t>
            </w:r>
            <w:r>
              <w:rPr>
                <w:sz w:val="19"/>
                <w:szCs w:val="19"/>
                <w:lang w:val="fr-FR"/>
              </w:rPr>
              <w:t xml:space="preserve"> dans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« </w:t>
            </w:r>
            <w:r>
              <w:rPr>
                <w:sz w:val="19"/>
                <w:szCs w:val="19"/>
                <w:lang w:val="fr-FR"/>
              </w:rPr>
              <w:t>Technologies liées aux énergies renouvelables et espèces migratrices </w:t>
            </w:r>
            <w:r w:rsidRPr="00115A34">
              <w:rPr>
                <w:sz w:val="19"/>
                <w:szCs w:val="19"/>
                <w:lang w:val="fr-FR"/>
              </w:rPr>
              <w:t xml:space="preserve">: </w:t>
            </w:r>
            <w:r>
              <w:rPr>
                <w:sz w:val="19"/>
                <w:szCs w:val="19"/>
                <w:lang w:val="fr-FR"/>
              </w:rPr>
              <w:t>lignes directrices pour un déploiement durable »</w:t>
            </w:r>
            <w:r w:rsidRPr="00115A34">
              <w:rPr>
                <w:sz w:val="19"/>
                <w:szCs w:val="19"/>
                <w:lang w:val="fr-FR"/>
              </w:rPr>
              <w:t xml:space="preserve">   (</w:t>
            </w:r>
            <w:r>
              <w:rPr>
                <w:sz w:val="19"/>
                <w:szCs w:val="19"/>
                <w:lang w:val="fr-FR"/>
              </w:rPr>
              <w:t>D</w:t>
            </w:r>
            <w:r w:rsidRPr="00115A34">
              <w:rPr>
                <w:sz w:val="19"/>
                <w:szCs w:val="19"/>
                <w:lang w:val="fr-FR"/>
              </w:rPr>
              <w:t xml:space="preserve">ocument </w:t>
            </w:r>
            <w:r>
              <w:rPr>
                <w:sz w:val="19"/>
                <w:szCs w:val="19"/>
                <w:lang w:val="fr-FR"/>
              </w:rPr>
              <w:t>MOP</w:t>
            </w:r>
            <w:r w:rsidRPr="00115A34">
              <w:rPr>
                <w:sz w:val="19"/>
                <w:szCs w:val="19"/>
                <w:lang w:val="fr-FR"/>
              </w:rPr>
              <w:t>6.37</w:t>
            </w:r>
            <w:r>
              <w:rPr>
                <w:sz w:val="19"/>
                <w:szCs w:val="19"/>
                <w:lang w:val="fr-FR"/>
              </w:rPr>
              <w:t xml:space="preserve"> de l’AEWA</w:t>
            </w:r>
            <w:r w:rsidRPr="00115A34">
              <w:rPr>
                <w:sz w:val="19"/>
                <w:szCs w:val="19"/>
                <w:lang w:val="fr-FR"/>
              </w:rPr>
              <w:t>, 2015)</w:t>
            </w:r>
          </w:p>
        </w:tc>
        <w:tc>
          <w:tcPr>
            <w:tcW w:w="3006" w:type="dxa"/>
          </w:tcPr>
          <w:p w14:paraId="76E45CE1" w14:textId="58187900" w:rsidR="00681726" w:rsidRPr="00115A34" w:rsidRDefault="000D43F7" w:rsidP="00681726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Évaluer l</w:t>
            </w:r>
            <w:r w:rsidR="007F6165">
              <w:rPr>
                <w:sz w:val="19"/>
                <w:szCs w:val="19"/>
                <w:lang w:val="fr-FR"/>
              </w:rPr>
              <w:t xml:space="preserve">a mise en œuvre </w:t>
            </w:r>
            <w:r>
              <w:rPr>
                <w:sz w:val="19"/>
                <w:szCs w:val="19"/>
                <w:lang w:val="fr-FR"/>
              </w:rPr>
              <w:t xml:space="preserve">des </w:t>
            </w:r>
            <w:r w:rsidR="00477689">
              <w:rPr>
                <w:sz w:val="19"/>
                <w:szCs w:val="19"/>
                <w:lang w:val="fr-FR"/>
              </w:rPr>
              <w:t>bonnes pratiques</w:t>
            </w:r>
            <w:r w:rsidR="00681726"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681726" w:rsidRPr="00115A34" w14:paraId="7A37B4DF" w14:textId="77777777" w:rsidTr="00506507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7FA86500" w14:textId="768DC77D" w:rsidR="00681726" w:rsidRPr="00115A34" w:rsidRDefault="00681726" w:rsidP="00681726">
            <w:pPr>
              <w:spacing w:before="20" w:after="20"/>
              <w:rPr>
                <w:b/>
                <w:i/>
                <w:color w:val="000066"/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Ban</w:t>
            </w:r>
            <w:r w:rsidR="000D43F7">
              <w:rPr>
                <w:b/>
                <w:i/>
                <w:color w:val="000066"/>
                <w:sz w:val="19"/>
                <w:szCs w:val="19"/>
                <w:lang w:val="fr-FR"/>
              </w:rPr>
              <w:t>que mondiale</w:t>
            </w:r>
          </w:p>
        </w:tc>
      </w:tr>
      <w:tr w:rsidR="00681726" w:rsidRPr="00326B2D" w14:paraId="23A78920" w14:textId="77777777" w:rsidTr="00506507">
        <w:trPr>
          <w:jc w:val="center"/>
        </w:trPr>
        <w:tc>
          <w:tcPr>
            <w:tcW w:w="3005" w:type="dxa"/>
          </w:tcPr>
          <w:p w14:paraId="4622C33A" w14:textId="7F06325E" w:rsidR="00681726" w:rsidRPr="00115A34" w:rsidRDefault="009A03A8" w:rsidP="00681726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Document de travail de la Banque mondiale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« Bons et mauvais barrages 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: </w:t>
            </w:r>
            <w:r>
              <w:rPr>
                <w:sz w:val="19"/>
                <w:szCs w:val="19"/>
                <w:lang w:val="fr-FR"/>
              </w:rPr>
              <w:t>critères environnementaux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pour la sélection de sites de projets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 hydro</w:t>
            </w:r>
            <w:r>
              <w:rPr>
                <w:sz w:val="19"/>
                <w:szCs w:val="19"/>
                <w:lang w:val="fr-FR"/>
              </w:rPr>
              <w:t>é</w:t>
            </w:r>
            <w:r w:rsidR="00681726" w:rsidRPr="00115A34">
              <w:rPr>
                <w:sz w:val="19"/>
                <w:szCs w:val="19"/>
                <w:lang w:val="fr-FR"/>
              </w:rPr>
              <w:t>lectri</w:t>
            </w:r>
            <w:r>
              <w:rPr>
                <w:sz w:val="19"/>
                <w:szCs w:val="19"/>
                <w:lang w:val="fr-FR"/>
              </w:rPr>
              <w:t>ques</w:t>
            </w:r>
            <w:r w:rsidR="009B2E9C">
              <w:rPr>
                <w:sz w:val="19"/>
                <w:szCs w:val="19"/>
                <w:lang w:val="fr-FR"/>
              </w:rPr>
              <w:t> »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 (2003)</w:t>
            </w:r>
          </w:p>
        </w:tc>
        <w:tc>
          <w:tcPr>
            <w:tcW w:w="3005" w:type="dxa"/>
          </w:tcPr>
          <w:p w14:paraId="3EA8576B" w14:textId="264A07B1" w:rsidR="00681726" w:rsidRPr="00115A34" w:rsidRDefault="009A03A8" w:rsidP="00681726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Mentionné dans le préambule de la </w:t>
            </w:r>
            <w:r w:rsidR="00681726" w:rsidRPr="00115A34">
              <w:rPr>
                <w:sz w:val="19"/>
                <w:szCs w:val="19"/>
                <w:lang w:val="fr-FR"/>
              </w:rPr>
              <w:t>R</w:t>
            </w:r>
            <w:r>
              <w:rPr>
                <w:sz w:val="19"/>
                <w:szCs w:val="19"/>
                <w:lang w:val="fr-FR"/>
              </w:rPr>
              <w:t>é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solution </w:t>
            </w:r>
            <w:r>
              <w:rPr>
                <w:sz w:val="19"/>
                <w:szCs w:val="19"/>
                <w:lang w:val="fr-FR"/>
              </w:rPr>
              <w:t>MOP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5.16 </w:t>
            </w:r>
            <w:r>
              <w:rPr>
                <w:sz w:val="19"/>
                <w:szCs w:val="19"/>
                <w:lang w:val="fr-FR"/>
              </w:rPr>
              <w:t xml:space="preserve">de l’AEWA 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(2012) </w:t>
            </w:r>
            <w:r>
              <w:rPr>
                <w:sz w:val="19"/>
                <w:szCs w:val="19"/>
                <w:lang w:val="fr-FR"/>
              </w:rPr>
              <w:t>sur l’énergie renouvelable et les oiseaux d’eau migrateurs</w:t>
            </w:r>
            <w:r w:rsidR="00681726" w:rsidRPr="00115A34">
              <w:rPr>
                <w:rStyle w:val="FootnoteReference"/>
                <w:sz w:val="19"/>
                <w:szCs w:val="19"/>
                <w:lang w:val="fr-FR"/>
              </w:rPr>
              <w:footnoteReference w:id="2"/>
            </w:r>
          </w:p>
        </w:tc>
        <w:tc>
          <w:tcPr>
            <w:tcW w:w="3006" w:type="dxa"/>
          </w:tcPr>
          <w:p w14:paraId="5B2E8B6C" w14:textId="777FC809" w:rsidR="00681726" w:rsidRPr="00115A34" w:rsidRDefault="009A03A8" w:rsidP="00681726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Évaluer l</w:t>
            </w:r>
            <w:r w:rsidR="007F6165">
              <w:rPr>
                <w:sz w:val="19"/>
                <w:szCs w:val="19"/>
                <w:lang w:val="fr-FR"/>
              </w:rPr>
              <w:t>a mise en œuvre des</w:t>
            </w:r>
            <w:r>
              <w:rPr>
                <w:sz w:val="19"/>
                <w:szCs w:val="19"/>
                <w:lang w:val="fr-FR"/>
              </w:rPr>
              <w:t xml:space="preserve"> critères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681726" w:rsidRPr="00326B2D" w14:paraId="70DB3542" w14:textId="77777777" w:rsidTr="00506507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6D4450C3" w14:textId="2E33B263" w:rsidR="00681726" w:rsidRPr="00115A34" w:rsidRDefault="00681726" w:rsidP="00681726">
            <w:pPr>
              <w:spacing w:before="20" w:after="20"/>
              <w:rPr>
                <w:b/>
                <w:i/>
                <w:color w:val="000066"/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Association </w:t>
            </w:r>
            <w:r w:rsidR="009A03A8">
              <w:rPr>
                <w:b/>
                <w:i/>
                <w:color w:val="000066"/>
                <w:sz w:val="19"/>
                <w:szCs w:val="19"/>
                <w:lang w:val="fr-FR"/>
              </w:rPr>
              <w:t>internationale pour l’évaluation d’impact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(IAIA)</w:t>
            </w:r>
          </w:p>
        </w:tc>
      </w:tr>
      <w:tr w:rsidR="00681726" w:rsidRPr="00326B2D" w14:paraId="4852FE5B" w14:textId="77777777" w:rsidTr="00506507">
        <w:trPr>
          <w:jc w:val="center"/>
        </w:trPr>
        <w:tc>
          <w:tcPr>
            <w:tcW w:w="3005" w:type="dxa"/>
          </w:tcPr>
          <w:p w14:paraId="24971EE3" w14:textId="043E093B" w:rsidR="00681726" w:rsidRPr="00115A34" w:rsidRDefault="000B022B" w:rsidP="00681726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Il est r</w:t>
            </w:r>
            <w:r w:rsidR="00681726" w:rsidRPr="00115A34">
              <w:rPr>
                <w:sz w:val="19"/>
                <w:szCs w:val="19"/>
                <w:lang w:val="fr-FR"/>
              </w:rPr>
              <w:t>ecomm</w:t>
            </w:r>
            <w:r>
              <w:rPr>
                <w:sz w:val="19"/>
                <w:szCs w:val="19"/>
                <w:lang w:val="fr-FR"/>
              </w:rPr>
              <w:t>a</w:t>
            </w:r>
            <w:r w:rsidR="00681726" w:rsidRPr="00115A34">
              <w:rPr>
                <w:sz w:val="19"/>
                <w:szCs w:val="19"/>
                <w:lang w:val="fr-FR"/>
              </w:rPr>
              <w:t>nd</w:t>
            </w:r>
            <w:r>
              <w:rPr>
                <w:sz w:val="19"/>
                <w:szCs w:val="19"/>
                <w:lang w:val="fr-FR"/>
              </w:rPr>
              <w:t>é que toutes les évaluations d’impact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soient conformes aux principes de meilleures pratiques pour l’évaluation d’impacts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, </w:t>
            </w:r>
            <w:r>
              <w:rPr>
                <w:sz w:val="19"/>
                <w:szCs w:val="19"/>
                <w:lang w:val="fr-FR"/>
              </w:rPr>
              <w:t>l’évaluation stratégique environnementale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 xml:space="preserve">et </w:t>
            </w:r>
            <w:r w:rsidR="00033F01">
              <w:rPr>
                <w:sz w:val="19"/>
                <w:szCs w:val="19"/>
                <w:lang w:val="fr-FR"/>
              </w:rPr>
              <w:t>au</w:t>
            </w:r>
            <w:r>
              <w:rPr>
                <w:sz w:val="19"/>
                <w:szCs w:val="19"/>
                <w:lang w:val="fr-FR"/>
              </w:rPr>
              <w:t xml:space="preserve"> document </w:t>
            </w:r>
            <w:r w:rsidR="009B2E9C">
              <w:rPr>
                <w:sz w:val="19"/>
                <w:szCs w:val="19"/>
                <w:lang w:val="fr-FR"/>
              </w:rPr>
              <w:t>« </w:t>
            </w:r>
            <w:r w:rsidR="00681726" w:rsidRPr="00115A34">
              <w:rPr>
                <w:sz w:val="19"/>
                <w:szCs w:val="19"/>
                <w:lang w:val="fr-FR"/>
              </w:rPr>
              <w:t>Biodiversit</w:t>
            </w:r>
            <w:r w:rsidR="00847B92">
              <w:rPr>
                <w:sz w:val="19"/>
                <w:szCs w:val="19"/>
                <w:lang w:val="fr-FR"/>
              </w:rPr>
              <w:t>é et évaluation de l’impact</w:t>
            </w:r>
            <w:r w:rsidR="009B2E9C">
              <w:rPr>
                <w:sz w:val="19"/>
                <w:szCs w:val="19"/>
                <w:lang w:val="fr-FR"/>
              </w:rPr>
              <w:t> » fourni dans une boîte à outils de l’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IAIA </w:t>
            </w:r>
            <w:r w:rsidR="009B2E9C">
              <w:rPr>
                <w:sz w:val="19"/>
                <w:szCs w:val="19"/>
                <w:lang w:val="fr-FR"/>
              </w:rPr>
              <w:t>en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 2005</w:t>
            </w:r>
          </w:p>
        </w:tc>
        <w:tc>
          <w:tcPr>
            <w:tcW w:w="3005" w:type="dxa"/>
          </w:tcPr>
          <w:p w14:paraId="5488B252" w14:textId="04AC39C5" w:rsidR="00681726" w:rsidRPr="00115A34" w:rsidRDefault="009B2E9C" w:rsidP="00681726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Mentionné dans les Lignes directrices </w:t>
            </w:r>
            <w:r w:rsidR="00C51981">
              <w:rPr>
                <w:sz w:val="19"/>
                <w:szCs w:val="19"/>
                <w:lang w:val="fr-FR"/>
              </w:rPr>
              <w:t xml:space="preserve">de conservation </w:t>
            </w:r>
            <w:r>
              <w:rPr>
                <w:color w:val="000000"/>
                <w:sz w:val="20"/>
                <w:szCs w:val="20"/>
                <w:lang w:val="fr-FR"/>
              </w:rPr>
              <w:t>n</w:t>
            </w:r>
            <w:r w:rsidRPr="00084359">
              <w:rPr>
                <w:color w:val="000000"/>
                <w:sz w:val="20"/>
                <w:szCs w:val="20"/>
                <w:vertAlign w:val="superscript"/>
                <w:lang w:val="fr-FR"/>
              </w:rPr>
              <w:t>o</w:t>
            </w:r>
            <w:r w:rsidRPr="00115A34">
              <w:rPr>
                <w:color w:val="000000"/>
                <w:sz w:val="20"/>
                <w:szCs w:val="20"/>
                <w:lang w:val="fr-FR"/>
              </w:rPr>
              <w:t xml:space="preserve"> 11 (2008) </w:t>
            </w:r>
            <w:r>
              <w:rPr>
                <w:color w:val="000000"/>
                <w:sz w:val="20"/>
                <w:szCs w:val="20"/>
                <w:lang w:val="fr-FR"/>
              </w:rPr>
              <w:t>de l’AEWA sur la façon d’éviter</w:t>
            </w:r>
            <w:r w:rsidRPr="00115A34">
              <w:rPr>
                <w:color w:val="000000"/>
                <w:sz w:val="20"/>
                <w:szCs w:val="20"/>
                <w:lang w:val="fr-FR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de </w:t>
            </w:r>
            <w:r w:rsidRPr="00115A34">
              <w:rPr>
                <w:color w:val="000000"/>
                <w:sz w:val="20"/>
                <w:szCs w:val="20"/>
                <w:lang w:val="fr-FR"/>
              </w:rPr>
              <w:t>minimise</w:t>
            </w:r>
            <w:r>
              <w:rPr>
                <w:color w:val="000000"/>
                <w:sz w:val="20"/>
                <w:szCs w:val="20"/>
                <w:lang w:val="fr-FR"/>
              </w:rPr>
              <w:t>r ou d’atténuer</w:t>
            </w:r>
            <w:r w:rsidRPr="00115A34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fr-FR"/>
              </w:rPr>
              <w:t>l’</w:t>
            </w:r>
            <w:r w:rsidRPr="00115A34">
              <w:rPr>
                <w:color w:val="000000"/>
                <w:sz w:val="20"/>
                <w:szCs w:val="20"/>
                <w:lang w:val="fr-FR"/>
              </w:rPr>
              <w:t xml:space="preserve">impact </w:t>
            </w:r>
            <w:r>
              <w:rPr>
                <w:color w:val="000000"/>
                <w:sz w:val="20"/>
                <w:szCs w:val="20"/>
                <w:lang w:val="fr-FR"/>
              </w:rPr>
              <w:t>du développement d’</w:t>
            </w:r>
            <w:r w:rsidRPr="00115A34">
              <w:rPr>
                <w:color w:val="000000"/>
                <w:sz w:val="20"/>
                <w:szCs w:val="20"/>
                <w:lang w:val="fr-FR"/>
              </w:rPr>
              <w:t>infrastructur</w:t>
            </w:r>
            <w:r>
              <w:rPr>
                <w:color w:val="000000"/>
                <w:sz w:val="20"/>
                <w:szCs w:val="20"/>
                <w:lang w:val="fr-FR"/>
              </w:rPr>
              <w:t>es et des perturbations afférentes sur les oiseaux</w:t>
            </w:r>
            <w:r w:rsidR="00033F01">
              <w:rPr>
                <w:color w:val="000000"/>
                <w:sz w:val="20"/>
                <w:szCs w:val="20"/>
                <w:lang w:val="fr-FR"/>
              </w:rPr>
              <w:t xml:space="preserve"> d’eau</w:t>
            </w:r>
          </w:p>
        </w:tc>
        <w:tc>
          <w:tcPr>
            <w:tcW w:w="3006" w:type="dxa"/>
          </w:tcPr>
          <w:p w14:paraId="6D372E6A" w14:textId="5D827BC4" w:rsidR="00681726" w:rsidRPr="00115A34" w:rsidRDefault="00681726" w:rsidP="00681726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Sugg</w:t>
            </w:r>
            <w:r w:rsidR="009B2E9C">
              <w:rPr>
                <w:sz w:val="19"/>
                <w:szCs w:val="19"/>
                <w:lang w:val="fr-FR"/>
              </w:rPr>
              <w:t>érer à l’</w:t>
            </w:r>
            <w:r w:rsidRPr="00115A34">
              <w:rPr>
                <w:sz w:val="19"/>
                <w:szCs w:val="19"/>
                <w:lang w:val="fr-FR"/>
              </w:rPr>
              <w:t xml:space="preserve">IAIA </w:t>
            </w:r>
            <w:r w:rsidR="009B2E9C">
              <w:rPr>
                <w:sz w:val="19"/>
                <w:szCs w:val="19"/>
                <w:lang w:val="fr-FR"/>
              </w:rPr>
              <w:t>d’examiner les meilleures pratiques et d’actualiser les principes internationaux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  <w:p w14:paraId="1B2DD50C" w14:textId="2D1640CF" w:rsidR="00681726" w:rsidRPr="00115A34" w:rsidRDefault="009B2E9C" w:rsidP="00681726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Encourager une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 collaboration </w:t>
            </w:r>
            <w:r>
              <w:rPr>
                <w:sz w:val="19"/>
                <w:szCs w:val="19"/>
                <w:lang w:val="fr-FR"/>
              </w:rPr>
              <w:t>renouvelée entre l’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IAIA </w:t>
            </w:r>
            <w:r>
              <w:rPr>
                <w:sz w:val="19"/>
                <w:szCs w:val="19"/>
                <w:lang w:val="fr-FR"/>
              </w:rPr>
              <w:t>et les AEM</w:t>
            </w:r>
            <w:r w:rsidR="00681726"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681726" w:rsidRPr="00115A34" w14:paraId="64D76E11" w14:textId="77777777" w:rsidTr="00506507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6E20367E" w14:textId="74FEAC52" w:rsidR="00681726" w:rsidRPr="00115A34" w:rsidRDefault="00681726" w:rsidP="00681726">
            <w:pPr>
              <w:spacing w:before="20" w:after="20"/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</w:t>
            </w:r>
            <w:r w:rsidR="009B2E9C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Agence 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>International</w:t>
            </w:r>
            <w:r w:rsidR="009B2E9C">
              <w:rPr>
                <w:b/>
                <w:i/>
                <w:color w:val="000066"/>
                <w:sz w:val="19"/>
                <w:szCs w:val="19"/>
                <w:lang w:val="fr-FR"/>
              </w:rPr>
              <w:t>e de l’Énergie</w:t>
            </w:r>
          </w:p>
        </w:tc>
      </w:tr>
      <w:tr w:rsidR="00681726" w:rsidRPr="00326B2D" w14:paraId="64D84E9C" w14:textId="77777777" w:rsidTr="00506507">
        <w:trPr>
          <w:jc w:val="center"/>
        </w:trPr>
        <w:tc>
          <w:tcPr>
            <w:tcW w:w="3005" w:type="dxa"/>
          </w:tcPr>
          <w:p w14:paraId="37A66A67" w14:textId="42DB0232" w:rsidR="00681726" w:rsidRPr="00115A34" w:rsidRDefault="00847B92" w:rsidP="00681726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Lignes directrices pour l’atténuation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des effets de la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 construction </w:t>
            </w:r>
            <w:r>
              <w:rPr>
                <w:sz w:val="19"/>
                <w:szCs w:val="19"/>
                <w:lang w:val="fr-FR"/>
              </w:rPr>
              <w:t>et le démantèlement des installations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 hydro</w:t>
            </w:r>
            <w:r>
              <w:rPr>
                <w:sz w:val="19"/>
                <w:szCs w:val="19"/>
                <w:lang w:val="fr-FR"/>
              </w:rPr>
              <w:t>électriques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 (2006, 2012)</w:t>
            </w:r>
          </w:p>
        </w:tc>
        <w:tc>
          <w:tcPr>
            <w:tcW w:w="3005" w:type="dxa"/>
          </w:tcPr>
          <w:p w14:paraId="064CBE4C" w14:textId="3C9A3D0E" w:rsidR="00681726" w:rsidRPr="00115A34" w:rsidRDefault="00E3730A" w:rsidP="00681726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 dans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« </w:t>
            </w:r>
            <w:r>
              <w:rPr>
                <w:sz w:val="19"/>
                <w:szCs w:val="19"/>
                <w:lang w:val="fr-FR"/>
              </w:rPr>
              <w:t>Technologies liées aux énergies renouvelables et espèces migratrices </w:t>
            </w:r>
            <w:r w:rsidRPr="00115A34">
              <w:rPr>
                <w:sz w:val="19"/>
                <w:szCs w:val="19"/>
                <w:lang w:val="fr-FR"/>
              </w:rPr>
              <w:t xml:space="preserve">: </w:t>
            </w:r>
            <w:r>
              <w:rPr>
                <w:sz w:val="19"/>
                <w:szCs w:val="19"/>
                <w:lang w:val="fr-FR"/>
              </w:rPr>
              <w:t>lignes directrices pour un déploiement durable »</w:t>
            </w:r>
            <w:r w:rsidRPr="00115A34">
              <w:rPr>
                <w:sz w:val="19"/>
                <w:szCs w:val="19"/>
                <w:lang w:val="fr-FR"/>
              </w:rPr>
              <w:t xml:space="preserve">   (</w:t>
            </w:r>
            <w:r>
              <w:rPr>
                <w:sz w:val="19"/>
                <w:szCs w:val="19"/>
                <w:lang w:val="fr-FR"/>
              </w:rPr>
              <w:t>D</w:t>
            </w:r>
            <w:r w:rsidRPr="00115A34">
              <w:rPr>
                <w:sz w:val="19"/>
                <w:szCs w:val="19"/>
                <w:lang w:val="fr-FR"/>
              </w:rPr>
              <w:t xml:space="preserve">ocument </w:t>
            </w:r>
            <w:r>
              <w:rPr>
                <w:sz w:val="19"/>
                <w:szCs w:val="19"/>
                <w:lang w:val="fr-FR"/>
              </w:rPr>
              <w:t>MOP</w:t>
            </w:r>
            <w:r w:rsidRPr="00115A34">
              <w:rPr>
                <w:sz w:val="19"/>
                <w:szCs w:val="19"/>
                <w:lang w:val="fr-FR"/>
              </w:rPr>
              <w:t>6.37</w:t>
            </w:r>
            <w:r>
              <w:rPr>
                <w:sz w:val="19"/>
                <w:szCs w:val="19"/>
                <w:lang w:val="fr-FR"/>
              </w:rPr>
              <w:t xml:space="preserve"> de l’AEWA</w:t>
            </w:r>
            <w:r w:rsidRPr="00115A34">
              <w:rPr>
                <w:sz w:val="19"/>
                <w:szCs w:val="19"/>
                <w:lang w:val="fr-FR"/>
              </w:rPr>
              <w:t>, 2015)</w:t>
            </w:r>
          </w:p>
        </w:tc>
        <w:tc>
          <w:tcPr>
            <w:tcW w:w="3006" w:type="dxa"/>
          </w:tcPr>
          <w:p w14:paraId="492D2B06" w14:textId="613F73E2" w:rsidR="00681726" w:rsidRPr="00115A34" w:rsidRDefault="00E3730A" w:rsidP="00681726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Évaluer l</w:t>
            </w:r>
            <w:r w:rsidR="007F6165">
              <w:rPr>
                <w:sz w:val="19"/>
                <w:szCs w:val="19"/>
                <w:lang w:val="fr-FR"/>
              </w:rPr>
              <w:t xml:space="preserve">a mise en œuvre </w:t>
            </w:r>
            <w:r>
              <w:rPr>
                <w:sz w:val="19"/>
                <w:szCs w:val="19"/>
                <w:lang w:val="fr-FR"/>
              </w:rPr>
              <w:t>des lignes directrices</w:t>
            </w:r>
            <w:r w:rsidR="00681726"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681726" w:rsidRPr="00115A34" w14:paraId="695C42BE" w14:textId="77777777" w:rsidTr="00506507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594C90CF" w14:textId="5F750021" w:rsidR="00681726" w:rsidRPr="00115A34" w:rsidRDefault="00681726" w:rsidP="00681726">
            <w:pPr>
              <w:spacing w:before="20" w:after="20"/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lastRenderedPageBreak/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Commission </w:t>
            </w:r>
            <w:r w:rsidR="007F6165">
              <w:rPr>
                <w:b/>
                <w:i/>
                <w:color w:val="000066"/>
                <w:sz w:val="19"/>
                <w:szCs w:val="19"/>
                <w:lang w:val="fr-FR"/>
              </w:rPr>
              <w:t>mondiale des barrages</w:t>
            </w:r>
          </w:p>
        </w:tc>
      </w:tr>
      <w:tr w:rsidR="00681726" w:rsidRPr="007D1931" w14:paraId="6100FDE8" w14:textId="77777777" w:rsidTr="00506507">
        <w:trPr>
          <w:jc w:val="center"/>
        </w:trPr>
        <w:tc>
          <w:tcPr>
            <w:tcW w:w="3005" w:type="dxa"/>
          </w:tcPr>
          <w:p w14:paraId="1379624C" w14:textId="0ECFB93F" w:rsidR="00681726" w:rsidRPr="00115A34" w:rsidRDefault="007F6165" w:rsidP="00681726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Barrages et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 d</w:t>
            </w:r>
            <w:r>
              <w:rPr>
                <w:sz w:val="19"/>
                <w:szCs w:val="19"/>
                <w:lang w:val="fr-FR"/>
              </w:rPr>
              <w:t>é</w:t>
            </w:r>
            <w:r w:rsidR="00681726" w:rsidRPr="00115A34">
              <w:rPr>
                <w:sz w:val="19"/>
                <w:szCs w:val="19"/>
                <w:lang w:val="fr-FR"/>
              </w:rPr>
              <w:t>velop</w:t>
            </w:r>
            <w:r>
              <w:rPr>
                <w:sz w:val="19"/>
                <w:szCs w:val="19"/>
                <w:lang w:val="fr-FR"/>
              </w:rPr>
              <w:t>pe</w:t>
            </w:r>
            <w:r w:rsidR="00681726" w:rsidRPr="00115A34">
              <w:rPr>
                <w:sz w:val="19"/>
                <w:szCs w:val="19"/>
                <w:lang w:val="fr-FR"/>
              </w:rPr>
              <w:t>ment</w:t>
            </w:r>
            <w:r>
              <w:rPr>
                <w:sz w:val="19"/>
                <w:szCs w:val="19"/>
                <w:lang w:val="fr-FR"/>
              </w:rPr>
              <w:t> 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: </w:t>
            </w:r>
            <w:r>
              <w:rPr>
                <w:sz w:val="19"/>
                <w:szCs w:val="19"/>
                <w:lang w:val="fr-FR"/>
              </w:rPr>
              <w:t>un nouveau cadre pour la prise de décisions</w:t>
            </w:r>
            <w:r w:rsidR="00681726" w:rsidRPr="00115A34">
              <w:rPr>
                <w:sz w:val="19"/>
                <w:szCs w:val="19"/>
                <w:lang w:val="fr-FR"/>
              </w:rPr>
              <w:t xml:space="preserve"> (2000)</w:t>
            </w:r>
          </w:p>
        </w:tc>
        <w:tc>
          <w:tcPr>
            <w:tcW w:w="3005" w:type="dxa"/>
          </w:tcPr>
          <w:p w14:paraId="32BCA6F9" w14:textId="4F08D301" w:rsidR="00681726" w:rsidRPr="00115A34" w:rsidRDefault="007F6165" w:rsidP="00681726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 dans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« </w:t>
            </w:r>
            <w:r>
              <w:rPr>
                <w:sz w:val="19"/>
                <w:szCs w:val="19"/>
                <w:lang w:val="fr-FR"/>
              </w:rPr>
              <w:t>Technologies liées aux énergies renouvelables et espèces migratrices </w:t>
            </w:r>
            <w:r w:rsidRPr="00115A34">
              <w:rPr>
                <w:sz w:val="19"/>
                <w:szCs w:val="19"/>
                <w:lang w:val="fr-FR"/>
              </w:rPr>
              <w:t xml:space="preserve">: </w:t>
            </w:r>
            <w:r>
              <w:rPr>
                <w:sz w:val="19"/>
                <w:szCs w:val="19"/>
                <w:lang w:val="fr-FR"/>
              </w:rPr>
              <w:t>lignes directrices pour un déploiement durable »</w:t>
            </w:r>
            <w:r w:rsidRPr="00115A34">
              <w:rPr>
                <w:sz w:val="19"/>
                <w:szCs w:val="19"/>
                <w:lang w:val="fr-FR"/>
              </w:rPr>
              <w:t xml:space="preserve">   (</w:t>
            </w:r>
            <w:r>
              <w:rPr>
                <w:sz w:val="19"/>
                <w:szCs w:val="19"/>
                <w:lang w:val="fr-FR"/>
              </w:rPr>
              <w:t>D</w:t>
            </w:r>
            <w:r w:rsidRPr="00115A34">
              <w:rPr>
                <w:sz w:val="19"/>
                <w:szCs w:val="19"/>
                <w:lang w:val="fr-FR"/>
              </w:rPr>
              <w:t xml:space="preserve">ocument </w:t>
            </w:r>
            <w:r>
              <w:rPr>
                <w:sz w:val="19"/>
                <w:szCs w:val="19"/>
                <w:lang w:val="fr-FR"/>
              </w:rPr>
              <w:t>MOP</w:t>
            </w:r>
            <w:r w:rsidRPr="00115A34">
              <w:rPr>
                <w:sz w:val="19"/>
                <w:szCs w:val="19"/>
                <w:lang w:val="fr-FR"/>
              </w:rPr>
              <w:t>6.37</w:t>
            </w:r>
            <w:r>
              <w:rPr>
                <w:sz w:val="19"/>
                <w:szCs w:val="19"/>
                <w:lang w:val="fr-FR"/>
              </w:rPr>
              <w:t xml:space="preserve"> de l’AEWA</w:t>
            </w:r>
            <w:r w:rsidRPr="00115A34">
              <w:rPr>
                <w:sz w:val="19"/>
                <w:szCs w:val="19"/>
                <w:lang w:val="fr-FR"/>
              </w:rPr>
              <w:t>, 2015)</w:t>
            </w:r>
          </w:p>
        </w:tc>
        <w:tc>
          <w:tcPr>
            <w:tcW w:w="3006" w:type="dxa"/>
          </w:tcPr>
          <w:p w14:paraId="0A5E5C20" w14:textId="583D9577" w:rsidR="00681726" w:rsidRPr="00115A34" w:rsidRDefault="007F6165" w:rsidP="00681726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Évaluer la mise en œuvre du cadre</w:t>
            </w:r>
            <w:r w:rsidR="00681726" w:rsidRPr="00115A34">
              <w:rPr>
                <w:sz w:val="19"/>
                <w:szCs w:val="19"/>
                <w:lang w:val="fr-FR"/>
              </w:rPr>
              <w:t>.</w:t>
            </w:r>
          </w:p>
        </w:tc>
      </w:tr>
    </w:tbl>
    <w:p w14:paraId="73E781AD" w14:textId="77777777" w:rsidR="007722E8" w:rsidRPr="00115A34" w:rsidRDefault="007722E8" w:rsidP="007722E8">
      <w:pPr>
        <w:rPr>
          <w:sz w:val="22"/>
          <w:szCs w:val="22"/>
          <w:lang w:val="fr-FR"/>
        </w:rPr>
      </w:pPr>
    </w:p>
    <w:p w14:paraId="1366C5A2" w14:textId="15454D66" w:rsidR="007722E8" w:rsidRPr="00115A34" w:rsidRDefault="00CA17E2" w:rsidP="00E1163B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En outre</w:t>
      </w:r>
      <w:r w:rsidR="007722E8" w:rsidRPr="00115A34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 xml:space="preserve">certains Plans d’action </w:t>
      </w:r>
      <w:r w:rsidR="00033F01">
        <w:rPr>
          <w:sz w:val="22"/>
          <w:szCs w:val="22"/>
          <w:lang w:val="fr-FR"/>
        </w:rPr>
        <w:t xml:space="preserve">par espèce </w:t>
      </w:r>
      <w:r>
        <w:rPr>
          <w:sz w:val="22"/>
          <w:szCs w:val="22"/>
          <w:lang w:val="fr-FR"/>
        </w:rPr>
        <w:t>de l’</w:t>
      </w:r>
      <w:r w:rsidR="007722E8" w:rsidRPr="00115A34">
        <w:rPr>
          <w:sz w:val="22"/>
          <w:szCs w:val="22"/>
          <w:lang w:val="fr-FR"/>
        </w:rPr>
        <w:t xml:space="preserve">AEWA </w:t>
      </w:r>
      <w:r>
        <w:rPr>
          <w:sz w:val="22"/>
          <w:szCs w:val="22"/>
          <w:lang w:val="fr-FR"/>
        </w:rPr>
        <w:t>peuvent contenir des idées pertinentes</w:t>
      </w:r>
      <w:r w:rsidR="007722E8" w:rsidRPr="00115A34">
        <w:rPr>
          <w:sz w:val="22"/>
          <w:szCs w:val="22"/>
          <w:lang w:val="fr-FR"/>
        </w:rPr>
        <w:t>.</w:t>
      </w:r>
    </w:p>
    <w:p w14:paraId="68B88E06" w14:textId="77777777" w:rsidR="007722E8" w:rsidRPr="00115A34" w:rsidRDefault="007722E8" w:rsidP="007722E8">
      <w:pPr>
        <w:spacing w:after="20"/>
        <w:rPr>
          <w:sz w:val="22"/>
          <w:szCs w:val="22"/>
          <w:lang w:val="fr-FR"/>
        </w:rPr>
      </w:pPr>
    </w:p>
    <w:p w14:paraId="0B2D6289" w14:textId="36A0B246" w:rsidR="007722E8" w:rsidRPr="00115A34" w:rsidRDefault="007722E8" w:rsidP="007722E8">
      <w:pPr>
        <w:spacing w:after="20"/>
        <w:rPr>
          <w:b/>
          <w:i/>
          <w:color w:val="003366"/>
          <w:sz w:val="22"/>
          <w:szCs w:val="22"/>
          <w:lang w:val="fr-FR"/>
        </w:rPr>
      </w:pPr>
      <w:r w:rsidRPr="00115A34">
        <w:rPr>
          <w:b/>
          <w:i/>
          <w:color w:val="003366"/>
          <w:sz w:val="22"/>
          <w:szCs w:val="22"/>
          <w:lang w:val="fr-FR"/>
        </w:rPr>
        <w:t xml:space="preserve">  (b) </w:t>
      </w:r>
      <w:r w:rsidR="00CA17E2">
        <w:rPr>
          <w:b/>
          <w:i/>
          <w:color w:val="003366"/>
          <w:sz w:val="22"/>
          <w:szCs w:val="22"/>
          <w:lang w:val="fr-FR"/>
        </w:rPr>
        <w:t>Autres contextes pertinents</w:t>
      </w:r>
    </w:p>
    <w:p w14:paraId="7856DB4C" w14:textId="77777777" w:rsidR="00460715" w:rsidRPr="00115A34" w:rsidRDefault="00460715" w:rsidP="007722E8">
      <w:pPr>
        <w:spacing w:after="20"/>
        <w:rPr>
          <w:sz w:val="22"/>
          <w:szCs w:val="22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485"/>
      </w:tblGrid>
      <w:tr w:rsidR="00673982" w:rsidRPr="00115A34" w14:paraId="4133AD10" w14:textId="77777777" w:rsidTr="00E1163B">
        <w:trPr>
          <w:jc w:val="center"/>
        </w:trPr>
        <w:tc>
          <w:tcPr>
            <w:tcW w:w="4531" w:type="dxa"/>
            <w:shd w:val="clear" w:color="auto" w:fill="DEEAF6" w:themeFill="accent1" w:themeFillTint="33"/>
            <w:vAlign w:val="center"/>
          </w:tcPr>
          <w:p w14:paraId="56109129" w14:textId="4D996619" w:rsidR="00673982" w:rsidRPr="00115A34" w:rsidRDefault="00CA17E2" w:rsidP="002B5FE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Processus/plateforme multilatéral</w:t>
            </w:r>
            <w:r w:rsidR="00CD6B91">
              <w:rPr>
                <w:b/>
                <w:sz w:val="20"/>
                <w:szCs w:val="20"/>
                <w:lang w:val="fr-FR"/>
              </w:rPr>
              <w:t>(e)</w:t>
            </w:r>
          </w:p>
        </w:tc>
        <w:tc>
          <w:tcPr>
            <w:tcW w:w="4485" w:type="dxa"/>
            <w:shd w:val="clear" w:color="auto" w:fill="DEEAF6" w:themeFill="accent1" w:themeFillTint="33"/>
            <w:vAlign w:val="center"/>
          </w:tcPr>
          <w:p w14:paraId="549DB4F3" w14:textId="4061A546" w:rsidR="00673982" w:rsidRPr="00115A34" w:rsidRDefault="00673982" w:rsidP="002B5FE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115A34">
              <w:rPr>
                <w:b/>
                <w:sz w:val="20"/>
                <w:szCs w:val="20"/>
                <w:lang w:val="fr-FR"/>
              </w:rPr>
              <w:t>Possib</w:t>
            </w:r>
            <w:r w:rsidR="00E1786F">
              <w:rPr>
                <w:b/>
                <w:sz w:val="20"/>
                <w:szCs w:val="20"/>
                <w:lang w:val="fr-FR"/>
              </w:rPr>
              <w:t>i</w:t>
            </w:r>
            <w:r w:rsidRPr="00115A34">
              <w:rPr>
                <w:b/>
                <w:sz w:val="20"/>
                <w:szCs w:val="20"/>
                <w:lang w:val="fr-FR"/>
              </w:rPr>
              <w:t>l</w:t>
            </w:r>
            <w:r w:rsidR="00CA17E2">
              <w:rPr>
                <w:b/>
                <w:sz w:val="20"/>
                <w:szCs w:val="20"/>
                <w:lang w:val="fr-FR"/>
              </w:rPr>
              <w:t>ité</w:t>
            </w:r>
            <w:r w:rsidR="00E1786F">
              <w:rPr>
                <w:b/>
                <w:sz w:val="20"/>
                <w:szCs w:val="20"/>
                <w:lang w:val="fr-FR"/>
              </w:rPr>
              <w:t>s éventuelles d’i</w:t>
            </w:r>
            <w:r w:rsidR="006E68AF">
              <w:rPr>
                <w:b/>
                <w:sz w:val="20"/>
                <w:szCs w:val="20"/>
                <w:lang w:val="fr-FR"/>
              </w:rPr>
              <w:t>n</w:t>
            </w:r>
            <w:r w:rsidR="00E1786F">
              <w:rPr>
                <w:b/>
                <w:sz w:val="20"/>
                <w:szCs w:val="20"/>
                <w:lang w:val="fr-FR"/>
              </w:rPr>
              <w:t>fluence</w:t>
            </w:r>
          </w:p>
        </w:tc>
      </w:tr>
      <w:tr w:rsidR="00673982" w:rsidRPr="00326B2D" w14:paraId="1D0AFF37" w14:textId="77777777" w:rsidTr="00E1163B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76831008" w14:textId="4AE60241" w:rsidR="00673982" w:rsidRPr="00115A34" w:rsidRDefault="00673982" w:rsidP="002B5FE9">
            <w:pPr>
              <w:spacing w:before="20" w:after="20"/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Convention </w:t>
            </w:r>
            <w:r w:rsidR="00E1786F">
              <w:rPr>
                <w:b/>
                <w:i/>
                <w:color w:val="000066"/>
                <w:sz w:val="19"/>
                <w:szCs w:val="19"/>
                <w:lang w:val="fr-FR"/>
              </w:rPr>
              <w:t>sur la conservation des espèces migratrices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(CMS)</w:t>
            </w:r>
          </w:p>
        </w:tc>
      </w:tr>
      <w:tr w:rsidR="00673982" w:rsidRPr="00326B2D" w14:paraId="24AC4A7F" w14:textId="77777777" w:rsidTr="00E1163B">
        <w:trPr>
          <w:jc w:val="center"/>
        </w:trPr>
        <w:tc>
          <w:tcPr>
            <w:tcW w:w="4531" w:type="dxa"/>
          </w:tcPr>
          <w:p w14:paraId="49EDA1A5" w14:textId="7F75AC79" w:rsidR="00673982" w:rsidRPr="00115A34" w:rsidRDefault="00E1786F" w:rsidP="002B5FE9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Résolution</w:t>
            </w:r>
            <w:r w:rsidR="00673982" w:rsidRPr="00115A34">
              <w:rPr>
                <w:sz w:val="19"/>
                <w:szCs w:val="19"/>
                <w:lang w:val="fr-FR"/>
              </w:rPr>
              <w:t xml:space="preserve"> 7.2 (Rev.COP12) </w:t>
            </w:r>
            <w:r>
              <w:rPr>
                <w:sz w:val="19"/>
                <w:szCs w:val="19"/>
                <w:lang w:val="fr-FR"/>
              </w:rPr>
              <w:t xml:space="preserve">de la CMS </w:t>
            </w:r>
            <w:r w:rsidR="00945712">
              <w:rPr>
                <w:sz w:val="19"/>
                <w:szCs w:val="19"/>
                <w:lang w:val="fr-FR"/>
              </w:rPr>
              <w:t>« Évaluation d’i</w:t>
            </w:r>
            <w:r w:rsidR="00673982" w:rsidRPr="00115A34">
              <w:rPr>
                <w:sz w:val="19"/>
                <w:szCs w:val="19"/>
                <w:lang w:val="fr-FR"/>
              </w:rPr>
              <w:t xml:space="preserve">mpact </w:t>
            </w:r>
            <w:r w:rsidR="00945712">
              <w:rPr>
                <w:sz w:val="19"/>
                <w:szCs w:val="19"/>
                <w:lang w:val="fr-FR"/>
              </w:rPr>
              <w:t>et espèces migratrices »</w:t>
            </w:r>
          </w:p>
        </w:tc>
        <w:tc>
          <w:tcPr>
            <w:tcW w:w="4485" w:type="dxa"/>
          </w:tcPr>
          <w:p w14:paraId="3C5F076A" w14:textId="2AB6B9F4" w:rsidR="00673982" w:rsidRPr="00115A34" w:rsidRDefault="00945712" w:rsidP="002B5FE9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Les</w:t>
            </w:r>
            <w:r w:rsidR="00673982" w:rsidRPr="00115A34">
              <w:rPr>
                <w:sz w:val="19"/>
                <w:szCs w:val="19"/>
                <w:lang w:val="fr-FR"/>
              </w:rPr>
              <w:t xml:space="preserve"> Parties </w:t>
            </w:r>
            <w:r>
              <w:rPr>
                <w:sz w:val="19"/>
                <w:szCs w:val="19"/>
                <w:lang w:val="fr-FR"/>
              </w:rPr>
              <w:t>à la CMS rendent compte de leurs actions par le biais de rapports nationaux</w:t>
            </w:r>
            <w:r w:rsidR="00673982"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673982" w:rsidRPr="00326B2D" w14:paraId="2A2850DC" w14:textId="77777777" w:rsidTr="00E1163B">
        <w:trPr>
          <w:jc w:val="center"/>
        </w:trPr>
        <w:tc>
          <w:tcPr>
            <w:tcW w:w="4531" w:type="dxa"/>
          </w:tcPr>
          <w:p w14:paraId="00B2AD94" w14:textId="704E3159" w:rsidR="00673982" w:rsidRPr="00115A34" w:rsidRDefault="00673982" w:rsidP="002B5FE9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R</w:t>
            </w:r>
            <w:r w:rsidR="006E68AF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solution 10.11 (Rev.COP13, 2020) </w:t>
            </w:r>
            <w:r w:rsidR="006E68AF">
              <w:rPr>
                <w:sz w:val="19"/>
                <w:szCs w:val="19"/>
                <w:lang w:val="fr-FR"/>
              </w:rPr>
              <w:t>de la CMS « Lignes électriques et oiseaux migrateurs »</w:t>
            </w:r>
          </w:p>
        </w:tc>
        <w:tc>
          <w:tcPr>
            <w:tcW w:w="4485" w:type="dxa"/>
          </w:tcPr>
          <w:p w14:paraId="61B9A629" w14:textId="3EC47598" w:rsidR="00673982" w:rsidRPr="00115A34" w:rsidRDefault="00673982" w:rsidP="002B5FE9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Influence</w:t>
            </w:r>
            <w:r w:rsidR="006E68AF">
              <w:rPr>
                <w:sz w:val="19"/>
                <w:szCs w:val="19"/>
                <w:lang w:val="fr-FR"/>
              </w:rPr>
              <w:t>r la mise en œuvre par les</w:t>
            </w:r>
            <w:r w:rsidRPr="00115A34">
              <w:rPr>
                <w:sz w:val="19"/>
                <w:szCs w:val="19"/>
                <w:lang w:val="fr-FR"/>
              </w:rPr>
              <w:t xml:space="preserve"> Parties </w:t>
            </w:r>
            <w:r w:rsidR="006E68AF">
              <w:rPr>
                <w:sz w:val="19"/>
                <w:szCs w:val="19"/>
                <w:lang w:val="fr-FR"/>
              </w:rPr>
              <w:t>à la CMS des dispositions de la</w:t>
            </w:r>
            <w:r w:rsidRPr="00115A34">
              <w:rPr>
                <w:sz w:val="19"/>
                <w:szCs w:val="19"/>
                <w:lang w:val="fr-FR"/>
              </w:rPr>
              <w:t xml:space="preserve"> R</w:t>
            </w:r>
            <w:r w:rsidR="006E68AF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>solution relati</w:t>
            </w:r>
            <w:r w:rsidR="006E68AF">
              <w:rPr>
                <w:sz w:val="19"/>
                <w:szCs w:val="19"/>
                <w:lang w:val="fr-FR"/>
              </w:rPr>
              <w:t>ves, entre autres, à la cartographie de la sensibilité</w:t>
            </w:r>
            <w:r w:rsidRPr="00115A34">
              <w:rPr>
                <w:sz w:val="19"/>
                <w:szCs w:val="19"/>
                <w:lang w:val="fr-FR"/>
              </w:rPr>
              <w:t xml:space="preserve">, </w:t>
            </w:r>
            <w:r w:rsidR="006E68AF">
              <w:rPr>
                <w:sz w:val="19"/>
                <w:szCs w:val="19"/>
                <w:lang w:val="fr-FR"/>
              </w:rPr>
              <w:t>à l’établissement de bases de données sur les oiseaux afin d’atténuer, de surveiller les impacts</w:t>
            </w:r>
            <w:r w:rsidRPr="00115A34">
              <w:rPr>
                <w:sz w:val="19"/>
                <w:szCs w:val="19"/>
                <w:lang w:val="fr-FR"/>
              </w:rPr>
              <w:t xml:space="preserve">, </w:t>
            </w:r>
            <w:r w:rsidR="006E68AF">
              <w:rPr>
                <w:sz w:val="19"/>
                <w:szCs w:val="19"/>
                <w:lang w:val="fr-FR"/>
              </w:rPr>
              <w:t>y compris les mesures pertinentes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6E68AF">
              <w:rPr>
                <w:sz w:val="19"/>
                <w:szCs w:val="19"/>
                <w:lang w:val="fr-FR"/>
              </w:rPr>
              <w:t>dans les</w:t>
            </w:r>
            <w:r w:rsidRPr="00115A34">
              <w:rPr>
                <w:sz w:val="19"/>
                <w:szCs w:val="19"/>
                <w:lang w:val="fr-FR"/>
              </w:rPr>
              <w:t xml:space="preserve"> NBSAP </w:t>
            </w:r>
            <w:r w:rsidR="006E68AF">
              <w:rPr>
                <w:sz w:val="19"/>
                <w:szCs w:val="19"/>
                <w:lang w:val="fr-FR"/>
              </w:rPr>
              <w:t>et la</w:t>
            </w:r>
            <w:r w:rsidRPr="00115A34">
              <w:rPr>
                <w:sz w:val="19"/>
                <w:szCs w:val="19"/>
                <w:lang w:val="fr-FR"/>
              </w:rPr>
              <w:t xml:space="preserve"> l</w:t>
            </w:r>
            <w:r w:rsidR="006E68AF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>gislation.</w:t>
            </w:r>
          </w:p>
        </w:tc>
      </w:tr>
      <w:tr w:rsidR="00673982" w:rsidRPr="00326B2D" w14:paraId="4F3C24AF" w14:textId="77777777" w:rsidTr="00E1163B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67B2BE51" w14:textId="1F0E50BA" w:rsidR="00673982" w:rsidRPr="00115A34" w:rsidRDefault="001C39CA" w:rsidP="002B5FE9">
            <w:pPr>
              <w:spacing w:before="20" w:after="20"/>
              <w:rPr>
                <w:sz w:val="19"/>
                <w:szCs w:val="19"/>
                <w:lang w:val="fr-FR"/>
              </w:rPr>
            </w:pPr>
            <w:r>
              <w:rPr>
                <w:b/>
                <w:i/>
                <w:color w:val="000066"/>
                <w:sz w:val="19"/>
                <w:szCs w:val="19"/>
                <w:lang w:val="fr-FR"/>
              </w:rPr>
              <w:t>Assemblée des Nations Unies pour l’environnement</w:t>
            </w:r>
            <w:r w:rsidR="00673982"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(UNE</w:t>
            </w:r>
            <w:r>
              <w:rPr>
                <w:b/>
                <w:i/>
                <w:color w:val="000066"/>
                <w:sz w:val="19"/>
                <w:szCs w:val="19"/>
                <w:lang w:val="fr-FR"/>
              </w:rPr>
              <w:t>A</w:t>
            </w:r>
            <w:r w:rsidR="00673982"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>)</w:t>
            </w:r>
          </w:p>
        </w:tc>
      </w:tr>
      <w:tr w:rsidR="00673982" w:rsidRPr="00326B2D" w14:paraId="6C5A8BC8" w14:textId="77777777" w:rsidTr="00E1163B">
        <w:trPr>
          <w:jc w:val="center"/>
        </w:trPr>
        <w:tc>
          <w:tcPr>
            <w:tcW w:w="4531" w:type="dxa"/>
          </w:tcPr>
          <w:p w14:paraId="51581FB2" w14:textId="512D264A" w:rsidR="00673982" w:rsidRPr="00115A34" w:rsidRDefault="001C39CA" w:rsidP="002B5FE9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La</w:t>
            </w:r>
            <w:r w:rsidR="00673982" w:rsidRPr="00115A34">
              <w:rPr>
                <w:sz w:val="19"/>
                <w:szCs w:val="19"/>
                <w:lang w:val="fr-FR"/>
              </w:rPr>
              <w:t xml:space="preserve"> R</w:t>
            </w:r>
            <w:r>
              <w:rPr>
                <w:sz w:val="19"/>
                <w:szCs w:val="19"/>
                <w:lang w:val="fr-FR"/>
              </w:rPr>
              <w:t>é</w:t>
            </w:r>
            <w:r w:rsidR="00673982" w:rsidRPr="00115A34">
              <w:rPr>
                <w:sz w:val="19"/>
                <w:szCs w:val="19"/>
                <w:lang w:val="fr-FR"/>
              </w:rPr>
              <w:t xml:space="preserve">solution 5/9 (2022) </w:t>
            </w:r>
            <w:r>
              <w:rPr>
                <w:sz w:val="19"/>
                <w:szCs w:val="19"/>
                <w:lang w:val="fr-FR"/>
              </w:rPr>
              <w:t>de l’UNEA « Infrastructures durables et résilientes »</w:t>
            </w:r>
          </w:p>
        </w:tc>
        <w:tc>
          <w:tcPr>
            <w:tcW w:w="4485" w:type="dxa"/>
          </w:tcPr>
          <w:p w14:paraId="3CC4CC80" w14:textId="2D277904" w:rsidR="00673982" w:rsidRPr="00115A34" w:rsidRDefault="00673982" w:rsidP="002B5FE9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Invo</w:t>
            </w:r>
            <w:r w:rsidR="001C39CA">
              <w:rPr>
                <w:sz w:val="19"/>
                <w:szCs w:val="19"/>
                <w:lang w:val="fr-FR"/>
              </w:rPr>
              <w:t>quer les encouragements de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1C39CA">
              <w:rPr>
                <w:sz w:val="19"/>
                <w:szCs w:val="19"/>
                <w:lang w:val="fr-FR"/>
              </w:rPr>
              <w:t xml:space="preserve">la </w:t>
            </w:r>
            <w:r w:rsidRPr="00115A34">
              <w:rPr>
                <w:sz w:val="19"/>
                <w:szCs w:val="19"/>
                <w:lang w:val="fr-FR"/>
              </w:rPr>
              <w:t>R</w:t>
            </w:r>
            <w:r w:rsidR="001C39CA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>solution</w:t>
            </w:r>
            <w:r w:rsidR="001C39CA">
              <w:rPr>
                <w:sz w:val="19"/>
                <w:szCs w:val="19"/>
                <w:lang w:val="fr-FR"/>
              </w:rPr>
              <w:t xml:space="preserve"> pour intégrer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1C39CA">
              <w:rPr>
                <w:sz w:val="19"/>
                <w:szCs w:val="19"/>
                <w:lang w:val="fr-FR"/>
              </w:rPr>
              <w:t>les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1C39CA" w:rsidRPr="00554C86">
              <w:rPr>
                <w:i/>
                <w:iCs/>
                <w:sz w:val="19"/>
                <w:szCs w:val="19"/>
                <w:lang w:val="fr-FR"/>
              </w:rPr>
              <w:t xml:space="preserve">Principes internationaux de bonnes pratiques pour l’infrastructure durable </w:t>
            </w:r>
            <w:r w:rsidRPr="00554C86">
              <w:rPr>
                <w:i/>
                <w:iCs/>
                <w:sz w:val="19"/>
                <w:szCs w:val="19"/>
                <w:lang w:val="fr-FR"/>
              </w:rPr>
              <w:t>:</w:t>
            </w:r>
            <w:r w:rsidRPr="00115A34">
              <w:rPr>
                <w:i/>
                <w:sz w:val="19"/>
                <w:szCs w:val="19"/>
                <w:lang w:val="fr-FR"/>
              </w:rPr>
              <w:t xml:space="preserve"> </w:t>
            </w:r>
            <w:r w:rsidR="001C39CA">
              <w:rPr>
                <w:i/>
                <w:sz w:val="19"/>
                <w:szCs w:val="19"/>
                <w:lang w:val="fr-FR"/>
              </w:rPr>
              <w:t>Approches intégrées au niveau des systèmes pour les décideurs politiques</w:t>
            </w:r>
            <w:r w:rsidRPr="00115A34">
              <w:rPr>
                <w:sz w:val="19"/>
                <w:szCs w:val="19"/>
                <w:lang w:val="fr-FR"/>
              </w:rPr>
              <w:t xml:space="preserve"> (2021) </w:t>
            </w:r>
            <w:r w:rsidR="001C39CA">
              <w:rPr>
                <w:sz w:val="19"/>
                <w:szCs w:val="19"/>
                <w:lang w:val="fr-FR"/>
              </w:rPr>
              <w:t>d</w:t>
            </w:r>
            <w:r w:rsidR="00554C86">
              <w:rPr>
                <w:sz w:val="19"/>
                <w:szCs w:val="19"/>
                <w:lang w:val="fr-FR"/>
              </w:rPr>
              <w:t>u PNUE</w:t>
            </w:r>
            <w:r w:rsidR="001C39CA">
              <w:rPr>
                <w:sz w:val="19"/>
                <w:szCs w:val="19"/>
                <w:lang w:val="fr-FR"/>
              </w:rPr>
              <w:t xml:space="preserve"> dans la</w:t>
            </w:r>
            <w:r w:rsidRPr="00115A34">
              <w:rPr>
                <w:sz w:val="19"/>
                <w:szCs w:val="19"/>
                <w:lang w:val="fr-FR"/>
              </w:rPr>
              <w:t xml:space="preserve"> l</w:t>
            </w:r>
            <w:r w:rsidR="001C39CA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>gislation</w:t>
            </w:r>
            <w:r w:rsidR="001C39CA">
              <w:rPr>
                <w:sz w:val="19"/>
                <w:szCs w:val="19"/>
                <w:lang w:val="fr-FR"/>
              </w:rPr>
              <w:t xml:space="preserve"> nationale</w:t>
            </w:r>
            <w:r w:rsidRPr="00115A34">
              <w:rPr>
                <w:sz w:val="19"/>
                <w:szCs w:val="19"/>
                <w:lang w:val="fr-FR"/>
              </w:rPr>
              <w:t xml:space="preserve">, </w:t>
            </w:r>
            <w:r w:rsidR="001C39CA">
              <w:rPr>
                <w:sz w:val="19"/>
                <w:szCs w:val="19"/>
                <w:lang w:val="fr-FR"/>
              </w:rPr>
              <w:t>afin de s’assurer de cette intégration à travers la zone de l’Accord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  <w:p w14:paraId="64E6265C" w14:textId="18513C26" w:rsidR="00673982" w:rsidRPr="00115A34" w:rsidRDefault="00554C86" w:rsidP="002B5FE9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Supervision du suivi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 xml:space="preserve">à travers les futures </w:t>
            </w:r>
            <w:r w:rsidR="00673982" w:rsidRPr="00115A34">
              <w:rPr>
                <w:sz w:val="19"/>
                <w:szCs w:val="19"/>
                <w:lang w:val="fr-FR"/>
              </w:rPr>
              <w:t xml:space="preserve">sessions </w:t>
            </w:r>
            <w:r>
              <w:rPr>
                <w:sz w:val="19"/>
                <w:szCs w:val="19"/>
                <w:lang w:val="fr-FR"/>
              </w:rPr>
              <w:t>de l’</w:t>
            </w:r>
            <w:r w:rsidR="00673982" w:rsidRPr="00115A34">
              <w:rPr>
                <w:sz w:val="19"/>
                <w:szCs w:val="19"/>
                <w:lang w:val="fr-FR"/>
              </w:rPr>
              <w:t>UNEA.</w:t>
            </w:r>
          </w:p>
        </w:tc>
      </w:tr>
      <w:tr w:rsidR="00673982" w:rsidRPr="00115A34" w14:paraId="7BD15EC5" w14:textId="77777777" w:rsidTr="00E1163B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68B17B3A" w14:textId="6944A574" w:rsidR="00673982" w:rsidRPr="00115A34" w:rsidRDefault="00673982" w:rsidP="002B5FE9">
            <w:pPr>
              <w:spacing w:before="20" w:after="20"/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</w:t>
            </w:r>
            <w:r w:rsidR="00554C86">
              <w:rPr>
                <w:b/>
                <w:i/>
                <w:color w:val="000066"/>
                <w:sz w:val="19"/>
                <w:szCs w:val="19"/>
                <w:lang w:val="fr-FR"/>
              </w:rPr>
              <w:t>Union européenne</w:t>
            </w:r>
          </w:p>
        </w:tc>
      </w:tr>
      <w:tr w:rsidR="00673982" w:rsidRPr="00326B2D" w14:paraId="343C48A8" w14:textId="77777777" w:rsidTr="00E1163B">
        <w:trPr>
          <w:jc w:val="center"/>
        </w:trPr>
        <w:tc>
          <w:tcPr>
            <w:tcW w:w="4531" w:type="dxa"/>
          </w:tcPr>
          <w:p w14:paraId="2A2DB1B1" w14:textId="75E56FD4" w:rsidR="00673982" w:rsidRPr="00115A34" w:rsidRDefault="00E81964" w:rsidP="002B5FE9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Document d’orientation de la</w:t>
            </w:r>
            <w:r w:rsidR="00673982" w:rsidRPr="00115A34">
              <w:rPr>
                <w:sz w:val="19"/>
                <w:szCs w:val="19"/>
                <w:lang w:val="fr-FR"/>
              </w:rPr>
              <w:t xml:space="preserve"> Commission </w:t>
            </w:r>
            <w:r>
              <w:rPr>
                <w:sz w:val="19"/>
                <w:szCs w:val="19"/>
                <w:lang w:val="fr-FR"/>
              </w:rPr>
              <w:t>européenne</w:t>
            </w:r>
            <w:r w:rsidR="00673982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sur l’infrastructure de transmission de l’énergie et législation de l’UE sur la nature</w:t>
            </w:r>
            <w:r w:rsidR="00673982" w:rsidRPr="00115A34">
              <w:rPr>
                <w:sz w:val="19"/>
                <w:szCs w:val="19"/>
                <w:lang w:val="fr-FR"/>
              </w:rPr>
              <w:t xml:space="preserve"> (2019)</w:t>
            </w:r>
          </w:p>
        </w:tc>
        <w:tc>
          <w:tcPr>
            <w:tcW w:w="4485" w:type="dxa"/>
          </w:tcPr>
          <w:p w14:paraId="36068C2C" w14:textId="0A1ED4D5" w:rsidR="00673982" w:rsidRPr="00115A34" w:rsidRDefault="00673982" w:rsidP="002B5FE9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Promo</w:t>
            </w:r>
            <w:r w:rsidR="00773C6B">
              <w:rPr>
                <w:sz w:val="19"/>
                <w:szCs w:val="19"/>
                <w:lang w:val="fr-FR"/>
              </w:rPr>
              <w:t>uvoir et surveiller la mise en œuvre dans les États de l’UE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</w:tbl>
    <w:p w14:paraId="220E0D6E" w14:textId="6F1D07FE" w:rsidR="00673982" w:rsidRPr="00115A34" w:rsidRDefault="00673982" w:rsidP="007722E8">
      <w:pPr>
        <w:spacing w:after="20"/>
        <w:rPr>
          <w:sz w:val="22"/>
          <w:szCs w:val="22"/>
          <w:lang w:val="fr-FR"/>
        </w:rPr>
      </w:pPr>
    </w:p>
    <w:p w14:paraId="47C87AE2" w14:textId="711F013F" w:rsidR="00506507" w:rsidRPr="00115A34" w:rsidRDefault="00506507" w:rsidP="007722E8">
      <w:pPr>
        <w:spacing w:after="20"/>
        <w:rPr>
          <w:sz w:val="22"/>
          <w:szCs w:val="22"/>
          <w:lang w:val="fr-FR"/>
        </w:rPr>
      </w:pPr>
    </w:p>
    <w:p w14:paraId="4D7FC339" w14:textId="39714CEE" w:rsidR="00506507" w:rsidRPr="00115A34" w:rsidRDefault="00506507" w:rsidP="007722E8">
      <w:pPr>
        <w:spacing w:after="20"/>
        <w:rPr>
          <w:sz w:val="22"/>
          <w:szCs w:val="22"/>
          <w:lang w:val="fr-FR"/>
        </w:rPr>
      </w:pPr>
    </w:p>
    <w:p w14:paraId="4AA11D87" w14:textId="21F6A06F" w:rsidR="00506507" w:rsidRPr="00115A34" w:rsidRDefault="00506507" w:rsidP="007722E8">
      <w:pPr>
        <w:spacing w:after="20"/>
        <w:rPr>
          <w:sz w:val="22"/>
          <w:szCs w:val="22"/>
          <w:lang w:val="fr-FR"/>
        </w:rPr>
      </w:pPr>
    </w:p>
    <w:p w14:paraId="0D757461" w14:textId="6DFE6D99" w:rsidR="00506507" w:rsidRPr="00115A34" w:rsidRDefault="00506507" w:rsidP="007722E8">
      <w:pPr>
        <w:spacing w:after="20"/>
        <w:rPr>
          <w:sz w:val="22"/>
          <w:szCs w:val="22"/>
          <w:lang w:val="fr-FR"/>
        </w:rPr>
      </w:pPr>
    </w:p>
    <w:p w14:paraId="54BF87E8" w14:textId="77777777" w:rsidR="00506507" w:rsidRPr="00115A34" w:rsidRDefault="00506507" w:rsidP="007722E8">
      <w:pPr>
        <w:spacing w:after="20"/>
        <w:rPr>
          <w:sz w:val="22"/>
          <w:szCs w:val="22"/>
          <w:lang w:val="fr-FR"/>
        </w:rPr>
      </w:pPr>
    </w:p>
    <w:p w14:paraId="1046D888" w14:textId="77777777" w:rsidR="007722E8" w:rsidRPr="00115A34" w:rsidRDefault="007722E8" w:rsidP="007722E8">
      <w:pPr>
        <w:spacing w:after="20"/>
        <w:rPr>
          <w:sz w:val="16"/>
          <w:szCs w:val="16"/>
          <w:lang w:val="fr-FR"/>
        </w:rPr>
      </w:pPr>
    </w:p>
    <w:p w14:paraId="08ED94FA" w14:textId="7D2A8107" w:rsidR="007722E8" w:rsidRPr="00115A34" w:rsidRDefault="007722E8" w:rsidP="00506507">
      <w:pPr>
        <w:shd w:val="clear" w:color="auto" w:fill="DEEAF6" w:themeFill="accent1" w:themeFillTint="33"/>
        <w:spacing w:after="20"/>
        <w:rPr>
          <w:b/>
          <w:lang w:val="fr-FR"/>
        </w:rPr>
      </w:pPr>
      <w:r w:rsidRPr="00115A34">
        <w:rPr>
          <w:b/>
          <w:lang w:val="fr-FR"/>
        </w:rPr>
        <w:t xml:space="preserve">2.  </w:t>
      </w:r>
      <w:r w:rsidR="00773C6B">
        <w:rPr>
          <w:b/>
          <w:lang w:val="fr-FR"/>
        </w:rPr>
        <w:t>Prélèvement et abattage illégal</w:t>
      </w:r>
    </w:p>
    <w:p w14:paraId="1D78FDCF" w14:textId="77777777" w:rsidR="007722E8" w:rsidRPr="00115A34" w:rsidRDefault="007722E8" w:rsidP="007722E8">
      <w:pPr>
        <w:spacing w:after="20"/>
        <w:rPr>
          <w:sz w:val="22"/>
          <w:szCs w:val="22"/>
          <w:lang w:val="fr-FR"/>
        </w:rPr>
      </w:pPr>
    </w:p>
    <w:p w14:paraId="45ADB083" w14:textId="79E77F47" w:rsidR="007722E8" w:rsidRPr="00115A34" w:rsidRDefault="007722E8" w:rsidP="007722E8">
      <w:pPr>
        <w:spacing w:after="20"/>
        <w:rPr>
          <w:b/>
          <w:i/>
          <w:color w:val="003366"/>
          <w:sz w:val="22"/>
          <w:szCs w:val="22"/>
          <w:lang w:val="fr-FR"/>
        </w:rPr>
      </w:pPr>
      <w:r w:rsidRPr="00115A34">
        <w:rPr>
          <w:b/>
          <w:i/>
          <w:color w:val="003366"/>
          <w:sz w:val="22"/>
          <w:szCs w:val="22"/>
          <w:lang w:val="fr-FR"/>
        </w:rPr>
        <w:t xml:space="preserve">  (a)  </w:t>
      </w:r>
      <w:r w:rsidR="00773C6B">
        <w:rPr>
          <w:b/>
          <w:i/>
          <w:color w:val="003366"/>
          <w:sz w:val="22"/>
          <w:szCs w:val="22"/>
          <w:lang w:val="fr-FR"/>
        </w:rPr>
        <w:t>Orientations existantes de l’</w:t>
      </w:r>
      <w:r w:rsidRPr="00115A34">
        <w:rPr>
          <w:b/>
          <w:i/>
          <w:color w:val="003366"/>
          <w:sz w:val="22"/>
          <w:szCs w:val="22"/>
          <w:lang w:val="fr-FR"/>
        </w:rPr>
        <w:t>AEWA</w:t>
      </w:r>
    </w:p>
    <w:p w14:paraId="335961EA" w14:textId="77777777" w:rsidR="007722E8" w:rsidRPr="00115A34" w:rsidRDefault="007722E8" w:rsidP="007722E8">
      <w:pPr>
        <w:spacing w:after="20"/>
        <w:rPr>
          <w:sz w:val="22"/>
          <w:szCs w:val="22"/>
          <w:lang w:val="fr-FR"/>
        </w:rPr>
      </w:pPr>
    </w:p>
    <w:p w14:paraId="070E1D10" w14:textId="2304BC15" w:rsidR="007722E8" w:rsidRPr="00115A34" w:rsidRDefault="00773C6B" w:rsidP="00E1163B">
      <w:pPr>
        <w:spacing w:after="2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Les Lignes directrices de conservation </w:t>
      </w:r>
      <w:r w:rsidR="00C51981">
        <w:rPr>
          <w:sz w:val="22"/>
          <w:szCs w:val="22"/>
          <w:lang w:val="fr-FR"/>
        </w:rPr>
        <w:t>n</w:t>
      </w:r>
      <w:r w:rsidR="00C51981" w:rsidRPr="00C51981">
        <w:rPr>
          <w:sz w:val="22"/>
          <w:szCs w:val="22"/>
          <w:vertAlign w:val="superscript"/>
          <w:lang w:val="fr-FR"/>
        </w:rPr>
        <w:t>o</w:t>
      </w:r>
      <w:r w:rsidR="00F91FFD" w:rsidRPr="00115A34">
        <w:rPr>
          <w:sz w:val="22"/>
          <w:szCs w:val="22"/>
          <w:lang w:val="fr-FR"/>
        </w:rPr>
        <w:t xml:space="preserve"> 6 (2005)</w:t>
      </w:r>
      <w:r w:rsidR="00C51981">
        <w:rPr>
          <w:sz w:val="22"/>
          <w:szCs w:val="22"/>
          <w:lang w:val="fr-FR"/>
        </w:rPr>
        <w:t>, adoptées par la MOP, sur la réglementation du commerce des oiseaux d’eau migrateurs</w:t>
      </w:r>
      <w:r w:rsidR="00F91FFD" w:rsidRPr="00115A34">
        <w:rPr>
          <w:sz w:val="22"/>
          <w:szCs w:val="22"/>
          <w:lang w:val="fr-FR"/>
        </w:rPr>
        <w:t xml:space="preserve"> </w:t>
      </w:r>
      <w:r w:rsidR="00334B34" w:rsidRPr="00115A34">
        <w:rPr>
          <w:sz w:val="22"/>
          <w:szCs w:val="22"/>
          <w:lang w:val="fr-FR"/>
        </w:rPr>
        <w:t>(</w:t>
      </w:r>
      <w:hyperlink r:id="rId14" w:history="1">
        <w:r w:rsidR="00F91FFD" w:rsidRPr="00115A34">
          <w:rPr>
            <w:rStyle w:val="Hyperlink"/>
            <w:i/>
            <w:sz w:val="22"/>
            <w:szCs w:val="22"/>
            <w:lang w:val="fr-FR"/>
          </w:rPr>
          <w:t>https://www.unep-aewa.org/en/publication/aewa-conservation-guidelines-no-6-guidelines-regulating-trade-migratory-waterbirds-ts-no</w:t>
        </w:r>
      </w:hyperlink>
      <w:r w:rsidR="00F91FFD" w:rsidRPr="00115A34">
        <w:rPr>
          <w:sz w:val="22"/>
          <w:szCs w:val="22"/>
          <w:lang w:val="fr-FR"/>
        </w:rPr>
        <w:t xml:space="preserve"> )</w:t>
      </w:r>
      <w:r w:rsidR="007722E8" w:rsidRPr="00115A34">
        <w:rPr>
          <w:sz w:val="22"/>
          <w:szCs w:val="22"/>
          <w:lang w:val="fr-FR"/>
        </w:rPr>
        <w:t xml:space="preserve"> </w:t>
      </w:r>
      <w:r w:rsidR="00C51981">
        <w:rPr>
          <w:sz w:val="22"/>
          <w:szCs w:val="22"/>
          <w:lang w:val="fr-FR"/>
        </w:rPr>
        <w:t xml:space="preserve">ont identifié plusieurs processus/plateformes multilatéraux susceptibles d’offrir </w:t>
      </w:r>
      <w:r w:rsidR="00544CEA">
        <w:rPr>
          <w:sz w:val="22"/>
          <w:szCs w:val="22"/>
          <w:lang w:val="fr-FR"/>
        </w:rPr>
        <w:t>des opportunités</w:t>
      </w:r>
      <w:r w:rsidR="00C51981">
        <w:rPr>
          <w:sz w:val="22"/>
          <w:szCs w:val="22"/>
          <w:lang w:val="fr-FR"/>
        </w:rPr>
        <w:t xml:space="preserve"> pour exercer de l’influence</w:t>
      </w:r>
      <w:r w:rsidR="007722E8" w:rsidRPr="00115A34">
        <w:rPr>
          <w:sz w:val="22"/>
          <w:szCs w:val="22"/>
          <w:lang w:val="fr-FR"/>
        </w:rPr>
        <w:t xml:space="preserve">. </w:t>
      </w:r>
      <w:r w:rsidR="00367922">
        <w:rPr>
          <w:sz w:val="22"/>
          <w:szCs w:val="22"/>
          <w:lang w:val="fr-FR"/>
        </w:rPr>
        <w:t>Ces processus/plateformes, et quelques autres, sont récapitulés dans le tableau ci-dessous</w:t>
      </w:r>
      <w:r w:rsidR="007722E8" w:rsidRPr="00115A34">
        <w:rPr>
          <w:sz w:val="22"/>
          <w:szCs w:val="22"/>
          <w:lang w:val="fr-FR"/>
        </w:rPr>
        <w:t>.</w:t>
      </w:r>
    </w:p>
    <w:p w14:paraId="437D9420" w14:textId="77777777" w:rsidR="007722E8" w:rsidRPr="00115A34" w:rsidRDefault="007722E8" w:rsidP="007722E8">
      <w:pPr>
        <w:rPr>
          <w:sz w:val="22"/>
          <w:szCs w:val="22"/>
          <w:lang w:val="fr-FR"/>
        </w:rPr>
      </w:pPr>
    </w:p>
    <w:p w14:paraId="43A87AFF" w14:textId="77777777" w:rsidR="007722E8" w:rsidRPr="00115A34" w:rsidRDefault="007722E8" w:rsidP="007722E8">
      <w:pPr>
        <w:rPr>
          <w:sz w:val="8"/>
          <w:szCs w:val="8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722E8" w:rsidRPr="00115A34" w14:paraId="40A62632" w14:textId="77777777" w:rsidTr="00E1163B">
        <w:trPr>
          <w:jc w:val="center"/>
        </w:trPr>
        <w:tc>
          <w:tcPr>
            <w:tcW w:w="3005" w:type="dxa"/>
            <w:shd w:val="clear" w:color="auto" w:fill="DEEAF6" w:themeFill="accent1" w:themeFillTint="33"/>
            <w:vAlign w:val="center"/>
          </w:tcPr>
          <w:p w14:paraId="31836DA4" w14:textId="0AD95CE2" w:rsidR="007722E8" w:rsidRPr="00115A34" w:rsidRDefault="00367922" w:rsidP="005F7185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Processus/plateforme multilatéral</w:t>
            </w:r>
            <w:r w:rsidR="00CD6B91">
              <w:rPr>
                <w:b/>
                <w:sz w:val="20"/>
                <w:szCs w:val="20"/>
                <w:lang w:val="fr-FR"/>
              </w:rPr>
              <w:t>(e)</w:t>
            </w:r>
          </w:p>
        </w:tc>
        <w:tc>
          <w:tcPr>
            <w:tcW w:w="3005" w:type="dxa"/>
            <w:shd w:val="clear" w:color="auto" w:fill="DEEAF6" w:themeFill="accent1" w:themeFillTint="33"/>
            <w:vAlign w:val="center"/>
          </w:tcPr>
          <w:p w14:paraId="1A1200BA" w14:textId="2A1657AE" w:rsidR="007722E8" w:rsidRPr="00115A34" w:rsidRDefault="00E65BB6" w:rsidP="005F7185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</w:t>
            </w:r>
            <w:r w:rsidR="000C6216">
              <w:rPr>
                <w:b/>
                <w:sz w:val="20"/>
                <w:szCs w:val="20"/>
                <w:lang w:val="fr-FR"/>
              </w:rPr>
              <w:t>entionné</w:t>
            </w:r>
            <w:r w:rsidR="00367922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 xml:space="preserve">où </w:t>
            </w:r>
            <w:r w:rsidR="00367922">
              <w:rPr>
                <w:b/>
                <w:sz w:val="20"/>
                <w:szCs w:val="20"/>
                <w:lang w:val="fr-FR"/>
              </w:rPr>
              <w:t>par</w:t>
            </w:r>
            <w:r w:rsidR="007722E8" w:rsidRPr="00115A34">
              <w:rPr>
                <w:b/>
                <w:sz w:val="20"/>
                <w:szCs w:val="20"/>
                <w:lang w:val="fr-FR"/>
              </w:rPr>
              <w:t xml:space="preserve"> </w:t>
            </w:r>
            <w:r w:rsidR="00367922">
              <w:rPr>
                <w:b/>
                <w:sz w:val="20"/>
                <w:szCs w:val="20"/>
                <w:lang w:val="fr-FR"/>
              </w:rPr>
              <w:t>l’</w:t>
            </w:r>
            <w:r w:rsidR="007722E8" w:rsidRPr="00115A34">
              <w:rPr>
                <w:b/>
                <w:sz w:val="20"/>
                <w:szCs w:val="20"/>
                <w:lang w:val="fr-FR"/>
              </w:rPr>
              <w:t>AEWA</w:t>
            </w:r>
          </w:p>
        </w:tc>
        <w:tc>
          <w:tcPr>
            <w:tcW w:w="3006" w:type="dxa"/>
            <w:shd w:val="clear" w:color="auto" w:fill="DEEAF6" w:themeFill="accent1" w:themeFillTint="33"/>
            <w:vAlign w:val="center"/>
          </w:tcPr>
          <w:p w14:paraId="3FB2925F" w14:textId="284F567A" w:rsidR="007722E8" w:rsidRPr="00115A34" w:rsidRDefault="007722E8" w:rsidP="005F718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115A34">
              <w:rPr>
                <w:b/>
                <w:sz w:val="20"/>
                <w:szCs w:val="20"/>
                <w:lang w:val="fr-FR"/>
              </w:rPr>
              <w:t>Possib</w:t>
            </w:r>
            <w:r w:rsidR="000C6216">
              <w:rPr>
                <w:b/>
                <w:sz w:val="20"/>
                <w:szCs w:val="20"/>
                <w:lang w:val="fr-FR"/>
              </w:rPr>
              <w:t>i</w:t>
            </w:r>
            <w:r w:rsidRPr="00115A34">
              <w:rPr>
                <w:b/>
                <w:sz w:val="20"/>
                <w:szCs w:val="20"/>
                <w:lang w:val="fr-FR"/>
              </w:rPr>
              <w:t>l</w:t>
            </w:r>
            <w:r w:rsidR="000C6216">
              <w:rPr>
                <w:b/>
                <w:sz w:val="20"/>
                <w:szCs w:val="20"/>
                <w:lang w:val="fr-FR"/>
              </w:rPr>
              <w:t>ités éventuelles d’influence</w:t>
            </w:r>
          </w:p>
        </w:tc>
      </w:tr>
      <w:tr w:rsidR="007722E8" w:rsidRPr="00326B2D" w14:paraId="3CC0A903" w14:textId="77777777" w:rsidTr="00E1163B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41142448" w14:textId="57DA30EA" w:rsidR="007722E8" w:rsidRPr="00115A34" w:rsidRDefault="007722E8" w:rsidP="005F7185">
            <w:pPr>
              <w:spacing w:before="20" w:after="20"/>
              <w:rPr>
                <w:b/>
                <w:i/>
                <w:color w:val="000066"/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Convention </w:t>
            </w:r>
            <w:r w:rsidR="00341F2E">
              <w:rPr>
                <w:b/>
                <w:i/>
                <w:color w:val="000066"/>
                <w:sz w:val="19"/>
                <w:szCs w:val="19"/>
                <w:lang w:val="fr-FR"/>
              </w:rPr>
              <w:t>sur le commerce i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nternational </w:t>
            </w:r>
            <w:r w:rsidR="00341F2E">
              <w:rPr>
                <w:b/>
                <w:i/>
                <w:color w:val="000066"/>
                <w:sz w:val="19"/>
                <w:szCs w:val="19"/>
                <w:lang w:val="fr-FR"/>
              </w:rPr>
              <w:t>des espèces de faune et de flore sauvages menacées d’extinction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(CITES)</w:t>
            </w:r>
          </w:p>
        </w:tc>
      </w:tr>
      <w:tr w:rsidR="007722E8" w:rsidRPr="00326B2D" w14:paraId="7D69DD14" w14:textId="77777777" w:rsidTr="00E1163B">
        <w:trPr>
          <w:jc w:val="center"/>
        </w:trPr>
        <w:tc>
          <w:tcPr>
            <w:tcW w:w="3005" w:type="dxa"/>
          </w:tcPr>
          <w:p w14:paraId="46209D2C" w14:textId="2BEE7AC6" w:rsidR="007722E8" w:rsidRPr="00115A34" w:rsidRDefault="000C6216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lastRenderedPageBreak/>
              <w:t>L</w:t>
            </w:r>
            <w:r w:rsidR="001B4657">
              <w:rPr>
                <w:sz w:val="19"/>
                <w:szCs w:val="19"/>
                <w:lang w:val="fr-FR"/>
              </w:rPr>
              <w:t>à</w:t>
            </w:r>
            <w:r>
              <w:rPr>
                <w:sz w:val="19"/>
                <w:szCs w:val="19"/>
                <w:lang w:val="fr-FR"/>
              </w:rPr>
              <w:t xml:space="preserve"> où le commerce </w:t>
            </w:r>
            <w:r w:rsidR="007722E8" w:rsidRPr="00115A34">
              <w:rPr>
                <w:sz w:val="19"/>
                <w:szCs w:val="19"/>
                <w:lang w:val="fr-FR"/>
              </w:rPr>
              <w:t>international</w:t>
            </w:r>
            <w:r>
              <w:rPr>
                <w:sz w:val="19"/>
                <w:szCs w:val="19"/>
                <w:lang w:val="fr-FR"/>
              </w:rPr>
              <w:t xml:space="preserve"> affecte les oiseaux d’eau migrateurs, la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CITES (</w:t>
            </w:r>
            <w:r>
              <w:rPr>
                <w:sz w:val="19"/>
                <w:szCs w:val="19"/>
                <w:lang w:val="fr-FR"/>
              </w:rPr>
              <w:t>par le biais du PNUE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-WCMC) </w:t>
            </w:r>
            <w:r>
              <w:rPr>
                <w:sz w:val="19"/>
                <w:szCs w:val="19"/>
                <w:lang w:val="fr-FR"/>
              </w:rPr>
              <w:t>fournit la meilleure source de données sur ce problème</w:t>
            </w:r>
            <w:r w:rsidR="007722E8" w:rsidRPr="00115A34">
              <w:rPr>
                <w:sz w:val="19"/>
                <w:szCs w:val="19"/>
                <w:lang w:val="fr-FR"/>
              </w:rPr>
              <w:t>.  (</w:t>
            </w:r>
            <w:r>
              <w:rPr>
                <w:sz w:val="19"/>
                <w:szCs w:val="19"/>
                <w:lang w:val="fr-FR"/>
              </w:rPr>
              <w:t>Seul un petit nombre d’oiseaux d’eau migrateurs sont affectés dans la zone de l’AEWA, mais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avec une augmentation du commerce national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. </w:t>
            </w:r>
            <w:r>
              <w:rPr>
                <w:sz w:val="19"/>
                <w:szCs w:val="19"/>
                <w:lang w:val="fr-FR"/>
              </w:rPr>
              <w:t xml:space="preserve">En outre, les données </w:t>
            </w:r>
            <w:r w:rsidR="00033F01">
              <w:rPr>
                <w:sz w:val="19"/>
                <w:szCs w:val="19"/>
                <w:lang w:val="fr-FR"/>
              </w:rPr>
              <w:t xml:space="preserve">sont </w:t>
            </w:r>
            <w:r>
              <w:rPr>
                <w:sz w:val="19"/>
                <w:szCs w:val="19"/>
                <w:lang w:val="fr-FR"/>
              </w:rPr>
              <w:t>uniquement basées sur les espèces figurant sur les listes de la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CITES, </w:t>
            </w:r>
            <w:r>
              <w:rPr>
                <w:sz w:val="19"/>
                <w:szCs w:val="19"/>
                <w:lang w:val="fr-FR"/>
              </w:rPr>
              <w:t xml:space="preserve">et elles </w:t>
            </w:r>
            <w:r w:rsidR="007722E8" w:rsidRPr="00115A34">
              <w:rPr>
                <w:sz w:val="19"/>
                <w:szCs w:val="19"/>
                <w:lang w:val="fr-FR"/>
              </w:rPr>
              <w:t>exclu</w:t>
            </w:r>
            <w:r w:rsidR="001B4657">
              <w:rPr>
                <w:sz w:val="19"/>
                <w:szCs w:val="19"/>
                <w:lang w:val="fr-FR"/>
              </w:rPr>
              <w:t>ent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</w:t>
            </w:r>
            <w:r w:rsidR="001B4657">
              <w:rPr>
                <w:sz w:val="19"/>
                <w:szCs w:val="19"/>
                <w:lang w:val="fr-FR"/>
              </w:rPr>
              <w:t>la mortalité avant exportation, qui peut également être significative)</w:t>
            </w:r>
          </w:p>
        </w:tc>
        <w:tc>
          <w:tcPr>
            <w:tcW w:w="3005" w:type="dxa"/>
          </w:tcPr>
          <w:p w14:paraId="6C3A8CF4" w14:textId="2B872AE9" w:rsidR="007722E8" w:rsidRPr="00115A34" w:rsidRDefault="001B4657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 dans les Lignes directrices de c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onservation </w:t>
            </w:r>
            <w:r>
              <w:rPr>
                <w:sz w:val="19"/>
                <w:szCs w:val="19"/>
                <w:lang w:val="fr-FR"/>
              </w:rPr>
              <w:t>n</w:t>
            </w:r>
            <w:r w:rsidR="007722E8" w:rsidRPr="001B4657">
              <w:rPr>
                <w:sz w:val="19"/>
                <w:szCs w:val="19"/>
                <w:vertAlign w:val="superscript"/>
                <w:lang w:val="fr-FR"/>
              </w:rPr>
              <w:t>o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6 </w:t>
            </w:r>
            <w:r>
              <w:rPr>
                <w:sz w:val="19"/>
                <w:szCs w:val="19"/>
                <w:lang w:val="fr-FR"/>
              </w:rPr>
              <w:t xml:space="preserve">de l’AEWA 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(2005) </w:t>
            </w:r>
            <w:r>
              <w:rPr>
                <w:sz w:val="19"/>
                <w:szCs w:val="19"/>
                <w:lang w:val="fr-FR"/>
              </w:rPr>
              <w:t>sur la réglementation du commerce des oiseaux d’eau migrateurs</w:t>
            </w:r>
          </w:p>
        </w:tc>
        <w:tc>
          <w:tcPr>
            <w:tcW w:w="3006" w:type="dxa"/>
          </w:tcPr>
          <w:p w14:paraId="1D3E6308" w14:textId="3D57DEAC" w:rsidR="007722E8" w:rsidRPr="00115A34" w:rsidRDefault="0080675B" w:rsidP="0080675B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R</w:t>
            </w:r>
            <w:r w:rsidR="001B4657">
              <w:rPr>
                <w:sz w:val="19"/>
                <w:szCs w:val="19"/>
                <w:lang w:val="fr-FR"/>
              </w:rPr>
              <w:t>éalisation de rapports et évaluation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1B4657">
              <w:rPr>
                <w:sz w:val="19"/>
                <w:szCs w:val="19"/>
                <w:lang w:val="fr-FR"/>
              </w:rPr>
              <w:t>des données de mise en œuvre de la</w:t>
            </w:r>
            <w:r w:rsidRPr="00115A34">
              <w:rPr>
                <w:sz w:val="19"/>
                <w:szCs w:val="19"/>
                <w:lang w:val="fr-FR"/>
              </w:rPr>
              <w:t xml:space="preserve"> CITES.</w:t>
            </w:r>
          </w:p>
        </w:tc>
      </w:tr>
      <w:tr w:rsidR="007722E8" w:rsidRPr="00326B2D" w14:paraId="6B1DF002" w14:textId="77777777" w:rsidTr="00E1163B">
        <w:trPr>
          <w:jc w:val="center"/>
        </w:trPr>
        <w:tc>
          <w:tcPr>
            <w:tcW w:w="3005" w:type="dxa"/>
          </w:tcPr>
          <w:p w14:paraId="61534ACA" w14:textId="2B650D77" w:rsidR="007722E8" w:rsidRPr="00115A34" w:rsidRDefault="001B4657" w:rsidP="00B226BD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Les Parties à la </w:t>
            </w:r>
            <w:r w:rsidR="00B226BD" w:rsidRPr="00115A34">
              <w:rPr>
                <w:sz w:val="19"/>
                <w:szCs w:val="19"/>
                <w:lang w:val="fr-FR"/>
              </w:rPr>
              <w:t xml:space="preserve">CITES </w:t>
            </w:r>
            <w:r w:rsidR="00033F01">
              <w:rPr>
                <w:sz w:val="19"/>
                <w:szCs w:val="19"/>
                <w:lang w:val="fr-FR"/>
              </w:rPr>
              <w:t xml:space="preserve">ont </w:t>
            </w:r>
            <w:r>
              <w:rPr>
                <w:sz w:val="19"/>
                <w:szCs w:val="19"/>
                <w:lang w:val="fr-FR"/>
              </w:rPr>
              <w:t>demand</w:t>
            </w:r>
            <w:r w:rsidR="00033F01">
              <w:rPr>
                <w:sz w:val="19"/>
                <w:szCs w:val="19"/>
                <w:lang w:val="fr-FR"/>
              </w:rPr>
              <w:t>é</w:t>
            </w:r>
            <w:r>
              <w:rPr>
                <w:sz w:val="19"/>
                <w:szCs w:val="19"/>
                <w:lang w:val="fr-FR"/>
              </w:rPr>
              <w:t xml:space="preserve"> la rég</w:t>
            </w:r>
            <w:r w:rsidR="00A647DD">
              <w:rPr>
                <w:sz w:val="19"/>
                <w:szCs w:val="19"/>
                <w:lang w:val="fr-FR"/>
              </w:rPr>
              <w:t>lementation</w:t>
            </w:r>
            <w:r>
              <w:rPr>
                <w:sz w:val="19"/>
                <w:szCs w:val="19"/>
                <w:lang w:val="fr-FR"/>
              </w:rPr>
              <w:t xml:space="preserve"> du commerce des espèces figurant dans ses Annexes</w:t>
            </w:r>
          </w:p>
        </w:tc>
        <w:tc>
          <w:tcPr>
            <w:tcW w:w="3005" w:type="dxa"/>
          </w:tcPr>
          <w:p w14:paraId="53691168" w14:textId="7ECCD23F" w:rsidR="007722E8" w:rsidRPr="00115A34" w:rsidRDefault="001B4657" w:rsidP="00B226BD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Les Lignes directrices de c</w:t>
            </w:r>
            <w:r w:rsidRPr="00115A34">
              <w:rPr>
                <w:sz w:val="19"/>
                <w:szCs w:val="19"/>
                <w:lang w:val="fr-FR"/>
              </w:rPr>
              <w:t xml:space="preserve">onservation </w:t>
            </w:r>
            <w:r>
              <w:rPr>
                <w:sz w:val="19"/>
                <w:szCs w:val="19"/>
                <w:lang w:val="fr-FR"/>
              </w:rPr>
              <w:t>n</w:t>
            </w:r>
            <w:r w:rsidRPr="001B4657">
              <w:rPr>
                <w:sz w:val="19"/>
                <w:szCs w:val="19"/>
                <w:vertAlign w:val="superscript"/>
                <w:lang w:val="fr-FR"/>
              </w:rPr>
              <w:t>o</w:t>
            </w:r>
            <w:r w:rsidRPr="00115A34">
              <w:rPr>
                <w:sz w:val="19"/>
                <w:szCs w:val="19"/>
                <w:lang w:val="fr-FR"/>
              </w:rPr>
              <w:t xml:space="preserve"> 6 </w:t>
            </w:r>
            <w:r>
              <w:rPr>
                <w:sz w:val="19"/>
                <w:szCs w:val="19"/>
                <w:lang w:val="fr-FR"/>
              </w:rPr>
              <w:t xml:space="preserve">de l’AEWA </w:t>
            </w:r>
            <w:r w:rsidRPr="00115A34">
              <w:rPr>
                <w:sz w:val="19"/>
                <w:szCs w:val="19"/>
                <w:lang w:val="fr-FR"/>
              </w:rPr>
              <w:t xml:space="preserve">(2005) </w:t>
            </w:r>
            <w:r>
              <w:rPr>
                <w:sz w:val="19"/>
                <w:szCs w:val="19"/>
                <w:lang w:val="fr-FR"/>
              </w:rPr>
              <w:t>sur la réglementation du commerce des oiseaux d’eau migrateurs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B226BD" w:rsidRPr="00115A34">
              <w:rPr>
                <w:sz w:val="19"/>
                <w:szCs w:val="19"/>
                <w:lang w:val="fr-FR"/>
              </w:rPr>
              <w:t>recomm</w:t>
            </w:r>
            <w:r>
              <w:rPr>
                <w:sz w:val="19"/>
                <w:szCs w:val="19"/>
                <w:lang w:val="fr-FR"/>
              </w:rPr>
              <w:t>andent que les États adhèrent à la</w:t>
            </w:r>
            <w:r w:rsidR="00B226BD" w:rsidRPr="00115A34">
              <w:rPr>
                <w:sz w:val="19"/>
                <w:szCs w:val="19"/>
                <w:lang w:val="fr-FR"/>
              </w:rPr>
              <w:t xml:space="preserve"> CITES, </w:t>
            </w:r>
            <w:r>
              <w:rPr>
                <w:sz w:val="19"/>
                <w:szCs w:val="19"/>
                <w:lang w:val="fr-FR"/>
              </w:rPr>
              <w:t>pour surveiller et rég</w:t>
            </w:r>
            <w:r w:rsidR="00A647DD">
              <w:rPr>
                <w:sz w:val="19"/>
                <w:szCs w:val="19"/>
                <w:lang w:val="fr-FR"/>
              </w:rPr>
              <w:t>lementer</w:t>
            </w:r>
            <w:r>
              <w:rPr>
                <w:sz w:val="19"/>
                <w:szCs w:val="19"/>
                <w:lang w:val="fr-FR"/>
              </w:rPr>
              <w:t xml:space="preserve"> le commerce des espèces en danger et </w:t>
            </w:r>
            <w:r w:rsidR="00B226BD" w:rsidRPr="00115A34">
              <w:rPr>
                <w:sz w:val="19"/>
                <w:szCs w:val="19"/>
                <w:lang w:val="fr-FR"/>
              </w:rPr>
              <w:t>vuln</w:t>
            </w:r>
            <w:r>
              <w:rPr>
                <w:sz w:val="19"/>
                <w:szCs w:val="19"/>
                <w:lang w:val="fr-FR"/>
              </w:rPr>
              <w:t>é</w:t>
            </w:r>
            <w:r w:rsidR="00B226BD" w:rsidRPr="00115A34">
              <w:rPr>
                <w:sz w:val="19"/>
                <w:szCs w:val="19"/>
                <w:lang w:val="fr-FR"/>
              </w:rPr>
              <w:t>rable</w:t>
            </w:r>
            <w:r>
              <w:rPr>
                <w:sz w:val="19"/>
                <w:szCs w:val="19"/>
                <w:lang w:val="fr-FR"/>
              </w:rPr>
              <w:t>s</w:t>
            </w:r>
          </w:p>
        </w:tc>
        <w:tc>
          <w:tcPr>
            <w:tcW w:w="3006" w:type="dxa"/>
          </w:tcPr>
          <w:p w14:paraId="29611BBA" w14:textId="270311C3" w:rsidR="007722E8" w:rsidRPr="00115A34" w:rsidRDefault="001B4657" w:rsidP="0080675B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Adhérer à la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Convention, </w:t>
            </w:r>
            <w:r>
              <w:rPr>
                <w:sz w:val="19"/>
                <w:szCs w:val="19"/>
                <w:lang w:val="fr-FR"/>
              </w:rPr>
              <w:t xml:space="preserve">pour les États qui ne sont pas encore </w:t>
            </w:r>
            <w:r w:rsidR="007722E8" w:rsidRPr="00115A34">
              <w:rPr>
                <w:sz w:val="19"/>
                <w:szCs w:val="19"/>
                <w:lang w:val="fr-FR"/>
              </w:rPr>
              <w:t>Part</w:t>
            </w:r>
            <w:r>
              <w:rPr>
                <w:sz w:val="19"/>
                <w:szCs w:val="19"/>
                <w:lang w:val="fr-FR"/>
              </w:rPr>
              <w:t>ie</w:t>
            </w:r>
            <w:r w:rsidR="0080675B" w:rsidRPr="00115A34">
              <w:rPr>
                <w:sz w:val="19"/>
                <w:szCs w:val="19"/>
                <w:lang w:val="fr-FR"/>
              </w:rPr>
              <w:t>.</w:t>
            </w:r>
          </w:p>
          <w:p w14:paraId="00CD9D73" w14:textId="31892110" w:rsidR="0080675B" w:rsidRPr="00115A34" w:rsidRDefault="0080675B" w:rsidP="0080675B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M</w:t>
            </w:r>
            <w:r w:rsidR="00FB2245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>canism</w:t>
            </w:r>
            <w:r w:rsidR="00FB2245">
              <w:rPr>
                <w:sz w:val="19"/>
                <w:szCs w:val="19"/>
                <w:lang w:val="fr-FR"/>
              </w:rPr>
              <w:t>e</w:t>
            </w:r>
            <w:r w:rsidRPr="00115A34">
              <w:rPr>
                <w:sz w:val="19"/>
                <w:szCs w:val="19"/>
                <w:lang w:val="fr-FR"/>
              </w:rPr>
              <w:t xml:space="preserve">s </w:t>
            </w:r>
            <w:r w:rsidR="00FB2245">
              <w:rPr>
                <w:sz w:val="19"/>
                <w:szCs w:val="19"/>
                <w:lang w:val="fr-FR"/>
              </w:rPr>
              <w:t>pour assurer</w:t>
            </w:r>
            <w:r w:rsidR="00FB2245" w:rsidRPr="00115A34">
              <w:rPr>
                <w:sz w:val="19"/>
                <w:szCs w:val="19"/>
                <w:lang w:val="fr-FR"/>
              </w:rPr>
              <w:t xml:space="preserve"> </w:t>
            </w:r>
            <w:r w:rsidRPr="00115A34">
              <w:rPr>
                <w:sz w:val="19"/>
                <w:szCs w:val="19"/>
                <w:lang w:val="fr-FR"/>
              </w:rPr>
              <w:t xml:space="preserve">/ </w:t>
            </w:r>
            <w:r w:rsidR="00FB2245">
              <w:rPr>
                <w:sz w:val="19"/>
                <w:szCs w:val="19"/>
                <w:lang w:val="fr-FR"/>
              </w:rPr>
              <w:t>améliorer la conformité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326B2D" w14:paraId="60902B35" w14:textId="77777777" w:rsidTr="00E1163B">
        <w:trPr>
          <w:jc w:val="center"/>
        </w:trPr>
        <w:tc>
          <w:tcPr>
            <w:tcW w:w="3005" w:type="dxa"/>
          </w:tcPr>
          <w:p w14:paraId="768D7582" w14:textId="3A7CE52D" w:rsidR="007722E8" w:rsidRPr="00115A34" w:rsidRDefault="00FB2245" w:rsidP="000B76CF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Les listes d’espèces de la </w:t>
            </w:r>
            <w:r w:rsidR="007722E8" w:rsidRPr="00115A34">
              <w:rPr>
                <w:sz w:val="19"/>
                <w:szCs w:val="19"/>
                <w:lang w:val="fr-FR"/>
              </w:rPr>
              <w:t>CITES</w:t>
            </w:r>
            <w:r>
              <w:rPr>
                <w:sz w:val="19"/>
                <w:szCs w:val="19"/>
                <w:lang w:val="fr-FR"/>
              </w:rPr>
              <w:t xml:space="preserve"> sont </w:t>
            </w:r>
            <w:r w:rsidR="007722E8" w:rsidRPr="00115A34">
              <w:rPr>
                <w:sz w:val="19"/>
                <w:szCs w:val="19"/>
                <w:lang w:val="fr-FR"/>
              </w:rPr>
              <w:t>dynami</w:t>
            </w:r>
            <w:r>
              <w:rPr>
                <w:sz w:val="19"/>
                <w:szCs w:val="19"/>
                <w:lang w:val="fr-FR"/>
              </w:rPr>
              <w:t>ques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, </w:t>
            </w:r>
            <w:r>
              <w:rPr>
                <w:sz w:val="19"/>
                <w:szCs w:val="19"/>
                <w:lang w:val="fr-FR"/>
              </w:rPr>
              <w:t>et les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Parties </w:t>
            </w:r>
            <w:r>
              <w:rPr>
                <w:sz w:val="19"/>
                <w:szCs w:val="19"/>
                <w:lang w:val="fr-FR"/>
              </w:rPr>
              <w:t>doivent s’assurer qu’elles sont à jour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. </w:t>
            </w:r>
            <w:r>
              <w:rPr>
                <w:sz w:val="19"/>
                <w:szCs w:val="19"/>
                <w:lang w:val="fr-FR"/>
              </w:rPr>
              <w:t>Douze espèces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 xml:space="preserve">ayant l’état de 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conservation </w:t>
            </w:r>
            <w:r>
              <w:rPr>
                <w:sz w:val="19"/>
                <w:szCs w:val="19"/>
                <w:lang w:val="fr-FR"/>
              </w:rPr>
              <w:t>le plus élevé dans le Plan d’action de l’</w:t>
            </w:r>
            <w:r w:rsidR="007722E8" w:rsidRPr="00115A34">
              <w:rPr>
                <w:sz w:val="19"/>
                <w:szCs w:val="19"/>
                <w:lang w:val="fr-FR"/>
              </w:rPr>
              <w:t>AEWA (</w:t>
            </w:r>
            <w:r>
              <w:rPr>
                <w:sz w:val="19"/>
                <w:szCs w:val="19"/>
                <w:lang w:val="fr-FR"/>
              </w:rPr>
              <w:t>c</w:t>
            </w:r>
            <w:r w:rsidR="007722E8" w:rsidRPr="00115A34">
              <w:rPr>
                <w:sz w:val="19"/>
                <w:szCs w:val="19"/>
                <w:lang w:val="fr-FR"/>
              </w:rPr>
              <w:t>at</w:t>
            </w:r>
            <w:r>
              <w:rPr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sz w:val="19"/>
                <w:szCs w:val="19"/>
                <w:lang w:val="fr-FR"/>
              </w:rPr>
              <w:t>gor</w:t>
            </w:r>
            <w:r>
              <w:rPr>
                <w:sz w:val="19"/>
                <w:szCs w:val="19"/>
                <w:lang w:val="fr-FR"/>
              </w:rPr>
              <w:t>ie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1, </w:t>
            </w:r>
            <w:r>
              <w:rPr>
                <w:sz w:val="19"/>
                <w:szCs w:val="19"/>
                <w:lang w:val="fr-FR"/>
              </w:rPr>
              <w:t>colonne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A, </w:t>
            </w:r>
            <w:r>
              <w:rPr>
                <w:sz w:val="19"/>
                <w:szCs w:val="19"/>
                <w:lang w:val="fr-FR"/>
              </w:rPr>
              <w:t>tableau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1) </w:t>
            </w:r>
            <w:r>
              <w:rPr>
                <w:sz w:val="19"/>
                <w:szCs w:val="19"/>
                <w:lang w:val="fr-FR"/>
              </w:rPr>
              <w:t>et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3 </w:t>
            </w:r>
            <w:r>
              <w:rPr>
                <w:sz w:val="19"/>
                <w:szCs w:val="19"/>
                <w:lang w:val="fr-FR"/>
              </w:rPr>
              <w:t>espèces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 xml:space="preserve">figurant dans l’Annexe 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I </w:t>
            </w:r>
            <w:r>
              <w:rPr>
                <w:sz w:val="19"/>
                <w:szCs w:val="19"/>
                <w:lang w:val="fr-FR"/>
              </w:rPr>
              <w:t>de la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CMS, </w:t>
            </w:r>
            <w:r>
              <w:rPr>
                <w:sz w:val="19"/>
                <w:szCs w:val="19"/>
                <w:lang w:val="fr-FR"/>
              </w:rPr>
              <w:t xml:space="preserve">ne figuraient pas dans la liste au moment de la publication des Lignes directrices de </w:t>
            </w:r>
            <w:r w:rsidR="000B76CF" w:rsidRPr="00115A34">
              <w:rPr>
                <w:sz w:val="19"/>
                <w:szCs w:val="19"/>
                <w:lang w:val="fr-FR"/>
              </w:rPr>
              <w:t>2005</w:t>
            </w:r>
            <w:r>
              <w:rPr>
                <w:sz w:val="19"/>
                <w:szCs w:val="19"/>
                <w:lang w:val="fr-FR"/>
              </w:rPr>
              <w:t>, auxquelles il est fait référence ici</w:t>
            </w:r>
            <w:r w:rsidR="000B76CF" w:rsidRPr="00115A34">
              <w:rPr>
                <w:sz w:val="19"/>
                <w:szCs w:val="19"/>
                <w:lang w:val="fr-FR"/>
              </w:rPr>
              <w:t xml:space="preserve"> (</w:t>
            </w:r>
            <w:r>
              <w:rPr>
                <w:sz w:val="19"/>
                <w:szCs w:val="19"/>
                <w:lang w:val="fr-FR"/>
              </w:rPr>
              <w:t>la classification doit être mise à jour</w:t>
            </w:r>
            <w:r w:rsidR="000B76CF" w:rsidRPr="00115A34">
              <w:rPr>
                <w:sz w:val="19"/>
                <w:szCs w:val="19"/>
                <w:lang w:val="fr-FR"/>
              </w:rPr>
              <w:t>)</w:t>
            </w:r>
            <w:r w:rsidR="00C80AC1">
              <w:rPr>
                <w:sz w:val="19"/>
                <w:szCs w:val="19"/>
                <w:lang w:val="fr-FR"/>
              </w:rPr>
              <w:t>.</w:t>
            </w:r>
          </w:p>
        </w:tc>
        <w:tc>
          <w:tcPr>
            <w:tcW w:w="3005" w:type="dxa"/>
          </w:tcPr>
          <w:p w14:paraId="2BE2007A" w14:textId="1D7DCE43" w:rsidR="007722E8" w:rsidRPr="00115A34" w:rsidRDefault="00FB2245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 dans les Lignes directrices de c</w:t>
            </w:r>
            <w:r w:rsidRPr="00115A34">
              <w:rPr>
                <w:sz w:val="19"/>
                <w:szCs w:val="19"/>
                <w:lang w:val="fr-FR"/>
              </w:rPr>
              <w:t xml:space="preserve">onservation </w:t>
            </w:r>
            <w:r>
              <w:rPr>
                <w:sz w:val="19"/>
                <w:szCs w:val="19"/>
                <w:lang w:val="fr-FR"/>
              </w:rPr>
              <w:t>n</w:t>
            </w:r>
            <w:r w:rsidRPr="001B4657">
              <w:rPr>
                <w:sz w:val="19"/>
                <w:szCs w:val="19"/>
                <w:vertAlign w:val="superscript"/>
                <w:lang w:val="fr-FR"/>
              </w:rPr>
              <w:t>o</w:t>
            </w:r>
            <w:r w:rsidRPr="00115A34">
              <w:rPr>
                <w:sz w:val="19"/>
                <w:szCs w:val="19"/>
                <w:lang w:val="fr-FR"/>
              </w:rPr>
              <w:t xml:space="preserve"> 6 </w:t>
            </w:r>
            <w:r>
              <w:rPr>
                <w:sz w:val="19"/>
                <w:szCs w:val="19"/>
                <w:lang w:val="fr-FR"/>
              </w:rPr>
              <w:t xml:space="preserve">de l’AEWA </w:t>
            </w:r>
            <w:r w:rsidRPr="00115A34">
              <w:rPr>
                <w:sz w:val="19"/>
                <w:szCs w:val="19"/>
                <w:lang w:val="fr-FR"/>
              </w:rPr>
              <w:t xml:space="preserve">(2005) </w:t>
            </w:r>
            <w:r>
              <w:rPr>
                <w:sz w:val="19"/>
                <w:szCs w:val="19"/>
                <w:lang w:val="fr-FR"/>
              </w:rPr>
              <w:t>sur la réglementation du commerce des oiseaux d’eau migrateurs</w:t>
            </w:r>
          </w:p>
        </w:tc>
        <w:tc>
          <w:tcPr>
            <w:tcW w:w="3006" w:type="dxa"/>
          </w:tcPr>
          <w:p w14:paraId="183912BA" w14:textId="54148E91" w:rsidR="007722E8" w:rsidRPr="00115A34" w:rsidRDefault="0080675B" w:rsidP="0080675B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Align</w:t>
            </w:r>
            <w:r w:rsidR="00FB2245">
              <w:rPr>
                <w:sz w:val="19"/>
                <w:szCs w:val="19"/>
                <w:lang w:val="fr-FR"/>
              </w:rPr>
              <w:t>er les listes d’espèces de la</w:t>
            </w:r>
            <w:r w:rsidRPr="00115A34">
              <w:rPr>
                <w:sz w:val="19"/>
                <w:szCs w:val="19"/>
                <w:lang w:val="fr-FR"/>
              </w:rPr>
              <w:t xml:space="preserve"> CITES </w:t>
            </w:r>
            <w:r w:rsidR="00FB2245">
              <w:rPr>
                <w:sz w:val="19"/>
                <w:szCs w:val="19"/>
                <w:lang w:val="fr-FR"/>
              </w:rPr>
              <w:t>sur les priorités de l’</w:t>
            </w:r>
            <w:r w:rsidRPr="00115A34">
              <w:rPr>
                <w:sz w:val="19"/>
                <w:szCs w:val="19"/>
                <w:lang w:val="fr-FR"/>
              </w:rPr>
              <w:t>AEWA.</w:t>
            </w:r>
          </w:p>
        </w:tc>
      </w:tr>
      <w:tr w:rsidR="007722E8" w:rsidRPr="00326B2D" w14:paraId="5E5D64A1" w14:textId="77777777" w:rsidTr="00E1163B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15D66E97" w14:textId="3D6453CE" w:rsidR="007722E8" w:rsidRPr="00115A34" w:rsidRDefault="007722E8" w:rsidP="00387089">
            <w:pPr>
              <w:spacing w:before="20" w:after="20"/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</w:t>
            </w:r>
            <w:r w:rsidR="00387089"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Convention </w:t>
            </w:r>
            <w:r w:rsidR="003D26C9">
              <w:rPr>
                <w:b/>
                <w:i/>
                <w:color w:val="000066"/>
                <w:sz w:val="19"/>
                <w:szCs w:val="19"/>
                <w:lang w:val="fr-FR"/>
              </w:rPr>
              <w:t>sur les espèces migratrices</w:t>
            </w:r>
            <w:r w:rsidR="00387089"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(CMS)</w:t>
            </w:r>
          </w:p>
        </w:tc>
      </w:tr>
      <w:tr w:rsidR="007722E8" w:rsidRPr="00326B2D" w14:paraId="370D7B9C" w14:textId="77777777" w:rsidTr="00E1163B">
        <w:trPr>
          <w:jc w:val="center"/>
        </w:trPr>
        <w:tc>
          <w:tcPr>
            <w:tcW w:w="3005" w:type="dxa"/>
          </w:tcPr>
          <w:p w14:paraId="3FEA6328" w14:textId="5392E0EF" w:rsidR="007722E8" w:rsidRPr="00115A34" w:rsidRDefault="003D26C9" w:rsidP="005F7185">
            <w:pPr>
              <w:rPr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Groupe de travail i</w:t>
            </w:r>
            <w:r w:rsidR="00387089" w:rsidRPr="00115A34">
              <w:rPr>
                <w:color w:val="000000"/>
                <w:sz w:val="19"/>
                <w:szCs w:val="19"/>
                <w:lang w:val="fr-FR"/>
              </w:rPr>
              <w:t>ntergo</w:t>
            </w:r>
            <w:r>
              <w:rPr>
                <w:color w:val="000000"/>
                <w:sz w:val="19"/>
                <w:szCs w:val="19"/>
                <w:lang w:val="fr-FR"/>
              </w:rPr>
              <w:t>u</w:t>
            </w:r>
            <w:r w:rsidR="00387089" w:rsidRPr="00115A34">
              <w:rPr>
                <w:color w:val="000000"/>
                <w:sz w:val="19"/>
                <w:szCs w:val="19"/>
                <w:lang w:val="fr-FR"/>
              </w:rPr>
              <w:t>vern</w:t>
            </w:r>
            <w:r>
              <w:rPr>
                <w:color w:val="000000"/>
                <w:sz w:val="19"/>
                <w:szCs w:val="19"/>
                <w:lang w:val="fr-FR"/>
              </w:rPr>
              <w:t>e</w:t>
            </w:r>
            <w:r w:rsidR="00387089" w:rsidRPr="00115A34">
              <w:rPr>
                <w:color w:val="000000"/>
                <w:sz w:val="19"/>
                <w:szCs w:val="19"/>
                <w:lang w:val="fr-FR"/>
              </w:rPr>
              <w:t xml:space="preserve">mental </w:t>
            </w:r>
            <w:r>
              <w:rPr>
                <w:color w:val="000000"/>
                <w:sz w:val="19"/>
                <w:szCs w:val="19"/>
                <w:lang w:val="fr-FR"/>
              </w:rPr>
              <w:t>sur l’abattage</w:t>
            </w:r>
            <w:r w:rsidR="00387089" w:rsidRPr="00115A34">
              <w:rPr>
                <w:color w:val="000000"/>
                <w:sz w:val="19"/>
                <w:szCs w:val="19"/>
                <w:lang w:val="fr-FR"/>
              </w:rPr>
              <w:t xml:space="preserve">, </w:t>
            </w:r>
            <w:r>
              <w:rPr>
                <w:color w:val="000000"/>
                <w:sz w:val="19"/>
                <w:szCs w:val="19"/>
                <w:lang w:val="fr-FR"/>
              </w:rPr>
              <w:t>le prélèvement</w:t>
            </w:r>
            <w:r w:rsidR="00387089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et le commerce illégaux des oiseaux migrateurs en méditerranée </w:t>
            </w:r>
            <w:r w:rsidR="00387089" w:rsidRPr="00115A34">
              <w:rPr>
                <w:color w:val="000000"/>
                <w:sz w:val="19"/>
                <w:szCs w:val="19"/>
                <w:lang w:val="fr-FR"/>
              </w:rPr>
              <w:t xml:space="preserve">(MIKT) </w:t>
            </w:r>
            <w:r>
              <w:rPr>
                <w:color w:val="000000"/>
                <w:sz w:val="19"/>
                <w:szCs w:val="19"/>
                <w:lang w:val="fr-FR"/>
              </w:rPr>
              <w:t>mis en place par la</w:t>
            </w:r>
            <w:r w:rsidR="00B226BD" w:rsidRPr="00115A34">
              <w:rPr>
                <w:color w:val="000000"/>
                <w:sz w:val="19"/>
                <w:szCs w:val="19"/>
                <w:lang w:val="fr-FR"/>
              </w:rPr>
              <w:t xml:space="preserve"> R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="00B226BD" w:rsidRPr="00115A34">
              <w:rPr>
                <w:color w:val="000000"/>
                <w:sz w:val="19"/>
                <w:szCs w:val="19"/>
                <w:lang w:val="fr-FR"/>
              </w:rPr>
              <w:t>solution 11.16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 de la COP de la CMS</w:t>
            </w:r>
            <w:r w:rsidR="00B226BD" w:rsidRPr="00115A34">
              <w:rPr>
                <w:color w:val="000000"/>
                <w:sz w:val="19"/>
                <w:szCs w:val="19"/>
                <w:lang w:val="fr-FR"/>
              </w:rPr>
              <w:t xml:space="preserve">, 2014 (Rev. COP13, 2020) </w:t>
            </w:r>
            <w:r w:rsidR="00AB5DA0">
              <w:rPr>
                <w:color w:val="000000"/>
                <w:sz w:val="19"/>
                <w:szCs w:val="19"/>
                <w:lang w:val="fr-FR"/>
              </w:rPr>
              <w:t>« La prévention de l’abattage, du prélèvement et du commerce illégaux des oiseaux migrateurs</w:t>
            </w:r>
            <w:r w:rsidR="00B226BD" w:rsidRPr="00115A34">
              <w:rPr>
                <w:color w:val="000000"/>
                <w:sz w:val="19"/>
                <w:szCs w:val="19"/>
                <w:lang w:val="fr-FR"/>
              </w:rPr>
              <w:t xml:space="preserve"> (IKB)</w:t>
            </w:r>
            <w:r w:rsidR="00C80AC1">
              <w:rPr>
                <w:color w:val="000000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005" w:type="dxa"/>
          </w:tcPr>
          <w:p w14:paraId="1DEADA3D" w14:textId="2FCD9C0F" w:rsidR="007722E8" w:rsidRPr="00115A34" w:rsidRDefault="00AB5DA0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Groupe de travail convoqué par le</w:t>
            </w:r>
            <w:r w:rsidR="00B226BD" w:rsidRPr="00115A34">
              <w:rPr>
                <w:sz w:val="19"/>
                <w:szCs w:val="19"/>
                <w:lang w:val="fr-FR"/>
              </w:rPr>
              <w:t xml:space="preserve"> Secr</w:t>
            </w:r>
            <w:r>
              <w:rPr>
                <w:sz w:val="19"/>
                <w:szCs w:val="19"/>
                <w:lang w:val="fr-FR"/>
              </w:rPr>
              <w:t>é</w:t>
            </w:r>
            <w:r w:rsidR="00B226BD" w:rsidRPr="00115A34">
              <w:rPr>
                <w:sz w:val="19"/>
                <w:szCs w:val="19"/>
                <w:lang w:val="fr-FR"/>
              </w:rPr>
              <w:t xml:space="preserve">tariat </w:t>
            </w:r>
            <w:r>
              <w:rPr>
                <w:sz w:val="19"/>
                <w:szCs w:val="19"/>
                <w:lang w:val="fr-FR"/>
              </w:rPr>
              <w:t xml:space="preserve">de la CMS en collaboration avec le </w:t>
            </w:r>
            <w:r w:rsidR="00B226BD" w:rsidRPr="00115A34">
              <w:rPr>
                <w:sz w:val="19"/>
                <w:szCs w:val="19"/>
                <w:lang w:val="fr-FR"/>
              </w:rPr>
              <w:t>Secr</w:t>
            </w:r>
            <w:r>
              <w:rPr>
                <w:sz w:val="19"/>
                <w:szCs w:val="19"/>
                <w:lang w:val="fr-FR"/>
              </w:rPr>
              <w:t>é</w:t>
            </w:r>
            <w:r w:rsidR="00B226BD" w:rsidRPr="00115A34">
              <w:rPr>
                <w:sz w:val="19"/>
                <w:szCs w:val="19"/>
                <w:lang w:val="fr-FR"/>
              </w:rPr>
              <w:t xml:space="preserve">tariat </w:t>
            </w:r>
            <w:r>
              <w:rPr>
                <w:sz w:val="19"/>
                <w:szCs w:val="19"/>
                <w:lang w:val="fr-FR"/>
              </w:rPr>
              <w:t>de l’AEWA et autres</w:t>
            </w:r>
            <w:r w:rsidR="00B226BD" w:rsidRPr="00115A34">
              <w:rPr>
                <w:sz w:val="19"/>
                <w:szCs w:val="19"/>
                <w:lang w:val="fr-FR"/>
              </w:rPr>
              <w:t>.</w:t>
            </w:r>
            <w:r w:rsidR="00B226BD" w:rsidRPr="00115A34">
              <w:rPr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M</w:t>
            </w:r>
            <w:r w:rsidR="007722E8" w:rsidRPr="00115A34">
              <w:rPr>
                <w:sz w:val="19"/>
                <w:szCs w:val="19"/>
                <w:lang w:val="fr-FR"/>
              </w:rPr>
              <w:t>e</w:t>
            </w:r>
            <w:r>
              <w:rPr>
                <w:sz w:val="19"/>
                <w:szCs w:val="19"/>
                <w:lang w:val="fr-FR"/>
              </w:rPr>
              <w:t>ntionné dans le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Plan </w:t>
            </w:r>
            <w:r>
              <w:rPr>
                <w:sz w:val="19"/>
                <w:szCs w:val="19"/>
                <w:lang w:val="fr-FR"/>
              </w:rPr>
              <w:t>d’a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ction </w:t>
            </w:r>
            <w:r>
              <w:rPr>
                <w:sz w:val="19"/>
                <w:szCs w:val="19"/>
                <w:lang w:val="fr-FR"/>
              </w:rPr>
              <w:t>pour lutter contre le piégeage des oiseaux sur le littoral méditerranéen de l’Égypte et de la L</w:t>
            </w:r>
            <w:r w:rsidR="004C1723">
              <w:rPr>
                <w:sz w:val="19"/>
                <w:szCs w:val="19"/>
                <w:lang w:val="fr-FR"/>
              </w:rPr>
              <w:t>ib</w:t>
            </w:r>
            <w:r>
              <w:rPr>
                <w:sz w:val="19"/>
                <w:szCs w:val="19"/>
                <w:lang w:val="fr-FR"/>
              </w:rPr>
              <w:t>ye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(2014)</w:t>
            </w:r>
          </w:p>
        </w:tc>
        <w:tc>
          <w:tcPr>
            <w:tcW w:w="3006" w:type="dxa"/>
          </w:tcPr>
          <w:p w14:paraId="55C30E6E" w14:textId="0C28484A" w:rsidR="007722E8" w:rsidRPr="00115A34" w:rsidRDefault="0080675B" w:rsidP="0080675B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Influe</w:t>
            </w:r>
            <w:r w:rsidR="00AB5DA0">
              <w:rPr>
                <w:sz w:val="19"/>
                <w:szCs w:val="19"/>
                <w:lang w:val="fr-FR"/>
              </w:rPr>
              <w:t>r sur l’ordre du jour et le travail du groupe de travail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326B2D" w14:paraId="075A4EEC" w14:textId="77777777" w:rsidTr="00E1163B">
        <w:trPr>
          <w:jc w:val="center"/>
        </w:trPr>
        <w:tc>
          <w:tcPr>
            <w:tcW w:w="3005" w:type="dxa"/>
          </w:tcPr>
          <w:p w14:paraId="1B4BEDDC" w14:textId="6EF7CB29" w:rsidR="007722E8" w:rsidRPr="00115A34" w:rsidRDefault="00AB5DA0" w:rsidP="005F7185">
            <w:pPr>
              <w:rPr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 xml:space="preserve">Financement à fournir </w:t>
            </w:r>
            <w:r w:rsidR="003A2E5D">
              <w:rPr>
                <w:color w:val="000000"/>
                <w:sz w:val="19"/>
                <w:szCs w:val="19"/>
                <w:lang w:val="fr-FR"/>
              </w:rPr>
              <w:t>par les membres du groupe de travail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(</w:t>
            </w:r>
            <w:r w:rsidR="003A2E5D">
              <w:rPr>
                <w:color w:val="000000"/>
                <w:sz w:val="19"/>
                <w:szCs w:val="19"/>
                <w:lang w:val="fr-FR"/>
              </w:rPr>
              <w:t>voir ci-dessus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) </w:t>
            </w:r>
            <w:r w:rsidR="003A2E5D">
              <w:rPr>
                <w:color w:val="000000"/>
                <w:sz w:val="19"/>
                <w:szCs w:val="19"/>
                <w:lang w:val="fr-FR"/>
              </w:rPr>
              <w:t>si possible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, </w:t>
            </w:r>
            <w:r w:rsidR="003A2E5D">
              <w:rPr>
                <w:color w:val="000000"/>
                <w:sz w:val="19"/>
                <w:szCs w:val="19"/>
                <w:lang w:val="fr-FR"/>
              </w:rPr>
              <w:t>ou à collecter auprès des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go</w:t>
            </w:r>
            <w:r w:rsidR="003A2E5D">
              <w:rPr>
                <w:color w:val="000000"/>
                <w:sz w:val="19"/>
                <w:szCs w:val="19"/>
                <w:lang w:val="fr-FR"/>
              </w:rPr>
              <w:t>u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>vern</w:t>
            </w:r>
            <w:r w:rsidR="003A2E5D">
              <w:rPr>
                <w:color w:val="000000"/>
                <w:sz w:val="19"/>
                <w:szCs w:val="19"/>
                <w:lang w:val="fr-FR"/>
              </w:rPr>
              <w:t>e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ments </w:t>
            </w:r>
            <w:r w:rsidR="003A2E5D">
              <w:rPr>
                <w:color w:val="000000"/>
                <w:sz w:val="19"/>
                <w:szCs w:val="19"/>
                <w:lang w:val="fr-FR"/>
              </w:rPr>
              <w:t>et autres donateurs</w:t>
            </w:r>
          </w:p>
        </w:tc>
        <w:tc>
          <w:tcPr>
            <w:tcW w:w="3005" w:type="dxa"/>
          </w:tcPr>
          <w:p w14:paraId="4AF0D0C3" w14:textId="5EC25556" w:rsidR="007722E8" w:rsidRPr="00115A34" w:rsidRDefault="003A2E5D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Pour la mise en œuvre du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Plan </w:t>
            </w:r>
            <w:r>
              <w:rPr>
                <w:sz w:val="19"/>
                <w:szCs w:val="19"/>
                <w:lang w:val="fr-FR"/>
              </w:rPr>
              <w:t>d’a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ction </w:t>
            </w:r>
            <w:r>
              <w:rPr>
                <w:sz w:val="19"/>
                <w:szCs w:val="19"/>
                <w:lang w:val="fr-FR"/>
              </w:rPr>
              <w:t>pour lutter contre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le piégeage d’oiseaux sur le littoral méditerranéen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de l’Égypte et de la L</w:t>
            </w:r>
            <w:r w:rsidR="004C1723">
              <w:rPr>
                <w:sz w:val="19"/>
                <w:szCs w:val="19"/>
                <w:lang w:val="fr-FR"/>
              </w:rPr>
              <w:t>ibye</w:t>
            </w:r>
            <w:r w:rsidR="00033F01">
              <w:rPr>
                <w:sz w:val="19"/>
                <w:szCs w:val="19"/>
                <w:lang w:val="fr-FR"/>
              </w:rPr>
              <w:t xml:space="preserve"> </w:t>
            </w:r>
            <w:r w:rsidR="007722E8" w:rsidRPr="00115A34">
              <w:rPr>
                <w:sz w:val="19"/>
                <w:szCs w:val="19"/>
                <w:lang w:val="fr-FR"/>
              </w:rPr>
              <w:t>(2014) (mention</w:t>
            </w:r>
            <w:r>
              <w:rPr>
                <w:sz w:val="19"/>
                <w:szCs w:val="19"/>
                <w:lang w:val="fr-FR"/>
              </w:rPr>
              <w:t xml:space="preserve">née dans le </w:t>
            </w:r>
            <w:r w:rsidR="007722E8" w:rsidRPr="00115A34">
              <w:rPr>
                <w:sz w:val="19"/>
                <w:szCs w:val="19"/>
                <w:lang w:val="fr-FR"/>
              </w:rPr>
              <w:t>Plan</w:t>
            </w:r>
            <w:r>
              <w:rPr>
                <w:sz w:val="19"/>
                <w:szCs w:val="19"/>
                <w:lang w:val="fr-FR"/>
              </w:rPr>
              <w:t xml:space="preserve"> d’action</w:t>
            </w:r>
            <w:r w:rsidR="007722E8" w:rsidRPr="00115A34">
              <w:rPr>
                <w:sz w:val="19"/>
                <w:szCs w:val="19"/>
                <w:lang w:val="fr-FR"/>
              </w:rPr>
              <w:t>)</w:t>
            </w:r>
          </w:p>
        </w:tc>
        <w:tc>
          <w:tcPr>
            <w:tcW w:w="3006" w:type="dxa"/>
          </w:tcPr>
          <w:p w14:paraId="13859964" w14:textId="43B33A48" w:rsidR="007722E8" w:rsidRPr="00115A34" w:rsidRDefault="003A2E5D" w:rsidP="0080675B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Faire pression pour un financement adéquat</w:t>
            </w:r>
            <w:r w:rsidR="0080675B"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7D1931" w14:paraId="4246EFB1" w14:textId="77777777" w:rsidTr="00E1163B">
        <w:trPr>
          <w:jc w:val="center"/>
        </w:trPr>
        <w:tc>
          <w:tcPr>
            <w:tcW w:w="3005" w:type="dxa"/>
          </w:tcPr>
          <w:p w14:paraId="2E92730D" w14:textId="76078F29" w:rsidR="007722E8" w:rsidRPr="00115A34" w:rsidRDefault="007722E8" w:rsidP="005F7185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Re</w:t>
            </w:r>
            <w:r w:rsidR="003A2E5D">
              <w:rPr>
                <w:sz w:val="19"/>
                <w:szCs w:val="19"/>
                <w:lang w:val="fr-FR"/>
              </w:rPr>
              <w:t>cherches sur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3A2E5D">
              <w:rPr>
                <w:sz w:val="19"/>
                <w:szCs w:val="19"/>
                <w:lang w:val="fr-FR"/>
              </w:rPr>
              <w:t>la socioéconomie du piégeage des oiseaux</w:t>
            </w:r>
            <w:r w:rsidRPr="00115A34">
              <w:rPr>
                <w:sz w:val="19"/>
                <w:szCs w:val="19"/>
                <w:lang w:val="fr-FR"/>
              </w:rPr>
              <w:t xml:space="preserve">, </w:t>
            </w:r>
            <w:r w:rsidR="00033F01">
              <w:rPr>
                <w:sz w:val="19"/>
                <w:szCs w:val="19"/>
                <w:lang w:val="fr-FR"/>
              </w:rPr>
              <w:t>selon une</w:t>
            </w:r>
            <w:r w:rsidR="003A2E5D">
              <w:rPr>
                <w:sz w:val="19"/>
                <w:szCs w:val="19"/>
                <w:lang w:val="fr-FR"/>
              </w:rPr>
              <w:t xml:space="preserve"> méthodologie coordonnée avec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097278">
              <w:rPr>
                <w:sz w:val="19"/>
                <w:szCs w:val="19"/>
                <w:lang w:val="fr-FR"/>
              </w:rPr>
              <w:t>l’Agence égyptienne des affaires environnementales,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EGA, BirdLife International, NCE </w:t>
            </w:r>
            <w:r w:rsidR="00097278">
              <w:rPr>
                <w:color w:val="000000"/>
                <w:sz w:val="19"/>
                <w:szCs w:val="19"/>
                <w:lang w:val="fr-FR"/>
              </w:rPr>
              <w:t>et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LSB</w:t>
            </w:r>
          </w:p>
        </w:tc>
        <w:tc>
          <w:tcPr>
            <w:tcW w:w="3005" w:type="dxa"/>
          </w:tcPr>
          <w:p w14:paraId="43547FDB" w14:textId="0675AC78" w:rsidR="007722E8" w:rsidRPr="00115A34" w:rsidRDefault="007722E8" w:rsidP="005F7185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R</w:t>
            </w:r>
            <w:r w:rsidR="00097278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>sult</w:t>
            </w:r>
            <w:r w:rsidR="00097278">
              <w:rPr>
                <w:sz w:val="19"/>
                <w:szCs w:val="19"/>
                <w:lang w:val="fr-FR"/>
              </w:rPr>
              <w:t>at</w:t>
            </w:r>
            <w:r w:rsidRPr="00115A34">
              <w:rPr>
                <w:sz w:val="19"/>
                <w:szCs w:val="19"/>
                <w:lang w:val="fr-FR"/>
              </w:rPr>
              <w:t xml:space="preserve"> 1.2 </w:t>
            </w:r>
            <w:r w:rsidR="00097278">
              <w:rPr>
                <w:sz w:val="19"/>
                <w:szCs w:val="19"/>
                <w:lang w:val="fr-FR"/>
              </w:rPr>
              <w:t>du</w:t>
            </w:r>
            <w:r w:rsidRPr="00115A34">
              <w:rPr>
                <w:sz w:val="19"/>
                <w:szCs w:val="19"/>
                <w:lang w:val="fr-FR"/>
              </w:rPr>
              <w:t xml:space="preserve"> Plan </w:t>
            </w:r>
            <w:r w:rsidR="00097278">
              <w:rPr>
                <w:sz w:val="19"/>
                <w:szCs w:val="19"/>
                <w:lang w:val="fr-FR"/>
              </w:rPr>
              <w:t>d’a</w:t>
            </w:r>
            <w:r w:rsidRPr="00115A34">
              <w:rPr>
                <w:sz w:val="19"/>
                <w:szCs w:val="19"/>
                <w:lang w:val="fr-FR"/>
              </w:rPr>
              <w:t xml:space="preserve">ction </w:t>
            </w:r>
            <w:r w:rsidR="00097278">
              <w:rPr>
                <w:sz w:val="19"/>
                <w:szCs w:val="19"/>
                <w:lang w:val="fr-FR"/>
              </w:rPr>
              <w:t>pour lutter contre</w:t>
            </w:r>
            <w:r w:rsidR="00097278" w:rsidRPr="00115A34">
              <w:rPr>
                <w:sz w:val="19"/>
                <w:szCs w:val="19"/>
                <w:lang w:val="fr-FR"/>
              </w:rPr>
              <w:t xml:space="preserve"> </w:t>
            </w:r>
            <w:r w:rsidR="00097278">
              <w:rPr>
                <w:sz w:val="19"/>
                <w:szCs w:val="19"/>
                <w:lang w:val="fr-FR"/>
              </w:rPr>
              <w:t>le piégeage d’oiseaux sur le littoral méditerranéen</w:t>
            </w:r>
            <w:r w:rsidR="00097278" w:rsidRPr="00115A34">
              <w:rPr>
                <w:sz w:val="19"/>
                <w:szCs w:val="19"/>
                <w:lang w:val="fr-FR"/>
              </w:rPr>
              <w:t xml:space="preserve"> </w:t>
            </w:r>
            <w:r w:rsidR="00097278">
              <w:rPr>
                <w:sz w:val="19"/>
                <w:szCs w:val="19"/>
                <w:lang w:val="fr-FR"/>
              </w:rPr>
              <w:t>de l’Égypte et de la L</w:t>
            </w:r>
            <w:r w:rsidR="004C1723">
              <w:rPr>
                <w:sz w:val="19"/>
                <w:szCs w:val="19"/>
                <w:lang w:val="fr-FR"/>
              </w:rPr>
              <w:t xml:space="preserve">ibye </w:t>
            </w:r>
            <w:r w:rsidR="00097278" w:rsidRPr="00115A34">
              <w:rPr>
                <w:sz w:val="19"/>
                <w:szCs w:val="19"/>
                <w:lang w:val="fr-FR"/>
              </w:rPr>
              <w:t>(2014)</w:t>
            </w:r>
          </w:p>
        </w:tc>
        <w:tc>
          <w:tcPr>
            <w:tcW w:w="3006" w:type="dxa"/>
          </w:tcPr>
          <w:p w14:paraId="1BB9CF00" w14:textId="1F2B2F70" w:rsidR="007722E8" w:rsidRPr="00115A34" w:rsidRDefault="00097278" w:rsidP="004C5EEF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Achever l’</w:t>
            </w:r>
            <w:r w:rsidR="004C5EEF" w:rsidRPr="00115A34">
              <w:rPr>
                <w:sz w:val="19"/>
                <w:szCs w:val="19"/>
                <w:lang w:val="fr-FR"/>
              </w:rPr>
              <w:t>analys</w:t>
            </w:r>
            <w:r>
              <w:rPr>
                <w:sz w:val="19"/>
                <w:szCs w:val="19"/>
                <w:lang w:val="fr-FR"/>
              </w:rPr>
              <w:t>e et la</w:t>
            </w:r>
            <w:r w:rsidR="004C5EEF" w:rsidRPr="00115A34">
              <w:rPr>
                <w:sz w:val="19"/>
                <w:szCs w:val="19"/>
                <w:lang w:val="fr-FR"/>
              </w:rPr>
              <w:t xml:space="preserve"> publication </w:t>
            </w:r>
            <w:r>
              <w:rPr>
                <w:sz w:val="19"/>
                <w:szCs w:val="19"/>
                <w:lang w:val="fr-FR"/>
              </w:rPr>
              <w:t>des données recueillies</w:t>
            </w:r>
            <w:r w:rsidR="004C5EEF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pour l’É</w:t>
            </w:r>
            <w:r w:rsidR="004C5EEF" w:rsidRPr="00115A34">
              <w:rPr>
                <w:sz w:val="19"/>
                <w:szCs w:val="19"/>
                <w:lang w:val="fr-FR"/>
              </w:rPr>
              <w:t>gypt</w:t>
            </w:r>
            <w:r>
              <w:rPr>
                <w:sz w:val="19"/>
                <w:szCs w:val="19"/>
                <w:lang w:val="fr-FR"/>
              </w:rPr>
              <w:t>e</w:t>
            </w:r>
            <w:r w:rsidR="004C5EEF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et la L</w:t>
            </w:r>
            <w:r w:rsidR="004C1723">
              <w:rPr>
                <w:sz w:val="19"/>
                <w:szCs w:val="19"/>
                <w:lang w:val="fr-FR"/>
              </w:rPr>
              <w:t>ibye</w:t>
            </w:r>
            <w:r w:rsidR="004C5EEF" w:rsidRPr="00115A34">
              <w:rPr>
                <w:sz w:val="19"/>
                <w:szCs w:val="19"/>
                <w:lang w:val="fr-FR"/>
              </w:rPr>
              <w:t xml:space="preserve">. </w:t>
            </w:r>
            <w:r w:rsidR="003B3468">
              <w:rPr>
                <w:sz w:val="19"/>
                <w:szCs w:val="19"/>
                <w:lang w:val="fr-FR"/>
              </w:rPr>
              <w:t>Encourager</w:t>
            </w:r>
            <w:r>
              <w:rPr>
                <w:sz w:val="19"/>
                <w:szCs w:val="19"/>
                <w:lang w:val="fr-FR"/>
              </w:rPr>
              <w:t xml:space="preserve"> la coopération à poursuivre l’utilisation</w:t>
            </w:r>
            <w:r w:rsidR="004C5EEF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de la même</w:t>
            </w:r>
            <w:r w:rsidR="004C5EEF" w:rsidRPr="00115A34">
              <w:rPr>
                <w:sz w:val="19"/>
                <w:szCs w:val="19"/>
                <w:lang w:val="fr-FR"/>
              </w:rPr>
              <w:t xml:space="preserve"> approch</w:t>
            </w:r>
            <w:r>
              <w:rPr>
                <w:sz w:val="19"/>
                <w:szCs w:val="19"/>
                <w:lang w:val="fr-FR"/>
              </w:rPr>
              <w:t>e</w:t>
            </w:r>
            <w:r w:rsidR="004C5EEF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e</w:t>
            </w:r>
            <w:r w:rsidR="004C5EEF" w:rsidRPr="00115A34">
              <w:rPr>
                <w:sz w:val="19"/>
                <w:szCs w:val="19"/>
                <w:lang w:val="fr-FR"/>
              </w:rPr>
              <w:t xml:space="preserve">n </w:t>
            </w:r>
            <w:r>
              <w:rPr>
                <w:sz w:val="19"/>
                <w:szCs w:val="19"/>
                <w:lang w:val="fr-FR"/>
              </w:rPr>
              <w:t>Afrique subsaharienne et dans l’Arctique</w:t>
            </w:r>
            <w:r w:rsidR="004C5EEF"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326B2D" w14:paraId="6E7908AF" w14:textId="77777777" w:rsidTr="00E1163B">
        <w:trPr>
          <w:jc w:val="center"/>
        </w:trPr>
        <w:tc>
          <w:tcPr>
            <w:tcW w:w="3005" w:type="dxa"/>
          </w:tcPr>
          <w:p w14:paraId="36663816" w14:textId="635B0BD6" w:rsidR="007722E8" w:rsidRPr="00115A34" w:rsidRDefault="00097278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lastRenderedPageBreak/>
              <w:t xml:space="preserve">Identification </w:t>
            </w:r>
            <w:r w:rsidR="007722E8" w:rsidRPr="00115A34">
              <w:rPr>
                <w:sz w:val="19"/>
                <w:szCs w:val="19"/>
                <w:lang w:val="fr-FR"/>
              </w:rPr>
              <w:t>(</w:t>
            </w:r>
            <w:r>
              <w:rPr>
                <w:sz w:val="19"/>
                <w:szCs w:val="19"/>
                <w:lang w:val="fr-FR"/>
              </w:rPr>
              <w:t>i</w:t>
            </w:r>
            <w:r w:rsidR="007722E8" w:rsidRPr="00115A34">
              <w:rPr>
                <w:sz w:val="19"/>
                <w:szCs w:val="19"/>
                <w:lang w:val="fr-FR"/>
              </w:rPr>
              <w:t>nternational</w:t>
            </w:r>
            <w:r>
              <w:rPr>
                <w:sz w:val="19"/>
                <w:szCs w:val="19"/>
                <w:lang w:val="fr-FR"/>
              </w:rPr>
              <w:t>e</w:t>
            </w:r>
            <w:r w:rsidR="007722E8" w:rsidRPr="00115A34">
              <w:rPr>
                <w:sz w:val="19"/>
                <w:szCs w:val="19"/>
                <w:lang w:val="fr-FR"/>
              </w:rPr>
              <w:t>)</w:t>
            </w:r>
            <w:r w:rsidR="00E54BAF">
              <w:rPr>
                <w:sz w:val="19"/>
                <w:szCs w:val="19"/>
                <w:lang w:val="fr-FR"/>
              </w:rPr>
              <w:t xml:space="preserve"> des modèles de migration </w:t>
            </w:r>
            <w:r w:rsidR="007722E8" w:rsidRPr="00115A34">
              <w:rPr>
                <w:sz w:val="19"/>
                <w:szCs w:val="19"/>
                <w:lang w:val="fr-FR"/>
              </w:rPr>
              <w:t>o</w:t>
            </w:r>
            <w:r w:rsidR="00E54BAF">
              <w:rPr>
                <w:sz w:val="19"/>
                <w:szCs w:val="19"/>
                <w:lang w:val="fr-FR"/>
              </w:rPr>
              <w:t>u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</w:t>
            </w:r>
            <w:r w:rsidR="00E54BAF">
              <w:rPr>
                <w:sz w:val="19"/>
                <w:szCs w:val="19"/>
                <w:lang w:val="fr-FR"/>
              </w:rPr>
              <w:t xml:space="preserve">des espèces piégées </w:t>
            </w:r>
            <w:r w:rsidR="007722E8" w:rsidRPr="00115A34">
              <w:rPr>
                <w:sz w:val="19"/>
                <w:szCs w:val="19"/>
                <w:lang w:val="fr-FR"/>
              </w:rPr>
              <w:t>(s</w:t>
            </w:r>
            <w:r w:rsidR="00E54BAF">
              <w:rPr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sz w:val="19"/>
                <w:szCs w:val="19"/>
                <w:lang w:val="fr-FR"/>
              </w:rPr>
              <w:t>lect</w:t>
            </w:r>
            <w:r w:rsidR="00E54BAF">
              <w:rPr>
                <w:sz w:val="19"/>
                <w:szCs w:val="19"/>
                <w:lang w:val="fr-FR"/>
              </w:rPr>
              <w:t>ionnées</w:t>
            </w:r>
            <w:r w:rsidR="007722E8" w:rsidRPr="00115A34">
              <w:rPr>
                <w:sz w:val="19"/>
                <w:szCs w:val="19"/>
                <w:lang w:val="fr-FR"/>
              </w:rPr>
              <w:t>)</w:t>
            </w:r>
          </w:p>
        </w:tc>
        <w:tc>
          <w:tcPr>
            <w:tcW w:w="3005" w:type="dxa"/>
          </w:tcPr>
          <w:p w14:paraId="0A827538" w14:textId="5895667D" w:rsidR="007722E8" w:rsidRPr="00115A34" w:rsidRDefault="007722E8" w:rsidP="005F7185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R</w:t>
            </w:r>
            <w:r w:rsidR="00E54BAF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>sult</w:t>
            </w:r>
            <w:r w:rsidR="00E54BAF">
              <w:rPr>
                <w:sz w:val="19"/>
                <w:szCs w:val="19"/>
                <w:lang w:val="fr-FR"/>
              </w:rPr>
              <w:t>at</w:t>
            </w:r>
            <w:r w:rsidRPr="00115A34">
              <w:rPr>
                <w:sz w:val="19"/>
                <w:szCs w:val="19"/>
                <w:lang w:val="fr-FR"/>
              </w:rPr>
              <w:t xml:space="preserve"> 1.5 </w:t>
            </w:r>
            <w:r w:rsidR="00E54BAF">
              <w:rPr>
                <w:sz w:val="19"/>
                <w:szCs w:val="19"/>
                <w:lang w:val="fr-FR"/>
              </w:rPr>
              <w:t>du</w:t>
            </w:r>
            <w:r w:rsidRPr="00115A34">
              <w:rPr>
                <w:sz w:val="19"/>
                <w:szCs w:val="19"/>
                <w:lang w:val="fr-FR"/>
              </w:rPr>
              <w:t xml:space="preserve"> Plan </w:t>
            </w:r>
            <w:r w:rsidR="00E54BAF">
              <w:rPr>
                <w:sz w:val="19"/>
                <w:szCs w:val="19"/>
                <w:lang w:val="fr-FR"/>
              </w:rPr>
              <w:t>d’a</w:t>
            </w:r>
            <w:r w:rsidRPr="00115A34">
              <w:rPr>
                <w:sz w:val="19"/>
                <w:szCs w:val="19"/>
                <w:lang w:val="fr-FR"/>
              </w:rPr>
              <w:t xml:space="preserve">ction </w:t>
            </w:r>
            <w:r w:rsidR="00E54BAF">
              <w:rPr>
                <w:sz w:val="19"/>
                <w:szCs w:val="19"/>
                <w:lang w:val="fr-FR"/>
              </w:rPr>
              <w:t>pour lutter contre</w:t>
            </w:r>
            <w:r w:rsidR="00E54BAF" w:rsidRPr="00115A34">
              <w:rPr>
                <w:sz w:val="19"/>
                <w:szCs w:val="19"/>
                <w:lang w:val="fr-FR"/>
              </w:rPr>
              <w:t xml:space="preserve"> </w:t>
            </w:r>
            <w:r w:rsidR="00E54BAF">
              <w:rPr>
                <w:sz w:val="19"/>
                <w:szCs w:val="19"/>
                <w:lang w:val="fr-FR"/>
              </w:rPr>
              <w:t>le piégeage d’oiseaux sur le littoral méditerranéen</w:t>
            </w:r>
            <w:r w:rsidR="00E54BAF" w:rsidRPr="00115A34">
              <w:rPr>
                <w:sz w:val="19"/>
                <w:szCs w:val="19"/>
                <w:lang w:val="fr-FR"/>
              </w:rPr>
              <w:t xml:space="preserve"> </w:t>
            </w:r>
            <w:r w:rsidR="00E54BAF">
              <w:rPr>
                <w:sz w:val="19"/>
                <w:szCs w:val="19"/>
                <w:lang w:val="fr-FR"/>
              </w:rPr>
              <w:t xml:space="preserve">de l’Égypte et de la </w:t>
            </w:r>
            <w:r w:rsidR="004C1723">
              <w:rPr>
                <w:sz w:val="19"/>
                <w:szCs w:val="19"/>
                <w:lang w:val="fr-FR"/>
              </w:rPr>
              <w:t>Libye</w:t>
            </w:r>
            <w:r w:rsidR="00E54BAF" w:rsidRPr="00115A34">
              <w:rPr>
                <w:sz w:val="19"/>
                <w:szCs w:val="19"/>
                <w:lang w:val="fr-FR"/>
              </w:rPr>
              <w:t xml:space="preserve"> (2014)</w:t>
            </w:r>
          </w:p>
        </w:tc>
        <w:tc>
          <w:tcPr>
            <w:tcW w:w="3006" w:type="dxa"/>
          </w:tcPr>
          <w:p w14:paraId="49D794EC" w14:textId="5FF7F42B" w:rsidR="007722E8" w:rsidRPr="00115A34" w:rsidRDefault="00084207" w:rsidP="00084207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Promo</w:t>
            </w:r>
            <w:r w:rsidR="00E54BAF">
              <w:rPr>
                <w:sz w:val="19"/>
                <w:szCs w:val="19"/>
                <w:lang w:val="fr-FR"/>
              </w:rPr>
              <w:t>uvoir davantage de travail de recherche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7D1931" w14:paraId="786B7A2C" w14:textId="77777777" w:rsidTr="00E1163B">
        <w:trPr>
          <w:jc w:val="center"/>
        </w:trPr>
        <w:tc>
          <w:tcPr>
            <w:tcW w:w="3005" w:type="dxa"/>
          </w:tcPr>
          <w:p w14:paraId="344F1171" w14:textId="04C8E92F" w:rsidR="007722E8" w:rsidRPr="00115A34" w:rsidRDefault="00E54BAF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Mise en commun des enseignements tirés des 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initiatives </w:t>
            </w:r>
            <w:r>
              <w:rPr>
                <w:sz w:val="19"/>
                <w:szCs w:val="19"/>
                <w:lang w:val="fr-FR"/>
              </w:rPr>
              <w:t>visant à lutter contre le piégeage des oiseaux dans le bassin méditerranéen et dans d’autres régions</w:t>
            </w:r>
          </w:p>
        </w:tc>
        <w:tc>
          <w:tcPr>
            <w:tcW w:w="3005" w:type="dxa"/>
          </w:tcPr>
          <w:p w14:paraId="585CFD3B" w14:textId="0DA3835C" w:rsidR="007722E8" w:rsidRPr="00115A34" w:rsidRDefault="007722E8" w:rsidP="005F7185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R</w:t>
            </w:r>
            <w:r w:rsidR="00E54BAF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>sult</w:t>
            </w:r>
            <w:r w:rsidR="00E54BAF">
              <w:rPr>
                <w:sz w:val="19"/>
                <w:szCs w:val="19"/>
                <w:lang w:val="fr-FR"/>
              </w:rPr>
              <w:t>at</w:t>
            </w:r>
            <w:r w:rsidRPr="00115A34">
              <w:rPr>
                <w:sz w:val="19"/>
                <w:szCs w:val="19"/>
                <w:lang w:val="fr-FR"/>
              </w:rPr>
              <w:t xml:space="preserve"> 1.6 </w:t>
            </w:r>
            <w:r w:rsidR="00E54BAF">
              <w:rPr>
                <w:sz w:val="19"/>
                <w:szCs w:val="19"/>
                <w:lang w:val="fr-FR"/>
              </w:rPr>
              <w:t>du</w:t>
            </w:r>
            <w:r w:rsidR="00E54BAF" w:rsidRPr="00115A34">
              <w:rPr>
                <w:sz w:val="19"/>
                <w:szCs w:val="19"/>
                <w:lang w:val="fr-FR"/>
              </w:rPr>
              <w:t xml:space="preserve"> Plan </w:t>
            </w:r>
            <w:r w:rsidR="00E54BAF">
              <w:rPr>
                <w:sz w:val="19"/>
                <w:szCs w:val="19"/>
                <w:lang w:val="fr-FR"/>
              </w:rPr>
              <w:t>d’a</w:t>
            </w:r>
            <w:r w:rsidR="00E54BAF" w:rsidRPr="00115A34">
              <w:rPr>
                <w:sz w:val="19"/>
                <w:szCs w:val="19"/>
                <w:lang w:val="fr-FR"/>
              </w:rPr>
              <w:t xml:space="preserve">ction </w:t>
            </w:r>
            <w:r w:rsidR="00E54BAF">
              <w:rPr>
                <w:sz w:val="19"/>
                <w:szCs w:val="19"/>
                <w:lang w:val="fr-FR"/>
              </w:rPr>
              <w:t>pour lutter contre</w:t>
            </w:r>
            <w:r w:rsidR="00E54BAF" w:rsidRPr="00115A34">
              <w:rPr>
                <w:sz w:val="19"/>
                <w:szCs w:val="19"/>
                <w:lang w:val="fr-FR"/>
              </w:rPr>
              <w:t xml:space="preserve"> </w:t>
            </w:r>
            <w:r w:rsidR="00E54BAF">
              <w:rPr>
                <w:sz w:val="19"/>
                <w:szCs w:val="19"/>
                <w:lang w:val="fr-FR"/>
              </w:rPr>
              <w:t>le piégeage d’oiseaux sur le littoral méditerranéen</w:t>
            </w:r>
            <w:r w:rsidR="00E54BAF" w:rsidRPr="00115A34">
              <w:rPr>
                <w:sz w:val="19"/>
                <w:szCs w:val="19"/>
                <w:lang w:val="fr-FR"/>
              </w:rPr>
              <w:t xml:space="preserve"> </w:t>
            </w:r>
            <w:r w:rsidR="00E54BAF">
              <w:rPr>
                <w:sz w:val="19"/>
                <w:szCs w:val="19"/>
                <w:lang w:val="fr-FR"/>
              </w:rPr>
              <w:t>de l’Égypte et de la L</w:t>
            </w:r>
            <w:r w:rsidR="004C1723">
              <w:rPr>
                <w:sz w:val="19"/>
                <w:szCs w:val="19"/>
                <w:lang w:val="fr-FR"/>
              </w:rPr>
              <w:t xml:space="preserve">ibye </w:t>
            </w:r>
            <w:r w:rsidR="00E54BAF" w:rsidRPr="00115A34">
              <w:rPr>
                <w:sz w:val="19"/>
                <w:szCs w:val="19"/>
                <w:lang w:val="fr-FR"/>
              </w:rPr>
              <w:t>(2014)</w:t>
            </w:r>
          </w:p>
        </w:tc>
        <w:tc>
          <w:tcPr>
            <w:tcW w:w="3006" w:type="dxa"/>
          </w:tcPr>
          <w:p w14:paraId="026BB0D5" w14:textId="4528BED7" w:rsidR="007722E8" w:rsidRPr="00115A34" w:rsidRDefault="00084207" w:rsidP="005C6F88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Analys</w:t>
            </w:r>
            <w:r w:rsidR="00E54BAF">
              <w:rPr>
                <w:sz w:val="19"/>
                <w:szCs w:val="19"/>
                <w:lang w:val="fr-FR"/>
              </w:rPr>
              <w:t>e des enseignements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E54BAF">
              <w:rPr>
                <w:sz w:val="19"/>
                <w:szCs w:val="19"/>
                <w:lang w:val="fr-FR"/>
              </w:rPr>
              <w:t>et du développement des actions de suivi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0C0D7E" w:rsidRPr="00115A34" w14:paraId="68F07FDA" w14:textId="77777777" w:rsidTr="00E1163B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62E7929D" w14:textId="48FC35CE" w:rsidR="000C0D7E" w:rsidRPr="00115A34" w:rsidRDefault="000C0D7E" w:rsidP="000C0D7E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Convention</w:t>
            </w:r>
            <w:r w:rsidR="00E54BAF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de Berne</w:t>
            </w:r>
          </w:p>
        </w:tc>
      </w:tr>
      <w:tr w:rsidR="000C0D7E" w:rsidRPr="00326B2D" w14:paraId="19B65BD3" w14:textId="77777777" w:rsidTr="00E1163B">
        <w:trPr>
          <w:jc w:val="center"/>
        </w:trPr>
        <w:tc>
          <w:tcPr>
            <w:tcW w:w="3005" w:type="dxa"/>
          </w:tcPr>
          <w:p w14:paraId="138A1ED7" w14:textId="0805FFA7" w:rsidR="000C0D7E" w:rsidRPr="00115A34" w:rsidRDefault="000C0D7E" w:rsidP="000C0D7E">
            <w:pPr>
              <w:rPr>
                <w:color w:val="000000"/>
                <w:sz w:val="19"/>
                <w:szCs w:val="19"/>
                <w:lang w:val="fr-FR"/>
              </w:rPr>
            </w:pPr>
            <w:r w:rsidRPr="00115A34">
              <w:rPr>
                <w:color w:val="000000"/>
                <w:sz w:val="19"/>
                <w:szCs w:val="19"/>
                <w:lang w:val="fr-FR"/>
              </w:rPr>
              <w:t>Recomm</w:t>
            </w:r>
            <w:r w:rsidR="00832877">
              <w:rPr>
                <w:color w:val="000000"/>
                <w:sz w:val="19"/>
                <w:szCs w:val="19"/>
                <w:lang w:val="fr-FR"/>
              </w:rPr>
              <w:t>a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ndation </w:t>
            </w:r>
            <w:r w:rsidR="00832877">
              <w:rPr>
                <w:color w:val="000000"/>
                <w:sz w:val="19"/>
                <w:szCs w:val="19"/>
                <w:lang w:val="fr-FR"/>
              </w:rPr>
              <w:t>n</w:t>
            </w:r>
            <w:r w:rsidR="00832877" w:rsidRPr="00832877">
              <w:rPr>
                <w:color w:val="000000"/>
                <w:sz w:val="19"/>
                <w:szCs w:val="19"/>
                <w:vertAlign w:val="superscript"/>
                <w:lang w:val="fr-FR"/>
              </w:rPr>
              <w:t>o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155 </w:t>
            </w:r>
            <w:r w:rsidR="00832877">
              <w:rPr>
                <w:color w:val="000000"/>
                <w:sz w:val="19"/>
                <w:szCs w:val="19"/>
                <w:lang w:val="fr-FR"/>
              </w:rPr>
              <w:t xml:space="preserve">du Comité permanent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(2011) </w:t>
            </w:r>
            <w:r w:rsidR="00832877">
              <w:rPr>
                <w:color w:val="000000"/>
                <w:sz w:val="19"/>
                <w:szCs w:val="19"/>
                <w:lang w:val="fr-FR"/>
              </w:rPr>
              <w:t>sur l’abattage, le piégeage et le commerce illégaux des oiseaux sauvages</w:t>
            </w:r>
          </w:p>
        </w:tc>
        <w:tc>
          <w:tcPr>
            <w:tcW w:w="3005" w:type="dxa"/>
          </w:tcPr>
          <w:p w14:paraId="34CDDDF2" w14:textId="3E5B7F88" w:rsidR="000C0D7E" w:rsidRPr="00115A34" w:rsidRDefault="00C1393E" w:rsidP="000C0D7E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Les a</w:t>
            </w:r>
            <w:r w:rsidR="000C0D7E" w:rsidRPr="00115A34">
              <w:rPr>
                <w:sz w:val="19"/>
                <w:szCs w:val="19"/>
                <w:lang w:val="fr-FR"/>
              </w:rPr>
              <w:t>rticles II.1</w:t>
            </w:r>
            <w:r w:rsidR="00832877">
              <w:rPr>
                <w:sz w:val="19"/>
                <w:szCs w:val="19"/>
                <w:lang w:val="fr-FR"/>
              </w:rPr>
              <w:t xml:space="preserve"> de l’AEWA</w:t>
            </w:r>
            <w:r w:rsidR="000C0D7E" w:rsidRPr="00115A34">
              <w:rPr>
                <w:sz w:val="19"/>
                <w:szCs w:val="19"/>
                <w:lang w:val="fr-FR"/>
              </w:rPr>
              <w:t xml:space="preserve"> (</w:t>
            </w:r>
            <w:r w:rsidR="00832877">
              <w:rPr>
                <w:sz w:val="19"/>
                <w:szCs w:val="19"/>
                <w:lang w:val="fr-FR"/>
              </w:rPr>
              <w:t>lutter contre l’empoisonnement</w:t>
            </w:r>
            <w:r w:rsidR="000C0D7E" w:rsidRPr="00115A34">
              <w:rPr>
                <w:sz w:val="19"/>
                <w:szCs w:val="19"/>
                <w:lang w:val="fr-FR"/>
              </w:rPr>
              <w:t xml:space="preserve">, </w:t>
            </w:r>
            <w:r w:rsidR="00832877">
              <w:rPr>
                <w:sz w:val="19"/>
                <w:szCs w:val="19"/>
                <w:lang w:val="fr-FR"/>
              </w:rPr>
              <w:t>le prélèvement</w:t>
            </w:r>
            <w:r w:rsidR="000C0D7E" w:rsidRPr="00115A34">
              <w:rPr>
                <w:sz w:val="19"/>
                <w:szCs w:val="19"/>
                <w:lang w:val="fr-FR"/>
              </w:rPr>
              <w:t xml:space="preserve"> </w:t>
            </w:r>
            <w:r w:rsidR="00832877">
              <w:rPr>
                <w:sz w:val="19"/>
                <w:szCs w:val="19"/>
                <w:lang w:val="fr-FR"/>
              </w:rPr>
              <w:t>et le commerce des oiseaux</w:t>
            </w:r>
            <w:r w:rsidR="000C0D7E" w:rsidRPr="00115A34">
              <w:rPr>
                <w:sz w:val="19"/>
                <w:szCs w:val="19"/>
                <w:lang w:val="fr-FR"/>
              </w:rPr>
              <w:t xml:space="preserve">) </w:t>
            </w:r>
            <w:r w:rsidR="00832877">
              <w:rPr>
                <w:sz w:val="19"/>
                <w:szCs w:val="19"/>
                <w:lang w:val="fr-FR"/>
              </w:rPr>
              <w:t>et</w:t>
            </w:r>
            <w:r w:rsidR="000C0D7E" w:rsidRPr="00115A34">
              <w:rPr>
                <w:sz w:val="19"/>
                <w:szCs w:val="19"/>
                <w:lang w:val="fr-FR"/>
              </w:rPr>
              <w:t xml:space="preserve"> III.2(b) (</w:t>
            </w:r>
            <w:r>
              <w:rPr>
                <w:sz w:val="19"/>
                <w:szCs w:val="19"/>
                <w:lang w:val="fr-FR"/>
              </w:rPr>
              <w:t>assurer que toute utilisation des oiseaux d’eau migrateurs est durable</w:t>
            </w:r>
            <w:r w:rsidR="000C0D7E" w:rsidRPr="00115A34">
              <w:rPr>
                <w:sz w:val="19"/>
                <w:szCs w:val="19"/>
                <w:lang w:val="fr-FR"/>
              </w:rPr>
              <w:t xml:space="preserve">) </w:t>
            </w:r>
            <w:r>
              <w:rPr>
                <w:sz w:val="19"/>
                <w:szCs w:val="19"/>
                <w:lang w:val="fr-FR"/>
              </w:rPr>
              <w:t xml:space="preserve">sont mentionnés dans la </w:t>
            </w:r>
            <w:r w:rsidR="000C0D7E" w:rsidRPr="00115A34">
              <w:rPr>
                <w:sz w:val="19"/>
                <w:szCs w:val="19"/>
                <w:lang w:val="fr-FR"/>
              </w:rPr>
              <w:t>Recomm</w:t>
            </w:r>
            <w:r>
              <w:rPr>
                <w:sz w:val="19"/>
                <w:szCs w:val="19"/>
                <w:lang w:val="fr-FR"/>
              </w:rPr>
              <w:t>a</w:t>
            </w:r>
            <w:r w:rsidR="000C0D7E" w:rsidRPr="00115A34">
              <w:rPr>
                <w:sz w:val="19"/>
                <w:szCs w:val="19"/>
                <w:lang w:val="fr-FR"/>
              </w:rPr>
              <w:t>ndation</w:t>
            </w:r>
          </w:p>
        </w:tc>
        <w:tc>
          <w:tcPr>
            <w:tcW w:w="3006" w:type="dxa"/>
          </w:tcPr>
          <w:p w14:paraId="58C85D76" w14:textId="54F30C54" w:rsidR="000C0D7E" w:rsidRPr="00115A34" w:rsidRDefault="00C1393E" w:rsidP="00084207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Suivi</w:t>
            </w:r>
            <w:r w:rsidR="00084207" w:rsidRPr="00115A34">
              <w:rPr>
                <w:sz w:val="19"/>
                <w:szCs w:val="19"/>
                <w:lang w:val="fr-FR"/>
              </w:rPr>
              <w:t>/</w:t>
            </w:r>
            <w:r>
              <w:rPr>
                <w:sz w:val="19"/>
                <w:szCs w:val="19"/>
                <w:lang w:val="fr-FR"/>
              </w:rPr>
              <w:t>évaluation de la mise en œuvre par le Comité permanent</w:t>
            </w:r>
            <w:r w:rsidR="004C1723">
              <w:rPr>
                <w:sz w:val="19"/>
                <w:szCs w:val="19"/>
                <w:lang w:val="fr-FR"/>
              </w:rPr>
              <w:t>.</w:t>
            </w:r>
          </w:p>
        </w:tc>
      </w:tr>
      <w:tr w:rsidR="00015BE6" w:rsidRPr="00326B2D" w14:paraId="63DEA309" w14:textId="77777777" w:rsidTr="00E1163B">
        <w:trPr>
          <w:jc w:val="center"/>
        </w:trPr>
        <w:tc>
          <w:tcPr>
            <w:tcW w:w="3005" w:type="dxa"/>
          </w:tcPr>
          <w:p w14:paraId="72DF7CB2" w14:textId="471E42A1" w:rsidR="00015BE6" w:rsidRPr="00115A34" w:rsidRDefault="00015BE6" w:rsidP="000C0D7E">
            <w:pPr>
              <w:rPr>
                <w:color w:val="000000"/>
                <w:sz w:val="19"/>
                <w:szCs w:val="19"/>
                <w:lang w:val="fr-FR"/>
              </w:rPr>
            </w:pPr>
            <w:r w:rsidRPr="00115A34">
              <w:rPr>
                <w:color w:val="000000"/>
                <w:sz w:val="19"/>
                <w:szCs w:val="19"/>
                <w:lang w:val="fr-FR"/>
              </w:rPr>
              <w:t>Recomm</w:t>
            </w:r>
            <w:r w:rsidR="00C1393E">
              <w:rPr>
                <w:color w:val="000000"/>
                <w:sz w:val="19"/>
                <w:szCs w:val="19"/>
                <w:lang w:val="fr-FR"/>
              </w:rPr>
              <w:t>a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ndation </w:t>
            </w:r>
            <w:r w:rsidR="00C1393E">
              <w:rPr>
                <w:color w:val="000000"/>
                <w:sz w:val="19"/>
                <w:szCs w:val="19"/>
                <w:lang w:val="fr-FR"/>
              </w:rPr>
              <w:t>n</w:t>
            </w:r>
            <w:r w:rsidR="00C1393E" w:rsidRPr="00C1393E">
              <w:rPr>
                <w:color w:val="000000"/>
                <w:sz w:val="19"/>
                <w:szCs w:val="19"/>
                <w:vertAlign w:val="superscript"/>
                <w:lang w:val="fr-FR"/>
              </w:rPr>
              <w:t>o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164 </w:t>
            </w:r>
            <w:r w:rsidR="00C1393E">
              <w:rPr>
                <w:color w:val="000000"/>
                <w:sz w:val="19"/>
                <w:szCs w:val="19"/>
                <w:lang w:val="fr-FR"/>
              </w:rPr>
              <w:t xml:space="preserve">du Comité permanent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(2013) </w:t>
            </w:r>
            <w:r w:rsidR="00516FAB">
              <w:rPr>
                <w:color w:val="000000"/>
                <w:sz w:val="19"/>
                <w:szCs w:val="19"/>
                <w:lang w:val="fr-FR"/>
              </w:rPr>
              <w:t xml:space="preserve">sur la mise en œuvre du Plan d’action 2013-2020 de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Tunis </w:t>
            </w:r>
            <w:r w:rsidR="00516FAB">
              <w:rPr>
                <w:color w:val="000000"/>
                <w:sz w:val="19"/>
                <w:szCs w:val="19"/>
                <w:lang w:val="fr-FR"/>
              </w:rPr>
              <w:t>pour l’é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radication </w:t>
            </w:r>
            <w:r w:rsidR="00516FAB">
              <w:rPr>
                <w:color w:val="000000"/>
                <w:sz w:val="19"/>
                <w:szCs w:val="19"/>
                <w:lang w:val="fr-FR"/>
              </w:rPr>
              <w:t>de la mise à mort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, </w:t>
            </w:r>
            <w:r w:rsidR="00516FAB">
              <w:rPr>
                <w:color w:val="000000"/>
                <w:sz w:val="19"/>
                <w:szCs w:val="19"/>
                <w:lang w:val="fr-FR"/>
              </w:rPr>
              <w:t>du piégeage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516FAB">
              <w:rPr>
                <w:color w:val="000000"/>
                <w:sz w:val="19"/>
                <w:szCs w:val="19"/>
                <w:lang w:val="fr-FR"/>
              </w:rPr>
              <w:t>et du commerce illégaux des oiseaux sauvages</w:t>
            </w:r>
          </w:p>
        </w:tc>
        <w:tc>
          <w:tcPr>
            <w:tcW w:w="3005" w:type="dxa"/>
          </w:tcPr>
          <w:p w14:paraId="02BF9C19" w14:textId="32A6082D" w:rsidR="00015BE6" w:rsidRPr="00115A34" w:rsidRDefault="00516FAB" w:rsidP="00015BE6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Des dispositions du texte de l’Accord de l’</w:t>
            </w:r>
            <w:r w:rsidR="00015BE6" w:rsidRPr="00115A34">
              <w:rPr>
                <w:color w:val="000000"/>
                <w:sz w:val="19"/>
                <w:szCs w:val="19"/>
                <w:lang w:val="fr-FR"/>
              </w:rPr>
              <w:t xml:space="preserve">AEWA </w:t>
            </w:r>
            <w:r>
              <w:rPr>
                <w:color w:val="000000"/>
                <w:sz w:val="19"/>
                <w:szCs w:val="19"/>
                <w:lang w:val="fr-FR"/>
              </w:rPr>
              <w:t>et</w:t>
            </w:r>
            <w:r w:rsidR="00015BE6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des </w:t>
            </w:r>
            <w:r w:rsidR="00015BE6" w:rsidRPr="00115A34">
              <w:rPr>
                <w:color w:val="000000"/>
                <w:sz w:val="19"/>
                <w:szCs w:val="19"/>
                <w:lang w:val="fr-FR"/>
              </w:rPr>
              <w:t xml:space="preserve">synergies 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entre la </w:t>
            </w:r>
            <w:r w:rsidR="00015BE6" w:rsidRPr="00115A34">
              <w:rPr>
                <w:color w:val="000000"/>
                <w:sz w:val="19"/>
                <w:szCs w:val="19"/>
                <w:lang w:val="fr-FR"/>
              </w:rPr>
              <w:t xml:space="preserve">Convention </w:t>
            </w:r>
            <w:r>
              <w:rPr>
                <w:color w:val="000000"/>
                <w:sz w:val="19"/>
                <w:szCs w:val="19"/>
                <w:lang w:val="fr-FR"/>
              </w:rPr>
              <w:t>de Berne et l’AEWA</w:t>
            </w:r>
            <w:r w:rsidR="00015BE6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sont</w:t>
            </w:r>
            <w:r w:rsidR="00015BE6" w:rsidRPr="00115A34">
              <w:rPr>
                <w:color w:val="000000"/>
                <w:sz w:val="19"/>
                <w:szCs w:val="19"/>
                <w:lang w:val="fr-FR"/>
              </w:rPr>
              <w:t xml:space="preserve"> mention</w:t>
            </w:r>
            <w:r>
              <w:rPr>
                <w:color w:val="000000"/>
                <w:sz w:val="19"/>
                <w:szCs w:val="19"/>
                <w:lang w:val="fr-FR"/>
              </w:rPr>
              <w:t>nées dans le</w:t>
            </w:r>
            <w:r w:rsidR="00015BE6" w:rsidRPr="00115A34">
              <w:rPr>
                <w:color w:val="000000"/>
                <w:sz w:val="19"/>
                <w:szCs w:val="19"/>
                <w:lang w:val="fr-FR"/>
              </w:rPr>
              <w:t xml:space="preserve"> pr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="00015BE6" w:rsidRPr="00115A34">
              <w:rPr>
                <w:color w:val="000000"/>
                <w:sz w:val="19"/>
                <w:szCs w:val="19"/>
                <w:lang w:val="fr-FR"/>
              </w:rPr>
              <w:t>amb</w:t>
            </w:r>
            <w:r>
              <w:rPr>
                <w:color w:val="000000"/>
                <w:sz w:val="19"/>
                <w:szCs w:val="19"/>
                <w:lang w:val="fr-FR"/>
              </w:rPr>
              <w:t>u</w:t>
            </w:r>
            <w:r w:rsidR="00015BE6" w:rsidRPr="00115A34">
              <w:rPr>
                <w:color w:val="000000"/>
                <w:sz w:val="19"/>
                <w:szCs w:val="19"/>
                <w:lang w:val="fr-FR"/>
              </w:rPr>
              <w:t xml:space="preserve">le </w:t>
            </w:r>
            <w:r>
              <w:rPr>
                <w:color w:val="000000"/>
                <w:sz w:val="19"/>
                <w:szCs w:val="19"/>
                <w:lang w:val="fr-FR"/>
              </w:rPr>
              <w:t>de la</w:t>
            </w:r>
            <w:r w:rsidR="00015BE6" w:rsidRPr="00115A34">
              <w:rPr>
                <w:color w:val="000000"/>
                <w:sz w:val="19"/>
                <w:szCs w:val="19"/>
                <w:lang w:val="fr-FR"/>
              </w:rPr>
              <w:t xml:space="preserve"> Recomm</w:t>
            </w:r>
            <w:r>
              <w:rPr>
                <w:color w:val="000000"/>
                <w:sz w:val="19"/>
                <w:szCs w:val="19"/>
                <w:lang w:val="fr-FR"/>
              </w:rPr>
              <w:t>a</w:t>
            </w:r>
            <w:r w:rsidR="00015BE6" w:rsidRPr="00115A34">
              <w:rPr>
                <w:color w:val="000000"/>
                <w:sz w:val="19"/>
                <w:szCs w:val="19"/>
                <w:lang w:val="fr-FR"/>
              </w:rPr>
              <w:t>ndation</w:t>
            </w:r>
          </w:p>
        </w:tc>
        <w:tc>
          <w:tcPr>
            <w:tcW w:w="3006" w:type="dxa"/>
          </w:tcPr>
          <w:p w14:paraId="0BD4200F" w14:textId="5B2ADF1E" w:rsidR="00015BE6" w:rsidRPr="00115A34" w:rsidRDefault="00516FAB" w:rsidP="00084207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Suivi</w:t>
            </w:r>
            <w:r w:rsidRPr="00115A34">
              <w:rPr>
                <w:sz w:val="19"/>
                <w:szCs w:val="19"/>
                <w:lang w:val="fr-FR"/>
              </w:rPr>
              <w:t>/</w:t>
            </w:r>
            <w:r>
              <w:rPr>
                <w:sz w:val="19"/>
                <w:szCs w:val="19"/>
                <w:lang w:val="fr-FR"/>
              </w:rPr>
              <w:t>évaluation de la mise en œuvre par le Comité permanent</w:t>
            </w:r>
          </w:p>
        </w:tc>
      </w:tr>
      <w:tr w:rsidR="00015BE6" w:rsidRPr="00115A34" w14:paraId="25DFF857" w14:textId="77777777" w:rsidTr="00E1163B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67FE67C6" w14:textId="6AD54AC8" w:rsidR="00015BE6" w:rsidRPr="00115A34" w:rsidRDefault="00015BE6" w:rsidP="00015BE6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</w:t>
            </w:r>
            <w:r w:rsidR="00516FAB">
              <w:rPr>
                <w:b/>
                <w:i/>
                <w:color w:val="000066"/>
                <w:sz w:val="19"/>
                <w:szCs w:val="19"/>
                <w:lang w:val="fr-FR"/>
              </w:rPr>
              <w:t>Union européenne</w:t>
            </w:r>
          </w:p>
        </w:tc>
      </w:tr>
      <w:tr w:rsidR="00015BE6" w:rsidRPr="007D1931" w14:paraId="20BD6A19" w14:textId="77777777" w:rsidTr="00E1163B">
        <w:trPr>
          <w:jc w:val="center"/>
        </w:trPr>
        <w:tc>
          <w:tcPr>
            <w:tcW w:w="3005" w:type="dxa"/>
          </w:tcPr>
          <w:p w14:paraId="369C1ACD" w14:textId="53323380" w:rsidR="00015BE6" w:rsidRPr="00115A34" w:rsidRDefault="00516FAB" w:rsidP="00015BE6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 xml:space="preserve">La </w:t>
            </w:r>
            <w:r w:rsidR="00015BE6" w:rsidRPr="00115A34">
              <w:rPr>
                <w:color w:val="000000"/>
                <w:sz w:val="19"/>
                <w:szCs w:val="19"/>
                <w:lang w:val="fr-FR"/>
              </w:rPr>
              <w:t xml:space="preserve">Directive 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Oiseaux sauvages </w:t>
            </w:r>
            <w:r w:rsidR="00015BE6" w:rsidRPr="00115A34">
              <w:rPr>
                <w:color w:val="000000"/>
                <w:sz w:val="19"/>
                <w:szCs w:val="19"/>
                <w:lang w:val="fr-FR"/>
              </w:rPr>
              <w:t xml:space="preserve">(2009/147/EC) - Articles 5, 6 </w:t>
            </w:r>
            <w:r>
              <w:rPr>
                <w:color w:val="000000"/>
                <w:sz w:val="19"/>
                <w:szCs w:val="19"/>
                <w:lang w:val="fr-FR"/>
              </w:rPr>
              <w:t>et</w:t>
            </w:r>
            <w:r w:rsidR="00015BE6" w:rsidRPr="00115A34">
              <w:rPr>
                <w:color w:val="000000"/>
                <w:sz w:val="19"/>
                <w:szCs w:val="19"/>
                <w:lang w:val="fr-FR"/>
              </w:rPr>
              <w:t xml:space="preserve"> 8</w:t>
            </w:r>
            <w:r w:rsidR="004C1723">
              <w:rPr>
                <w:color w:val="000000"/>
                <w:sz w:val="19"/>
                <w:szCs w:val="19"/>
                <w:lang w:val="fr-FR"/>
              </w:rPr>
              <w:t xml:space="preserve"> -</w:t>
            </w:r>
            <w:r w:rsidR="00015BE6" w:rsidRPr="00115A34">
              <w:rPr>
                <w:color w:val="000000"/>
                <w:sz w:val="19"/>
                <w:szCs w:val="19"/>
                <w:lang w:val="fr-FR"/>
              </w:rPr>
              <w:t xml:space="preserve"> pr</w:t>
            </w:r>
            <w:r>
              <w:rPr>
                <w:color w:val="000000"/>
                <w:sz w:val="19"/>
                <w:szCs w:val="19"/>
                <w:lang w:val="fr-FR"/>
              </w:rPr>
              <w:t>évoit l’interdiction</w:t>
            </w:r>
            <w:r w:rsidR="00015BE6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de l’abattage</w:t>
            </w:r>
            <w:r w:rsidR="00015BE6" w:rsidRPr="00115A34">
              <w:rPr>
                <w:color w:val="000000"/>
                <w:sz w:val="19"/>
                <w:szCs w:val="19"/>
                <w:lang w:val="fr-FR"/>
              </w:rPr>
              <w:t>,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 du prélèvement</w:t>
            </w:r>
            <w:r w:rsidR="00015BE6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et du commerce des oiseaux sauvages</w:t>
            </w:r>
          </w:p>
        </w:tc>
        <w:tc>
          <w:tcPr>
            <w:tcW w:w="3005" w:type="dxa"/>
          </w:tcPr>
          <w:p w14:paraId="1DBCECF0" w14:textId="2E5AFF5B" w:rsidR="00C44894" w:rsidRPr="00115A34" w:rsidRDefault="003534E5" w:rsidP="000B76CF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Plan s</w:t>
            </w:r>
            <w:r w:rsidR="00C44894" w:rsidRPr="00115A34">
              <w:rPr>
                <w:color w:val="000000"/>
                <w:sz w:val="19"/>
                <w:szCs w:val="19"/>
                <w:lang w:val="fr-FR"/>
              </w:rPr>
              <w:t>trat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="00C44894" w:rsidRPr="00115A34">
              <w:rPr>
                <w:color w:val="000000"/>
                <w:sz w:val="19"/>
                <w:szCs w:val="19"/>
                <w:lang w:val="fr-FR"/>
              </w:rPr>
              <w:t>gi</w:t>
            </w:r>
            <w:r>
              <w:rPr>
                <w:color w:val="000000"/>
                <w:sz w:val="19"/>
                <w:szCs w:val="19"/>
                <w:lang w:val="fr-FR"/>
              </w:rPr>
              <w:t>que</w:t>
            </w:r>
            <w:r w:rsidR="00C44894" w:rsidRPr="00115A34">
              <w:rPr>
                <w:color w:val="000000"/>
                <w:sz w:val="19"/>
                <w:szCs w:val="19"/>
                <w:lang w:val="fr-FR"/>
              </w:rPr>
              <w:t xml:space="preserve"> 2019-2027 Action 3.2 (a) </w:t>
            </w:r>
            <w:r>
              <w:rPr>
                <w:color w:val="000000"/>
                <w:sz w:val="19"/>
                <w:szCs w:val="19"/>
                <w:lang w:val="fr-FR"/>
              </w:rPr>
              <w:t>–</w:t>
            </w:r>
            <w:r w:rsidR="00C44894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pour développer un cadre de surveillance</w:t>
            </w:r>
            <w:r w:rsidR="00C44894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pour le réseau de sites des voies de migration de l’</w:t>
            </w:r>
            <w:r w:rsidR="00C44894" w:rsidRPr="00115A34">
              <w:rPr>
                <w:color w:val="000000"/>
                <w:sz w:val="19"/>
                <w:szCs w:val="19"/>
                <w:lang w:val="fr-FR"/>
              </w:rPr>
              <w:t xml:space="preserve">AEWA </w:t>
            </w:r>
            <w:r>
              <w:rPr>
                <w:color w:val="000000"/>
                <w:sz w:val="19"/>
                <w:szCs w:val="19"/>
                <w:lang w:val="fr-FR"/>
              </w:rPr>
              <w:t>e</w:t>
            </w:r>
            <w:r w:rsidR="00C44894" w:rsidRPr="00115A34">
              <w:rPr>
                <w:color w:val="000000"/>
                <w:sz w:val="19"/>
                <w:szCs w:val="19"/>
                <w:lang w:val="fr-FR"/>
              </w:rPr>
              <w:t xml:space="preserve">n coordination </w:t>
            </w:r>
            <w:r>
              <w:rPr>
                <w:color w:val="000000"/>
                <w:sz w:val="19"/>
                <w:szCs w:val="19"/>
                <w:lang w:val="fr-FR"/>
              </w:rPr>
              <w:t>avec d’autres processus, y compris les rapports au titre de la</w:t>
            </w:r>
            <w:r w:rsidR="00C44894" w:rsidRPr="00115A34">
              <w:rPr>
                <w:color w:val="000000"/>
                <w:sz w:val="19"/>
                <w:szCs w:val="19"/>
                <w:lang w:val="fr-FR"/>
              </w:rPr>
              <w:t xml:space="preserve"> Directive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 Oiseaux</w:t>
            </w:r>
          </w:p>
        </w:tc>
        <w:tc>
          <w:tcPr>
            <w:tcW w:w="3006" w:type="dxa"/>
          </w:tcPr>
          <w:p w14:paraId="2E09EAF1" w14:textId="4EDFFFF9" w:rsidR="00084207" w:rsidRPr="00115A34" w:rsidRDefault="003534E5" w:rsidP="00084207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Les États membres rendent compte de leurs actions</w:t>
            </w:r>
            <w:r w:rsidR="00084207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par le biais de rapports nationaux</w:t>
            </w:r>
            <w:r w:rsidR="00084207" w:rsidRPr="00115A34">
              <w:rPr>
                <w:sz w:val="19"/>
                <w:szCs w:val="19"/>
                <w:lang w:val="fr-FR"/>
              </w:rPr>
              <w:t>.</w:t>
            </w:r>
          </w:p>
          <w:p w14:paraId="73DA8216" w14:textId="40E537DA" w:rsidR="00015BE6" w:rsidRPr="00115A34" w:rsidRDefault="003534E5" w:rsidP="00084207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Études de la mise en œuvre</w:t>
            </w:r>
            <w:r w:rsidR="00084207" w:rsidRPr="00115A34">
              <w:rPr>
                <w:sz w:val="19"/>
                <w:szCs w:val="19"/>
                <w:lang w:val="fr-FR"/>
              </w:rPr>
              <w:t>/</w:t>
            </w:r>
            <w:r>
              <w:rPr>
                <w:sz w:val="19"/>
                <w:szCs w:val="19"/>
                <w:lang w:val="fr-FR"/>
              </w:rPr>
              <w:t>conformité au niveau de l’UE</w:t>
            </w:r>
            <w:r w:rsidR="00084207"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015BE6" w:rsidRPr="00326B2D" w14:paraId="2CF22F37" w14:textId="77777777" w:rsidTr="00E1163B">
        <w:trPr>
          <w:jc w:val="center"/>
        </w:trPr>
        <w:tc>
          <w:tcPr>
            <w:tcW w:w="3005" w:type="dxa"/>
          </w:tcPr>
          <w:p w14:paraId="75B18024" w14:textId="44A323B3" w:rsidR="00015BE6" w:rsidRPr="00115A34" w:rsidRDefault="003534E5" w:rsidP="00015BE6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Feuille de route de la</w:t>
            </w:r>
            <w:r w:rsidR="00C44894" w:rsidRPr="00115A34">
              <w:rPr>
                <w:color w:val="000000"/>
                <w:sz w:val="19"/>
                <w:szCs w:val="19"/>
                <w:lang w:val="fr-FR"/>
              </w:rPr>
              <w:t xml:space="preserve"> Commission </w:t>
            </w:r>
            <w:r>
              <w:rPr>
                <w:color w:val="000000"/>
                <w:sz w:val="19"/>
                <w:szCs w:val="19"/>
                <w:lang w:val="fr-FR"/>
              </w:rPr>
              <w:t>européenne</w:t>
            </w:r>
            <w:r w:rsidR="00C44894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destinée à éliminer l’abattage, le piégeage et le commerce illégaux des oiseaux</w:t>
            </w:r>
            <w:r w:rsidR="00C44894" w:rsidRPr="00115A34">
              <w:rPr>
                <w:color w:val="000000"/>
                <w:sz w:val="19"/>
                <w:szCs w:val="19"/>
                <w:lang w:val="fr-FR"/>
              </w:rPr>
              <w:t xml:space="preserve"> (2012, r</w:t>
            </w:r>
            <w:r>
              <w:rPr>
                <w:color w:val="000000"/>
                <w:sz w:val="19"/>
                <w:szCs w:val="19"/>
                <w:lang w:val="fr-FR"/>
              </w:rPr>
              <w:t>évisé</w:t>
            </w:r>
            <w:r w:rsidR="003B3468">
              <w:rPr>
                <w:color w:val="000000"/>
                <w:sz w:val="19"/>
                <w:szCs w:val="19"/>
                <w:lang w:val="fr-FR"/>
              </w:rPr>
              <w:t>e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 en</w:t>
            </w:r>
            <w:r w:rsidR="00C44894" w:rsidRPr="00115A34">
              <w:rPr>
                <w:color w:val="000000"/>
                <w:sz w:val="19"/>
                <w:szCs w:val="19"/>
                <w:lang w:val="fr-FR"/>
              </w:rPr>
              <w:t xml:space="preserve"> 2017)</w:t>
            </w:r>
          </w:p>
        </w:tc>
        <w:tc>
          <w:tcPr>
            <w:tcW w:w="3005" w:type="dxa"/>
          </w:tcPr>
          <w:p w14:paraId="358DE761" w14:textId="56C7A8CA" w:rsidR="00015BE6" w:rsidRPr="00115A34" w:rsidRDefault="00596B36" w:rsidP="00C44894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L’</w:t>
            </w:r>
            <w:r w:rsidR="00C44894" w:rsidRPr="00115A34">
              <w:rPr>
                <w:color w:val="000000"/>
                <w:sz w:val="19"/>
                <w:szCs w:val="19"/>
                <w:lang w:val="fr-FR"/>
              </w:rPr>
              <w:t xml:space="preserve">AEWA </w:t>
            </w:r>
            <w:r>
              <w:rPr>
                <w:color w:val="000000"/>
                <w:sz w:val="19"/>
                <w:szCs w:val="19"/>
                <w:lang w:val="fr-FR"/>
              </w:rPr>
              <w:t>est mentionné</w:t>
            </w:r>
            <w:r w:rsidR="003B3468">
              <w:rPr>
                <w:color w:val="000000"/>
                <w:sz w:val="19"/>
                <w:szCs w:val="19"/>
                <w:lang w:val="fr-FR"/>
              </w:rPr>
              <w:t>e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 dans la feuille de route</w:t>
            </w:r>
            <w:r w:rsidR="00C44894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comme l’une des principales organisations entreprenant des activités pour</w:t>
            </w:r>
            <w:r w:rsidR="00C44894" w:rsidRPr="00115A34">
              <w:rPr>
                <w:color w:val="000000"/>
                <w:sz w:val="19"/>
                <w:szCs w:val="19"/>
                <w:lang w:val="fr-FR"/>
              </w:rPr>
              <w:t xml:space="preserve"> communi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quer les meilleures </w:t>
            </w:r>
            <w:r w:rsidR="00C44894" w:rsidRPr="00115A34">
              <w:rPr>
                <w:color w:val="000000"/>
                <w:sz w:val="19"/>
                <w:szCs w:val="19"/>
                <w:lang w:val="fr-FR"/>
              </w:rPr>
              <w:t>prati</w:t>
            </w:r>
            <w:r>
              <w:rPr>
                <w:color w:val="000000"/>
                <w:sz w:val="19"/>
                <w:szCs w:val="19"/>
                <w:lang w:val="fr-FR"/>
              </w:rPr>
              <w:t>ques</w:t>
            </w:r>
          </w:p>
        </w:tc>
        <w:tc>
          <w:tcPr>
            <w:tcW w:w="3006" w:type="dxa"/>
          </w:tcPr>
          <w:p w14:paraId="1FF24949" w14:textId="4B558DDC" w:rsidR="00015BE6" w:rsidRPr="00115A34" w:rsidRDefault="00084207" w:rsidP="00084207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Sugg</w:t>
            </w:r>
            <w:r w:rsidR="00596B36">
              <w:rPr>
                <w:sz w:val="19"/>
                <w:szCs w:val="19"/>
                <w:lang w:val="fr-FR"/>
              </w:rPr>
              <w:t>érer à la</w:t>
            </w:r>
            <w:r w:rsidRPr="00115A34">
              <w:rPr>
                <w:sz w:val="19"/>
                <w:szCs w:val="19"/>
                <w:lang w:val="fr-FR"/>
              </w:rPr>
              <w:t xml:space="preserve"> Commission</w:t>
            </w:r>
            <w:r w:rsidR="00596B36">
              <w:rPr>
                <w:sz w:val="19"/>
                <w:szCs w:val="19"/>
                <w:lang w:val="fr-FR"/>
              </w:rPr>
              <w:t xml:space="preserve"> européenne d’examiner les progrès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596B36">
              <w:rPr>
                <w:sz w:val="19"/>
                <w:szCs w:val="19"/>
                <w:lang w:val="fr-FR"/>
              </w:rPr>
              <w:t>et de faire d’autres recommandations</w:t>
            </w:r>
          </w:p>
        </w:tc>
      </w:tr>
    </w:tbl>
    <w:p w14:paraId="4E3ADCED" w14:textId="77777777" w:rsidR="007722E8" w:rsidRPr="00115A34" w:rsidRDefault="007722E8" w:rsidP="007722E8">
      <w:pPr>
        <w:spacing w:after="20"/>
        <w:rPr>
          <w:sz w:val="22"/>
          <w:szCs w:val="22"/>
          <w:lang w:val="fr-FR"/>
        </w:rPr>
      </w:pPr>
    </w:p>
    <w:p w14:paraId="433A5314" w14:textId="474E05ED" w:rsidR="007722E8" w:rsidRPr="00115A34" w:rsidRDefault="00596B36" w:rsidP="007722E8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En outre, certains Plans d’action par espèce de l’AEWA peuvent contenir des idées pertinentes</w:t>
      </w:r>
      <w:r w:rsidR="007722E8" w:rsidRPr="00115A34">
        <w:rPr>
          <w:sz w:val="22"/>
          <w:szCs w:val="22"/>
          <w:lang w:val="fr-FR"/>
        </w:rPr>
        <w:t>.</w:t>
      </w:r>
    </w:p>
    <w:p w14:paraId="2F91FE15" w14:textId="77777777" w:rsidR="007722E8" w:rsidRPr="00115A34" w:rsidRDefault="007722E8" w:rsidP="007722E8">
      <w:pPr>
        <w:spacing w:after="20"/>
        <w:rPr>
          <w:sz w:val="22"/>
          <w:szCs w:val="22"/>
          <w:lang w:val="fr-FR"/>
        </w:rPr>
      </w:pPr>
    </w:p>
    <w:p w14:paraId="73426606" w14:textId="725CE177" w:rsidR="007722E8" w:rsidRDefault="007722E8" w:rsidP="007722E8">
      <w:pPr>
        <w:spacing w:after="20"/>
        <w:rPr>
          <w:b/>
          <w:i/>
          <w:color w:val="003366"/>
          <w:sz w:val="22"/>
          <w:szCs w:val="22"/>
          <w:lang w:val="fr-FR"/>
        </w:rPr>
      </w:pPr>
      <w:r w:rsidRPr="00115A34">
        <w:rPr>
          <w:b/>
          <w:i/>
          <w:color w:val="003366"/>
          <w:sz w:val="22"/>
          <w:szCs w:val="22"/>
          <w:lang w:val="fr-FR"/>
        </w:rPr>
        <w:t xml:space="preserve">  (b) </w:t>
      </w:r>
      <w:r w:rsidR="00596B36">
        <w:rPr>
          <w:b/>
          <w:i/>
          <w:color w:val="003366"/>
          <w:sz w:val="22"/>
          <w:szCs w:val="22"/>
          <w:lang w:val="fr-FR"/>
        </w:rPr>
        <w:t xml:space="preserve">Autres </w:t>
      </w:r>
      <w:r w:rsidRPr="00115A34">
        <w:rPr>
          <w:b/>
          <w:i/>
          <w:color w:val="003366"/>
          <w:sz w:val="22"/>
          <w:szCs w:val="22"/>
          <w:lang w:val="fr-FR"/>
        </w:rPr>
        <w:t>context</w:t>
      </w:r>
      <w:r w:rsidR="00596B36">
        <w:rPr>
          <w:b/>
          <w:i/>
          <w:color w:val="003366"/>
          <w:sz w:val="22"/>
          <w:szCs w:val="22"/>
          <w:lang w:val="fr-FR"/>
        </w:rPr>
        <w:t>e</w:t>
      </w:r>
      <w:r w:rsidRPr="00115A34">
        <w:rPr>
          <w:b/>
          <w:i/>
          <w:color w:val="003366"/>
          <w:sz w:val="22"/>
          <w:szCs w:val="22"/>
          <w:lang w:val="fr-FR"/>
        </w:rPr>
        <w:t>s</w:t>
      </w:r>
      <w:r w:rsidR="00596B36">
        <w:rPr>
          <w:b/>
          <w:i/>
          <w:color w:val="003366"/>
          <w:sz w:val="22"/>
          <w:szCs w:val="22"/>
          <w:lang w:val="fr-FR"/>
        </w:rPr>
        <w:t xml:space="preserve"> pertinents</w:t>
      </w:r>
    </w:p>
    <w:p w14:paraId="704278A8" w14:textId="77777777" w:rsidR="00596B36" w:rsidRPr="00115A34" w:rsidRDefault="00596B36" w:rsidP="007722E8">
      <w:pPr>
        <w:spacing w:after="20"/>
        <w:rPr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5B7D42" w:rsidRPr="00115A34" w14:paraId="0775A386" w14:textId="77777777" w:rsidTr="005B7D42">
        <w:tc>
          <w:tcPr>
            <w:tcW w:w="4531" w:type="dxa"/>
            <w:shd w:val="clear" w:color="auto" w:fill="DEEAF6" w:themeFill="accent1" w:themeFillTint="33"/>
            <w:vAlign w:val="center"/>
          </w:tcPr>
          <w:p w14:paraId="00B7337F" w14:textId="0DE92ADD" w:rsidR="005B7D42" w:rsidRPr="00115A34" w:rsidRDefault="007B2C1F" w:rsidP="005B7D42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Processus/plateforme multilatéral</w:t>
            </w:r>
            <w:r w:rsidR="00CD6B91">
              <w:rPr>
                <w:b/>
                <w:sz w:val="20"/>
                <w:szCs w:val="20"/>
                <w:lang w:val="fr-FR"/>
              </w:rPr>
              <w:t>(e)</w:t>
            </w:r>
          </w:p>
        </w:tc>
        <w:tc>
          <w:tcPr>
            <w:tcW w:w="4485" w:type="dxa"/>
            <w:shd w:val="clear" w:color="auto" w:fill="DEEAF6" w:themeFill="accent1" w:themeFillTint="33"/>
            <w:vAlign w:val="center"/>
          </w:tcPr>
          <w:p w14:paraId="0F3F38E0" w14:textId="07F9B8A5" w:rsidR="005B7D42" w:rsidRPr="00115A34" w:rsidRDefault="005B7D42" w:rsidP="005B7D4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115A34">
              <w:rPr>
                <w:b/>
                <w:sz w:val="20"/>
                <w:szCs w:val="20"/>
                <w:lang w:val="fr-FR"/>
              </w:rPr>
              <w:t>Possib</w:t>
            </w:r>
            <w:r w:rsidR="007B2C1F">
              <w:rPr>
                <w:b/>
                <w:sz w:val="20"/>
                <w:szCs w:val="20"/>
                <w:lang w:val="fr-FR"/>
              </w:rPr>
              <w:t>i</w:t>
            </w:r>
            <w:r w:rsidRPr="00115A34">
              <w:rPr>
                <w:b/>
                <w:sz w:val="20"/>
                <w:szCs w:val="20"/>
                <w:lang w:val="fr-FR"/>
              </w:rPr>
              <w:t>l</w:t>
            </w:r>
            <w:r w:rsidR="007B2C1F">
              <w:rPr>
                <w:b/>
                <w:sz w:val="20"/>
                <w:szCs w:val="20"/>
                <w:lang w:val="fr-FR"/>
              </w:rPr>
              <w:t>ités éventuelles d’</w:t>
            </w:r>
            <w:r w:rsidRPr="00115A34">
              <w:rPr>
                <w:b/>
                <w:sz w:val="20"/>
                <w:szCs w:val="20"/>
                <w:lang w:val="fr-FR"/>
              </w:rPr>
              <w:t>influence</w:t>
            </w:r>
          </w:p>
        </w:tc>
      </w:tr>
      <w:tr w:rsidR="005B7D42" w:rsidRPr="00326B2D" w14:paraId="26D3B275" w14:textId="77777777" w:rsidTr="005B7D4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70F08DC" w14:textId="2D303C84" w:rsidR="005B7D42" w:rsidRPr="00115A34" w:rsidRDefault="005B7D42" w:rsidP="005B7D42">
            <w:pPr>
              <w:spacing w:before="20" w:after="20"/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Convention </w:t>
            </w:r>
            <w:r w:rsidR="007B2C1F">
              <w:rPr>
                <w:b/>
                <w:i/>
                <w:color w:val="000066"/>
                <w:sz w:val="19"/>
                <w:szCs w:val="19"/>
                <w:lang w:val="fr-FR"/>
              </w:rPr>
              <w:t>sur la diversité biologique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(CD</w:t>
            </w:r>
            <w:r w:rsidR="007B2C1F">
              <w:rPr>
                <w:b/>
                <w:i/>
                <w:color w:val="000066"/>
                <w:sz w:val="19"/>
                <w:szCs w:val="19"/>
                <w:lang w:val="fr-FR"/>
              </w:rPr>
              <w:t>B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>)</w:t>
            </w:r>
          </w:p>
        </w:tc>
      </w:tr>
      <w:tr w:rsidR="005B7D42" w:rsidRPr="00326B2D" w14:paraId="1CE43D52" w14:textId="77777777" w:rsidTr="005B7D42">
        <w:tc>
          <w:tcPr>
            <w:tcW w:w="4531" w:type="dxa"/>
          </w:tcPr>
          <w:p w14:paraId="2271FC16" w14:textId="5449EFF7" w:rsidR="005B7D42" w:rsidRPr="00115A34" w:rsidRDefault="007B2C1F" w:rsidP="005B7D42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Avant-projet de Cadre mondial post-2020 pour la biodiversité,</w:t>
            </w:r>
            <w:r w:rsidR="005B7D42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Cible</w:t>
            </w:r>
            <w:r w:rsidR="005B7D42" w:rsidRPr="00115A34">
              <w:rPr>
                <w:color w:val="000000"/>
                <w:sz w:val="19"/>
                <w:szCs w:val="19"/>
                <w:lang w:val="fr-FR"/>
              </w:rPr>
              <w:t xml:space="preserve"> 5, </w:t>
            </w:r>
            <w:r>
              <w:rPr>
                <w:color w:val="000000"/>
                <w:sz w:val="19"/>
                <w:szCs w:val="19"/>
                <w:lang w:val="fr-FR"/>
              </w:rPr>
              <w:t>« Veiller à ce que le prélèvement</w:t>
            </w:r>
            <w:r w:rsidR="005B7D42" w:rsidRPr="00115A34">
              <w:rPr>
                <w:color w:val="000000"/>
                <w:sz w:val="19"/>
                <w:szCs w:val="19"/>
                <w:lang w:val="fr-FR"/>
              </w:rPr>
              <w:t>,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 le commerce et l’utilisation des espèces sauvages so</w:t>
            </w:r>
            <w:r w:rsidR="004C1723">
              <w:rPr>
                <w:color w:val="000000"/>
                <w:sz w:val="19"/>
                <w:szCs w:val="19"/>
                <w:lang w:val="fr-FR"/>
              </w:rPr>
              <w:t>ie</w:t>
            </w:r>
            <w:r>
              <w:rPr>
                <w:color w:val="000000"/>
                <w:sz w:val="19"/>
                <w:szCs w:val="19"/>
                <w:lang w:val="fr-FR"/>
              </w:rPr>
              <w:t>nt durables, légaux et sans danger »</w:t>
            </w:r>
          </w:p>
        </w:tc>
        <w:tc>
          <w:tcPr>
            <w:tcW w:w="4485" w:type="dxa"/>
          </w:tcPr>
          <w:p w14:paraId="087573B3" w14:textId="102CD82D" w:rsidR="005B7D42" w:rsidRPr="00115A34" w:rsidRDefault="007B2C1F" w:rsidP="005B7D42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Contribution à l’élaboration d’indicateurs appropriés</w:t>
            </w:r>
            <w:r w:rsidR="005B7D42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pour la Cible</w:t>
            </w:r>
            <w:r w:rsidR="005B7D42" w:rsidRPr="00115A34">
              <w:rPr>
                <w:sz w:val="19"/>
                <w:szCs w:val="19"/>
                <w:lang w:val="fr-FR"/>
              </w:rPr>
              <w:t xml:space="preserve"> 5, </w:t>
            </w:r>
            <w:r w:rsidR="004F357D">
              <w:rPr>
                <w:sz w:val="19"/>
                <w:szCs w:val="19"/>
                <w:lang w:val="fr-FR"/>
              </w:rPr>
              <w:t>notamment par l’intermédiaire</w:t>
            </w:r>
            <w:r w:rsidR="005B7D42" w:rsidRPr="00115A34">
              <w:rPr>
                <w:sz w:val="19"/>
                <w:szCs w:val="19"/>
                <w:lang w:val="fr-FR"/>
              </w:rPr>
              <w:t xml:space="preserve"> </w:t>
            </w:r>
            <w:r w:rsidR="004F357D">
              <w:rPr>
                <w:sz w:val="19"/>
                <w:szCs w:val="19"/>
                <w:lang w:val="fr-FR"/>
              </w:rPr>
              <w:t xml:space="preserve">du groupe d’experts techniques ad hoc sur le cadre de suivi du cadre mondial </w:t>
            </w:r>
            <w:r w:rsidR="003B3468">
              <w:rPr>
                <w:sz w:val="19"/>
                <w:szCs w:val="19"/>
                <w:lang w:val="fr-FR"/>
              </w:rPr>
              <w:t>pour</w:t>
            </w:r>
            <w:r w:rsidR="004F357D">
              <w:rPr>
                <w:sz w:val="19"/>
                <w:szCs w:val="19"/>
                <w:lang w:val="fr-FR"/>
              </w:rPr>
              <w:t xml:space="preserve"> la biodiversité, créé après la COP15</w:t>
            </w:r>
            <w:r w:rsidR="005B7D42" w:rsidRPr="00115A34">
              <w:rPr>
                <w:sz w:val="19"/>
                <w:szCs w:val="19"/>
                <w:lang w:val="fr-FR"/>
              </w:rPr>
              <w:t>.</w:t>
            </w:r>
          </w:p>
        </w:tc>
      </w:tr>
    </w:tbl>
    <w:p w14:paraId="7648209A" w14:textId="77777777" w:rsidR="007722E8" w:rsidRPr="00115A34" w:rsidRDefault="007722E8" w:rsidP="007722E8">
      <w:pPr>
        <w:spacing w:after="20"/>
        <w:rPr>
          <w:sz w:val="22"/>
          <w:szCs w:val="22"/>
          <w:lang w:val="fr-FR"/>
        </w:rPr>
      </w:pPr>
    </w:p>
    <w:p w14:paraId="481797E6" w14:textId="77777777" w:rsidR="007722E8" w:rsidRPr="00115A34" w:rsidRDefault="007722E8" w:rsidP="007722E8">
      <w:pPr>
        <w:spacing w:after="20"/>
        <w:rPr>
          <w:sz w:val="16"/>
          <w:szCs w:val="16"/>
          <w:lang w:val="fr-FR"/>
        </w:rPr>
      </w:pPr>
    </w:p>
    <w:p w14:paraId="4C2B3862" w14:textId="66B70824" w:rsidR="007722E8" w:rsidRPr="00115A34" w:rsidRDefault="007722E8" w:rsidP="00E1163B">
      <w:pPr>
        <w:shd w:val="clear" w:color="auto" w:fill="DEEAF6" w:themeFill="accent1" w:themeFillTint="33"/>
        <w:spacing w:after="20"/>
        <w:rPr>
          <w:b/>
          <w:lang w:val="fr-FR"/>
        </w:rPr>
      </w:pPr>
      <w:r w:rsidRPr="00115A34">
        <w:rPr>
          <w:b/>
          <w:lang w:val="fr-FR"/>
        </w:rPr>
        <w:t xml:space="preserve">3.  </w:t>
      </w:r>
      <w:r w:rsidR="002D2C7D">
        <w:rPr>
          <w:b/>
          <w:lang w:val="fr-FR"/>
        </w:rPr>
        <w:t>Prises accessoires de la pêche</w:t>
      </w:r>
    </w:p>
    <w:p w14:paraId="311EDBAC" w14:textId="77777777" w:rsidR="007722E8" w:rsidRPr="00115A34" w:rsidRDefault="007722E8" w:rsidP="007722E8">
      <w:pPr>
        <w:spacing w:after="20"/>
        <w:rPr>
          <w:sz w:val="22"/>
          <w:szCs w:val="22"/>
          <w:lang w:val="fr-FR"/>
        </w:rPr>
      </w:pPr>
    </w:p>
    <w:p w14:paraId="07DE27AF" w14:textId="6381CF1D" w:rsidR="007722E8" w:rsidRPr="00115A34" w:rsidRDefault="007722E8" w:rsidP="007722E8">
      <w:pPr>
        <w:spacing w:after="20"/>
        <w:rPr>
          <w:b/>
          <w:i/>
          <w:color w:val="003366"/>
          <w:sz w:val="22"/>
          <w:szCs w:val="22"/>
          <w:lang w:val="fr-FR"/>
        </w:rPr>
      </w:pPr>
      <w:r w:rsidRPr="00115A34">
        <w:rPr>
          <w:b/>
          <w:i/>
          <w:color w:val="003366"/>
          <w:sz w:val="22"/>
          <w:szCs w:val="22"/>
          <w:lang w:val="fr-FR"/>
        </w:rPr>
        <w:t xml:space="preserve">  (a)  </w:t>
      </w:r>
      <w:r w:rsidR="002D2C7D">
        <w:rPr>
          <w:b/>
          <w:i/>
          <w:color w:val="003366"/>
          <w:sz w:val="22"/>
          <w:szCs w:val="22"/>
          <w:lang w:val="fr-FR"/>
        </w:rPr>
        <w:t>Orientations existantes de l’</w:t>
      </w:r>
      <w:r w:rsidRPr="00115A34">
        <w:rPr>
          <w:b/>
          <w:i/>
          <w:color w:val="003366"/>
          <w:sz w:val="22"/>
          <w:szCs w:val="22"/>
          <w:lang w:val="fr-FR"/>
        </w:rPr>
        <w:t>AEWA</w:t>
      </w:r>
    </w:p>
    <w:p w14:paraId="70A52203" w14:textId="77777777" w:rsidR="007722E8" w:rsidRPr="00115A34" w:rsidRDefault="007722E8" w:rsidP="007722E8">
      <w:pPr>
        <w:spacing w:after="20"/>
        <w:rPr>
          <w:sz w:val="22"/>
          <w:szCs w:val="22"/>
          <w:lang w:val="fr-FR"/>
        </w:rPr>
      </w:pPr>
    </w:p>
    <w:p w14:paraId="0D3ED704" w14:textId="1AE3362D" w:rsidR="00334B34" w:rsidRPr="00115A34" w:rsidRDefault="002D2C7D" w:rsidP="00E1163B">
      <w:pPr>
        <w:spacing w:after="2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L’</w:t>
      </w:r>
      <w:r w:rsidR="008B4FDB" w:rsidRPr="00115A34">
        <w:rPr>
          <w:sz w:val="22"/>
          <w:szCs w:val="22"/>
          <w:lang w:val="fr-FR"/>
        </w:rPr>
        <w:t>Annex</w:t>
      </w:r>
      <w:r>
        <w:rPr>
          <w:sz w:val="22"/>
          <w:szCs w:val="22"/>
          <w:lang w:val="fr-FR"/>
        </w:rPr>
        <w:t>e</w:t>
      </w:r>
      <w:r w:rsidR="008B4FDB" w:rsidRPr="00115A34">
        <w:rPr>
          <w:sz w:val="22"/>
          <w:szCs w:val="22"/>
          <w:lang w:val="fr-FR"/>
        </w:rPr>
        <w:t xml:space="preserve"> 3 </w:t>
      </w:r>
      <w:r>
        <w:rPr>
          <w:sz w:val="22"/>
          <w:szCs w:val="22"/>
          <w:lang w:val="fr-FR"/>
        </w:rPr>
        <w:t>de l’Accord</w:t>
      </w:r>
      <w:r w:rsidR="008B4FDB" w:rsidRPr="00115A34">
        <w:rPr>
          <w:sz w:val="22"/>
          <w:szCs w:val="22"/>
          <w:lang w:val="fr-FR"/>
        </w:rPr>
        <w:t xml:space="preserve"> (</w:t>
      </w:r>
      <w:r>
        <w:rPr>
          <w:sz w:val="22"/>
          <w:szCs w:val="22"/>
          <w:lang w:val="fr-FR"/>
        </w:rPr>
        <w:t xml:space="preserve">le </w:t>
      </w:r>
      <w:r w:rsidR="008B4FDB" w:rsidRPr="00115A34">
        <w:rPr>
          <w:sz w:val="22"/>
          <w:szCs w:val="22"/>
          <w:lang w:val="fr-FR"/>
        </w:rPr>
        <w:t>Plan</w:t>
      </w:r>
      <w:r>
        <w:rPr>
          <w:sz w:val="22"/>
          <w:szCs w:val="22"/>
          <w:lang w:val="fr-FR"/>
        </w:rPr>
        <w:t xml:space="preserve"> d’action</w:t>
      </w:r>
      <w:r w:rsidR="008B4FDB" w:rsidRPr="00115A34">
        <w:rPr>
          <w:sz w:val="22"/>
          <w:szCs w:val="22"/>
          <w:lang w:val="fr-FR"/>
        </w:rPr>
        <w:t xml:space="preserve">) </w:t>
      </w:r>
      <w:r w:rsidR="00D122F6">
        <w:rPr>
          <w:sz w:val="22"/>
          <w:szCs w:val="22"/>
          <w:lang w:val="fr-FR"/>
        </w:rPr>
        <w:t>comprend deux rubriques</w:t>
      </w:r>
      <w:r w:rsidR="008B4FDB" w:rsidRPr="00115A34">
        <w:rPr>
          <w:sz w:val="22"/>
          <w:szCs w:val="22"/>
          <w:lang w:val="fr-FR"/>
        </w:rPr>
        <w:t xml:space="preserve"> (4.3.7 </w:t>
      </w:r>
      <w:r w:rsidR="00D122F6">
        <w:rPr>
          <w:sz w:val="22"/>
          <w:szCs w:val="22"/>
          <w:lang w:val="fr-FR"/>
        </w:rPr>
        <w:t>et</w:t>
      </w:r>
      <w:r w:rsidR="008B4FDB" w:rsidRPr="00115A34">
        <w:rPr>
          <w:sz w:val="22"/>
          <w:szCs w:val="22"/>
          <w:lang w:val="fr-FR"/>
        </w:rPr>
        <w:t xml:space="preserve"> 4.3.8) </w:t>
      </w:r>
      <w:r w:rsidR="00D122F6">
        <w:rPr>
          <w:sz w:val="22"/>
          <w:szCs w:val="22"/>
          <w:lang w:val="fr-FR"/>
        </w:rPr>
        <w:t>qui exhortent les</w:t>
      </w:r>
      <w:r w:rsidR="008B4FDB" w:rsidRPr="00115A34">
        <w:rPr>
          <w:sz w:val="22"/>
          <w:szCs w:val="22"/>
          <w:lang w:val="fr-FR"/>
        </w:rPr>
        <w:t xml:space="preserve"> Parties </w:t>
      </w:r>
      <w:r w:rsidR="00D122F6">
        <w:rPr>
          <w:sz w:val="22"/>
          <w:szCs w:val="22"/>
          <w:lang w:val="fr-FR"/>
        </w:rPr>
        <w:t>à prendre des mesures appropriées au niveau national</w:t>
      </w:r>
      <w:r w:rsidR="008B4FDB" w:rsidRPr="00115A34">
        <w:rPr>
          <w:sz w:val="22"/>
          <w:szCs w:val="22"/>
          <w:lang w:val="fr-FR"/>
        </w:rPr>
        <w:t xml:space="preserve"> </w:t>
      </w:r>
      <w:r w:rsidR="00D122F6">
        <w:rPr>
          <w:sz w:val="22"/>
          <w:szCs w:val="22"/>
          <w:lang w:val="fr-FR"/>
        </w:rPr>
        <w:t xml:space="preserve">ou dans le contexte des organismes régionaux des pêches </w:t>
      </w:r>
      <w:r w:rsidR="008B4FDB" w:rsidRPr="00115A34">
        <w:rPr>
          <w:sz w:val="22"/>
          <w:szCs w:val="22"/>
          <w:lang w:val="fr-FR"/>
        </w:rPr>
        <w:t>(</w:t>
      </w:r>
      <w:r w:rsidR="00846337">
        <w:rPr>
          <w:sz w:val="22"/>
          <w:szCs w:val="22"/>
          <w:lang w:val="fr-FR"/>
        </w:rPr>
        <w:t>ORGP</w:t>
      </w:r>
      <w:r w:rsidR="008B4FDB" w:rsidRPr="00115A34">
        <w:rPr>
          <w:sz w:val="22"/>
          <w:szCs w:val="22"/>
          <w:lang w:val="fr-FR"/>
        </w:rPr>
        <w:t xml:space="preserve">) </w:t>
      </w:r>
      <w:r w:rsidR="00DC0F21">
        <w:rPr>
          <w:sz w:val="22"/>
          <w:szCs w:val="22"/>
          <w:lang w:val="fr-FR"/>
        </w:rPr>
        <w:t>et des organisations</w:t>
      </w:r>
      <w:r w:rsidR="008B4FDB" w:rsidRPr="00115A34">
        <w:rPr>
          <w:sz w:val="22"/>
          <w:szCs w:val="22"/>
          <w:lang w:val="fr-FR"/>
        </w:rPr>
        <w:t xml:space="preserve"> international</w:t>
      </w:r>
      <w:r w:rsidR="00DC0F21">
        <w:rPr>
          <w:sz w:val="22"/>
          <w:szCs w:val="22"/>
          <w:lang w:val="fr-FR"/>
        </w:rPr>
        <w:t>es concernées</w:t>
      </w:r>
      <w:r w:rsidR="008B4FDB" w:rsidRPr="00115A34">
        <w:rPr>
          <w:sz w:val="22"/>
          <w:szCs w:val="22"/>
          <w:lang w:val="fr-FR"/>
        </w:rPr>
        <w:t xml:space="preserve"> </w:t>
      </w:r>
      <w:r w:rsidR="00DC0F21">
        <w:rPr>
          <w:sz w:val="22"/>
          <w:szCs w:val="22"/>
          <w:lang w:val="fr-FR"/>
        </w:rPr>
        <w:t>pour</w:t>
      </w:r>
      <w:r w:rsidR="008B4FDB" w:rsidRPr="00115A34">
        <w:rPr>
          <w:sz w:val="22"/>
          <w:szCs w:val="22"/>
          <w:lang w:val="fr-FR"/>
        </w:rPr>
        <w:t xml:space="preserve"> minimise</w:t>
      </w:r>
      <w:r w:rsidR="00DC0F21">
        <w:rPr>
          <w:sz w:val="22"/>
          <w:szCs w:val="22"/>
          <w:lang w:val="fr-FR"/>
        </w:rPr>
        <w:t>r l’</w:t>
      </w:r>
      <w:r w:rsidR="008B4FDB" w:rsidRPr="00115A34">
        <w:rPr>
          <w:sz w:val="22"/>
          <w:szCs w:val="22"/>
          <w:lang w:val="fr-FR"/>
        </w:rPr>
        <w:t xml:space="preserve">impact </w:t>
      </w:r>
      <w:r w:rsidR="00DC0F21">
        <w:rPr>
          <w:sz w:val="22"/>
          <w:szCs w:val="22"/>
          <w:lang w:val="fr-FR"/>
        </w:rPr>
        <w:t>de la pêche sur les oiseaux d’eau migrateurs</w:t>
      </w:r>
      <w:r w:rsidR="008B4FDB" w:rsidRPr="00115A34">
        <w:rPr>
          <w:sz w:val="22"/>
          <w:szCs w:val="22"/>
          <w:lang w:val="fr-FR"/>
        </w:rPr>
        <w:t xml:space="preserve">, </w:t>
      </w:r>
      <w:r w:rsidR="00DC0F21">
        <w:rPr>
          <w:sz w:val="22"/>
          <w:szCs w:val="22"/>
          <w:lang w:val="fr-FR"/>
        </w:rPr>
        <w:t>y compris les prises accessoires</w:t>
      </w:r>
      <w:r w:rsidR="008B4FDB" w:rsidRPr="00115A34">
        <w:rPr>
          <w:sz w:val="22"/>
          <w:szCs w:val="22"/>
          <w:lang w:val="fr-FR"/>
        </w:rPr>
        <w:t xml:space="preserve">. </w:t>
      </w:r>
      <w:r w:rsidR="00DC0F21">
        <w:rPr>
          <w:sz w:val="22"/>
          <w:szCs w:val="22"/>
          <w:lang w:val="fr-FR"/>
        </w:rPr>
        <w:t xml:space="preserve">Les prises accessoires peuvent se produire aussi bien dans </w:t>
      </w:r>
      <w:r w:rsidR="00DC0F21">
        <w:rPr>
          <w:sz w:val="22"/>
          <w:szCs w:val="22"/>
          <w:lang w:val="fr-FR"/>
        </w:rPr>
        <w:lastRenderedPageBreak/>
        <w:t>les environnements d’eau douce que dans les environnements marins</w:t>
      </w:r>
      <w:r w:rsidR="008B4FDB" w:rsidRPr="00115A34">
        <w:rPr>
          <w:sz w:val="22"/>
          <w:szCs w:val="22"/>
          <w:lang w:val="fr-FR"/>
        </w:rPr>
        <w:t xml:space="preserve">, </w:t>
      </w:r>
      <w:r w:rsidR="00DC0F21">
        <w:rPr>
          <w:sz w:val="22"/>
          <w:szCs w:val="22"/>
          <w:lang w:val="fr-FR"/>
        </w:rPr>
        <w:t>ce qui est pris en compte dans les orientations de l’</w:t>
      </w:r>
      <w:r w:rsidR="008B4FDB" w:rsidRPr="00115A34">
        <w:rPr>
          <w:sz w:val="22"/>
          <w:szCs w:val="22"/>
          <w:lang w:val="fr-FR"/>
        </w:rPr>
        <w:t xml:space="preserve">AEWA. </w:t>
      </w:r>
      <w:r w:rsidR="00DC0F21">
        <w:rPr>
          <w:sz w:val="22"/>
          <w:szCs w:val="22"/>
          <w:lang w:val="fr-FR"/>
        </w:rPr>
        <w:t>À ce jour</w:t>
      </w:r>
      <w:r w:rsidR="007722E8" w:rsidRPr="00115A34">
        <w:rPr>
          <w:sz w:val="22"/>
          <w:szCs w:val="22"/>
          <w:lang w:val="fr-FR"/>
        </w:rPr>
        <w:t xml:space="preserve">, </w:t>
      </w:r>
      <w:r w:rsidR="00DC0F21">
        <w:rPr>
          <w:sz w:val="22"/>
          <w:szCs w:val="22"/>
          <w:lang w:val="fr-FR"/>
        </w:rPr>
        <w:t xml:space="preserve">deux </w:t>
      </w:r>
      <w:r w:rsidR="007722E8" w:rsidRPr="00115A34">
        <w:rPr>
          <w:sz w:val="22"/>
          <w:szCs w:val="22"/>
          <w:lang w:val="fr-FR"/>
        </w:rPr>
        <w:t>R</w:t>
      </w:r>
      <w:r w:rsidR="00DC0F21">
        <w:rPr>
          <w:sz w:val="22"/>
          <w:szCs w:val="22"/>
          <w:lang w:val="fr-FR"/>
        </w:rPr>
        <w:t>é</w:t>
      </w:r>
      <w:r w:rsidR="007722E8" w:rsidRPr="00115A34">
        <w:rPr>
          <w:sz w:val="22"/>
          <w:szCs w:val="22"/>
          <w:lang w:val="fr-FR"/>
        </w:rPr>
        <w:t xml:space="preserve">solutions </w:t>
      </w:r>
      <w:r w:rsidR="00DC0F21">
        <w:rPr>
          <w:sz w:val="22"/>
          <w:szCs w:val="22"/>
          <w:lang w:val="fr-FR"/>
        </w:rPr>
        <w:t xml:space="preserve">de la MOP se sont concentrées spécifiquement sur les oiseaux </w:t>
      </w:r>
      <w:r w:rsidR="008B679F">
        <w:rPr>
          <w:sz w:val="22"/>
          <w:szCs w:val="22"/>
          <w:lang w:val="fr-FR"/>
        </w:rPr>
        <w:t>marins</w:t>
      </w:r>
      <w:r w:rsidR="00DC0F21">
        <w:rPr>
          <w:sz w:val="22"/>
          <w:szCs w:val="22"/>
          <w:lang w:val="fr-FR"/>
        </w:rPr>
        <w:t> </w:t>
      </w:r>
      <w:r w:rsidR="00334B34" w:rsidRPr="00115A34">
        <w:rPr>
          <w:sz w:val="22"/>
          <w:szCs w:val="22"/>
          <w:lang w:val="fr-FR"/>
        </w:rPr>
        <w:t>:</w:t>
      </w:r>
    </w:p>
    <w:p w14:paraId="1BA9CF48" w14:textId="77777777" w:rsidR="00334B34" w:rsidRPr="00115A34" w:rsidRDefault="00334B34" w:rsidP="00E1163B">
      <w:pPr>
        <w:spacing w:after="20"/>
        <w:jc w:val="both"/>
        <w:rPr>
          <w:sz w:val="10"/>
          <w:szCs w:val="10"/>
          <w:lang w:val="fr-FR"/>
        </w:rPr>
      </w:pPr>
    </w:p>
    <w:p w14:paraId="5C81CDA1" w14:textId="5A02F996" w:rsidR="00334B34" w:rsidRPr="00115A34" w:rsidRDefault="00334B34" w:rsidP="00E1163B">
      <w:pPr>
        <w:pStyle w:val="ListParagraph"/>
        <w:numPr>
          <w:ilvl w:val="0"/>
          <w:numId w:val="36"/>
        </w:numPr>
        <w:spacing w:after="20"/>
        <w:jc w:val="both"/>
        <w:rPr>
          <w:sz w:val="20"/>
          <w:szCs w:val="20"/>
          <w:lang w:val="fr-FR"/>
        </w:rPr>
      </w:pPr>
      <w:r w:rsidRPr="00115A34">
        <w:rPr>
          <w:sz w:val="20"/>
          <w:szCs w:val="20"/>
          <w:lang w:val="fr-FR"/>
        </w:rPr>
        <w:t>R</w:t>
      </w:r>
      <w:r w:rsidR="00DC0F21">
        <w:rPr>
          <w:sz w:val="20"/>
          <w:szCs w:val="20"/>
          <w:lang w:val="fr-FR"/>
        </w:rPr>
        <w:t>é</w:t>
      </w:r>
      <w:r w:rsidRPr="00115A34">
        <w:rPr>
          <w:sz w:val="20"/>
          <w:szCs w:val="20"/>
          <w:lang w:val="fr-FR"/>
        </w:rPr>
        <w:t xml:space="preserve">solution 6.9 (2015) </w:t>
      </w:r>
      <w:r w:rsidR="00DC0F21">
        <w:rPr>
          <w:sz w:val="20"/>
          <w:szCs w:val="20"/>
          <w:lang w:val="fr-FR"/>
        </w:rPr>
        <w:t>« Améliorer l’état de</w:t>
      </w:r>
      <w:r w:rsidRPr="00115A34">
        <w:rPr>
          <w:sz w:val="20"/>
          <w:szCs w:val="20"/>
          <w:lang w:val="fr-FR"/>
        </w:rPr>
        <w:t xml:space="preserve"> conservation </w:t>
      </w:r>
      <w:r w:rsidR="008B679F">
        <w:rPr>
          <w:sz w:val="20"/>
          <w:szCs w:val="20"/>
          <w:lang w:val="fr-FR"/>
        </w:rPr>
        <w:t>des oiseaux marins d’Afrique-Eurasie »</w:t>
      </w:r>
      <w:r w:rsidRPr="00115A34">
        <w:rPr>
          <w:sz w:val="20"/>
          <w:szCs w:val="20"/>
          <w:lang w:val="fr-FR"/>
        </w:rPr>
        <w:t xml:space="preserve"> - </w:t>
      </w:r>
      <w:hyperlink r:id="rId15" w:history="1">
        <w:r w:rsidRPr="00115A34">
          <w:rPr>
            <w:rStyle w:val="Hyperlink"/>
            <w:sz w:val="20"/>
            <w:szCs w:val="20"/>
            <w:lang w:val="fr-FR"/>
          </w:rPr>
          <w:t>https://www.unep-aewa.org/en/document/improving-conservation-status-african-eurasian-seabirds-3</w:t>
        </w:r>
      </w:hyperlink>
      <w:r w:rsidRPr="00115A34">
        <w:rPr>
          <w:sz w:val="20"/>
          <w:szCs w:val="20"/>
          <w:lang w:val="fr-FR"/>
        </w:rPr>
        <w:t xml:space="preserve"> ;</w:t>
      </w:r>
    </w:p>
    <w:p w14:paraId="61A82423" w14:textId="77777777" w:rsidR="00334B34" w:rsidRPr="00115A34" w:rsidRDefault="00334B34" w:rsidP="00E1163B">
      <w:pPr>
        <w:spacing w:after="20"/>
        <w:jc w:val="both"/>
        <w:rPr>
          <w:sz w:val="10"/>
          <w:szCs w:val="10"/>
          <w:lang w:val="fr-FR"/>
        </w:rPr>
      </w:pPr>
    </w:p>
    <w:p w14:paraId="7ABA7679" w14:textId="527FEEFB" w:rsidR="00334B34" w:rsidRPr="00115A34" w:rsidRDefault="00334B34" w:rsidP="00E1163B">
      <w:pPr>
        <w:pStyle w:val="ListParagraph"/>
        <w:numPr>
          <w:ilvl w:val="0"/>
          <w:numId w:val="36"/>
        </w:numPr>
        <w:spacing w:after="20"/>
        <w:jc w:val="both"/>
        <w:rPr>
          <w:sz w:val="20"/>
          <w:szCs w:val="20"/>
          <w:lang w:val="fr-FR"/>
        </w:rPr>
      </w:pPr>
      <w:r w:rsidRPr="00115A34">
        <w:rPr>
          <w:sz w:val="20"/>
          <w:szCs w:val="20"/>
          <w:lang w:val="fr-FR"/>
        </w:rPr>
        <w:t>R</w:t>
      </w:r>
      <w:r w:rsidR="008B679F">
        <w:rPr>
          <w:sz w:val="20"/>
          <w:szCs w:val="20"/>
          <w:lang w:val="fr-FR"/>
        </w:rPr>
        <w:t>é</w:t>
      </w:r>
      <w:r w:rsidRPr="00115A34">
        <w:rPr>
          <w:sz w:val="20"/>
          <w:szCs w:val="20"/>
          <w:lang w:val="fr-FR"/>
        </w:rPr>
        <w:t xml:space="preserve">solution 7.6 (2018) </w:t>
      </w:r>
      <w:r w:rsidR="008B679F">
        <w:rPr>
          <w:sz w:val="20"/>
          <w:szCs w:val="20"/>
          <w:lang w:val="fr-FR"/>
        </w:rPr>
        <w:t>« </w:t>
      </w:r>
      <w:r w:rsidRPr="00115A34">
        <w:rPr>
          <w:sz w:val="20"/>
          <w:szCs w:val="20"/>
          <w:lang w:val="fr-FR"/>
        </w:rPr>
        <w:t>Priorit</w:t>
      </w:r>
      <w:r w:rsidR="008B679F">
        <w:rPr>
          <w:sz w:val="20"/>
          <w:szCs w:val="20"/>
          <w:lang w:val="fr-FR"/>
        </w:rPr>
        <w:t>és pour la</w:t>
      </w:r>
      <w:r w:rsidRPr="00115A34">
        <w:rPr>
          <w:sz w:val="20"/>
          <w:szCs w:val="20"/>
          <w:lang w:val="fr-FR"/>
        </w:rPr>
        <w:t xml:space="preserve"> conservation </w:t>
      </w:r>
      <w:r w:rsidR="008B679F">
        <w:rPr>
          <w:sz w:val="20"/>
          <w:szCs w:val="20"/>
          <w:lang w:val="fr-FR"/>
        </w:rPr>
        <w:t>des oiseaux marins empruntant les voies de migration d’Afrique-Eurasie »</w:t>
      </w:r>
      <w:r w:rsidRPr="00115A34">
        <w:rPr>
          <w:sz w:val="20"/>
          <w:szCs w:val="20"/>
          <w:lang w:val="fr-FR"/>
        </w:rPr>
        <w:t xml:space="preserve"> - </w:t>
      </w:r>
      <w:hyperlink r:id="rId16" w:history="1">
        <w:r w:rsidRPr="00115A34">
          <w:rPr>
            <w:rStyle w:val="Hyperlink"/>
            <w:sz w:val="20"/>
            <w:szCs w:val="20"/>
            <w:lang w:val="fr-FR"/>
          </w:rPr>
          <w:t>https://www.unep-aewa.org/en/document/priorities-conservation-seabirds-african-eurasian-flyways-1</w:t>
        </w:r>
      </w:hyperlink>
      <w:r w:rsidRPr="00115A34">
        <w:rPr>
          <w:sz w:val="20"/>
          <w:szCs w:val="20"/>
          <w:lang w:val="fr-FR"/>
        </w:rPr>
        <w:t xml:space="preserve"> .</w:t>
      </w:r>
    </w:p>
    <w:p w14:paraId="31CAF1CF" w14:textId="77777777" w:rsidR="00334B34" w:rsidRPr="00115A34" w:rsidRDefault="00334B34" w:rsidP="00E1163B">
      <w:pPr>
        <w:spacing w:after="20"/>
        <w:jc w:val="both"/>
        <w:rPr>
          <w:sz w:val="22"/>
          <w:szCs w:val="22"/>
          <w:lang w:val="fr-FR"/>
        </w:rPr>
      </w:pPr>
    </w:p>
    <w:p w14:paraId="4AF11561" w14:textId="3387B40E" w:rsidR="00540F41" w:rsidRPr="00115A34" w:rsidRDefault="008B679F" w:rsidP="00E1163B">
      <w:pPr>
        <w:spacing w:after="2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Les processus/plateformes multilatéraux identifiés comme pouvant fournir </w:t>
      </w:r>
      <w:r w:rsidR="00544CEA">
        <w:rPr>
          <w:sz w:val="22"/>
          <w:szCs w:val="22"/>
          <w:lang w:val="fr-FR"/>
        </w:rPr>
        <w:t xml:space="preserve">des opportunités </w:t>
      </w:r>
      <w:r>
        <w:rPr>
          <w:sz w:val="22"/>
          <w:szCs w:val="22"/>
          <w:lang w:val="fr-FR"/>
        </w:rPr>
        <w:t>pour exercer de l’influence sur les menaces représentées par les prises accessoires de la pêche</w:t>
      </w:r>
      <w:r w:rsidR="007722E8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sont récapitulés dans le tableau ci-dessous</w:t>
      </w:r>
      <w:r w:rsidR="007722E8" w:rsidRPr="00115A34">
        <w:rPr>
          <w:sz w:val="22"/>
          <w:szCs w:val="22"/>
          <w:lang w:val="fr-FR"/>
        </w:rPr>
        <w:t>.</w:t>
      </w:r>
      <w:r w:rsidR="00540F41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La</w:t>
      </w:r>
      <w:r w:rsidR="00540F41" w:rsidRPr="00115A34">
        <w:rPr>
          <w:sz w:val="22"/>
          <w:szCs w:val="22"/>
          <w:lang w:val="fr-FR"/>
        </w:rPr>
        <w:t xml:space="preserve"> R</w:t>
      </w:r>
      <w:r>
        <w:rPr>
          <w:sz w:val="22"/>
          <w:szCs w:val="22"/>
          <w:lang w:val="fr-FR"/>
        </w:rPr>
        <w:t>é</w:t>
      </w:r>
      <w:r w:rsidR="00540F41" w:rsidRPr="00115A34">
        <w:rPr>
          <w:sz w:val="22"/>
          <w:szCs w:val="22"/>
          <w:lang w:val="fr-FR"/>
        </w:rPr>
        <w:t xml:space="preserve">solution 6.9 </w:t>
      </w:r>
      <w:r>
        <w:rPr>
          <w:sz w:val="22"/>
          <w:szCs w:val="22"/>
          <w:lang w:val="fr-FR"/>
        </w:rPr>
        <w:t>fait remarquer que l’</w:t>
      </w:r>
      <w:r w:rsidR="00540F41" w:rsidRPr="00115A34">
        <w:rPr>
          <w:sz w:val="22"/>
          <w:szCs w:val="22"/>
          <w:lang w:val="fr-FR"/>
        </w:rPr>
        <w:t>AEWA</w:t>
      </w:r>
      <w:r>
        <w:rPr>
          <w:sz w:val="22"/>
          <w:szCs w:val="22"/>
          <w:lang w:val="fr-FR"/>
        </w:rPr>
        <w:t xml:space="preserve"> devrait accorder la priorité </w:t>
      </w:r>
      <w:r w:rsidR="00812F0B">
        <w:rPr>
          <w:sz w:val="22"/>
          <w:szCs w:val="22"/>
          <w:lang w:val="fr-FR"/>
        </w:rPr>
        <w:t>aux espèces, régions ou menaces qui ne font pas encore l’objet de cadres pertinents</w:t>
      </w:r>
      <w:r w:rsidR="00540F41" w:rsidRPr="00115A34">
        <w:rPr>
          <w:sz w:val="22"/>
          <w:szCs w:val="22"/>
          <w:lang w:val="fr-FR"/>
        </w:rPr>
        <w:t xml:space="preserve">, </w:t>
      </w:r>
      <w:r w:rsidR="00812F0B">
        <w:rPr>
          <w:sz w:val="22"/>
          <w:szCs w:val="22"/>
          <w:lang w:val="fr-FR"/>
        </w:rPr>
        <w:t>comme les oiseaux marins tropicaux</w:t>
      </w:r>
      <w:r w:rsidR="00540F41" w:rsidRPr="00115A34">
        <w:rPr>
          <w:sz w:val="22"/>
          <w:szCs w:val="22"/>
          <w:lang w:val="fr-FR"/>
        </w:rPr>
        <w:t xml:space="preserve"> o</w:t>
      </w:r>
      <w:r w:rsidR="00812F0B">
        <w:rPr>
          <w:sz w:val="22"/>
          <w:szCs w:val="22"/>
          <w:lang w:val="fr-FR"/>
        </w:rPr>
        <w:t>u les oiseaux impactés par des pêcheries à petite échelle ou artisanales, qui ne sont pas rég</w:t>
      </w:r>
      <w:r w:rsidR="00A647DD">
        <w:rPr>
          <w:sz w:val="22"/>
          <w:szCs w:val="22"/>
          <w:lang w:val="fr-FR"/>
        </w:rPr>
        <w:t>lementées</w:t>
      </w:r>
      <w:r w:rsidR="00812F0B">
        <w:rPr>
          <w:sz w:val="22"/>
          <w:szCs w:val="22"/>
          <w:lang w:val="fr-FR"/>
        </w:rPr>
        <w:t xml:space="preserve"> par des</w:t>
      </w:r>
      <w:r w:rsidR="00540F41" w:rsidRPr="00115A34">
        <w:rPr>
          <w:sz w:val="22"/>
          <w:szCs w:val="22"/>
          <w:lang w:val="fr-FR"/>
        </w:rPr>
        <w:t xml:space="preserve"> </w:t>
      </w:r>
      <w:r w:rsidR="00846337">
        <w:rPr>
          <w:sz w:val="22"/>
          <w:szCs w:val="22"/>
          <w:lang w:val="fr-FR"/>
        </w:rPr>
        <w:t>ORGP</w:t>
      </w:r>
      <w:r w:rsidR="00540F41" w:rsidRPr="00115A34">
        <w:rPr>
          <w:sz w:val="22"/>
          <w:szCs w:val="22"/>
          <w:lang w:val="fr-FR"/>
        </w:rPr>
        <w:t xml:space="preserve">. </w:t>
      </w:r>
      <w:r w:rsidR="00812F0B">
        <w:rPr>
          <w:sz w:val="22"/>
          <w:szCs w:val="22"/>
          <w:lang w:val="fr-FR"/>
        </w:rPr>
        <w:t>La</w:t>
      </w:r>
      <w:r w:rsidR="00540F41" w:rsidRPr="00115A34">
        <w:rPr>
          <w:sz w:val="22"/>
          <w:szCs w:val="22"/>
          <w:lang w:val="fr-FR"/>
        </w:rPr>
        <w:t xml:space="preserve"> R</w:t>
      </w:r>
      <w:r w:rsidR="00812F0B">
        <w:rPr>
          <w:sz w:val="22"/>
          <w:szCs w:val="22"/>
          <w:lang w:val="fr-FR"/>
        </w:rPr>
        <w:t>é</w:t>
      </w:r>
      <w:r w:rsidR="00540F41" w:rsidRPr="00115A34">
        <w:rPr>
          <w:sz w:val="22"/>
          <w:szCs w:val="22"/>
          <w:lang w:val="fr-FR"/>
        </w:rPr>
        <w:t xml:space="preserve">solution </w:t>
      </w:r>
      <w:r w:rsidR="00812F0B">
        <w:rPr>
          <w:sz w:val="22"/>
          <w:szCs w:val="22"/>
          <w:lang w:val="fr-FR"/>
        </w:rPr>
        <w:t>demande au Comité technique de l’</w:t>
      </w:r>
      <w:r w:rsidR="00540F41" w:rsidRPr="00115A34">
        <w:rPr>
          <w:sz w:val="22"/>
          <w:szCs w:val="22"/>
          <w:lang w:val="fr-FR"/>
        </w:rPr>
        <w:t xml:space="preserve">AEWA </w:t>
      </w:r>
      <w:r w:rsidR="00812F0B">
        <w:rPr>
          <w:sz w:val="22"/>
          <w:szCs w:val="22"/>
          <w:lang w:val="fr-FR"/>
        </w:rPr>
        <w:t>d’apporter ses conseils sur les priorités les plus urgentes</w:t>
      </w:r>
      <w:r w:rsidR="00540F41" w:rsidRPr="00115A34">
        <w:rPr>
          <w:sz w:val="22"/>
          <w:szCs w:val="22"/>
          <w:lang w:val="fr-FR"/>
        </w:rPr>
        <w:t>.</w:t>
      </w:r>
    </w:p>
    <w:p w14:paraId="277E0B9E" w14:textId="77777777" w:rsidR="007722E8" w:rsidRPr="00115A34" w:rsidRDefault="007722E8" w:rsidP="007722E8">
      <w:pPr>
        <w:rPr>
          <w:sz w:val="22"/>
          <w:szCs w:val="22"/>
          <w:lang w:val="fr-FR"/>
        </w:rPr>
      </w:pPr>
    </w:p>
    <w:p w14:paraId="299066B2" w14:textId="77777777" w:rsidR="007722E8" w:rsidRPr="00115A34" w:rsidRDefault="007722E8" w:rsidP="007722E8">
      <w:pPr>
        <w:rPr>
          <w:sz w:val="8"/>
          <w:szCs w:val="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722E8" w:rsidRPr="00115A34" w14:paraId="6CF24326" w14:textId="77777777" w:rsidTr="005F7185">
        <w:tc>
          <w:tcPr>
            <w:tcW w:w="3005" w:type="dxa"/>
            <w:shd w:val="clear" w:color="auto" w:fill="DEEAF6" w:themeFill="accent1" w:themeFillTint="33"/>
            <w:vAlign w:val="center"/>
          </w:tcPr>
          <w:p w14:paraId="23C07A48" w14:textId="562FF18C" w:rsidR="007722E8" w:rsidRPr="00115A34" w:rsidRDefault="00812F0B" w:rsidP="005F7185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Processus/plateforme multilatéral</w:t>
            </w:r>
            <w:r w:rsidR="00CD6B91">
              <w:rPr>
                <w:b/>
                <w:sz w:val="20"/>
                <w:szCs w:val="20"/>
                <w:lang w:val="fr-FR"/>
              </w:rPr>
              <w:t>(e)</w:t>
            </w:r>
          </w:p>
        </w:tc>
        <w:tc>
          <w:tcPr>
            <w:tcW w:w="3005" w:type="dxa"/>
            <w:shd w:val="clear" w:color="auto" w:fill="DEEAF6" w:themeFill="accent1" w:themeFillTint="33"/>
            <w:vAlign w:val="center"/>
          </w:tcPr>
          <w:p w14:paraId="2A1FD7CD" w14:textId="1A4225C7" w:rsidR="007722E8" w:rsidRPr="00115A34" w:rsidRDefault="00E65BB6" w:rsidP="005F7185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</w:t>
            </w:r>
            <w:r w:rsidR="00812F0B">
              <w:rPr>
                <w:b/>
                <w:sz w:val="20"/>
                <w:szCs w:val="20"/>
                <w:lang w:val="fr-FR"/>
              </w:rPr>
              <w:t xml:space="preserve">entionné </w:t>
            </w:r>
            <w:r>
              <w:rPr>
                <w:b/>
                <w:sz w:val="20"/>
                <w:szCs w:val="20"/>
                <w:lang w:val="fr-FR"/>
              </w:rPr>
              <w:t xml:space="preserve">où </w:t>
            </w:r>
            <w:r w:rsidR="00812F0B">
              <w:rPr>
                <w:b/>
                <w:sz w:val="20"/>
                <w:szCs w:val="20"/>
                <w:lang w:val="fr-FR"/>
              </w:rPr>
              <w:t>par l’</w:t>
            </w:r>
            <w:r w:rsidR="007722E8" w:rsidRPr="00115A34">
              <w:rPr>
                <w:b/>
                <w:sz w:val="20"/>
                <w:szCs w:val="20"/>
                <w:lang w:val="fr-FR"/>
              </w:rPr>
              <w:t>AEWA</w:t>
            </w:r>
          </w:p>
        </w:tc>
        <w:tc>
          <w:tcPr>
            <w:tcW w:w="3006" w:type="dxa"/>
            <w:shd w:val="clear" w:color="auto" w:fill="DEEAF6" w:themeFill="accent1" w:themeFillTint="33"/>
            <w:vAlign w:val="center"/>
          </w:tcPr>
          <w:p w14:paraId="22A69D6E" w14:textId="13624DA7" w:rsidR="007722E8" w:rsidRPr="00115A34" w:rsidRDefault="007722E8" w:rsidP="005F718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115A34">
              <w:rPr>
                <w:b/>
                <w:sz w:val="20"/>
                <w:szCs w:val="20"/>
                <w:lang w:val="fr-FR"/>
              </w:rPr>
              <w:t>Possib</w:t>
            </w:r>
            <w:r w:rsidR="00812F0B">
              <w:rPr>
                <w:b/>
                <w:sz w:val="20"/>
                <w:szCs w:val="20"/>
                <w:lang w:val="fr-FR"/>
              </w:rPr>
              <w:t>ilités éventuelles d’</w:t>
            </w:r>
            <w:r w:rsidRPr="00115A34">
              <w:rPr>
                <w:b/>
                <w:sz w:val="20"/>
                <w:szCs w:val="20"/>
                <w:lang w:val="fr-FR"/>
              </w:rPr>
              <w:t>influence</w:t>
            </w:r>
          </w:p>
        </w:tc>
      </w:tr>
      <w:tr w:rsidR="007722E8" w:rsidRPr="00326B2D" w14:paraId="1892B341" w14:textId="77777777" w:rsidTr="005F7185">
        <w:tc>
          <w:tcPr>
            <w:tcW w:w="9016" w:type="dxa"/>
            <w:gridSpan w:val="3"/>
            <w:shd w:val="clear" w:color="auto" w:fill="D9D9D9" w:themeFill="background1" w:themeFillShade="D9"/>
          </w:tcPr>
          <w:p w14:paraId="2506FFDE" w14:textId="75503960" w:rsidR="007722E8" w:rsidRPr="00115A34" w:rsidRDefault="007722E8" w:rsidP="005F7185">
            <w:pPr>
              <w:spacing w:before="20" w:after="20"/>
              <w:rPr>
                <w:b/>
                <w:i/>
                <w:color w:val="000066"/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Convention </w:t>
            </w:r>
            <w:r w:rsidR="00812F0B">
              <w:rPr>
                <w:b/>
                <w:i/>
                <w:color w:val="000066"/>
                <w:sz w:val="19"/>
                <w:szCs w:val="19"/>
                <w:lang w:val="fr-FR"/>
              </w:rPr>
              <w:t>sur les espèces migratrices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(CMS)</w:t>
            </w:r>
          </w:p>
        </w:tc>
      </w:tr>
      <w:tr w:rsidR="007722E8" w:rsidRPr="00326B2D" w14:paraId="76BDB8C9" w14:textId="77777777" w:rsidTr="005F7185">
        <w:tc>
          <w:tcPr>
            <w:tcW w:w="3005" w:type="dxa"/>
          </w:tcPr>
          <w:p w14:paraId="4EF382A7" w14:textId="13ACCDE1" w:rsidR="007722E8" w:rsidRPr="00115A34" w:rsidRDefault="007722E8" w:rsidP="005F7185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R</w:t>
            </w:r>
            <w:r w:rsidR="00812F0B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solution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10.14 </w:t>
            </w:r>
            <w:r w:rsidR="00812F0B">
              <w:rPr>
                <w:color w:val="000000"/>
                <w:sz w:val="19"/>
                <w:szCs w:val="19"/>
                <w:lang w:val="fr-FR"/>
              </w:rPr>
              <w:t xml:space="preserve">de la COP de la CMS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(2011) </w:t>
            </w:r>
            <w:r w:rsidR="00812F0B">
              <w:rPr>
                <w:color w:val="000000"/>
                <w:sz w:val="19"/>
                <w:szCs w:val="19"/>
                <w:lang w:val="fr-FR"/>
              </w:rPr>
              <w:t>sur les prises accessoires</w:t>
            </w:r>
            <w:r w:rsidR="00106AAE">
              <w:rPr>
                <w:color w:val="000000"/>
                <w:sz w:val="19"/>
                <w:szCs w:val="19"/>
                <w:lang w:val="fr-FR"/>
              </w:rPr>
              <w:t xml:space="preserve"> des espèces </w:t>
            </w:r>
            <w:r w:rsidR="005B7E9F">
              <w:rPr>
                <w:color w:val="000000"/>
                <w:sz w:val="19"/>
                <w:szCs w:val="19"/>
                <w:lang w:val="fr-FR"/>
              </w:rPr>
              <w:t>couvertes par</w:t>
            </w:r>
            <w:r w:rsidR="00106AAE">
              <w:rPr>
                <w:color w:val="000000"/>
                <w:sz w:val="19"/>
                <w:szCs w:val="19"/>
                <w:lang w:val="fr-FR"/>
              </w:rPr>
              <w:t xml:space="preserve"> la CMS,</w:t>
            </w:r>
            <w:r w:rsidR="005B7E9F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106AAE">
              <w:rPr>
                <w:color w:val="000000"/>
                <w:sz w:val="19"/>
                <w:szCs w:val="19"/>
                <w:lang w:val="fr-FR"/>
              </w:rPr>
              <w:t>dans la pêche au filet maillant</w:t>
            </w:r>
          </w:p>
        </w:tc>
        <w:tc>
          <w:tcPr>
            <w:tcW w:w="3005" w:type="dxa"/>
          </w:tcPr>
          <w:p w14:paraId="6EE829CA" w14:textId="380D2BFB" w:rsidR="007722E8" w:rsidRPr="00115A34" w:rsidRDefault="00106AAE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 en préambule de la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R</w:t>
            </w:r>
            <w:r>
              <w:rPr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solution </w:t>
            </w:r>
            <w:r>
              <w:rPr>
                <w:sz w:val="19"/>
                <w:szCs w:val="19"/>
                <w:lang w:val="fr-FR"/>
              </w:rPr>
              <w:t>MOP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6.9 (2015) </w:t>
            </w:r>
            <w:r>
              <w:rPr>
                <w:sz w:val="19"/>
                <w:szCs w:val="19"/>
                <w:lang w:val="fr-FR"/>
              </w:rPr>
              <w:t>« Améliorer l’état de conservation des oiseaux marins d’Afrique-Eurasie »</w:t>
            </w:r>
          </w:p>
        </w:tc>
        <w:tc>
          <w:tcPr>
            <w:tcW w:w="3006" w:type="dxa"/>
          </w:tcPr>
          <w:p w14:paraId="6EBB02F5" w14:textId="0AD18193" w:rsidR="005B5A46" w:rsidRPr="00115A34" w:rsidRDefault="00106AAE" w:rsidP="005B5A46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Les</w:t>
            </w:r>
            <w:r w:rsidR="005B5A46" w:rsidRPr="00115A34">
              <w:rPr>
                <w:sz w:val="19"/>
                <w:szCs w:val="19"/>
                <w:lang w:val="fr-FR"/>
              </w:rPr>
              <w:t xml:space="preserve"> Parties </w:t>
            </w:r>
            <w:r>
              <w:rPr>
                <w:sz w:val="19"/>
                <w:szCs w:val="19"/>
                <w:lang w:val="fr-FR"/>
              </w:rPr>
              <w:t>à la CMS rendent compte de leurs actions par le biais de rapports nationaux</w:t>
            </w:r>
            <w:r w:rsidR="005B5A46" w:rsidRPr="00115A34">
              <w:rPr>
                <w:sz w:val="19"/>
                <w:szCs w:val="19"/>
                <w:lang w:val="fr-FR"/>
              </w:rPr>
              <w:t>.</w:t>
            </w:r>
          </w:p>
          <w:p w14:paraId="5B982484" w14:textId="1F46F72E" w:rsidR="007722E8" w:rsidRPr="00115A34" w:rsidRDefault="003B3468" w:rsidP="005B5A46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Suivi de la prise en compte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106AAE">
              <w:rPr>
                <w:sz w:val="19"/>
                <w:szCs w:val="19"/>
                <w:lang w:val="fr-FR"/>
              </w:rPr>
              <w:t>lors des futures COP de la</w:t>
            </w:r>
            <w:r w:rsidR="005B5A46" w:rsidRPr="00115A34">
              <w:rPr>
                <w:sz w:val="19"/>
                <w:szCs w:val="19"/>
                <w:lang w:val="fr-FR"/>
              </w:rPr>
              <w:t xml:space="preserve"> CMS.</w:t>
            </w:r>
          </w:p>
        </w:tc>
      </w:tr>
      <w:tr w:rsidR="007722E8" w:rsidRPr="00326B2D" w14:paraId="71E8E11E" w14:textId="77777777" w:rsidTr="005F7185">
        <w:tc>
          <w:tcPr>
            <w:tcW w:w="3005" w:type="dxa"/>
          </w:tcPr>
          <w:p w14:paraId="6766F93E" w14:textId="0BE2F11D" w:rsidR="007722E8" w:rsidRPr="00115A34" w:rsidRDefault="007722E8" w:rsidP="005F7185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R</w:t>
            </w:r>
            <w:r w:rsidR="00106AAE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solution 12.22 </w:t>
            </w:r>
            <w:r w:rsidR="00106AAE">
              <w:rPr>
                <w:sz w:val="19"/>
                <w:szCs w:val="19"/>
                <w:lang w:val="fr-FR"/>
              </w:rPr>
              <w:t xml:space="preserve">de la COP de la CMS </w:t>
            </w:r>
            <w:r w:rsidRPr="00115A34">
              <w:rPr>
                <w:sz w:val="19"/>
                <w:szCs w:val="19"/>
                <w:lang w:val="fr-FR"/>
              </w:rPr>
              <w:t xml:space="preserve">(2017) </w:t>
            </w:r>
            <w:r w:rsidR="005B7E9F">
              <w:rPr>
                <w:sz w:val="19"/>
                <w:szCs w:val="19"/>
                <w:lang w:val="fr-FR"/>
              </w:rPr>
              <w:t>sur les prises accessoires d’espèces couvertes par la CMS</w:t>
            </w:r>
          </w:p>
        </w:tc>
        <w:tc>
          <w:tcPr>
            <w:tcW w:w="3005" w:type="dxa"/>
          </w:tcPr>
          <w:p w14:paraId="7474B409" w14:textId="2BCD0A63" w:rsidR="007722E8" w:rsidRPr="00115A34" w:rsidRDefault="005B7E9F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Mentionné en </w:t>
            </w:r>
            <w:r w:rsidR="007722E8" w:rsidRPr="00115A34">
              <w:rPr>
                <w:sz w:val="19"/>
                <w:szCs w:val="19"/>
                <w:lang w:val="fr-FR"/>
              </w:rPr>
              <w:t>pr</w:t>
            </w:r>
            <w:r>
              <w:rPr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sz w:val="19"/>
                <w:szCs w:val="19"/>
                <w:lang w:val="fr-FR"/>
              </w:rPr>
              <w:t>amb</w:t>
            </w:r>
            <w:r>
              <w:rPr>
                <w:sz w:val="19"/>
                <w:szCs w:val="19"/>
                <w:lang w:val="fr-FR"/>
              </w:rPr>
              <w:t>u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le </w:t>
            </w:r>
            <w:r>
              <w:rPr>
                <w:sz w:val="19"/>
                <w:szCs w:val="19"/>
                <w:lang w:val="fr-FR"/>
              </w:rPr>
              <w:t>de la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R</w:t>
            </w:r>
            <w:r>
              <w:rPr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solution </w:t>
            </w:r>
            <w:r>
              <w:rPr>
                <w:sz w:val="19"/>
                <w:szCs w:val="19"/>
                <w:lang w:val="fr-FR"/>
              </w:rPr>
              <w:t>MOP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7.6 (2018) </w:t>
            </w:r>
            <w:r>
              <w:rPr>
                <w:sz w:val="19"/>
                <w:szCs w:val="19"/>
                <w:lang w:val="fr-FR"/>
              </w:rPr>
              <w:t>« Priorités pour la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conservation </w:t>
            </w:r>
            <w:r>
              <w:rPr>
                <w:sz w:val="19"/>
                <w:szCs w:val="19"/>
                <w:lang w:val="fr-FR"/>
              </w:rPr>
              <w:t>des oiseaux marins empruntant les voies de migration d’Afrique-Eurasie »</w:t>
            </w:r>
          </w:p>
        </w:tc>
        <w:tc>
          <w:tcPr>
            <w:tcW w:w="3006" w:type="dxa"/>
          </w:tcPr>
          <w:p w14:paraId="3071DF0F" w14:textId="77777777" w:rsidR="005B7E9F" w:rsidRPr="00115A34" w:rsidRDefault="005B7E9F" w:rsidP="005B7E9F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Les</w:t>
            </w:r>
            <w:r w:rsidRPr="00115A34">
              <w:rPr>
                <w:sz w:val="19"/>
                <w:szCs w:val="19"/>
                <w:lang w:val="fr-FR"/>
              </w:rPr>
              <w:t xml:space="preserve"> Parties </w:t>
            </w:r>
            <w:r>
              <w:rPr>
                <w:sz w:val="19"/>
                <w:szCs w:val="19"/>
                <w:lang w:val="fr-FR"/>
              </w:rPr>
              <w:t>à la CMS rendent compte de leurs actions par le biais de rapports nationaux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  <w:p w14:paraId="3C2BA86B" w14:textId="0AEDFF6E" w:rsidR="007722E8" w:rsidRPr="00115A34" w:rsidRDefault="003B3468" w:rsidP="005B7E9F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Suivi de la prise en compte</w:t>
            </w:r>
            <w:r w:rsidR="005B7E9F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 xml:space="preserve">lors </w:t>
            </w:r>
            <w:r w:rsidR="005B7E9F">
              <w:rPr>
                <w:sz w:val="19"/>
                <w:szCs w:val="19"/>
                <w:lang w:val="fr-FR"/>
              </w:rPr>
              <w:t>des futures COP de la</w:t>
            </w:r>
            <w:r w:rsidR="005B7E9F" w:rsidRPr="00115A34">
              <w:rPr>
                <w:sz w:val="19"/>
                <w:szCs w:val="19"/>
                <w:lang w:val="fr-FR"/>
              </w:rPr>
              <w:t xml:space="preserve"> CMS.</w:t>
            </w:r>
          </w:p>
        </w:tc>
      </w:tr>
      <w:tr w:rsidR="00882F12" w:rsidRPr="007D1931" w14:paraId="361E5976" w14:textId="77777777" w:rsidTr="005F7185">
        <w:tc>
          <w:tcPr>
            <w:tcW w:w="3005" w:type="dxa"/>
          </w:tcPr>
          <w:p w14:paraId="111367B9" w14:textId="10446E6E" w:rsidR="00882F12" w:rsidRPr="00115A34" w:rsidRDefault="005B7E9F" w:rsidP="005F7185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Plan d’action i</w:t>
            </w:r>
            <w:r w:rsidR="00882F12" w:rsidRPr="00115A34">
              <w:rPr>
                <w:color w:val="000000"/>
                <w:sz w:val="19"/>
                <w:szCs w:val="19"/>
                <w:lang w:val="fr-FR"/>
              </w:rPr>
              <w:t>nternational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 pour la</w:t>
            </w:r>
            <w:r w:rsidR="00882F12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c</w:t>
            </w:r>
            <w:r w:rsidR="00882F12" w:rsidRPr="00115A34">
              <w:rPr>
                <w:color w:val="000000"/>
                <w:sz w:val="19"/>
                <w:szCs w:val="19"/>
                <w:lang w:val="fr-FR"/>
              </w:rPr>
              <w:t xml:space="preserve">onservation </w:t>
            </w:r>
            <w:r>
              <w:rPr>
                <w:color w:val="000000"/>
                <w:sz w:val="19"/>
                <w:szCs w:val="19"/>
                <w:lang w:val="fr-FR"/>
              </w:rPr>
              <w:t>de l’Érismature à tête blanche</w:t>
            </w:r>
            <w:r w:rsidR="00882F12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882F12" w:rsidRPr="00115A34">
              <w:rPr>
                <w:i/>
                <w:color w:val="000000"/>
                <w:sz w:val="19"/>
                <w:szCs w:val="19"/>
                <w:lang w:val="fr-FR"/>
              </w:rPr>
              <w:t>Oxyura leucocephala</w:t>
            </w:r>
            <w:r w:rsidR="00882F12" w:rsidRPr="00115A34">
              <w:rPr>
                <w:color w:val="000000"/>
                <w:sz w:val="19"/>
                <w:szCs w:val="19"/>
                <w:lang w:val="fr-FR"/>
              </w:rPr>
              <w:t xml:space="preserve"> – </w:t>
            </w:r>
            <w:r w:rsidR="00FA763A">
              <w:rPr>
                <w:color w:val="000000"/>
                <w:sz w:val="19"/>
                <w:szCs w:val="19"/>
                <w:lang w:val="fr-FR"/>
              </w:rPr>
              <w:t xml:space="preserve">les </w:t>
            </w:r>
            <w:r w:rsidR="00882F12" w:rsidRPr="00115A34">
              <w:rPr>
                <w:color w:val="000000"/>
                <w:sz w:val="19"/>
                <w:szCs w:val="19"/>
                <w:lang w:val="fr-FR"/>
              </w:rPr>
              <w:t>activit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="00882F12" w:rsidRPr="00115A34">
              <w:rPr>
                <w:color w:val="000000"/>
                <w:sz w:val="19"/>
                <w:szCs w:val="19"/>
                <w:lang w:val="fr-FR"/>
              </w:rPr>
              <w:t xml:space="preserve">s 2.3, 2.6, 2.7 </w:t>
            </w:r>
            <w:r>
              <w:rPr>
                <w:color w:val="000000"/>
                <w:sz w:val="19"/>
                <w:szCs w:val="19"/>
                <w:lang w:val="fr-FR"/>
              </w:rPr>
              <w:t>et</w:t>
            </w:r>
            <w:r w:rsidR="00882F12" w:rsidRPr="00115A34">
              <w:rPr>
                <w:color w:val="000000"/>
                <w:sz w:val="19"/>
                <w:szCs w:val="19"/>
                <w:lang w:val="fr-FR"/>
              </w:rPr>
              <w:t xml:space="preserve"> 5.8 </w:t>
            </w:r>
            <w:r>
              <w:rPr>
                <w:color w:val="000000"/>
                <w:sz w:val="19"/>
                <w:szCs w:val="19"/>
                <w:lang w:val="fr-FR"/>
              </w:rPr>
              <w:t>traitent de la menace des prises accessoires dans les filets de pêche</w:t>
            </w:r>
          </w:p>
        </w:tc>
        <w:tc>
          <w:tcPr>
            <w:tcW w:w="3005" w:type="dxa"/>
          </w:tcPr>
          <w:p w14:paraId="307ED164" w14:textId="7C5953A1" w:rsidR="00882F12" w:rsidRPr="00115A34" w:rsidRDefault="005B7E9F" w:rsidP="00EE63D7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L’</w:t>
            </w:r>
            <w:r w:rsidR="00882F12" w:rsidRPr="00115A34">
              <w:rPr>
                <w:color w:val="000000"/>
                <w:sz w:val="19"/>
                <w:szCs w:val="19"/>
                <w:lang w:val="fr-FR"/>
              </w:rPr>
              <w:t xml:space="preserve">AEWA </w:t>
            </w:r>
            <w:r>
              <w:rPr>
                <w:color w:val="000000"/>
                <w:sz w:val="19"/>
                <w:szCs w:val="19"/>
                <w:lang w:val="fr-FR"/>
              </w:rPr>
              <w:t>est coéditeur du Plan d’action</w:t>
            </w:r>
            <w:r w:rsidR="00882F12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E16C1B" w:rsidRPr="00115A34">
              <w:rPr>
                <w:color w:val="000000"/>
                <w:sz w:val="19"/>
                <w:szCs w:val="19"/>
                <w:lang w:val="fr-FR"/>
              </w:rPr>
              <w:t>(</w:t>
            </w:r>
            <w:r w:rsidR="00FA763A">
              <w:rPr>
                <w:color w:val="000000"/>
                <w:sz w:val="19"/>
                <w:szCs w:val="19"/>
                <w:lang w:val="fr-FR"/>
              </w:rPr>
              <w:t>Série technique de l’</w:t>
            </w:r>
            <w:r w:rsidR="00E16C1B" w:rsidRPr="00115A34">
              <w:rPr>
                <w:color w:val="000000"/>
                <w:sz w:val="19"/>
                <w:szCs w:val="19"/>
                <w:lang w:val="fr-FR"/>
              </w:rPr>
              <w:t xml:space="preserve">AEWA </w:t>
            </w:r>
            <w:r w:rsidR="00FA763A">
              <w:rPr>
                <w:color w:val="000000"/>
                <w:sz w:val="19"/>
                <w:szCs w:val="19"/>
                <w:lang w:val="fr-FR"/>
              </w:rPr>
              <w:t>n</w:t>
            </w:r>
            <w:r w:rsidR="00E16C1B" w:rsidRPr="00FA763A">
              <w:rPr>
                <w:color w:val="000000"/>
                <w:sz w:val="19"/>
                <w:szCs w:val="19"/>
                <w:vertAlign w:val="superscript"/>
                <w:lang w:val="fr-FR"/>
              </w:rPr>
              <w:t>o</w:t>
            </w:r>
            <w:r w:rsidR="00E16C1B" w:rsidRPr="00115A34">
              <w:rPr>
                <w:color w:val="000000"/>
                <w:sz w:val="19"/>
                <w:szCs w:val="19"/>
                <w:lang w:val="fr-FR"/>
              </w:rPr>
              <w:t xml:space="preserve"> 8</w:t>
            </w:r>
            <w:r w:rsidR="00EE63D7" w:rsidRPr="00115A34">
              <w:rPr>
                <w:color w:val="000000"/>
                <w:sz w:val="19"/>
                <w:szCs w:val="19"/>
                <w:lang w:val="fr-FR"/>
              </w:rPr>
              <w:t>,</w:t>
            </w:r>
            <w:r w:rsidR="00E16C1B" w:rsidRPr="00115A34">
              <w:rPr>
                <w:color w:val="000000"/>
                <w:sz w:val="19"/>
                <w:szCs w:val="19"/>
                <w:lang w:val="fr-FR"/>
              </w:rPr>
              <w:t xml:space="preserve"> 2006) </w:t>
            </w:r>
            <w:r w:rsidR="00FA763A">
              <w:rPr>
                <w:color w:val="000000"/>
                <w:sz w:val="19"/>
                <w:szCs w:val="19"/>
                <w:lang w:val="fr-FR"/>
              </w:rPr>
              <w:t>avec la</w:t>
            </w:r>
            <w:r w:rsidR="00882F12" w:rsidRPr="00115A34">
              <w:rPr>
                <w:color w:val="000000"/>
                <w:sz w:val="19"/>
                <w:szCs w:val="19"/>
                <w:lang w:val="fr-FR"/>
              </w:rPr>
              <w:t xml:space="preserve"> CMS </w:t>
            </w:r>
            <w:r w:rsidR="00FA763A">
              <w:rPr>
                <w:color w:val="000000"/>
                <w:sz w:val="19"/>
                <w:szCs w:val="19"/>
                <w:lang w:val="fr-FR"/>
              </w:rPr>
              <w:t>et l’U</w:t>
            </w:r>
            <w:r w:rsidR="00882F12" w:rsidRPr="00115A34">
              <w:rPr>
                <w:color w:val="000000"/>
                <w:sz w:val="19"/>
                <w:szCs w:val="19"/>
                <w:lang w:val="fr-FR"/>
              </w:rPr>
              <w:t xml:space="preserve">E, </w:t>
            </w:r>
            <w:r w:rsidR="00FA763A">
              <w:rPr>
                <w:color w:val="000000"/>
                <w:sz w:val="19"/>
                <w:szCs w:val="19"/>
                <w:lang w:val="fr-FR"/>
              </w:rPr>
              <w:t xml:space="preserve">dans le but d’aider à l’accomplissement des </w:t>
            </w:r>
            <w:r w:rsidR="00882F12" w:rsidRPr="00115A34">
              <w:rPr>
                <w:color w:val="000000"/>
                <w:sz w:val="19"/>
                <w:szCs w:val="19"/>
                <w:lang w:val="fr-FR"/>
              </w:rPr>
              <w:t xml:space="preserve">obligations </w:t>
            </w:r>
            <w:r w:rsidR="00F11630">
              <w:rPr>
                <w:color w:val="000000"/>
                <w:sz w:val="19"/>
                <w:szCs w:val="19"/>
                <w:lang w:val="fr-FR"/>
              </w:rPr>
              <w:t xml:space="preserve">découlant </w:t>
            </w:r>
            <w:r w:rsidR="003B3468">
              <w:rPr>
                <w:color w:val="000000"/>
                <w:sz w:val="19"/>
                <w:szCs w:val="19"/>
                <w:lang w:val="fr-FR"/>
              </w:rPr>
              <w:t>du Plan d’action</w:t>
            </w:r>
            <w:r w:rsidR="00FA763A">
              <w:rPr>
                <w:color w:val="000000"/>
                <w:sz w:val="19"/>
                <w:szCs w:val="19"/>
                <w:lang w:val="fr-FR"/>
              </w:rPr>
              <w:t xml:space="preserve"> de l’</w:t>
            </w:r>
            <w:r w:rsidR="00882F12" w:rsidRPr="00115A34">
              <w:rPr>
                <w:color w:val="000000"/>
                <w:sz w:val="19"/>
                <w:szCs w:val="19"/>
                <w:lang w:val="fr-FR"/>
              </w:rPr>
              <w:t xml:space="preserve">AEWA, </w:t>
            </w:r>
            <w:r w:rsidR="00FA763A">
              <w:rPr>
                <w:color w:val="000000"/>
                <w:sz w:val="19"/>
                <w:szCs w:val="19"/>
                <w:lang w:val="fr-FR"/>
              </w:rPr>
              <w:t xml:space="preserve">de la </w:t>
            </w:r>
            <w:r w:rsidR="00882F12" w:rsidRPr="00115A34">
              <w:rPr>
                <w:color w:val="000000"/>
                <w:sz w:val="19"/>
                <w:szCs w:val="19"/>
                <w:lang w:val="fr-FR"/>
              </w:rPr>
              <w:t>CMS</w:t>
            </w:r>
            <w:r w:rsidR="00FA763A">
              <w:rPr>
                <w:color w:val="000000"/>
                <w:sz w:val="19"/>
                <w:szCs w:val="19"/>
                <w:lang w:val="fr-FR"/>
              </w:rPr>
              <w:t xml:space="preserve"> et de la Directive Oiseaux sauvages de l’UE</w:t>
            </w:r>
            <w:r w:rsidR="00882F12" w:rsidRPr="00115A34">
              <w:rPr>
                <w:color w:val="000000"/>
                <w:sz w:val="19"/>
                <w:szCs w:val="19"/>
                <w:lang w:val="fr-FR"/>
              </w:rPr>
              <w:t>, con</w:t>
            </w:r>
            <w:r w:rsidR="00FA763A">
              <w:rPr>
                <w:color w:val="000000"/>
                <w:sz w:val="19"/>
                <w:szCs w:val="19"/>
                <w:lang w:val="fr-FR"/>
              </w:rPr>
              <w:t>formément à l’a</w:t>
            </w:r>
            <w:r w:rsidR="00882F12" w:rsidRPr="00115A34">
              <w:rPr>
                <w:color w:val="000000"/>
                <w:sz w:val="19"/>
                <w:szCs w:val="19"/>
                <w:lang w:val="fr-FR"/>
              </w:rPr>
              <w:t xml:space="preserve">rticle III.2(e) </w:t>
            </w:r>
            <w:r w:rsidR="00FA763A">
              <w:rPr>
                <w:color w:val="000000"/>
                <w:sz w:val="19"/>
                <w:szCs w:val="19"/>
                <w:lang w:val="fr-FR"/>
              </w:rPr>
              <w:t>de l’Accord</w:t>
            </w:r>
          </w:p>
        </w:tc>
        <w:tc>
          <w:tcPr>
            <w:tcW w:w="3006" w:type="dxa"/>
          </w:tcPr>
          <w:p w14:paraId="0C33B11D" w14:textId="233025AD" w:rsidR="00882F12" w:rsidRPr="00115A34" w:rsidRDefault="00FA763A" w:rsidP="00084207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Examen des progrès en matière de mise en œuvre</w:t>
            </w:r>
            <w:r w:rsidR="00084207"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EE63D7" w:rsidRPr="007D1931" w14:paraId="468364BE" w14:textId="77777777" w:rsidTr="005F7185">
        <w:tc>
          <w:tcPr>
            <w:tcW w:w="3005" w:type="dxa"/>
          </w:tcPr>
          <w:p w14:paraId="4250EF3D" w14:textId="2CFC5E54" w:rsidR="00EE63D7" w:rsidRPr="00115A34" w:rsidRDefault="00FA763A" w:rsidP="00EE63D7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Plan d’action i</w:t>
            </w:r>
            <w:r w:rsidR="00EE63D7" w:rsidRPr="00115A34">
              <w:rPr>
                <w:color w:val="000000"/>
                <w:sz w:val="19"/>
                <w:szCs w:val="19"/>
                <w:lang w:val="fr-FR"/>
              </w:rPr>
              <w:t>nternational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 pour la c</w:t>
            </w:r>
            <w:r w:rsidR="00EE63D7" w:rsidRPr="00115A34">
              <w:rPr>
                <w:color w:val="000000"/>
                <w:sz w:val="19"/>
                <w:szCs w:val="19"/>
                <w:lang w:val="fr-FR"/>
              </w:rPr>
              <w:t xml:space="preserve">onservation </w:t>
            </w:r>
            <w:r>
              <w:rPr>
                <w:color w:val="000000"/>
                <w:sz w:val="19"/>
                <w:szCs w:val="19"/>
                <w:lang w:val="fr-FR"/>
              </w:rPr>
              <w:t>du Fuligule nyroca</w:t>
            </w:r>
            <w:r w:rsidR="00EE63D7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EE63D7" w:rsidRPr="00115A34">
              <w:rPr>
                <w:i/>
                <w:color w:val="000000"/>
                <w:sz w:val="19"/>
                <w:szCs w:val="19"/>
                <w:lang w:val="fr-FR"/>
              </w:rPr>
              <w:t>Aythya nyroca</w:t>
            </w:r>
            <w:r w:rsidR="00EE63D7" w:rsidRPr="00115A34">
              <w:rPr>
                <w:color w:val="000000"/>
                <w:sz w:val="19"/>
                <w:szCs w:val="19"/>
                <w:lang w:val="fr-FR"/>
              </w:rPr>
              <w:t xml:space="preserve"> – 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les </w:t>
            </w:r>
            <w:r w:rsidR="00EE63D7" w:rsidRPr="00115A34">
              <w:rPr>
                <w:color w:val="000000"/>
                <w:sz w:val="19"/>
                <w:szCs w:val="19"/>
                <w:lang w:val="fr-FR"/>
              </w:rPr>
              <w:t>activit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="00EE63D7" w:rsidRPr="00115A34">
              <w:rPr>
                <w:color w:val="000000"/>
                <w:sz w:val="19"/>
                <w:szCs w:val="19"/>
                <w:lang w:val="fr-FR"/>
              </w:rPr>
              <w:t>s 2.3, 2.9, 2.10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 et</w:t>
            </w:r>
            <w:r w:rsidR="00EE63D7" w:rsidRPr="00115A34">
              <w:rPr>
                <w:color w:val="000000"/>
                <w:sz w:val="19"/>
                <w:szCs w:val="19"/>
                <w:lang w:val="fr-FR"/>
              </w:rPr>
              <w:t xml:space="preserve"> 3.8 </w:t>
            </w:r>
            <w:r>
              <w:rPr>
                <w:color w:val="000000"/>
                <w:sz w:val="19"/>
                <w:szCs w:val="19"/>
                <w:lang w:val="fr-FR"/>
              </w:rPr>
              <w:t>traitent de la menace des prises accessoires dans les filets de pêche</w:t>
            </w:r>
          </w:p>
        </w:tc>
        <w:tc>
          <w:tcPr>
            <w:tcW w:w="3005" w:type="dxa"/>
          </w:tcPr>
          <w:p w14:paraId="35F6C6CF" w14:textId="6A5AF7BC" w:rsidR="00EE63D7" w:rsidRPr="00115A34" w:rsidRDefault="00964D31" w:rsidP="00EE63D7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L’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AEWA </w:t>
            </w:r>
            <w:r>
              <w:rPr>
                <w:color w:val="000000"/>
                <w:sz w:val="19"/>
                <w:szCs w:val="19"/>
                <w:lang w:val="fr-FR"/>
              </w:rPr>
              <w:t>est coéditeur du Plan d’action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(</w:t>
            </w:r>
            <w:r>
              <w:rPr>
                <w:color w:val="000000"/>
                <w:sz w:val="19"/>
                <w:szCs w:val="19"/>
                <w:lang w:val="fr-FR"/>
              </w:rPr>
              <w:t>Série technique de l’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AEWA </w:t>
            </w:r>
            <w:r>
              <w:rPr>
                <w:color w:val="000000"/>
                <w:sz w:val="19"/>
                <w:szCs w:val="19"/>
                <w:lang w:val="fr-FR"/>
              </w:rPr>
              <w:t>n</w:t>
            </w:r>
            <w:r w:rsidRPr="00FA763A">
              <w:rPr>
                <w:color w:val="000000"/>
                <w:sz w:val="19"/>
                <w:szCs w:val="19"/>
                <w:vertAlign w:val="superscript"/>
                <w:lang w:val="fr-FR"/>
              </w:rPr>
              <w:t>o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7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, 2006) </w:t>
            </w:r>
            <w:r>
              <w:rPr>
                <w:color w:val="000000"/>
                <w:sz w:val="19"/>
                <w:szCs w:val="19"/>
                <w:lang w:val="fr-FR"/>
              </w:rPr>
              <w:t>avec la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CMS</w:t>
            </w:r>
            <w:r w:rsidR="00EE63D7" w:rsidRPr="00115A34">
              <w:rPr>
                <w:color w:val="000000"/>
                <w:sz w:val="19"/>
                <w:szCs w:val="19"/>
                <w:lang w:val="fr-FR"/>
              </w:rPr>
              <w:t xml:space="preserve">, 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dans le but d’aider à l’accomplissement des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obligations </w:t>
            </w:r>
            <w:r w:rsidR="00F11630">
              <w:rPr>
                <w:color w:val="000000"/>
                <w:sz w:val="19"/>
                <w:szCs w:val="19"/>
                <w:lang w:val="fr-FR"/>
              </w:rPr>
              <w:t xml:space="preserve">découlant </w:t>
            </w:r>
            <w:r w:rsidR="003B3468">
              <w:rPr>
                <w:color w:val="000000"/>
                <w:sz w:val="19"/>
                <w:szCs w:val="19"/>
                <w:lang w:val="fr-FR"/>
              </w:rPr>
              <w:t xml:space="preserve">du Plan d’action de </w:t>
            </w:r>
            <w:r>
              <w:rPr>
                <w:color w:val="000000"/>
                <w:sz w:val="19"/>
                <w:szCs w:val="19"/>
                <w:lang w:val="fr-FR"/>
              </w:rPr>
              <w:t>l’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AEWA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 et de la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CMS</w:t>
            </w:r>
            <w:r w:rsidR="00EE63D7" w:rsidRPr="00115A34">
              <w:rPr>
                <w:color w:val="000000"/>
                <w:sz w:val="19"/>
                <w:szCs w:val="19"/>
                <w:lang w:val="fr-FR"/>
              </w:rPr>
              <w:t>, con</w:t>
            </w:r>
            <w:r>
              <w:rPr>
                <w:color w:val="000000"/>
                <w:sz w:val="19"/>
                <w:szCs w:val="19"/>
                <w:lang w:val="fr-FR"/>
              </w:rPr>
              <w:t>formément à l’ar</w:t>
            </w:r>
            <w:r w:rsidR="00EE63D7" w:rsidRPr="00115A34">
              <w:rPr>
                <w:color w:val="000000"/>
                <w:sz w:val="19"/>
                <w:szCs w:val="19"/>
                <w:lang w:val="fr-FR"/>
              </w:rPr>
              <w:t xml:space="preserve">ticle III.2(e) </w:t>
            </w:r>
            <w:r>
              <w:rPr>
                <w:color w:val="000000"/>
                <w:sz w:val="19"/>
                <w:szCs w:val="19"/>
                <w:lang w:val="fr-FR"/>
              </w:rPr>
              <w:t>de l’Accord</w:t>
            </w:r>
          </w:p>
        </w:tc>
        <w:tc>
          <w:tcPr>
            <w:tcW w:w="3006" w:type="dxa"/>
          </w:tcPr>
          <w:p w14:paraId="5735D042" w14:textId="5E71DC75" w:rsidR="00EE63D7" w:rsidRPr="00115A34" w:rsidRDefault="00964D31" w:rsidP="00084207">
            <w:pPr>
              <w:pStyle w:val="ListParagraph"/>
              <w:numPr>
                <w:ilvl w:val="0"/>
                <w:numId w:val="30"/>
              </w:num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Examen des progrès en matière de mise en œuvre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326B2D" w14:paraId="439241EB" w14:textId="77777777" w:rsidTr="005F7185">
        <w:tc>
          <w:tcPr>
            <w:tcW w:w="9016" w:type="dxa"/>
            <w:gridSpan w:val="3"/>
            <w:shd w:val="clear" w:color="auto" w:fill="D9D9D9" w:themeFill="background1" w:themeFillShade="D9"/>
          </w:tcPr>
          <w:p w14:paraId="0E112A59" w14:textId="15B44705" w:rsidR="007722E8" w:rsidRPr="00115A34" w:rsidRDefault="007722E8" w:rsidP="005F7185">
            <w:pPr>
              <w:spacing w:before="20" w:after="20"/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A</w:t>
            </w:r>
            <w:r w:rsidR="00964D31">
              <w:rPr>
                <w:b/>
                <w:i/>
                <w:color w:val="000066"/>
                <w:sz w:val="19"/>
                <w:szCs w:val="19"/>
                <w:lang w:val="fr-FR"/>
              </w:rPr>
              <w:t>ccord sur la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</w:t>
            </w:r>
            <w:r w:rsidR="00964D31">
              <w:rPr>
                <w:b/>
                <w:i/>
                <w:color w:val="000066"/>
                <w:sz w:val="19"/>
                <w:szCs w:val="19"/>
                <w:lang w:val="fr-FR"/>
              </w:rPr>
              <w:t>c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onservation </w:t>
            </w:r>
            <w:r w:rsidR="00964D31">
              <w:rPr>
                <w:b/>
                <w:i/>
                <w:color w:val="000066"/>
                <w:sz w:val="19"/>
                <w:szCs w:val="19"/>
                <w:lang w:val="fr-FR"/>
              </w:rPr>
              <w:t>des a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lbatros </w:t>
            </w:r>
            <w:r w:rsidR="00964D31">
              <w:rPr>
                <w:b/>
                <w:i/>
                <w:color w:val="000066"/>
                <w:sz w:val="19"/>
                <w:szCs w:val="19"/>
                <w:lang w:val="fr-FR"/>
              </w:rPr>
              <w:t>et des pé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>trels (ACAP)</w:t>
            </w:r>
          </w:p>
        </w:tc>
      </w:tr>
      <w:tr w:rsidR="007722E8" w:rsidRPr="00326B2D" w14:paraId="05B56EFE" w14:textId="77777777" w:rsidTr="005F7185">
        <w:tc>
          <w:tcPr>
            <w:tcW w:w="3005" w:type="dxa"/>
          </w:tcPr>
          <w:p w14:paraId="5CF7A6F1" w14:textId="1FD527A9" w:rsidR="007722E8" w:rsidRPr="00115A34" w:rsidRDefault="00964D31" w:rsidP="005F7185">
            <w:pPr>
              <w:rPr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 xml:space="preserve">Préoccupations communes et 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synergies </w:t>
            </w:r>
            <w:r>
              <w:rPr>
                <w:color w:val="000000"/>
                <w:sz w:val="19"/>
                <w:szCs w:val="19"/>
                <w:lang w:val="fr-FR"/>
              </w:rPr>
              <w:t>potentielles entre l’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AEWA </w:t>
            </w:r>
            <w:r>
              <w:rPr>
                <w:color w:val="000000"/>
                <w:sz w:val="19"/>
                <w:szCs w:val="19"/>
                <w:lang w:val="fr-FR"/>
              </w:rPr>
              <w:t>et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l’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>ACAP</w:t>
            </w:r>
          </w:p>
        </w:tc>
        <w:tc>
          <w:tcPr>
            <w:tcW w:w="3005" w:type="dxa"/>
          </w:tcPr>
          <w:p w14:paraId="23CC4BD6" w14:textId="487A2A86" w:rsidR="007722E8" w:rsidRPr="00115A34" w:rsidRDefault="007B5E14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 en préambule de la</w:t>
            </w:r>
            <w:r w:rsidRPr="00115A34">
              <w:rPr>
                <w:sz w:val="19"/>
                <w:szCs w:val="19"/>
                <w:lang w:val="fr-FR"/>
              </w:rPr>
              <w:t xml:space="preserve"> R</w:t>
            </w:r>
            <w:r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solution </w:t>
            </w:r>
            <w:r>
              <w:rPr>
                <w:sz w:val="19"/>
                <w:szCs w:val="19"/>
                <w:lang w:val="fr-FR"/>
              </w:rPr>
              <w:t>MOP</w:t>
            </w:r>
            <w:r w:rsidRPr="00115A34">
              <w:rPr>
                <w:sz w:val="19"/>
                <w:szCs w:val="19"/>
                <w:lang w:val="fr-FR"/>
              </w:rPr>
              <w:t xml:space="preserve">6.9 (2015) </w:t>
            </w:r>
            <w:r>
              <w:rPr>
                <w:sz w:val="19"/>
                <w:szCs w:val="19"/>
                <w:lang w:val="fr-FR"/>
              </w:rPr>
              <w:t xml:space="preserve">« Améliorer l’état de conservation des oiseaux marins d’Afrique-Eurasie » 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; </w:t>
            </w:r>
            <w:r>
              <w:rPr>
                <w:sz w:val="19"/>
                <w:szCs w:val="19"/>
                <w:lang w:val="fr-FR"/>
              </w:rPr>
              <w:t xml:space="preserve">et en </w:t>
            </w:r>
            <w:r w:rsidR="007722E8" w:rsidRPr="00115A34">
              <w:rPr>
                <w:sz w:val="19"/>
                <w:szCs w:val="19"/>
                <w:lang w:val="fr-FR"/>
              </w:rPr>
              <w:t>pr</w:t>
            </w:r>
            <w:r>
              <w:rPr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sz w:val="19"/>
                <w:szCs w:val="19"/>
                <w:lang w:val="fr-FR"/>
              </w:rPr>
              <w:t>amb</w:t>
            </w:r>
            <w:r>
              <w:rPr>
                <w:sz w:val="19"/>
                <w:szCs w:val="19"/>
                <w:lang w:val="fr-FR"/>
              </w:rPr>
              <w:t>u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le </w:t>
            </w:r>
            <w:r>
              <w:rPr>
                <w:sz w:val="19"/>
                <w:szCs w:val="19"/>
                <w:lang w:val="fr-FR"/>
              </w:rPr>
              <w:t>de la</w:t>
            </w:r>
            <w:r w:rsidRPr="00115A34">
              <w:rPr>
                <w:sz w:val="19"/>
                <w:szCs w:val="19"/>
                <w:lang w:val="fr-FR"/>
              </w:rPr>
              <w:t xml:space="preserve"> R</w:t>
            </w:r>
            <w:r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solution </w:t>
            </w:r>
            <w:r>
              <w:rPr>
                <w:sz w:val="19"/>
                <w:szCs w:val="19"/>
                <w:lang w:val="fr-FR"/>
              </w:rPr>
              <w:t>MOP</w:t>
            </w:r>
            <w:r w:rsidRPr="00115A34">
              <w:rPr>
                <w:sz w:val="19"/>
                <w:szCs w:val="19"/>
                <w:lang w:val="fr-FR"/>
              </w:rPr>
              <w:t xml:space="preserve">7.6 (2018) </w:t>
            </w:r>
            <w:r>
              <w:rPr>
                <w:sz w:val="19"/>
                <w:szCs w:val="19"/>
                <w:lang w:val="fr-FR"/>
              </w:rPr>
              <w:t>« Priorités pour la</w:t>
            </w:r>
            <w:r w:rsidRPr="00115A34">
              <w:rPr>
                <w:sz w:val="19"/>
                <w:szCs w:val="19"/>
                <w:lang w:val="fr-FR"/>
              </w:rPr>
              <w:t xml:space="preserve"> conservation </w:t>
            </w:r>
            <w:r>
              <w:rPr>
                <w:sz w:val="19"/>
                <w:szCs w:val="19"/>
                <w:lang w:val="fr-FR"/>
              </w:rPr>
              <w:t>des oiseaux marins empruntant les voies de migration d’Afrique-Eurasie »</w:t>
            </w:r>
          </w:p>
        </w:tc>
        <w:tc>
          <w:tcPr>
            <w:tcW w:w="3006" w:type="dxa"/>
          </w:tcPr>
          <w:p w14:paraId="3BD8E21D" w14:textId="40CB5CE3" w:rsidR="004C70BC" w:rsidRPr="00115A34" w:rsidRDefault="005C6F88" w:rsidP="00267F27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Explore</w:t>
            </w:r>
            <w:r w:rsidR="007B5E14">
              <w:rPr>
                <w:sz w:val="19"/>
                <w:szCs w:val="19"/>
                <w:lang w:val="fr-FR"/>
              </w:rPr>
              <w:t>r plus en détail l’étendue des possibilités de</w:t>
            </w:r>
            <w:r w:rsidRPr="00115A34">
              <w:rPr>
                <w:sz w:val="19"/>
                <w:szCs w:val="19"/>
                <w:lang w:val="fr-FR"/>
              </w:rPr>
              <w:t xml:space="preserve"> collaboration/ synerg</w:t>
            </w:r>
            <w:r w:rsidR="007B5E14">
              <w:rPr>
                <w:sz w:val="19"/>
                <w:szCs w:val="19"/>
                <w:lang w:val="fr-FR"/>
              </w:rPr>
              <w:t>ie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  <w:p w14:paraId="6F8613E0" w14:textId="1C79B0D6" w:rsidR="007722E8" w:rsidRPr="00115A34" w:rsidRDefault="00267F27" w:rsidP="00267F27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Encourage</w:t>
            </w:r>
            <w:r w:rsidR="007B5E14">
              <w:rPr>
                <w:sz w:val="19"/>
                <w:szCs w:val="19"/>
                <w:lang w:val="fr-FR"/>
              </w:rPr>
              <w:t xml:space="preserve">r la conception et la mise en œuvre de </w:t>
            </w:r>
            <w:r w:rsidRPr="00115A34">
              <w:rPr>
                <w:sz w:val="19"/>
                <w:szCs w:val="19"/>
                <w:lang w:val="fr-FR"/>
              </w:rPr>
              <w:t xml:space="preserve">mesures </w:t>
            </w:r>
            <w:r w:rsidR="007B5E14">
              <w:rPr>
                <w:sz w:val="19"/>
                <w:szCs w:val="19"/>
                <w:lang w:val="fr-FR"/>
              </w:rPr>
              <w:t>pour réduire les prises accessoires d’</w:t>
            </w:r>
            <w:r w:rsidRPr="00115A34">
              <w:rPr>
                <w:sz w:val="19"/>
                <w:szCs w:val="19"/>
                <w:lang w:val="fr-FR"/>
              </w:rPr>
              <w:t xml:space="preserve">albatros </w:t>
            </w:r>
            <w:r w:rsidR="007B5E14">
              <w:rPr>
                <w:sz w:val="19"/>
                <w:szCs w:val="19"/>
                <w:lang w:val="fr-FR"/>
              </w:rPr>
              <w:t>et de</w:t>
            </w:r>
            <w:r w:rsidRPr="00115A34">
              <w:rPr>
                <w:sz w:val="19"/>
                <w:szCs w:val="19"/>
                <w:lang w:val="fr-FR"/>
              </w:rPr>
              <w:t xml:space="preserve"> p</w:t>
            </w:r>
            <w:r w:rsidR="007B5E14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trels </w:t>
            </w:r>
            <w:r w:rsidR="007B5E14">
              <w:rPr>
                <w:sz w:val="19"/>
                <w:szCs w:val="19"/>
                <w:lang w:val="fr-FR"/>
              </w:rPr>
              <w:t>de manière à y inclure d’autres oiseaux marins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326B2D" w14:paraId="3C5FEC80" w14:textId="77777777" w:rsidTr="005F7185">
        <w:tc>
          <w:tcPr>
            <w:tcW w:w="3005" w:type="dxa"/>
          </w:tcPr>
          <w:p w14:paraId="1C6FA812" w14:textId="71CA61F1" w:rsidR="007722E8" w:rsidRPr="00115A34" w:rsidRDefault="007B5E14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lastRenderedPageBreak/>
              <w:t>Groupe de travail sur l’a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lbatros, </w:t>
            </w:r>
            <w:r>
              <w:rPr>
                <w:sz w:val="19"/>
                <w:szCs w:val="19"/>
                <w:lang w:val="fr-FR"/>
              </w:rPr>
              <w:t>dirigé par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BirdLife International (s</w:t>
            </w:r>
            <w:r>
              <w:rPr>
                <w:sz w:val="19"/>
                <w:szCs w:val="19"/>
                <w:lang w:val="fr-FR"/>
              </w:rPr>
              <w:t>outenant l’</w:t>
            </w:r>
            <w:r w:rsidR="007722E8" w:rsidRPr="00115A34">
              <w:rPr>
                <w:sz w:val="19"/>
                <w:szCs w:val="19"/>
                <w:lang w:val="fr-FR"/>
              </w:rPr>
              <w:t>ACAP)</w:t>
            </w:r>
          </w:p>
        </w:tc>
        <w:tc>
          <w:tcPr>
            <w:tcW w:w="3005" w:type="dxa"/>
          </w:tcPr>
          <w:p w14:paraId="028F6AF2" w14:textId="77DED4B9" w:rsidR="007722E8" w:rsidRPr="00115A34" w:rsidRDefault="007B5E14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 en préambule de la</w:t>
            </w:r>
            <w:r w:rsidRPr="00115A34">
              <w:rPr>
                <w:sz w:val="19"/>
                <w:szCs w:val="19"/>
                <w:lang w:val="fr-FR"/>
              </w:rPr>
              <w:t xml:space="preserve"> R</w:t>
            </w:r>
            <w:r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solution </w:t>
            </w:r>
            <w:r>
              <w:rPr>
                <w:sz w:val="19"/>
                <w:szCs w:val="19"/>
                <w:lang w:val="fr-FR"/>
              </w:rPr>
              <w:t>MOP</w:t>
            </w:r>
            <w:r w:rsidRPr="00115A34">
              <w:rPr>
                <w:sz w:val="19"/>
                <w:szCs w:val="19"/>
                <w:lang w:val="fr-FR"/>
              </w:rPr>
              <w:t xml:space="preserve">6.9 (2015) </w:t>
            </w:r>
            <w:r>
              <w:rPr>
                <w:sz w:val="19"/>
                <w:szCs w:val="19"/>
                <w:lang w:val="fr-FR"/>
              </w:rPr>
              <w:t>« Améliorer l’état de conservation des oiseaux marins d’Afrique-Eurasie »</w:t>
            </w:r>
          </w:p>
        </w:tc>
        <w:tc>
          <w:tcPr>
            <w:tcW w:w="3006" w:type="dxa"/>
          </w:tcPr>
          <w:p w14:paraId="5306866D" w14:textId="4C90BB34" w:rsidR="007722E8" w:rsidRPr="00115A34" w:rsidRDefault="005C6F88" w:rsidP="005C6F88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Influence</w:t>
            </w:r>
            <w:r w:rsidR="008937B1">
              <w:rPr>
                <w:sz w:val="19"/>
                <w:szCs w:val="19"/>
                <w:lang w:val="fr-FR"/>
              </w:rPr>
              <w:t>r l’ordre du jour et le travail du groupe de travail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326B2D" w14:paraId="02E0B623" w14:textId="77777777" w:rsidTr="005F7185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700C05E" w14:textId="6E63E340" w:rsidR="007722E8" w:rsidRPr="00115A34" w:rsidRDefault="007722E8" w:rsidP="005F7185">
            <w:pPr>
              <w:spacing w:before="20" w:after="20"/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</w:t>
            </w:r>
            <w:r w:rsidR="008937B1">
              <w:rPr>
                <w:b/>
                <w:i/>
                <w:color w:val="000066"/>
                <w:sz w:val="19"/>
                <w:szCs w:val="19"/>
                <w:lang w:val="fr-FR"/>
              </w:rPr>
              <w:t>Organisation des Nations Unies pour l’alimentation et l’a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>griculture (FAO)</w:t>
            </w:r>
          </w:p>
        </w:tc>
      </w:tr>
      <w:tr w:rsidR="007722E8" w:rsidRPr="00326B2D" w14:paraId="39AA0DD1" w14:textId="77777777" w:rsidTr="005F7185">
        <w:tc>
          <w:tcPr>
            <w:tcW w:w="3005" w:type="dxa"/>
          </w:tcPr>
          <w:p w14:paraId="01B803FB" w14:textId="2B3F6823" w:rsidR="007722E8" w:rsidRPr="00115A34" w:rsidRDefault="008937B1" w:rsidP="005F7185">
            <w:pPr>
              <w:rPr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Plan d’action i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nternational (1999) </w:t>
            </w:r>
            <w:r>
              <w:rPr>
                <w:color w:val="000000"/>
                <w:sz w:val="19"/>
                <w:szCs w:val="19"/>
                <w:lang w:val="fr-FR"/>
              </w:rPr>
              <w:t>visant à réduire les captures accidentelles d’oiseaux de mer par les palangriers</w:t>
            </w:r>
            <w:r w:rsidR="003B3468">
              <w:rPr>
                <w:color w:val="000000"/>
                <w:sz w:val="19"/>
                <w:szCs w:val="19"/>
                <w:lang w:val="fr-FR"/>
              </w:rPr>
              <w:t>. PAI-Oiseaux de mer</w:t>
            </w:r>
          </w:p>
        </w:tc>
        <w:tc>
          <w:tcPr>
            <w:tcW w:w="3005" w:type="dxa"/>
          </w:tcPr>
          <w:p w14:paraId="0B7D6E8F" w14:textId="5193A9C8" w:rsidR="007722E8" w:rsidRPr="00115A34" w:rsidRDefault="007B5E14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 en préambule de la</w:t>
            </w:r>
            <w:r w:rsidRPr="00115A34">
              <w:rPr>
                <w:sz w:val="19"/>
                <w:szCs w:val="19"/>
                <w:lang w:val="fr-FR"/>
              </w:rPr>
              <w:t xml:space="preserve"> R</w:t>
            </w:r>
            <w:r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solution </w:t>
            </w:r>
            <w:r>
              <w:rPr>
                <w:sz w:val="19"/>
                <w:szCs w:val="19"/>
                <w:lang w:val="fr-FR"/>
              </w:rPr>
              <w:t>MOP</w:t>
            </w:r>
            <w:r w:rsidRPr="00115A34">
              <w:rPr>
                <w:sz w:val="19"/>
                <w:szCs w:val="19"/>
                <w:lang w:val="fr-FR"/>
              </w:rPr>
              <w:t xml:space="preserve">6.9 (2015) </w:t>
            </w:r>
            <w:r>
              <w:rPr>
                <w:sz w:val="19"/>
                <w:szCs w:val="19"/>
                <w:lang w:val="fr-FR"/>
              </w:rPr>
              <w:t>« Améliorer l’état de conservation des oiseaux marins d’Afrique-Eurasie »</w:t>
            </w:r>
          </w:p>
        </w:tc>
        <w:tc>
          <w:tcPr>
            <w:tcW w:w="3006" w:type="dxa"/>
          </w:tcPr>
          <w:p w14:paraId="66071B2A" w14:textId="7C099AD1" w:rsidR="007722E8" w:rsidRPr="00115A34" w:rsidRDefault="002A4369" w:rsidP="005C6F88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Surveiller la mise en œuvre du Plan d’action</w:t>
            </w:r>
            <w:r w:rsidR="005C6F88"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326B2D" w14:paraId="0D0B6C82" w14:textId="77777777" w:rsidTr="005F7185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BE0E058" w14:textId="51D67F6C" w:rsidR="007722E8" w:rsidRPr="00115A34" w:rsidRDefault="007722E8" w:rsidP="005F7185">
            <w:pPr>
              <w:spacing w:before="20" w:after="20"/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</w:t>
            </w:r>
            <w:r w:rsidR="002A4369">
              <w:rPr>
                <w:b/>
                <w:i/>
                <w:color w:val="000066"/>
                <w:sz w:val="19"/>
                <w:szCs w:val="19"/>
                <w:lang w:val="fr-FR"/>
              </w:rPr>
              <w:t>Programme de développement durable des Nations Unies à l’horizon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2030 / </w:t>
            </w:r>
            <w:r w:rsidR="002A4369">
              <w:rPr>
                <w:b/>
                <w:i/>
                <w:color w:val="000066"/>
                <w:sz w:val="19"/>
                <w:szCs w:val="19"/>
                <w:lang w:val="fr-FR"/>
              </w:rPr>
              <w:t>Objectifs de développement durable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(</w:t>
            </w:r>
            <w:r w:rsidR="002A4369">
              <w:rPr>
                <w:b/>
                <w:i/>
                <w:color w:val="000066"/>
                <w:sz w:val="19"/>
                <w:szCs w:val="19"/>
                <w:lang w:val="fr-FR"/>
              </w:rPr>
              <w:t>ODD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>)</w:t>
            </w:r>
          </w:p>
        </w:tc>
      </w:tr>
      <w:tr w:rsidR="007722E8" w:rsidRPr="00326B2D" w14:paraId="563642FA" w14:textId="77777777" w:rsidTr="005F7185">
        <w:tc>
          <w:tcPr>
            <w:tcW w:w="3005" w:type="dxa"/>
          </w:tcPr>
          <w:p w14:paraId="4C3B0166" w14:textId="4E69EDBA" w:rsidR="007722E8" w:rsidRPr="00115A34" w:rsidRDefault="002A4369" w:rsidP="005F7185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ODD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14 </w:t>
            </w:r>
            <w:r>
              <w:rPr>
                <w:color w:val="000000"/>
                <w:sz w:val="19"/>
                <w:szCs w:val="19"/>
                <w:lang w:val="fr-FR"/>
              </w:rPr>
              <w:t>sur la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conservation 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et l’utilisation durable </w:t>
            </w:r>
            <w:r w:rsidR="00A647DD">
              <w:rPr>
                <w:color w:val="000000"/>
                <w:sz w:val="19"/>
                <w:szCs w:val="19"/>
                <w:lang w:val="fr-FR"/>
              </w:rPr>
              <w:t>des océans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, </w:t>
            </w:r>
            <w:r w:rsidR="00A647DD">
              <w:rPr>
                <w:color w:val="000000"/>
                <w:sz w:val="19"/>
                <w:szCs w:val="19"/>
                <w:lang w:val="fr-FR"/>
              </w:rPr>
              <w:t>des mers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A647DD">
              <w:rPr>
                <w:color w:val="000000"/>
                <w:sz w:val="19"/>
                <w:szCs w:val="19"/>
                <w:lang w:val="fr-FR"/>
              </w:rPr>
              <w:t>et des ressources marines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, </w:t>
            </w:r>
            <w:r w:rsidR="00A647DD">
              <w:rPr>
                <w:color w:val="000000"/>
                <w:sz w:val="19"/>
                <w:szCs w:val="19"/>
                <w:lang w:val="fr-FR"/>
              </w:rPr>
              <w:t>et notamment la Cible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14.4 </w:t>
            </w:r>
            <w:r w:rsidR="002870C8">
              <w:rPr>
                <w:color w:val="000000"/>
                <w:sz w:val="19"/>
                <w:szCs w:val="19"/>
                <w:lang w:val="fr-FR"/>
              </w:rPr>
              <w:t>« Réglementer</w:t>
            </w:r>
            <w:r w:rsidR="00A647DD">
              <w:rPr>
                <w:color w:val="000000"/>
                <w:sz w:val="19"/>
                <w:szCs w:val="19"/>
                <w:lang w:val="fr-FR"/>
              </w:rPr>
              <w:t xml:space="preserve"> efficace</w:t>
            </w:r>
            <w:r w:rsidR="002870C8">
              <w:rPr>
                <w:color w:val="000000"/>
                <w:sz w:val="19"/>
                <w:szCs w:val="19"/>
                <w:lang w:val="fr-FR"/>
              </w:rPr>
              <w:t xml:space="preserve">ment la </w:t>
            </w:r>
            <w:r w:rsidR="00F11630">
              <w:rPr>
                <w:color w:val="000000"/>
                <w:sz w:val="19"/>
                <w:szCs w:val="19"/>
                <w:lang w:val="fr-FR"/>
              </w:rPr>
              <w:t>pêche</w:t>
            </w:r>
            <w:r w:rsidR="002870C8">
              <w:rPr>
                <w:color w:val="000000"/>
                <w:sz w:val="19"/>
                <w:szCs w:val="19"/>
                <w:lang w:val="fr-FR"/>
              </w:rPr>
              <w:t>, mettre fin à la surpêche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>,</w:t>
            </w:r>
            <w:r w:rsidR="002870C8">
              <w:rPr>
                <w:color w:val="000000"/>
                <w:sz w:val="19"/>
                <w:szCs w:val="19"/>
                <w:lang w:val="fr-FR"/>
              </w:rPr>
              <w:t xml:space="preserve"> à la pêche illicite, non déclarée et non réglementée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(I</w:t>
            </w:r>
            <w:r w:rsidR="002870C8">
              <w:rPr>
                <w:color w:val="000000"/>
                <w:sz w:val="19"/>
                <w:szCs w:val="19"/>
                <w:lang w:val="fr-FR"/>
              </w:rPr>
              <w:t>NN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) </w:t>
            </w:r>
            <w:r w:rsidR="002870C8">
              <w:rPr>
                <w:color w:val="000000"/>
                <w:sz w:val="19"/>
                <w:szCs w:val="19"/>
                <w:lang w:val="fr-FR"/>
              </w:rPr>
              <w:t>et aux pratiques de pêche destructrices</w:t>
            </w:r>
            <w:r w:rsidR="004C1723">
              <w:rPr>
                <w:color w:val="000000"/>
                <w:sz w:val="19"/>
                <w:szCs w:val="19"/>
                <w:lang w:val="fr-FR"/>
              </w:rPr>
              <w:t> »</w:t>
            </w:r>
          </w:p>
          <w:p w14:paraId="493C949B" w14:textId="77777777" w:rsidR="00E1163B" w:rsidRPr="00115A34" w:rsidRDefault="00E1163B" w:rsidP="005F7185">
            <w:pPr>
              <w:rPr>
                <w:color w:val="000000"/>
                <w:sz w:val="19"/>
                <w:szCs w:val="19"/>
                <w:lang w:val="fr-FR"/>
              </w:rPr>
            </w:pPr>
          </w:p>
          <w:p w14:paraId="0A4E7738" w14:textId="0EB1775B" w:rsidR="00E1163B" w:rsidRPr="00115A34" w:rsidRDefault="00E1163B" w:rsidP="005F7185">
            <w:pPr>
              <w:rPr>
                <w:color w:val="000000"/>
                <w:sz w:val="19"/>
                <w:szCs w:val="19"/>
                <w:lang w:val="fr-FR"/>
              </w:rPr>
            </w:pPr>
          </w:p>
        </w:tc>
        <w:tc>
          <w:tcPr>
            <w:tcW w:w="3005" w:type="dxa"/>
          </w:tcPr>
          <w:p w14:paraId="7F405776" w14:textId="5EDFCB43" w:rsidR="007722E8" w:rsidRPr="00115A34" w:rsidRDefault="007B5E14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Mentionné en </w:t>
            </w:r>
            <w:r w:rsidRPr="00115A34">
              <w:rPr>
                <w:sz w:val="19"/>
                <w:szCs w:val="19"/>
                <w:lang w:val="fr-FR"/>
              </w:rPr>
              <w:t>pr</w:t>
            </w:r>
            <w:r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>amb</w:t>
            </w:r>
            <w:r>
              <w:rPr>
                <w:sz w:val="19"/>
                <w:szCs w:val="19"/>
                <w:lang w:val="fr-FR"/>
              </w:rPr>
              <w:t>u</w:t>
            </w:r>
            <w:r w:rsidRPr="00115A34">
              <w:rPr>
                <w:sz w:val="19"/>
                <w:szCs w:val="19"/>
                <w:lang w:val="fr-FR"/>
              </w:rPr>
              <w:t xml:space="preserve">le </w:t>
            </w:r>
            <w:r>
              <w:rPr>
                <w:sz w:val="19"/>
                <w:szCs w:val="19"/>
                <w:lang w:val="fr-FR"/>
              </w:rPr>
              <w:t>de la</w:t>
            </w:r>
            <w:r w:rsidRPr="00115A34">
              <w:rPr>
                <w:sz w:val="19"/>
                <w:szCs w:val="19"/>
                <w:lang w:val="fr-FR"/>
              </w:rPr>
              <w:t xml:space="preserve"> R</w:t>
            </w:r>
            <w:r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solution </w:t>
            </w:r>
            <w:r>
              <w:rPr>
                <w:sz w:val="19"/>
                <w:szCs w:val="19"/>
                <w:lang w:val="fr-FR"/>
              </w:rPr>
              <w:t>MOP</w:t>
            </w:r>
            <w:r w:rsidRPr="00115A34">
              <w:rPr>
                <w:sz w:val="19"/>
                <w:szCs w:val="19"/>
                <w:lang w:val="fr-FR"/>
              </w:rPr>
              <w:t xml:space="preserve">7.6 (2018) </w:t>
            </w:r>
            <w:r>
              <w:rPr>
                <w:sz w:val="19"/>
                <w:szCs w:val="19"/>
                <w:lang w:val="fr-FR"/>
              </w:rPr>
              <w:t>« Priorités pour la</w:t>
            </w:r>
            <w:r w:rsidRPr="00115A34">
              <w:rPr>
                <w:sz w:val="19"/>
                <w:szCs w:val="19"/>
                <w:lang w:val="fr-FR"/>
              </w:rPr>
              <w:t xml:space="preserve"> conservation </w:t>
            </w:r>
            <w:r>
              <w:rPr>
                <w:sz w:val="19"/>
                <w:szCs w:val="19"/>
                <w:lang w:val="fr-FR"/>
              </w:rPr>
              <w:t>des oiseaux marins empruntant les voies de migration d’Afrique-Eurasie »</w:t>
            </w:r>
          </w:p>
        </w:tc>
        <w:tc>
          <w:tcPr>
            <w:tcW w:w="3006" w:type="dxa"/>
          </w:tcPr>
          <w:p w14:paraId="62684BF1" w14:textId="1C7C49F6" w:rsidR="007722E8" w:rsidRPr="00115A34" w:rsidRDefault="002870C8" w:rsidP="005C6F88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Surveillance et rapports sur les indicateurs de la Cible</w:t>
            </w:r>
            <w:r w:rsidR="005C6F88" w:rsidRPr="00115A34">
              <w:rPr>
                <w:sz w:val="19"/>
                <w:szCs w:val="19"/>
                <w:lang w:val="fr-FR"/>
              </w:rPr>
              <w:t xml:space="preserve"> 14.4.</w:t>
            </w:r>
          </w:p>
        </w:tc>
      </w:tr>
      <w:tr w:rsidR="007722E8" w:rsidRPr="00115A34" w14:paraId="735E9305" w14:textId="77777777" w:rsidTr="005F7185">
        <w:tc>
          <w:tcPr>
            <w:tcW w:w="9016" w:type="dxa"/>
            <w:gridSpan w:val="3"/>
            <w:shd w:val="clear" w:color="auto" w:fill="D9D9D9" w:themeFill="background1" w:themeFillShade="D9"/>
          </w:tcPr>
          <w:p w14:paraId="7AB45645" w14:textId="57D43264" w:rsidR="007722E8" w:rsidRPr="00115A34" w:rsidRDefault="007722E8" w:rsidP="005F7185">
            <w:pPr>
              <w:spacing w:before="20" w:after="20"/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</w:t>
            </w:r>
            <w:r w:rsidR="002870C8">
              <w:rPr>
                <w:b/>
                <w:i/>
                <w:color w:val="000066"/>
                <w:sz w:val="19"/>
                <w:szCs w:val="19"/>
                <w:lang w:val="fr-FR"/>
              </w:rPr>
              <w:t>Union européenne</w:t>
            </w:r>
          </w:p>
        </w:tc>
      </w:tr>
      <w:tr w:rsidR="007722E8" w:rsidRPr="00115A34" w14:paraId="4C746C0E" w14:textId="77777777" w:rsidTr="005F7185">
        <w:tc>
          <w:tcPr>
            <w:tcW w:w="3005" w:type="dxa"/>
          </w:tcPr>
          <w:p w14:paraId="0E3B0DB2" w14:textId="3BC9C187" w:rsidR="007722E8" w:rsidRPr="00115A34" w:rsidRDefault="00737346" w:rsidP="005F7185">
            <w:pPr>
              <w:rPr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Objectif de la politique commune de la pêche de l’UE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pour assurer une pêche durable dans l’ensemble de l’UE d’ici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2020 </w:t>
            </w:r>
            <w:r>
              <w:rPr>
                <w:color w:val="000000"/>
                <w:sz w:val="19"/>
                <w:szCs w:val="19"/>
                <w:lang w:val="fr-FR"/>
              </w:rPr>
              <w:t>et au-delà</w:t>
            </w:r>
          </w:p>
        </w:tc>
        <w:tc>
          <w:tcPr>
            <w:tcW w:w="3005" w:type="dxa"/>
          </w:tcPr>
          <w:p w14:paraId="0A892847" w14:textId="7C275976" w:rsidR="007722E8" w:rsidRPr="00115A34" w:rsidRDefault="007B5E14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 en préambule de la</w:t>
            </w:r>
            <w:r w:rsidRPr="00115A34">
              <w:rPr>
                <w:sz w:val="19"/>
                <w:szCs w:val="19"/>
                <w:lang w:val="fr-FR"/>
              </w:rPr>
              <w:t xml:space="preserve"> R</w:t>
            </w:r>
            <w:r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solution </w:t>
            </w:r>
            <w:r>
              <w:rPr>
                <w:sz w:val="19"/>
                <w:szCs w:val="19"/>
                <w:lang w:val="fr-FR"/>
              </w:rPr>
              <w:t>MOP</w:t>
            </w:r>
            <w:r w:rsidRPr="00115A34">
              <w:rPr>
                <w:sz w:val="19"/>
                <w:szCs w:val="19"/>
                <w:lang w:val="fr-FR"/>
              </w:rPr>
              <w:t xml:space="preserve">6.9 (2015) </w:t>
            </w:r>
            <w:r>
              <w:rPr>
                <w:sz w:val="19"/>
                <w:szCs w:val="19"/>
                <w:lang w:val="fr-FR"/>
              </w:rPr>
              <w:t>« Améliorer l’état de conservation des oiseaux marins d’Afrique-Eurasie »</w:t>
            </w:r>
          </w:p>
        </w:tc>
        <w:tc>
          <w:tcPr>
            <w:tcW w:w="3006" w:type="dxa"/>
          </w:tcPr>
          <w:p w14:paraId="4ADAF1A0" w14:textId="5CEE2C59" w:rsidR="007722E8" w:rsidRPr="00115A34" w:rsidRDefault="00737346" w:rsidP="003838AB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Examens des politiques</w:t>
            </w:r>
            <w:r w:rsidR="003838AB"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7D1931" w14:paraId="75B75BF5" w14:textId="77777777" w:rsidTr="005F7185">
        <w:tc>
          <w:tcPr>
            <w:tcW w:w="3005" w:type="dxa"/>
          </w:tcPr>
          <w:p w14:paraId="29622244" w14:textId="5BEEB30F" w:rsidR="007722E8" w:rsidRPr="00115A34" w:rsidRDefault="00737346" w:rsidP="005F7185">
            <w:pPr>
              <w:rPr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Plan d’action de l’UE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(2012) </w:t>
            </w:r>
            <w:r>
              <w:rPr>
                <w:color w:val="000000"/>
                <w:sz w:val="19"/>
                <w:szCs w:val="19"/>
                <w:lang w:val="fr-FR"/>
              </w:rPr>
              <w:t>pour réduire les captures accidentelles d’oiseaux marins dans les filets de pêche</w:t>
            </w:r>
          </w:p>
        </w:tc>
        <w:tc>
          <w:tcPr>
            <w:tcW w:w="3005" w:type="dxa"/>
          </w:tcPr>
          <w:p w14:paraId="34C941A0" w14:textId="61CE928A" w:rsidR="007722E8" w:rsidRPr="00115A34" w:rsidRDefault="007B5E14" w:rsidP="000E7DF8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Mentionné en préambule de la</w:t>
            </w:r>
            <w:r w:rsidRPr="00115A34">
              <w:rPr>
                <w:sz w:val="19"/>
                <w:szCs w:val="19"/>
                <w:lang w:val="fr-FR"/>
              </w:rPr>
              <w:t xml:space="preserve"> R</w:t>
            </w:r>
            <w:r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solution </w:t>
            </w:r>
            <w:r>
              <w:rPr>
                <w:sz w:val="19"/>
                <w:szCs w:val="19"/>
                <w:lang w:val="fr-FR"/>
              </w:rPr>
              <w:t>MOP</w:t>
            </w:r>
            <w:r w:rsidRPr="00115A34">
              <w:rPr>
                <w:sz w:val="19"/>
                <w:szCs w:val="19"/>
                <w:lang w:val="fr-FR"/>
              </w:rPr>
              <w:t xml:space="preserve">6.9 (2015) </w:t>
            </w:r>
            <w:r>
              <w:rPr>
                <w:sz w:val="19"/>
                <w:szCs w:val="19"/>
                <w:lang w:val="fr-FR"/>
              </w:rPr>
              <w:t xml:space="preserve">« Améliorer l’état de conservation des oiseaux marins d’Afrique-Eurasie » </w:t>
            </w:r>
            <w:r w:rsidR="000E7DF8" w:rsidRPr="00115A34">
              <w:rPr>
                <w:sz w:val="19"/>
                <w:szCs w:val="19"/>
                <w:lang w:val="fr-FR"/>
              </w:rPr>
              <w:t xml:space="preserve">; </w:t>
            </w:r>
            <w:r w:rsidR="00737346">
              <w:rPr>
                <w:sz w:val="19"/>
                <w:szCs w:val="19"/>
                <w:lang w:val="fr-FR"/>
              </w:rPr>
              <w:t>et dans le Plan d’action pour la Macreuse brune</w:t>
            </w:r>
            <w:r w:rsidR="000E7DF8" w:rsidRPr="00115A34">
              <w:rPr>
                <w:sz w:val="19"/>
                <w:szCs w:val="19"/>
                <w:lang w:val="fr-FR"/>
              </w:rPr>
              <w:t xml:space="preserve"> (</w:t>
            </w:r>
            <w:r w:rsidR="00737346">
              <w:rPr>
                <w:sz w:val="19"/>
                <w:szCs w:val="19"/>
                <w:lang w:val="fr-FR"/>
              </w:rPr>
              <w:t>voir ci-dessous</w:t>
            </w:r>
            <w:r w:rsidR="000E7DF8" w:rsidRPr="00115A34">
              <w:rPr>
                <w:sz w:val="19"/>
                <w:szCs w:val="19"/>
                <w:lang w:val="fr-FR"/>
              </w:rPr>
              <w:t>)</w:t>
            </w:r>
          </w:p>
        </w:tc>
        <w:tc>
          <w:tcPr>
            <w:tcW w:w="3006" w:type="dxa"/>
          </w:tcPr>
          <w:p w14:paraId="79F6EA0D" w14:textId="254EC51A" w:rsidR="004C70BC" w:rsidRPr="00115A34" w:rsidRDefault="00737346" w:rsidP="004C70BC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Examen des progrès en matière de mise en œuvre</w:t>
            </w:r>
            <w:r w:rsidR="003838AB" w:rsidRPr="00115A34">
              <w:rPr>
                <w:sz w:val="19"/>
                <w:szCs w:val="19"/>
                <w:lang w:val="fr-FR"/>
              </w:rPr>
              <w:t>.</w:t>
            </w:r>
          </w:p>
          <w:p w14:paraId="27E77670" w14:textId="0C436991" w:rsidR="007722E8" w:rsidRPr="00115A34" w:rsidRDefault="00DF00AB" w:rsidP="004C70BC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Influence</w:t>
            </w:r>
            <w:r w:rsidR="008A57B2">
              <w:rPr>
                <w:sz w:val="19"/>
                <w:szCs w:val="19"/>
                <w:lang w:val="fr-FR"/>
              </w:rPr>
              <w:t>r les travaux en vue du nouveau Plan d’action de l’UE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8A57B2">
              <w:rPr>
                <w:sz w:val="19"/>
                <w:szCs w:val="19"/>
                <w:lang w:val="fr-FR"/>
              </w:rPr>
              <w:t>pour la</w:t>
            </w:r>
            <w:r w:rsidRPr="00115A34">
              <w:rPr>
                <w:sz w:val="19"/>
                <w:szCs w:val="19"/>
                <w:lang w:val="fr-FR"/>
              </w:rPr>
              <w:t xml:space="preserve"> conserv</w:t>
            </w:r>
            <w:r w:rsidR="008A57B2">
              <w:rPr>
                <w:sz w:val="19"/>
                <w:szCs w:val="19"/>
                <w:lang w:val="fr-FR"/>
              </w:rPr>
              <w:t>ation des ressources halieutiques et la protection des écosystèmes marins</w:t>
            </w:r>
            <w:r w:rsidRPr="00115A34">
              <w:rPr>
                <w:sz w:val="19"/>
                <w:szCs w:val="19"/>
                <w:lang w:val="fr-FR"/>
              </w:rPr>
              <w:t xml:space="preserve">, </w:t>
            </w:r>
            <w:r w:rsidR="008A57B2">
              <w:rPr>
                <w:sz w:val="19"/>
                <w:szCs w:val="19"/>
                <w:lang w:val="fr-FR"/>
              </w:rPr>
              <w:t>comme prévoit la Stratégie européenne en faveur de la biodiversité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7D1931" w14:paraId="462CD5A0" w14:textId="77777777" w:rsidTr="005F7185">
        <w:tc>
          <w:tcPr>
            <w:tcW w:w="3005" w:type="dxa"/>
          </w:tcPr>
          <w:p w14:paraId="164FCBD4" w14:textId="48F19A63" w:rsidR="007722E8" w:rsidRPr="00115A34" w:rsidRDefault="008A57B2" w:rsidP="005F7185">
            <w:pPr>
              <w:rPr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Préoccupations communes et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synergies </w:t>
            </w:r>
            <w:r>
              <w:rPr>
                <w:color w:val="000000"/>
                <w:sz w:val="19"/>
                <w:szCs w:val="19"/>
                <w:lang w:val="fr-FR"/>
              </w:rPr>
              <w:t>potentielles entre l’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AEWA </w:t>
            </w:r>
            <w:r>
              <w:rPr>
                <w:color w:val="000000"/>
                <w:sz w:val="19"/>
                <w:szCs w:val="19"/>
                <w:lang w:val="fr-FR"/>
              </w:rPr>
              <w:t>et l’UE</w:t>
            </w:r>
          </w:p>
        </w:tc>
        <w:tc>
          <w:tcPr>
            <w:tcW w:w="3005" w:type="dxa"/>
          </w:tcPr>
          <w:p w14:paraId="0E4B4761" w14:textId="0402CB30" w:rsidR="007722E8" w:rsidRPr="00115A34" w:rsidRDefault="007B5E14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Mentionné en </w:t>
            </w:r>
            <w:r w:rsidRPr="00115A34">
              <w:rPr>
                <w:sz w:val="19"/>
                <w:szCs w:val="19"/>
                <w:lang w:val="fr-FR"/>
              </w:rPr>
              <w:t>pr</w:t>
            </w:r>
            <w:r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>amb</w:t>
            </w:r>
            <w:r>
              <w:rPr>
                <w:sz w:val="19"/>
                <w:szCs w:val="19"/>
                <w:lang w:val="fr-FR"/>
              </w:rPr>
              <w:t>u</w:t>
            </w:r>
            <w:r w:rsidRPr="00115A34">
              <w:rPr>
                <w:sz w:val="19"/>
                <w:szCs w:val="19"/>
                <w:lang w:val="fr-FR"/>
              </w:rPr>
              <w:t xml:space="preserve">le </w:t>
            </w:r>
            <w:r>
              <w:rPr>
                <w:sz w:val="19"/>
                <w:szCs w:val="19"/>
                <w:lang w:val="fr-FR"/>
              </w:rPr>
              <w:t>de la</w:t>
            </w:r>
            <w:r w:rsidRPr="00115A34">
              <w:rPr>
                <w:sz w:val="19"/>
                <w:szCs w:val="19"/>
                <w:lang w:val="fr-FR"/>
              </w:rPr>
              <w:t xml:space="preserve"> R</w:t>
            </w:r>
            <w:r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solution </w:t>
            </w:r>
            <w:r>
              <w:rPr>
                <w:sz w:val="19"/>
                <w:szCs w:val="19"/>
                <w:lang w:val="fr-FR"/>
              </w:rPr>
              <w:t>MOP</w:t>
            </w:r>
            <w:r w:rsidRPr="00115A34">
              <w:rPr>
                <w:sz w:val="19"/>
                <w:szCs w:val="19"/>
                <w:lang w:val="fr-FR"/>
              </w:rPr>
              <w:t xml:space="preserve">7.6 (2018) </w:t>
            </w:r>
            <w:r>
              <w:rPr>
                <w:sz w:val="19"/>
                <w:szCs w:val="19"/>
                <w:lang w:val="fr-FR"/>
              </w:rPr>
              <w:t>« Priorités pour la</w:t>
            </w:r>
            <w:r w:rsidRPr="00115A34">
              <w:rPr>
                <w:sz w:val="19"/>
                <w:szCs w:val="19"/>
                <w:lang w:val="fr-FR"/>
              </w:rPr>
              <w:t xml:space="preserve"> conservation </w:t>
            </w:r>
            <w:r>
              <w:rPr>
                <w:sz w:val="19"/>
                <w:szCs w:val="19"/>
                <w:lang w:val="fr-FR"/>
              </w:rPr>
              <w:t>des oiseaux marins empruntant les voies de migration d’Afrique-Eurasie »</w:t>
            </w:r>
          </w:p>
        </w:tc>
        <w:tc>
          <w:tcPr>
            <w:tcW w:w="3006" w:type="dxa"/>
          </w:tcPr>
          <w:p w14:paraId="78FE1306" w14:textId="68834F90" w:rsidR="007722E8" w:rsidRPr="00115A34" w:rsidRDefault="003838AB" w:rsidP="00D734D7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Explore</w:t>
            </w:r>
            <w:r w:rsidR="008A57B2">
              <w:rPr>
                <w:sz w:val="19"/>
                <w:szCs w:val="19"/>
                <w:lang w:val="fr-FR"/>
              </w:rPr>
              <w:t xml:space="preserve">r plus en détail l’étendue des possibilités de </w:t>
            </w:r>
            <w:r w:rsidRPr="00115A34">
              <w:rPr>
                <w:sz w:val="19"/>
                <w:szCs w:val="19"/>
                <w:lang w:val="fr-FR"/>
              </w:rPr>
              <w:t>collaboration/synerg</w:t>
            </w:r>
            <w:r w:rsidR="008A57B2">
              <w:rPr>
                <w:sz w:val="19"/>
                <w:szCs w:val="19"/>
                <w:lang w:val="fr-FR"/>
              </w:rPr>
              <w:t>ie</w:t>
            </w:r>
            <w:r w:rsidR="00D734D7" w:rsidRPr="00115A34">
              <w:rPr>
                <w:sz w:val="19"/>
                <w:szCs w:val="19"/>
                <w:lang w:val="fr-FR"/>
              </w:rPr>
              <w:t xml:space="preserve">, </w:t>
            </w:r>
            <w:r w:rsidR="008A57B2">
              <w:rPr>
                <w:sz w:val="19"/>
                <w:szCs w:val="19"/>
                <w:lang w:val="fr-FR"/>
              </w:rPr>
              <w:t>y compris au niveau</w:t>
            </w:r>
            <w:r w:rsidR="00D734D7" w:rsidRPr="00115A34">
              <w:rPr>
                <w:sz w:val="19"/>
                <w:szCs w:val="19"/>
                <w:lang w:val="fr-FR"/>
              </w:rPr>
              <w:t xml:space="preserve"> national</w:t>
            </w:r>
            <w:r w:rsidR="008A57B2">
              <w:rPr>
                <w:sz w:val="19"/>
                <w:szCs w:val="19"/>
                <w:lang w:val="fr-FR"/>
              </w:rPr>
              <w:t>, entre les points focaux</w:t>
            </w:r>
            <w:r w:rsidR="00D734D7" w:rsidRPr="00115A34">
              <w:rPr>
                <w:sz w:val="19"/>
                <w:szCs w:val="19"/>
                <w:lang w:val="fr-FR"/>
              </w:rPr>
              <w:t xml:space="preserve"> </w:t>
            </w:r>
            <w:r w:rsidR="008A57B2">
              <w:rPr>
                <w:sz w:val="19"/>
                <w:szCs w:val="19"/>
                <w:lang w:val="fr-FR"/>
              </w:rPr>
              <w:t>de l’</w:t>
            </w:r>
            <w:r w:rsidR="00D734D7" w:rsidRPr="00115A34">
              <w:rPr>
                <w:sz w:val="19"/>
                <w:szCs w:val="19"/>
                <w:lang w:val="fr-FR"/>
              </w:rPr>
              <w:t xml:space="preserve">AEWA </w:t>
            </w:r>
            <w:r w:rsidR="008A57B2">
              <w:rPr>
                <w:sz w:val="19"/>
                <w:szCs w:val="19"/>
                <w:lang w:val="fr-FR"/>
              </w:rPr>
              <w:t>et les bureaux principaux responsables de la mise en œuvre de la législation européenne sur la pêche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0E7DF8" w:rsidRPr="007D1931" w14:paraId="510C2CF9" w14:textId="77777777" w:rsidTr="005F7185">
        <w:tc>
          <w:tcPr>
            <w:tcW w:w="3005" w:type="dxa"/>
          </w:tcPr>
          <w:p w14:paraId="3EE6FCB3" w14:textId="762C7510" w:rsidR="000E7DF8" w:rsidRPr="00115A34" w:rsidRDefault="008A57B2" w:rsidP="000E7DF8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Plan d’action i</w:t>
            </w:r>
            <w:r w:rsidR="000E7DF8" w:rsidRPr="00115A34">
              <w:rPr>
                <w:color w:val="000000"/>
                <w:sz w:val="19"/>
                <w:szCs w:val="19"/>
                <w:lang w:val="fr-FR"/>
              </w:rPr>
              <w:t xml:space="preserve">nternational </w:t>
            </w:r>
            <w:r>
              <w:rPr>
                <w:color w:val="000000"/>
                <w:sz w:val="19"/>
                <w:szCs w:val="19"/>
                <w:lang w:val="fr-FR"/>
              </w:rPr>
              <w:t>pour la</w:t>
            </w:r>
            <w:r w:rsidR="000E7DF8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c</w:t>
            </w:r>
            <w:r w:rsidR="000E7DF8" w:rsidRPr="00115A34">
              <w:rPr>
                <w:color w:val="000000"/>
                <w:sz w:val="19"/>
                <w:szCs w:val="19"/>
                <w:lang w:val="fr-FR"/>
              </w:rPr>
              <w:t xml:space="preserve">onservation </w:t>
            </w:r>
            <w:r>
              <w:rPr>
                <w:color w:val="000000"/>
                <w:sz w:val="19"/>
                <w:szCs w:val="19"/>
                <w:lang w:val="fr-FR"/>
              </w:rPr>
              <w:t>de la Macreuse brune</w:t>
            </w:r>
            <w:r w:rsidR="000E7DF8" w:rsidRPr="00115A34">
              <w:rPr>
                <w:color w:val="000000"/>
                <w:sz w:val="19"/>
                <w:szCs w:val="19"/>
                <w:lang w:val="fr-FR"/>
              </w:rPr>
              <w:t xml:space="preserve"> (</w:t>
            </w:r>
            <w:r w:rsidR="000E7DF8" w:rsidRPr="00115A34">
              <w:rPr>
                <w:i/>
                <w:color w:val="000000"/>
                <w:sz w:val="19"/>
                <w:szCs w:val="19"/>
                <w:lang w:val="fr-FR"/>
              </w:rPr>
              <w:t>Melanitta fusca</w:t>
            </w:r>
            <w:r w:rsidR="000E7DF8" w:rsidRPr="00115A34">
              <w:rPr>
                <w:color w:val="000000"/>
                <w:sz w:val="19"/>
                <w:szCs w:val="19"/>
                <w:lang w:val="fr-FR"/>
              </w:rPr>
              <w:t>) Sib</w:t>
            </w:r>
            <w:r w:rsidR="003D49A2">
              <w:rPr>
                <w:color w:val="000000"/>
                <w:sz w:val="19"/>
                <w:szCs w:val="19"/>
                <w:lang w:val="fr-FR"/>
              </w:rPr>
              <w:t>é</w:t>
            </w:r>
            <w:r w:rsidR="000E7DF8" w:rsidRPr="00115A34">
              <w:rPr>
                <w:color w:val="000000"/>
                <w:sz w:val="19"/>
                <w:szCs w:val="19"/>
                <w:lang w:val="fr-FR"/>
              </w:rPr>
              <w:t>ri</w:t>
            </w:r>
            <w:r w:rsidR="003D49A2">
              <w:rPr>
                <w:color w:val="000000"/>
                <w:sz w:val="19"/>
                <w:szCs w:val="19"/>
                <w:lang w:val="fr-FR"/>
              </w:rPr>
              <w:t>e occidentale</w:t>
            </w:r>
            <w:r w:rsidR="000E7DF8" w:rsidRPr="00115A34">
              <w:rPr>
                <w:color w:val="000000"/>
                <w:sz w:val="19"/>
                <w:szCs w:val="19"/>
                <w:lang w:val="fr-FR"/>
              </w:rPr>
              <w:t xml:space="preserve"> &amp; Europe</w:t>
            </w:r>
            <w:r w:rsidR="003D49A2">
              <w:rPr>
                <w:color w:val="000000"/>
                <w:sz w:val="19"/>
                <w:szCs w:val="19"/>
                <w:lang w:val="fr-FR"/>
              </w:rPr>
              <w:t xml:space="preserve"> du nord</w:t>
            </w:r>
            <w:r w:rsidR="000E7DF8" w:rsidRPr="00115A34">
              <w:rPr>
                <w:color w:val="000000"/>
                <w:sz w:val="19"/>
                <w:szCs w:val="19"/>
                <w:lang w:val="fr-FR"/>
              </w:rPr>
              <w:t xml:space="preserve">/ </w:t>
            </w:r>
            <w:r w:rsidR="003D49A2">
              <w:rPr>
                <w:color w:val="000000"/>
                <w:sz w:val="19"/>
                <w:szCs w:val="19"/>
                <w:lang w:val="fr-FR"/>
              </w:rPr>
              <w:t xml:space="preserve">population NO </w:t>
            </w:r>
            <w:r w:rsidR="000E7DF8" w:rsidRPr="00115A34">
              <w:rPr>
                <w:color w:val="000000"/>
                <w:sz w:val="19"/>
                <w:szCs w:val="19"/>
                <w:lang w:val="fr-FR"/>
              </w:rPr>
              <w:t>Europe</w:t>
            </w:r>
            <w:r w:rsidR="00CB23FF" w:rsidRPr="00115A34">
              <w:rPr>
                <w:color w:val="000000"/>
                <w:sz w:val="19"/>
                <w:szCs w:val="19"/>
                <w:lang w:val="fr-FR"/>
              </w:rPr>
              <w:t xml:space="preserve"> (</w:t>
            </w:r>
            <w:r w:rsidR="003D49A2">
              <w:rPr>
                <w:color w:val="000000"/>
                <w:sz w:val="19"/>
                <w:szCs w:val="19"/>
                <w:lang w:val="fr-FR"/>
              </w:rPr>
              <w:t>Série technique n</w:t>
            </w:r>
            <w:r w:rsidR="003D49A2" w:rsidRPr="003D49A2">
              <w:rPr>
                <w:color w:val="000000"/>
                <w:sz w:val="19"/>
                <w:szCs w:val="19"/>
                <w:vertAlign w:val="superscript"/>
                <w:lang w:val="fr-FR"/>
              </w:rPr>
              <w:t>o</w:t>
            </w:r>
            <w:r w:rsidR="00CB23FF" w:rsidRPr="00115A34">
              <w:rPr>
                <w:color w:val="000000"/>
                <w:sz w:val="19"/>
                <w:szCs w:val="19"/>
                <w:lang w:val="fr-FR"/>
              </w:rPr>
              <w:t xml:space="preserve"> 67</w:t>
            </w:r>
            <w:r w:rsidR="003D49A2">
              <w:rPr>
                <w:color w:val="000000"/>
                <w:sz w:val="19"/>
                <w:szCs w:val="19"/>
                <w:lang w:val="fr-FR"/>
              </w:rPr>
              <w:t xml:space="preserve"> de l’AEWA</w:t>
            </w:r>
            <w:r w:rsidR="00CB23FF" w:rsidRPr="00115A34">
              <w:rPr>
                <w:color w:val="000000"/>
                <w:sz w:val="19"/>
                <w:szCs w:val="19"/>
                <w:lang w:val="fr-FR"/>
              </w:rPr>
              <w:t>, 2018)</w:t>
            </w:r>
          </w:p>
        </w:tc>
        <w:tc>
          <w:tcPr>
            <w:tcW w:w="3005" w:type="dxa"/>
          </w:tcPr>
          <w:p w14:paraId="3E7934E5" w14:textId="0C331A46" w:rsidR="000E7DF8" w:rsidRPr="00115A34" w:rsidRDefault="003D49A2" w:rsidP="00CB23FF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Il s’agit d’un Plan d’action par espèce réalisé en commun par l’</w:t>
            </w:r>
            <w:r w:rsidR="00CB23FF" w:rsidRPr="00115A34">
              <w:rPr>
                <w:color w:val="000000"/>
                <w:sz w:val="19"/>
                <w:szCs w:val="19"/>
                <w:lang w:val="fr-FR"/>
              </w:rPr>
              <w:t>AEWA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 et l’U</w:t>
            </w:r>
            <w:r w:rsidR="00CB23FF" w:rsidRPr="00115A34">
              <w:rPr>
                <w:color w:val="000000"/>
                <w:sz w:val="19"/>
                <w:szCs w:val="19"/>
                <w:lang w:val="fr-FR"/>
              </w:rPr>
              <w:t>E</w:t>
            </w:r>
            <w:r w:rsidR="000E7DF8" w:rsidRPr="00115A34">
              <w:rPr>
                <w:color w:val="000000"/>
                <w:sz w:val="19"/>
                <w:szCs w:val="19"/>
                <w:lang w:val="fr-FR"/>
              </w:rPr>
              <w:t xml:space="preserve">, </w:t>
            </w:r>
            <w:r>
              <w:rPr>
                <w:color w:val="000000"/>
                <w:sz w:val="19"/>
                <w:szCs w:val="19"/>
                <w:lang w:val="fr-FR"/>
              </w:rPr>
              <w:t>dans le but d’aider à l’accomplissement des</w:t>
            </w:r>
            <w:r w:rsidR="000E7DF8" w:rsidRPr="00115A34">
              <w:rPr>
                <w:color w:val="000000"/>
                <w:sz w:val="19"/>
                <w:szCs w:val="19"/>
                <w:lang w:val="fr-FR"/>
              </w:rPr>
              <w:t xml:space="preserve"> obligations 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découlant </w:t>
            </w:r>
            <w:r w:rsidR="00F11630">
              <w:rPr>
                <w:color w:val="000000"/>
                <w:sz w:val="19"/>
                <w:szCs w:val="19"/>
                <w:lang w:val="fr-FR"/>
              </w:rPr>
              <w:t xml:space="preserve">du Plan d’action </w:t>
            </w:r>
            <w:r>
              <w:rPr>
                <w:color w:val="000000"/>
                <w:sz w:val="19"/>
                <w:szCs w:val="19"/>
                <w:lang w:val="fr-FR"/>
              </w:rPr>
              <w:t>de l’</w:t>
            </w:r>
            <w:r w:rsidR="000E7DF8" w:rsidRPr="00115A34">
              <w:rPr>
                <w:color w:val="000000"/>
                <w:sz w:val="19"/>
                <w:szCs w:val="19"/>
                <w:lang w:val="fr-FR"/>
              </w:rPr>
              <w:t xml:space="preserve">AEWA </w:t>
            </w:r>
            <w:r>
              <w:rPr>
                <w:color w:val="000000"/>
                <w:sz w:val="19"/>
                <w:szCs w:val="19"/>
                <w:lang w:val="fr-FR"/>
              </w:rPr>
              <w:t>et de la Directive Oiseaux sauvages de l’UE</w:t>
            </w:r>
            <w:r w:rsidR="000E7DF8" w:rsidRPr="00115A34">
              <w:rPr>
                <w:color w:val="000000"/>
                <w:sz w:val="19"/>
                <w:szCs w:val="19"/>
                <w:lang w:val="fr-FR"/>
              </w:rPr>
              <w:t>, con</w:t>
            </w:r>
            <w:r>
              <w:rPr>
                <w:color w:val="000000"/>
                <w:sz w:val="19"/>
                <w:szCs w:val="19"/>
                <w:lang w:val="fr-FR"/>
              </w:rPr>
              <w:t>formément à l’a</w:t>
            </w:r>
            <w:r w:rsidR="000E7DF8" w:rsidRPr="00115A34">
              <w:rPr>
                <w:color w:val="000000"/>
                <w:sz w:val="19"/>
                <w:szCs w:val="19"/>
                <w:lang w:val="fr-FR"/>
              </w:rPr>
              <w:t xml:space="preserve">rticle III.2(e) </w:t>
            </w:r>
            <w:r>
              <w:rPr>
                <w:color w:val="000000"/>
                <w:sz w:val="19"/>
                <w:szCs w:val="19"/>
                <w:lang w:val="fr-FR"/>
              </w:rPr>
              <w:t>de l’Accord</w:t>
            </w:r>
          </w:p>
        </w:tc>
        <w:tc>
          <w:tcPr>
            <w:tcW w:w="3006" w:type="dxa"/>
          </w:tcPr>
          <w:p w14:paraId="4AEF152D" w14:textId="1FBF0750" w:rsidR="000E7DF8" w:rsidRPr="00115A34" w:rsidRDefault="003D49A2" w:rsidP="003838AB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Examen des progrès en matière de mise en œuvre</w:t>
            </w:r>
            <w:r w:rsidR="000E7DF8"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5D5DCE" w:rsidRPr="00326B2D" w14:paraId="70B03DB8" w14:textId="77777777" w:rsidTr="005F7185">
        <w:tc>
          <w:tcPr>
            <w:tcW w:w="3005" w:type="dxa"/>
          </w:tcPr>
          <w:p w14:paraId="5E0F0730" w14:textId="64C1ADA5" w:rsidR="005D5DCE" w:rsidRPr="00115A34" w:rsidRDefault="005D5DCE" w:rsidP="005D5DCE">
            <w:pPr>
              <w:rPr>
                <w:color w:val="000000"/>
                <w:sz w:val="19"/>
                <w:szCs w:val="19"/>
                <w:lang w:val="fr-FR"/>
              </w:rPr>
            </w:pPr>
            <w:r w:rsidRPr="00115A34">
              <w:rPr>
                <w:color w:val="000000"/>
                <w:sz w:val="19"/>
                <w:szCs w:val="19"/>
                <w:lang w:val="fr-FR"/>
              </w:rPr>
              <w:t>(</w:t>
            </w:r>
            <w:r w:rsidR="003D49A2">
              <w:rPr>
                <w:color w:val="000000"/>
                <w:sz w:val="19"/>
                <w:szCs w:val="19"/>
                <w:lang w:val="fr-FR"/>
              </w:rPr>
              <w:t>Voir également le Plan d’action i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nternational </w:t>
            </w:r>
            <w:r w:rsidR="003D49A2">
              <w:rPr>
                <w:color w:val="000000"/>
                <w:sz w:val="19"/>
                <w:szCs w:val="19"/>
                <w:lang w:val="fr-FR"/>
              </w:rPr>
              <w:t>pour la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3D49A2">
              <w:rPr>
                <w:color w:val="000000"/>
                <w:sz w:val="19"/>
                <w:szCs w:val="19"/>
                <w:lang w:val="fr-FR"/>
              </w:rPr>
              <w:t>c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onservation </w:t>
            </w:r>
            <w:r w:rsidR="003D49A2">
              <w:rPr>
                <w:color w:val="000000"/>
                <w:sz w:val="19"/>
                <w:szCs w:val="19"/>
                <w:lang w:val="fr-FR"/>
              </w:rPr>
              <w:t>de l’Érismature à tête blanche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Pr="00115A34">
              <w:rPr>
                <w:i/>
                <w:color w:val="000000"/>
                <w:sz w:val="19"/>
                <w:szCs w:val="19"/>
                <w:lang w:val="fr-FR"/>
              </w:rPr>
              <w:t>Oxyura leucocephala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3D49A2">
              <w:rPr>
                <w:color w:val="000000"/>
                <w:sz w:val="19"/>
                <w:szCs w:val="19"/>
                <w:lang w:val="fr-FR"/>
              </w:rPr>
              <w:t>dans la section ci-dessus relative à la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CMS</w:t>
            </w:r>
            <w:r w:rsidR="003D49A2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– </w:t>
            </w:r>
            <w:r w:rsidR="003D49A2">
              <w:rPr>
                <w:color w:val="000000"/>
                <w:sz w:val="19"/>
                <w:szCs w:val="19"/>
                <w:lang w:val="fr-FR"/>
              </w:rPr>
              <w:t>plan commun avec l’UE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)</w:t>
            </w:r>
          </w:p>
        </w:tc>
        <w:tc>
          <w:tcPr>
            <w:tcW w:w="3005" w:type="dxa"/>
          </w:tcPr>
          <w:p w14:paraId="0193A3EB" w14:textId="7D4E582D" w:rsidR="005D5DCE" w:rsidRPr="00115A34" w:rsidRDefault="005D5DCE" w:rsidP="005D5DCE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color w:val="000000"/>
                <w:sz w:val="19"/>
                <w:szCs w:val="19"/>
                <w:lang w:val="fr-FR"/>
              </w:rPr>
              <w:t>(</w:t>
            </w:r>
            <w:r w:rsidR="003D49A2">
              <w:rPr>
                <w:color w:val="000000"/>
                <w:sz w:val="19"/>
                <w:szCs w:val="19"/>
                <w:lang w:val="fr-FR"/>
              </w:rPr>
              <w:t xml:space="preserve">Voir la section ci-dessus relative à la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CMS)</w:t>
            </w:r>
          </w:p>
        </w:tc>
        <w:tc>
          <w:tcPr>
            <w:tcW w:w="3006" w:type="dxa"/>
          </w:tcPr>
          <w:p w14:paraId="18041BEE" w14:textId="367B5E83" w:rsidR="005D5DCE" w:rsidRPr="00115A34" w:rsidRDefault="00E92386" w:rsidP="005D5DCE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color w:val="000000"/>
                <w:sz w:val="19"/>
                <w:szCs w:val="19"/>
                <w:lang w:val="fr-FR"/>
              </w:rPr>
              <w:t>(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Voir la section ci-dessus relative à la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CMS)</w:t>
            </w:r>
          </w:p>
        </w:tc>
      </w:tr>
      <w:tr w:rsidR="005D5DCE" w:rsidRPr="007D1931" w14:paraId="0B0588AB" w14:textId="77777777" w:rsidTr="005F7185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10C2C1F" w14:textId="6AA9BC1A" w:rsidR="005D5DCE" w:rsidRPr="00115A34" w:rsidRDefault="005D5DCE" w:rsidP="005D5DCE">
            <w:pPr>
              <w:spacing w:before="20" w:after="20"/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</w:t>
            </w:r>
            <w:r w:rsidR="00846337">
              <w:rPr>
                <w:b/>
                <w:i/>
                <w:color w:val="000066"/>
                <w:sz w:val="19"/>
                <w:szCs w:val="19"/>
                <w:lang w:val="fr-FR"/>
              </w:rPr>
              <w:t>Organisations ré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>gional</w:t>
            </w:r>
            <w:r w:rsidR="00846337">
              <w:rPr>
                <w:b/>
                <w:i/>
                <w:color w:val="000066"/>
                <w:sz w:val="19"/>
                <w:szCs w:val="19"/>
                <w:lang w:val="fr-FR"/>
              </w:rPr>
              <w:t>es de gestion des pêches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(</w:t>
            </w:r>
            <w:r w:rsidR="00846337">
              <w:rPr>
                <w:b/>
                <w:i/>
                <w:color w:val="000066"/>
                <w:sz w:val="19"/>
                <w:szCs w:val="19"/>
                <w:lang w:val="fr-FR"/>
              </w:rPr>
              <w:t>ORGP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>)</w:t>
            </w:r>
          </w:p>
        </w:tc>
      </w:tr>
      <w:tr w:rsidR="005D5DCE" w:rsidRPr="00326B2D" w14:paraId="64534A74" w14:textId="77777777" w:rsidTr="005867D6">
        <w:trPr>
          <w:trHeight w:val="4044"/>
        </w:trPr>
        <w:tc>
          <w:tcPr>
            <w:tcW w:w="3005" w:type="dxa"/>
          </w:tcPr>
          <w:p w14:paraId="6E58AEB5" w14:textId="1DAF2D01" w:rsidR="005D5DCE" w:rsidRPr="00115A34" w:rsidRDefault="00E92386" w:rsidP="005D5DCE">
            <w:pPr>
              <w:rPr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lastRenderedPageBreak/>
              <w:t>Le rôle central et les</w:t>
            </w:r>
            <w:r w:rsidR="005D5DCE" w:rsidRPr="00115A34">
              <w:rPr>
                <w:color w:val="000000"/>
                <w:sz w:val="19"/>
                <w:szCs w:val="19"/>
                <w:lang w:val="fr-FR"/>
              </w:rPr>
              <w:t xml:space="preserve"> respons</w:t>
            </w:r>
            <w:r>
              <w:rPr>
                <w:color w:val="000000"/>
                <w:sz w:val="19"/>
                <w:szCs w:val="19"/>
                <w:lang w:val="fr-FR"/>
              </w:rPr>
              <w:t>a</w:t>
            </w:r>
            <w:r w:rsidR="005D5DCE" w:rsidRPr="00115A34">
              <w:rPr>
                <w:color w:val="000000"/>
                <w:sz w:val="19"/>
                <w:szCs w:val="19"/>
                <w:lang w:val="fr-FR"/>
              </w:rPr>
              <w:t>bilit</w:t>
            </w:r>
            <w:r>
              <w:rPr>
                <w:color w:val="000000"/>
                <w:sz w:val="19"/>
                <w:szCs w:val="19"/>
                <w:lang w:val="fr-FR"/>
              </w:rPr>
              <w:t>és des</w:t>
            </w:r>
            <w:r w:rsidR="005D5DCE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846337">
              <w:rPr>
                <w:sz w:val="22"/>
                <w:szCs w:val="22"/>
                <w:lang w:val="fr-FR"/>
              </w:rPr>
              <w:t>ORGP</w:t>
            </w:r>
            <w:r w:rsidR="005D5DCE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pour</w:t>
            </w:r>
            <w:r w:rsidR="005D5DCE" w:rsidRPr="00115A34">
              <w:rPr>
                <w:color w:val="000000"/>
                <w:sz w:val="19"/>
                <w:szCs w:val="19"/>
                <w:lang w:val="fr-FR"/>
              </w:rPr>
              <w:t xml:space="preserve"> minimise</w:t>
            </w:r>
            <w:r>
              <w:rPr>
                <w:color w:val="000000"/>
                <w:sz w:val="19"/>
                <w:szCs w:val="19"/>
                <w:lang w:val="fr-FR"/>
              </w:rPr>
              <w:t>r les captures d’espèces non</w:t>
            </w:r>
            <w:r w:rsidR="004C1723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ciblées dans leurs pêcheries</w:t>
            </w:r>
            <w:r w:rsidR="005D5DCE" w:rsidRPr="00115A34">
              <w:rPr>
                <w:color w:val="000000"/>
                <w:sz w:val="19"/>
                <w:szCs w:val="19"/>
                <w:lang w:val="fr-FR"/>
              </w:rPr>
              <w:t xml:space="preserve">, </w:t>
            </w:r>
            <w:r>
              <w:rPr>
                <w:color w:val="000000"/>
                <w:sz w:val="19"/>
                <w:szCs w:val="19"/>
                <w:lang w:val="fr-FR"/>
              </w:rPr>
              <w:t>sont établis dans l’Accord de l’ONU sur les stocks de poissons</w:t>
            </w:r>
          </w:p>
        </w:tc>
        <w:tc>
          <w:tcPr>
            <w:tcW w:w="3005" w:type="dxa"/>
          </w:tcPr>
          <w:p w14:paraId="5B33447F" w14:textId="19BE65D3" w:rsidR="005D5DCE" w:rsidRPr="00115A34" w:rsidRDefault="005D5DCE" w:rsidP="005D5DCE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Paragraph</w:t>
            </w:r>
            <w:r w:rsidR="00E92386">
              <w:rPr>
                <w:sz w:val="19"/>
                <w:szCs w:val="19"/>
                <w:lang w:val="fr-FR"/>
              </w:rPr>
              <w:t>e</w:t>
            </w:r>
            <w:r w:rsidRPr="00115A34">
              <w:rPr>
                <w:sz w:val="19"/>
                <w:szCs w:val="19"/>
                <w:lang w:val="fr-FR"/>
              </w:rPr>
              <w:t xml:space="preserve">s 4.3.7 </w:t>
            </w:r>
            <w:r w:rsidR="00E92386">
              <w:rPr>
                <w:sz w:val="19"/>
                <w:szCs w:val="19"/>
                <w:lang w:val="fr-FR"/>
              </w:rPr>
              <w:t>et</w:t>
            </w:r>
            <w:r w:rsidRPr="00115A34">
              <w:rPr>
                <w:sz w:val="19"/>
                <w:szCs w:val="19"/>
                <w:lang w:val="fr-FR"/>
              </w:rPr>
              <w:t xml:space="preserve"> 4.3.8 </w:t>
            </w:r>
            <w:r w:rsidR="00E92386">
              <w:rPr>
                <w:sz w:val="19"/>
                <w:szCs w:val="19"/>
                <w:lang w:val="fr-FR"/>
              </w:rPr>
              <w:t>de l’Annexe</w:t>
            </w:r>
            <w:r w:rsidRPr="00115A34">
              <w:rPr>
                <w:sz w:val="19"/>
                <w:szCs w:val="19"/>
                <w:lang w:val="fr-FR"/>
              </w:rPr>
              <w:t xml:space="preserve"> 3 </w:t>
            </w:r>
            <w:r w:rsidR="00E92386">
              <w:rPr>
                <w:sz w:val="19"/>
                <w:szCs w:val="19"/>
                <w:lang w:val="fr-FR"/>
              </w:rPr>
              <w:t>de l’Accord</w:t>
            </w:r>
            <w:r w:rsidRPr="00115A34">
              <w:rPr>
                <w:sz w:val="19"/>
                <w:szCs w:val="19"/>
                <w:lang w:val="fr-FR"/>
              </w:rPr>
              <w:t xml:space="preserve"> (</w:t>
            </w:r>
            <w:r w:rsidR="00E92386">
              <w:rPr>
                <w:sz w:val="19"/>
                <w:szCs w:val="19"/>
                <w:lang w:val="fr-FR"/>
              </w:rPr>
              <w:t>le Plan d’action</w:t>
            </w:r>
            <w:r w:rsidRPr="00115A34">
              <w:rPr>
                <w:sz w:val="19"/>
                <w:szCs w:val="19"/>
                <w:lang w:val="fr-FR"/>
              </w:rPr>
              <w:t xml:space="preserve">) </w:t>
            </w:r>
            <w:r w:rsidR="00E92386">
              <w:rPr>
                <w:sz w:val="19"/>
                <w:szCs w:val="19"/>
                <w:lang w:val="fr-FR"/>
              </w:rPr>
              <w:t>exhorte les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Parties </w:t>
            </w:r>
            <w:r w:rsidR="00E92386">
              <w:rPr>
                <w:color w:val="000000"/>
                <w:sz w:val="19"/>
                <w:szCs w:val="19"/>
                <w:lang w:val="fr-FR"/>
              </w:rPr>
              <w:t>de prendre des mesures appropriées par le biais des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846337">
              <w:rPr>
                <w:sz w:val="22"/>
                <w:szCs w:val="22"/>
                <w:lang w:val="fr-FR"/>
              </w:rPr>
              <w:t>ORGP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E92386">
              <w:rPr>
                <w:color w:val="000000"/>
                <w:sz w:val="19"/>
                <w:szCs w:val="19"/>
                <w:lang w:val="fr-FR"/>
              </w:rPr>
              <w:t>pour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minimise</w:t>
            </w:r>
            <w:r w:rsidR="00E92386">
              <w:rPr>
                <w:color w:val="000000"/>
                <w:sz w:val="19"/>
                <w:szCs w:val="19"/>
                <w:lang w:val="fr-FR"/>
              </w:rPr>
              <w:t>r l’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impact </w:t>
            </w:r>
            <w:r w:rsidR="00E92386">
              <w:rPr>
                <w:color w:val="000000"/>
                <w:sz w:val="19"/>
                <w:szCs w:val="19"/>
                <w:lang w:val="fr-FR"/>
              </w:rPr>
              <w:t>des pêcheries sur les oiseaux d’eau migrateurs</w:t>
            </w:r>
            <w:r w:rsidRPr="00115A34">
              <w:rPr>
                <w:sz w:val="19"/>
                <w:szCs w:val="19"/>
                <w:lang w:val="fr-FR"/>
              </w:rPr>
              <w:t xml:space="preserve">. </w:t>
            </w:r>
            <w:r w:rsidR="00E92386">
              <w:rPr>
                <w:sz w:val="19"/>
                <w:szCs w:val="19"/>
                <w:lang w:val="fr-FR"/>
              </w:rPr>
              <w:t>Également mentionné dans le</w:t>
            </w:r>
            <w:r w:rsidRPr="00115A34">
              <w:rPr>
                <w:sz w:val="19"/>
                <w:szCs w:val="19"/>
                <w:lang w:val="fr-FR"/>
              </w:rPr>
              <w:t xml:space="preserve"> pr</w:t>
            </w:r>
            <w:r w:rsidR="00E92386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>amb</w:t>
            </w:r>
            <w:r w:rsidR="00E92386">
              <w:rPr>
                <w:sz w:val="19"/>
                <w:szCs w:val="19"/>
                <w:lang w:val="fr-FR"/>
              </w:rPr>
              <w:t>u</w:t>
            </w:r>
            <w:r w:rsidRPr="00115A34">
              <w:rPr>
                <w:sz w:val="19"/>
                <w:szCs w:val="19"/>
                <w:lang w:val="fr-FR"/>
              </w:rPr>
              <w:t xml:space="preserve">le </w:t>
            </w:r>
            <w:r w:rsidR="00E92386">
              <w:rPr>
                <w:sz w:val="19"/>
                <w:szCs w:val="19"/>
                <w:lang w:val="fr-FR"/>
              </w:rPr>
              <w:t>de la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E92386" w:rsidRPr="00115A34">
              <w:rPr>
                <w:sz w:val="19"/>
                <w:szCs w:val="19"/>
                <w:lang w:val="fr-FR"/>
              </w:rPr>
              <w:t>R</w:t>
            </w:r>
            <w:r w:rsidR="00E92386">
              <w:rPr>
                <w:sz w:val="19"/>
                <w:szCs w:val="19"/>
                <w:lang w:val="fr-FR"/>
              </w:rPr>
              <w:t>é</w:t>
            </w:r>
            <w:r w:rsidR="00E92386" w:rsidRPr="00115A34">
              <w:rPr>
                <w:sz w:val="19"/>
                <w:szCs w:val="19"/>
                <w:lang w:val="fr-FR"/>
              </w:rPr>
              <w:t xml:space="preserve">solution </w:t>
            </w:r>
            <w:r w:rsidR="00E92386">
              <w:rPr>
                <w:sz w:val="19"/>
                <w:szCs w:val="19"/>
                <w:lang w:val="fr-FR"/>
              </w:rPr>
              <w:t>MOP</w:t>
            </w:r>
            <w:r w:rsidR="00E92386" w:rsidRPr="00115A34">
              <w:rPr>
                <w:sz w:val="19"/>
                <w:szCs w:val="19"/>
                <w:lang w:val="fr-FR"/>
              </w:rPr>
              <w:t xml:space="preserve">6.9 (2015) </w:t>
            </w:r>
            <w:r w:rsidR="00E92386">
              <w:rPr>
                <w:sz w:val="19"/>
                <w:szCs w:val="19"/>
                <w:lang w:val="fr-FR"/>
              </w:rPr>
              <w:t xml:space="preserve">« Améliorer l’état de conservation des oiseaux marins d’Afrique-Eurasie » </w:t>
            </w:r>
            <w:r w:rsidR="00E92386" w:rsidRPr="00115A34">
              <w:rPr>
                <w:sz w:val="19"/>
                <w:szCs w:val="19"/>
                <w:lang w:val="fr-FR"/>
              </w:rPr>
              <w:t xml:space="preserve">; </w:t>
            </w:r>
            <w:r w:rsidR="00E92386">
              <w:rPr>
                <w:sz w:val="19"/>
                <w:szCs w:val="19"/>
                <w:lang w:val="fr-FR"/>
              </w:rPr>
              <w:t xml:space="preserve">et en </w:t>
            </w:r>
            <w:r w:rsidR="00E92386" w:rsidRPr="00115A34">
              <w:rPr>
                <w:sz w:val="19"/>
                <w:szCs w:val="19"/>
                <w:lang w:val="fr-FR"/>
              </w:rPr>
              <w:t>pr</w:t>
            </w:r>
            <w:r w:rsidR="00E92386">
              <w:rPr>
                <w:sz w:val="19"/>
                <w:szCs w:val="19"/>
                <w:lang w:val="fr-FR"/>
              </w:rPr>
              <w:t>é</w:t>
            </w:r>
            <w:r w:rsidR="00E92386" w:rsidRPr="00115A34">
              <w:rPr>
                <w:sz w:val="19"/>
                <w:szCs w:val="19"/>
                <w:lang w:val="fr-FR"/>
              </w:rPr>
              <w:t>amb</w:t>
            </w:r>
            <w:r w:rsidR="00E92386">
              <w:rPr>
                <w:sz w:val="19"/>
                <w:szCs w:val="19"/>
                <w:lang w:val="fr-FR"/>
              </w:rPr>
              <w:t>u</w:t>
            </w:r>
            <w:r w:rsidR="00E92386" w:rsidRPr="00115A34">
              <w:rPr>
                <w:sz w:val="19"/>
                <w:szCs w:val="19"/>
                <w:lang w:val="fr-FR"/>
              </w:rPr>
              <w:t xml:space="preserve">le </w:t>
            </w:r>
            <w:r w:rsidR="00E92386">
              <w:rPr>
                <w:sz w:val="19"/>
                <w:szCs w:val="19"/>
                <w:lang w:val="fr-FR"/>
              </w:rPr>
              <w:t>de la</w:t>
            </w:r>
            <w:r w:rsidR="00E92386" w:rsidRPr="00115A34">
              <w:rPr>
                <w:sz w:val="19"/>
                <w:szCs w:val="19"/>
                <w:lang w:val="fr-FR"/>
              </w:rPr>
              <w:t xml:space="preserve"> R</w:t>
            </w:r>
            <w:r w:rsidR="00E92386">
              <w:rPr>
                <w:sz w:val="19"/>
                <w:szCs w:val="19"/>
                <w:lang w:val="fr-FR"/>
              </w:rPr>
              <w:t>é</w:t>
            </w:r>
            <w:r w:rsidR="00E92386" w:rsidRPr="00115A34">
              <w:rPr>
                <w:sz w:val="19"/>
                <w:szCs w:val="19"/>
                <w:lang w:val="fr-FR"/>
              </w:rPr>
              <w:t xml:space="preserve">solution </w:t>
            </w:r>
            <w:r w:rsidR="00E92386">
              <w:rPr>
                <w:sz w:val="19"/>
                <w:szCs w:val="19"/>
                <w:lang w:val="fr-FR"/>
              </w:rPr>
              <w:t>MOP</w:t>
            </w:r>
            <w:r w:rsidR="00E92386" w:rsidRPr="00115A34">
              <w:rPr>
                <w:sz w:val="19"/>
                <w:szCs w:val="19"/>
                <w:lang w:val="fr-FR"/>
              </w:rPr>
              <w:t xml:space="preserve">7.6 (2018) </w:t>
            </w:r>
            <w:r w:rsidR="00E92386">
              <w:rPr>
                <w:sz w:val="19"/>
                <w:szCs w:val="19"/>
                <w:lang w:val="fr-FR"/>
              </w:rPr>
              <w:t>« Priorités pour la</w:t>
            </w:r>
            <w:r w:rsidR="00E92386" w:rsidRPr="00115A34">
              <w:rPr>
                <w:sz w:val="19"/>
                <w:szCs w:val="19"/>
                <w:lang w:val="fr-FR"/>
              </w:rPr>
              <w:t xml:space="preserve"> conservation </w:t>
            </w:r>
            <w:r w:rsidR="00E92386">
              <w:rPr>
                <w:sz w:val="19"/>
                <w:szCs w:val="19"/>
                <w:lang w:val="fr-FR"/>
              </w:rPr>
              <w:t>des oiseaux marins empruntant les voies de migration d’Afrique-Eurasie ». La section opérationnelle de la</w:t>
            </w:r>
            <w:r w:rsidRPr="00115A34">
              <w:rPr>
                <w:sz w:val="19"/>
                <w:szCs w:val="19"/>
                <w:lang w:val="fr-FR"/>
              </w:rPr>
              <w:t xml:space="preserve"> R</w:t>
            </w:r>
            <w:r w:rsidR="00E92386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solution 7.6 </w:t>
            </w:r>
            <w:r w:rsidR="00E92386">
              <w:rPr>
                <w:sz w:val="19"/>
                <w:szCs w:val="19"/>
                <w:lang w:val="fr-FR"/>
              </w:rPr>
              <w:t>décrit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E92386">
              <w:rPr>
                <w:sz w:val="19"/>
                <w:szCs w:val="19"/>
                <w:lang w:val="fr-FR"/>
              </w:rPr>
              <w:t xml:space="preserve">les </w:t>
            </w:r>
            <w:r w:rsidRPr="00115A34">
              <w:rPr>
                <w:sz w:val="19"/>
                <w:szCs w:val="19"/>
                <w:lang w:val="fr-FR"/>
              </w:rPr>
              <w:t>priorit</w:t>
            </w:r>
            <w:r w:rsidR="00E92386">
              <w:rPr>
                <w:sz w:val="19"/>
                <w:szCs w:val="19"/>
                <w:lang w:val="fr-FR"/>
              </w:rPr>
              <w:t>és incombant aux</w:t>
            </w:r>
            <w:r w:rsidRPr="00115A34">
              <w:rPr>
                <w:sz w:val="19"/>
                <w:szCs w:val="19"/>
                <w:lang w:val="fr-FR"/>
              </w:rPr>
              <w:t xml:space="preserve"> Parties</w:t>
            </w:r>
            <w:r w:rsidR="00CD2381">
              <w:rPr>
                <w:sz w:val="19"/>
                <w:szCs w:val="19"/>
                <w:lang w:val="fr-FR"/>
              </w:rPr>
              <w:t>, y compris une représentation prioritaire dans les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846337">
              <w:rPr>
                <w:sz w:val="22"/>
                <w:szCs w:val="22"/>
                <w:lang w:val="fr-FR"/>
              </w:rPr>
              <w:t>ORGP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</w:tc>
        <w:tc>
          <w:tcPr>
            <w:tcW w:w="3006" w:type="dxa"/>
          </w:tcPr>
          <w:p w14:paraId="58D7A7F5" w14:textId="33C433DD" w:rsidR="005D5DCE" w:rsidRPr="00115A34" w:rsidRDefault="005D5DCE" w:rsidP="003838AB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 xml:space="preserve">Identification </w:t>
            </w:r>
            <w:r w:rsidR="00CD2381">
              <w:rPr>
                <w:sz w:val="19"/>
                <w:szCs w:val="19"/>
                <w:lang w:val="fr-FR"/>
              </w:rPr>
              <w:t>des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846337">
              <w:rPr>
                <w:sz w:val="22"/>
                <w:szCs w:val="22"/>
                <w:lang w:val="fr-FR"/>
              </w:rPr>
              <w:t>ORGP</w:t>
            </w:r>
            <w:r w:rsidR="00CD2381">
              <w:rPr>
                <w:sz w:val="19"/>
                <w:szCs w:val="19"/>
                <w:lang w:val="fr-FR"/>
              </w:rPr>
              <w:t xml:space="preserve"> prioritaires de la perspective de l’</w:t>
            </w:r>
            <w:r w:rsidRPr="00115A34">
              <w:rPr>
                <w:sz w:val="19"/>
                <w:szCs w:val="19"/>
                <w:lang w:val="fr-FR"/>
              </w:rPr>
              <w:t xml:space="preserve">AEWA.  </w:t>
            </w:r>
            <w:r w:rsidR="00CD2381">
              <w:rPr>
                <w:sz w:val="19"/>
                <w:szCs w:val="19"/>
                <w:lang w:val="fr-FR"/>
              </w:rPr>
              <w:t>Pour chacune d’entre elles, identifier les représentants potentiels pour l’AEWA</w:t>
            </w:r>
            <w:r w:rsidRPr="00115A34">
              <w:rPr>
                <w:sz w:val="19"/>
                <w:szCs w:val="19"/>
                <w:lang w:val="fr-FR"/>
              </w:rPr>
              <w:t xml:space="preserve">, </w:t>
            </w:r>
            <w:r w:rsidR="00CD2381">
              <w:rPr>
                <w:sz w:val="19"/>
                <w:szCs w:val="19"/>
                <w:lang w:val="fr-FR"/>
              </w:rPr>
              <w:t>et assurer la</w:t>
            </w:r>
            <w:r w:rsidRPr="00115A34">
              <w:rPr>
                <w:sz w:val="19"/>
                <w:szCs w:val="19"/>
                <w:lang w:val="fr-FR"/>
              </w:rPr>
              <w:t xml:space="preserve"> repr</w:t>
            </w:r>
            <w:r w:rsidR="00CD2381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>sentation.</w:t>
            </w:r>
          </w:p>
        </w:tc>
      </w:tr>
      <w:tr w:rsidR="005D5DCE" w:rsidRPr="00326B2D" w14:paraId="725360F0" w14:textId="77777777" w:rsidTr="005867D6">
        <w:trPr>
          <w:trHeight w:val="177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249E91FD" w14:textId="1F83A05C" w:rsidR="005D5DCE" w:rsidRPr="00115A34" w:rsidRDefault="005D5DCE" w:rsidP="005867D6">
            <w:pPr>
              <w:spacing w:before="20" w:after="20"/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</w:t>
            </w:r>
            <w:r w:rsidR="00CD2381">
              <w:rPr>
                <w:b/>
                <w:i/>
                <w:color w:val="000066"/>
                <w:sz w:val="19"/>
                <w:szCs w:val="19"/>
                <w:lang w:val="fr-FR"/>
              </w:rPr>
              <w:t>Convention pour la protection du milieu marin dans la zone de la mer Baltique</w:t>
            </w:r>
            <w:r w:rsidR="00CD2381"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>/</w:t>
            </w:r>
            <w:r w:rsidR="00CD2381">
              <w:rPr>
                <w:b/>
                <w:i/>
                <w:color w:val="000066"/>
                <w:sz w:val="19"/>
                <w:szCs w:val="19"/>
                <w:lang w:val="fr-FR"/>
              </w:rPr>
              <w:t>Convention d’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>Helsinki</w:t>
            </w:r>
            <w:r w:rsidRPr="00115A34">
              <w:rPr>
                <w:lang w:val="fr-FR"/>
              </w:rPr>
              <w:t xml:space="preserve"> (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>HELCOM)</w:t>
            </w:r>
          </w:p>
        </w:tc>
      </w:tr>
      <w:tr w:rsidR="005D5DCE" w:rsidRPr="007D1931" w14:paraId="3A5607C4" w14:textId="77777777" w:rsidTr="005F7185">
        <w:tc>
          <w:tcPr>
            <w:tcW w:w="3005" w:type="dxa"/>
          </w:tcPr>
          <w:p w14:paraId="2BE6DBBE" w14:textId="45D1A74F" w:rsidR="005D5DCE" w:rsidRPr="00115A34" w:rsidRDefault="00CD2381" w:rsidP="005D5DCE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Plan d’action pour la mer Baltique d’</w:t>
            </w:r>
            <w:r w:rsidR="005D5DCE" w:rsidRPr="00115A34">
              <w:rPr>
                <w:sz w:val="19"/>
                <w:szCs w:val="19"/>
                <w:lang w:val="fr-FR"/>
              </w:rPr>
              <w:t xml:space="preserve">HELCOM (2007, </w:t>
            </w:r>
            <w:r>
              <w:rPr>
                <w:sz w:val="19"/>
                <w:szCs w:val="19"/>
                <w:lang w:val="fr-FR"/>
              </w:rPr>
              <w:t>mis à jour en</w:t>
            </w:r>
            <w:r w:rsidR="005D5DCE" w:rsidRPr="00115A34">
              <w:rPr>
                <w:sz w:val="19"/>
                <w:szCs w:val="19"/>
                <w:lang w:val="fr-FR"/>
              </w:rPr>
              <w:t xml:space="preserve"> 2021)</w:t>
            </w:r>
          </w:p>
        </w:tc>
        <w:tc>
          <w:tcPr>
            <w:tcW w:w="3005" w:type="dxa"/>
          </w:tcPr>
          <w:p w14:paraId="5288DA12" w14:textId="001A033E" w:rsidR="005D5DCE" w:rsidRPr="00115A34" w:rsidRDefault="005D5DCE" w:rsidP="005D5DCE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Pr</w:t>
            </w:r>
            <w:r w:rsidR="00AC4BBB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>amb</w:t>
            </w:r>
            <w:r w:rsidR="00AC4BBB">
              <w:rPr>
                <w:sz w:val="19"/>
                <w:szCs w:val="19"/>
                <w:lang w:val="fr-FR"/>
              </w:rPr>
              <w:t>u</w:t>
            </w:r>
            <w:r w:rsidRPr="00115A34">
              <w:rPr>
                <w:sz w:val="19"/>
                <w:szCs w:val="19"/>
                <w:lang w:val="fr-FR"/>
              </w:rPr>
              <w:t>le (r</w:t>
            </w:r>
            <w:r w:rsidR="00AC4BBB">
              <w:rPr>
                <w:sz w:val="19"/>
                <w:szCs w:val="19"/>
                <w:lang w:val="fr-FR"/>
              </w:rPr>
              <w:t>éférence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AC4BBB">
              <w:rPr>
                <w:sz w:val="19"/>
                <w:szCs w:val="19"/>
                <w:lang w:val="fr-FR"/>
              </w:rPr>
              <w:t>à des</w:t>
            </w:r>
            <w:r w:rsidRPr="00115A34">
              <w:rPr>
                <w:sz w:val="19"/>
                <w:szCs w:val="19"/>
                <w:lang w:val="fr-FR"/>
              </w:rPr>
              <w:t xml:space="preserve"> synergies</w:t>
            </w:r>
            <w:r w:rsidR="00AC4BBB">
              <w:rPr>
                <w:sz w:val="19"/>
                <w:szCs w:val="19"/>
                <w:lang w:val="fr-FR"/>
              </w:rPr>
              <w:t xml:space="preserve"> potentielles</w:t>
            </w:r>
            <w:r w:rsidRPr="00115A34">
              <w:rPr>
                <w:sz w:val="19"/>
                <w:szCs w:val="19"/>
                <w:lang w:val="fr-FR"/>
              </w:rPr>
              <w:t xml:space="preserve">) </w:t>
            </w:r>
            <w:r w:rsidR="00AC4BBB">
              <w:rPr>
                <w:sz w:val="19"/>
                <w:szCs w:val="19"/>
                <w:lang w:val="fr-FR"/>
              </w:rPr>
              <w:t>et section opérationnelle</w:t>
            </w:r>
            <w:r w:rsidRPr="00115A34">
              <w:rPr>
                <w:sz w:val="19"/>
                <w:szCs w:val="19"/>
                <w:lang w:val="fr-FR"/>
              </w:rPr>
              <w:t xml:space="preserve"> (</w:t>
            </w:r>
            <w:r w:rsidR="00AC4BBB">
              <w:rPr>
                <w:sz w:val="19"/>
                <w:szCs w:val="19"/>
                <w:lang w:val="fr-FR"/>
              </w:rPr>
              <w:t>demande au</w:t>
            </w:r>
            <w:r w:rsidRPr="00115A34">
              <w:rPr>
                <w:sz w:val="19"/>
                <w:szCs w:val="19"/>
                <w:lang w:val="fr-FR"/>
              </w:rPr>
              <w:t xml:space="preserve"> Secr</w:t>
            </w:r>
            <w:r w:rsidR="00AC4BBB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tariat </w:t>
            </w:r>
            <w:r w:rsidR="00AC4BBB">
              <w:rPr>
                <w:sz w:val="19"/>
                <w:szCs w:val="19"/>
                <w:lang w:val="fr-FR"/>
              </w:rPr>
              <w:t>d’accroître l’engagement</w:t>
            </w:r>
            <w:r w:rsidRPr="00115A34">
              <w:rPr>
                <w:sz w:val="19"/>
                <w:szCs w:val="19"/>
                <w:lang w:val="fr-FR"/>
              </w:rPr>
              <w:t xml:space="preserve">, </w:t>
            </w:r>
            <w:r w:rsidR="00AC4BBB">
              <w:rPr>
                <w:sz w:val="19"/>
                <w:szCs w:val="19"/>
                <w:lang w:val="fr-FR"/>
              </w:rPr>
              <w:t xml:space="preserve">la </w:t>
            </w:r>
            <w:r w:rsidRPr="00115A34">
              <w:rPr>
                <w:sz w:val="19"/>
                <w:szCs w:val="19"/>
                <w:lang w:val="fr-FR"/>
              </w:rPr>
              <w:t xml:space="preserve">collaboration </w:t>
            </w:r>
            <w:r w:rsidR="00AC4BBB">
              <w:rPr>
                <w:sz w:val="19"/>
                <w:szCs w:val="19"/>
                <w:lang w:val="fr-FR"/>
              </w:rPr>
              <w:t>et les</w:t>
            </w:r>
            <w:r w:rsidRPr="00115A34">
              <w:rPr>
                <w:sz w:val="19"/>
                <w:szCs w:val="19"/>
                <w:lang w:val="fr-FR"/>
              </w:rPr>
              <w:t xml:space="preserve"> synergies</w:t>
            </w:r>
            <w:r w:rsidR="00AC4BBB">
              <w:rPr>
                <w:sz w:val="19"/>
                <w:szCs w:val="19"/>
                <w:lang w:val="fr-FR"/>
              </w:rPr>
              <w:t xml:space="preserve"> de l’AEWA</w:t>
            </w:r>
            <w:r w:rsidRPr="00115A34">
              <w:rPr>
                <w:sz w:val="19"/>
                <w:szCs w:val="19"/>
                <w:lang w:val="fr-FR"/>
              </w:rPr>
              <w:t xml:space="preserve">) </w:t>
            </w:r>
            <w:r w:rsidR="00AC4BBB">
              <w:rPr>
                <w:sz w:val="19"/>
                <w:szCs w:val="19"/>
                <w:lang w:val="fr-FR"/>
              </w:rPr>
              <w:t>de la</w:t>
            </w:r>
            <w:r w:rsidRPr="00115A34">
              <w:rPr>
                <w:sz w:val="19"/>
                <w:szCs w:val="19"/>
                <w:lang w:val="fr-FR"/>
              </w:rPr>
              <w:t xml:space="preserve"> R</w:t>
            </w:r>
            <w:r w:rsidR="00AC4BBB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solution </w:t>
            </w:r>
            <w:r w:rsidR="00AC4BBB">
              <w:rPr>
                <w:sz w:val="19"/>
                <w:szCs w:val="19"/>
                <w:lang w:val="fr-FR"/>
              </w:rPr>
              <w:t>MOP</w:t>
            </w:r>
            <w:r w:rsidRPr="00115A34">
              <w:rPr>
                <w:sz w:val="19"/>
                <w:szCs w:val="19"/>
                <w:lang w:val="fr-FR"/>
              </w:rPr>
              <w:t xml:space="preserve">7.6 (2018) </w:t>
            </w:r>
            <w:r w:rsidR="00AC4BBB">
              <w:rPr>
                <w:sz w:val="19"/>
                <w:szCs w:val="19"/>
                <w:lang w:val="fr-FR"/>
              </w:rPr>
              <w:t>« Priorités pour la</w:t>
            </w:r>
            <w:r w:rsidR="00AC4BBB" w:rsidRPr="00115A34">
              <w:rPr>
                <w:sz w:val="19"/>
                <w:szCs w:val="19"/>
                <w:lang w:val="fr-FR"/>
              </w:rPr>
              <w:t xml:space="preserve"> conservation </w:t>
            </w:r>
            <w:r w:rsidR="00AC4BBB">
              <w:rPr>
                <w:sz w:val="19"/>
                <w:szCs w:val="19"/>
                <w:lang w:val="fr-FR"/>
              </w:rPr>
              <w:t>des oiseaux marins empruntant les voies de migration d’Afrique-Eurasie »</w:t>
            </w:r>
          </w:p>
        </w:tc>
        <w:tc>
          <w:tcPr>
            <w:tcW w:w="3006" w:type="dxa"/>
          </w:tcPr>
          <w:p w14:paraId="6722BA68" w14:textId="265E9128" w:rsidR="005D5DCE" w:rsidRPr="00115A34" w:rsidRDefault="00AC4BBB" w:rsidP="003838AB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Examen des progrès en matière de mise en œuvre</w:t>
            </w:r>
            <w:r w:rsidR="003838AB"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5D5DCE" w:rsidRPr="00115A34" w14:paraId="0E67467E" w14:textId="77777777" w:rsidTr="0061545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01B4C146" w14:textId="2EA8116C" w:rsidR="005D5DCE" w:rsidRPr="00115A34" w:rsidRDefault="005D5DCE" w:rsidP="005867D6">
            <w:pPr>
              <w:spacing w:before="20" w:after="20"/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Convention</w:t>
            </w:r>
            <w:r w:rsidR="00AC4BBB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OSPAR</w:t>
            </w:r>
          </w:p>
        </w:tc>
      </w:tr>
      <w:tr w:rsidR="005D5DCE" w:rsidRPr="00326B2D" w14:paraId="7F03C424" w14:textId="77777777" w:rsidTr="005F7185">
        <w:tc>
          <w:tcPr>
            <w:tcW w:w="3005" w:type="dxa"/>
          </w:tcPr>
          <w:p w14:paraId="661796C3" w14:textId="491A0D22" w:rsidR="005D5DCE" w:rsidRPr="00115A34" w:rsidRDefault="00AC4BBB" w:rsidP="005D5DCE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Collaboration d’</w:t>
            </w:r>
            <w:r w:rsidR="005D5DCE" w:rsidRPr="00115A34">
              <w:rPr>
                <w:sz w:val="19"/>
                <w:szCs w:val="19"/>
                <w:lang w:val="fr-FR"/>
              </w:rPr>
              <w:t>OSPAR</w:t>
            </w:r>
            <w:r>
              <w:rPr>
                <w:sz w:val="19"/>
                <w:szCs w:val="19"/>
                <w:lang w:val="fr-FR"/>
              </w:rPr>
              <w:t xml:space="preserve"> avec</w:t>
            </w:r>
            <w:r w:rsidR="005D5DCE" w:rsidRPr="00115A34">
              <w:rPr>
                <w:sz w:val="19"/>
                <w:szCs w:val="19"/>
                <w:lang w:val="fr-FR"/>
              </w:rPr>
              <w:t xml:space="preserve"> HELCOM </w:t>
            </w:r>
            <w:r>
              <w:rPr>
                <w:sz w:val="19"/>
                <w:szCs w:val="19"/>
                <w:lang w:val="fr-FR"/>
              </w:rPr>
              <w:t>en matière de prises accessoires</w:t>
            </w:r>
          </w:p>
        </w:tc>
        <w:tc>
          <w:tcPr>
            <w:tcW w:w="3005" w:type="dxa"/>
          </w:tcPr>
          <w:p w14:paraId="31FFA788" w14:textId="39F742F8" w:rsidR="005D5DCE" w:rsidRPr="00115A34" w:rsidRDefault="00AC4BBB" w:rsidP="005D5DCE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Pr</w:t>
            </w:r>
            <w:r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>amb</w:t>
            </w:r>
            <w:r>
              <w:rPr>
                <w:sz w:val="19"/>
                <w:szCs w:val="19"/>
                <w:lang w:val="fr-FR"/>
              </w:rPr>
              <w:t>u</w:t>
            </w:r>
            <w:r w:rsidRPr="00115A34">
              <w:rPr>
                <w:sz w:val="19"/>
                <w:szCs w:val="19"/>
                <w:lang w:val="fr-FR"/>
              </w:rPr>
              <w:t>le (r</w:t>
            </w:r>
            <w:r>
              <w:rPr>
                <w:sz w:val="19"/>
                <w:szCs w:val="19"/>
                <w:lang w:val="fr-FR"/>
              </w:rPr>
              <w:t>éférence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à des</w:t>
            </w:r>
            <w:r w:rsidRPr="00115A34">
              <w:rPr>
                <w:sz w:val="19"/>
                <w:szCs w:val="19"/>
                <w:lang w:val="fr-FR"/>
              </w:rPr>
              <w:t xml:space="preserve"> synergies</w:t>
            </w:r>
            <w:r>
              <w:rPr>
                <w:sz w:val="19"/>
                <w:szCs w:val="19"/>
                <w:lang w:val="fr-FR"/>
              </w:rPr>
              <w:t xml:space="preserve"> potentielles</w:t>
            </w:r>
            <w:r w:rsidRPr="00115A34">
              <w:rPr>
                <w:sz w:val="19"/>
                <w:szCs w:val="19"/>
                <w:lang w:val="fr-FR"/>
              </w:rPr>
              <w:t xml:space="preserve">) </w:t>
            </w:r>
            <w:r>
              <w:rPr>
                <w:sz w:val="19"/>
                <w:szCs w:val="19"/>
                <w:lang w:val="fr-FR"/>
              </w:rPr>
              <w:t>et section opérationnelle</w:t>
            </w:r>
            <w:r w:rsidRPr="00115A34">
              <w:rPr>
                <w:sz w:val="19"/>
                <w:szCs w:val="19"/>
                <w:lang w:val="fr-FR"/>
              </w:rPr>
              <w:t xml:space="preserve"> (</w:t>
            </w:r>
            <w:r>
              <w:rPr>
                <w:sz w:val="19"/>
                <w:szCs w:val="19"/>
                <w:lang w:val="fr-FR"/>
              </w:rPr>
              <w:t>demande au</w:t>
            </w:r>
            <w:r w:rsidRPr="00115A34">
              <w:rPr>
                <w:sz w:val="19"/>
                <w:szCs w:val="19"/>
                <w:lang w:val="fr-FR"/>
              </w:rPr>
              <w:t xml:space="preserve"> Secr</w:t>
            </w:r>
            <w:r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tariat </w:t>
            </w:r>
            <w:r>
              <w:rPr>
                <w:sz w:val="19"/>
                <w:szCs w:val="19"/>
                <w:lang w:val="fr-FR"/>
              </w:rPr>
              <w:t>d’accroître l’engagement</w:t>
            </w:r>
            <w:r w:rsidRPr="00115A34">
              <w:rPr>
                <w:sz w:val="19"/>
                <w:szCs w:val="19"/>
                <w:lang w:val="fr-FR"/>
              </w:rPr>
              <w:t xml:space="preserve">, </w:t>
            </w:r>
            <w:r>
              <w:rPr>
                <w:sz w:val="19"/>
                <w:szCs w:val="19"/>
                <w:lang w:val="fr-FR"/>
              </w:rPr>
              <w:t xml:space="preserve">la </w:t>
            </w:r>
            <w:r w:rsidRPr="00115A34">
              <w:rPr>
                <w:sz w:val="19"/>
                <w:szCs w:val="19"/>
                <w:lang w:val="fr-FR"/>
              </w:rPr>
              <w:t xml:space="preserve">collaboration </w:t>
            </w:r>
            <w:r>
              <w:rPr>
                <w:sz w:val="19"/>
                <w:szCs w:val="19"/>
                <w:lang w:val="fr-FR"/>
              </w:rPr>
              <w:t>et les</w:t>
            </w:r>
            <w:r w:rsidRPr="00115A34">
              <w:rPr>
                <w:sz w:val="19"/>
                <w:szCs w:val="19"/>
                <w:lang w:val="fr-FR"/>
              </w:rPr>
              <w:t xml:space="preserve"> synergies</w:t>
            </w:r>
            <w:r>
              <w:rPr>
                <w:sz w:val="19"/>
                <w:szCs w:val="19"/>
                <w:lang w:val="fr-FR"/>
              </w:rPr>
              <w:t xml:space="preserve"> de l’AEWA</w:t>
            </w:r>
            <w:r w:rsidRPr="00115A34">
              <w:rPr>
                <w:sz w:val="19"/>
                <w:szCs w:val="19"/>
                <w:lang w:val="fr-FR"/>
              </w:rPr>
              <w:t xml:space="preserve">) </w:t>
            </w:r>
            <w:r>
              <w:rPr>
                <w:sz w:val="19"/>
                <w:szCs w:val="19"/>
                <w:lang w:val="fr-FR"/>
              </w:rPr>
              <w:t>de la</w:t>
            </w:r>
            <w:r w:rsidRPr="00115A34">
              <w:rPr>
                <w:sz w:val="19"/>
                <w:szCs w:val="19"/>
                <w:lang w:val="fr-FR"/>
              </w:rPr>
              <w:t xml:space="preserve"> R</w:t>
            </w:r>
            <w:r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solution </w:t>
            </w:r>
            <w:r>
              <w:rPr>
                <w:sz w:val="19"/>
                <w:szCs w:val="19"/>
                <w:lang w:val="fr-FR"/>
              </w:rPr>
              <w:t>MOP</w:t>
            </w:r>
            <w:r w:rsidRPr="00115A34">
              <w:rPr>
                <w:sz w:val="19"/>
                <w:szCs w:val="19"/>
                <w:lang w:val="fr-FR"/>
              </w:rPr>
              <w:t xml:space="preserve">7.6 (2018)  </w:t>
            </w:r>
            <w:r>
              <w:rPr>
                <w:sz w:val="19"/>
                <w:szCs w:val="19"/>
                <w:lang w:val="fr-FR"/>
              </w:rPr>
              <w:t>« Priorités pour la</w:t>
            </w:r>
            <w:r w:rsidRPr="00115A34">
              <w:rPr>
                <w:sz w:val="19"/>
                <w:szCs w:val="19"/>
                <w:lang w:val="fr-FR"/>
              </w:rPr>
              <w:t xml:space="preserve"> conservation </w:t>
            </w:r>
            <w:r>
              <w:rPr>
                <w:sz w:val="19"/>
                <w:szCs w:val="19"/>
                <w:lang w:val="fr-FR"/>
              </w:rPr>
              <w:t>des oiseaux marins empruntant les voies de migration d’Afrique-Eurasie »</w:t>
            </w:r>
          </w:p>
        </w:tc>
        <w:tc>
          <w:tcPr>
            <w:tcW w:w="3006" w:type="dxa"/>
          </w:tcPr>
          <w:p w14:paraId="37CAED70" w14:textId="5E16BB17" w:rsidR="005D5DCE" w:rsidRPr="00115A34" w:rsidRDefault="00AC4BBB" w:rsidP="003838AB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Rechercher</w:t>
            </w:r>
            <w:r w:rsidR="003838AB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un</w:t>
            </w:r>
            <w:r w:rsidR="003838AB" w:rsidRPr="00115A34">
              <w:rPr>
                <w:sz w:val="19"/>
                <w:szCs w:val="19"/>
                <w:lang w:val="fr-FR"/>
              </w:rPr>
              <w:t xml:space="preserve"> engagement </w:t>
            </w:r>
            <w:r>
              <w:rPr>
                <w:sz w:val="19"/>
                <w:szCs w:val="19"/>
                <w:lang w:val="fr-FR"/>
              </w:rPr>
              <w:t>(renforcé) de l’AEWA en ce qui concerne les prises accessoires</w:t>
            </w:r>
            <w:r w:rsidR="003838AB"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5D5DCE" w:rsidRPr="00326B2D" w14:paraId="51068654" w14:textId="77777777" w:rsidTr="0061545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369A1AE5" w14:textId="5E7338F5" w:rsidR="005D5DCE" w:rsidRPr="00115A34" w:rsidRDefault="005D5DCE" w:rsidP="005867D6">
            <w:pPr>
              <w:spacing w:before="20" w:after="20"/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Conservation </w:t>
            </w:r>
            <w:r w:rsidR="0066723E">
              <w:rPr>
                <w:b/>
                <w:i/>
                <w:color w:val="000066"/>
                <w:sz w:val="19"/>
                <w:szCs w:val="19"/>
                <w:lang w:val="fr-FR"/>
              </w:rPr>
              <w:t>de la flore et de la faune arctiques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(CAFF)</w:t>
            </w:r>
          </w:p>
        </w:tc>
      </w:tr>
      <w:tr w:rsidR="005D5DCE" w:rsidRPr="00326B2D" w14:paraId="4F0E299E" w14:textId="77777777" w:rsidTr="005F7185">
        <w:tc>
          <w:tcPr>
            <w:tcW w:w="3005" w:type="dxa"/>
          </w:tcPr>
          <w:p w14:paraId="17BAE23E" w14:textId="537E578D" w:rsidR="005D5DCE" w:rsidRPr="00115A34" w:rsidRDefault="0066723E" w:rsidP="005D5DCE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Initiative sur les oiseaux migrateurs de l’Arctique de la </w:t>
            </w:r>
            <w:r w:rsidR="005D5DCE" w:rsidRPr="00115A34">
              <w:rPr>
                <w:sz w:val="19"/>
                <w:szCs w:val="19"/>
                <w:lang w:val="fr-FR"/>
              </w:rPr>
              <w:t>CAFF</w:t>
            </w:r>
          </w:p>
        </w:tc>
        <w:tc>
          <w:tcPr>
            <w:tcW w:w="3005" w:type="dxa"/>
          </w:tcPr>
          <w:p w14:paraId="7786136D" w14:textId="7174B883" w:rsidR="005D5DCE" w:rsidRPr="00115A34" w:rsidRDefault="00AC4BBB" w:rsidP="005D5DCE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Pr</w:t>
            </w:r>
            <w:r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>amb</w:t>
            </w:r>
            <w:r>
              <w:rPr>
                <w:sz w:val="19"/>
                <w:szCs w:val="19"/>
                <w:lang w:val="fr-FR"/>
              </w:rPr>
              <w:t>u</w:t>
            </w:r>
            <w:r w:rsidRPr="00115A34">
              <w:rPr>
                <w:sz w:val="19"/>
                <w:szCs w:val="19"/>
                <w:lang w:val="fr-FR"/>
              </w:rPr>
              <w:t>le (r</w:t>
            </w:r>
            <w:r>
              <w:rPr>
                <w:sz w:val="19"/>
                <w:szCs w:val="19"/>
                <w:lang w:val="fr-FR"/>
              </w:rPr>
              <w:t>éférence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à des</w:t>
            </w:r>
            <w:r w:rsidRPr="00115A34">
              <w:rPr>
                <w:sz w:val="19"/>
                <w:szCs w:val="19"/>
                <w:lang w:val="fr-FR"/>
              </w:rPr>
              <w:t xml:space="preserve"> synergies</w:t>
            </w:r>
            <w:r>
              <w:rPr>
                <w:sz w:val="19"/>
                <w:szCs w:val="19"/>
                <w:lang w:val="fr-FR"/>
              </w:rPr>
              <w:t xml:space="preserve"> potentielles</w:t>
            </w:r>
            <w:r w:rsidRPr="00115A34">
              <w:rPr>
                <w:sz w:val="19"/>
                <w:szCs w:val="19"/>
                <w:lang w:val="fr-FR"/>
              </w:rPr>
              <w:t xml:space="preserve">) </w:t>
            </w:r>
            <w:r>
              <w:rPr>
                <w:sz w:val="19"/>
                <w:szCs w:val="19"/>
                <w:lang w:val="fr-FR"/>
              </w:rPr>
              <w:t>et section opérationnelle</w:t>
            </w:r>
            <w:r w:rsidRPr="00115A34">
              <w:rPr>
                <w:sz w:val="19"/>
                <w:szCs w:val="19"/>
                <w:lang w:val="fr-FR"/>
              </w:rPr>
              <w:t xml:space="preserve"> (</w:t>
            </w:r>
            <w:r>
              <w:rPr>
                <w:sz w:val="19"/>
                <w:szCs w:val="19"/>
                <w:lang w:val="fr-FR"/>
              </w:rPr>
              <w:t>demande au</w:t>
            </w:r>
            <w:r w:rsidRPr="00115A34">
              <w:rPr>
                <w:sz w:val="19"/>
                <w:szCs w:val="19"/>
                <w:lang w:val="fr-FR"/>
              </w:rPr>
              <w:t xml:space="preserve"> Secr</w:t>
            </w:r>
            <w:r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tariat </w:t>
            </w:r>
            <w:r>
              <w:rPr>
                <w:sz w:val="19"/>
                <w:szCs w:val="19"/>
                <w:lang w:val="fr-FR"/>
              </w:rPr>
              <w:t>d’accroître l’engagement</w:t>
            </w:r>
            <w:r w:rsidRPr="00115A34">
              <w:rPr>
                <w:sz w:val="19"/>
                <w:szCs w:val="19"/>
                <w:lang w:val="fr-FR"/>
              </w:rPr>
              <w:t xml:space="preserve">, </w:t>
            </w:r>
            <w:r>
              <w:rPr>
                <w:sz w:val="19"/>
                <w:szCs w:val="19"/>
                <w:lang w:val="fr-FR"/>
              </w:rPr>
              <w:t xml:space="preserve">la </w:t>
            </w:r>
            <w:r w:rsidRPr="00115A34">
              <w:rPr>
                <w:sz w:val="19"/>
                <w:szCs w:val="19"/>
                <w:lang w:val="fr-FR"/>
              </w:rPr>
              <w:t xml:space="preserve">collaboration </w:t>
            </w:r>
            <w:r>
              <w:rPr>
                <w:sz w:val="19"/>
                <w:szCs w:val="19"/>
                <w:lang w:val="fr-FR"/>
              </w:rPr>
              <w:t>et les</w:t>
            </w:r>
            <w:r w:rsidRPr="00115A34">
              <w:rPr>
                <w:sz w:val="19"/>
                <w:szCs w:val="19"/>
                <w:lang w:val="fr-FR"/>
              </w:rPr>
              <w:t xml:space="preserve"> synergies</w:t>
            </w:r>
            <w:r>
              <w:rPr>
                <w:sz w:val="19"/>
                <w:szCs w:val="19"/>
                <w:lang w:val="fr-FR"/>
              </w:rPr>
              <w:t xml:space="preserve"> de l’AEWA</w:t>
            </w:r>
            <w:r w:rsidRPr="00115A34">
              <w:rPr>
                <w:sz w:val="19"/>
                <w:szCs w:val="19"/>
                <w:lang w:val="fr-FR"/>
              </w:rPr>
              <w:t xml:space="preserve">) </w:t>
            </w:r>
            <w:r>
              <w:rPr>
                <w:sz w:val="19"/>
                <w:szCs w:val="19"/>
                <w:lang w:val="fr-FR"/>
              </w:rPr>
              <w:t>de la</w:t>
            </w:r>
            <w:r w:rsidRPr="00115A34">
              <w:rPr>
                <w:sz w:val="19"/>
                <w:szCs w:val="19"/>
                <w:lang w:val="fr-FR"/>
              </w:rPr>
              <w:t xml:space="preserve"> R</w:t>
            </w:r>
            <w:r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 xml:space="preserve">solution </w:t>
            </w:r>
            <w:r>
              <w:rPr>
                <w:sz w:val="19"/>
                <w:szCs w:val="19"/>
                <w:lang w:val="fr-FR"/>
              </w:rPr>
              <w:t>MOP</w:t>
            </w:r>
            <w:r w:rsidRPr="00115A34">
              <w:rPr>
                <w:sz w:val="19"/>
                <w:szCs w:val="19"/>
                <w:lang w:val="fr-FR"/>
              </w:rPr>
              <w:t xml:space="preserve">7.6 (2018) </w:t>
            </w:r>
            <w:r>
              <w:rPr>
                <w:sz w:val="19"/>
                <w:szCs w:val="19"/>
                <w:lang w:val="fr-FR"/>
              </w:rPr>
              <w:t>« Priorités pour la</w:t>
            </w:r>
            <w:r w:rsidRPr="00115A34">
              <w:rPr>
                <w:sz w:val="19"/>
                <w:szCs w:val="19"/>
                <w:lang w:val="fr-FR"/>
              </w:rPr>
              <w:t xml:space="preserve"> conservation </w:t>
            </w:r>
            <w:r>
              <w:rPr>
                <w:sz w:val="19"/>
                <w:szCs w:val="19"/>
                <w:lang w:val="fr-FR"/>
              </w:rPr>
              <w:t>des oiseaux marins empruntant les voies de migration d’Afrique-Eurasie »</w:t>
            </w:r>
          </w:p>
        </w:tc>
        <w:tc>
          <w:tcPr>
            <w:tcW w:w="3006" w:type="dxa"/>
          </w:tcPr>
          <w:p w14:paraId="6DA4318F" w14:textId="22EE2373" w:rsidR="005D5DCE" w:rsidRPr="00115A34" w:rsidRDefault="00AC4BBB" w:rsidP="003838AB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Rechercher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un</w:t>
            </w:r>
            <w:r w:rsidRPr="00115A34">
              <w:rPr>
                <w:sz w:val="19"/>
                <w:szCs w:val="19"/>
                <w:lang w:val="fr-FR"/>
              </w:rPr>
              <w:t xml:space="preserve"> engagement </w:t>
            </w:r>
            <w:r>
              <w:rPr>
                <w:sz w:val="19"/>
                <w:szCs w:val="19"/>
                <w:lang w:val="fr-FR"/>
              </w:rPr>
              <w:t>(renforcé) de l’AEWA en ce qui concerne les prises accessoires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</w:tbl>
    <w:p w14:paraId="7AE1AEAE" w14:textId="77777777" w:rsidR="007722E8" w:rsidRPr="00115A34" w:rsidRDefault="007722E8" w:rsidP="007722E8">
      <w:pPr>
        <w:spacing w:after="20"/>
        <w:rPr>
          <w:sz w:val="22"/>
          <w:szCs w:val="22"/>
          <w:lang w:val="fr-FR"/>
        </w:rPr>
      </w:pPr>
    </w:p>
    <w:p w14:paraId="3EF74D3C" w14:textId="1746366F" w:rsidR="007722E8" w:rsidRPr="00115A34" w:rsidRDefault="0066723E" w:rsidP="00E1163B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En outre, certains Plans d’action par espèce de l’AEWA peuvent contenir des idées pertinentes</w:t>
      </w:r>
      <w:r w:rsidR="007722E8" w:rsidRPr="00115A34">
        <w:rPr>
          <w:sz w:val="22"/>
          <w:szCs w:val="22"/>
          <w:lang w:val="fr-FR"/>
        </w:rPr>
        <w:t>.</w:t>
      </w:r>
      <w:r w:rsidR="000E7DF8" w:rsidRPr="00115A34">
        <w:rPr>
          <w:sz w:val="22"/>
          <w:szCs w:val="22"/>
          <w:lang w:val="fr-FR"/>
        </w:rPr>
        <w:t xml:space="preserve">  </w:t>
      </w:r>
      <w:r>
        <w:rPr>
          <w:sz w:val="22"/>
          <w:szCs w:val="22"/>
          <w:lang w:val="fr-FR"/>
        </w:rPr>
        <w:t>Le Plan d’action i</w:t>
      </w:r>
      <w:r w:rsidR="000E7DF8" w:rsidRPr="00115A34">
        <w:rPr>
          <w:sz w:val="22"/>
          <w:szCs w:val="22"/>
          <w:lang w:val="fr-FR"/>
        </w:rPr>
        <w:t xml:space="preserve">nternational </w:t>
      </w:r>
      <w:r>
        <w:rPr>
          <w:sz w:val="22"/>
          <w:szCs w:val="22"/>
          <w:lang w:val="fr-FR"/>
        </w:rPr>
        <w:t>pour la</w:t>
      </w:r>
      <w:r w:rsidR="000E7DF8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c</w:t>
      </w:r>
      <w:r w:rsidR="000E7DF8" w:rsidRPr="00115A34">
        <w:rPr>
          <w:sz w:val="22"/>
          <w:szCs w:val="22"/>
          <w:lang w:val="fr-FR"/>
        </w:rPr>
        <w:t xml:space="preserve">onservation </w:t>
      </w:r>
      <w:r>
        <w:rPr>
          <w:sz w:val="22"/>
          <w:szCs w:val="22"/>
          <w:lang w:val="fr-FR"/>
        </w:rPr>
        <w:t>de l</w:t>
      </w:r>
      <w:r w:rsidR="002D41D5">
        <w:rPr>
          <w:sz w:val="22"/>
          <w:szCs w:val="22"/>
          <w:lang w:val="fr-FR"/>
        </w:rPr>
        <w:t xml:space="preserve">a </w:t>
      </w:r>
      <w:r>
        <w:rPr>
          <w:sz w:val="22"/>
          <w:szCs w:val="22"/>
          <w:lang w:val="fr-FR"/>
        </w:rPr>
        <w:t>Harelde kakawi</w:t>
      </w:r>
      <w:r w:rsidR="000E7DF8" w:rsidRPr="00115A34">
        <w:rPr>
          <w:sz w:val="22"/>
          <w:szCs w:val="22"/>
          <w:lang w:val="fr-FR"/>
        </w:rPr>
        <w:t xml:space="preserve"> (</w:t>
      </w:r>
      <w:r w:rsidR="000E7DF8" w:rsidRPr="00115A34">
        <w:rPr>
          <w:i/>
          <w:sz w:val="22"/>
          <w:szCs w:val="22"/>
          <w:lang w:val="fr-FR"/>
        </w:rPr>
        <w:t>Clangula hyemalis</w:t>
      </w:r>
      <w:r w:rsidR="000E7DF8" w:rsidRPr="00115A34">
        <w:rPr>
          <w:sz w:val="22"/>
          <w:szCs w:val="22"/>
          <w:lang w:val="fr-FR"/>
        </w:rPr>
        <w:t>) (</w:t>
      </w:r>
      <w:r>
        <w:rPr>
          <w:sz w:val="22"/>
          <w:szCs w:val="22"/>
          <w:lang w:val="fr-FR"/>
        </w:rPr>
        <w:t>Série technique de l’AEWA</w:t>
      </w:r>
      <w:r w:rsidR="000E7DF8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n</w:t>
      </w:r>
      <w:r w:rsidRPr="0066723E">
        <w:rPr>
          <w:sz w:val="22"/>
          <w:szCs w:val="22"/>
          <w:vertAlign w:val="superscript"/>
          <w:lang w:val="fr-FR"/>
        </w:rPr>
        <w:t>o</w:t>
      </w:r>
      <w:r w:rsidR="000E7DF8" w:rsidRPr="00115A34">
        <w:rPr>
          <w:sz w:val="22"/>
          <w:szCs w:val="22"/>
          <w:lang w:val="fr-FR"/>
        </w:rPr>
        <w:t xml:space="preserve"> 57, 2015) </w:t>
      </w:r>
      <w:r>
        <w:rPr>
          <w:sz w:val="22"/>
          <w:szCs w:val="22"/>
          <w:lang w:val="fr-FR"/>
        </w:rPr>
        <w:t>est l’un des exemples dans lesquels les prises accessoires sont particulièrement pertinentes</w:t>
      </w:r>
      <w:r w:rsidR="000E7DF8" w:rsidRPr="00115A34">
        <w:rPr>
          <w:sz w:val="22"/>
          <w:szCs w:val="22"/>
          <w:lang w:val="fr-FR"/>
        </w:rPr>
        <w:t>.</w:t>
      </w:r>
    </w:p>
    <w:p w14:paraId="305AD2BC" w14:textId="77777777" w:rsidR="007722E8" w:rsidRPr="00115A34" w:rsidRDefault="007722E8" w:rsidP="007722E8">
      <w:pPr>
        <w:spacing w:after="20"/>
        <w:rPr>
          <w:sz w:val="22"/>
          <w:szCs w:val="22"/>
          <w:lang w:val="fr-FR"/>
        </w:rPr>
      </w:pPr>
    </w:p>
    <w:p w14:paraId="27534B44" w14:textId="2CAF3DC9" w:rsidR="007722E8" w:rsidRPr="00115A34" w:rsidRDefault="007722E8" w:rsidP="007722E8">
      <w:pPr>
        <w:spacing w:after="20"/>
        <w:rPr>
          <w:b/>
          <w:i/>
          <w:color w:val="003366"/>
          <w:sz w:val="22"/>
          <w:szCs w:val="22"/>
          <w:lang w:val="fr-FR"/>
        </w:rPr>
      </w:pPr>
      <w:r w:rsidRPr="00115A34">
        <w:rPr>
          <w:b/>
          <w:i/>
          <w:color w:val="003366"/>
          <w:sz w:val="22"/>
          <w:szCs w:val="22"/>
          <w:lang w:val="fr-FR"/>
        </w:rPr>
        <w:t xml:space="preserve">  (b) </w:t>
      </w:r>
      <w:r w:rsidR="0066723E">
        <w:rPr>
          <w:b/>
          <w:i/>
          <w:color w:val="003366"/>
          <w:sz w:val="22"/>
          <w:szCs w:val="22"/>
          <w:lang w:val="fr-FR"/>
        </w:rPr>
        <w:t xml:space="preserve">Autres </w:t>
      </w:r>
      <w:r w:rsidRPr="00115A34">
        <w:rPr>
          <w:b/>
          <w:i/>
          <w:color w:val="003366"/>
          <w:sz w:val="22"/>
          <w:szCs w:val="22"/>
          <w:lang w:val="fr-FR"/>
        </w:rPr>
        <w:t>context</w:t>
      </w:r>
      <w:r w:rsidR="0066723E">
        <w:rPr>
          <w:b/>
          <w:i/>
          <w:color w:val="003366"/>
          <w:sz w:val="22"/>
          <w:szCs w:val="22"/>
          <w:lang w:val="fr-FR"/>
        </w:rPr>
        <w:t>e</w:t>
      </w:r>
      <w:r w:rsidRPr="00115A34">
        <w:rPr>
          <w:b/>
          <w:i/>
          <w:color w:val="003366"/>
          <w:sz w:val="22"/>
          <w:szCs w:val="22"/>
          <w:lang w:val="fr-FR"/>
        </w:rPr>
        <w:t>s</w:t>
      </w:r>
      <w:r w:rsidR="0066723E">
        <w:rPr>
          <w:b/>
          <w:i/>
          <w:color w:val="003366"/>
          <w:sz w:val="22"/>
          <w:szCs w:val="22"/>
          <w:lang w:val="fr-FR"/>
        </w:rPr>
        <w:t xml:space="preserve"> pertinents</w:t>
      </w:r>
    </w:p>
    <w:p w14:paraId="6D29DC7C" w14:textId="77777777" w:rsidR="007722E8" w:rsidRPr="00115A34" w:rsidRDefault="007722E8" w:rsidP="007722E8">
      <w:pPr>
        <w:spacing w:after="20"/>
        <w:rPr>
          <w:sz w:val="22"/>
          <w:szCs w:val="22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485"/>
      </w:tblGrid>
      <w:tr w:rsidR="006C20AC" w:rsidRPr="00115A34" w14:paraId="4EDB9A10" w14:textId="77777777" w:rsidTr="00E1163B">
        <w:trPr>
          <w:jc w:val="center"/>
        </w:trPr>
        <w:tc>
          <w:tcPr>
            <w:tcW w:w="4531" w:type="dxa"/>
            <w:shd w:val="clear" w:color="auto" w:fill="DEEAF6" w:themeFill="accent1" w:themeFillTint="33"/>
            <w:vAlign w:val="center"/>
          </w:tcPr>
          <w:p w14:paraId="145CAE64" w14:textId="783A7915" w:rsidR="006C20AC" w:rsidRPr="00115A34" w:rsidRDefault="00D00907" w:rsidP="002B5FE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Processus/plateforme multilatéral</w:t>
            </w:r>
            <w:r w:rsidR="00CD6B91">
              <w:rPr>
                <w:b/>
                <w:sz w:val="20"/>
                <w:szCs w:val="20"/>
                <w:lang w:val="fr-FR"/>
              </w:rPr>
              <w:t>(e)</w:t>
            </w:r>
          </w:p>
        </w:tc>
        <w:tc>
          <w:tcPr>
            <w:tcW w:w="4485" w:type="dxa"/>
            <w:shd w:val="clear" w:color="auto" w:fill="DEEAF6" w:themeFill="accent1" w:themeFillTint="33"/>
            <w:vAlign w:val="center"/>
          </w:tcPr>
          <w:p w14:paraId="429AFCA8" w14:textId="114280FA" w:rsidR="006C20AC" w:rsidRPr="00115A34" w:rsidRDefault="006C20AC" w:rsidP="002B5FE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115A34">
              <w:rPr>
                <w:b/>
                <w:sz w:val="20"/>
                <w:szCs w:val="20"/>
                <w:lang w:val="fr-FR"/>
              </w:rPr>
              <w:t>Possib</w:t>
            </w:r>
            <w:r w:rsidR="00D00907">
              <w:rPr>
                <w:b/>
                <w:sz w:val="20"/>
                <w:szCs w:val="20"/>
                <w:lang w:val="fr-FR"/>
              </w:rPr>
              <w:t>ilités éventuelles d’</w:t>
            </w:r>
            <w:r w:rsidRPr="00115A34">
              <w:rPr>
                <w:b/>
                <w:sz w:val="20"/>
                <w:szCs w:val="20"/>
                <w:lang w:val="fr-FR"/>
              </w:rPr>
              <w:t>influence</w:t>
            </w:r>
          </w:p>
        </w:tc>
      </w:tr>
      <w:tr w:rsidR="006C20AC" w:rsidRPr="00326B2D" w14:paraId="25723678" w14:textId="77777777" w:rsidTr="00E1163B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59B23A44" w14:textId="4F030AEC" w:rsidR="006C20AC" w:rsidRPr="00115A34" w:rsidRDefault="006C20AC" w:rsidP="002B5FE9">
            <w:pPr>
              <w:spacing w:before="20" w:after="20"/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Convention </w:t>
            </w:r>
            <w:r w:rsidR="00D00907">
              <w:rPr>
                <w:b/>
                <w:i/>
                <w:color w:val="000066"/>
                <w:sz w:val="19"/>
                <w:szCs w:val="19"/>
                <w:lang w:val="fr-FR"/>
              </w:rPr>
              <w:t>sur la diversité biologique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(C</w:t>
            </w:r>
            <w:r w:rsidR="00D00907">
              <w:rPr>
                <w:b/>
                <w:i/>
                <w:color w:val="000066"/>
                <w:sz w:val="19"/>
                <w:szCs w:val="19"/>
                <w:lang w:val="fr-FR"/>
              </w:rPr>
              <w:t>DB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>)</w:t>
            </w:r>
          </w:p>
        </w:tc>
      </w:tr>
      <w:tr w:rsidR="006C20AC" w:rsidRPr="00326B2D" w14:paraId="703C9ED9" w14:textId="77777777" w:rsidTr="00E1163B">
        <w:trPr>
          <w:jc w:val="center"/>
        </w:trPr>
        <w:tc>
          <w:tcPr>
            <w:tcW w:w="4531" w:type="dxa"/>
          </w:tcPr>
          <w:p w14:paraId="29A0656C" w14:textId="74D6743E" w:rsidR="006C20AC" w:rsidRPr="00115A34" w:rsidRDefault="00D00907" w:rsidP="002B5FE9">
            <w:pPr>
              <w:rPr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Avant-projet de Cadre mondial post-2020 pour la biodiversité,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Cible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5, </w:t>
            </w:r>
            <w:r>
              <w:rPr>
                <w:color w:val="000000"/>
                <w:sz w:val="19"/>
                <w:szCs w:val="19"/>
                <w:lang w:val="fr-FR"/>
              </w:rPr>
              <w:t>« Veiller à ce que le prélèvement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,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 le commerce et l’utilisation des espèces sauvages so</w:t>
            </w:r>
            <w:r w:rsidR="002D41D5">
              <w:rPr>
                <w:color w:val="000000"/>
                <w:sz w:val="19"/>
                <w:szCs w:val="19"/>
                <w:lang w:val="fr-FR"/>
              </w:rPr>
              <w:t>ie</w:t>
            </w:r>
            <w:r>
              <w:rPr>
                <w:color w:val="000000"/>
                <w:sz w:val="19"/>
                <w:szCs w:val="19"/>
                <w:lang w:val="fr-FR"/>
              </w:rPr>
              <w:t>nt durables, légaux et sans danger »</w:t>
            </w:r>
          </w:p>
        </w:tc>
        <w:tc>
          <w:tcPr>
            <w:tcW w:w="4485" w:type="dxa"/>
          </w:tcPr>
          <w:p w14:paraId="3769C879" w14:textId="357A1A6A" w:rsidR="006C20AC" w:rsidRPr="00115A34" w:rsidRDefault="00D00907" w:rsidP="002B5FE9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Contribution à l’élaboration d’indicateurs appropriés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pour la Cible</w:t>
            </w:r>
            <w:r w:rsidRPr="00115A34">
              <w:rPr>
                <w:sz w:val="19"/>
                <w:szCs w:val="19"/>
                <w:lang w:val="fr-FR"/>
              </w:rPr>
              <w:t xml:space="preserve"> 5, </w:t>
            </w:r>
            <w:r>
              <w:rPr>
                <w:sz w:val="19"/>
                <w:szCs w:val="19"/>
                <w:lang w:val="fr-FR"/>
              </w:rPr>
              <w:t>notamment par l’intermédiaire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du groupe d’experts techniques ad hoc sur le cadre de suivi du cadre mondial de la biodiversité, créé après la COP15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6C20AC" w:rsidRPr="00115A34" w14:paraId="7D6B7742" w14:textId="77777777" w:rsidTr="00E1163B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60A6E351" w14:textId="647372D5" w:rsidR="006C20AC" w:rsidRPr="00115A34" w:rsidRDefault="006C20AC" w:rsidP="002B5FE9">
            <w:pPr>
              <w:spacing w:before="20" w:after="20"/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</w:t>
            </w:r>
            <w:r w:rsidR="00D00907">
              <w:rPr>
                <w:b/>
                <w:i/>
                <w:color w:val="000066"/>
                <w:sz w:val="19"/>
                <w:szCs w:val="19"/>
                <w:lang w:val="fr-FR"/>
              </w:rPr>
              <w:t>Union européenne</w:t>
            </w:r>
          </w:p>
        </w:tc>
      </w:tr>
      <w:tr w:rsidR="006C20AC" w:rsidRPr="00326B2D" w14:paraId="4419E8C8" w14:textId="77777777" w:rsidTr="00E1163B">
        <w:trPr>
          <w:jc w:val="center"/>
        </w:trPr>
        <w:tc>
          <w:tcPr>
            <w:tcW w:w="4531" w:type="dxa"/>
          </w:tcPr>
          <w:p w14:paraId="1ECB2134" w14:textId="06BBBFE0" w:rsidR="006C20AC" w:rsidRPr="00115A34" w:rsidRDefault="00D00907" w:rsidP="002B5FE9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 xml:space="preserve">Règlement </w:t>
            </w:r>
            <w:r w:rsidR="006C20AC" w:rsidRPr="00115A34">
              <w:rPr>
                <w:color w:val="000000"/>
                <w:sz w:val="19"/>
                <w:szCs w:val="19"/>
                <w:lang w:val="fr-FR"/>
              </w:rPr>
              <w:t xml:space="preserve">2019/1241 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de l’UE </w:t>
            </w:r>
            <w:r w:rsidR="006C20AC" w:rsidRPr="00115A34">
              <w:rPr>
                <w:color w:val="000000"/>
                <w:sz w:val="19"/>
                <w:szCs w:val="19"/>
                <w:lang w:val="fr-FR"/>
              </w:rPr>
              <w:t>(</w:t>
            </w:r>
            <w:r>
              <w:rPr>
                <w:color w:val="000000"/>
                <w:sz w:val="19"/>
                <w:szCs w:val="19"/>
                <w:lang w:val="fr-FR"/>
              </w:rPr>
              <w:t>juin</w:t>
            </w:r>
            <w:r w:rsidR="006C20AC" w:rsidRPr="00115A34">
              <w:rPr>
                <w:color w:val="000000"/>
                <w:sz w:val="19"/>
                <w:szCs w:val="19"/>
                <w:lang w:val="fr-FR"/>
              </w:rPr>
              <w:t xml:space="preserve"> 2019) </w:t>
            </w:r>
            <w:r>
              <w:rPr>
                <w:color w:val="000000"/>
                <w:sz w:val="19"/>
                <w:szCs w:val="19"/>
                <w:lang w:val="fr-FR"/>
              </w:rPr>
              <w:t>sur la</w:t>
            </w:r>
            <w:r w:rsidR="006C20AC" w:rsidRPr="00115A34">
              <w:rPr>
                <w:color w:val="000000"/>
                <w:sz w:val="19"/>
                <w:szCs w:val="19"/>
                <w:lang w:val="fr-FR"/>
              </w:rPr>
              <w:t xml:space="preserve"> conservation </w:t>
            </w:r>
            <w:r w:rsidR="009F1B6C">
              <w:rPr>
                <w:color w:val="000000"/>
                <w:sz w:val="19"/>
                <w:szCs w:val="19"/>
                <w:lang w:val="fr-FR"/>
              </w:rPr>
              <w:t>des ressources halieutiques</w:t>
            </w:r>
            <w:r w:rsidR="006C20AC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9F1B6C">
              <w:rPr>
                <w:color w:val="000000"/>
                <w:sz w:val="19"/>
                <w:szCs w:val="19"/>
                <w:lang w:val="fr-FR"/>
              </w:rPr>
              <w:t>et la</w:t>
            </w:r>
            <w:r w:rsidR="006C20AC" w:rsidRPr="00115A34">
              <w:rPr>
                <w:color w:val="000000"/>
                <w:sz w:val="19"/>
                <w:szCs w:val="19"/>
                <w:lang w:val="fr-FR"/>
              </w:rPr>
              <w:t xml:space="preserve"> protection </w:t>
            </w:r>
            <w:r w:rsidR="009F1B6C">
              <w:rPr>
                <w:color w:val="000000"/>
                <w:sz w:val="19"/>
                <w:szCs w:val="19"/>
                <w:lang w:val="fr-FR"/>
              </w:rPr>
              <w:t>des</w:t>
            </w:r>
            <w:r w:rsidR="006C20AC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9F1B6C">
              <w:rPr>
                <w:color w:val="000000"/>
                <w:sz w:val="19"/>
                <w:szCs w:val="19"/>
                <w:lang w:val="fr-FR"/>
              </w:rPr>
              <w:t>é</w:t>
            </w:r>
            <w:r w:rsidR="006C20AC" w:rsidRPr="00115A34">
              <w:rPr>
                <w:color w:val="000000"/>
                <w:sz w:val="19"/>
                <w:szCs w:val="19"/>
                <w:lang w:val="fr-FR"/>
              </w:rPr>
              <w:t>cosyst</w:t>
            </w:r>
            <w:r w:rsidR="009F1B6C">
              <w:rPr>
                <w:color w:val="000000"/>
                <w:sz w:val="19"/>
                <w:szCs w:val="19"/>
                <w:lang w:val="fr-FR"/>
              </w:rPr>
              <w:t>è</w:t>
            </w:r>
            <w:r w:rsidR="006C20AC" w:rsidRPr="00115A34">
              <w:rPr>
                <w:color w:val="000000"/>
                <w:sz w:val="19"/>
                <w:szCs w:val="19"/>
                <w:lang w:val="fr-FR"/>
              </w:rPr>
              <w:t>m</w:t>
            </w:r>
            <w:r w:rsidR="009F1B6C">
              <w:rPr>
                <w:color w:val="000000"/>
                <w:sz w:val="19"/>
                <w:szCs w:val="19"/>
                <w:lang w:val="fr-FR"/>
              </w:rPr>
              <w:t>e</w:t>
            </w:r>
            <w:r w:rsidR="006C20AC" w:rsidRPr="00115A34">
              <w:rPr>
                <w:color w:val="000000"/>
                <w:sz w:val="19"/>
                <w:szCs w:val="19"/>
                <w:lang w:val="fr-FR"/>
              </w:rPr>
              <w:t>s</w:t>
            </w:r>
            <w:r w:rsidR="009F1B6C">
              <w:rPr>
                <w:color w:val="000000"/>
                <w:sz w:val="19"/>
                <w:szCs w:val="19"/>
                <w:lang w:val="fr-FR"/>
              </w:rPr>
              <w:t xml:space="preserve"> marins</w:t>
            </w:r>
            <w:r w:rsidR="006C20AC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9F1B6C">
              <w:rPr>
                <w:color w:val="000000"/>
                <w:sz w:val="19"/>
                <w:szCs w:val="19"/>
                <w:lang w:val="fr-FR"/>
              </w:rPr>
              <w:t>au moyen de mesures techniques</w:t>
            </w:r>
            <w:r w:rsidR="006C20AC"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</w:tc>
        <w:tc>
          <w:tcPr>
            <w:tcW w:w="4485" w:type="dxa"/>
          </w:tcPr>
          <w:p w14:paraId="71C5960A" w14:textId="0D8D8AEB" w:rsidR="006C20AC" w:rsidRPr="00115A34" w:rsidRDefault="009F1B6C" w:rsidP="002B5FE9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Faire pression pour que les États membres appliquent les mesures</w:t>
            </w:r>
            <w:r w:rsidR="006C20AC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techniques de</w:t>
            </w:r>
            <w:r w:rsidR="006C20AC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c</w:t>
            </w:r>
            <w:r w:rsidR="006C20AC" w:rsidRPr="00115A34">
              <w:rPr>
                <w:sz w:val="19"/>
                <w:szCs w:val="19"/>
                <w:lang w:val="fr-FR"/>
              </w:rPr>
              <w:t>onservation</w:t>
            </w:r>
            <w:r>
              <w:rPr>
                <w:sz w:val="19"/>
                <w:szCs w:val="19"/>
                <w:lang w:val="fr-FR"/>
              </w:rPr>
              <w:t xml:space="preserve"> prévues dans le Règlement</w:t>
            </w:r>
            <w:r w:rsidR="006C20AC" w:rsidRPr="00115A34">
              <w:rPr>
                <w:sz w:val="19"/>
                <w:szCs w:val="19"/>
                <w:lang w:val="fr-FR"/>
              </w:rPr>
              <w:t xml:space="preserve">, </w:t>
            </w:r>
            <w:r>
              <w:rPr>
                <w:sz w:val="19"/>
                <w:szCs w:val="19"/>
                <w:lang w:val="fr-FR"/>
              </w:rPr>
              <w:t xml:space="preserve">y compris les </w:t>
            </w:r>
            <w:r w:rsidR="006C20AC" w:rsidRPr="00115A34">
              <w:rPr>
                <w:sz w:val="19"/>
                <w:szCs w:val="19"/>
                <w:lang w:val="fr-FR"/>
              </w:rPr>
              <w:t>actions</w:t>
            </w:r>
            <w:r>
              <w:rPr>
                <w:sz w:val="19"/>
                <w:szCs w:val="19"/>
                <w:lang w:val="fr-FR"/>
              </w:rPr>
              <w:t xml:space="preserve"> conjointes</w:t>
            </w:r>
            <w:r w:rsidR="006C20AC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sur une base régionale</w:t>
            </w:r>
            <w:r w:rsidR="006C20AC" w:rsidRPr="00115A34">
              <w:rPr>
                <w:sz w:val="19"/>
                <w:szCs w:val="19"/>
                <w:lang w:val="fr-FR"/>
              </w:rPr>
              <w:t xml:space="preserve">. </w:t>
            </w:r>
            <w:r>
              <w:rPr>
                <w:sz w:val="19"/>
                <w:szCs w:val="19"/>
                <w:lang w:val="fr-FR"/>
              </w:rPr>
              <w:t>Veiller à l’adéquation des rapports triennaux de mise en œuvre compilés par la</w:t>
            </w:r>
            <w:r w:rsidR="006C20AC" w:rsidRPr="00115A34">
              <w:rPr>
                <w:sz w:val="19"/>
                <w:szCs w:val="19"/>
                <w:lang w:val="fr-FR"/>
              </w:rPr>
              <w:t xml:space="preserve"> Commission</w:t>
            </w:r>
            <w:r>
              <w:rPr>
                <w:sz w:val="19"/>
                <w:szCs w:val="19"/>
                <w:lang w:val="fr-FR"/>
              </w:rPr>
              <w:t xml:space="preserve"> européenne</w:t>
            </w:r>
            <w:r w:rsidR="006C20AC" w:rsidRPr="00115A34">
              <w:rPr>
                <w:sz w:val="19"/>
                <w:szCs w:val="19"/>
                <w:lang w:val="fr-FR"/>
              </w:rPr>
              <w:t>.</w:t>
            </w:r>
          </w:p>
        </w:tc>
      </w:tr>
    </w:tbl>
    <w:p w14:paraId="707B9BAC" w14:textId="77777777" w:rsidR="00D734D7" w:rsidRPr="00115A34" w:rsidRDefault="00D734D7" w:rsidP="007722E8">
      <w:pPr>
        <w:spacing w:after="20"/>
        <w:rPr>
          <w:sz w:val="22"/>
          <w:szCs w:val="22"/>
          <w:lang w:val="fr-FR"/>
        </w:rPr>
      </w:pPr>
    </w:p>
    <w:p w14:paraId="79FC81B2" w14:textId="77777777" w:rsidR="007722E8" w:rsidRPr="00115A34" w:rsidRDefault="007722E8" w:rsidP="007722E8">
      <w:pPr>
        <w:spacing w:after="20"/>
        <w:rPr>
          <w:sz w:val="16"/>
          <w:szCs w:val="16"/>
          <w:lang w:val="fr-FR"/>
        </w:rPr>
      </w:pPr>
    </w:p>
    <w:p w14:paraId="67088538" w14:textId="3143C072" w:rsidR="007722E8" w:rsidRPr="00115A34" w:rsidRDefault="007722E8" w:rsidP="00E1163B">
      <w:pPr>
        <w:shd w:val="clear" w:color="auto" w:fill="DEEAF6" w:themeFill="accent1" w:themeFillTint="33"/>
        <w:spacing w:after="20"/>
        <w:rPr>
          <w:b/>
          <w:lang w:val="fr-FR"/>
        </w:rPr>
      </w:pPr>
      <w:r w:rsidRPr="00115A34">
        <w:rPr>
          <w:b/>
          <w:lang w:val="fr-FR"/>
        </w:rPr>
        <w:t xml:space="preserve">4.  </w:t>
      </w:r>
      <w:r w:rsidR="009F1B6C">
        <w:rPr>
          <w:b/>
          <w:lang w:val="fr-FR"/>
        </w:rPr>
        <w:t>Espèces exotiques envahissantes</w:t>
      </w:r>
    </w:p>
    <w:p w14:paraId="4CEBA36A" w14:textId="77777777" w:rsidR="007722E8" w:rsidRPr="00115A34" w:rsidRDefault="007722E8" w:rsidP="007722E8">
      <w:pPr>
        <w:spacing w:after="20"/>
        <w:rPr>
          <w:sz w:val="22"/>
          <w:szCs w:val="22"/>
          <w:lang w:val="fr-FR"/>
        </w:rPr>
      </w:pPr>
    </w:p>
    <w:p w14:paraId="06E8ECD5" w14:textId="4ABA7765" w:rsidR="007722E8" w:rsidRPr="00115A34" w:rsidRDefault="007722E8" w:rsidP="007722E8">
      <w:pPr>
        <w:spacing w:after="20"/>
        <w:rPr>
          <w:b/>
          <w:i/>
          <w:color w:val="003366"/>
          <w:sz w:val="22"/>
          <w:szCs w:val="22"/>
          <w:lang w:val="fr-FR"/>
        </w:rPr>
      </w:pPr>
      <w:r w:rsidRPr="00115A34">
        <w:rPr>
          <w:b/>
          <w:i/>
          <w:color w:val="003366"/>
          <w:sz w:val="22"/>
          <w:szCs w:val="22"/>
          <w:lang w:val="fr-FR"/>
        </w:rPr>
        <w:t xml:space="preserve">  (a) </w:t>
      </w:r>
      <w:r w:rsidR="009F1B6C">
        <w:rPr>
          <w:b/>
          <w:i/>
          <w:color w:val="003366"/>
          <w:sz w:val="22"/>
          <w:szCs w:val="22"/>
          <w:lang w:val="fr-FR"/>
        </w:rPr>
        <w:t>Orientations existantes de l’</w:t>
      </w:r>
      <w:r w:rsidRPr="00115A34">
        <w:rPr>
          <w:b/>
          <w:i/>
          <w:color w:val="003366"/>
          <w:sz w:val="22"/>
          <w:szCs w:val="22"/>
          <w:lang w:val="fr-FR"/>
        </w:rPr>
        <w:t>AEWA</w:t>
      </w:r>
    </w:p>
    <w:p w14:paraId="30D25A42" w14:textId="77777777" w:rsidR="007722E8" w:rsidRPr="00115A34" w:rsidRDefault="007722E8" w:rsidP="007722E8">
      <w:pPr>
        <w:spacing w:after="20"/>
        <w:rPr>
          <w:sz w:val="22"/>
          <w:szCs w:val="22"/>
          <w:lang w:val="fr-FR"/>
        </w:rPr>
      </w:pPr>
    </w:p>
    <w:p w14:paraId="018E1990" w14:textId="1B983C0D" w:rsidR="00073ECE" w:rsidRPr="00115A34" w:rsidRDefault="0033685A" w:rsidP="00E1163B">
      <w:pPr>
        <w:spacing w:after="2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En vertu de l’ar</w:t>
      </w:r>
      <w:r w:rsidR="00073ECE" w:rsidRPr="00115A34">
        <w:rPr>
          <w:sz w:val="22"/>
          <w:szCs w:val="22"/>
          <w:lang w:val="fr-FR"/>
        </w:rPr>
        <w:t xml:space="preserve">ticle III.2 (g) </w:t>
      </w:r>
      <w:r>
        <w:rPr>
          <w:sz w:val="22"/>
          <w:szCs w:val="22"/>
          <w:lang w:val="fr-FR"/>
        </w:rPr>
        <w:t>de l’Accord</w:t>
      </w:r>
      <w:r w:rsidR="00073ECE" w:rsidRPr="00115A34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 xml:space="preserve">les </w:t>
      </w:r>
      <w:r w:rsidR="00073ECE" w:rsidRPr="00115A34">
        <w:rPr>
          <w:sz w:val="22"/>
          <w:szCs w:val="22"/>
          <w:lang w:val="fr-FR"/>
        </w:rPr>
        <w:t xml:space="preserve">Parties </w:t>
      </w:r>
      <w:r>
        <w:rPr>
          <w:sz w:val="22"/>
          <w:szCs w:val="22"/>
          <w:lang w:val="fr-FR"/>
        </w:rPr>
        <w:t>doivent interdire</w:t>
      </w:r>
      <w:r w:rsidR="00073ECE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l’</w:t>
      </w:r>
      <w:r w:rsidR="00073ECE" w:rsidRPr="00115A34">
        <w:rPr>
          <w:sz w:val="22"/>
          <w:szCs w:val="22"/>
          <w:lang w:val="fr-FR"/>
        </w:rPr>
        <w:t xml:space="preserve">introduction </w:t>
      </w:r>
      <w:r>
        <w:rPr>
          <w:sz w:val="22"/>
          <w:szCs w:val="22"/>
          <w:lang w:val="fr-FR"/>
        </w:rPr>
        <w:t>intentionnelle d’espèces d’oiseaux d’eau non indigènes</w:t>
      </w:r>
      <w:r w:rsidR="00073ECE" w:rsidRPr="00115A34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>prendre des mesures pour éviter la libération accidentelle de telles espèces</w:t>
      </w:r>
      <w:r w:rsidR="00073ECE" w:rsidRPr="00115A34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>et pour éviter</w:t>
      </w:r>
      <w:r w:rsidR="00073ECE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qu’</w:t>
      </w:r>
      <w:r w:rsidR="00F11630">
        <w:rPr>
          <w:sz w:val="22"/>
          <w:szCs w:val="22"/>
          <w:lang w:val="fr-FR"/>
        </w:rPr>
        <w:t>elles</w:t>
      </w:r>
      <w:r>
        <w:rPr>
          <w:sz w:val="22"/>
          <w:szCs w:val="22"/>
          <w:lang w:val="fr-FR"/>
        </w:rPr>
        <w:t xml:space="preserve"> ne deviennent une menace si elles ont déjà été introduites</w:t>
      </w:r>
      <w:r w:rsidR="00073ECE" w:rsidRPr="00115A34">
        <w:rPr>
          <w:sz w:val="22"/>
          <w:szCs w:val="22"/>
          <w:lang w:val="fr-FR"/>
        </w:rPr>
        <w:t xml:space="preserve">. </w:t>
      </w:r>
      <w:r>
        <w:rPr>
          <w:sz w:val="22"/>
          <w:szCs w:val="22"/>
          <w:lang w:val="fr-FR"/>
        </w:rPr>
        <w:t>Ces</w:t>
      </w:r>
      <w:r w:rsidR="00073ECE" w:rsidRPr="00115A34">
        <w:rPr>
          <w:sz w:val="22"/>
          <w:szCs w:val="22"/>
          <w:lang w:val="fr-FR"/>
        </w:rPr>
        <w:t xml:space="preserve"> obligations </w:t>
      </w:r>
      <w:r>
        <w:rPr>
          <w:sz w:val="22"/>
          <w:szCs w:val="22"/>
          <w:lang w:val="fr-FR"/>
        </w:rPr>
        <w:t>sont développées plus avant dans l’</w:t>
      </w:r>
      <w:r w:rsidR="00073ECE" w:rsidRPr="00115A34">
        <w:rPr>
          <w:sz w:val="22"/>
          <w:szCs w:val="22"/>
          <w:lang w:val="fr-FR"/>
        </w:rPr>
        <w:t>Annex</w:t>
      </w:r>
      <w:r>
        <w:rPr>
          <w:sz w:val="22"/>
          <w:szCs w:val="22"/>
          <w:lang w:val="fr-FR"/>
        </w:rPr>
        <w:t>e</w:t>
      </w:r>
      <w:r w:rsidR="00073ECE" w:rsidRPr="00115A34">
        <w:rPr>
          <w:sz w:val="22"/>
          <w:szCs w:val="22"/>
          <w:lang w:val="fr-FR"/>
        </w:rPr>
        <w:t xml:space="preserve"> 3 (</w:t>
      </w:r>
      <w:r>
        <w:rPr>
          <w:sz w:val="22"/>
          <w:szCs w:val="22"/>
          <w:lang w:val="fr-FR"/>
        </w:rPr>
        <w:t>le Plan d’action</w:t>
      </w:r>
      <w:r w:rsidR="00073ECE" w:rsidRPr="00115A34">
        <w:rPr>
          <w:sz w:val="22"/>
          <w:szCs w:val="22"/>
          <w:lang w:val="fr-FR"/>
        </w:rPr>
        <w:t xml:space="preserve">), </w:t>
      </w:r>
      <w:r>
        <w:rPr>
          <w:sz w:val="22"/>
          <w:szCs w:val="22"/>
          <w:lang w:val="fr-FR"/>
        </w:rPr>
        <w:t>dans les</w:t>
      </w:r>
      <w:r w:rsidR="00073ECE" w:rsidRPr="00115A34">
        <w:rPr>
          <w:sz w:val="22"/>
          <w:szCs w:val="22"/>
          <w:lang w:val="fr-FR"/>
        </w:rPr>
        <w:t xml:space="preserve"> paragraph</w:t>
      </w:r>
      <w:r>
        <w:rPr>
          <w:sz w:val="22"/>
          <w:szCs w:val="22"/>
          <w:lang w:val="fr-FR"/>
        </w:rPr>
        <w:t>e</w:t>
      </w:r>
      <w:r w:rsidR="00073ECE" w:rsidRPr="00115A34">
        <w:rPr>
          <w:sz w:val="22"/>
          <w:szCs w:val="22"/>
          <w:lang w:val="fr-FR"/>
        </w:rPr>
        <w:t xml:space="preserve">s 2.5.1, 2.5.2, 2.5.3, 3.3, 4.3.10 </w:t>
      </w:r>
      <w:r>
        <w:rPr>
          <w:sz w:val="22"/>
          <w:szCs w:val="22"/>
          <w:lang w:val="fr-FR"/>
        </w:rPr>
        <w:t>et</w:t>
      </w:r>
      <w:r w:rsidR="00073ECE" w:rsidRPr="00115A34">
        <w:rPr>
          <w:sz w:val="22"/>
          <w:szCs w:val="22"/>
          <w:lang w:val="fr-FR"/>
        </w:rPr>
        <w:t xml:space="preserve"> 4.3.11.</w:t>
      </w:r>
    </w:p>
    <w:p w14:paraId="7EE6CCE2" w14:textId="77777777" w:rsidR="00073ECE" w:rsidRPr="00115A34" w:rsidRDefault="00073ECE" w:rsidP="00E1163B">
      <w:pPr>
        <w:spacing w:after="20"/>
        <w:jc w:val="both"/>
        <w:rPr>
          <w:sz w:val="22"/>
          <w:szCs w:val="22"/>
          <w:lang w:val="fr-FR"/>
        </w:rPr>
      </w:pPr>
    </w:p>
    <w:p w14:paraId="0EDA33B4" w14:textId="1CA5E9E9" w:rsidR="00073ECE" w:rsidRPr="00115A34" w:rsidRDefault="0033685A" w:rsidP="00E1163B">
      <w:pPr>
        <w:spacing w:after="2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À ce jour</w:t>
      </w:r>
      <w:r w:rsidR="00073ECE" w:rsidRPr="00115A34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>la</w:t>
      </w:r>
      <w:r w:rsidR="00073ECE" w:rsidRPr="00115A34">
        <w:rPr>
          <w:sz w:val="22"/>
          <w:szCs w:val="22"/>
          <w:lang w:val="fr-FR"/>
        </w:rPr>
        <w:t xml:space="preserve"> MOP a adopt</w:t>
      </w:r>
      <w:r>
        <w:rPr>
          <w:sz w:val="22"/>
          <w:szCs w:val="22"/>
          <w:lang w:val="fr-FR"/>
        </w:rPr>
        <w:t>é deux</w:t>
      </w:r>
      <w:r w:rsidR="00073ECE" w:rsidRPr="00115A34">
        <w:rPr>
          <w:sz w:val="22"/>
          <w:szCs w:val="22"/>
          <w:lang w:val="fr-FR"/>
        </w:rPr>
        <w:t xml:space="preserve"> R</w:t>
      </w:r>
      <w:r>
        <w:rPr>
          <w:sz w:val="22"/>
          <w:szCs w:val="22"/>
          <w:lang w:val="fr-FR"/>
        </w:rPr>
        <w:t>é</w:t>
      </w:r>
      <w:r w:rsidR="00073ECE" w:rsidRPr="00115A34">
        <w:rPr>
          <w:sz w:val="22"/>
          <w:szCs w:val="22"/>
          <w:lang w:val="fr-FR"/>
        </w:rPr>
        <w:t xml:space="preserve">solutions </w:t>
      </w:r>
      <w:r>
        <w:rPr>
          <w:sz w:val="22"/>
          <w:szCs w:val="22"/>
          <w:lang w:val="fr-FR"/>
        </w:rPr>
        <w:t>relatives à ce sujet </w:t>
      </w:r>
      <w:r w:rsidR="00073ECE" w:rsidRPr="00115A34">
        <w:rPr>
          <w:sz w:val="22"/>
          <w:szCs w:val="22"/>
          <w:lang w:val="fr-FR"/>
        </w:rPr>
        <w:t>:</w:t>
      </w:r>
    </w:p>
    <w:p w14:paraId="3011136F" w14:textId="77777777" w:rsidR="00073ECE" w:rsidRPr="00115A34" w:rsidRDefault="00073ECE" w:rsidP="00E1163B">
      <w:pPr>
        <w:pStyle w:val="PlainText"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14:paraId="1A235D19" w14:textId="364C2E8C" w:rsidR="00073ECE" w:rsidRPr="00115A34" w:rsidRDefault="00073ECE" w:rsidP="00E1163B">
      <w:pPr>
        <w:pStyle w:val="PlainText"/>
        <w:numPr>
          <w:ilvl w:val="0"/>
          <w:numId w:val="38"/>
        </w:numPr>
        <w:jc w:val="both"/>
        <w:rPr>
          <w:rFonts w:ascii="Times New Roman" w:hAnsi="Times New Roman" w:cs="Times New Roman"/>
          <w:lang w:val="fr-FR"/>
        </w:rPr>
      </w:pPr>
      <w:r w:rsidRPr="00115A34">
        <w:rPr>
          <w:rFonts w:ascii="Times New Roman" w:hAnsi="Times New Roman" w:cs="Times New Roman"/>
          <w:lang w:val="fr-FR"/>
        </w:rPr>
        <w:t>R</w:t>
      </w:r>
      <w:r w:rsidR="0033685A">
        <w:rPr>
          <w:rFonts w:ascii="Times New Roman" w:hAnsi="Times New Roman" w:cs="Times New Roman"/>
          <w:lang w:val="fr-FR"/>
        </w:rPr>
        <w:t>é</w:t>
      </w:r>
      <w:r w:rsidRPr="00115A34">
        <w:rPr>
          <w:rFonts w:ascii="Times New Roman" w:hAnsi="Times New Roman" w:cs="Times New Roman"/>
          <w:lang w:val="fr-FR"/>
        </w:rPr>
        <w:t xml:space="preserve">solution 4.5 (2008) </w:t>
      </w:r>
      <w:r w:rsidR="009E5183">
        <w:rPr>
          <w:rFonts w:ascii="Times New Roman" w:hAnsi="Times New Roman" w:cs="Times New Roman"/>
          <w:lang w:val="fr-FR"/>
        </w:rPr>
        <w:t>sur les espèces d’oiseaux d’eau non indigènes introduites dans la zone de l’Accord</w:t>
      </w:r>
      <w:r w:rsidRPr="00115A34">
        <w:rPr>
          <w:rFonts w:ascii="Times New Roman" w:hAnsi="Times New Roman" w:cs="Times New Roman"/>
          <w:lang w:val="fr-FR"/>
        </w:rPr>
        <w:t xml:space="preserve"> - </w:t>
      </w:r>
      <w:hyperlink r:id="rId17" w:history="1">
        <w:r w:rsidRPr="00115A34">
          <w:rPr>
            <w:rStyle w:val="Hyperlink"/>
            <w:rFonts w:ascii="Times New Roman" w:hAnsi="Times New Roman" w:cs="Times New Roman"/>
            <w:i/>
            <w:lang w:val="fr-FR"/>
          </w:rPr>
          <w:t>https://www.unep-aewa.org/en/document/introduced-non-native-waterbird-species-agreement-area-0</w:t>
        </w:r>
      </w:hyperlink>
      <w:r w:rsidRPr="00115A34">
        <w:rPr>
          <w:rFonts w:ascii="Times New Roman" w:hAnsi="Times New Roman" w:cs="Times New Roman"/>
          <w:i/>
          <w:lang w:val="fr-FR"/>
        </w:rPr>
        <w:t xml:space="preserve"> </w:t>
      </w:r>
      <w:r w:rsidRPr="00115A34">
        <w:rPr>
          <w:rFonts w:ascii="Times New Roman" w:hAnsi="Times New Roman" w:cs="Times New Roman"/>
          <w:lang w:val="fr-FR"/>
        </w:rPr>
        <w:t>;</w:t>
      </w:r>
    </w:p>
    <w:p w14:paraId="59B75568" w14:textId="77777777" w:rsidR="00073ECE" w:rsidRPr="00115A34" w:rsidRDefault="00073ECE" w:rsidP="00E1163B">
      <w:pPr>
        <w:pStyle w:val="PlainText"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14:paraId="69546200" w14:textId="370B29B5" w:rsidR="00073ECE" w:rsidRPr="00115A34" w:rsidRDefault="00073ECE" w:rsidP="00E1163B">
      <w:pPr>
        <w:pStyle w:val="PlainText"/>
        <w:numPr>
          <w:ilvl w:val="0"/>
          <w:numId w:val="38"/>
        </w:numPr>
        <w:jc w:val="both"/>
        <w:rPr>
          <w:rFonts w:ascii="Times New Roman" w:hAnsi="Times New Roman" w:cs="Times New Roman"/>
          <w:lang w:val="fr-FR"/>
        </w:rPr>
      </w:pPr>
      <w:r w:rsidRPr="00115A34">
        <w:rPr>
          <w:rFonts w:ascii="Times New Roman" w:hAnsi="Times New Roman" w:cs="Times New Roman"/>
          <w:lang w:val="fr-FR"/>
        </w:rPr>
        <w:t>R</w:t>
      </w:r>
      <w:r w:rsidR="009E5183">
        <w:rPr>
          <w:rFonts w:ascii="Times New Roman" w:hAnsi="Times New Roman" w:cs="Times New Roman"/>
          <w:lang w:val="fr-FR"/>
        </w:rPr>
        <w:t>é</w:t>
      </w:r>
      <w:r w:rsidRPr="00115A34">
        <w:rPr>
          <w:rFonts w:ascii="Times New Roman" w:hAnsi="Times New Roman" w:cs="Times New Roman"/>
          <w:lang w:val="fr-FR"/>
        </w:rPr>
        <w:t xml:space="preserve">solution 5.15 (2012) </w:t>
      </w:r>
      <w:r w:rsidR="009E5183">
        <w:rPr>
          <w:rFonts w:ascii="Times New Roman" w:hAnsi="Times New Roman" w:cs="Times New Roman"/>
          <w:lang w:val="fr-FR"/>
        </w:rPr>
        <w:t>sur l’impact des plantes aquatiques exotiques invasives sur les</w:t>
      </w:r>
      <w:r w:rsidRPr="00115A34">
        <w:rPr>
          <w:rFonts w:ascii="Times New Roman" w:hAnsi="Times New Roman" w:cs="Times New Roman"/>
          <w:lang w:val="fr-FR"/>
        </w:rPr>
        <w:t xml:space="preserve"> habitats </w:t>
      </w:r>
      <w:r w:rsidR="009E5183">
        <w:rPr>
          <w:rFonts w:ascii="Times New Roman" w:hAnsi="Times New Roman" w:cs="Times New Roman"/>
          <w:lang w:val="fr-FR"/>
        </w:rPr>
        <w:t>des oiseaux d’eau en Afrique</w:t>
      </w:r>
      <w:r w:rsidRPr="00115A34">
        <w:rPr>
          <w:rFonts w:ascii="Times New Roman" w:hAnsi="Times New Roman" w:cs="Times New Roman"/>
          <w:lang w:val="fr-FR"/>
        </w:rPr>
        <w:t xml:space="preserve"> - </w:t>
      </w:r>
      <w:hyperlink r:id="rId18" w:history="1">
        <w:r w:rsidRPr="00115A34">
          <w:rPr>
            <w:rStyle w:val="Hyperlink"/>
            <w:rFonts w:ascii="Times New Roman" w:hAnsi="Times New Roman" w:cs="Times New Roman"/>
            <w:i/>
            <w:lang w:val="fr-FR"/>
          </w:rPr>
          <w:t>https://www.unep-aewa.org/en/document/impact-invasive-alien-aquatic-weeds-waterbird-habitats-africa-1</w:t>
        </w:r>
      </w:hyperlink>
      <w:r w:rsidRPr="00115A34">
        <w:rPr>
          <w:rFonts w:ascii="Times New Roman" w:hAnsi="Times New Roman" w:cs="Times New Roman"/>
          <w:lang w:val="fr-FR"/>
        </w:rPr>
        <w:t xml:space="preserve"> .</w:t>
      </w:r>
    </w:p>
    <w:p w14:paraId="0053185C" w14:textId="77777777" w:rsidR="00073ECE" w:rsidRPr="00115A34" w:rsidRDefault="00073ECE" w:rsidP="00E1163B">
      <w:pPr>
        <w:spacing w:after="20"/>
        <w:jc w:val="both"/>
        <w:rPr>
          <w:sz w:val="22"/>
          <w:szCs w:val="22"/>
          <w:lang w:val="fr-FR"/>
        </w:rPr>
      </w:pPr>
    </w:p>
    <w:p w14:paraId="10DD5645" w14:textId="3A4476FF" w:rsidR="007722E8" w:rsidRPr="00115A34" w:rsidRDefault="009E5183" w:rsidP="00E1163B">
      <w:pPr>
        <w:spacing w:after="2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Les Lignes directrices de c</w:t>
      </w:r>
      <w:r w:rsidR="00334B34" w:rsidRPr="00115A34">
        <w:rPr>
          <w:sz w:val="22"/>
          <w:szCs w:val="22"/>
          <w:lang w:val="fr-FR"/>
        </w:rPr>
        <w:t>onservation</w:t>
      </w:r>
      <w:r>
        <w:rPr>
          <w:sz w:val="22"/>
          <w:szCs w:val="22"/>
          <w:lang w:val="fr-FR"/>
        </w:rPr>
        <w:t xml:space="preserve"> n</w:t>
      </w:r>
      <w:r w:rsidRPr="009E5183">
        <w:rPr>
          <w:sz w:val="22"/>
          <w:szCs w:val="22"/>
          <w:vertAlign w:val="superscript"/>
          <w:lang w:val="fr-FR"/>
        </w:rPr>
        <w:t>o</w:t>
      </w:r>
      <w:r>
        <w:rPr>
          <w:sz w:val="22"/>
          <w:szCs w:val="22"/>
          <w:lang w:val="fr-FR"/>
        </w:rPr>
        <w:t xml:space="preserve"> </w:t>
      </w:r>
      <w:r w:rsidR="00334B34" w:rsidRPr="00115A34">
        <w:rPr>
          <w:sz w:val="22"/>
          <w:szCs w:val="22"/>
          <w:lang w:val="fr-FR"/>
        </w:rPr>
        <w:t>10 (2006)</w:t>
      </w:r>
      <w:r w:rsidR="00CD6B91">
        <w:rPr>
          <w:sz w:val="22"/>
          <w:szCs w:val="22"/>
          <w:lang w:val="fr-FR"/>
        </w:rPr>
        <w:t>, adoptées par la MOP de l’AEWA,</w:t>
      </w:r>
      <w:r w:rsidR="00334B34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sur comment éviter les</w:t>
      </w:r>
      <w:r w:rsidR="00334B34" w:rsidRPr="00115A34">
        <w:rPr>
          <w:sz w:val="22"/>
          <w:szCs w:val="22"/>
          <w:lang w:val="fr-FR"/>
        </w:rPr>
        <w:t xml:space="preserve"> introductions </w:t>
      </w:r>
      <w:r>
        <w:rPr>
          <w:sz w:val="22"/>
          <w:szCs w:val="22"/>
          <w:lang w:val="fr-FR"/>
        </w:rPr>
        <w:t>d’espèces d’oiseaux d’eau non indigènes</w:t>
      </w:r>
      <w:r w:rsidR="00334B34" w:rsidRPr="00115A34">
        <w:rPr>
          <w:sz w:val="22"/>
          <w:szCs w:val="22"/>
          <w:lang w:val="fr-FR"/>
        </w:rPr>
        <w:t xml:space="preserve"> (</w:t>
      </w:r>
      <w:r w:rsidR="00334B34" w:rsidRPr="00115A34">
        <w:rPr>
          <w:i/>
          <w:sz w:val="22"/>
          <w:szCs w:val="22"/>
          <w:lang w:val="fr-FR"/>
        </w:rPr>
        <w:t>https://www.unep-aewa.org/en/publication/aewa-conservation-guidelines-no-10-guidelines-avoidance-introductions-non-native</w:t>
      </w:r>
      <w:r w:rsidR="00334B34" w:rsidRPr="00115A34">
        <w:rPr>
          <w:sz w:val="22"/>
          <w:szCs w:val="22"/>
          <w:lang w:val="fr-FR"/>
        </w:rPr>
        <w:t>)</w:t>
      </w:r>
      <w:r w:rsidR="007722E8" w:rsidRPr="00115A34">
        <w:rPr>
          <w:sz w:val="22"/>
          <w:szCs w:val="22"/>
          <w:lang w:val="fr-FR"/>
        </w:rPr>
        <w:t xml:space="preserve"> </w:t>
      </w:r>
      <w:r w:rsidR="00CD6B91">
        <w:rPr>
          <w:sz w:val="22"/>
          <w:szCs w:val="22"/>
          <w:lang w:val="fr-FR"/>
        </w:rPr>
        <w:t>ont identifié plusieurs processus/plateformes multilatéraux</w:t>
      </w:r>
      <w:r w:rsidR="007722E8" w:rsidRPr="00115A34">
        <w:rPr>
          <w:sz w:val="22"/>
          <w:szCs w:val="22"/>
          <w:lang w:val="fr-FR"/>
        </w:rPr>
        <w:t xml:space="preserve"> </w:t>
      </w:r>
      <w:r w:rsidR="00CD6B91">
        <w:rPr>
          <w:sz w:val="22"/>
          <w:szCs w:val="22"/>
          <w:lang w:val="fr-FR"/>
        </w:rPr>
        <w:t xml:space="preserve">pouvant offrir </w:t>
      </w:r>
      <w:r w:rsidR="00544CEA">
        <w:rPr>
          <w:sz w:val="22"/>
          <w:szCs w:val="22"/>
          <w:lang w:val="fr-FR"/>
        </w:rPr>
        <w:t>des opportunités</w:t>
      </w:r>
      <w:r w:rsidR="00CD6B91">
        <w:rPr>
          <w:sz w:val="22"/>
          <w:szCs w:val="22"/>
          <w:lang w:val="fr-FR"/>
        </w:rPr>
        <w:t xml:space="preserve"> pour exercer de l’</w:t>
      </w:r>
      <w:r w:rsidR="007722E8" w:rsidRPr="00115A34">
        <w:rPr>
          <w:sz w:val="22"/>
          <w:szCs w:val="22"/>
          <w:lang w:val="fr-FR"/>
        </w:rPr>
        <w:t xml:space="preserve">influence. </w:t>
      </w:r>
      <w:r w:rsidR="00CD6B91">
        <w:rPr>
          <w:sz w:val="22"/>
          <w:szCs w:val="22"/>
          <w:lang w:val="fr-FR"/>
        </w:rPr>
        <w:t>Ils sont récapitulés dans le tableau ci-dessous</w:t>
      </w:r>
      <w:r w:rsidR="007722E8" w:rsidRPr="00115A34">
        <w:rPr>
          <w:sz w:val="22"/>
          <w:szCs w:val="22"/>
          <w:lang w:val="fr-FR"/>
        </w:rPr>
        <w:t>.</w:t>
      </w:r>
    </w:p>
    <w:p w14:paraId="164342B3" w14:textId="68650372" w:rsidR="007722E8" w:rsidRPr="00115A34" w:rsidRDefault="007722E8" w:rsidP="007722E8">
      <w:pPr>
        <w:rPr>
          <w:sz w:val="22"/>
          <w:szCs w:val="22"/>
          <w:lang w:val="fr-FR"/>
        </w:rPr>
      </w:pPr>
    </w:p>
    <w:p w14:paraId="06421924" w14:textId="77777777" w:rsidR="00E1163B" w:rsidRPr="00115A34" w:rsidRDefault="00E1163B" w:rsidP="007722E8">
      <w:pPr>
        <w:rPr>
          <w:sz w:val="22"/>
          <w:szCs w:val="22"/>
          <w:lang w:val="fr-FR"/>
        </w:rPr>
      </w:pPr>
    </w:p>
    <w:p w14:paraId="2D629842" w14:textId="77777777" w:rsidR="007722E8" w:rsidRPr="00115A34" w:rsidRDefault="007722E8" w:rsidP="007722E8">
      <w:pPr>
        <w:rPr>
          <w:sz w:val="8"/>
          <w:szCs w:val="8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722E8" w:rsidRPr="00115A34" w14:paraId="6D3DCEFC" w14:textId="77777777" w:rsidTr="00E1163B">
        <w:trPr>
          <w:jc w:val="center"/>
        </w:trPr>
        <w:tc>
          <w:tcPr>
            <w:tcW w:w="3005" w:type="dxa"/>
            <w:shd w:val="clear" w:color="auto" w:fill="DEEAF6" w:themeFill="accent1" w:themeFillTint="33"/>
            <w:vAlign w:val="center"/>
          </w:tcPr>
          <w:p w14:paraId="3A77DD8A" w14:textId="04F8F9C4" w:rsidR="007722E8" w:rsidRPr="00115A34" w:rsidRDefault="00CD6B91" w:rsidP="005F7185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Processus/plateforme </w:t>
            </w:r>
            <w:r w:rsidR="000B707E">
              <w:rPr>
                <w:b/>
                <w:sz w:val="20"/>
                <w:szCs w:val="20"/>
                <w:lang w:val="fr-FR"/>
              </w:rPr>
              <w:t>m</w:t>
            </w:r>
            <w:r w:rsidR="007722E8" w:rsidRPr="00115A34">
              <w:rPr>
                <w:b/>
                <w:sz w:val="20"/>
                <w:szCs w:val="20"/>
                <w:lang w:val="fr-FR"/>
              </w:rPr>
              <w:t>ultilat</w:t>
            </w:r>
            <w:r>
              <w:rPr>
                <w:b/>
                <w:sz w:val="20"/>
                <w:szCs w:val="20"/>
                <w:lang w:val="fr-FR"/>
              </w:rPr>
              <w:t>é</w:t>
            </w:r>
            <w:r w:rsidR="007722E8" w:rsidRPr="00115A34">
              <w:rPr>
                <w:b/>
                <w:sz w:val="20"/>
                <w:szCs w:val="20"/>
                <w:lang w:val="fr-FR"/>
              </w:rPr>
              <w:t>ral</w:t>
            </w:r>
            <w:r>
              <w:rPr>
                <w:b/>
                <w:sz w:val="20"/>
                <w:szCs w:val="20"/>
                <w:lang w:val="fr-FR"/>
              </w:rPr>
              <w:t>(e)</w:t>
            </w:r>
          </w:p>
        </w:tc>
        <w:tc>
          <w:tcPr>
            <w:tcW w:w="3005" w:type="dxa"/>
            <w:shd w:val="clear" w:color="auto" w:fill="DEEAF6" w:themeFill="accent1" w:themeFillTint="33"/>
            <w:vAlign w:val="center"/>
          </w:tcPr>
          <w:p w14:paraId="237ACE80" w14:textId="66ED1775" w:rsidR="007722E8" w:rsidRPr="00115A34" w:rsidRDefault="00E65BB6" w:rsidP="005F7185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</w:t>
            </w:r>
            <w:r w:rsidR="00CD6B91">
              <w:rPr>
                <w:b/>
                <w:sz w:val="20"/>
                <w:szCs w:val="20"/>
                <w:lang w:val="fr-FR"/>
              </w:rPr>
              <w:t xml:space="preserve">entionné </w:t>
            </w:r>
            <w:r>
              <w:rPr>
                <w:b/>
                <w:sz w:val="20"/>
                <w:szCs w:val="20"/>
                <w:lang w:val="fr-FR"/>
              </w:rPr>
              <w:t xml:space="preserve">où </w:t>
            </w:r>
            <w:r w:rsidR="00CD6B91">
              <w:rPr>
                <w:b/>
                <w:sz w:val="20"/>
                <w:szCs w:val="20"/>
                <w:lang w:val="fr-FR"/>
              </w:rPr>
              <w:t>par l’</w:t>
            </w:r>
            <w:r w:rsidR="007722E8" w:rsidRPr="00115A34">
              <w:rPr>
                <w:b/>
                <w:sz w:val="20"/>
                <w:szCs w:val="20"/>
                <w:lang w:val="fr-FR"/>
              </w:rPr>
              <w:t>AEWA</w:t>
            </w:r>
          </w:p>
        </w:tc>
        <w:tc>
          <w:tcPr>
            <w:tcW w:w="3006" w:type="dxa"/>
            <w:shd w:val="clear" w:color="auto" w:fill="DEEAF6" w:themeFill="accent1" w:themeFillTint="33"/>
            <w:vAlign w:val="center"/>
          </w:tcPr>
          <w:p w14:paraId="3950D666" w14:textId="7382BC9D" w:rsidR="007722E8" w:rsidRPr="00115A34" w:rsidRDefault="007722E8" w:rsidP="005F718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115A34">
              <w:rPr>
                <w:b/>
                <w:sz w:val="20"/>
                <w:szCs w:val="20"/>
                <w:lang w:val="fr-FR"/>
              </w:rPr>
              <w:t>Possib</w:t>
            </w:r>
            <w:r w:rsidR="00CD6B91">
              <w:rPr>
                <w:b/>
                <w:sz w:val="20"/>
                <w:szCs w:val="20"/>
                <w:lang w:val="fr-FR"/>
              </w:rPr>
              <w:t>ilités éventuelles d’</w:t>
            </w:r>
            <w:r w:rsidRPr="00115A34">
              <w:rPr>
                <w:b/>
                <w:sz w:val="20"/>
                <w:szCs w:val="20"/>
                <w:lang w:val="fr-FR"/>
              </w:rPr>
              <w:t>influence</w:t>
            </w:r>
          </w:p>
        </w:tc>
      </w:tr>
      <w:tr w:rsidR="007722E8" w:rsidRPr="00326B2D" w14:paraId="1A9155E2" w14:textId="77777777" w:rsidTr="00E1163B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773A81C5" w14:textId="35637BC8" w:rsidR="007722E8" w:rsidRPr="00115A34" w:rsidRDefault="007722E8" w:rsidP="005F7185">
            <w:pPr>
              <w:spacing w:before="20" w:after="20"/>
              <w:rPr>
                <w:b/>
                <w:i/>
                <w:color w:val="000066"/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Convention </w:t>
            </w:r>
            <w:r w:rsidR="00CD6B91">
              <w:rPr>
                <w:b/>
                <w:i/>
                <w:color w:val="000066"/>
                <w:sz w:val="19"/>
                <w:szCs w:val="19"/>
                <w:lang w:val="fr-FR"/>
              </w:rPr>
              <w:t>sur la diversité biologique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(C</w:t>
            </w:r>
            <w:r w:rsidR="000B707E">
              <w:rPr>
                <w:b/>
                <w:i/>
                <w:color w:val="000066"/>
                <w:sz w:val="19"/>
                <w:szCs w:val="19"/>
                <w:lang w:val="fr-FR"/>
              </w:rPr>
              <w:t>D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>B)</w:t>
            </w:r>
          </w:p>
        </w:tc>
      </w:tr>
      <w:tr w:rsidR="007722E8" w:rsidRPr="00326B2D" w14:paraId="121ED158" w14:textId="77777777" w:rsidTr="00E1163B">
        <w:trPr>
          <w:jc w:val="center"/>
        </w:trPr>
        <w:tc>
          <w:tcPr>
            <w:tcW w:w="3005" w:type="dxa"/>
          </w:tcPr>
          <w:p w14:paraId="5498878E" w14:textId="5C962F13" w:rsidR="007722E8" w:rsidRPr="00115A34" w:rsidRDefault="00C827E7" w:rsidP="005F7185">
            <w:pPr>
              <w:rPr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L’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Article 8 </w:t>
            </w:r>
            <w:r>
              <w:rPr>
                <w:color w:val="000000"/>
                <w:sz w:val="19"/>
                <w:szCs w:val="19"/>
                <w:lang w:val="fr-FR"/>
              </w:rPr>
              <w:t>de la CDB engage ses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Parties 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à 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:  </w:t>
            </w:r>
            <w:r w:rsidR="00C85261">
              <w:rPr>
                <w:color w:val="000000"/>
                <w:sz w:val="19"/>
                <w:szCs w:val="19"/>
                <w:lang w:val="fr-FR"/>
              </w:rPr>
              <w:t>« 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(h) </w:t>
            </w:r>
            <w:r w:rsidR="00C17AB1">
              <w:rPr>
                <w:color w:val="000000"/>
                <w:sz w:val="19"/>
                <w:szCs w:val="19"/>
                <w:lang w:val="fr-FR"/>
              </w:rPr>
              <w:t>Empêcher d</w:t>
            </w:r>
            <w:r w:rsidR="00C85261">
              <w:rPr>
                <w:color w:val="000000"/>
                <w:sz w:val="19"/>
                <w:szCs w:val="19"/>
                <w:lang w:val="fr-FR"/>
              </w:rPr>
              <w:t>’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>introdu</w:t>
            </w:r>
            <w:r w:rsidR="00C17AB1">
              <w:rPr>
                <w:color w:val="000000"/>
                <w:sz w:val="19"/>
                <w:szCs w:val="19"/>
                <w:lang w:val="fr-FR"/>
              </w:rPr>
              <w:t>ire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>, contr</w:t>
            </w:r>
            <w:r w:rsidR="00C85261">
              <w:rPr>
                <w:color w:val="000000"/>
                <w:sz w:val="19"/>
                <w:szCs w:val="19"/>
                <w:lang w:val="fr-FR"/>
              </w:rPr>
              <w:t>ô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>l</w:t>
            </w:r>
            <w:r w:rsidR="00C85261">
              <w:rPr>
                <w:color w:val="000000"/>
                <w:sz w:val="19"/>
                <w:szCs w:val="19"/>
                <w:lang w:val="fr-FR"/>
              </w:rPr>
              <w:t>er ou éradiquer les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C85261">
              <w:rPr>
                <w:color w:val="000000"/>
                <w:sz w:val="19"/>
                <w:szCs w:val="19"/>
                <w:lang w:val="fr-FR"/>
              </w:rPr>
              <w:t xml:space="preserve">espèces exotiques qui menacent </w:t>
            </w:r>
            <w:r w:rsidR="00C17AB1">
              <w:rPr>
                <w:color w:val="000000"/>
                <w:sz w:val="19"/>
                <w:szCs w:val="19"/>
                <w:lang w:val="fr-FR"/>
              </w:rPr>
              <w:t>d</w:t>
            </w:r>
            <w:r w:rsidR="00C85261">
              <w:rPr>
                <w:color w:val="000000"/>
                <w:sz w:val="19"/>
                <w:szCs w:val="19"/>
                <w:lang w:val="fr-FR"/>
              </w:rPr>
              <w:t>es écosystèmes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, </w:t>
            </w:r>
            <w:r w:rsidR="00C17AB1">
              <w:rPr>
                <w:color w:val="000000"/>
                <w:sz w:val="19"/>
                <w:szCs w:val="19"/>
                <w:lang w:val="fr-FR"/>
              </w:rPr>
              <w:t>d</w:t>
            </w:r>
            <w:r w:rsidR="00C85261">
              <w:rPr>
                <w:color w:val="000000"/>
                <w:sz w:val="19"/>
                <w:szCs w:val="19"/>
                <w:lang w:val="fr-FR"/>
              </w:rPr>
              <w:t xml:space="preserve">es 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>habitats o</w:t>
            </w:r>
            <w:r w:rsidR="00C85261">
              <w:rPr>
                <w:color w:val="000000"/>
                <w:sz w:val="19"/>
                <w:szCs w:val="19"/>
                <w:lang w:val="fr-FR"/>
              </w:rPr>
              <w:t xml:space="preserve">u </w:t>
            </w:r>
            <w:r w:rsidR="00C17AB1">
              <w:rPr>
                <w:color w:val="000000"/>
                <w:sz w:val="19"/>
                <w:szCs w:val="19"/>
                <w:lang w:val="fr-FR"/>
              </w:rPr>
              <w:t>d</w:t>
            </w:r>
            <w:r w:rsidR="00C85261">
              <w:rPr>
                <w:color w:val="000000"/>
                <w:sz w:val="19"/>
                <w:szCs w:val="19"/>
                <w:lang w:val="fr-FR"/>
              </w:rPr>
              <w:t>es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C85261">
              <w:rPr>
                <w:color w:val="000000"/>
                <w:sz w:val="19"/>
                <w:szCs w:val="19"/>
                <w:lang w:val="fr-FR"/>
              </w:rPr>
              <w:t>e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>sp</w:t>
            </w:r>
            <w:r w:rsidR="00C85261">
              <w:rPr>
                <w:color w:val="000000"/>
                <w:sz w:val="19"/>
                <w:szCs w:val="19"/>
                <w:lang w:val="fr-FR"/>
              </w:rPr>
              <w:t>è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>ces</w:t>
            </w:r>
            <w:r w:rsidR="00C85261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; (k) </w:t>
            </w:r>
            <w:r w:rsidR="00C17AB1">
              <w:rPr>
                <w:color w:val="000000"/>
                <w:sz w:val="19"/>
                <w:szCs w:val="19"/>
                <w:lang w:val="fr-FR"/>
              </w:rPr>
              <w:t>Formuler ou maintenir en vigueur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C17AB1">
              <w:rPr>
                <w:color w:val="000000"/>
                <w:sz w:val="19"/>
                <w:szCs w:val="19"/>
                <w:lang w:val="fr-FR"/>
              </w:rPr>
              <w:t>les dispositions législatives ou autres dispositions r</w:t>
            </w:r>
            <w:r w:rsidR="002D41D5">
              <w:rPr>
                <w:color w:val="000000"/>
                <w:sz w:val="19"/>
                <w:szCs w:val="19"/>
                <w:lang w:val="fr-FR"/>
              </w:rPr>
              <w:t>é</w:t>
            </w:r>
            <w:r w:rsidR="00C17AB1">
              <w:rPr>
                <w:color w:val="000000"/>
                <w:sz w:val="19"/>
                <w:szCs w:val="19"/>
                <w:lang w:val="fr-FR"/>
              </w:rPr>
              <w:t>glementaires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C17AB1">
              <w:rPr>
                <w:color w:val="000000"/>
                <w:sz w:val="19"/>
                <w:szCs w:val="19"/>
                <w:lang w:val="fr-FR"/>
              </w:rPr>
              <w:t>nécessaires pour protéger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C17AB1">
              <w:rPr>
                <w:color w:val="000000"/>
                <w:sz w:val="19"/>
                <w:szCs w:val="19"/>
                <w:lang w:val="fr-FR"/>
              </w:rPr>
              <w:t>les espèces et populations menacées ;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(l) </w:t>
            </w:r>
            <w:r w:rsidR="00C17AB1">
              <w:rPr>
                <w:color w:val="000000"/>
                <w:sz w:val="19"/>
                <w:szCs w:val="19"/>
                <w:lang w:val="fr-FR"/>
              </w:rPr>
              <w:t>Lorsqu’un effet défavorable important sur la diversité biologique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a </w:t>
            </w:r>
            <w:r w:rsidR="00C17AB1">
              <w:rPr>
                <w:color w:val="000000"/>
                <w:sz w:val="19"/>
                <w:szCs w:val="19"/>
                <w:lang w:val="fr-FR"/>
              </w:rPr>
              <w:t>été déterminé</w:t>
            </w:r>
            <w:r w:rsidR="00C17AB1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>….</w:t>
            </w:r>
            <w:r w:rsidR="00C17AB1">
              <w:rPr>
                <w:color w:val="000000"/>
                <w:sz w:val="19"/>
                <w:szCs w:val="19"/>
                <w:lang w:val="fr-FR"/>
              </w:rPr>
              <w:t>réglementer ou gérer les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lastRenderedPageBreak/>
              <w:t>process</w:t>
            </w:r>
            <w:r w:rsidR="00C17AB1">
              <w:rPr>
                <w:color w:val="000000"/>
                <w:sz w:val="19"/>
                <w:szCs w:val="19"/>
                <w:lang w:val="fr-FR"/>
              </w:rPr>
              <w:t>us pertinents ainsi que les catégories d’activités</w:t>
            </w:r>
            <w:r w:rsidR="00C17AB1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>…</w:t>
            </w:r>
            <w:r w:rsidR="00C17AB1">
              <w:rPr>
                <w:color w:val="000000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005" w:type="dxa"/>
          </w:tcPr>
          <w:p w14:paraId="7A954539" w14:textId="1C77008B" w:rsidR="007722E8" w:rsidRPr="00115A34" w:rsidRDefault="00341F2E" w:rsidP="00334B34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lastRenderedPageBreak/>
              <w:t>Dans les Lignes directrices de conservation n</w:t>
            </w:r>
            <w:r w:rsidRPr="00341F2E">
              <w:rPr>
                <w:sz w:val="19"/>
                <w:szCs w:val="19"/>
                <w:vertAlign w:val="superscript"/>
                <w:lang w:val="fr-FR"/>
              </w:rPr>
              <w:t>o</w:t>
            </w:r>
            <w:r w:rsidR="007722E8" w:rsidRPr="00341F2E">
              <w:rPr>
                <w:sz w:val="19"/>
                <w:szCs w:val="19"/>
                <w:vertAlign w:val="superscript"/>
                <w:lang w:val="fr-FR"/>
              </w:rPr>
              <w:t xml:space="preserve"> </w:t>
            </w:r>
            <w:r w:rsidR="007722E8" w:rsidRPr="00115A34">
              <w:rPr>
                <w:sz w:val="19"/>
                <w:szCs w:val="19"/>
                <w:lang w:val="fr-FR"/>
              </w:rPr>
              <w:t>10</w:t>
            </w:r>
            <w:r>
              <w:rPr>
                <w:sz w:val="19"/>
                <w:szCs w:val="19"/>
                <w:lang w:val="fr-FR"/>
              </w:rPr>
              <w:t xml:space="preserve"> de l’AEWA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(2006</w:t>
            </w:r>
            <w:r w:rsidR="007722E8" w:rsidRPr="00341F2E">
              <w:rPr>
                <w:sz w:val="19"/>
                <w:szCs w:val="19"/>
                <w:lang w:val="fr-FR"/>
              </w:rPr>
              <w:t xml:space="preserve">) </w:t>
            </w:r>
            <w:r w:rsidRPr="00341F2E">
              <w:rPr>
                <w:sz w:val="19"/>
                <w:szCs w:val="19"/>
                <w:lang w:val="fr-FR"/>
              </w:rPr>
              <w:t>sur comment éviter les introductions d’espèces d’oiseaux d’eau non indigènes</w:t>
            </w:r>
          </w:p>
        </w:tc>
        <w:tc>
          <w:tcPr>
            <w:tcW w:w="3006" w:type="dxa"/>
          </w:tcPr>
          <w:p w14:paraId="4B8D9876" w14:textId="69EBE480" w:rsidR="007722E8" w:rsidRPr="00115A34" w:rsidRDefault="00341F2E" w:rsidP="003838AB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Rapports nationaux</w:t>
            </w:r>
            <w:r w:rsidR="003838AB" w:rsidRPr="00115A34">
              <w:rPr>
                <w:sz w:val="19"/>
                <w:szCs w:val="19"/>
                <w:lang w:val="fr-FR"/>
              </w:rPr>
              <w:t xml:space="preserve">, </w:t>
            </w:r>
            <w:r>
              <w:rPr>
                <w:sz w:val="19"/>
                <w:szCs w:val="19"/>
                <w:lang w:val="fr-FR"/>
              </w:rPr>
              <w:t>et</w:t>
            </w:r>
            <w:r w:rsidR="003838AB" w:rsidRPr="00115A34">
              <w:rPr>
                <w:sz w:val="19"/>
                <w:szCs w:val="19"/>
                <w:lang w:val="fr-FR"/>
              </w:rPr>
              <w:t xml:space="preserve"> </w:t>
            </w:r>
            <w:r w:rsidR="00F11630">
              <w:rPr>
                <w:sz w:val="19"/>
                <w:szCs w:val="19"/>
                <w:lang w:val="fr-FR"/>
              </w:rPr>
              <w:t>prise en compte</w:t>
            </w:r>
            <w:r w:rsidR="003838AB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 xml:space="preserve">lors de la </w:t>
            </w:r>
            <w:r w:rsidR="003838AB" w:rsidRPr="00115A34">
              <w:rPr>
                <w:sz w:val="19"/>
                <w:szCs w:val="19"/>
                <w:lang w:val="fr-FR"/>
              </w:rPr>
              <w:t xml:space="preserve">COP </w:t>
            </w:r>
            <w:r>
              <w:rPr>
                <w:sz w:val="19"/>
                <w:szCs w:val="19"/>
                <w:lang w:val="fr-FR"/>
              </w:rPr>
              <w:t>et du</w:t>
            </w:r>
            <w:r w:rsidR="003838AB" w:rsidRPr="00115A34">
              <w:rPr>
                <w:sz w:val="19"/>
                <w:szCs w:val="19"/>
                <w:lang w:val="fr-FR"/>
              </w:rPr>
              <w:t xml:space="preserve"> SBSTTA.</w:t>
            </w:r>
          </w:p>
        </w:tc>
      </w:tr>
      <w:tr w:rsidR="007722E8" w:rsidRPr="00326B2D" w14:paraId="355A4FB7" w14:textId="77777777" w:rsidTr="00E1163B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4351D4B7" w14:textId="62A2AF2F" w:rsidR="007722E8" w:rsidRPr="00115A34" w:rsidRDefault="007722E8" w:rsidP="005F7185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</w:t>
            </w:r>
            <w:r w:rsidR="00341F2E"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Convention </w:t>
            </w:r>
            <w:r w:rsidR="00341F2E">
              <w:rPr>
                <w:b/>
                <w:i/>
                <w:color w:val="000066"/>
                <w:sz w:val="19"/>
                <w:szCs w:val="19"/>
                <w:lang w:val="fr-FR"/>
              </w:rPr>
              <w:t>sur le commerce i</w:t>
            </w:r>
            <w:r w:rsidR="00341F2E"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nternational </w:t>
            </w:r>
            <w:r w:rsidR="00341F2E">
              <w:rPr>
                <w:b/>
                <w:i/>
                <w:color w:val="000066"/>
                <w:sz w:val="19"/>
                <w:szCs w:val="19"/>
                <w:lang w:val="fr-FR"/>
              </w:rPr>
              <w:t>des espèces de faune et de flore sauvages menacées d’extinction</w:t>
            </w:r>
            <w:r w:rsidR="00341F2E"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(CITES)</w:t>
            </w:r>
          </w:p>
        </w:tc>
      </w:tr>
      <w:tr w:rsidR="007722E8" w:rsidRPr="00326B2D" w14:paraId="036E8C37" w14:textId="77777777" w:rsidTr="00E1163B">
        <w:trPr>
          <w:jc w:val="center"/>
        </w:trPr>
        <w:tc>
          <w:tcPr>
            <w:tcW w:w="3005" w:type="dxa"/>
          </w:tcPr>
          <w:p w14:paraId="64B0F426" w14:textId="26EF2AD4" w:rsidR="007722E8" w:rsidRPr="00115A34" w:rsidRDefault="00341F2E" w:rsidP="005F7185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La 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CITES </w:t>
            </w:r>
            <w:r>
              <w:rPr>
                <w:sz w:val="19"/>
                <w:szCs w:val="19"/>
                <w:lang w:val="fr-FR"/>
              </w:rPr>
              <w:t>se concentre sur le contrôle du commerce international des espèces menacées d’extinction</w:t>
            </w:r>
            <w:r w:rsidR="009E433A">
              <w:rPr>
                <w:sz w:val="19"/>
                <w:szCs w:val="19"/>
                <w:lang w:val="fr-FR"/>
              </w:rPr>
              <w:t> ; mais en théorie, elle pourrait être utilisée pour mettre « sur la liste noire » le commerce des espèces envahissantes</w:t>
            </w:r>
          </w:p>
        </w:tc>
        <w:tc>
          <w:tcPr>
            <w:tcW w:w="3005" w:type="dxa"/>
          </w:tcPr>
          <w:p w14:paraId="73933962" w14:textId="5530DB47" w:rsidR="007722E8" w:rsidRPr="00115A34" w:rsidRDefault="009E433A" w:rsidP="00334B34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Dans les Lignes directrices de conservation n</w:t>
            </w:r>
            <w:r w:rsidRPr="00341F2E">
              <w:rPr>
                <w:sz w:val="19"/>
                <w:szCs w:val="19"/>
                <w:vertAlign w:val="superscript"/>
                <w:lang w:val="fr-FR"/>
              </w:rPr>
              <w:t xml:space="preserve">o </w:t>
            </w:r>
            <w:r w:rsidRPr="00115A34">
              <w:rPr>
                <w:sz w:val="19"/>
                <w:szCs w:val="19"/>
                <w:lang w:val="fr-FR"/>
              </w:rPr>
              <w:t>10</w:t>
            </w:r>
            <w:r>
              <w:rPr>
                <w:sz w:val="19"/>
                <w:szCs w:val="19"/>
                <w:lang w:val="fr-FR"/>
              </w:rPr>
              <w:t xml:space="preserve"> de l’AEWA</w:t>
            </w:r>
            <w:r w:rsidRPr="00115A34">
              <w:rPr>
                <w:sz w:val="19"/>
                <w:szCs w:val="19"/>
                <w:lang w:val="fr-FR"/>
              </w:rPr>
              <w:t xml:space="preserve"> (2006</w:t>
            </w:r>
            <w:r w:rsidRPr="00341F2E">
              <w:rPr>
                <w:sz w:val="19"/>
                <w:szCs w:val="19"/>
                <w:lang w:val="fr-FR"/>
              </w:rPr>
              <w:t>) sur comment éviter les introductions d’espèces d’oiseaux d’eau non indigènes</w:t>
            </w:r>
          </w:p>
        </w:tc>
        <w:tc>
          <w:tcPr>
            <w:tcW w:w="3006" w:type="dxa"/>
          </w:tcPr>
          <w:p w14:paraId="720D4DCC" w14:textId="5B5059FA" w:rsidR="007722E8" w:rsidRPr="00115A34" w:rsidRDefault="003838AB" w:rsidP="003838AB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Explore</w:t>
            </w:r>
            <w:r w:rsidR="009E433A">
              <w:rPr>
                <w:sz w:val="19"/>
                <w:szCs w:val="19"/>
                <w:lang w:val="fr-FR"/>
              </w:rPr>
              <w:t>r les</w:t>
            </w:r>
            <w:r w:rsidRPr="00115A34">
              <w:rPr>
                <w:sz w:val="19"/>
                <w:szCs w:val="19"/>
                <w:lang w:val="fr-FR"/>
              </w:rPr>
              <w:t xml:space="preserve"> options </w:t>
            </w:r>
            <w:r w:rsidR="009E433A">
              <w:rPr>
                <w:sz w:val="19"/>
                <w:szCs w:val="19"/>
                <w:lang w:val="fr-FR"/>
              </w:rPr>
              <w:t>pour la mise en œuvre de la</w:t>
            </w:r>
            <w:r w:rsidRPr="00115A34">
              <w:rPr>
                <w:sz w:val="19"/>
                <w:szCs w:val="19"/>
                <w:lang w:val="fr-FR"/>
              </w:rPr>
              <w:t xml:space="preserve"> CITES </w:t>
            </w:r>
            <w:r w:rsidR="009E433A">
              <w:rPr>
                <w:sz w:val="19"/>
                <w:szCs w:val="19"/>
                <w:lang w:val="fr-FR"/>
              </w:rPr>
              <w:t>dans ce contexte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722E8" w:rsidRPr="00326B2D" w14:paraId="4C77A3A4" w14:textId="77777777" w:rsidTr="00E1163B">
        <w:trPr>
          <w:jc w:val="center"/>
        </w:trPr>
        <w:tc>
          <w:tcPr>
            <w:tcW w:w="3005" w:type="dxa"/>
          </w:tcPr>
          <w:p w14:paraId="4305CC42" w14:textId="39A72874" w:rsidR="007722E8" w:rsidRPr="00115A34" w:rsidRDefault="009E433A" w:rsidP="000B76CF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En vertu du Règlement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338/97</w:t>
            </w:r>
            <w:r>
              <w:rPr>
                <w:sz w:val="19"/>
                <w:szCs w:val="19"/>
                <w:lang w:val="fr-FR"/>
              </w:rPr>
              <w:t>, qui met en œuvre la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CITES </w:t>
            </w:r>
            <w:r>
              <w:rPr>
                <w:sz w:val="19"/>
                <w:szCs w:val="19"/>
                <w:lang w:val="fr-FR"/>
              </w:rPr>
              <w:t>dans l’UE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, </w:t>
            </w:r>
            <w:r>
              <w:rPr>
                <w:sz w:val="19"/>
                <w:szCs w:val="19"/>
                <w:lang w:val="fr-FR"/>
              </w:rPr>
              <w:t xml:space="preserve">le </w:t>
            </w:r>
            <w:r w:rsidR="007722E8" w:rsidRPr="00115A34">
              <w:rPr>
                <w:sz w:val="19"/>
                <w:szCs w:val="19"/>
                <w:lang w:val="fr-FR"/>
              </w:rPr>
              <w:t>contr</w:t>
            </w:r>
            <w:r>
              <w:rPr>
                <w:sz w:val="19"/>
                <w:szCs w:val="19"/>
                <w:lang w:val="fr-FR"/>
              </w:rPr>
              <w:t>ô</w:t>
            </w:r>
            <w:r w:rsidR="007722E8" w:rsidRPr="00115A34">
              <w:rPr>
                <w:sz w:val="19"/>
                <w:szCs w:val="19"/>
                <w:lang w:val="fr-FR"/>
              </w:rPr>
              <w:t>l</w:t>
            </w:r>
            <w:r>
              <w:rPr>
                <w:sz w:val="19"/>
                <w:szCs w:val="19"/>
                <w:lang w:val="fr-FR"/>
              </w:rPr>
              <w:t>e de l’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introduction </w:t>
            </w:r>
            <w:r>
              <w:rPr>
                <w:sz w:val="19"/>
                <w:szCs w:val="19"/>
                <w:lang w:val="fr-FR"/>
              </w:rPr>
              <w:t>d’espèces dans l’UE</w:t>
            </w:r>
            <w:r w:rsidR="007722E8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par le biais du commerce peut s’appliquer non seulement aux espèces menacées, mais aussi à celles qui représentent une menace écologique pour les espèces sauvages indigènes de faune et de flore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>. [</w:t>
            </w:r>
            <w:r>
              <w:rPr>
                <w:color w:val="000000"/>
                <w:sz w:val="19"/>
                <w:szCs w:val="19"/>
                <w:lang w:val="fr-FR"/>
              </w:rPr>
              <w:t>En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2006] </w:t>
            </w:r>
            <w:r>
              <w:rPr>
                <w:color w:val="000000"/>
                <w:sz w:val="19"/>
                <w:szCs w:val="19"/>
                <w:lang w:val="fr-FR"/>
              </w:rPr>
              <w:t>cette mesure n'a été appliquée qu’à deux espèces de reptiles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, </w:t>
            </w:r>
            <w:r w:rsidR="00A53291">
              <w:rPr>
                <w:color w:val="000000"/>
                <w:sz w:val="19"/>
                <w:szCs w:val="19"/>
                <w:lang w:val="fr-FR"/>
              </w:rPr>
              <w:t>mais elle a été envisagée pour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A53291">
              <w:rPr>
                <w:color w:val="000000"/>
                <w:sz w:val="19"/>
                <w:szCs w:val="19"/>
                <w:lang w:val="fr-FR"/>
              </w:rPr>
              <w:t>l’Érismature rousse</w:t>
            </w:r>
            <w:r w:rsidR="000B76CF" w:rsidRPr="00115A34">
              <w:rPr>
                <w:sz w:val="19"/>
                <w:szCs w:val="19"/>
                <w:lang w:val="fr-FR"/>
              </w:rPr>
              <w:t xml:space="preserve"> </w:t>
            </w:r>
            <w:r w:rsidR="00A53291">
              <w:rPr>
                <w:sz w:val="19"/>
                <w:szCs w:val="19"/>
                <w:lang w:val="fr-FR"/>
              </w:rPr>
              <w:t>à l’époque des lignes directrices de</w:t>
            </w:r>
            <w:r w:rsidR="000B76CF" w:rsidRPr="00115A34">
              <w:rPr>
                <w:sz w:val="19"/>
                <w:szCs w:val="19"/>
                <w:lang w:val="fr-FR"/>
              </w:rPr>
              <w:t xml:space="preserve"> 2006</w:t>
            </w:r>
            <w:r w:rsidR="00A53291">
              <w:rPr>
                <w:sz w:val="19"/>
                <w:szCs w:val="19"/>
                <w:lang w:val="fr-FR"/>
              </w:rPr>
              <w:t>, auxquelles il est fait référence ici</w:t>
            </w:r>
            <w:r w:rsidR="000B76CF" w:rsidRPr="00115A34">
              <w:rPr>
                <w:sz w:val="19"/>
                <w:szCs w:val="19"/>
                <w:lang w:val="fr-FR"/>
              </w:rPr>
              <w:t xml:space="preserve"> (</w:t>
            </w:r>
            <w:r w:rsidR="00A53291">
              <w:rPr>
                <w:sz w:val="19"/>
                <w:szCs w:val="19"/>
                <w:lang w:val="fr-FR"/>
              </w:rPr>
              <w:t xml:space="preserve">cette </w:t>
            </w:r>
            <w:r w:rsidR="000B76CF" w:rsidRPr="00115A34">
              <w:rPr>
                <w:sz w:val="19"/>
                <w:szCs w:val="19"/>
                <w:lang w:val="fr-FR"/>
              </w:rPr>
              <w:t xml:space="preserve">position </w:t>
            </w:r>
            <w:r w:rsidR="00A53291">
              <w:rPr>
                <w:sz w:val="19"/>
                <w:szCs w:val="19"/>
                <w:lang w:val="fr-FR"/>
              </w:rPr>
              <w:t>doit être revérifié</w:t>
            </w:r>
            <w:r w:rsidR="002D41D5">
              <w:rPr>
                <w:sz w:val="19"/>
                <w:szCs w:val="19"/>
                <w:lang w:val="fr-FR"/>
              </w:rPr>
              <w:t>e</w:t>
            </w:r>
            <w:r w:rsidR="000B76CF" w:rsidRPr="00115A34">
              <w:rPr>
                <w:sz w:val="19"/>
                <w:szCs w:val="19"/>
                <w:lang w:val="fr-FR"/>
              </w:rPr>
              <w:t>)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</w:tc>
        <w:tc>
          <w:tcPr>
            <w:tcW w:w="3005" w:type="dxa"/>
          </w:tcPr>
          <w:p w14:paraId="5079D53F" w14:textId="4C880F05" w:rsidR="007722E8" w:rsidRPr="00115A34" w:rsidRDefault="009E433A" w:rsidP="00334B34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Dans les Lignes directrices de conservation n</w:t>
            </w:r>
            <w:r w:rsidRPr="00341F2E">
              <w:rPr>
                <w:sz w:val="19"/>
                <w:szCs w:val="19"/>
                <w:vertAlign w:val="superscript"/>
                <w:lang w:val="fr-FR"/>
              </w:rPr>
              <w:t xml:space="preserve">o </w:t>
            </w:r>
            <w:r w:rsidRPr="00115A34">
              <w:rPr>
                <w:sz w:val="19"/>
                <w:szCs w:val="19"/>
                <w:lang w:val="fr-FR"/>
              </w:rPr>
              <w:t>10</w:t>
            </w:r>
            <w:r>
              <w:rPr>
                <w:sz w:val="19"/>
                <w:szCs w:val="19"/>
                <w:lang w:val="fr-FR"/>
              </w:rPr>
              <w:t xml:space="preserve"> de l’AEWA</w:t>
            </w:r>
            <w:r w:rsidRPr="00115A34">
              <w:rPr>
                <w:sz w:val="19"/>
                <w:szCs w:val="19"/>
                <w:lang w:val="fr-FR"/>
              </w:rPr>
              <w:t xml:space="preserve"> (2006</w:t>
            </w:r>
            <w:r w:rsidRPr="00341F2E">
              <w:rPr>
                <w:sz w:val="19"/>
                <w:szCs w:val="19"/>
                <w:lang w:val="fr-FR"/>
              </w:rPr>
              <w:t>) sur comment éviter les introductions d’espèces d’oiseaux d’eau non indigènes</w:t>
            </w:r>
          </w:p>
        </w:tc>
        <w:tc>
          <w:tcPr>
            <w:tcW w:w="3006" w:type="dxa"/>
          </w:tcPr>
          <w:p w14:paraId="245F7451" w14:textId="7C540C5D" w:rsidR="006F2C60" w:rsidRPr="00115A34" w:rsidRDefault="00A53291" w:rsidP="006F2C60">
            <w:pPr>
              <w:pStyle w:val="ListParagraph"/>
              <w:numPr>
                <w:ilvl w:val="0"/>
                <w:numId w:val="30"/>
              </w:num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 xml:space="preserve">Vérifier la portée potentielle des </w:t>
            </w:r>
            <w:r w:rsidR="006F2C60" w:rsidRPr="00115A34">
              <w:rPr>
                <w:sz w:val="19"/>
                <w:szCs w:val="19"/>
                <w:lang w:val="fr-FR"/>
              </w:rPr>
              <w:t>opportunit</w:t>
            </w:r>
            <w:r>
              <w:rPr>
                <w:sz w:val="19"/>
                <w:szCs w:val="19"/>
                <w:lang w:val="fr-FR"/>
              </w:rPr>
              <w:t xml:space="preserve">és pertinentes </w:t>
            </w:r>
            <w:r>
              <w:rPr>
                <w:color w:val="000000"/>
                <w:sz w:val="19"/>
                <w:szCs w:val="19"/>
                <w:lang w:val="fr-FR"/>
              </w:rPr>
              <w:t>et mettre à jour la compréhension d</w:t>
            </w:r>
            <w:r w:rsidR="00777BDB">
              <w:rPr>
                <w:color w:val="000000"/>
                <w:sz w:val="19"/>
                <w:szCs w:val="19"/>
                <w:lang w:val="fr-FR"/>
              </w:rPr>
              <w:t xml:space="preserve">u règlement pour </w:t>
            </w:r>
            <w:r>
              <w:rPr>
                <w:color w:val="000000"/>
                <w:sz w:val="19"/>
                <w:szCs w:val="19"/>
                <w:lang w:val="fr-FR"/>
              </w:rPr>
              <w:t>l’Érismature rousse dans ce contexte</w:t>
            </w:r>
            <w:r w:rsidR="006F2C60"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  <w:p w14:paraId="7CFE09E2" w14:textId="77777777" w:rsidR="006F2C60" w:rsidRPr="00115A34" w:rsidRDefault="006F2C60" w:rsidP="005F7185">
            <w:pPr>
              <w:rPr>
                <w:color w:val="000000"/>
                <w:sz w:val="10"/>
                <w:szCs w:val="10"/>
                <w:lang w:val="fr-FR"/>
              </w:rPr>
            </w:pPr>
          </w:p>
          <w:p w14:paraId="6CF6A07C" w14:textId="3855AABC" w:rsidR="007722E8" w:rsidRPr="00115A34" w:rsidRDefault="007722E8" w:rsidP="005F7185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color w:val="000000"/>
                <w:sz w:val="19"/>
                <w:szCs w:val="19"/>
                <w:lang w:val="fr-FR"/>
              </w:rPr>
              <w:t>(</w:t>
            </w:r>
            <w:r w:rsidR="00A53291">
              <w:rPr>
                <w:color w:val="000000"/>
                <w:sz w:val="19"/>
                <w:szCs w:val="19"/>
                <w:lang w:val="fr-FR"/>
              </w:rPr>
              <w:t>Les « importations » ne concernent ici que les mouvements en direction de l’UE, venant de l’extérieur,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A53291">
              <w:rPr>
                <w:color w:val="000000"/>
                <w:sz w:val="19"/>
                <w:szCs w:val="19"/>
                <w:lang w:val="fr-FR"/>
              </w:rPr>
              <w:t>et les lignes directrices de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2006 </w:t>
            </w:r>
            <w:r w:rsidR="00A53291">
              <w:rPr>
                <w:color w:val="000000"/>
                <w:sz w:val="19"/>
                <w:szCs w:val="19"/>
                <w:lang w:val="fr-FR"/>
              </w:rPr>
              <w:t>de l’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AEWA </w:t>
            </w:r>
            <w:r w:rsidR="00A53291">
              <w:rPr>
                <w:color w:val="000000"/>
                <w:sz w:val="19"/>
                <w:szCs w:val="19"/>
                <w:lang w:val="fr-FR"/>
              </w:rPr>
              <w:t>citent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WAZA</w:t>
            </w:r>
            <w:r w:rsidR="00A53291">
              <w:rPr>
                <w:color w:val="000000"/>
                <w:sz w:val="19"/>
                <w:szCs w:val="19"/>
                <w:lang w:val="fr-FR"/>
              </w:rPr>
              <w:t>, qui affirme que presque toutes les espèces potentiellement envahissantes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363ECF">
              <w:rPr>
                <w:color w:val="000000"/>
                <w:sz w:val="19"/>
                <w:szCs w:val="19"/>
                <w:lang w:val="fr-FR"/>
              </w:rPr>
              <w:t>que l’on peut imaginer, sont déjà détenues quelque part dans la zone européenne concernée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).</w:t>
            </w:r>
          </w:p>
        </w:tc>
      </w:tr>
      <w:tr w:rsidR="007722E8" w:rsidRPr="00115A34" w14:paraId="00BEE7D2" w14:textId="77777777" w:rsidTr="00E1163B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24CDA851" w14:textId="4B01BC8F" w:rsidR="007722E8" w:rsidRPr="00115A34" w:rsidRDefault="007722E8" w:rsidP="005F7185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Convention</w:t>
            </w:r>
            <w:r w:rsidR="00363ECF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de Berne</w:t>
            </w:r>
          </w:p>
        </w:tc>
      </w:tr>
      <w:tr w:rsidR="007722E8" w:rsidRPr="00326B2D" w14:paraId="16B3236A" w14:textId="77777777" w:rsidTr="00E1163B">
        <w:trPr>
          <w:jc w:val="center"/>
        </w:trPr>
        <w:tc>
          <w:tcPr>
            <w:tcW w:w="3005" w:type="dxa"/>
          </w:tcPr>
          <w:p w14:paraId="36D02633" w14:textId="3CE01969" w:rsidR="007722E8" w:rsidRPr="00115A34" w:rsidRDefault="00363ECF" w:rsidP="005F7185">
            <w:pPr>
              <w:rPr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L’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Article 11(2) </w:t>
            </w:r>
            <w:r>
              <w:rPr>
                <w:color w:val="000000"/>
                <w:sz w:val="19"/>
                <w:szCs w:val="19"/>
                <w:lang w:val="fr-FR"/>
              </w:rPr>
              <w:t>de la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Convention </w:t>
            </w:r>
            <w:r>
              <w:rPr>
                <w:color w:val="000000"/>
                <w:sz w:val="19"/>
                <w:szCs w:val="19"/>
                <w:lang w:val="fr-FR"/>
              </w:rPr>
              <w:t>de Berne déclare que les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Parties </w:t>
            </w:r>
            <w:r>
              <w:rPr>
                <w:color w:val="000000"/>
                <w:sz w:val="19"/>
                <w:szCs w:val="19"/>
                <w:lang w:val="fr-FR"/>
              </w:rPr>
              <w:t>contractantes s’engagent à 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: </w:t>
            </w:r>
            <w:r>
              <w:rPr>
                <w:color w:val="000000"/>
                <w:sz w:val="19"/>
                <w:szCs w:val="19"/>
                <w:lang w:val="fr-FR"/>
              </w:rPr>
              <w:t>« 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(b) </w:t>
            </w:r>
            <w:r>
              <w:rPr>
                <w:color w:val="000000"/>
                <w:sz w:val="19"/>
                <w:szCs w:val="19"/>
                <w:lang w:val="fr-FR"/>
              </w:rPr>
              <w:t>contrôler strictement l’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introduction </w:t>
            </w:r>
            <w:r>
              <w:rPr>
                <w:color w:val="000000"/>
                <w:sz w:val="19"/>
                <w:szCs w:val="19"/>
                <w:lang w:val="fr-FR"/>
              </w:rPr>
              <w:t>des espèces non indigènes »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</w:tc>
        <w:tc>
          <w:tcPr>
            <w:tcW w:w="3005" w:type="dxa"/>
          </w:tcPr>
          <w:p w14:paraId="6A56543C" w14:textId="2DC1E591" w:rsidR="007722E8" w:rsidRPr="00115A34" w:rsidRDefault="009E433A" w:rsidP="00334B34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Dans les Lignes directrices de conservation n</w:t>
            </w:r>
            <w:r w:rsidRPr="00341F2E">
              <w:rPr>
                <w:sz w:val="19"/>
                <w:szCs w:val="19"/>
                <w:vertAlign w:val="superscript"/>
                <w:lang w:val="fr-FR"/>
              </w:rPr>
              <w:t xml:space="preserve">o </w:t>
            </w:r>
            <w:r w:rsidRPr="00115A34">
              <w:rPr>
                <w:sz w:val="19"/>
                <w:szCs w:val="19"/>
                <w:lang w:val="fr-FR"/>
              </w:rPr>
              <w:t>10</w:t>
            </w:r>
            <w:r>
              <w:rPr>
                <w:sz w:val="19"/>
                <w:szCs w:val="19"/>
                <w:lang w:val="fr-FR"/>
              </w:rPr>
              <w:t xml:space="preserve"> de l’AEWA</w:t>
            </w:r>
            <w:r w:rsidRPr="00115A34">
              <w:rPr>
                <w:sz w:val="19"/>
                <w:szCs w:val="19"/>
                <w:lang w:val="fr-FR"/>
              </w:rPr>
              <w:t xml:space="preserve"> (2006</w:t>
            </w:r>
            <w:r w:rsidRPr="00341F2E">
              <w:rPr>
                <w:sz w:val="19"/>
                <w:szCs w:val="19"/>
                <w:lang w:val="fr-FR"/>
              </w:rPr>
              <w:t>) sur comment éviter les introductions d’espèces d’oiseaux d’eau non indigènes</w:t>
            </w:r>
          </w:p>
        </w:tc>
        <w:tc>
          <w:tcPr>
            <w:tcW w:w="3006" w:type="dxa"/>
          </w:tcPr>
          <w:p w14:paraId="0CEA61B5" w14:textId="2E09ED9C" w:rsidR="007722E8" w:rsidRPr="00115A34" w:rsidRDefault="00363ECF" w:rsidP="006F2C60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Contrôle de la mise en œuvre par le Comité permanent</w:t>
            </w:r>
            <w:r w:rsidR="006F2C60"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712B17" w:rsidRPr="007D1931" w14:paraId="6C1DED65" w14:textId="77777777" w:rsidTr="00E1163B">
        <w:trPr>
          <w:jc w:val="center"/>
        </w:trPr>
        <w:tc>
          <w:tcPr>
            <w:tcW w:w="3005" w:type="dxa"/>
          </w:tcPr>
          <w:p w14:paraId="2968E047" w14:textId="7854333B" w:rsidR="00712B17" w:rsidRPr="00115A34" w:rsidRDefault="00363ECF" w:rsidP="005F7185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Plan d’action révisé</w:t>
            </w:r>
            <w:r w:rsidR="00712B17" w:rsidRPr="00115A34">
              <w:rPr>
                <w:color w:val="000000"/>
                <w:sz w:val="19"/>
                <w:szCs w:val="19"/>
                <w:lang w:val="fr-FR"/>
              </w:rPr>
              <w:t xml:space="preserve"> (2021–2025) </w:t>
            </w:r>
            <w:r>
              <w:rPr>
                <w:color w:val="000000"/>
                <w:sz w:val="19"/>
                <w:szCs w:val="19"/>
                <w:lang w:val="fr-FR"/>
              </w:rPr>
              <w:t>pour l’é</w:t>
            </w:r>
            <w:r w:rsidR="00712B17" w:rsidRPr="00115A34">
              <w:rPr>
                <w:color w:val="000000"/>
                <w:sz w:val="19"/>
                <w:szCs w:val="19"/>
                <w:lang w:val="fr-FR"/>
              </w:rPr>
              <w:t xml:space="preserve">radication 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de l’Érismature rousse </w:t>
            </w:r>
            <w:r w:rsidR="00712B17" w:rsidRPr="00115A34">
              <w:rPr>
                <w:i/>
                <w:color w:val="000000"/>
                <w:sz w:val="19"/>
                <w:szCs w:val="19"/>
                <w:lang w:val="fr-FR"/>
              </w:rPr>
              <w:t>Oxyura jamaicensis</w:t>
            </w:r>
            <w:r w:rsidR="00712B17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dans le Paléarctique occidental</w:t>
            </w:r>
          </w:p>
        </w:tc>
        <w:tc>
          <w:tcPr>
            <w:tcW w:w="3005" w:type="dxa"/>
          </w:tcPr>
          <w:p w14:paraId="3770DD68" w14:textId="17FADEAC" w:rsidR="00712B17" w:rsidRPr="00115A34" w:rsidRDefault="00363ECF" w:rsidP="00712B17">
            <w:p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Une c</w:t>
            </w:r>
            <w:r w:rsidR="00712B17" w:rsidRPr="00115A34">
              <w:rPr>
                <w:sz w:val="19"/>
                <w:szCs w:val="19"/>
                <w:lang w:val="fr-FR"/>
              </w:rPr>
              <w:t xml:space="preserve">ollaboration </w:t>
            </w:r>
            <w:r>
              <w:rPr>
                <w:sz w:val="19"/>
                <w:szCs w:val="19"/>
                <w:lang w:val="fr-FR"/>
              </w:rPr>
              <w:t>avec l’</w:t>
            </w:r>
            <w:r w:rsidR="00712B17" w:rsidRPr="00115A34">
              <w:rPr>
                <w:sz w:val="19"/>
                <w:szCs w:val="19"/>
                <w:lang w:val="fr-FR"/>
              </w:rPr>
              <w:t xml:space="preserve">AEWA </w:t>
            </w:r>
            <w:r w:rsidR="00777BDB">
              <w:rPr>
                <w:sz w:val="19"/>
                <w:szCs w:val="19"/>
                <w:lang w:val="fr-FR"/>
              </w:rPr>
              <w:t xml:space="preserve">fait partie intégrante </w:t>
            </w:r>
            <w:r w:rsidR="008D5751">
              <w:rPr>
                <w:sz w:val="19"/>
                <w:szCs w:val="19"/>
                <w:lang w:val="fr-FR"/>
              </w:rPr>
              <w:t>de l’</w:t>
            </w:r>
            <w:r w:rsidR="00712B17" w:rsidRPr="00115A34">
              <w:rPr>
                <w:sz w:val="19"/>
                <w:szCs w:val="19"/>
                <w:lang w:val="fr-FR"/>
              </w:rPr>
              <w:t xml:space="preserve">Action 9 </w:t>
            </w:r>
            <w:r w:rsidR="008D5751">
              <w:rPr>
                <w:sz w:val="19"/>
                <w:szCs w:val="19"/>
                <w:lang w:val="fr-FR"/>
              </w:rPr>
              <w:t>du</w:t>
            </w:r>
            <w:r w:rsidR="00712B17" w:rsidRPr="00115A34">
              <w:rPr>
                <w:sz w:val="19"/>
                <w:szCs w:val="19"/>
                <w:lang w:val="fr-FR"/>
              </w:rPr>
              <w:t xml:space="preserve"> Plan</w:t>
            </w:r>
          </w:p>
        </w:tc>
        <w:tc>
          <w:tcPr>
            <w:tcW w:w="3006" w:type="dxa"/>
          </w:tcPr>
          <w:p w14:paraId="7FEAC1E8" w14:textId="71C69A78" w:rsidR="00712B17" w:rsidRPr="00115A34" w:rsidRDefault="008D5751" w:rsidP="006F2C60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Examen des progrès en matière de mise en œuvre</w:t>
            </w:r>
            <w:r w:rsidR="006F2C60" w:rsidRPr="00115A34">
              <w:rPr>
                <w:sz w:val="19"/>
                <w:szCs w:val="19"/>
                <w:lang w:val="fr-FR"/>
              </w:rPr>
              <w:t>.</w:t>
            </w:r>
          </w:p>
        </w:tc>
      </w:tr>
    </w:tbl>
    <w:p w14:paraId="14635A2E" w14:textId="77777777" w:rsidR="007722E8" w:rsidRPr="00115A34" w:rsidRDefault="007722E8" w:rsidP="007722E8">
      <w:pPr>
        <w:spacing w:after="20"/>
        <w:rPr>
          <w:sz w:val="22"/>
          <w:szCs w:val="22"/>
          <w:lang w:val="fr-FR"/>
        </w:rPr>
      </w:pPr>
    </w:p>
    <w:p w14:paraId="4287622A" w14:textId="7BA2F1EC" w:rsidR="007722E8" w:rsidRPr="00115A34" w:rsidRDefault="008D5751" w:rsidP="007722E8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En outre, certains Plans d’action par espèce de l’AEWA peuvent contenir des idées pertinentes</w:t>
      </w:r>
      <w:r w:rsidR="007722E8" w:rsidRPr="00115A34">
        <w:rPr>
          <w:sz w:val="22"/>
          <w:szCs w:val="22"/>
          <w:lang w:val="fr-FR"/>
        </w:rPr>
        <w:t>.</w:t>
      </w:r>
    </w:p>
    <w:p w14:paraId="5ECDBBB9" w14:textId="77777777" w:rsidR="007722E8" w:rsidRPr="00115A34" w:rsidRDefault="007722E8" w:rsidP="007722E8">
      <w:pPr>
        <w:spacing w:after="20"/>
        <w:rPr>
          <w:sz w:val="22"/>
          <w:szCs w:val="22"/>
          <w:lang w:val="fr-FR"/>
        </w:rPr>
      </w:pPr>
    </w:p>
    <w:p w14:paraId="15A79994" w14:textId="7F8B829D" w:rsidR="007722E8" w:rsidRPr="00115A34" w:rsidRDefault="007722E8" w:rsidP="007722E8">
      <w:pPr>
        <w:spacing w:after="20"/>
        <w:rPr>
          <w:b/>
          <w:i/>
          <w:color w:val="003366"/>
          <w:sz w:val="22"/>
          <w:szCs w:val="22"/>
          <w:lang w:val="fr-FR"/>
        </w:rPr>
      </w:pPr>
      <w:r w:rsidRPr="00115A34">
        <w:rPr>
          <w:b/>
          <w:i/>
          <w:color w:val="003366"/>
          <w:sz w:val="22"/>
          <w:szCs w:val="22"/>
          <w:lang w:val="fr-FR"/>
        </w:rPr>
        <w:t xml:space="preserve">  (b) </w:t>
      </w:r>
      <w:r w:rsidR="008D5751">
        <w:rPr>
          <w:b/>
          <w:i/>
          <w:color w:val="003366"/>
          <w:sz w:val="22"/>
          <w:szCs w:val="22"/>
          <w:lang w:val="fr-FR"/>
        </w:rPr>
        <w:t>Autres contextes pertinents</w:t>
      </w:r>
    </w:p>
    <w:p w14:paraId="214F8FAD" w14:textId="77777777" w:rsidR="005B7D42" w:rsidRPr="00115A34" w:rsidRDefault="005B7D42" w:rsidP="007722E8">
      <w:pPr>
        <w:spacing w:after="20"/>
        <w:rPr>
          <w:sz w:val="22"/>
          <w:szCs w:val="22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485"/>
      </w:tblGrid>
      <w:tr w:rsidR="003E4D22" w:rsidRPr="00115A34" w14:paraId="6B1E7BB5" w14:textId="77777777" w:rsidTr="00E1163B">
        <w:trPr>
          <w:jc w:val="center"/>
        </w:trPr>
        <w:tc>
          <w:tcPr>
            <w:tcW w:w="4531" w:type="dxa"/>
            <w:shd w:val="clear" w:color="auto" w:fill="DEEAF6" w:themeFill="accent1" w:themeFillTint="33"/>
            <w:vAlign w:val="center"/>
          </w:tcPr>
          <w:p w14:paraId="4669DC2C" w14:textId="38945024" w:rsidR="003E4D22" w:rsidRPr="00115A34" w:rsidRDefault="008D5751" w:rsidP="002B5FE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Processus/plateforme multilatéral(e)</w:t>
            </w:r>
          </w:p>
        </w:tc>
        <w:tc>
          <w:tcPr>
            <w:tcW w:w="4485" w:type="dxa"/>
            <w:shd w:val="clear" w:color="auto" w:fill="DEEAF6" w:themeFill="accent1" w:themeFillTint="33"/>
            <w:vAlign w:val="center"/>
          </w:tcPr>
          <w:p w14:paraId="66306EFB" w14:textId="7CBAC7E8" w:rsidR="003E4D22" w:rsidRPr="00115A34" w:rsidRDefault="003E4D22" w:rsidP="002B5FE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115A34">
              <w:rPr>
                <w:b/>
                <w:sz w:val="20"/>
                <w:szCs w:val="20"/>
                <w:lang w:val="fr-FR"/>
              </w:rPr>
              <w:t>Possib</w:t>
            </w:r>
            <w:r w:rsidR="008D5751">
              <w:rPr>
                <w:b/>
                <w:sz w:val="20"/>
                <w:szCs w:val="20"/>
                <w:lang w:val="fr-FR"/>
              </w:rPr>
              <w:t>ilité éventuelle d’</w:t>
            </w:r>
            <w:r w:rsidRPr="00115A34">
              <w:rPr>
                <w:b/>
                <w:sz w:val="20"/>
                <w:szCs w:val="20"/>
                <w:lang w:val="fr-FR"/>
              </w:rPr>
              <w:t>influence</w:t>
            </w:r>
          </w:p>
        </w:tc>
      </w:tr>
      <w:tr w:rsidR="003E4D22" w:rsidRPr="00326B2D" w14:paraId="4A98A74E" w14:textId="77777777" w:rsidTr="00E1163B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0B7CB782" w14:textId="1DCE88C1" w:rsidR="003E4D22" w:rsidRPr="00115A34" w:rsidRDefault="003E4D22" w:rsidP="002B5FE9">
            <w:pPr>
              <w:spacing w:before="20" w:after="20"/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Convention </w:t>
            </w:r>
            <w:r w:rsidR="008D5751">
              <w:rPr>
                <w:b/>
                <w:i/>
                <w:color w:val="000066"/>
                <w:sz w:val="19"/>
                <w:szCs w:val="19"/>
                <w:lang w:val="fr-FR"/>
              </w:rPr>
              <w:t>sur la diversité biologique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(CD</w:t>
            </w:r>
            <w:r w:rsidR="008D5751">
              <w:rPr>
                <w:b/>
                <w:i/>
                <w:color w:val="000066"/>
                <w:sz w:val="19"/>
                <w:szCs w:val="19"/>
                <w:lang w:val="fr-FR"/>
              </w:rPr>
              <w:t>B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>)</w:t>
            </w:r>
          </w:p>
        </w:tc>
      </w:tr>
      <w:tr w:rsidR="003E4D22" w:rsidRPr="00326B2D" w14:paraId="0FA35AD9" w14:textId="77777777" w:rsidTr="00E1163B">
        <w:trPr>
          <w:jc w:val="center"/>
        </w:trPr>
        <w:tc>
          <w:tcPr>
            <w:tcW w:w="4531" w:type="dxa"/>
          </w:tcPr>
          <w:p w14:paraId="5D573433" w14:textId="7DE3FABF" w:rsidR="003E4D22" w:rsidRPr="00115A34" w:rsidRDefault="008D5751" w:rsidP="002B5FE9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Avant-projet de Cadre mondial post-2020 pour la biodiversité,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Cible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3E4D22" w:rsidRPr="00115A34">
              <w:rPr>
                <w:color w:val="000000"/>
                <w:sz w:val="19"/>
                <w:szCs w:val="19"/>
                <w:lang w:val="fr-FR"/>
              </w:rPr>
              <w:t xml:space="preserve">6, </w:t>
            </w:r>
            <w:r>
              <w:rPr>
                <w:color w:val="000000"/>
                <w:sz w:val="19"/>
                <w:szCs w:val="19"/>
                <w:lang w:val="fr-FR"/>
              </w:rPr>
              <w:t>« Gérer les voies d’</w:t>
            </w:r>
            <w:r w:rsidR="003E4D22" w:rsidRPr="00115A34">
              <w:rPr>
                <w:color w:val="000000"/>
                <w:sz w:val="19"/>
                <w:szCs w:val="19"/>
                <w:lang w:val="fr-FR"/>
              </w:rPr>
              <w:t>introduction, contr</w:t>
            </w:r>
            <w:r>
              <w:rPr>
                <w:color w:val="000000"/>
                <w:sz w:val="19"/>
                <w:szCs w:val="19"/>
                <w:lang w:val="fr-FR"/>
              </w:rPr>
              <w:t>ôler</w:t>
            </w:r>
            <w:r w:rsidR="003E4D22" w:rsidRPr="00115A34">
              <w:rPr>
                <w:color w:val="000000"/>
                <w:sz w:val="19"/>
                <w:szCs w:val="19"/>
                <w:lang w:val="fr-FR"/>
              </w:rPr>
              <w:t xml:space="preserve"> o</w:t>
            </w:r>
            <w:r>
              <w:rPr>
                <w:color w:val="000000"/>
                <w:sz w:val="19"/>
                <w:szCs w:val="19"/>
                <w:lang w:val="fr-FR"/>
              </w:rPr>
              <w:t>u éradique</w:t>
            </w:r>
            <w:r w:rsidR="003E4D22" w:rsidRPr="00115A34">
              <w:rPr>
                <w:color w:val="000000"/>
                <w:sz w:val="19"/>
                <w:szCs w:val="19"/>
                <w:lang w:val="fr-FR"/>
              </w:rPr>
              <w:t>r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 les espèces exotiques envahissantes</w:t>
            </w:r>
          </w:p>
        </w:tc>
        <w:tc>
          <w:tcPr>
            <w:tcW w:w="4485" w:type="dxa"/>
          </w:tcPr>
          <w:p w14:paraId="758F25A0" w14:textId="3D5282BC" w:rsidR="003E4D22" w:rsidRPr="00115A34" w:rsidRDefault="00D00907" w:rsidP="002B5FE9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Contribution à l’élaboration d’indicateurs appropriés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pour la Cible</w:t>
            </w:r>
            <w:r w:rsidRPr="00115A34">
              <w:rPr>
                <w:sz w:val="19"/>
                <w:szCs w:val="19"/>
                <w:lang w:val="fr-FR"/>
              </w:rPr>
              <w:t xml:space="preserve"> 5, </w:t>
            </w:r>
            <w:r>
              <w:rPr>
                <w:sz w:val="19"/>
                <w:szCs w:val="19"/>
                <w:lang w:val="fr-FR"/>
              </w:rPr>
              <w:t>notamment par l’intermédiaire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du groupe d’experts techniques ad hoc sur le cadre de suivi du cadre mondial de la biodiversité, créé après la COP15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3E4D22" w:rsidRPr="00115A34" w14:paraId="368CB5C1" w14:textId="77777777" w:rsidTr="00E1163B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08E0E3B8" w14:textId="145E06F7" w:rsidR="003E4D22" w:rsidRPr="00115A34" w:rsidRDefault="003E4D22" w:rsidP="002B5FE9">
            <w:pPr>
              <w:spacing w:before="20" w:after="20"/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</w:t>
            </w:r>
            <w:r w:rsidR="008D5751">
              <w:rPr>
                <w:b/>
                <w:i/>
                <w:color w:val="000066"/>
                <w:sz w:val="19"/>
                <w:szCs w:val="19"/>
                <w:lang w:val="fr-FR"/>
              </w:rPr>
              <w:t>Union européenne</w:t>
            </w:r>
          </w:p>
        </w:tc>
      </w:tr>
      <w:tr w:rsidR="003E4D22" w:rsidRPr="00326B2D" w14:paraId="2F31E460" w14:textId="77777777" w:rsidTr="00E1163B">
        <w:trPr>
          <w:jc w:val="center"/>
        </w:trPr>
        <w:tc>
          <w:tcPr>
            <w:tcW w:w="4531" w:type="dxa"/>
          </w:tcPr>
          <w:p w14:paraId="4F257186" w14:textId="174D7BF7" w:rsidR="003E4D22" w:rsidRPr="00115A34" w:rsidRDefault="00D942E7" w:rsidP="002B5FE9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 xml:space="preserve">Règlement </w:t>
            </w:r>
            <w:r w:rsidR="003E4D22" w:rsidRPr="00115A34">
              <w:rPr>
                <w:color w:val="000000"/>
                <w:sz w:val="19"/>
                <w:szCs w:val="19"/>
                <w:lang w:val="fr-FR"/>
              </w:rPr>
              <w:t xml:space="preserve">1143/2014 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de l’UE </w:t>
            </w:r>
            <w:r w:rsidR="003E4D22" w:rsidRPr="00115A34">
              <w:rPr>
                <w:color w:val="000000"/>
                <w:sz w:val="19"/>
                <w:szCs w:val="19"/>
                <w:lang w:val="fr-FR"/>
              </w:rPr>
              <w:t>(</w:t>
            </w:r>
            <w:r>
              <w:rPr>
                <w:color w:val="000000"/>
                <w:sz w:val="19"/>
                <w:szCs w:val="19"/>
                <w:lang w:val="fr-FR"/>
              </w:rPr>
              <w:t>o</w:t>
            </w:r>
            <w:r w:rsidR="003E4D22" w:rsidRPr="00115A34">
              <w:rPr>
                <w:color w:val="000000"/>
                <w:sz w:val="19"/>
                <w:szCs w:val="19"/>
                <w:lang w:val="fr-FR"/>
              </w:rPr>
              <w:t>ctob</w:t>
            </w:r>
            <w:r>
              <w:rPr>
                <w:color w:val="000000"/>
                <w:sz w:val="19"/>
                <w:szCs w:val="19"/>
                <w:lang w:val="fr-FR"/>
              </w:rPr>
              <w:t>re</w:t>
            </w:r>
            <w:r w:rsidR="003E4D22" w:rsidRPr="00115A34">
              <w:rPr>
                <w:color w:val="000000"/>
                <w:sz w:val="19"/>
                <w:szCs w:val="19"/>
                <w:lang w:val="fr-FR"/>
              </w:rPr>
              <w:t xml:space="preserve"> 2014) 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sur la </w:t>
            </w:r>
            <w:r w:rsidR="003E4D22" w:rsidRPr="00115A34">
              <w:rPr>
                <w:color w:val="000000"/>
                <w:sz w:val="19"/>
                <w:szCs w:val="19"/>
                <w:lang w:val="fr-FR"/>
              </w:rPr>
              <w:t>pr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="003E4D22" w:rsidRPr="00115A34">
              <w:rPr>
                <w:color w:val="000000"/>
                <w:sz w:val="19"/>
                <w:szCs w:val="19"/>
                <w:lang w:val="fr-FR"/>
              </w:rPr>
              <w:t xml:space="preserve">vention </w:t>
            </w:r>
            <w:r>
              <w:rPr>
                <w:color w:val="000000"/>
                <w:sz w:val="19"/>
                <w:szCs w:val="19"/>
                <w:lang w:val="fr-FR"/>
              </w:rPr>
              <w:t>et la gestion de l’</w:t>
            </w:r>
            <w:r w:rsidR="003E4D22" w:rsidRPr="00115A34">
              <w:rPr>
                <w:color w:val="000000"/>
                <w:sz w:val="19"/>
                <w:szCs w:val="19"/>
                <w:lang w:val="fr-FR"/>
              </w:rPr>
              <w:t xml:space="preserve">introduction </w:t>
            </w:r>
            <w:r>
              <w:rPr>
                <w:color w:val="000000"/>
                <w:sz w:val="19"/>
                <w:szCs w:val="19"/>
                <w:lang w:val="fr-FR"/>
              </w:rPr>
              <w:t>et la propagation des espèces exotiques envahissantes</w:t>
            </w:r>
          </w:p>
        </w:tc>
        <w:tc>
          <w:tcPr>
            <w:tcW w:w="4485" w:type="dxa"/>
          </w:tcPr>
          <w:p w14:paraId="6A80F54C" w14:textId="1E83AE15" w:rsidR="003E4D22" w:rsidRPr="00115A34" w:rsidRDefault="00D942E7" w:rsidP="002B5FE9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Encourager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3E4D22" w:rsidRPr="00115A34">
              <w:rPr>
                <w:sz w:val="19"/>
                <w:szCs w:val="19"/>
                <w:lang w:val="fr-FR"/>
              </w:rPr>
              <w:t>/s</w:t>
            </w:r>
            <w:r>
              <w:rPr>
                <w:sz w:val="19"/>
                <w:szCs w:val="19"/>
                <w:lang w:val="fr-FR"/>
              </w:rPr>
              <w:t>outenir</w:t>
            </w:r>
            <w:r w:rsidR="003E4D22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la mise en œuvre complète par les États membres</w:t>
            </w:r>
            <w:r w:rsidR="003E4D22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et l’établissement de rapports périodiques par la</w:t>
            </w:r>
            <w:r w:rsidR="003E4D22" w:rsidRPr="00115A34">
              <w:rPr>
                <w:sz w:val="19"/>
                <w:szCs w:val="19"/>
                <w:lang w:val="fr-FR"/>
              </w:rPr>
              <w:t xml:space="preserve"> Commission</w:t>
            </w:r>
            <w:r>
              <w:rPr>
                <w:sz w:val="19"/>
                <w:szCs w:val="19"/>
                <w:lang w:val="fr-FR"/>
              </w:rPr>
              <w:t xml:space="preserve"> européenne</w:t>
            </w:r>
            <w:r w:rsidR="003E4D22" w:rsidRPr="00115A34">
              <w:rPr>
                <w:sz w:val="19"/>
                <w:szCs w:val="19"/>
                <w:lang w:val="fr-FR"/>
              </w:rPr>
              <w:t>.</w:t>
            </w:r>
          </w:p>
          <w:p w14:paraId="189EABE4" w14:textId="77777777" w:rsidR="003E4D22" w:rsidRDefault="00D942E7" w:rsidP="002B5FE9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Contribuer au Groupe d’experts de l’UE sur les espèces exotiques envahissantes</w:t>
            </w:r>
            <w:r w:rsidR="003E4D22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 xml:space="preserve">et </w:t>
            </w:r>
            <w:r w:rsidR="003E4D22" w:rsidRPr="00115A34">
              <w:rPr>
                <w:sz w:val="19"/>
                <w:szCs w:val="19"/>
                <w:lang w:val="fr-FR"/>
              </w:rPr>
              <w:t>a</w:t>
            </w:r>
            <w:r>
              <w:rPr>
                <w:sz w:val="19"/>
                <w:szCs w:val="19"/>
                <w:lang w:val="fr-FR"/>
              </w:rPr>
              <w:t>u Réseau européen d’information sur les espèces exotiques</w:t>
            </w:r>
          </w:p>
          <w:p w14:paraId="704F59B8" w14:textId="41B00438" w:rsidR="00D942E7" w:rsidRPr="00115A34" w:rsidRDefault="00D942E7" w:rsidP="002B5FE9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</w:p>
        </w:tc>
      </w:tr>
    </w:tbl>
    <w:p w14:paraId="7187DAC4" w14:textId="77777777" w:rsidR="007722E8" w:rsidRPr="00115A34" w:rsidRDefault="007722E8" w:rsidP="007722E8">
      <w:pPr>
        <w:rPr>
          <w:sz w:val="22"/>
          <w:szCs w:val="22"/>
          <w:lang w:val="fr-FR"/>
        </w:rPr>
      </w:pPr>
    </w:p>
    <w:p w14:paraId="03E0790F" w14:textId="442A2467" w:rsidR="007722E8" w:rsidRPr="00115A34" w:rsidRDefault="007722E8" w:rsidP="00E1163B">
      <w:pPr>
        <w:shd w:val="clear" w:color="auto" w:fill="DEEAF6" w:themeFill="accent1" w:themeFillTint="33"/>
        <w:spacing w:after="20"/>
        <w:rPr>
          <w:b/>
          <w:lang w:val="fr-FR"/>
        </w:rPr>
      </w:pPr>
      <w:r w:rsidRPr="00115A34">
        <w:rPr>
          <w:b/>
          <w:lang w:val="fr-FR"/>
        </w:rPr>
        <w:t xml:space="preserve">5.  </w:t>
      </w:r>
      <w:r w:rsidR="00D942E7">
        <w:rPr>
          <w:b/>
          <w:lang w:val="fr-FR"/>
        </w:rPr>
        <w:t xml:space="preserve">Autres </w:t>
      </w:r>
      <w:r w:rsidR="00C367A6">
        <w:rPr>
          <w:b/>
          <w:lang w:val="fr-FR"/>
        </w:rPr>
        <w:t>sujets</w:t>
      </w:r>
    </w:p>
    <w:p w14:paraId="5590DEA2" w14:textId="77777777" w:rsidR="007722E8" w:rsidRPr="00115A34" w:rsidRDefault="007722E8" w:rsidP="007722E8">
      <w:pPr>
        <w:spacing w:after="20"/>
        <w:rPr>
          <w:sz w:val="22"/>
          <w:szCs w:val="22"/>
          <w:lang w:val="fr-FR"/>
        </w:rPr>
      </w:pPr>
    </w:p>
    <w:p w14:paraId="31B9D0CF" w14:textId="662D831E" w:rsidR="007722E8" w:rsidRPr="00115A34" w:rsidRDefault="007722E8" w:rsidP="007722E8">
      <w:pPr>
        <w:spacing w:after="20"/>
        <w:rPr>
          <w:b/>
          <w:i/>
          <w:color w:val="003366"/>
          <w:sz w:val="22"/>
          <w:szCs w:val="22"/>
          <w:lang w:val="fr-FR"/>
        </w:rPr>
      </w:pPr>
      <w:r w:rsidRPr="00115A34">
        <w:rPr>
          <w:b/>
          <w:i/>
          <w:color w:val="003366"/>
          <w:sz w:val="22"/>
          <w:szCs w:val="22"/>
          <w:lang w:val="fr-FR"/>
        </w:rPr>
        <w:t xml:space="preserve">  (a) </w:t>
      </w:r>
      <w:r w:rsidR="00D942E7">
        <w:rPr>
          <w:b/>
          <w:i/>
          <w:color w:val="003366"/>
          <w:sz w:val="22"/>
          <w:szCs w:val="22"/>
          <w:lang w:val="fr-FR"/>
        </w:rPr>
        <w:t>Orientations existantes de l’</w:t>
      </w:r>
      <w:r w:rsidRPr="00115A34">
        <w:rPr>
          <w:b/>
          <w:i/>
          <w:color w:val="003366"/>
          <w:sz w:val="22"/>
          <w:szCs w:val="22"/>
          <w:lang w:val="fr-FR"/>
        </w:rPr>
        <w:t>AEWA</w:t>
      </w:r>
    </w:p>
    <w:p w14:paraId="408C5484" w14:textId="77777777" w:rsidR="007722E8" w:rsidRPr="00115A34" w:rsidRDefault="007722E8" w:rsidP="007722E8">
      <w:pPr>
        <w:spacing w:after="20"/>
        <w:rPr>
          <w:sz w:val="22"/>
          <w:szCs w:val="22"/>
          <w:lang w:val="fr-FR"/>
        </w:rPr>
      </w:pPr>
    </w:p>
    <w:p w14:paraId="16E62660" w14:textId="0A744B84" w:rsidR="007140A6" w:rsidRPr="00115A34" w:rsidRDefault="00C367A6" w:rsidP="00E1163B">
      <w:pPr>
        <w:spacing w:after="2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lastRenderedPageBreak/>
        <w:t>Par</w:t>
      </w:r>
      <w:r w:rsidR="006B036A">
        <w:rPr>
          <w:sz w:val="22"/>
          <w:szCs w:val="22"/>
          <w:lang w:val="fr-FR"/>
        </w:rPr>
        <w:t>m</w:t>
      </w:r>
      <w:r>
        <w:rPr>
          <w:sz w:val="22"/>
          <w:szCs w:val="22"/>
          <w:lang w:val="fr-FR"/>
        </w:rPr>
        <w:t>i d’autres sujets pertinents décrits dans des textes de l’</w:t>
      </w:r>
      <w:r w:rsidR="007722E8" w:rsidRPr="00115A34">
        <w:rPr>
          <w:sz w:val="22"/>
          <w:szCs w:val="22"/>
          <w:lang w:val="fr-FR"/>
        </w:rPr>
        <w:t>AEWA</w:t>
      </w:r>
      <w:r>
        <w:rPr>
          <w:sz w:val="22"/>
          <w:szCs w:val="22"/>
          <w:lang w:val="fr-FR"/>
        </w:rPr>
        <w:t>, on citera la pollution par le plomb</w:t>
      </w:r>
      <w:r w:rsidR="007722E8" w:rsidRPr="00115A34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>les  produits agrochimiques</w:t>
      </w:r>
      <w:r w:rsidR="007722E8" w:rsidRPr="00115A34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>la pollution marine/les débris marins</w:t>
      </w:r>
      <w:r w:rsidR="007722E8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et les </w:t>
      </w:r>
      <w:r w:rsidR="007722E8" w:rsidRPr="00115A34">
        <w:rPr>
          <w:sz w:val="22"/>
          <w:szCs w:val="22"/>
          <w:lang w:val="fr-FR"/>
        </w:rPr>
        <w:t>situations</w:t>
      </w:r>
      <w:r>
        <w:rPr>
          <w:sz w:val="22"/>
          <w:szCs w:val="22"/>
          <w:lang w:val="fr-FR"/>
        </w:rPr>
        <w:t xml:space="preserve"> d’urgence</w:t>
      </w:r>
      <w:r w:rsidR="007722E8" w:rsidRPr="00115A34">
        <w:rPr>
          <w:sz w:val="22"/>
          <w:szCs w:val="22"/>
          <w:lang w:val="fr-FR"/>
        </w:rPr>
        <w:t>.</w:t>
      </w:r>
      <w:r w:rsidR="007140A6" w:rsidRPr="00115A34">
        <w:rPr>
          <w:sz w:val="22"/>
          <w:szCs w:val="22"/>
          <w:lang w:val="fr-FR"/>
        </w:rPr>
        <w:t xml:space="preserve">  </w:t>
      </w:r>
      <w:r>
        <w:rPr>
          <w:sz w:val="22"/>
          <w:szCs w:val="22"/>
          <w:lang w:val="fr-FR"/>
        </w:rPr>
        <w:t>Les Lignes directrices de conservation n</w:t>
      </w:r>
      <w:r w:rsidRPr="00C367A6">
        <w:rPr>
          <w:sz w:val="22"/>
          <w:szCs w:val="22"/>
          <w:vertAlign w:val="superscript"/>
          <w:lang w:val="fr-FR"/>
        </w:rPr>
        <w:t>o</w:t>
      </w:r>
      <w:r w:rsidR="007140A6" w:rsidRPr="00115A34">
        <w:rPr>
          <w:sz w:val="22"/>
          <w:szCs w:val="22"/>
          <w:lang w:val="fr-FR"/>
        </w:rPr>
        <w:t xml:space="preserve"> 2 (2005)</w:t>
      </w:r>
      <w:r>
        <w:rPr>
          <w:sz w:val="22"/>
          <w:szCs w:val="22"/>
          <w:lang w:val="fr-FR"/>
        </w:rPr>
        <w:t>, approuvées par la MOP, sur l’identification et la prise en main  des</w:t>
      </w:r>
      <w:r w:rsidR="007140A6" w:rsidRPr="00115A34">
        <w:rPr>
          <w:sz w:val="22"/>
          <w:szCs w:val="22"/>
          <w:lang w:val="fr-FR"/>
        </w:rPr>
        <w:t xml:space="preserve"> situations</w:t>
      </w:r>
      <w:r>
        <w:rPr>
          <w:sz w:val="22"/>
          <w:szCs w:val="22"/>
          <w:lang w:val="fr-FR"/>
        </w:rPr>
        <w:t xml:space="preserve"> d’urgence concernant les oiseaux d’eau migrateurs</w:t>
      </w:r>
      <w:r w:rsidR="007140A6" w:rsidRPr="00115A34">
        <w:rPr>
          <w:sz w:val="22"/>
          <w:szCs w:val="22"/>
          <w:lang w:val="fr-FR"/>
        </w:rPr>
        <w:t xml:space="preserve"> (https://www.unep-aewa.org/en/publication/aewa-conservation-guidelines-no-2-guidelines-identifying-and-tackling-emergency ) </w:t>
      </w:r>
      <w:r>
        <w:rPr>
          <w:sz w:val="22"/>
          <w:szCs w:val="22"/>
          <w:lang w:val="fr-FR"/>
        </w:rPr>
        <w:t>sont pertinentes, tout comme la publication d</w:t>
      </w:r>
      <w:r w:rsidR="00666FBF">
        <w:rPr>
          <w:sz w:val="22"/>
          <w:szCs w:val="22"/>
          <w:lang w:val="fr-FR"/>
        </w:rPr>
        <w:t>u numéro de la</w:t>
      </w:r>
      <w:r>
        <w:rPr>
          <w:sz w:val="22"/>
          <w:szCs w:val="22"/>
          <w:lang w:val="fr-FR"/>
        </w:rPr>
        <w:t xml:space="preserve"> Série technique</w:t>
      </w:r>
      <w:r w:rsidR="009B7FCF" w:rsidRPr="00115A34">
        <w:rPr>
          <w:sz w:val="22"/>
          <w:szCs w:val="22"/>
          <w:lang w:val="fr-FR"/>
        </w:rPr>
        <w:t xml:space="preserve"> </w:t>
      </w:r>
      <w:r w:rsidR="00666FBF">
        <w:rPr>
          <w:sz w:val="22"/>
          <w:szCs w:val="22"/>
          <w:lang w:val="fr-FR"/>
        </w:rPr>
        <w:t>« Grenaille non toxique</w:t>
      </w:r>
      <w:r w:rsidR="007140A6" w:rsidRPr="00115A34">
        <w:rPr>
          <w:sz w:val="22"/>
          <w:szCs w:val="22"/>
          <w:lang w:val="fr-FR"/>
        </w:rPr>
        <w:t xml:space="preserve"> </w:t>
      </w:r>
      <w:r w:rsidR="00666FBF">
        <w:rPr>
          <w:sz w:val="22"/>
          <w:szCs w:val="22"/>
          <w:lang w:val="fr-FR"/>
        </w:rPr>
        <w:t>–</w:t>
      </w:r>
      <w:r w:rsidR="007140A6" w:rsidRPr="00115A34">
        <w:rPr>
          <w:sz w:val="22"/>
          <w:szCs w:val="22"/>
          <w:lang w:val="fr-FR"/>
        </w:rPr>
        <w:t xml:space="preserve"> </w:t>
      </w:r>
      <w:r w:rsidR="00666FBF">
        <w:rPr>
          <w:sz w:val="22"/>
          <w:szCs w:val="22"/>
          <w:lang w:val="fr-FR"/>
        </w:rPr>
        <w:t>Vers une utilisation durable des ressources en oiseaux d’eau »</w:t>
      </w:r>
      <w:r w:rsidR="007140A6" w:rsidRPr="00115A34">
        <w:rPr>
          <w:sz w:val="22"/>
          <w:szCs w:val="22"/>
          <w:lang w:val="fr-FR"/>
        </w:rPr>
        <w:t xml:space="preserve"> (TS </w:t>
      </w:r>
      <w:r w:rsidR="00666FBF">
        <w:rPr>
          <w:sz w:val="22"/>
          <w:szCs w:val="22"/>
          <w:lang w:val="fr-FR"/>
        </w:rPr>
        <w:t>n</w:t>
      </w:r>
      <w:r w:rsidR="00666FBF" w:rsidRPr="00666FBF">
        <w:rPr>
          <w:sz w:val="22"/>
          <w:szCs w:val="22"/>
          <w:vertAlign w:val="superscript"/>
          <w:lang w:val="fr-FR"/>
        </w:rPr>
        <w:t>o</w:t>
      </w:r>
      <w:r w:rsidR="007140A6" w:rsidRPr="00115A34">
        <w:rPr>
          <w:sz w:val="22"/>
          <w:szCs w:val="22"/>
          <w:lang w:val="fr-FR"/>
        </w:rPr>
        <w:t xml:space="preserve"> 3, 2009 - </w:t>
      </w:r>
      <w:r w:rsidR="007140A6" w:rsidRPr="00115A34">
        <w:rPr>
          <w:i/>
          <w:sz w:val="22"/>
          <w:szCs w:val="22"/>
          <w:lang w:val="fr-FR"/>
        </w:rPr>
        <w:t>https://www.unep-aewa.org/en/publication/non-toxic-shot-path-towards-sustainable-use-waterbird-resource-ts-no-3</w:t>
      </w:r>
      <w:r w:rsidR="007140A6" w:rsidRPr="00115A34">
        <w:rPr>
          <w:sz w:val="22"/>
          <w:szCs w:val="22"/>
          <w:lang w:val="fr-FR"/>
        </w:rPr>
        <w:t xml:space="preserve"> ).</w:t>
      </w:r>
    </w:p>
    <w:p w14:paraId="353D1835" w14:textId="77777777" w:rsidR="009B7FCF" w:rsidRPr="00115A34" w:rsidRDefault="009B7FCF" w:rsidP="00E1163B">
      <w:pPr>
        <w:spacing w:after="20"/>
        <w:jc w:val="both"/>
        <w:rPr>
          <w:sz w:val="22"/>
          <w:szCs w:val="22"/>
          <w:lang w:val="fr-FR"/>
        </w:rPr>
      </w:pPr>
    </w:p>
    <w:p w14:paraId="03D676F5" w14:textId="0E48D005" w:rsidR="009B7FCF" w:rsidRPr="00115A34" w:rsidRDefault="00666FBF" w:rsidP="00E1163B">
      <w:pPr>
        <w:spacing w:after="2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La MOP a également adopté des</w:t>
      </w:r>
      <w:r w:rsidR="009B7FCF" w:rsidRPr="00115A34">
        <w:rPr>
          <w:sz w:val="22"/>
          <w:szCs w:val="22"/>
          <w:lang w:val="fr-FR"/>
        </w:rPr>
        <w:t xml:space="preserve"> R</w:t>
      </w:r>
      <w:r>
        <w:rPr>
          <w:sz w:val="22"/>
          <w:szCs w:val="22"/>
          <w:lang w:val="fr-FR"/>
        </w:rPr>
        <w:t>é</w:t>
      </w:r>
      <w:r w:rsidR="009B7FCF" w:rsidRPr="00115A34">
        <w:rPr>
          <w:sz w:val="22"/>
          <w:szCs w:val="22"/>
          <w:lang w:val="fr-FR"/>
        </w:rPr>
        <w:t xml:space="preserve">solutions </w:t>
      </w:r>
      <w:r>
        <w:rPr>
          <w:sz w:val="22"/>
          <w:szCs w:val="22"/>
          <w:lang w:val="fr-FR"/>
        </w:rPr>
        <w:t>pertinentes </w:t>
      </w:r>
      <w:r w:rsidR="009B7FCF" w:rsidRPr="00115A34">
        <w:rPr>
          <w:sz w:val="22"/>
          <w:szCs w:val="22"/>
          <w:lang w:val="fr-FR"/>
        </w:rPr>
        <w:t>:</w:t>
      </w:r>
    </w:p>
    <w:p w14:paraId="527302F5" w14:textId="5A0BC3C9" w:rsidR="007140A6" w:rsidRPr="00115A34" w:rsidRDefault="007140A6" w:rsidP="00E1163B">
      <w:pPr>
        <w:spacing w:after="20"/>
        <w:jc w:val="both"/>
        <w:rPr>
          <w:sz w:val="10"/>
          <w:szCs w:val="10"/>
          <w:lang w:val="fr-FR"/>
        </w:rPr>
      </w:pPr>
    </w:p>
    <w:p w14:paraId="53E1F2FF" w14:textId="2DBBB65D" w:rsidR="007140A6" w:rsidRPr="00115A34" w:rsidRDefault="007140A6" w:rsidP="00E1163B">
      <w:pPr>
        <w:pStyle w:val="ListParagraph"/>
        <w:numPr>
          <w:ilvl w:val="0"/>
          <w:numId w:val="37"/>
        </w:numPr>
        <w:spacing w:after="20"/>
        <w:jc w:val="both"/>
        <w:rPr>
          <w:sz w:val="20"/>
          <w:szCs w:val="20"/>
          <w:lang w:val="fr-FR"/>
        </w:rPr>
      </w:pPr>
      <w:r w:rsidRPr="00115A34">
        <w:rPr>
          <w:sz w:val="20"/>
          <w:szCs w:val="20"/>
          <w:lang w:val="fr-FR"/>
        </w:rPr>
        <w:t>R</w:t>
      </w:r>
      <w:r w:rsidR="00666FBF">
        <w:rPr>
          <w:sz w:val="20"/>
          <w:szCs w:val="20"/>
          <w:lang w:val="fr-FR"/>
        </w:rPr>
        <w:t>é</w:t>
      </w:r>
      <w:r w:rsidRPr="00115A34">
        <w:rPr>
          <w:sz w:val="20"/>
          <w:szCs w:val="20"/>
          <w:lang w:val="fr-FR"/>
        </w:rPr>
        <w:t xml:space="preserve">solution 2.2 (2002) </w:t>
      </w:r>
      <w:r w:rsidR="00666FBF">
        <w:rPr>
          <w:sz w:val="20"/>
          <w:szCs w:val="20"/>
          <w:lang w:val="fr-FR"/>
        </w:rPr>
        <w:t>sur la su</w:t>
      </w:r>
      <w:r w:rsidR="006B036A">
        <w:rPr>
          <w:sz w:val="20"/>
          <w:szCs w:val="20"/>
          <w:lang w:val="fr-FR"/>
        </w:rPr>
        <w:t>p</w:t>
      </w:r>
      <w:r w:rsidR="00666FBF">
        <w:rPr>
          <w:sz w:val="20"/>
          <w:szCs w:val="20"/>
          <w:lang w:val="fr-FR"/>
        </w:rPr>
        <w:t>pression progressive de la grenaille de plomb pour la chasse dans les zones humides</w:t>
      </w:r>
      <w:r w:rsidRPr="00115A34">
        <w:rPr>
          <w:sz w:val="20"/>
          <w:szCs w:val="20"/>
          <w:lang w:val="fr-FR"/>
        </w:rPr>
        <w:t xml:space="preserve"> - </w:t>
      </w:r>
      <w:hyperlink r:id="rId19" w:history="1">
        <w:r w:rsidRPr="00115A34">
          <w:rPr>
            <w:rStyle w:val="Hyperlink"/>
            <w:i/>
            <w:sz w:val="20"/>
            <w:szCs w:val="20"/>
            <w:lang w:val="fr-FR"/>
          </w:rPr>
          <w:t>https://www.unep-aewa.org/en/document/phasing-out-lead-shot-hunting-wetlands-2</w:t>
        </w:r>
      </w:hyperlink>
      <w:r w:rsidRPr="00115A34">
        <w:rPr>
          <w:sz w:val="20"/>
          <w:szCs w:val="20"/>
          <w:lang w:val="fr-FR"/>
        </w:rPr>
        <w:t xml:space="preserve"> ;</w:t>
      </w:r>
    </w:p>
    <w:p w14:paraId="5CCD3987" w14:textId="77777777" w:rsidR="007140A6" w:rsidRPr="00115A34" w:rsidRDefault="007140A6" w:rsidP="00E1163B">
      <w:pPr>
        <w:spacing w:after="20"/>
        <w:jc w:val="both"/>
        <w:rPr>
          <w:sz w:val="10"/>
          <w:szCs w:val="10"/>
          <w:lang w:val="fr-FR"/>
        </w:rPr>
      </w:pPr>
    </w:p>
    <w:p w14:paraId="37E67CCF" w14:textId="777F92B1" w:rsidR="007140A6" w:rsidRPr="00115A34" w:rsidRDefault="007140A6" w:rsidP="00E1163B">
      <w:pPr>
        <w:pStyle w:val="ListParagraph"/>
        <w:numPr>
          <w:ilvl w:val="0"/>
          <w:numId w:val="37"/>
        </w:numPr>
        <w:spacing w:after="20"/>
        <w:jc w:val="both"/>
        <w:rPr>
          <w:color w:val="000000"/>
          <w:sz w:val="20"/>
          <w:szCs w:val="20"/>
          <w:lang w:val="fr-FR"/>
        </w:rPr>
      </w:pPr>
      <w:r w:rsidRPr="00115A34">
        <w:rPr>
          <w:color w:val="000000"/>
          <w:sz w:val="20"/>
          <w:szCs w:val="20"/>
          <w:lang w:val="fr-FR"/>
        </w:rPr>
        <w:t>R</w:t>
      </w:r>
      <w:r w:rsidR="006B036A">
        <w:rPr>
          <w:color w:val="000000"/>
          <w:sz w:val="20"/>
          <w:szCs w:val="20"/>
          <w:lang w:val="fr-FR"/>
        </w:rPr>
        <w:t>é</w:t>
      </w:r>
      <w:r w:rsidRPr="00115A34">
        <w:rPr>
          <w:color w:val="000000"/>
          <w:sz w:val="20"/>
          <w:szCs w:val="20"/>
          <w:lang w:val="fr-FR"/>
        </w:rPr>
        <w:t xml:space="preserve">solution 4.1 (2008) </w:t>
      </w:r>
      <w:r w:rsidR="006B036A">
        <w:rPr>
          <w:color w:val="000000"/>
          <w:sz w:val="20"/>
          <w:szCs w:val="20"/>
          <w:lang w:val="fr-FR"/>
        </w:rPr>
        <w:t>sur la suppression de la grenaille de plomb pour la chasse dans les zones humides</w:t>
      </w:r>
      <w:r w:rsidRPr="00115A34">
        <w:rPr>
          <w:color w:val="000000"/>
          <w:sz w:val="20"/>
          <w:szCs w:val="20"/>
          <w:lang w:val="fr-FR"/>
        </w:rPr>
        <w:t xml:space="preserve"> - </w:t>
      </w:r>
      <w:hyperlink r:id="rId20" w:history="1">
        <w:r w:rsidRPr="00115A34">
          <w:rPr>
            <w:rStyle w:val="Hyperlink"/>
            <w:i/>
            <w:sz w:val="20"/>
            <w:szCs w:val="20"/>
            <w:lang w:val="fr-FR"/>
          </w:rPr>
          <w:t>https://www.unep-aewa.org/en/document/phasing-out-lead-shot-hunting-wetlands-3</w:t>
        </w:r>
      </w:hyperlink>
      <w:r w:rsidRPr="00115A34">
        <w:rPr>
          <w:color w:val="000000"/>
          <w:sz w:val="20"/>
          <w:szCs w:val="20"/>
          <w:lang w:val="fr-FR"/>
        </w:rPr>
        <w:t xml:space="preserve"> ;</w:t>
      </w:r>
    </w:p>
    <w:p w14:paraId="4824E7B4" w14:textId="77777777" w:rsidR="007140A6" w:rsidRPr="00115A34" w:rsidRDefault="007140A6" w:rsidP="00E1163B">
      <w:pPr>
        <w:spacing w:after="20"/>
        <w:jc w:val="both"/>
        <w:rPr>
          <w:sz w:val="10"/>
          <w:szCs w:val="10"/>
          <w:lang w:val="fr-FR"/>
        </w:rPr>
      </w:pPr>
    </w:p>
    <w:p w14:paraId="2145423A" w14:textId="623CEBBB" w:rsidR="007140A6" w:rsidRPr="00115A34" w:rsidRDefault="007140A6" w:rsidP="00E1163B">
      <w:pPr>
        <w:pStyle w:val="ListParagraph"/>
        <w:numPr>
          <w:ilvl w:val="0"/>
          <w:numId w:val="37"/>
        </w:numPr>
        <w:spacing w:after="20"/>
        <w:jc w:val="both"/>
        <w:rPr>
          <w:color w:val="000000"/>
          <w:sz w:val="20"/>
          <w:szCs w:val="20"/>
          <w:lang w:val="fr-FR"/>
        </w:rPr>
      </w:pPr>
      <w:r w:rsidRPr="00115A34">
        <w:rPr>
          <w:color w:val="000000"/>
          <w:sz w:val="20"/>
          <w:szCs w:val="20"/>
          <w:lang w:val="fr-FR"/>
        </w:rPr>
        <w:t>R</w:t>
      </w:r>
      <w:r w:rsidR="006B036A">
        <w:rPr>
          <w:color w:val="000000"/>
          <w:sz w:val="20"/>
          <w:szCs w:val="20"/>
          <w:lang w:val="fr-FR"/>
        </w:rPr>
        <w:t>é</w:t>
      </w:r>
      <w:r w:rsidRPr="00115A34">
        <w:rPr>
          <w:color w:val="000000"/>
          <w:sz w:val="20"/>
          <w:szCs w:val="20"/>
          <w:lang w:val="fr-FR"/>
        </w:rPr>
        <w:t xml:space="preserve">solution 5.12 (2012) </w:t>
      </w:r>
      <w:r w:rsidR="006B036A">
        <w:rPr>
          <w:color w:val="000000"/>
          <w:sz w:val="20"/>
          <w:szCs w:val="20"/>
          <w:lang w:val="fr-FR"/>
        </w:rPr>
        <w:t>sur les effets nocifs des produits agrochimiques sur les oiseaux d’eau migrateurs en Afrique</w:t>
      </w:r>
      <w:r w:rsidRPr="00115A34">
        <w:rPr>
          <w:color w:val="000000"/>
          <w:sz w:val="20"/>
          <w:szCs w:val="20"/>
          <w:lang w:val="fr-FR"/>
        </w:rPr>
        <w:t xml:space="preserve"> - </w:t>
      </w:r>
      <w:hyperlink r:id="rId21" w:history="1">
        <w:r w:rsidRPr="00115A34">
          <w:rPr>
            <w:rStyle w:val="Hyperlink"/>
            <w:i/>
            <w:sz w:val="20"/>
            <w:szCs w:val="20"/>
            <w:lang w:val="fr-FR"/>
          </w:rPr>
          <w:t>https://www.unep-aewa.org/en/document/adverse-effects-agrochemicals-migratory-waterbirds-africa-1</w:t>
        </w:r>
      </w:hyperlink>
      <w:r w:rsidRPr="00115A34">
        <w:rPr>
          <w:color w:val="000000"/>
          <w:sz w:val="20"/>
          <w:szCs w:val="20"/>
          <w:lang w:val="fr-FR"/>
        </w:rPr>
        <w:t xml:space="preserve"> ;</w:t>
      </w:r>
    </w:p>
    <w:p w14:paraId="4AD9C14D" w14:textId="77777777" w:rsidR="007140A6" w:rsidRPr="00115A34" w:rsidRDefault="007140A6" w:rsidP="00E1163B">
      <w:pPr>
        <w:spacing w:after="20"/>
        <w:jc w:val="both"/>
        <w:rPr>
          <w:color w:val="000000"/>
          <w:sz w:val="10"/>
          <w:szCs w:val="10"/>
          <w:lang w:val="fr-FR"/>
        </w:rPr>
      </w:pPr>
    </w:p>
    <w:p w14:paraId="3F43E3DB" w14:textId="7F4162B2" w:rsidR="007140A6" w:rsidRPr="00115A34" w:rsidRDefault="007140A6" w:rsidP="00E1163B">
      <w:pPr>
        <w:pStyle w:val="ListParagraph"/>
        <w:numPr>
          <w:ilvl w:val="0"/>
          <w:numId w:val="37"/>
        </w:numPr>
        <w:spacing w:after="20"/>
        <w:jc w:val="both"/>
        <w:rPr>
          <w:sz w:val="20"/>
          <w:szCs w:val="20"/>
          <w:lang w:val="fr-FR"/>
        </w:rPr>
      </w:pPr>
      <w:r w:rsidRPr="00115A34">
        <w:rPr>
          <w:color w:val="000000"/>
          <w:sz w:val="20"/>
          <w:szCs w:val="20"/>
          <w:lang w:val="fr-FR"/>
        </w:rPr>
        <w:t>R</w:t>
      </w:r>
      <w:r w:rsidR="006B036A">
        <w:rPr>
          <w:color w:val="000000"/>
          <w:sz w:val="20"/>
          <w:szCs w:val="20"/>
          <w:lang w:val="fr-FR"/>
        </w:rPr>
        <w:t>é</w:t>
      </w:r>
      <w:r w:rsidRPr="00115A34">
        <w:rPr>
          <w:color w:val="000000"/>
          <w:sz w:val="20"/>
          <w:szCs w:val="20"/>
          <w:lang w:val="fr-FR"/>
        </w:rPr>
        <w:t xml:space="preserve">solution 7.6 (2018) </w:t>
      </w:r>
      <w:r w:rsidR="006B036A">
        <w:rPr>
          <w:color w:val="000000"/>
          <w:sz w:val="20"/>
          <w:szCs w:val="20"/>
          <w:lang w:val="fr-FR"/>
        </w:rPr>
        <w:t>sur les</w:t>
      </w:r>
      <w:r w:rsidRPr="00115A34">
        <w:rPr>
          <w:color w:val="000000"/>
          <w:sz w:val="20"/>
          <w:szCs w:val="20"/>
          <w:lang w:val="fr-FR"/>
        </w:rPr>
        <w:t xml:space="preserve"> Priorit</w:t>
      </w:r>
      <w:r w:rsidR="006B036A">
        <w:rPr>
          <w:color w:val="000000"/>
          <w:sz w:val="20"/>
          <w:szCs w:val="20"/>
          <w:lang w:val="fr-FR"/>
        </w:rPr>
        <w:t>és pour la</w:t>
      </w:r>
      <w:r w:rsidRPr="00115A34">
        <w:rPr>
          <w:color w:val="000000"/>
          <w:sz w:val="20"/>
          <w:szCs w:val="20"/>
          <w:lang w:val="fr-FR"/>
        </w:rPr>
        <w:t xml:space="preserve"> conservation </w:t>
      </w:r>
      <w:r w:rsidR="006B036A">
        <w:rPr>
          <w:color w:val="000000"/>
          <w:sz w:val="20"/>
          <w:szCs w:val="20"/>
          <w:lang w:val="fr-FR"/>
        </w:rPr>
        <w:t>des oiseaux marins empruntant les voies de migration d’Afrique-Eurasie</w:t>
      </w:r>
      <w:r w:rsidRPr="00115A34">
        <w:rPr>
          <w:color w:val="000000"/>
          <w:sz w:val="20"/>
          <w:szCs w:val="20"/>
          <w:lang w:val="fr-FR"/>
        </w:rPr>
        <w:t xml:space="preserve"> - </w:t>
      </w:r>
      <w:hyperlink r:id="rId22" w:history="1">
        <w:r w:rsidRPr="00115A34">
          <w:rPr>
            <w:rStyle w:val="Hyperlink"/>
            <w:i/>
            <w:sz w:val="20"/>
            <w:szCs w:val="20"/>
            <w:lang w:val="fr-FR"/>
          </w:rPr>
          <w:t>https://www.unep-aewa.org/en/document/priorities-conservation-seabirds-african-eurasian-flyways-1</w:t>
        </w:r>
      </w:hyperlink>
      <w:r w:rsidRPr="00115A34">
        <w:rPr>
          <w:color w:val="000000"/>
          <w:sz w:val="20"/>
          <w:szCs w:val="20"/>
          <w:lang w:val="fr-FR"/>
        </w:rPr>
        <w:t xml:space="preserve"> .</w:t>
      </w:r>
    </w:p>
    <w:p w14:paraId="53D765AD" w14:textId="77777777" w:rsidR="00334B34" w:rsidRPr="00115A34" w:rsidRDefault="00334B34" w:rsidP="00E1163B">
      <w:pPr>
        <w:spacing w:after="20"/>
        <w:jc w:val="both"/>
        <w:rPr>
          <w:sz w:val="22"/>
          <w:szCs w:val="22"/>
          <w:lang w:val="fr-FR"/>
        </w:rPr>
      </w:pPr>
    </w:p>
    <w:p w14:paraId="62931216" w14:textId="1914F6F9" w:rsidR="007722E8" w:rsidRPr="00115A34" w:rsidRDefault="006B036A" w:rsidP="00E1163B">
      <w:pPr>
        <w:spacing w:after="2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Les processus/plateformes multilatéraux identifiés comme pouvant fournir </w:t>
      </w:r>
      <w:r w:rsidR="00544CEA">
        <w:rPr>
          <w:sz w:val="22"/>
          <w:szCs w:val="22"/>
          <w:lang w:val="fr-FR"/>
        </w:rPr>
        <w:t>des opportunités</w:t>
      </w:r>
      <w:r>
        <w:rPr>
          <w:sz w:val="22"/>
          <w:szCs w:val="22"/>
          <w:lang w:val="fr-FR"/>
        </w:rPr>
        <w:t xml:space="preserve"> pour exercer de l’influence sur ces sujets</w:t>
      </w:r>
      <w:r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sont mentionnés dans les textes </w:t>
      </w:r>
      <w:r w:rsidR="00777BDB">
        <w:rPr>
          <w:sz w:val="22"/>
          <w:szCs w:val="22"/>
          <w:lang w:val="fr-FR"/>
        </w:rPr>
        <w:t>sélectionnés</w:t>
      </w:r>
      <w:r>
        <w:rPr>
          <w:sz w:val="22"/>
          <w:szCs w:val="22"/>
          <w:lang w:val="fr-FR"/>
        </w:rPr>
        <w:t xml:space="preserve"> ci-dessous</w:t>
      </w:r>
      <w:r w:rsidR="007722E8" w:rsidRPr="00115A34">
        <w:rPr>
          <w:sz w:val="22"/>
          <w:szCs w:val="22"/>
          <w:lang w:val="fr-FR"/>
        </w:rPr>
        <w:t>.</w:t>
      </w:r>
    </w:p>
    <w:p w14:paraId="3F29B06E" w14:textId="77777777" w:rsidR="007722E8" w:rsidRPr="00115A34" w:rsidRDefault="007722E8" w:rsidP="007722E8">
      <w:pPr>
        <w:rPr>
          <w:sz w:val="22"/>
          <w:szCs w:val="22"/>
          <w:lang w:val="fr-FR"/>
        </w:rPr>
      </w:pPr>
    </w:p>
    <w:p w14:paraId="3D624F04" w14:textId="77777777" w:rsidR="007722E8" w:rsidRPr="00115A34" w:rsidRDefault="007722E8" w:rsidP="007722E8">
      <w:pPr>
        <w:rPr>
          <w:sz w:val="8"/>
          <w:szCs w:val="8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722E8" w:rsidRPr="00115A34" w14:paraId="4F0C4072" w14:textId="77777777" w:rsidTr="00E1163B">
        <w:trPr>
          <w:jc w:val="center"/>
        </w:trPr>
        <w:tc>
          <w:tcPr>
            <w:tcW w:w="3005" w:type="dxa"/>
            <w:shd w:val="clear" w:color="auto" w:fill="DEEAF6" w:themeFill="accent1" w:themeFillTint="33"/>
            <w:vAlign w:val="center"/>
          </w:tcPr>
          <w:p w14:paraId="7F7E2B3C" w14:textId="15673041" w:rsidR="007722E8" w:rsidRPr="00115A34" w:rsidRDefault="006B036A" w:rsidP="005F7185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Processus/plateforme multilatéral(e)</w:t>
            </w:r>
          </w:p>
        </w:tc>
        <w:tc>
          <w:tcPr>
            <w:tcW w:w="3005" w:type="dxa"/>
            <w:shd w:val="clear" w:color="auto" w:fill="DEEAF6" w:themeFill="accent1" w:themeFillTint="33"/>
            <w:vAlign w:val="center"/>
          </w:tcPr>
          <w:p w14:paraId="264D9462" w14:textId="4C7E78B1" w:rsidR="007722E8" w:rsidRPr="00115A34" w:rsidRDefault="00E65BB6" w:rsidP="005F7185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</w:t>
            </w:r>
            <w:r w:rsidR="006B036A">
              <w:rPr>
                <w:b/>
                <w:sz w:val="20"/>
                <w:szCs w:val="20"/>
                <w:lang w:val="fr-FR"/>
              </w:rPr>
              <w:t xml:space="preserve">entionné </w:t>
            </w:r>
            <w:r>
              <w:rPr>
                <w:b/>
                <w:sz w:val="20"/>
                <w:szCs w:val="20"/>
                <w:lang w:val="fr-FR"/>
              </w:rPr>
              <w:t xml:space="preserve">où </w:t>
            </w:r>
            <w:r w:rsidR="006B036A">
              <w:rPr>
                <w:b/>
                <w:sz w:val="20"/>
                <w:szCs w:val="20"/>
                <w:lang w:val="fr-FR"/>
              </w:rPr>
              <w:t>par l’AEWA</w:t>
            </w:r>
          </w:p>
        </w:tc>
        <w:tc>
          <w:tcPr>
            <w:tcW w:w="3006" w:type="dxa"/>
            <w:shd w:val="clear" w:color="auto" w:fill="DEEAF6" w:themeFill="accent1" w:themeFillTint="33"/>
            <w:vAlign w:val="center"/>
          </w:tcPr>
          <w:p w14:paraId="0942498C" w14:textId="379485FF" w:rsidR="007722E8" w:rsidRPr="00115A34" w:rsidRDefault="007722E8" w:rsidP="005F718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115A34">
              <w:rPr>
                <w:b/>
                <w:sz w:val="20"/>
                <w:szCs w:val="20"/>
                <w:lang w:val="fr-FR"/>
              </w:rPr>
              <w:t>Possib</w:t>
            </w:r>
            <w:r w:rsidR="0023263C">
              <w:rPr>
                <w:b/>
                <w:sz w:val="20"/>
                <w:szCs w:val="20"/>
                <w:lang w:val="fr-FR"/>
              </w:rPr>
              <w:t>ilités éventuelles d’</w:t>
            </w:r>
            <w:r w:rsidRPr="00115A34">
              <w:rPr>
                <w:b/>
                <w:sz w:val="20"/>
                <w:szCs w:val="20"/>
                <w:lang w:val="fr-FR"/>
              </w:rPr>
              <w:t>influence</w:t>
            </w:r>
          </w:p>
        </w:tc>
      </w:tr>
      <w:tr w:rsidR="007722E8" w:rsidRPr="00326B2D" w14:paraId="459BBC43" w14:textId="77777777" w:rsidTr="00E1163B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24114549" w14:textId="13EBF9AA" w:rsidR="007722E8" w:rsidRPr="00115A34" w:rsidRDefault="007722E8" w:rsidP="005F7185">
            <w:pPr>
              <w:spacing w:before="20" w:after="20"/>
              <w:rPr>
                <w:b/>
                <w:i/>
                <w:color w:val="000066"/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Convention </w:t>
            </w:r>
            <w:r w:rsidR="0023263C">
              <w:rPr>
                <w:b/>
                <w:i/>
                <w:color w:val="000066"/>
                <w:sz w:val="19"/>
                <w:szCs w:val="19"/>
                <w:lang w:val="fr-FR"/>
              </w:rPr>
              <w:t>sur les espèces migratrices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(CMS)</w:t>
            </w:r>
          </w:p>
        </w:tc>
      </w:tr>
      <w:tr w:rsidR="007722E8" w:rsidRPr="00326B2D" w14:paraId="24975DAE" w14:textId="77777777" w:rsidTr="00E1163B">
        <w:trPr>
          <w:jc w:val="center"/>
        </w:trPr>
        <w:tc>
          <w:tcPr>
            <w:tcW w:w="3005" w:type="dxa"/>
            <w:shd w:val="clear" w:color="auto" w:fill="FFFFFF" w:themeFill="background1"/>
          </w:tcPr>
          <w:p w14:paraId="02923FC5" w14:textId="0138E2FE" w:rsidR="007722E8" w:rsidRPr="00115A34" w:rsidRDefault="007722E8" w:rsidP="005F7185">
            <w:pPr>
              <w:rPr>
                <w:color w:val="000000"/>
                <w:sz w:val="19"/>
                <w:szCs w:val="19"/>
                <w:lang w:val="fr-FR"/>
              </w:rPr>
            </w:pPr>
            <w:r w:rsidRPr="00115A34">
              <w:rPr>
                <w:color w:val="000000"/>
                <w:sz w:val="19"/>
                <w:szCs w:val="19"/>
                <w:lang w:val="fr-FR"/>
              </w:rPr>
              <w:t>R</w:t>
            </w:r>
            <w:r w:rsidR="0023263C">
              <w:rPr>
                <w:color w:val="000000"/>
                <w:sz w:val="19"/>
                <w:szCs w:val="19"/>
                <w:lang w:val="fr-FR"/>
              </w:rPr>
              <w:t>é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solution 10.26 </w:t>
            </w:r>
            <w:r w:rsidR="0023263C">
              <w:rPr>
                <w:color w:val="000000"/>
                <w:sz w:val="19"/>
                <w:szCs w:val="19"/>
                <w:lang w:val="fr-FR"/>
              </w:rPr>
              <w:t xml:space="preserve">de la COP de la CMS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(2011) </w:t>
            </w:r>
            <w:r w:rsidR="0023263C">
              <w:rPr>
                <w:color w:val="000000"/>
                <w:sz w:val="19"/>
                <w:szCs w:val="19"/>
                <w:lang w:val="fr-FR"/>
              </w:rPr>
              <w:t>« Réduire le risque d’empoisonnement des oiseaux migrateurs »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</w:tc>
        <w:tc>
          <w:tcPr>
            <w:tcW w:w="3005" w:type="dxa"/>
            <w:shd w:val="clear" w:color="auto" w:fill="FFFFFF" w:themeFill="background1"/>
          </w:tcPr>
          <w:p w14:paraId="3FA50B7C" w14:textId="30B27986" w:rsidR="007722E8" w:rsidRPr="00115A34" w:rsidRDefault="0023263C" w:rsidP="00712B17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Mentionné</w:t>
            </w:r>
            <w:r w:rsidR="001310A0">
              <w:rPr>
                <w:color w:val="000000"/>
                <w:sz w:val="19"/>
                <w:szCs w:val="19"/>
                <w:lang w:val="fr-FR"/>
              </w:rPr>
              <w:t>e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 en 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>pr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>amb</w:t>
            </w:r>
            <w:r>
              <w:rPr>
                <w:color w:val="000000"/>
                <w:sz w:val="19"/>
                <w:szCs w:val="19"/>
                <w:lang w:val="fr-FR"/>
              </w:rPr>
              <w:t>u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le </w:t>
            </w:r>
            <w:r>
              <w:rPr>
                <w:color w:val="000000"/>
                <w:sz w:val="19"/>
                <w:szCs w:val="19"/>
                <w:lang w:val="fr-FR"/>
              </w:rPr>
              <w:t>dans la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 R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solution </w:t>
            </w:r>
            <w:r>
              <w:rPr>
                <w:color w:val="000000"/>
                <w:sz w:val="19"/>
                <w:szCs w:val="19"/>
                <w:lang w:val="fr-FR"/>
              </w:rPr>
              <w:t>MOP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 xml:space="preserve">5.12 (2012) </w:t>
            </w:r>
            <w:r>
              <w:rPr>
                <w:color w:val="000000"/>
                <w:sz w:val="19"/>
                <w:szCs w:val="19"/>
                <w:lang w:val="fr-FR"/>
              </w:rPr>
              <w:t>sur les effets nocifs des produits agrochimiques sur les oiseaux d’eau migrateurs d’Afrique</w:t>
            </w:r>
            <w:r w:rsidR="007722E8" w:rsidRPr="00115A34">
              <w:rPr>
                <w:color w:val="000000"/>
                <w:sz w:val="19"/>
                <w:szCs w:val="19"/>
                <w:lang w:val="fr-FR"/>
              </w:rPr>
              <w:t>.</w:t>
            </w:r>
            <w:r w:rsidR="00712B17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La section opérationnelle de la</w:t>
            </w:r>
            <w:r w:rsidR="00712B17" w:rsidRPr="00115A34">
              <w:rPr>
                <w:color w:val="000000"/>
                <w:sz w:val="19"/>
                <w:szCs w:val="19"/>
                <w:lang w:val="fr-FR"/>
              </w:rPr>
              <w:t xml:space="preserve"> R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="00712B17" w:rsidRPr="00115A34">
              <w:rPr>
                <w:color w:val="000000"/>
                <w:sz w:val="19"/>
                <w:szCs w:val="19"/>
                <w:lang w:val="fr-FR"/>
              </w:rPr>
              <w:t xml:space="preserve">solution 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demande au Comité technique et au </w:t>
            </w:r>
            <w:r w:rsidR="00712B17" w:rsidRPr="00115A34">
              <w:rPr>
                <w:color w:val="000000"/>
                <w:sz w:val="19"/>
                <w:szCs w:val="19"/>
                <w:lang w:val="fr-FR"/>
              </w:rPr>
              <w:t>Secr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="00712B17" w:rsidRPr="00115A34">
              <w:rPr>
                <w:color w:val="000000"/>
                <w:sz w:val="19"/>
                <w:szCs w:val="19"/>
                <w:lang w:val="fr-FR"/>
              </w:rPr>
              <w:t xml:space="preserve">tariat </w:t>
            </w:r>
            <w:r>
              <w:rPr>
                <w:color w:val="000000"/>
                <w:sz w:val="19"/>
                <w:szCs w:val="19"/>
                <w:lang w:val="fr-FR"/>
              </w:rPr>
              <w:t>de l’AEWA de</w:t>
            </w:r>
            <w:r w:rsidR="00712B17" w:rsidRPr="00115A34">
              <w:rPr>
                <w:color w:val="000000"/>
                <w:sz w:val="19"/>
                <w:szCs w:val="19"/>
                <w:lang w:val="fr-FR"/>
              </w:rPr>
              <w:t xml:space="preserve"> collabor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er avec le groupe de travail du Conseil scientifique de la </w:t>
            </w:r>
            <w:r w:rsidR="00712B17" w:rsidRPr="00115A34">
              <w:rPr>
                <w:color w:val="000000"/>
                <w:sz w:val="19"/>
                <w:szCs w:val="19"/>
                <w:lang w:val="fr-FR"/>
              </w:rPr>
              <w:t>CMS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 sur l’empoisonnement des oiseaux migrateurs</w:t>
            </w:r>
          </w:p>
        </w:tc>
        <w:tc>
          <w:tcPr>
            <w:tcW w:w="3006" w:type="dxa"/>
            <w:shd w:val="clear" w:color="auto" w:fill="FFFFFF" w:themeFill="background1"/>
          </w:tcPr>
          <w:p w14:paraId="040DCA3A" w14:textId="657EC6ED" w:rsidR="005B5A46" w:rsidRPr="00115A34" w:rsidRDefault="0023263C" w:rsidP="005B5A46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Les</w:t>
            </w:r>
            <w:r w:rsidR="005B5A46" w:rsidRPr="00115A34">
              <w:rPr>
                <w:sz w:val="19"/>
                <w:szCs w:val="19"/>
                <w:lang w:val="fr-FR"/>
              </w:rPr>
              <w:t xml:space="preserve"> Parties </w:t>
            </w:r>
            <w:r>
              <w:rPr>
                <w:sz w:val="19"/>
                <w:szCs w:val="19"/>
                <w:lang w:val="fr-FR"/>
              </w:rPr>
              <w:t>à la CMS rendent compte de leurs actions par le biais de rapports nationaux</w:t>
            </w:r>
            <w:r w:rsidR="005B5A46" w:rsidRPr="00115A34">
              <w:rPr>
                <w:sz w:val="19"/>
                <w:szCs w:val="19"/>
                <w:lang w:val="fr-FR"/>
              </w:rPr>
              <w:t>.</w:t>
            </w:r>
          </w:p>
          <w:p w14:paraId="39B66041" w14:textId="4C07B813" w:rsidR="007722E8" w:rsidRPr="00115A34" w:rsidRDefault="003B3468" w:rsidP="005B5A46">
            <w:pPr>
              <w:pStyle w:val="ListParagraph"/>
              <w:numPr>
                <w:ilvl w:val="0"/>
                <w:numId w:val="30"/>
              </w:num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Suivi de la prise en compte</w:t>
            </w:r>
            <w:r w:rsidR="005B5A46" w:rsidRPr="00115A34">
              <w:rPr>
                <w:sz w:val="19"/>
                <w:szCs w:val="19"/>
                <w:lang w:val="fr-FR"/>
              </w:rPr>
              <w:t xml:space="preserve"> </w:t>
            </w:r>
            <w:r w:rsidR="0023263C">
              <w:rPr>
                <w:sz w:val="19"/>
                <w:szCs w:val="19"/>
                <w:lang w:val="fr-FR"/>
              </w:rPr>
              <w:t>lors de futures COP de la</w:t>
            </w:r>
            <w:r w:rsidR="005B5A46" w:rsidRPr="00115A34">
              <w:rPr>
                <w:sz w:val="19"/>
                <w:szCs w:val="19"/>
                <w:lang w:val="fr-FR"/>
              </w:rPr>
              <w:t xml:space="preserve"> CMS.</w:t>
            </w:r>
          </w:p>
        </w:tc>
      </w:tr>
      <w:tr w:rsidR="001310A0" w:rsidRPr="00326B2D" w14:paraId="1495F9ED" w14:textId="77777777" w:rsidTr="00E1163B">
        <w:trPr>
          <w:jc w:val="center"/>
        </w:trPr>
        <w:tc>
          <w:tcPr>
            <w:tcW w:w="3005" w:type="dxa"/>
            <w:shd w:val="clear" w:color="auto" w:fill="FFFFFF" w:themeFill="background1"/>
          </w:tcPr>
          <w:p w14:paraId="54BCD394" w14:textId="0F527181" w:rsidR="001310A0" w:rsidRPr="00115A34" w:rsidRDefault="001310A0" w:rsidP="001310A0">
            <w:pPr>
              <w:rPr>
                <w:color w:val="000000"/>
                <w:sz w:val="19"/>
                <w:szCs w:val="19"/>
                <w:lang w:val="fr-FR"/>
              </w:rPr>
            </w:pPr>
            <w:r w:rsidRPr="00115A34">
              <w:rPr>
                <w:color w:val="000000"/>
                <w:sz w:val="19"/>
                <w:szCs w:val="19"/>
                <w:lang w:val="fr-FR"/>
              </w:rPr>
              <w:t>R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solution 7.3 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de la COP de la CMS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(2002) (Rev COP12, 2017) </w:t>
            </w:r>
            <w:r>
              <w:rPr>
                <w:color w:val="000000"/>
                <w:sz w:val="19"/>
                <w:szCs w:val="19"/>
                <w:lang w:val="fr-FR"/>
              </w:rPr>
              <w:t>sur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la marée noire et les espèces migratrices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</w:tc>
        <w:tc>
          <w:tcPr>
            <w:tcW w:w="3005" w:type="dxa"/>
            <w:shd w:val="clear" w:color="auto" w:fill="FFFFFF" w:themeFill="background1"/>
          </w:tcPr>
          <w:p w14:paraId="6B0DBD70" w14:textId="176CDFAB" w:rsidR="001310A0" w:rsidRPr="00115A34" w:rsidRDefault="001310A0" w:rsidP="001310A0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 xml:space="preserve">Mentionnée en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pr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amb</w:t>
            </w:r>
            <w:r>
              <w:rPr>
                <w:color w:val="000000"/>
                <w:sz w:val="19"/>
                <w:szCs w:val="19"/>
                <w:lang w:val="fr-FR"/>
              </w:rPr>
              <w:t>u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le </w:t>
            </w:r>
            <w:r>
              <w:rPr>
                <w:color w:val="000000"/>
                <w:sz w:val="19"/>
                <w:szCs w:val="19"/>
                <w:lang w:val="fr-FR"/>
              </w:rPr>
              <w:t>de la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R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solution </w:t>
            </w:r>
            <w:r>
              <w:rPr>
                <w:color w:val="000000"/>
                <w:sz w:val="19"/>
                <w:szCs w:val="19"/>
                <w:lang w:val="fr-FR"/>
              </w:rPr>
              <w:t>MOP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7.6 (2018) </w:t>
            </w:r>
            <w:r>
              <w:rPr>
                <w:color w:val="000000"/>
                <w:sz w:val="19"/>
                <w:szCs w:val="19"/>
                <w:lang w:val="fr-FR"/>
              </w:rPr>
              <w:t>sur les Priorités pour la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conservation </w:t>
            </w:r>
            <w:r>
              <w:rPr>
                <w:color w:val="000000"/>
                <w:sz w:val="19"/>
                <w:szCs w:val="19"/>
                <w:lang w:val="fr-FR"/>
              </w:rPr>
              <w:t>des oiseaux marins empruntant les voies de migration d’Afrique-Eurasie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</w:tc>
        <w:tc>
          <w:tcPr>
            <w:tcW w:w="3006" w:type="dxa"/>
            <w:shd w:val="clear" w:color="auto" w:fill="FFFFFF" w:themeFill="background1"/>
          </w:tcPr>
          <w:p w14:paraId="36CC0FC0" w14:textId="77777777" w:rsidR="001310A0" w:rsidRPr="00115A34" w:rsidRDefault="001310A0" w:rsidP="001310A0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Les</w:t>
            </w:r>
            <w:r w:rsidRPr="00115A34">
              <w:rPr>
                <w:sz w:val="19"/>
                <w:szCs w:val="19"/>
                <w:lang w:val="fr-FR"/>
              </w:rPr>
              <w:t xml:space="preserve"> Parties </w:t>
            </w:r>
            <w:r>
              <w:rPr>
                <w:sz w:val="19"/>
                <w:szCs w:val="19"/>
                <w:lang w:val="fr-FR"/>
              </w:rPr>
              <w:t>à la CMS rendent compte de leurs actions par le biais de rapports nationaux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  <w:p w14:paraId="09296861" w14:textId="48598D25" w:rsidR="001310A0" w:rsidRPr="00115A34" w:rsidRDefault="003B3468" w:rsidP="001310A0">
            <w:pPr>
              <w:pStyle w:val="ListParagraph"/>
              <w:numPr>
                <w:ilvl w:val="0"/>
                <w:numId w:val="30"/>
              </w:num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Suivi de la prise en compte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1310A0">
              <w:rPr>
                <w:sz w:val="19"/>
                <w:szCs w:val="19"/>
                <w:lang w:val="fr-FR"/>
              </w:rPr>
              <w:t>lors de futures COP de la</w:t>
            </w:r>
            <w:r w:rsidR="001310A0" w:rsidRPr="00115A34">
              <w:rPr>
                <w:sz w:val="19"/>
                <w:szCs w:val="19"/>
                <w:lang w:val="fr-FR"/>
              </w:rPr>
              <w:t xml:space="preserve"> CMS.</w:t>
            </w:r>
          </w:p>
        </w:tc>
      </w:tr>
      <w:tr w:rsidR="001310A0" w:rsidRPr="00326B2D" w14:paraId="2A9AA3F7" w14:textId="77777777" w:rsidTr="00E1163B">
        <w:trPr>
          <w:jc w:val="center"/>
        </w:trPr>
        <w:tc>
          <w:tcPr>
            <w:tcW w:w="3005" w:type="dxa"/>
            <w:shd w:val="clear" w:color="auto" w:fill="FFFFFF" w:themeFill="background1"/>
          </w:tcPr>
          <w:p w14:paraId="58A1C4C6" w14:textId="06F47AF1" w:rsidR="001310A0" w:rsidRPr="00115A34" w:rsidRDefault="001310A0" w:rsidP="001310A0">
            <w:pPr>
              <w:rPr>
                <w:color w:val="000000"/>
                <w:sz w:val="19"/>
                <w:szCs w:val="19"/>
                <w:lang w:val="fr-FR"/>
              </w:rPr>
            </w:pPr>
            <w:r w:rsidRPr="00115A34">
              <w:rPr>
                <w:color w:val="000000"/>
                <w:sz w:val="19"/>
                <w:szCs w:val="19"/>
                <w:lang w:val="fr-FR"/>
              </w:rPr>
              <w:t>R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solution 12.20 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de la COP de la CMS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(2017) </w:t>
            </w:r>
            <w:r>
              <w:rPr>
                <w:color w:val="000000"/>
                <w:sz w:val="19"/>
                <w:szCs w:val="19"/>
                <w:lang w:val="fr-FR"/>
              </w:rPr>
              <w:t>sur la gestion des débris marins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</w:tc>
        <w:tc>
          <w:tcPr>
            <w:tcW w:w="3005" w:type="dxa"/>
            <w:shd w:val="clear" w:color="auto" w:fill="FFFFFF" w:themeFill="background1"/>
          </w:tcPr>
          <w:p w14:paraId="5106CB4D" w14:textId="18B4EF2D" w:rsidR="001310A0" w:rsidRPr="00115A34" w:rsidRDefault="001310A0" w:rsidP="001310A0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 xml:space="preserve">Mentionnée en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pr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amb</w:t>
            </w:r>
            <w:r>
              <w:rPr>
                <w:color w:val="000000"/>
                <w:sz w:val="19"/>
                <w:szCs w:val="19"/>
                <w:lang w:val="fr-FR"/>
              </w:rPr>
              <w:t>u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le </w:t>
            </w:r>
            <w:r>
              <w:rPr>
                <w:color w:val="000000"/>
                <w:sz w:val="19"/>
                <w:szCs w:val="19"/>
                <w:lang w:val="fr-FR"/>
              </w:rPr>
              <w:t>de la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R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solution </w:t>
            </w:r>
            <w:r>
              <w:rPr>
                <w:color w:val="000000"/>
                <w:sz w:val="19"/>
                <w:szCs w:val="19"/>
                <w:lang w:val="fr-FR"/>
              </w:rPr>
              <w:t>MOP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7.6 (2018) </w:t>
            </w:r>
            <w:r>
              <w:rPr>
                <w:color w:val="000000"/>
                <w:sz w:val="19"/>
                <w:szCs w:val="19"/>
                <w:lang w:val="fr-FR"/>
              </w:rPr>
              <w:t>sur les Priorités pour la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conservation </w:t>
            </w:r>
            <w:r>
              <w:rPr>
                <w:color w:val="000000"/>
                <w:sz w:val="19"/>
                <w:szCs w:val="19"/>
                <w:lang w:val="fr-FR"/>
              </w:rPr>
              <w:t>des oiseaux marins empruntant les voies de migration d’Afrique-Eurasie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</w:tc>
        <w:tc>
          <w:tcPr>
            <w:tcW w:w="3006" w:type="dxa"/>
            <w:shd w:val="clear" w:color="auto" w:fill="FFFFFF" w:themeFill="background1"/>
          </w:tcPr>
          <w:p w14:paraId="001CE012" w14:textId="77777777" w:rsidR="001310A0" w:rsidRPr="00115A34" w:rsidRDefault="001310A0" w:rsidP="001310A0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Les</w:t>
            </w:r>
            <w:r w:rsidRPr="00115A34">
              <w:rPr>
                <w:sz w:val="19"/>
                <w:szCs w:val="19"/>
                <w:lang w:val="fr-FR"/>
              </w:rPr>
              <w:t xml:space="preserve"> Parties </w:t>
            </w:r>
            <w:r>
              <w:rPr>
                <w:sz w:val="19"/>
                <w:szCs w:val="19"/>
                <w:lang w:val="fr-FR"/>
              </w:rPr>
              <w:t>à la CMS rendent compte de leurs actions par le biais de rapports nationaux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  <w:p w14:paraId="0CB22DFB" w14:textId="4CFE815E" w:rsidR="001310A0" w:rsidRPr="00115A34" w:rsidRDefault="003B3468" w:rsidP="001310A0">
            <w:pPr>
              <w:pStyle w:val="ListParagraph"/>
              <w:numPr>
                <w:ilvl w:val="0"/>
                <w:numId w:val="30"/>
              </w:num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Suivi de la prise en compte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1310A0">
              <w:rPr>
                <w:sz w:val="19"/>
                <w:szCs w:val="19"/>
                <w:lang w:val="fr-FR"/>
              </w:rPr>
              <w:t>lors de futures COP de la</w:t>
            </w:r>
            <w:r w:rsidR="001310A0" w:rsidRPr="00115A34">
              <w:rPr>
                <w:sz w:val="19"/>
                <w:szCs w:val="19"/>
                <w:lang w:val="fr-FR"/>
              </w:rPr>
              <w:t xml:space="preserve"> CMS.</w:t>
            </w:r>
          </w:p>
        </w:tc>
      </w:tr>
      <w:tr w:rsidR="001310A0" w:rsidRPr="00115A34" w14:paraId="1DB517E1" w14:textId="77777777" w:rsidTr="00E1163B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099113E6" w14:textId="6A56EC7A" w:rsidR="001310A0" w:rsidRPr="00115A34" w:rsidRDefault="001310A0" w:rsidP="001310A0">
            <w:pPr>
              <w:rPr>
                <w:color w:val="000000"/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Convention</w:t>
            </w:r>
            <w:r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de Ramsar</w:t>
            </w:r>
          </w:p>
        </w:tc>
      </w:tr>
      <w:tr w:rsidR="001310A0" w:rsidRPr="00326B2D" w14:paraId="456ADE03" w14:textId="77777777" w:rsidTr="00E1163B">
        <w:trPr>
          <w:jc w:val="center"/>
        </w:trPr>
        <w:tc>
          <w:tcPr>
            <w:tcW w:w="3005" w:type="dxa"/>
            <w:shd w:val="clear" w:color="auto" w:fill="FFFFFF" w:themeFill="background1"/>
          </w:tcPr>
          <w:p w14:paraId="4761C47E" w14:textId="67CAAB7D" w:rsidR="001310A0" w:rsidRPr="00115A34" w:rsidRDefault="001310A0" w:rsidP="001310A0">
            <w:pPr>
              <w:rPr>
                <w:color w:val="000000"/>
                <w:sz w:val="19"/>
                <w:szCs w:val="19"/>
                <w:lang w:val="fr-FR"/>
              </w:rPr>
            </w:pPr>
            <w:r w:rsidRPr="00115A34">
              <w:rPr>
                <w:color w:val="000000"/>
                <w:sz w:val="19"/>
                <w:szCs w:val="19"/>
                <w:lang w:val="fr-FR"/>
              </w:rPr>
              <w:t>Recomm</w:t>
            </w:r>
            <w:r>
              <w:rPr>
                <w:color w:val="000000"/>
                <w:sz w:val="19"/>
                <w:szCs w:val="19"/>
                <w:lang w:val="fr-FR"/>
              </w:rPr>
              <w:t>a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ndation 9 </w:t>
            </w:r>
            <w:r w:rsidR="00670C34">
              <w:rPr>
                <w:color w:val="000000"/>
                <w:sz w:val="19"/>
                <w:szCs w:val="19"/>
                <w:lang w:val="fr-FR"/>
              </w:rPr>
              <w:t>sur la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Promotion </w:t>
            </w:r>
            <w:r w:rsidR="00670C34">
              <w:rPr>
                <w:color w:val="000000"/>
                <w:sz w:val="19"/>
                <w:szCs w:val="19"/>
                <w:lang w:val="fr-FR"/>
              </w:rPr>
              <w:t>de la recherche et de l’éducation en matière de chasse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, </w:t>
            </w:r>
            <w:r w:rsidR="00670C34">
              <w:rPr>
                <w:color w:val="000000"/>
                <w:sz w:val="19"/>
                <w:szCs w:val="19"/>
                <w:lang w:val="fr-FR"/>
              </w:rPr>
              <w:t>approuvée par la Conférence i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nternational</w:t>
            </w:r>
            <w:r w:rsidR="00670C34">
              <w:rPr>
                <w:color w:val="000000"/>
                <w:sz w:val="19"/>
                <w:szCs w:val="19"/>
                <w:lang w:val="fr-FR"/>
              </w:rPr>
              <w:t>e des zones humides et du gibier d’eau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, 1971 (</w:t>
            </w:r>
            <w:r w:rsidR="00670C34">
              <w:rPr>
                <w:color w:val="000000"/>
                <w:sz w:val="19"/>
                <w:szCs w:val="19"/>
                <w:lang w:val="fr-FR"/>
              </w:rPr>
              <w:t>avec l’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adoption </w:t>
            </w:r>
            <w:r w:rsidR="00670C34">
              <w:rPr>
                <w:color w:val="000000"/>
                <w:sz w:val="19"/>
                <w:szCs w:val="19"/>
                <w:lang w:val="fr-FR"/>
              </w:rPr>
              <w:t>de la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Convention</w:t>
            </w:r>
            <w:r w:rsidR="00670C34">
              <w:rPr>
                <w:color w:val="000000"/>
                <w:sz w:val="19"/>
                <w:szCs w:val="19"/>
                <w:lang w:val="fr-FR"/>
              </w:rPr>
              <w:t xml:space="preserve"> de Ramsar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).</w:t>
            </w:r>
          </w:p>
        </w:tc>
        <w:tc>
          <w:tcPr>
            <w:tcW w:w="3005" w:type="dxa"/>
            <w:shd w:val="clear" w:color="auto" w:fill="FFFFFF" w:themeFill="background1"/>
          </w:tcPr>
          <w:p w14:paraId="0CBBE0A1" w14:textId="2484311E" w:rsidR="001310A0" w:rsidRPr="00115A34" w:rsidRDefault="00670C34" w:rsidP="001310A0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Dans la Série technique de l’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AEWA </w:t>
            </w:r>
            <w:r>
              <w:rPr>
                <w:color w:val="000000"/>
                <w:sz w:val="19"/>
                <w:szCs w:val="19"/>
                <w:lang w:val="fr-FR"/>
              </w:rPr>
              <w:t>n</w:t>
            </w:r>
            <w:r w:rsidRPr="00670C34">
              <w:rPr>
                <w:color w:val="000000"/>
                <w:sz w:val="19"/>
                <w:szCs w:val="19"/>
                <w:vertAlign w:val="superscript"/>
                <w:lang w:val="fr-FR"/>
              </w:rPr>
              <w:t>o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 3 (2009) </w:t>
            </w:r>
            <w:r>
              <w:rPr>
                <w:color w:val="000000"/>
                <w:sz w:val="19"/>
                <w:szCs w:val="19"/>
                <w:lang w:val="fr-FR"/>
              </w:rPr>
              <w:t>sur la grenaille non toxique : vers une utilisation durable des ressources en oiseaux d’eau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</w:tc>
        <w:tc>
          <w:tcPr>
            <w:tcW w:w="3006" w:type="dxa"/>
            <w:shd w:val="clear" w:color="auto" w:fill="FFFFFF" w:themeFill="background1"/>
          </w:tcPr>
          <w:p w14:paraId="1EA54593" w14:textId="6419FC6A" w:rsidR="001310A0" w:rsidRPr="00115A34" w:rsidRDefault="001310A0" w:rsidP="001310A0">
            <w:pPr>
              <w:pStyle w:val="ListParagraph"/>
              <w:numPr>
                <w:ilvl w:val="0"/>
                <w:numId w:val="30"/>
              </w:numPr>
              <w:rPr>
                <w:color w:val="000000"/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Explore</w:t>
            </w:r>
            <w:r w:rsidR="00670C34">
              <w:rPr>
                <w:sz w:val="19"/>
                <w:szCs w:val="19"/>
                <w:lang w:val="fr-FR"/>
              </w:rPr>
              <w:t>r l’étendue des possibilités de</w:t>
            </w:r>
            <w:r w:rsidRPr="00115A34">
              <w:rPr>
                <w:sz w:val="19"/>
                <w:szCs w:val="19"/>
                <w:lang w:val="fr-FR"/>
              </w:rPr>
              <w:t xml:space="preserve"> collaboration/ synerg</w:t>
            </w:r>
            <w:r w:rsidR="00670C34">
              <w:rPr>
                <w:sz w:val="19"/>
                <w:szCs w:val="19"/>
                <w:lang w:val="fr-FR"/>
              </w:rPr>
              <w:t>ie et mise à jour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670C34">
              <w:rPr>
                <w:sz w:val="19"/>
                <w:szCs w:val="19"/>
                <w:lang w:val="fr-FR"/>
              </w:rPr>
              <w:t>des perspectives</w:t>
            </w:r>
            <w:r w:rsidRPr="00115A34">
              <w:rPr>
                <w:sz w:val="19"/>
                <w:szCs w:val="19"/>
                <w:lang w:val="fr-FR"/>
              </w:rPr>
              <w:t xml:space="preserve"> Ramsar</w:t>
            </w:r>
            <w:r w:rsidR="00670C34">
              <w:rPr>
                <w:sz w:val="19"/>
                <w:szCs w:val="19"/>
                <w:lang w:val="fr-FR"/>
              </w:rPr>
              <w:t xml:space="preserve"> à ce sujet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1310A0" w:rsidRPr="00115A34" w14:paraId="6FA2D712" w14:textId="77777777" w:rsidTr="00E1163B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2FD3E91D" w14:textId="23AF9AB9" w:rsidR="001310A0" w:rsidRPr="00115A34" w:rsidRDefault="001310A0" w:rsidP="001310A0">
            <w:pPr>
              <w:rPr>
                <w:color w:val="000000"/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lastRenderedPageBreak/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Convention</w:t>
            </w:r>
            <w:r w:rsidR="00670C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de Berne</w:t>
            </w:r>
          </w:p>
        </w:tc>
      </w:tr>
      <w:tr w:rsidR="001310A0" w:rsidRPr="00326B2D" w14:paraId="26F73A61" w14:textId="77777777" w:rsidTr="00E1163B">
        <w:trPr>
          <w:jc w:val="center"/>
        </w:trPr>
        <w:tc>
          <w:tcPr>
            <w:tcW w:w="3005" w:type="dxa"/>
            <w:shd w:val="clear" w:color="auto" w:fill="FFFFFF" w:themeFill="background1"/>
          </w:tcPr>
          <w:p w14:paraId="5521D010" w14:textId="463EA20F" w:rsidR="001310A0" w:rsidRPr="00115A34" w:rsidRDefault="001310A0" w:rsidP="001310A0">
            <w:pPr>
              <w:rPr>
                <w:color w:val="000000"/>
                <w:sz w:val="19"/>
                <w:szCs w:val="19"/>
                <w:lang w:val="fr-FR"/>
              </w:rPr>
            </w:pPr>
            <w:r w:rsidRPr="00115A34">
              <w:rPr>
                <w:color w:val="000000"/>
                <w:sz w:val="19"/>
                <w:szCs w:val="19"/>
                <w:lang w:val="fr-FR"/>
              </w:rPr>
              <w:t>Recomm</w:t>
            </w:r>
            <w:r w:rsidR="0011610D">
              <w:rPr>
                <w:color w:val="000000"/>
                <w:sz w:val="19"/>
                <w:szCs w:val="19"/>
                <w:lang w:val="fr-FR"/>
              </w:rPr>
              <w:t>a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ndation </w:t>
            </w:r>
            <w:r w:rsidR="0011610D">
              <w:rPr>
                <w:color w:val="000000"/>
                <w:sz w:val="19"/>
                <w:szCs w:val="19"/>
                <w:lang w:val="fr-FR"/>
              </w:rPr>
              <w:t>n</w:t>
            </w:r>
            <w:r w:rsidR="0011610D" w:rsidRPr="0011610D">
              <w:rPr>
                <w:color w:val="000000"/>
                <w:sz w:val="19"/>
                <w:szCs w:val="19"/>
                <w:vertAlign w:val="superscript"/>
                <w:lang w:val="fr-FR"/>
              </w:rPr>
              <w:t>o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28 </w:t>
            </w:r>
            <w:r w:rsidR="0011610D">
              <w:rPr>
                <w:color w:val="000000"/>
                <w:sz w:val="19"/>
                <w:szCs w:val="19"/>
                <w:lang w:val="fr-FR"/>
              </w:rPr>
              <w:t xml:space="preserve">du Comité permanent de la Convention de Berne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(1991) </w:t>
            </w:r>
            <w:r w:rsidR="0011610D">
              <w:rPr>
                <w:color w:val="000000"/>
                <w:sz w:val="19"/>
                <w:szCs w:val="19"/>
                <w:lang w:val="fr-FR"/>
              </w:rPr>
              <w:t>sur l’utilisation de grenaille non toxique dans les zones humides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</w:tc>
        <w:tc>
          <w:tcPr>
            <w:tcW w:w="3005" w:type="dxa"/>
            <w:shd w:val="clear" w:color="auto" w:fill="FFFFFF" w:themeFill="background1"/>
          </w:tcPr>
          <w:p w14:paraId="0D37DFD7" w14:textId="3B349C02" w:rsidR="001310A0" w:rsidRPr="00115A34" w:rsidRDefault="0011610D" w:rsidP="001310A0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Dans la Série technique de l’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AEWA </w:t>
            </w:r>
            <w:r>
              <w:rPr>
                <w:color w:val="000000"/>
                <w:sz w:val="19"/>
                <w:szCs w:val="19"/>
                <w:lang w:val="fr-FR"/>
              </w:rPr>
              <w:t>n</w:t>
            </w:r>
            <w:r w:rsidRPr="00670C34">
              <w:rPr>
                <w:color w:val="000000"/>
                <w:sz w:val="19"/>
                <w:szCs w:val="19"/>
                <w:vertAlign w:val="superscript"/>
                <w:lang w:val="fr-FR"/>
              </w:rPr>
              <w:t>o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3 (2009) </w:t>
            </w:r>
            <w:r>
              <w:rPr>
                <w:color w:val="000000"/>
                <w:sz w:val="19"/>
                <w:szCs w:val="19"/>
                <w:lang w:val="fr-FR"/>
              </w:rPr>
              <w:t>sur la grenaille non toxique : vers une utilisation durable des ressources en oiseaux d’eau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</w:tc>
        <w:tc>
          <w:tcPr>
            <w:tcW w:w="3006" w:type="dxa"/>
            <w:shd w:val="clear" w:color="auto" w:fill="FFFFFF" w:themeFill="background1"/>
          </w:tcPr>
          <w:p w14:paraId="3392EF68" w14:textId="45B79A5F" w:rsidR="001310A0" w:rsidRPr="00115A34" w:rsidRDefault="0011610D" w:rsidP="001310A0">
            <w:pPr>
              <w:pStyle w:val="ListParagraph"/>
              <w:numPr>
                <w:ilvl w:val="0"/>
                <w:numId w:val="30"/>
              </w:num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Contrôle de la mise en œuvre par le Comité permanent</w:t>
            </w:r>
          </w:p>
        </w:tc>
      </w:tr>
      <w:tr w:rsidR="001310A0" w:rsidRPr="00326B2D" w14:paraId="511678FC" w14:textId="77777777" w:rsidTr="00E1163B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7E991062" w14:textId="3B733DAA" w:rsidR="001310A0" w:rsidRPr="00115A34" w:rsidRDefault="001310A0" w:rsidP="001310A0">
            <w:pPr>
              <w:rPr>
                <w:color w:val="000000"/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</w:t>
            </w:r>
            <w:r w:rsidR="0011610D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Convention de 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Stockholm </w:t>
            </w:r>
            <w:r w:rsidR="0011610D">
              <w:rPr>
                <w:b/>
                <w:i/>
                <w:color w:val="000066"/>
                <w:sz w:val="19"/>
                <w:szCs w:val="19"/>
                <w:lang w:val="fr-FR"/>
              </w:rPr>
              <w:t>sur les polluants organiques persist</w:t>
            </w:r>
            <w:r w:rsidR="00E62FB8">
              <w:rPr>
                <w:b/>
                <w:i/>
                <w:color w:val="000066"/>
                <w:sz w:val="19"/>
                <w:szCs w:val="19"/>
                <w:lang w:val="fr-FR"/>
              </w:rPr>
              <w:t>a</w:t>
            </w:r>
            <w:r w:rsidR="0011610D">
              <w:rPr>
                <w:b/>
                <w:i/>
                <w:color w:val="000066"/>
                <w:sz w:val="19"/>
                <w:szCs w:val="19"/>
                <w:lang w:val="fr-FR"/>
              </w:rPr>
              <w:t>nts</w:t>
            </w:r>
          </w:p>
        </w:tc>
      </w:tr>
      <w:tr w:rsidR="001310A0" w:rsidRPr="00326B2D" w14:paraId="36B1F94D" w14:textId="77777777" w:rsidTr="00E1163B">
        <w:trPr>
          <w:jc w:val="center"/>
        </w:trPr>
        <w:tc>
          <w:tcPr>
            <w:tcW w:w="3005" w:type="dxa"/>
            <w:shd w:val="clear" w:color="auto" w:fill="FFFFFF" w:themeFill="background1"/>
          </w:tcPr>
          <w:p w14:paraId="662C3F46" w14:textId="4AF02401" w:rsidR="001310A0" w:rsidRPr="00115A34" w:rsidRDefault="0011610D" w:rsidP="001310A0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La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 Convention </w:t>
            </w:r>
            <w:r>
              <w:rPr>
                <w:color w:val="000000"/>
                <w:sz w:val="19"/>
                <w:szCs w:val="19"/>
                <w:lang w:val="fr-FR"/>
              </w:rPr>
              <w:t>prévoit des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interdictions et des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 restrictions </w:t>
            </w:r>
            <w:r>
              <w:rPr>
                <w:color w:val="000000"/>
                <w:sz w:val="19"/>
                <w:szCs w:val="19"/>
                <w:lang w:val="fr-FR"/>
              </w:rPr>
              <w:t>sur la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 production, 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le commerce et l’utilisation des 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POP, </w:t>
            </w:r>
            <w:r>
              <w:rPr>
                <w:color w:val="000000"/>
                <w:sz w:val="19"/>
                <w:szCs w:val="19"/>
                <w:lang w:val="fr-FR"/>
              </w:rPr>
              <w:t>ainsi que pour éviter leur libération dans l’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>environ</w:t>
            </w:r>
            <w:r>
              <w:rPr>
                <w:color w:val="000000"/>
                <w:sz w:val="19"/>
                <w:szCs w:val="19"/>
                <w:lang w:val="fr-FR"/>
              </w:rPr>
              <w:t>ne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>ment.</w:t>
            </w:r>
          </w:p>
        </w:tc>
        <w:tc>
          <w:tcPr>
            <w:tcW w:w="3005" w:type="dxa"/>
            <w:shd w:val="clear" w:color="auto" w:fill="FFFFFF" w:themeFill="background1"/>
          </w:tcPr>
          <w:p w14:paraId="4A845791" w14:textId="59ADDAAB" w:rsidR="001310A0" w:rsidRPr="00115A34" w:rsidRDefault="0011610D" w:rsidP="001310A0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La section opérationnelle de la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 R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solution </w:t>
            </w:r>
            <w:r>
              <w:rPr>
                <w:color w:val="000000"/>
                <w:sz w:val="19"/>
                <w:szCs w:val="19"/>
                <w:lang w:val="fr-FR"/>
              </w:rPr>
              <w:t>MOP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5.12 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de l’AEWA 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(2012) </w:t>
            </w:r>
            <w:r>
              <w:rPr>
                <w:color w:val="000000"/>
                <w:sz w:val="19"/>
                <w:szCs w:val="19"/>
                <w:lang w:val="fr-FR"/>
              </w:rPr>
              <w:t>sur les effets nocifs des produits agrochimiques sur les oiseaux d’eau migrateurs d’Afrique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invite 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le Secrétariat de la Convention de 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>Stockholm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 à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 coop</w:t>
            </w:r>
            <w:r>
              <w:rPr>
                <w:color w:val="000000"/>
                <w:sz w:val="19"/>
                <w:szCs w:val="19"/>
                <w:lang w:val="fr-FR"/>
              </w:rPr>
              <w:t>érer avec le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 Secr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tariat </w:t>
            </w:r>
            <w:r>
              <w:rPr>
                <w:color w:val="000000"/>
                <w:sz w:val="19"/>
                <w:szCs w:val="19"/>
                <w:lang w:val="fr-FR"/>
              </w:rPr>
              <w:t>de l’AEWA pour renforcer la capacité</w:t>
            </w:r>
            <w:r w:rsidR="00A81EC5">
              <w:rPr>
                <w:color w:val="000000"/>
                <w:sz w:val="19"/>
                <w:szCs w:val="19"/>
                <w:lang w:val="fr-FR"/>
              </w:rPr>
              <w:t xml:space="preserve"> des pays d’Afrique sur la question des produits agrochimiques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</w:tc>
        <w:tc>
          <w:tcPr>
            <w:tcW w:w="3006" w:type="dxa"/>
            <w:shd w:val="clear" w:color="auto" w:fill="FFFFFF" w:themeFill="background1"/>
          </w:tcPr>
          <w:p w14:paraId="5220282C" w14:textId="7CE0C4B1" w:rsidR="001310A0" w:rsidRPr="00115A34" w:rsidRDefault="00A81EC5" w:rsidP="001310A0">
            <w:pPr>
              <w:pStyle w:val="ListParagraph"/>
              <w:numPr>
                <w:ilvl w:val="0"/>
                <w:numId w:val="30"/>
              </w:num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Surveillance et évaluation de la mise en œuvre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, </w:t>
            </w:r>
            <w:r>
              <w:rPr>
                <w:color w:val="000000"/>
                <w:sz w:val="19"/>
                <w:szCs w:val="19"/>
                <w:lang w:val="fr-FR"/>
              </w:rPr>
              <w:t>avec une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 attention </w:t>
            </w:r>
            <w:r>
              <w:rPr>
                <w:color w:val="000000"/>
                <w:sz w:val="19"/>
                <w:szCs w:val="19"/>
                <w:lang w:val="fr-FR"/>
              </w:rPr>
              <w:t>particulière pour les répercussions pour les oiseaux d’eau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</w:tc>
      </w:tr>
      <w:tr w:rsidR="001310A0" w:rsidRPr="00326B2D" w14:paraId="09D64371" w14:textId="77777777" w:rsidTr="00E1163B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0DAEE6BB" w14:textId="7A4C132A" w:rsidR="001310A0" w:rsidRPr="00115A34" w:rsidRDefault="001310A0" w:rsidP="001310A0">
            <w:pPr>
              <w:rPr>
                <w:color w:val="000000"/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</w:t>
            </w:r>
            <w:r w:rsidR="00A81EC5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Assemblée des 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Nations </w:t>
            </w:r>
            <w:r w:rsidR="00A81EC5">
              <w:rPr>
                <w:b/>
                <w:i/>
                <w:color w:val="000066"/>
                <w:sz w:val="19"/>
                <w:szCs w:val="19"/>
                <w:lang w:val="fr-FR"/>
              </w:rPr>
              <w:t>Unies pour l’e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>nviron</w:t>
            </w:r>
            <w:r w:rsidR="00A81EC5">
              <w:rPr>
                <w:b/>
                <w:i/>
                <w:color w:val="000066"/>
                <w:sz w:val="19"/>
                <w:szCs w:val="19"/>
                <w:lang w:val="fr-FR"/>
              </w:rPr>
              <w:t>ne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>ment (UNEA)</w:t>
            </w:r>
          </w:p>
        </w:tc>
      </w:tr>
      <w:tr w:rsidR="001310A0" w:rsidRPr="00326B2D" w14:paraId="795343DC" w14:textId="77777777" w:rsidTr="00E1163B">
        <w:trPr>
          <w:jc w:val="center"/>
        </w:trPr>
        <w:tc>
          <w:tcPr>
            <w:tcW w:w="3005" w:type="dxa"/>
            <w:shd w:val="clear" w:color="auto" w:fill="FFFFFF" w:themeFill="background1"/>
          </w:tcPr>
          <w:p w14:paraId="7BE5FFAB" w14:textId="5E316F1A" w:rsidR="001310A0" w:rsidRPr="00115A34" w:rsidRDefault="001310A0" w:rsidP="001310A0">
            <w:pPr>
              <w:rPr>
                <w:color w:val="000000"/>
                <w:sz w:val="19"/>
                <w:szCs w:val="19"/>
                <w:lang w:val="fr-FR"/>
              </w:rPr>
            </w:pPr>
            <w:r w:rsidRPr="00115A34">
              <w:rPr>
                <w:color w:val="000000"/>
                <w:sz w:val="19"/>
                <w:szCs w:val="19"/>
                <w:lang w:val="fr-FR"/>
              </w:rPr>
              <w:t>R</w:t>
            </w:r>
            <w:r w:rsidR="00A81EC5">
              <w:rPr>
                <w:color w:val="000000"/>
                <w:sz w:val="19"/>
                <w:szCs w:val="19"/>
                <w:lang w:val="fr-FR"/>
              </w:rPr>
              <w:t>é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solutions 1/6 (2014), 2/11 (2016) </w:t>
            </w:r>
            <w:r w:rsidR="00A81EC5">
              <w:rPr>
                <w:color w:val="000000"/>
                <w:sz w:val="19"/>
                <w:szCs w:val="19"/>
                <w:lang w:val="fr-FR"/>
              </w:rPr>
              <w:t>et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3/7 </w:t>
            </w:r>
            <w:r w:rsidR="00A81EC5">
              <w:rPr>
                <w:color w:val="000000"/>
                <w:sz w:val="19"/>
                <w:szCs w:val="19"/>
                <w:lang w:val="fr-FR"/>
              </w:rPr>
              <w:t xml:space="preserve">de l’UNEA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(2017) </w:t>
            </w:r>
            <w:r w:rsidR="004E6B98">
              <w:rPr>
                <w:color w:val="000000"/>
                <w:sz w:val="19"/>
                <w:szCs w:val="19"/>
                <w:lang w:val="fr-FR"/>
              </w:rPr>
              <w:t xml:space="preserve">sur les déchets et microplastiques dans le milieu marin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; </w:t>
            </w:r>
            <w:r w:rsidR="004E6B98">
              <w:rPr>
                <w:color w:val="000000"/>
                <w:sz w:val="19"/>
                <w:szCs w:val="19"/>
                <w:lang w:val="fr-FR"/>
              </w:rPr>
              <w:t>et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R</w:t>
            </w:r>
            <w:r w:rsidR="004E6B98">
              <w:rPr>
                <w:color w:val="000000"/>
                <w:sz w:val="19"/>
                <w:szCs w:val="19"/>
                <w:lang w:val="fr-FR"/>
              </w:rPr>
              <w:t>é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solution 3/4 (2017) </w:t>
            </w:r>
            <w:r w:rsidR="004E6B98">
              <w:rPr>
                <w:color w:val="000000"/>
                <w:sz w:val="19"/>
                <w:szCs w:val="19"/>
                <w:lang w:val="fr-FR"/>
              </w:rPr>
              <w:t>sur l’</w:t>
            </w:r>
            <w:r w:rsidR="002B4FE5">
              <w:rPr>
                <w:color w:val="000000"/>
                <w:sz w:val="19"/>
                <w:szCs w:val="19"/>
                <w:lang w:val="fr-FR"/>
              </w:rPr>
              <w:t>e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nviron</w:t>
            </w:r>
            <w:r w:rsidR="004E6B98">
              <w:rPr>
                <w:color w:val="000000"/>
                <w:sz w:val="19"/>
                <w:szCs w:val="19"/>
                <w:lang w:val="fr-FR"/>
              </w:rPr>
              <w:t>ne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ment </w:t>
            </w:r>
            <w:r w:rsidR="004E6B98">
              <w:rPr>
                <w:color w:val="000000"/>
                <w:sz w:val="19"/>
                <w:szCs w:val="19"/>
                <w:lang w:val="fr-FR"/>
              </w:rPr>
              <w:t>et la santé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</w:tc>
        <w:tc>
          <w:tcPr>
            <w:tcW w:w="3005" w:type="dxa"/>
            <w:shd w:val="clear" w:color="auto" w:fill="FFFFFF" w:themeFill="background1"/>
          </w:tcPr>
          <w:p w14:paraId="418E371C" w14:textId="2737C2F6" w:rsidR="001310A0" w:rsidRPr="00115A34" w:rsidRDefault="004E6B98" w:rsidP="001310A0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Toutes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 (</w:t>
            </w:r>
            <w:r>
              <w:rPr>
                <w:color w:val="000000"/>
                <w:sz w:val="19"/>
                <w:szCs w:val="19"/>
                <w:lang w:val="fr-FR"/>
              </w:rPr>
              <w:t>sauf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 3/4) 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sont mentionnées dans le 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>pr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>amb</w:t>
            </w:r>
            <w:r>
              <w:rPr>
                <w:color w:val="000000"/>
                <w:sz w:val="19"/>
                <w:szCs w:val="19"/>
                <w:lang w:val="fr-FR"/>
              </w:rPr>
              <w:t>u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le </w:t>
            </w:r>
            <w:r>
              <w:rPr>
                <w:color w:val="000000"/>
                <w:sz w:val="19"/>
                <w:szCs w:val="19"/>
                <w:lang w:val="fr-FR"/>
              </w:rPr>
              <w:t>de la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 R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solution </w:t>
            </w:r>
            <w:r>
              <w:rPr>
                <w:color w:val="000000"/>
                <w:sz w:val="19"/>
                <w:szCs w:val="19"/>
                <w:lang w:val="fr-FR"/>
              </w:rPr>
              <w:t>MOP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7.6 (2018) </w:t>
            </w:r>
            <w:r>
              <w:rPr>
                <w:color w:val="000000"/>
                <w:sz w:val="19"/>
                <w:szCs w:val="19"/>
                <w:lang w:val="fr-FR"/>
              </w:rPr>
              <w:t>sur les Priorités pour la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conservation </w:t>
            </w:r>
            <w:r>
              <w:rPr>
                <w:color w:val="000000"/>
                <w:sz w:val="19"/>
                <w:szCs w:val="19"/>
                <w:lang w:val="fr-FR"/>
              </w:rPr>
              <w:t>des oiseaux marins empruntant les voies de migration d’Afrique-Eurasie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</w:tc>
        <w:tc>
          <w:tcPr>
            <w:tcW w:w="3006" w:type="dxa"/>
            <w:shd w:val="clear" w:color="auto" w:fill="FFFFFF" w:themeFill="background1"/>
          </w:tcPr>
          <w:p w14:paraId="07E50DE8" w14:textId="4EC643F3" w:rsidR="001310A0" w:rsidRPr="00115A34" w:rsidRDefault="001310A0" w:rsidP="001310A0">
            <w:pPr>
              <w:rPr>
                <w:color w:val="000000"/>
                <w:sz w:val="19"/>
                <w:szCs w:val="19"/>
                <w:lang w:val="fr-FR"/>
              </w:rPr>
            </w:pPr>
            <w:r w:rsidRPr="00115A34">
              <w:rPr>
                <w:color w:val="000000"/>
                <w:sz w:val="19"/>
                <w:szCs w:val="19"/>
                <w:lang w:val="fr-FR"/>
              </w:rPr>
              <w:t>(</w:t>
            </w:r>
            <w:r w:rsidR="004E6B98">
              <w:rPr>
                <w:color w:val="000000"/>
                <w:sz w:val="19"/>
                <w:szCs w:val="19"/>
                <w:lang w:val="fr-FR"/>
              </w:rPr>
              <w:t>Voir les possibilités définies par l’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UNEA </w:t>
            </w:r>
            <w:r w:rsidR="004E6B98">
              <w:rPr>
                <w:color w:val="000000"/>
                <w:sz w:val="19"/>
                <w:szCs w:val="19"/>
                <w:lang w:val="fr-FR"/>
              </w:rPr>
              <w:t>dans le tableau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(b) </w:t>
            </w:r>
            <w:r w:rsidR="004E6B98">
              <w:rPr>
                <w:color w:val="000000"/>
                <w:sz w:val="19"/>
                <w:szCs w:val="19"/>
                <w:lang w:val="fr-FR"/>
              </w:rPr>
              <w:t>« Autres contextes pertinents » ci-dessous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).</w:t>
            </w:r>
          </w:p>
        </w:tc>
      </w:tr>
      <w:tr w:rsidR="001310A0" w:rsidRPr="00326B2D" w14:paraId="06068964" w14:textId="77777777" w:rsidTr="00E1163B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0A5F532D" w14:textId="73374209" w:rsidR="001310A0" w:rsidRPr="00115A34" w:rsidRDefault="001310A0" w:rsidP="001310A0">
            <w:pPr>
              <w:rPr>
                <w:color w:val="000000"/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Organisation </w:t>
            </w:r>
            <w:r w:rsidR="004E6B98">
              <w:rPr>
                <w:b/>
                <w:i/>
                <w:color w:val="000066"/>
                <w:sz w:val="19"/>
                <w:szCs w:val="19"/>
                <w:lang w:val="fr-FR"/>
              </w:rPr>
              <w:t>de coopération et de développement économiques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(O</w:t>
            </w:r>
            <w:r w:rsidR="004E6B98">
              <w:rPr>
                <w:b/>
                <w:i/>
                <w:color w:val="000066"/>
                <w:sz w:val="19"/>
                <w:szCs w:val="19"/>
                <w:lang w:val="fr-FR"/>
              </w:rPr>
              <w:t>CDE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>)</w:t>
            </w:r>
          </w:p>
        </w:tc>
      </w:tr>
      <w:tr w:rsidR="001310A0" w:rsidRPr="00326B2D" w14:paraId="29A6A9F3" w14:textId="77777777" w:rsidTr="00E1163B">
        <w:trPr>
          <w:jc w:val="center"/>
        </w:trPr>
        <w:tc>
          <w:tcPr>
            <w:tcW w:w="3005" w:type="dxa"/>
            <w:shd w:val="clear" w:color="auto" w:fill="FFFFFF" w:themeFill="background1"/>
          </w:tcPr>
          <w:p w14:paraId="43D182F7" w14:textId="3D8823E2" w:rsidR="001310A0" w:rsidRPr="00115A34" w:rsidRDefault="001310A0" w:rsidP="001310A0">
            <w:pPr>
              <w:rPr>
                <w:color w:val="000000"/>
                <w:sz w:val="19"/>
                <w:szCs w:val="19"/>
                <w:lang w:val="fr-FR"/>
              </w:rPr>
            </w:pPr>
            <w:r w:rsidRPr="00115A34">
              <w:rPr>
                <w:color w:val="000000"/>
                <w:sz w:val="19"/>
                <w:szCs w:val="19"/>
                <w:lang w:val="fr-FR"/>
              </w:rPr>
              <w:t>O</w:t>
            </w:r>
            <w:r w:rsidR="004E6B98">
              <w:rPr>
                <w:color w:val="000000"/>
                <w:sz w:val="19"/>
                <w:szCs w:val="19"/>
                <w:lang w:val="fr-FR"/>
              </w:rPr>
              <w:t>CDE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4E6B98">
              <w:rPr>
                <w:color w:val="000000"/>
                <w:sz w:val="19"/>
                <w:szCs w:val="19"/>
                <w:lang w:val="fr-FR"/>
              </w:rPr>
              <w:t>Déclaration des Ministres de l’</w:t>
            </w:r>
            <w:r w:rsidR="002D41D5">
              <w:rPr>
                <w:color w:val="000000"/>
                <w:sz w:val="19"/>
                <w:szCs w:val="19"/>
                <w:lang w:val="fr-FR"/>
              </w:rPr>
              <w:t>E</w:t>
            </w:r>
            <w:r w:rsidR="004E6B98">
              <w:rPr>
                <w:color w:val="000000"/>
                <w:sz w:val="19"/>
                <w:szCs w:val="19"/>
                <w:lang w:val="fr-FR"/>
              </w:rPr>
              <w:t>nvironnement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4E6B98">
              <w:rPr>
                <w:color w:val="000000"/>
                <w:sz w:val="19"/>
                <w:szCs w:val="19"/>
                <w:lang w:val="fr-FR"/>
              </w:rPr>
              <w:t xml:space="preserve">sur la </w:t>
            </w:r>
            <w:r w:rsidR="00AD0747">
              <w:rPr>
                <w:color w:val="000000"/>
                <w:sz w:val="19"/>
                <w:szCs w:val="19"/>
                <w:lang w:val="fr-FR"/>
              </w:rPr>
              <w:t>réduction des risques liés au plomb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(1996)</w:t>
            </w:r>
            <w:r w:rsidR="00AD0747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; </w:t>
            </w:r>
            <w:r w:rsidR="00AD0747">
              <w:rPr>
                <w:color w:val="000000"/>
                <w:sz w:val="19"/>
                <w:szCs w:val="19"/>
                <w:lang w:val="fr-FR"/>
              </w:rPr>
              <w:t>et « Monographie » sur le plomb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(1999).</w:t>
            </w:r>
          </w:p>
        </w:tc>
        <w:tc>
          <w:tcPr>
            <w:tcW w:w="3005" w:type="dxa"/>
            <w:shd w:val="clear" w:color="auto" w:fill="FFFFFF" w:themeFill="background1"/>
          </w:tcPr>
          <w:p w14:paraId="579A1C10" w14:textId="1F776545" w:rsidR="001310A0" w:rsidRPr="00115A34" w:rsidRDefault="00AD0747" w:rsidP="001310A0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Dans la Série technique de l’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AEWA </w:t>
            </w:r>
            <w:r>
              <w:rPr>
                <w:color w:val="000000"/>
                <w:sz w:val="19"/>
                <w:szCs w:val="19"/>
                <w:lang w:val="fr-FR"/>
              </w:rPr>
              <w:t>n</w:t>
            </w:r>
            <w:r w:rsidRPr="00670C34">
              <w:rPr>
                <w:color w:val="000000"/>
                <w:sz w:val="19"/>
                <w:szCs w:val="19"/>
                <w:vertAlign w:val="superscript"/>
                <w:lang w:val="fr-FR"/>
              </w:rPr>
              <w:t>o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3 (2009) </w:t>
            </w:r>
            <w:r>
              <w:rPr>
                <w:color w:val="000000"/>
                <w:sz w:val="19"/>
                <w:szCs w:val="19"/>
                <w:lang w:val="fr-FR"/>
              </w:rPr>
              <w:t>sur la grenaille non toxique : vers une utilisation durable des ressources en oiseaux d’eau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</w:tc>
        <w:tc>
          <w:tcPr>
            <w:tcW w:w="3006" w:type="dxa"/>
            <w:shd w:val="clear" w:color="auto" w:fill="FFFFFF" w:themeFill="background1"/>
          </w:tcPr>
          <w:p w14:paraId="4E3385F3" w14:textId="795C2922" w:rsidR="001310A0" w:rsidRPr="00115A34" w:rsidRDefault="00AD0747" w:rsidP="001310A0">
            <w:pPr>
              <w:pStyle w:val="ListParagraph"/>
              <w:numPr>
                <w:ilvl w:val="0"/>
                <w:numId w:val="30"/>
              </w:num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Examen de l’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impact/ </w:t>
            </w:r>
            <w:r>
              <w:rPr>
                <w:color w:val="000000"/>
                <w:sz w:val="19"/>
                <w:szCs w:val="19"/>
                <w:lang w:val="fr-FR"/>
              </w:rPr>
              <w:t>du suivi de la Déclaration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</w:tc>
      </w:tr>
      <w:tr w:rsidR="001310A0" w:rsidRPr="00115A34" w14:paraId="1D8FC509" w14:textId="77777777" w:rsidTr="00E1163B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79D28D9D" w14:textId="5A763224" w:rsidR="001310A0" w:rsidRPr="00115A34" w:rsidRDefault="001310A0" w:rsidP="001310A0">
            <w:pPr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Commission</w:t>
            </w:r>
            <w:r w:rsidR="00AD0747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européenne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</w:t>
            </w:r>
          </w:p>
        </w:tc>
      </w:tr>
      <w:tr w:rsidR="001310A0" w:rsidRPr="007D1931" w14:paraId="6A2442C5" w14:textId="77777777" w:rsidTr="00E1163B">
        <w:trPr>
          <w:jc w:val="center"/>
        </w:trPr>
        <w:tc>
          <w:tcPr>
            <w:tcW w:w="3005" w:type="dxa"/>
          </w:tcPr>
          <w:p w14:paraId="13454ADD" w14:textId="47A0DABC" w:rsidR="001310A0" w:rsidRPr="00115A34" w:rsidRDefault="00AD0747" w:rsidP="001310A0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Dans l’UE</w:t>
            </w:r>
            <w:r w:rsidR="00F10EDD">
              <w:rPr>
                <w:color w:val="000000"/>
                <w:sz w:val="19"/>
                <w:szCs w:val="19"/>
                <w:lang w:val="fr-FR"/>
              </w:rPr>
              <w:t>,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 le</w:t>
            </w:r>
            <w:r w:rsidR="00CC502C">
              <w:rPr>
                <w:color w:val="000000"/>
                <w:sz w:val="19"/>
                <w:szCs w:val="19"/>
                <w:lang w:val="fr-FR"/>
              </w:rPr>
              <w:t>s activités liées au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CC502C">
              <w:rPr>
                <w:color w:val="000000"/>
                <w:sz w:val="19"/>
                <w:szCs w:val="19"/>
                <w:lang w:val="fr-FR"/>
              </w:rPr>
              <w:t>« 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>Emergency Response Notification System</w:t>
            </w:r>
            <w:r w:rsidR="00CC502C">
              <w:rPr>
                <w:color w:val="000000"/>
                <w:sz w:val="19"/>
                <w:szCs w:val="19"/>
                <w:lang w:val="fr-FR"/>
              </w:rPr>
              <w:t> »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 (ERNS) </w:t>
            </w:r>
            <w:r w:rsidR="00CC502C">
              <w:rPr>
                <w:color w:val="000000"/>
                <w:sz w:val="19"/>
                <w:szCs w:val="19"/>
                <w:lang w:val="fr-FR"/>
              </w:rPr>
              <w:t>devraient toujours être liées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CC502C">
              <w:rPr>
                <w:color w:val="000000"/>
                <w:sz w:val="19"/>
                <w:szCs w:val="19"/>
                <w:lang w:val="fr-FR"/>
              </w:rPr>
              <w:t xml:space="preserve">au Système de signalement des accidents majeurs </w:t>
            </w:r>
            <w:r w:rsidR="002B4FE5">
              <w:rPr>
                <w:color w:val="000000"/>
                <w:sz w:val="19"/>
                <w:szCs w:val="19"/>
                <w:lang w:val="fr-FR"/>
              </w:rPr>
              <w:t xml:space="preserve">(MARS) </w:t>
            </w:r>
            <w:r w:rsidR="000B707E">
              <w:rPr>
                <w:color w:val="000000"/>
                <w:sz w:val="19"/>
                <w:szCs w:val="19"/>
                <w:lang w:val="fr-FR"/>
              </w:rPr>
              <w:t>a</w:t>
            </w:r>
            <w:r w:rsidR="00CC502C">
              <w:rPr>
                <w:color w:val="000000"/>
                <w:sz w:val="19"/>
                <w:szCs w:val="19"/>
                <w:lang w:val="fr-FR"/>
              </w:rPr>
              <w:t>u Centre commun de recherche de la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 Commission</w:t>
            </w:r>
            <w:r w:rsidR="00CC502C">
              <w:rPr>
                <w:color w:val="000000"/>
                <w:sz w:val="19"/>
                <w:szCs w:val="19"/>
                <w:lang w:val="fr-FR"/>
              </w:rPr>
              <w:t xml:space="preserve"> européenne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</w:tc>
        <w:tc>
          <w:tcPr>
            <w:tcW w:w="3005" w:type="dxa"/>
          </w:tcPr>
          <w:p w14:paraId="6455AAFE" w14:textId="55B6F317" w:rsidR="001310A0" w:rsidRPr="00115A34" w:rsidRDefault="00AD0747" w:rsidP="001310A0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Dans les Lignes directrices de c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onservation </w:t>
            </w:r>
            <w:r>
              <w:rPr>
                <w:color w:val="000000"/>
                <w:sz w:val="19"/>
                <w:szCs w:val="19"/>
                <w:lang w:val="fr-FR"/>
              </w:rPr>
              <w:t>n</w:t>
            </w:r>
            <w:r w:rsidRPr="00AD0747">
              <w:rPr>
                <w:color w:val="000000"/>
                <w:sz w:val="19"/>
                <w:szCs w:val="19"/>
                <w:vertAlign w:val="superscript"/>
                <w:lang w:val="fr-FR"/>
              </w:rPr>
              <w:t>o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 2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 de l’AEWA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 (2005) </w:t>
            </w:r>
            <w:r w:rsidRPr="00AD0747">
              <w:rPr>
                <w:sz w:val="19"/>
                <w:szCs w:val="19"/>
                <w:lang w:val="fr-FR"/>
              </w:rPr>
              <w:t>sur l’identification et la prise en main  des situations d’urgence concernant les oiseaux d’eau migrateurs</w:t>
            </w:r>
          </w:p>
        </w:tc>
        <w:tc>
          <w:tcPr>
            <w:tcW w:w="3006" w:type="dxa"/>
          </w:tcPr>
          <w:p w14:paraId="458DC0A5" w14:textId="73B5368A" w:rsidR="001310A0" w:rsidRPr="00115A34" w:rsidRDefault="00F10EDD" w:rsidP="001310A0">
            <w:pPr>
              <w:pStyle w:val="ListParagraph"/>
              <w:numPr>
                <w:ilvl w:val="0"/>
                <w:numId w:val="30"/>
              </w:num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Surveillance de l’utilisation des systèmes de signalement et de rapports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, </w:t>
            </w:r>
            <w:r>
              <w:rPr>
                <w:color w:val="000000"/>
                <w:sz w:val="19"/>
                <w:szCs w:val="19"/>
                <w:lang w:val="fr-FR"/>
              </w:rPr>
              <w:t>et explorer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avec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le Centre commun de recherche les besoins/l’étendue des améliorations</w:t>
            </w:r>
            <w:r w:rsidR="001310A0"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</w:tc>
      </w:tr>
    </w:tbl>
    <w:p w14:paraId="31E7303D" w14:textId="77777777" w:rsidR="007722E8" w:rsidRPr="00115A34" w:rsidRDefault="007722E8" w:rsidP="007722E8">
      <w:pPr>
        <w:spacing w:after="20"/>
        <w:rPr>
          <w:sz w:val="22"/>
          <w:szCs w:val="22"/>
          <w:lang w:val="fr-FR"/>
        </w:rPr>
      </w:pPr>
    </w:p>
    <w:p w14:paraId="0D3264B6" w14:textId="3527F461" w:rsidR="007722E8" w:rsidRPr="00115A34" w:rsidRDefault="00F10EDD" w:rsidP="007722E8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En outre, certains Plans d’action par espèce de l’AEWA peuvent contenir des idées pertinentes</w:t>
      </w:r>
      <w:r w:rsidR="007722E8" w:rsidRPr="00115A34">
        <w:rPr>
          <w:sz w:val="22"/>
          <w:szCs w:val="22"/>
          <w:lang w:val="fr-FR"/>
        </w:rPr>
        <w:t>.</w:t>
      </w:r>
    </w:p>
    <w:p w14:paraId="614E57B5" w14:textId="77777777" w:rsidR="007722E8" w:rsidRPr="00115A34" w:rsidRDefault="007722E8" w:rsidP="007722E8">
      <w:pPr>
        <w:spacing w:after="20"/>
        <w:rPr>
          <w:sz w:val="22"/>
          <w:szCs w:val="22"/>
          <w:lang w:val="fr-FR"/>
        </w:rPr>
      </w:pPr>
    </w:p>
    <w:p w14:paraId="1587A06F" w14:textId="1DC38E8D" w:rsidR="007722E8" w:rsidRPr="00115A34" w:rsidRDefault="007722E8" w:rsidP="007722E8">
      <w:pPr>
        <w:spacing w:after="20"/>
        <w:rPr>
          <w:b/>
          <w:i/>
          <w:color w:val="003366"/>
          <w:sz w:val="22"/>
          <w:szCs w:val="22"/>
          <w:lang w:val="fr-FR"/>
        </w:rPr>
      </w:pPr>
      <w:r w:rsidRPr="00115A34">
        <w:rPr>
          <w:b/>
          <w:i/>
          <w:color w:val="003366"/>
          <w:sz w:val="22"/>
          <w:szCs w:val="22"/>
          <w:lang w:val="fr-FR"/>
        </w:rPr>
        <w:t xml:space="preserve">  (b) </w:t>
      </w:r>
      <w:r w:rsidR="00F10EDD">
        <w:rPr>
          <w:b/>
          <w:i/>
          <w:color w:val="003366"/>
          <w:sz w:val="22"/>
          <w:szCs w:val="22"/>
          <w:lang w:val="fr-FR"/>
        </w:rPr>
        <w:t>Autres contextes pertinents</w:t>
      </w:r>
    </w:p>
    <w:p w14:paraId="326C35BF" w14:textId="77777777" w:rsidR="005B7D42" w:rsidRPr="00115A34" w:rsidRDefault="005B7D42" w:rsidP="007722E8">
      <w:pPr>
        <w:spacing w:after="20"/>
        <w:rPr>
          <w:sz w:val="22"/>
          <w:szCs w:val="22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485"/>
      </w:tblGrid>
      <w:tr w:rsidR="00AC306B" w:rsidRPr="00115A34" w14:paraId="26B8363C" w14:textId="77777777" w:rsidTr="00E1163B">
        <w:trPr>
          <w:jc w:val="center"/>
        </w:trPr>
        <w:tc>
          <w:tcPr>
            <w:tcW w:w="4531" w:type="dxa"/>
            <w:shd w:val="clear" w:color="auto" w:fill="DEEAF6" w:themeFill="accent1" w:themeFillTint="33"/>
            <w:vAlign w:val="center"/>
          </w:tcPr>
          <w:p w14:paraId="663E32C0" w14:textId="0B56CCDA" w:rsidR="00AC306B" w:rsidRPr="00115A34" w:rsidRDefault="00F10EDD" w:rsidP="002B5FE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Processus/plateforme multilatéral(e)</w:t>
            </w:r>
          </w:p>
        </w:tc>
        <w:tc>
          <w:tcPr>
            <w:tcW w:w="4485" w:type="dxa"/>
            <w:shd w:val="clear" w:color="auto" w:fill="DEEAF6" w:themeFill="accent1" w:themeFillTint="33"/>
            <w:vAlign w:val="center"/>
          </w:tcPr>
          <w:p w14:paraId="7B2DCA56" w14:textId="320C19EB" w:rsidR="00AC306B" w:rsidRPr="00115A34" w:rsidRDefault="00AC306B" w:rsidP="002B5FE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115A34">
              <w:rPr>
                <w:b/>
                <w:sz w:val="20"/>
                <w:szCs w:val="20"/>
                <w:lang w:val="fr-FR"/>
              </w:rPr>
              <w:t>Possib</w:t>
            </w:r>
            <w:r w:rsidR="00F10EDD">
              <w:rPr>
                <w:b/>
                <w:sz w:val="20"/>
                <w:szCs w:val="20"/>
                <w:lang w:val="fr-FR"/>
              </w:rPr>
              <w:t>ilité</w:t>
            </w:r>
            <w:r w:rsidR="000B707E">
              <w:rPr>
                <w:b/>
                <w:sz w:val="20"/>
                <w:szCs w:val="20"/>
                <w:lang w:val="fr-FR"/>
              </w:rPr>
              <w:t>s</w:t>
            </w:r>
            <w:r w:rsidR="00F10EDD">
              <w:rPr>
                <w:b/>
                <w:sz w:val="20"/>
                <w:szCs w:val="20"/>
                <w:lang w:val="fr-FR"/>
              </w:rPr>
              <w:t xml:space="preserve"> éventuelles d’</w:t>
            </w:r>
            <w:r w:rsidRPr="00115A34">
              <w:rPr>
                <w:b/>
                <w:sz w:val="20"/>
                <w:szCs w:val="20"/>
                <w:lang w:val="fr-FR"/>
              </w:rPr>
              <w:t>influence</w:t>
            </w:r>
          </w:p>
        </w:tc>
      </w:tr>
      <w:tr w:rsidR="00AC306B" w:rsidRPr="00326B2D" w14:paraId="60004593" w14:textId="77777777" w:rsidTr="00E1163B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04057258" w14:textId="12F2573B" w:rsidR="00AC306B" w:rsidRPr="00115A34" w:rsidRDefault="00AC306B" w:rsidP="002B5FE9">
            <w:pPr>
              <w:spacing w:before="20" w:after="20"/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Convention </w:t>
            </w:r>
            <w:r w:rsidR="00B115B5">
              <w:rPr>
                <w:b/>
                <w:i/>
                <w:color w:val="000066"/>
                <w:sz w:val="19"/>
                <w:szCs w:val="19"/>
                <w:lang w:val="fr-FR"/>
              </w:rPr>
              <w:t>sur les espèces migratrices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(CMS)</w:t>
            </w:r>
          </w:p>
        </w:tc>
      </w:tr>
      <w:tr w:rsidR="00AC306B" w:rsidRPr="00326B2D" w14:paraId="4558E989" w14:textId="77777777" w:rsidTr="00E1163B">
        <w:trPr>
          <w:jc w:val="center"/>
        </w:trPr>
        <w:tc>
          <w:tcPr>
            <w:tcW w:w="4531" w:type="dxa"/>
          </w:tcPr>
          <w:p w14:paraId="057A0DAB" w14:textId="17F02852" w:rsidR="00AC306B" w:rsidRPr="00115A34" w:rsidRDefault="00AC306B" w:rsidP="002B5FE9">
            <w:pPr>
              <w:rPr>
                <w:color w:val="000000"/>
                <w:sz w:val="19"/>
                <w:szCs w:val="19"/>
                <w:lang w:val="fr-FR"/>
              </w:rPr>
            </w:pPr>
            <w:r w:rsidRPr="00115A34">
              <w:rPr>
                <w:color w:val="000000"/>
                <w:sz w:val="19"/>
                <w:szCs w:val="19"/>
                <w:lang w:val="fr-FR"/>
              </w:rPr>
              <w:t>R</w:t>
            </w:r>
            <w:r w:rsidR="00B115B5">
              <w:rPr>
                <w:color w:val="000000"/>
                <w:sz w:val="19"/>
                <w:szCs w:val="19"/>
                <w:lang w:val="fr-FR"/>
              </w:rPr>
              <w:t>é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solution 11.15 </w:t>
            </w:r>
            <w:r w:rsidR="00B115B5">
              <w:rPr>
                <w:color w:val="000000"/>
                <w:sz w:val="19"/>
                <w:szCs w:val="19"/>
                <w:lang w:val="fr-FR"/>
              </w:rPr>
              <w:t xml:space="preserve">de la CMS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(Rev.COP13, 2020) </w:t>
            </w:r>
            <w:r w:rsidR="00B115B5">
              <w:rPr>
                <w:color w:val="000000"/>
                <w:sz w:val="19"/>
                <w:szCs w:val="19"/>
                <w:lang w:val="fr-FR"/>
              </w:rPr>
              <w:t>sur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B115B5">
              <w:rPr>
                <w:color w:val="000000"/>
                <w:sz w:val="19"/>
                <w:szCs w:val="19"/>
                <w:lang w:val="fr-FR"/>
              </w:rPr>
              <w:t>la prévention de l’empoisonnement des oiseaux migrateurs</w:t>
            </w:r>
          </w:p>
        </w:tc>
        <w:tc>
          <w:tcPr>
            <w:tcW w:w="4485" w:type="dxa"/>
          </w:tcPr>
          <w:p w14:paraId="366B16DD" w14:textId="655BD3D8" w:rsidR="00AC306B" w:rsidRPr="00115A34" w:rsidRDefault="00AC306B" w:rsidP="002B5FE9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Influence</w:t>
            </w:r>
            <w:r w:rsidR="00B115B5">
              <w:rPr>
                <w:sz w:val="19"/>
                <w:szCs w:val="19"/>
                <w:lang w:val="fr-FR"/>
              </w:rPr>
              <w:t xml:space="preserve">r la mise en œuvre par les </w:t>
            </w:r>
            <w:r w:rsidRPr="00115A34">
              <w:rPr>
                <w:sz w:val="19"/>
                <w:szCs w:val="19"/>
                <w:lang w:val="fr-FR"/>
              </w:rPr>
              <w:t xml:space="preserve">Parties </w:t>
            </w:r>
            <w:r w:rsidR="00B115B5">
              <w:rPr>
                <w:sz w:val="19"/>
                <w:szCs w:val="19"/>
                <w:lang w:val="fr-FR"/>
              </w:rPr>
              <w:t>à la CMS des dispositions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B115B5">
              <w:rPr>
                <w:sz w:val="19"/>
                <w:szCs w:val="19"/>
                <w:lang w:val="fr-FR"/>
              </w:rPr>
              <w:t>contenues dans la</w:t>
            </w:r>
            <w:r w:rsidRPr="00115A34">
              <w:rPr>
                <w:sz w:val="19"/>
                <w:szCs w:val="19"/>
                <w:lang w:val="fr-FR"/>
              </w:rPr>
              <w:t xml:space="preserve"> R</w:t>
            </w:r>
            <w:r w:rsidR="00B115B5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>solution relati</w:t>
            </w:r>
            <w:r w:rsidR="00B115B5">
              <w:rPr>
                <w:sz w:val="19"/>
                <w:szCs w:val="19"/>
                <w:lang w:val="fr-FR"/>
              </w:rPr>
              <w:t>ve, entre autres, à l’application des Lignes directrices adoptées pour éviter le risque d’empoisonnement des oiseaux migrateurs</w:t>
            </w:r>
            <w:r w:rsidRPr="00115A34">
              <w:rPr>
                <w:sz w:val="19"/>
                <w:szCs w:val="19"/>
                <w:lang w:val="fr-FR"/>
              </w:rPr>
              <w:t xml:space="preserve">, </w:t>
            </w:r>
            <w:r w:rsidR="00B115B5">
              <w:rPr>
                <w:sz w:val="19"/>
                <w:szCs w:val="19"/>
                <w:lang w:val="fr-FR"/>
              </w:rPr>
              <w:t>surveiller les</w:t>
            </w:r>
            <w:r w:rsidRPr="00115A34">
              <w:rPr>
                <w:sz w:val="19"/>
                <w:szCs w:val="19"/>
                <w:lang w:val="fr-FR"/>
              </w:rPr>
              <w:t xml:space="preserve"> impacts </w:t>
            </w:r>
            <w:r w:rsidR="00B115B5">
              <w:rPr>
                <w:sz w:val="19"/>
                <w:szCs w:val="19"/>
                <w:lang w:val="fr-FR"/>
              </w:rPr>
              <w:t>et évaluer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B115B5">
              <w:rPr>
                <w:sz w:val="19"/>
                <w:szCs w:val="19"/>
                <w:lang w:val="fr-FR"/>
              </w:rPr>
              <w:t>l’efficacité des</w:t>
            </w:r>
            <w:r w:rsidRPr="00115A34">
              <w:rPr>
                <w:sz w:val="19"/>
                <w:szCs w:val="19"/>
                <w:lang w:val="fr-FR"/>
              </w:rPr>
              <w:t xml:space="preserve"> mesures </w:t>
            </w:r>
            <w:r w:rsidR="00B115B5">
              <w:rPr>
                <w:sz w:val="19"/>
                <w:szCs w:val="19"/>
                <w:lang w:val="fr-FR"/>
              </w:rPr>
              <w:t>pour aborder le problème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AC306B" w:rsidRPr="00326B2D" w14:paraId="637E683C" w14:textId="77777777" w:rsidTr="00E1163B">
        <w:trPr>
          <w:jc w:val="center"/>
        </w:trPr>
        <w:tc>
          <w:tcPr>
            <w:tcW w:w="4531" w:type="dxa"/>
          </w:tcPr>
          <w:p w14:paraId="7F041105" w14:textId="09D1F69F" w:rsidR="00AC306B" w:rsidRPr="00115A34" w:rsidRDefault="0015760C" w:rsidP="002B5FE9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Groupe de travail sur la prévention de l’empoisonnement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 xml:space="preserve">, </w:t>
            </w:r>
            <w:r>
              <w:rPr>
                <w:color w:val="000000"/>
                <w:sz w:val="19"/>
                <w:szCs w:val="19"/>
                <w:lang w:val="fr-FR"/>
              </w:rPr>
              <w:t>établi par la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 xml:space="preserve"> R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 xml:space="preserve">solution 10.26 (2011) </w:t>
            </w:r>
            <w:r>
              <w:rPr>
                <w:color w:val="000000"/>
                <w:sz w:val="19"/>
                <w:szCs w:val="19"/>
                <w:lang w:val="fr-FR"/>
              </w:rPr>
              <w:t>et maintenu par la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 xml:space="preserve"> R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 xml:space="preserve">solution 11.15 (2011, </w:t>
            </w:r>
            <w:r>
              <w:rPr>
                <w:color w:val="000000"/>
                <w:sz w:val="19"/>
                <w:szCs w:val="19"/>
                <w:lang w:val="fr-FR"/>
              </w:rPr>
              <w:t>dernière révision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 xml:space="preserve"> Rev.COP13, 2020)</w:t>
            </w:r>
          </w:p>
        </w:tc>
        <w:tc>
          <w:tcPr>
            <w:tcW w:w="4485" w:type="dxa"/>
          </w:tcPr>
          <w:p w14:paraId="5A0DEE5E" w14:textId="11A47690" w:rsidR="00AC306B" w:rsidRPr="00115A34" w:rsidRDefault="00AC306B" w:rsidP="002B5FE9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Contribu</w:t>
            </w:r>
            <w:r w:rsidR="0015760C">
              <w:rPr>
                <w:sz w:val="19"/>
                <w:szCs w:val="19"/>
                <w:lang w:val="fr-FR"/>
              </w:rPr>
              <w:t>er à évaluer les menaces</w:t>
            </w:r>
            <w:r w:rsidRPr="00115A34">
              <w:rPr>
                <w:sz w:val="19"/>
                <w:szCs w:val="19"/>
                <w:lang w:val="fr-FR"/>
              </w:rPr>
              <w:t xml:space="preserve">, </w:t>
            </w:r>
            <w:r w:rsidR="0015760C">
              <w:rPr>
                <w:sz w:val="19"/>
                <w:szCs w:val="19"/>
                <w:lang w:val="fr-FR"/>
              </w:rPr>
              <w:t>échanger des connaissances</w:t>
            </w:r>
            <w:r w:rsidRPr="00115A34">
              <w:rPr>
                <w:sz w:val="19"/>
                <w:szCs w:val="19"/>
                <w:lang w:val="fr-FR"/>
              </w:rPr>
              <w:t xml:space="preserve">, </w:t>
            </w:r>
            <w:r w:rsidR="0015760C">
              <w:rPr>
                <w:sz w:val="19"/>
                <w:szCs w:val="19"/>
                <w:lang w:val="fr-FR"/>
              </w:rPr>
              <w:t>prendre en main les lacunes en matière de connaissances</w:t>
            </w:r>
            <w:r w:rsidRPr="00115A34">
              <w:rPr>
                <w:sz w:val="19"/>
                <w:szCs w:val="19"/>
                <w:lang w:val="fr-FR"/>
              </w:rPr>
              <w:t xml:space="preserve">, </w:t>
            </w:r>
            <w:r w:rsidR="0015760C">
              <w:rPr>
                <w:sz w:val="19"/>
                <w:szCs w:val="19"/>
                <w:lang w:val="fr-FR"/>
              </w:rPr>
              <w:t>élaborer des</w:t>
            </w:r>
            <w:r w:rsidRPr="00115A34">
              <w:rPr>
                <w:sz w:val="19"/>
                <w:szCs w:val="19"/>
                <w:lang w:val="fr-FR"/>
              </w:rPr>
              <w:t xml:space="preserve"> recomm</w:t>
            </w:r>
            <w:r w:rsidR="0015760C">
              <w:rPr>
                <w:sz w:val="19"/>
                <w:szCs w:val="19"/>
                <w:lang w:val="fr-FR"/>
              </w:rPr>
              <w:t>a</w:t>
            </w:r>
            <w:r w:rsidRPr="00115A34">
              <w:rPr>
                <w:sz w:val="19"/>
                <w:szCs w:val="19"/>
                <w:lang w:val="fr-FR"/>
              </w:rPr>
              <w:t>ndations</w:t>
            </w:r>
            <w:r w:rsidR="0015760C">
              <w:rPr>
                <w:sz w:val="19"/>
                <w:szCs w:val="19"/>
                <w:lang w:val="fr-FR"/>
              </w:rPr>
              <w:t xml:space="preserve"> d’action</w:t>
            </w:r>
            <w:r w:rsidRPr="00115A34">
              <w:rPr>
                <w:sz w:val="19"/>
                <w:szCs w:val="19"/>
                <w:lang w:val="fr-FR"/>
              </w:rPr>
              <w:t xml:space="preserve">. </w:t>
            </w:r>
            <w:r w:rsidR="0015760C">
              <w:rPr>
                <w:sz w:val="19"/>
                <w:szCs w:val="19"/>
                <w:lang w:val="fr-FR"/>
              </w:rPr>
              <w:t>Le Comité technique de l’</w:t>
            </w:r>
            <w:r w:rsidRPr="00115A34">
              <w:rPr>
                <w:sz w:val="19"/>
                <w:szCs w:val="19"/>
                <w:lang w:val="fr-FR"/>
              </w:rPr>
              <w:t xml:space="preserve">AEWA </w:t>
            </w:r>
            <w:r w:rsidR="0015760C">
              <w:rPr>
                <w:sz w:val="19"/>
                <w:szCs w:val="19"/>
                <w:lang w:val="fr-FR"/>
              </w:rPr>
              <w:t>est</w:t>
            </w:r>
            <w:r w:rsidRPr="00115A34">
              <w:rPr>
                <w:sz w:val="19"/>
                <w:szCs w:val="19"/>
                <w:lang w:val="fr-FR"/>
              </w:rPr>
              <w:t xml:space="preserve"> repr</w:t>
            </w:r>
            <w:r w:rsidR="0015760C">
              <w:rPr>
                <w:sz w:val="19"/>
                <w:szCs w:val="19"/>
                <w:lang w:val="fr-FR"/>
              </w:rPr>
              <w:t>é</w:t>
            </w:r>
            <w:r w:rsidRPr="00115A34">
              <w:rPr>
                <w:sz w:val="19"/>
                <w:szCs w:val="19"/>
                <w:lang w:val="fr-FR"/>
              </w:rPr>
              <w:t>sent</w:t>
            </w:r>
            <w:r w:rsidR="0015760C">
              <w:rPr>
                <w:sz w:val="19"/>
                <w:szCs w:val="19"/>
                <w:lang w:val="fr-FR"/>
              </w:rPr>
              <w:t>é dans le groupe de travail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AC306B" w:rsidRPr="00326B2D" w14:paraId="55CB47A0" w14:textId="77777777" w:rsidTr="00E1163B">
        <w:trPr>
          <w:jc w:val="center"/>
        </w:trPr>
        <w:tc>
          <w:tcPr>
            <w:tcW w:w="4531" w:type="dxa"/>
          </w:tcPr>
          <w:p w14:paraId="0371A8B5" w14:textId="1DDF35B5" w:rsidR="00AC306B" w:rsidRPr="00115A34" w:rsidRDefault="0015760C" w:rsidP="002B5FE9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Groupe de travail i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>ntergo</w:t>
            </w:r>
            <w:r>
              <w:rPr>
                <w:color w:val="000000"/>
                <w:sz w:val="19"/>
                <w:szCs w:val="19"/>
                <w:lang w:val="fr-FR"/>
              </w:rPr>
              <w:t>u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>vern</w:t>
            </w:r>
            <w:r>
              <w:rPr>
                <w:color w:val="000000"/>
                <w:sz w:val="19"/>
                <w:szCs w:val="19"/>
                <w:lang w:val="fr-FR"/>
              </w:rPr>
              <w:t>e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 xml:space="preserve">mental </w:t>
            </w:r>
            <w:r>
              <w:rPr>
                <w:color w:val="000000"/>
                <w:sz w:val="19"/>
                <w:szCs w:val="19"/>
                <w:lang w:val="fr-FR"/>
              </w:rPr>
              <w:t>sur la suppression progressive de l’utilisation des munitions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et poids de pêche en plomb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 xml:space="preserve"> – </w:t>
            </w:r>
            <w:r>
              <w:rPr>
                <w:color w:val="000000"/>
                <w:sz w:val="19"/>
                <w:szCs w:val="19"/>
                <w:lang w:val="fr-FR"/>
              </w:rPr>
              <w:t>établi par la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 xml:space="preserve"> R</w:t>
            </w:r>
            <w:r>
              <w:rPr>
                <w:color w:val="000000"/>
                <w:sz w:val="19"/>
                <w:szCs w:val="19"/>
                <w:lang w:val="fr-FR"/>
              </w:rPr>
              <w:t>é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>solution 11.15 (Rev.COP13, 2020)</w:t>
            </w:r>
          </w:p>
        </w:tc>
        <w:tc>
          <w:tcPr>
            <w:tcW w:w="4485" w:type="dxa"/>
          </w:tcPr>
          <w:p w14:paraId="3A61D23D" w14:textId="36FA0460" w:rsidR="00AC306B" w:rsidRPr="00115A34" w:rsidRDefault="00AC306B" w:rsidP="00DA5AF8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Particip</w:t>
            </w:r>
            <w:r w:rsidR="0015760C">
              <w:rPr>
                <w:sz w:val="19"/>
                <w:szCs w:val="19"/>
                <w:lang w:val="fr-FR"/>
              </w:rPr>
              <w:t>er au</w:t>
            </w:r>
            <w:r w:rsidR="001946CC">
              <w:rPr>
                <w:sz w:val="19"/>
                <w:szCs w:val="19"/>
                <w:lang w:val="fr-FR"/>
              </w:rPr>
              <w:t>x</w:t>
            </w:r>
            <w:r w:rsidR="0015760C">
              <w:rPr>
                <w:sz w:val="19"/>
                <w:szCs w:val="19"/>
                <w:lang w:val="fr-FR"/>
              </w:rPr>
              <w:t xml:space="preserve"> trava</w:t>
            </w:r>
            <w:r w:rsidR="001946CC">
              <w:rPr>
                <w:sz w:val="19"/>
                <w:szCs w:val="19"/>
                <w:lang w:val="fr-FR"/>
              </w:rPr>
              <w:t>ux</w:t>
            </w:r>
            <w:r w:rsidR="0015760C">
              <w:rPr>
                <w:sz w:val="19"/>
                <w:szCs w:val="19"/>
                <w:lang w:val="fr-FR"/>
              </w:rPr>
              <w:t xml:space="preserve"> du groupe de travail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15760C">
              <w:rPr>
                <w:sz w:val="19"/>
                <w:szCs w:val="19"/>
                <w:lang w:val="fr-FR"/>
              </w:rPr>
              <w:t>pour assurer la suppression progressive des munitions et poids de pêche en plomb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AC306B" w:rsidRPr="00326B2D" w14:paraId="1AE81297" w14:textId="77777777" w:rsidTr="00E1163B">
        <w:trPr>
          <w:jc w:val="center"/>
        </w:trPr>
        <w:tc>
          <w:tcPr>
            <w:tcW w:w="4531" w:type="dxa"/>
          </w:tcPr>
          <w:p w14:paraId="72879A51" w14:textId="66660CE0" w:rsidR="00AC306B" w:rsidRPr="00115A34" w:rsidRDefault="00AC306B" w:rsidP="002B5FE9">
            <w:pPr>
              <w:rPr>
                <w:color w:val="000000"/>
                <w:sz w:val="19"/>
                <w:szCs w:val="19"/>
                <w:lang w:val="fr-FR"/>
              </w:rPr>
            </w:pPr>
            <w:r w:rsidRPr="00115A34">
              <w:rPr>
                <w:color w:val="000000"/>
                <w:sz w:val="19"/>
                <w:szCs w:val="19"/>
                <w:lang w:val="fr-FR"/>
              </w:rPr>
              <w:lastRenderedPageBreak/>
              <w:t>R</w:t>
            </w:r>
            <w:r w:rsidR="0015760C">
              <w:rPr>
                <w:color w:val="000000"/>
                <w:sz w:val="19"/>
                <w:szCs w:val="19"/>
                <w:lang w:val="fr-FR"/>
              </w:rPr>
              <w:t>é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solution 13.5 </w:t>
            </w:r>
            <w:r w:rsidR="0015760C">
              <w:rPr>
                <w:color w:val="000000"/>
                <w:sz w:val="19"/>
                <w:szCs w:val="19"/>
                <w:lang w:val="fr-FR"/>
              </w:rPr>
              <w:t xml:space="preserve">de la CMS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(2020) </w:t>
            </w:r>
            <w:r w:rsidR="007C5AE4">
              <w:rPr>
                <w:color w:val="000000"/>
                <w:sz w:val="19"/>
                <w:szCs w:val="19"/>
                <w:lang w:val="fr-FR"/>
              </w:rPr>
              <w:t>sur la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pollution </w:t>
            </w:r>
            <w:r w:rsidR="007C5AE4">
              <w:rPr>
                <w:color w:val="000000"/>
                <w:sz w:val="19"/>
                <w:szCs w:val="19"/>
                <w:lang w:val="fr-FR"/>
              </w:rPr>
              <w:t>lumineuse dont est victime la faune sauvage</w:t>
            </w:r>
          </w:p>
        </w:tc>
        <w:tc>
          <w:tcPr>
            <w:tcW w:w="4485" w:type="dxa"/>
          </w:tcPr>
          <w:p w14:paraId="5738036B" w14:textId="7931A7D8" w:rsidR="00AC306B" w:rsidRPr="00115A34" w:rsidRDefault="00AC306B" w:rsidP="002B5FE9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Promo</w:t>
            </w:r>
            <w:r w:rsidR="007C5AE4">
              <w:rPr>
                <w:sz w:val="19"/>
                <w:szCs w:val="19"/>
                <w:lang w:val="fr-FR"/>
              </w:rPr>
              <w:t>uvoir et surveiller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7C5AE4">
              <w:rPr>
                <w:sz w:val="19"/>
                <w:szCs w:val="19"/>
                <w:lang w:val="fr-FR"/>
              </w:rPr>
              <w:t>la mise en œuvre des Lignes directrices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AC306B" w:rsidRPr="00326B2D" w14:paraId="2786B4CB" w14:textId="77777777" w:rsidTr="00E1163B">
        <w:trPr>
          <w:jc w:val="center"/>
        </w:trPr>
        <w:tc>
          <w:tcPr>
            <w:tcW w:w="4531" w:type="dxa"/>
          </w:tcPr>
          <w:p w14:paraId="541DE1DA" w14:textId="457AF942" w:rsidR="00AC306B" w:rsidRPr="00115A34" w:rsidRDefault="00AC306B" w:rsidP="002B5FE9">
            <w:pPr>
              <w:rPr>
                <w:color w:val="000000"/>
                <w:sz w:val="19"/>
                <w:szCs w:val="19"/>
                <w:lang w:val="fr-FR"/>
              </w:rPr>
            </w:pPr>
            <w:r w:rsidRPr="00115A34">
              <w:rPr>
                <w:color w:val="000000"/>
                <w:sz w:val="19"/>
                <w:szCs w:val="19"/>
                <w:lang w:val="fr-FR"/>
              </w:rPr>
              <w:t>R</w:t>
            </w:r>
            <w:r w:rsidR="007C5AE4">
              <w:rPr>
                <w:color w:val="000000"/>
                <w:sz w:val="19"/>
                <w:szCs w:val="19"/>
                <w:lang w:val="fr-FR"/>
              </w:rPr>
              <w:t>é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solution 12.6 </w:t>
            </w:r>
            <w:r w:rsidR="007C5AE4">
              <w:rPr>
                <w:color w:val="000000"/>
                <w:sz w:val="19"/>
                <w:szCs w:val="19"/>
                <w:lang w:val="fr-FR"/>
              </w:rPr>
              <w:t xml:space="preserve">de la CMS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(2017) </w:t>
            </w:r>
            <w:r w:rsidR="002B4FE5">
              <w:rPr>
                <w:color w:val="000000"/>
                <w:sz w:val="19"/>
                <w:szCs w:val="19"/>
                <w:lang w:val="fr-FR"/>
              </w:rPr>
              <w:t>intitulée</w:t>
            </w:r>
            <w:r w:rsidR="007C5AE4">
              <w:rPr>
                <w:color w:val="000000"/>
                <w:sz w:val="19"/>
                <w:szCs w:val="19"/>
                <w:lang w:val="fr-FR"/>
              </w:rPr>
              <w:t xml:space="preserve"> « Maladies de la faune sauvage et espèces migratrices »</w:t>
            </w:r>
          </w:p>
        </w:tc>
        <w:tc>
          <w:tcPr>
            <w:tcW w:w="4485" w:type="dxa"/>
          </w:tcPr>
          <w:p w14:paraId="3DA8E0BD" w14:textId="77777777" w:rsidR="007C5AE4" w:rsidRPr="00115A34" w:rsidRDefault="007C5AE4" w:rsidP="007C5AE4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Les</w:t>
            </w:r>
            <w:r w:rsidRPr="00115A34">
              <w:rPr>
                <w:sz w:val="19"/>
                <w:szCs w:val="19"/>
                <w:lang w:val="fr-FR"/>
              </w:rPr>
              <w:t xml:space="preserve"> Parties </w:t>
            </w:r>
            <w:r>
              <w:rPr>
                <w:sz w:val="19"/>
                <w:szCs w:val="19"/>
                <w:lang w:val="fr-FR"/>
              </w:rPr>
              <w:t>à la CMS rendent compte de leurs actions par le biais de rapports nationaux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  <w:p w14:paraId="37C54F79" w14:textId="0BAB35E7" w:rsidR="00AC306B" w:rsidRPr="00115A34" w:rsidRDefault="003B3468" w:rsidP="007C5AE4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Suivi de la prise en compte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7C5AE4">
              <w:rPr>
                <w:sz w:val="19"/>
                <w:szCs w:val="19"/>
                <w:lang w:val="fr-FR"/>
              </w:rPr>
              <w:t>lors de futures COP de la</w:t>
            </w:r>
            <w:r w:rsidR="007C5AE4" w:rsidRPr="00115A34">
              <w:rPr>
                <w:sz w:val="19"/>
                <w:szCs w:val="19"/>
                <w:lang w:val="fr-FR"/>
              </w:rPr>
              <w:t xml:space="preserve"> CMS.</w:t>
            </w:r>
          </w:p>
        </w:tc>
      </w:tr>
      <w:tr w:rsidR="00AC306B" w:rsidRPr="00326B2D" w14:paraId="7E5B15E1" w14:textId="77777777" w:rsidTr="00E1163B">
        <w:trPr>
          <w:jc w:val="center"/>
        </w:trPr>
        <w:tc>
          <w:tcPr>
            <w:tcW w:w="4531" w:type="dxa"/>
          </w:tcPr>
          <w:p w14:paraId="75D28F6F" w14:textId="0AF6A2D8" w:rsidR="00AC306B" w:rsidRPr="00115A34" w:rsidRDefault="007C5AE4" w:rsidP="002B5FE9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Groupe de travail scientifique sur la grippe aviaire et les oiseaux sauvages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 xml:space="preserve"> (co</w:t>
            </w:r>
            <w:r>
              <w:rPr>
                <w:color w:val="000000"/>
                <w:sz w:val="19"/>
                <w:szCs w:val="19"/>
                <w:lang w:val="fr-FR"/>
              </w:rPr>
              <w:t>nvoqué conjointement par la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 xml:space="preserve"> CMS </w:t>
            </w:r>
            <w:r>
              <w:rPr>
                <w:color w:val="000000"/>
                <w:sz w:val="19"/>
                <w:szCs w:val="19"/>
                <w:lang w:val="fr-FR"/>
              </w:rPr>
              <w:t>et la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 xml:space="preserve"> FAO)</w:t>
            </w:r>
          </w:p>
        </w:tc>
        <w:tc>
          <w:tcPr>
            <w:tcW w:w="4485" w:type="dxa"/>
          </w:tcPr>
          <w:p w14:paraId="29D57E4D" w14:textId="6963FA04" w:rsidR="00AC306B" w:rsidRPr="00115A34" w:rsidRDefault="00AC306B" w:rsidP="00DA5AF8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Particip</w:t>
            </w:r>
            <w:r w:rsidR="007C5AE4">
              <w:rPr>
                <w:sz w:val="19"/>
                <w:szCs w:val="19"/>
                <w:lang w:val="fr-FR"/>
              </w:rPr>
              <w:t>er au</w:t>
            </w:r>
            <w:r w:rsidR="001946CC">
              <w:rPr>
                <w:sz w:val="19"/>
                <w:szCs w:val="19"/>
                <w:lang w:val="fr-FR"/>
              </w:rPr>
              <w:t>x</w:t>
            </w:r>
            <w:r w:rsidR="007C5AE4">
              <w:rPr>
                <w:sz w:val="19"/>
                <w:szCs w:val="19"/>
                <w:lang w:val="fr-FR"/>
              </w:rPr>
              <w:t xml:space="preserve"> trava</w:t>
            </w:r>
            <w:r w:rsidR="001946CC">
              <w:rPr>
                <w:sz w:val="19"/>
                <w:szCs w:val="19"/>
                <w:lang w:val="fr-FR"/>
              </w:rPr>
              <w:t>ux</w:t>
            </w:r>
            <w:r w:rsidR="007C5AE4">
              <w:rPr>
                <w:sz w:val="19"/>
                <w:szCs w:val="19"/>
                <w:lang w:val="fr-FR"/>
              </w:rPr>
              <w:t xml:space="preserve"> du groupe de travail</w:t>
            </w:r>
            <w:r w:rsidRPr="00115A34">
              <w:rPr>
                <w:sz w:val="19"/>
                <w:szCs w:val="19"/>
                <w:lang w:val="fr-FR"/>
              </w:rPr>
              <w:t xml:space="preserve">, </w:t>
            </w:r>
            <w:r w:rsidR="001946CC">
              <w:rPr>
                <w:sz w:val="19"/>
                <w:szCs w:val="19"/>
                <w:lang w:val="fr-FR"/>
              </w:rPr>
              <w:t xml:space="preserve">afin de garantir l’efficacité des </w:t>
            </w:r>
            <w:r w:rsidR="007C5AE4">
              <w:rPr>
                <w:sz w:val="19"/>
                <w:szCs w:val="19"/>
                <w:lang w:val="fr-FR"/>
              </w:rPr>
              <w:t xml:space="preserve">évaluations scientifiques </w:t>
            </w:r>
            <w:r w:rsidR="001946CC">
              <w:rPr>
                <w:sz w:val="19"/>
                <w:szCs w:val="19"/>
                <w:lang w:val="fr-FR"/>
              </w:rPr>
              <w:t xml:space="preserve">et </w:t>
            </w:r>
            <w:r w:rsidR="002B4FE5">
              <w:rPr>
                <w:sz w:val="19"/>
                <w:szCs w:val="19"/>
                <w:lang w:val="fr-FR"/>
              </w:rPr>
              <w:t>à la</w:t>
            </w:r>
            <w:r w:rsidR="001946CC">
              <w:rPr>
                <w:sz w:val="19"/>
                <w:szCs w:val="19"/>
                <w:lang w:val="fr-FR"/>
              </w:rPr>
              <w:t xml:space="preserve"> promotion </w:t>
            </w:r>
            <w:r w:rsidR="007C5AE4">
              <w:rPr>
                <w:sz w:val="19"/>
                <w:szCs w:val="19"/>
                <w:lang w:val="fr-FR"/>
              </w:rPr>
              <w:t>d</w:t>
            </w:r>
            <w:r w:rsidR="001946CC">
              <w:rPr>
                <w:sz w:val="19"/>
                <w:szCs w:val="19"/>
                <w:lang w:val="fr-FR"/>
              </w:rPr>
              <w:t>’orientations</w:t>
            </w:r>
            <w:r w:rsidR="007C5AE4">
              <w:rPr>
                <w:sz w:val="19"/>
                <w:szCs w:val="19"/>
                <w:lang w:val="fr-FR"/>
              </w:rPr>
              <w:t xml:space="preserve"> </w:t>
            </w:r>
            <w:r w:rsidR="001946CC">
              <w:rPr>
                <w:sz w:val="19"/>
                <w:szCs w:val="19"/>
                <w:lang w:val="fr-FR"/>
              </w:rPr>
              <w:t xml:space="preserve">et de conseils politiques </w:t>
            </w:r>
            <w:r w:rsidR="007C5AE4">
              <w:rPr>
                <w:sz w:val="19"/>
                <w:szCs w:val="19"/>
                <w:lang w:val="fr-FR"/>
              </w:rPr>
              <w:t>appropriés</w:t>
            </w:r>
            <w:r w:rsidR="001946CC">
              <w:rPr>
                <w:sz w:val="19"/>
                <w:szCs w:val="19"/>
                <w:lang w:val="fr-FR"/>
              </w:rPr>
              <w:t xml:space="preserve"> et opportuns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 w:rsidR="001946CC">
              <w:rPr>
                <w:sz w:val="19"/>
                <w:szCs w:val="19"/>
                <w:lang w:val="fr-FR"/>
              </w:rPr>
              <w:t>aux gouvernements et autres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AC306B" w:rsidRPr="00326B2D" w14:paraId="064CEA46" w14:textId="77777777" w:rsidTr="00E1163B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076344A4" w14:textId="7633C1F9" w:rsidR="00AC306B" w:rsidRPr="00115A34" w:rsidRDefault="00AC306B" w:rsidP="002B5FE9">
            <w:pPr>
              <w:spacing w:before="20" w:after="20"/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Convention </w:t>
            </w:r>
            <w:r w:rsidR="001946CC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sur la </w:t>
            </w:r>
            <w:r w:rsidR="000B707E">
              <w:rPr>
                <w:b/>
                <w:i/>
                <w:color w:val="000066"/>
                <w:sz w:val="19"/>
                <w:szCs w:val="19"/>
                <w:lang w:val="fr-FR"/>
              </w:rPr>
              <w:t>d</w:t>
            </w:r>
            <w:r w:rsidR="001946CC">
              <w:rPr>
                <w:b/>
                <w:i/>
                <w:color w:val="000066"/>
                <w:sz w:val="19"/>
                <w:szCs w:val="19"/>
                <w:lang w:val="fr-FR"/>
              </w:rPr>
              <w:t>iversité biologique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(C</w:t>
            </w:r>
            <w:r w:rsidR="000B707E">
              <w:rPr>
                <w:b/>
                <w:i/>
                <w:color w:val="000066"/>
                <w:sz w:val="19"/>
                <w:szCs w:val="19"/>
                <w:lang w:val="fr-FR"/>
              </w:rPr>
              <w:t>D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>B)</w:t>
            </w:r>
          </w:p>
        </w:tc>
      </w:tr>
      <w:tr w:rsidR="00AC306B" w:rsidRPr="00326B2D" w14:paraId="2A337479" w14:textId="77777777" w:rsidTr="00E1163B">
        <w:trPr>
          <w:jc w:val="center"/>
        </w:trPr>
        <w:tc>
          <w:tcPr>
            <w:tcW w:w="4531" w:type="dxa"/>
          </w:tcPr>
          <w:p w14:paraId="4FC436BA" w14:textId="01F876C1" w:rsidR="00AC306B" w:rsidRPr="00115A34" w:rsidRDefault="00C25A9B" w:rsidP="002B5FE9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Avant-projet de Cadre mondial post-2020 pour la biodiversité,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Cible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 xml:space="preserve">7, </w:t>
            </w:r>
            <w:r>
              <w:rPr>
                <w:color w:val="000000"/>
                <w:sz w:val="19"/>
                <w:szCs w:val="19"/>
                <w:lang w:val="fr-FR"/>
              </w:rPr>
              <w:t>« Réduire la pollution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 xml:space="preserve">, </w:t>
            </w:r>
            <w:r>
              <w:rPr>
                <w:color w:val="000000"/>
                <w:sz w:val="19"/>
                <w:szCs w:val="19"/>
                <w:lang w:val="fr-FR"/>
              </w:rPr>
              <w:t>y compris les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 xml:space="preserve"> pesticides </w:t>
            </w:r>
            <w:r>
              <w:rPr>
                <w:color w:val="000000"/>
                <w:sz w:val="19"/>
                <w:szCs w:val="19"/>
                <w:lang w:val="fr-FR"/>
              </w:rPr>
              <w:t>et les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 xml:space="preserve"> plasti</w:t>
            </w:r>
            <w:r>
              <w:rPr>
                <w:color w:val="000000"/>
                <w:sz w:val="19"/>
                <w:szCs w:val="19"/>
                <w:lang w:val="fr-FR"/>
              </w:rPr>
              <w:t>ques »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>.</w:t>
            </w:r>
          </w:p>
        </w:tc>
        <w:tc>
          <w:tcPr>
            <w:tcW w:w="4485" w:type="dxa"/>
          </w:tcPr>
          <w:p w14:paraId="4B94E574" w14:textId="4D5FFFF8" w:rsidR="00AC306B" w:rsidRPr="00115A34" w:rsidRDefault="00D00907" w:rsidP="002B5FE9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Contribution à l’élaboration d’indicateurs appropriés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pour la Cible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7</w:t>
            </w:r>
            <w:r w:rsidRPr="00115A34">
              <w:rPr>
                <w:sz w:val="19"/>
                <w:szCs w:val="19"/>
                <w:lang w:val="fr-FR"/>
              </w:rPr>
              <w:t xml:space="preserve">, </w:t>
            </w:r>
            <w:r>
              <w:rPr>
                <w:sz w:val="19"/>
                <w:szCs w:val="19"/>
                <w:lang w:val="fr-FR"/>
              </w:rPr>
              <w:t>notamment par l’intermédiaire</w:t>
            </w:r>
            <w:r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du groupe d’experts techniques ad hoc sur le cadre de suivi du cadre mondial de la biodiversité, créé après la COP15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AC306B" w:rsidRPr="00326B2D" w14:paraId="3970CA04" w14:textId="77777777" w:rsidTr="00E1163B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13081DED" w14:textId="26FB209C" w:rsidR="00AC306B" w:rsidRPr="00115A34" w:rsidRDefault="00AC306B" w:rsidP="002B5FE9">
            <w:pPr>
              <w:spacing w:before="20" w:after="20"/>
              <w:rPr>
                <w:b/>
                <w:i/>
                <w:color w:val="000066"/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</w:t>
            </w:r>
            <w:r w:rsidR="00C25A9B">
              <w:rPr>
                <w:b/>
                <w:i/>
                <w:color w:val="000066"/>
                <w:sz w:val="19"/>
                <w:szCs w:val="19"/>
                <w:lang w:val="fr-FR"/>
              </w:rPr>
              <w:t>Assemblée des Nations Unies pour l’environnement</w:t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(UNEA)</w:t>
            </w:r>
          </w:p>
        </w:tc>
      </w:tr>
      <w:tr w:rsidR="00AC306B" w:rsidRPr="007D1931" w14:paraId="488C5005" w14:textId="77777777" w:rsidTr="00E1163B">
        <w:trPr>
          <w:jc w:val="center"/>
        </w:trPr>
        <w:tc>
          <w:tcPr>
            <w:tcW w:w="4531" w:type="dxa"/>
          </w:tcPr>
          <w:p w14:paraId="3702C8C8" w14:textId="303B3709" w:rsidR="00AC306B" w:rsidRPr="00115A34" w:rsidRDefault="00AC306B" w:rsidP="002B5FE9">
            <w:pPr>
              <w:rPr>
                <w:color w:val="000000"/>
                <w:sz w:val="19"/>
                <w:szCs w:val="19"/>
                <w:lang w:val="fr-FR"/>
              </w:rPr>
            </w:pPr>
            <w:r w:rsidRPr="00115A34">
              <w:rPr>
                <w:color w:val="000000"/>
                <w:sz w:val="19"/>
                <w:szCs w:val="19"/>
                <w:lang w:val="fr-FR"/>
              </w:rPr>
              <w:t>R</w:t>
            </w:r>
            <w:r w:rsidR="00C25A9B">
              <w:rPr>
                <w:color w:val="000000"/>
                <w:sz w:val="19"/>
                <w:szCs w:val="19"/>
                <w:lang w:val="fr-FR"/>
              </w:rPr>
              <w:t>é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solution 5/7 </w:t>
            </w:r>
            <w:r w:rsidR="00C25A9B">
              <w:rPr>
                <w:color w:val="000000"/>
                <w:sz w:val="19"/>
                <w:szCs w:val="19"/>
                <w:lang w:val="fr-FR"/>
              </w:rPr>
              <w:t xml:space="preserve">de l’UNEA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(2022) </w:t>
            </w:r>
            <w:r w:rsidR="008A4B6C">
              <w:rPr>
                <w:color w:val="000000"/>
                <w:sz w:val="19"/>
                <w:szCs w:val="19"/>
                <w:lang w:val="fr-FR"/>
              </w:rPr>
              <w:t xml:space="preserve">sur une gestion </w:t>
            </w:r>
            <w:r w:rsidR="00B13EA6">
              <w:rPr>
                <w:color w:val="000000"/>
                <w:sz w:val="19"/>
                <w:szCs w:val="19"/>
                <w:lang w:val="fr-FR"/>
              </w:rPr>
              <w:t>rationnelle</w:t>
            </w:r>
            <w:r w:rsidR="008A4B6C">
              <w:rPr>
                <w:color w:val="000000"/>
                <w:sz w:val="19"/>
                <w:szCs w:val="19"/>
                <w:lang w:val="fr-FR"/>
              </w:rPr>
              <w:t xml:space="preserve"> des produits chimiques et des déchets</w:t>
            </w:r>
          </w:p>
        </w:tc>
        <w:tc>
          <w:tcPr>
            <w:tcW w:w="4485" w:type="dxa"/>
          </w:tcPr>
          <w:p w14:paraId="00DD6585" w14:textId="46090602" w:rsidR="00AC306B" w:rsidRPr="00115A34" w:rsidRDefault="00B13EA6" w:rsidP="002B5FE9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Poursuivre la proposition de la</w:t>
            </w:r>
            <w:r w:rsidR="00AC306B" w:rsidRPr="00115A34">
              <w:rPr>
                <w:sz w:val="19"/>
                <w:szCs w:val="19"/>
                <w:lang w:val="fr-FR"/>
              </w:rPr>
              <w:t xml:space="preserve"> R</w:t>
            </w:r>
            <w:r>
              <w:rPr>
                <w:sz w:val="19"/>
                <w:szCs w:val="19"/>
                <w:lang w:val="fr-FR"/>
              </w:rPr>
              <w:t>é</w:t>
            </w:r>
            <w:r w:rsidR="00AC306B" w:rsidRPr="00115A34">
              <w:rPr>
                <w:sz w:val="19"/>
                <w:szCs w:val="19"/>
                <w:lang w:val="fr-FR"/>
              </w:rPr>
              <w:t xml:space="preserve">solution </w:t>
            </w:r>
            <w:r>
              <w:rPr>
                <w:sz w:val="19"/>
                <w:szCs w:val="19"/>
                <w:lang w:val="fr-FR"/>
              </w:rPr>
              <w:t>visant à ce que les</w:t>
            </w:r>
            <w:r w:rsidR="00AC306B" w:rsidRPr="00115A34">
              <w:rPr>
                <w:sz w:val="19"/>
                <w:szCs w:val="19"/>
                <w:lang w:val="fr-FR"/>
              </w:rPr>
              <w:t xml:space="preserve"> go</w:t>
            </w:r>
            <w:r>
              <w:rPr>
                <w:sz w:val="19"/>
                <w:szCs w:val="19"/>
                <w:lang w:val="fr-FR"/>
              </w:rPr>
              <w:t>u</w:t>
            </w:r>
            <w:r w:rsidR="00AC306B" w:rsidRPr="00115A34">
              <w:rPr>
                <w:sz w:val="19"/>
                <w:szCs w:val="19"/>
                <w:lang w:val="fr-FR"/>
              </w:rPr>
              <w:t>vern</w:t>
            </w:r>
            <w:r>
              <w:rPr>
                <w:sz w:val="19"/>
                <w:szCs w:val="19"/>
                <w:lang w:val="fr-FR"/>
              </w:rPr>
              <w:t>e</w:t>
            </w:r>
            <w:r w:rsidR="00AC306B" w:rsidRPr="00115A34">
              <w:rPr>
                <w:sz w:val="19"/>
                <w:szCs w:val="19"/>
                <w:lang w:val="fr-FR"/>
              </w:rPr>
              <w:t xml:space="preserve">ments </w:t>
            </w:r>
            <w:r>
              <w:rPr>
                <w:sz w:val="19"/>
                <w:szCs w:val="19"/>
                <w:lang w:val="fr-FR"/>
              </w:rPr>
              <w:t>et d’autres acteurs mettent en place un cadre plus favorable à la gestion rationnelle des</w:t>
            </w:r>
            <w:r w:rsidR="00AC306B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produits chimiques et des déchets</w:t>
            </w:r>
            <w:r w:rsidR="00AC306B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au-delà de</w:t>
            </w:r>
            <w:r w:rsidR="00AC306B" w:rsidRPr="00115A34">
              <w:rPr>
                <w:sz w:val="19"/>
                <w:szCs w:val="19"/>
                <w:lang w:val="fr-FR"/>
              </w:rPr>
              <w:t xml:space="preserve"> 2020.</w:t>
            </w:r>
          </w:p>
        </w:tc>
      </w:tr>
      <w:tr w:rsidR="00AC306B" w:rsidRPr="007D1931" w14:paraId="2A9AA647" w14:textId="77777777" w:rsidTr="00E1163B">
        <w:trPr>
          <w:jc w:val="center"/>
        </w:trPr>
        <w:tc>
          <w:tcPr>
            <w:tcW w:w="4531" w:type="dxa"/>
          </w:tcPr>
          <w:p w14:paraId="49E6AC34" w14:textId="3629438E" w:rsidR="00AC306B" w:rsidRPr="00115A34" w:rsidRDefault="00B13EA6" w:rsidP="002B5FE9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Ré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 xml:space="preserve">solution 5/8 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de l’UNEA 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 xml:space="preserve">(2022) </w:t>
            </w:r>
            <w:r>
              <w:rPr>
                <w:color w:val="000000"/>
                <w:sz w:val="19"/>
                <w:szCs w:val="19"/>
                <w:lang w:val="fr-FR"/>
              </w:rPr>
              <w:t xml:space="preserve">sur un groupe d’experts sur l’interface science-politiques pour contribuer plus avant </w:t>
            </w:r>
            <w:r w:rsidR="00111231">
              <w:rPr>
                <w:color w:val="000000"/>
                <w:sz w:val="19"/>
                <w:szCs w:val="19"/>
                <w:lang w:val="fr-FR"/>
              </w:rPr>
              <w:t>à la gestion rationnelle des produits chimiques et des déchets, et prévenir la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 xml:space="preserve"> pollution</w:t>
            </w:r>
          </w:p>
        </w:tc>
        <w:tc>
          <w:tcPr>
            <w:tcW w:w="4485" w:type="dxa"/>
          </w:tcPr>
          <w:p w14:paraId="31692AC5" w14:textId="05DC8EEA" w:rsidR="00AC306B" w:rsidRPr="00115A34" w:rsidRDefault="00111231" w:rsidP="002B5FE9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Chercher à s’engager, le cas échéant, auprès du groupe d’experts</w:t>
            </w:r>
            <w:r w:rsidR="00AC306B"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AC306B" w:rsidRPr="00326B2D" w14:paraId="3863FFD0" w14:textId="77777777" w:rsidTr="00E1163B">
        <w:trPr>
          <w:jc w:val="center"/>
        </w:trPr>
        <w:tc>
          <w:tcPr>
            <w:tcW w:w="4531" w:type="dxa"/>
          </w:tcPr>
          <w:p w14:paraId="09E9BC0D" w14:textId="76D00F72" w:rsidR="00AC306B" w:rsidRPr="00115A34" w:rsidRDefault="00AC306B" w:rsidP="002B5FE9">
            <w:pPr>
              <w:rPr>
                <w:color w:val="000000"/>
                <w:sz w:val="19"/>
                <w:szCs w:val="19"/>
                <w:lang w:val="fr-FR"/>
              </w:rPr>
            </w:pPr>
            <w:r w:rsidRPr="00115A34">
              <w:rPr>
                <w:color w:val="000000"/>
                <w:sz w:val="19"/>
                <w:szCs w:val="19"/>
                <w:lang w:val="fr-FR"/>
              </w:rPr>
              <w:t>R</w:t>
            </w:r>
            <w:r w:rsidR="00111231">
              <w:rPr>
                <w:color w:val="000000"/>
                <w:sz w:val="19"/>
                <w:szCs w:val="19"/>
                <w:lang w:val="fr-FR"/>
              </w:rPr>
              <w:t>é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solution 5/14</w:t>
            </w:r>
            <w:r w:rsidR="00111231">
              <w:rPr>
                <w:color w:val="000000"/>
                <w:sz w:val="19"/>
                <w:szCs w:val="19"/>
                <w:lang w:val="fr-FR"/>
              </w:rPr>
              <w:t xml:space="preserve"> de l’UNEA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(2022) </w:t>
            </w:r>
            <w:r w:rsidR="00111231">
              <w:rPr>
                <w:color w:val="000000"/>
                <w:sz w:val="19"/>
                <w:szCs w:val="19"/>
                <w:lang w:val="fr-FR"/>
              </w:rPr>
              <w:t xml:space="preserve">« Mettre fin à la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pollution</w:t>
            </w:r>
            <w:r w:rsidR="00111231">
              <w:rPr>
                <w:color w:val="000000"/>
                <w:sz w:val="19"/>
                <w:szCs w:val="19"/>
                <w:lang w:val="fr-FR"/>
              </w:rPr>
              <w:t xml:space="preserve"> par les plastiques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: </w:t>
            </w:r>
            <w:r w:rsidR="00111231">
              <w:rPr>
                <w:color w:val="000000"/>
                <w:sz w:val="19"/>
                <w:szCs w:val="19"/>
                <w:lang w:val="fr-FR"/>
              </w:rPr>
              <w:t xml:space="preserve">vers un instrument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international </w:t>
            </w:r>
            <w:r w:rsidR="00111231">
              <w:rPr>
                <w:color w:val="000000"/>
                <w:sz w:val="19"/>
                <w:szCs w:val="19"/>
                <w:lang w:val="fr-FR"/>
              </w:rPr>
              <w:t>juridiquement contraignant</w:t>
            </w:r>
            <w:r w:rsidR="000B707E">
              <w:rPr>
                <w:color w:val="000000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485" w:type="dxa"/>
          </w:tcPr>
          <w:p w14:paraId="66DFF26C" w14:textId="17BCB9DF" w:rsidR="00AC306B" w:rsidRPr="00115A34" w:rsidRDefault="00111231" w:rsidP="002B5FE9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S’e</w:t>
            </w:r>
            <w:r w:rsidR="00AC306B" w:rsidRPr="00115A34">
              <w:rPr>
                <w:sz w:val="19"/>
                <w:szCs w:val="19"/>
                <w:lang w:val="fr-FR"/>
              </w:rPr>
              <w:t>ngage</w:t>
            </w:r>
            <w:r>
              <w:rPr>
                <w:sz w:val="19"/>
                <w:szCs w:val="19"/>
                <w:lang w:val="fr-FR"/>
              </w:rPr>
              <w:t xml:space="preserve">r dans les travaux du comité </w:t>
            </w:r>
            <w:r w:rsidR="00AC306B" w:rsidRPr="00115A34">
              <w:rPr>
                <w:sz w:val="19"/>
                <w:szCs w:val="19"/>
                <w:lang w:val="fr-FR"/>
              </w:rPr>
              <w:t>intergo</w:t>
            </w:r>
            <w:r>
              <w:rPr>
                <w:sz w:val="19"/>
                <w:szCs w:val="19"/>
                <w:lang w:val="fr-FR"/>
              </w:rPr>
              <w:t>u</w:t>
            </w:r>
            <w:r w:rsidR="00AC306B" w:rsidRPr="00115A34">
              <w:rPr>
                <w:sz w:val="19"/>
                <w:szCs w:val="19"/>
                <w:lang w:val="fr-FR"/>
              </w:rPr>
              <w:t>vern</w:t>
            </w:r>
            <w:r>
              <w:rPr>
                <w:sz w:val="19"/>
                <w:szCs w:val="19"/>
                <w:lang w:val="fr-FR"/>
              </w:rPr>
              <w:t>e</w:t>
            </w:r>
            <w:r w:rsidR="00AC306B" w:rsidRPr="00115A34">
              <w:rPr>
                <w:sz w:val="19"/>
                <w:szCs w:val="19"/>
                <w:lang w:val="fr-FR"/>
              </w:rPr>
              <w:t xml:space="preserve">mental </w:t>
            </w:r>
            <w:r>
              <w:rPr>
                <w:sz w:val="19"/>
                <w:szCs w:val="19"/>
                <w:lang w:val="fr-FR"/>
              </w:rPr>
              <w:t>de négociation chargé d’élaborer</w:t>
            </w:r>
            <w:r w:rsidR="00AC306B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 xml:space="preserve">un instrument </w:t>
            </w:r>
            <w:r w:rsidR="00AC306B" w:rsidRPr="00115A34">
              <w:rPr>
                <w:sz w:val="19"/>
                <w:szCs w:val="19"/>
                <w:lang w:val="fr-FR"/>
              </w:rPr>
              <w:t xml:space="preserve">international </w:t>
            </w:r>
            <w:r>
              <w:rPr>
                <w:sz w:val="19"/>
                <w:szCs w:val="19"/>
                <w:lang w:val="fr-FR"/>
              </w:rPr>
              <w:t>juridiquement contraignant</w:t>
            </w:r>
            <w:r w:rsidR="00AC306B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sur la</w:t>
            </w:r>
            <w:r w:rsidR="00AC306B" w:rsidRPr="00115A34">
              <w:rPr>
                <w:sz w:val="19"/>
                <w:szCs w:val="19"/>
                <w:lang w:val="fr-FR"/>
              </w:rPr>
              <w:t xml:space="preserve"> pollution </w:t>
            </w:r>
            <w:r>
              <w:rPr>
                <w:sz w:val="19"/>
                <w:szCs w:val="19"/>
                <w:lang w:val="fr-FR"/>
              </w:rPr>
              <w:t>plastique, y compris dans l’environnement marin, et dans les décisions de l’</w:t>
            </w:r>
            <w:r w:rsidR="00AC306B" w:rsidRPr="00115A34">
              <w:rPr>
                <w:sz w:val="19"/>
                <w:szCs w:val="19"/>
                <w:lang w:val="fr-FR"/>
              </w:rPr>
              <w:t>UNEA6.</w:t>
            </w:r>
          </w:p>
        </w:tc>
      </w:tr>
      <w:tr w:rsidR="00AC306B" w:rsidRPr="00115A34" w14:paraId="5BB2BF34" w14:textId="77777777" w:rsidTr="00E1163B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6F599B96" w14:textId="2F9450A4" w:rsidR="00AC306B" w:rsidRPr="00115A34" w:rsidRDefault="00AC306B" w:rsidP="002B5FE9">
            <w:pPr>
              <w:spacing w:before="20" w:after="20"/>
              <w:rPr>
                <w:sz w:val="19"/>
                <w:szCs w:val="19"/>
                <w:lang w:val="fr-FR"/>
              </w:rPr>
            </w:pP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sym w:font="Wingdings" w:char="F0D8"/>
            </w:r>
            <w:r w:rsidRPr="00115A34">
              <w:rPr>
                <w:b/>
                <w:i/>
                <w:color w:val="000066"/>
                <w:sz w:val="19"/>
                <w:szCs w:val="19"/>
                <w:lang w:val="fr-FR"/>
              </w:rPr>
              <w:t xml:space="preserve"> </w:t>
            </w:r>
            <w:r w:rsidR="00111231">
              <w:rPr>
                <w:b/>
                <w:i/>
                <w:color w:val="000066"/>
                <w:sz w:val="19"/>
                <w:szCs w:val="19"/>
                <w:lang w:val="fr-FR"/>
              </w:rPr>
              <w:t>Union européenne</w:t>
            </w:r>
          </w:p>
        </w:tc>
      </w:tr>
      <w:tr w:rsidR="00AC306B" w:rsidRPr="007D1931" w14:paraId="0F0DDF62" w14:textId="77777777" w:rsidTr="00E1163B">
        <w:trPr>
          <w:jc w:val="center"/>
        </w:trPr>
        <w:tc>
          <w:tcPr>
            <w:tcW w:w="4531" w:type="dxa"/>
          </w:tcPr>
          <w:p w14:paraId="735E1583" w14:textId="0B93EA7D" w:rsidR="00AC306B" w:rsidRPr="00115A34" w:rsidRDefault="00AC306B" w:rsidP="002B5FE9">
            <w:pPr>
              <w:rPr>
                <w:color w:val="000000"/>
                <w:sz w:val="19"/>
                <w:szCs w:val="19"/>
                <w:lang w:val="fr-FR"/>
              </w:rPr>
            </w:pPr>
            <w:r w:rsidRPr="00115A34">
              <w:rPr>
                <w:color w:val="000000"/>
                <w:sz w:val="19"/>
                <w:szCs w:val="19"/>
                <w:lang w:val="fr-FR"/>
              </w:rPr>
              <w:t>R</w:t>
            </w:r>
            <w:r w:rsidR="00111231">
              <w:rPr>
                <w:color w:val="000000"/>
                <w:sz w:val="19"/>
                <w:szCs w:val="19"/>
                <w:lang w:val="fr-FR"/>
              </w:rPr>
              <w:t>èglement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2021/57 </w:t>
            </w:r>
            <w:r w:rsidR="00111231">
              <w:rPr>
                <w:color w:val="000000"/>
                <w:sz w:val="19"/>
                <w:szCs w:val="19"/>
                <w:lang w:val="fr-FR"/>
              </w:rPr>
              <w:t xml:space="preserve">de l’UE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(</w:t>
            </w:r>
            <w:r w:rsidR="00111231">
              <w:rPr>
                <w:color w:val="000000"/>
                <w:sz w:val="19"/>
                <w:szCs w:val="19"/>
                <w:lang w:val="fr-FR"/>
              </w:rPr>
              <w:t>janvier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2021)</w:t>
            </w:r>
            <w:r w:rsidR="00851F51">
              <w:rPr>
                <w:color w:val="000000"/>
                <w:sz w:val="19"/>
                <w:szCs w:val="19"/>
                <w:lang w:val="fr-FR"/>
              </w:rPr>
              <w:t xml:space="preserve"> concernant l’enregistrement, l’évaluation et l’a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utorisation </w:t>
            </w:r>
            <w:r w:rsidR="00851F51">
              <w:rPr>
                <w:color w:val="000000"/>
                <w:sz w:val="19"/>
                <w:szCs w:val="19"/>
                <w:lang w:val="fr-FR"/>
              </w:rPr>
              <w:t>des substances chimiques, ainsi que les r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>estriction</w:t>
            </w:r>
            <w:r w:rsidR="000B707E">
              <w:rPr>
                <w:color w:val="000000"/>
                <w:sz w:val="19"/>
                <w:szCs w:val="19"/>
                <w:lang w:val="fr-FR"/>
              </w:rPr>
              <w:t>s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 w:rsidR="00851F51">
              <w:rPr>
                <w:color w:val="000000"/>
                <w:sz w:val="19"/>
                <w:szCs w:val="19"/>
                <w:lang w:val="fr-FR"/>
              </w:rPr>
              <w:t xml:space="preserve">applicables à ces substances </w:t>
            </w:r>
            <w:r w:rsidRPr="00115A34">
              <w:rPr>
                <w:color w:val="000000"/>
                <w:sz w:val="19"/>
                <w:szCs w:val="19"/>
                <w:lang w:val="fr-FR"/>
              </w:rPr>
              <w:t xml:space="preserve">(REACH) </w:t>
            </w:r>
            <w:r w:rsidR="00851F51">
              <w:rPr>
                <w:color w:val="000000"/>
                <w:sz w:val="19"/>
                <w:szCs w:val="19"/>
                <w:lang w:val="fr-FR"/>
              </w:rPr>
              <w:t>en ce qui concerne le plomb dans la grenaille de chasse utilisée à l’intérieur et autour des zones humides</w:t>
            </w:r>
          </w:p>
        </w:tc>
        <w:tc>
          <w:tcPr>
            <w:tcW w:w="4485" w:type="dxa"/>
          </w:tcPr>
          <w:p w14:paraId="7B6C4ACE" w14:textId="4F1C390E" w:rsidR="00AC306B" w:rsidRPr="00115A34" w:rsidRDefault="00851F51" w:rsidP="002B5FE9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Examiner </w:t>
            </w:r>
            <w:r w:rsidR="003C493B">
              <w:rPr>
                <w:sz w:val="19"/>
                <w:szCs w:val="19"/>
                <w:lang w:val="fr-FR"/>
              </w:rPr>
              <w:t xml:space="preserve">de près </w:t>
            </w:r>
            <w:r>
              <w:rPr>
                <w:sz w:val="19"/>
                <w:szCs w:val="19"/>
                <w:lang w:val="fr-FR"/>
              </w:rPr>
              <w:t>la mise en œuvre</w:t>
            </w:r>
            <w:r w:rsidR="00AC306B" w:rsidRPr="00115A34">
              <w:rPr>
                <w:sz w:val="19"/>
                <w:szCs w:val="19"/>
                <w:lang w:val="fr-FR"/>
              </w:rPr>
              <w:t xml:space="preserve">, </w:t>
            </w:r>
            <w:r>
              <w:rPr>
                <w:sz w:val="19"/>
                <w:szCs w:val="19"/>
                <w:lang w:val="fr-FR"/>
              </w:rPr>
              <w:t>le suivi et l’application</w:t>
            </w:r>
            <w:r w:rsidR="00AC306B" w:rsidRPr="00115A34">
              <w:rPr>
                <w:sz w:val="19"/>
                <w:szCs w:val="19"/>
                <w:lang w:val="fr-FR"/>
              </w:rPr>
              <w:t xml:space="preserve"> (</w:t>
            </w:r>
            <w:r>
              <w:rPr>
                <w:sz w:val="19"/>
                <w:szCs w:val="19"/>
                <w:lang w:val="fr-FR"/>
              </w:rPr>
              <w:t>à partir de l’entrée en vigueur en février</w:t>
            </w:r>
            <w:r w:rsidR="00AC306B" w:rsidRPr="00115A34">
              <w:rPr>
                <w:sz w:val="19"/>
                <w:szCs w:val="19"/>
                <w:lang w:val="fr-FR"/>
              </w:rPr>
              <w:t xml:space="preserve"> 2023) </w:t>
            </w:r>
            <w:r>
              <w:rPr>
                <w:sz w:val="19"/>
                <w:szCs w:val="19"/>
                <w:lang w:val="fr-FR"/>
              </w:rPr>
              <w:t>et faire pression pour que</w:t>
            </w:r>
            <w:r w:rsidR="00AC306B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les normes les plus élevées soient appliquées</w:t>
            </w:r>
            <w:r w:rsidR="00AC306B" w:rsidRPr="00115A34">
              <w:rPr>
                <w:sz w:val="19"/>
                <w:szCs w:val="19"/>
                <w:lang w:val="fr-FR"/>
              </w:rPr>
              <w:t>.</w:t>
            </w:r>
          </w:p>
          <w:p w14:paraId="047EC9BC" w14:textId="3B7FE809" w:rsidR="00AC306B" w:rsidRPr="00115A34" w:rsidRDefault="00851F51" w:rsidP="002B5FE9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Utiliser l’exemple de l’UE</w:t>
            </w:r>
            <w:r w:rsidR="00AC306B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pour faire pression en faveur d’interdictions similaires</w:t>
            </w:r>
            <w:r w:rsidR="00AC306B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de l’utilisation de la grenaille de plomb pour la chasse à l’intérieur et autour des zones humides</w:t>
            </w:r>
            <w:r w:rsidR="00AC306B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partout dans la zone de l’Accord</w:t>
            </w:r>
            <w:r w:rsidR="00AC306B" w:rsidRPr="00115A34">
              <w:rPr>
                <w:sz w:val="19"/>
                <w:szCs w:val="19"/>
                <w:lang w:val="fr-FR"/>
              </w:rPr>
              <w:t>.</w:t>
            </w:r>
          </w:p>
        </w:tc>
      </w:tr>
      <w:tr w:rsidR="00AC306B" w:rsidRPr="00326B2D" w14:paraId="690B570B" w14:textId="77777777" w:rsidTr="00E1163B">
        <w:trPr>
          <w:jc w:val="center"/>
        </w:trPr>
        <w:tc>
          <w:tcPr>
            <w:tcW w:w="4531" w:type="dxa"/>
          </w:tcPr>
          <w:p w14:paraId="223F5AEA" w14:textId="158E33C7" w:rsidR="00AC306B" w:rsidRPr="00115A34" w:rsidRDefault="003C493B" w:rsidP="00876131">
            <w:pPr>
              <w:rPr>
                <w:color w:val="000000"/>
                <w:sz w:val="19"/>
                <w:szCs w:val="19"/>
                <w:lang w:val="fr-FR"/>
              </w:rPr>
            </w:pPr>
            <w:r>
              <w:rPr>
                <w:color w:val="000000"/>
                <w:sz w:val="19"/>
                <w:szCs w:val="19"/>
                <w:lang w:val="fr-FR"/>
              </w:rPr>
              <w:t>Proposition de l’Agence européenne des produits chimiques</w:t>
            </w:r>
            <w:r w:rsidR="00DA5AF8" w:rsidRPr="00115A34">
              <w:rPr>
                <w:color w:val="000000"/>
                <w:sz w:val="19"/>
                <w:szCs w:val="19"/>
                <w:lang w:val="fr-FR"/>
              </w:rPr>
              <w:t xml:space="preserve"> (ECHA)/REACH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pour mettre en place des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 xml:space="preserve"> restrictions </w:t>
            </w:r>
            <w:r>
              <w:rPr>
                <w:color w:val="000000"/>
                <w:sz w:val="19"/>
                <w:szCs w:val="19"/>
                <w:lang w:val="fr-FR"/>
              </w:rPr>
              <w:t>sur l’utilisation du plomb dans les activités de tir et de pêche en plein air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color w:val="000000"/>
                <w:sz w:val="19"/>
                <w:szCs w:val="19"/>
                <w:lang w:val="fr-FR"/>
              </w:rPr>
              <w:t>dans l’UE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 xml:space="preserve"> (</w:t>
            </w:r>
            <w:r>
              <w:rPr>
                <w:color w:val="000000"/>
                <w:sz w:val="19"/>
                <w:szCs w:val="19"/>
                <w:lang w:val="fr-FR"/>
              </w:rPr>
              <w:t>décision prévue pour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 xml:space="preserve"> 202</w:t>
            </w:r>
            <w:r w:rsidR="00876131" w:rsidRPr="00115A34">
              <w:rPr>
                <w:color w:val="000000"/>
                <w:sz w:val="19"/>
                <w:szCs w:val="19"/>
                <w:lang w:val="fr-FR"/>
              </w:rPr>
              <w:t>3/24</w:t>
            </w:r>
            <w:r w:rsidR="00AC306B" w:rsidRPr="00115A34">
              <w:rPr>
                <w:color w:val="000000"/>
                <w:sz w:val="19"/>
                <w:szCs w:val="19"/>
                <w:lang w:val="fr-FR"/>
              </w:rPr>
              <w:t>).</w:t>
            </w:r>
          </w:p>
        </w:tc>
        <w:tc>
          <w:tcPr>
            <w:tcW w:w="4485" w:type="dxa"/>
          </w:tcPr>
          <w:p w14:paraId="738F9234" w14:textId="15446D62" w:rsidR="00AC306B" w:rsidRPr="00115A34" w:rsidRDefault="00AC306B" w:rsidP="002B5FE9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S</w:t>
            </w:r>
            <w:r w:rsidR="003C493B">
              <w:rPr>
                <w:sz w:val="19"/>
                <w:szCs w:val="19"/>
                <w:lang w:val="fr-FR"/>
              </w:rPr>
              <w:t>outenir la proposition de l’</w:t>
            </w:r>
            <w:r w:rsidRPr="00115A34">
              <w:rPr>
                <w:sz w:val="19"/>
                <w:szCs w:val="19"/>
                <w:lang w:val="fr-FR"/>
              </w:rPr>
              <w:t xml:space="preserve">ECHA </w:t>
            </w:r>
            <w:r w:rsidR="003C493B">
              <w:rPr>
                <w:sz w:val="19"/>
                <w:szCs w:val="19"/>
                <w:lang w:val="fr-FR"/>
              </w:rPr>
              <w:t xml:space="preserve">sur la </w:t>
            </w:r>
            <w:r w:rsidRPr="00115A34">
              <w:rPr>
                <w:sz w:val="19"/>
                <w:szCs w:val="19"/>
                <w:lang w:val="fr-FR"/>
              </w:rPr>
              <w:t>restrict</w:t>
            </w:r>
            <w:r w:rsidR="00876131" w:rsidRPr="00115A34">
              <w:rPr>
                <w:sz w:val="19"/>
                <w:szCs w:val="19"/>
                <w:lang w:val="fr-FR"/>
              </w:rPr>
              <w:t>i</w:t>
            </w:r>
            <w:r w:rsidR="003C493B">
              <w:rPr>
                <w:sz w:val="19"/>
                <w:szCs w:val="19"/>
                <w:lang w:val="fr-FR"/>
              </w:rPr>
              <w:t>on de l’utilisation des munitions et des poids de pêche en plomb</w:t>
            </w:r>
            <w:r w:rsidRPr="00115A34">
              <w:rPr>
                <w:sz w:val="19"/>
                <w:szCs w:val="19"/>
                <w:lang w:val="fr-FR"/>
              </w:rPr>
              <w:t>.</w:t>
            </w:r>
          </w:p>
          <w:p w14:paraId="65E8D4DE" w14:textId="04E44B7D" w:rsidR="00AC306B" w:rsidRPr="00115A34" w:rsidRDefault="004C70BC" w:rsidP="002B5FE9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 w:rsidRPr="00115A34">
              <w:rPr>
                <w:sz w:val="19"/>
                <w:szCs w:val="19"/>
                <w:lang w:val="fr-FR"/>
              </w:rPr>
              <w:t>(</w:t>
            </w:r>
            <w:r w:rsidR="003C493B">
              <w:rPr>
                <w:sz w:val="19"/>
                <w:szCs w:val="19"/>
                <w:lang w:val="fr-FR"/>
              </w:rPr>
              <w:t>En supposant que de nouvelles restrictions soient convenues et formalisées</w:t>
            </w:r>
            <w:r w:rsidRPr="00115A34">
              <w:rPr>
                <w:sz w:val="19"/>
                <w:szCs w:val="19"/>
                <w:lang w:val="fr-FR"/>
              </w:rPr>
              <w:t>)</w:t>
            </w:r>
            <w:r w:rsidR="00AC306B" w:rsidRPr="00115A34">
              <w:rPr>
                <w:sz w:val="19"/>
                <w:szCs w:val="19"/>
                <w:lang w:val="fr-FR"/>
              </w:rPr>
              <w:t xml:space="preserve">, </w:t>
            </w:r>
            <w:r w:rsidR="003C493B">
              <w:rPr>
                <w:sz w:val="19"/>
                <w:szCs w:val="19"/>
                <w:lang w:val="fr-FR"/>
              </w:rPr>
              <w:t>examiner de pr</w:t>
            </w:r>
            <w:r w:rsidR="002B4FE5">
              <w:rPr>
                <w:sz w:val="19"/>
                <w:szCs w:val="19"/>
                <w:lang w:val="fr-FR"/>
              </w:rPr>
              <w:t>è</w:t>
            </w:r>
            <w:r w:rsidR="003C493B">
              <w:rPr>
                <w:sz w:val="19"/>
                <w:szCs w:val="19"/>
                <w:lang w:val="fr-FR"/>
              </w:rPr>
              <w:t>s</w:t>
            </w:r>
            <w:r w:rsidR="00AC306B" w:rsidRPr="00115A34">
              <w:rPr>
                <w:sz w:val="19"/>
                <w:szCs w:val="19"/>
                <w:lang w:val="fr-FR"/>
              </w:rPr>
              <w:t xml:space="preserve"> </w:t>
            </w:r>
            <w:r w:rsidR="003C493B">
              <w:rPr>
                <w:sz w:val="19"/>
                <w:szCs w:val="19"/>
                <w:lang w:val="fr-FR"/>
              </w:rPr>
              <w:t>la mise en œuvre, la surveillance et l’application</w:t>
            </w:r>
            <w:r w:rsidR="00AC306B" w:rsidRPr="00115A34">
              <w:rPr>
                <w:sz w:val="19"/>
                <w:szCs w:val="19"/>
                <w:lang w:val="fr-FR"/>
              </w:rPr>
              <w:t xml:space="preserve">, </w:t>
            </w:r>
            <w:r w:rsidR="003C493B">
              <w:rPr>
                <w:sz w:val="19"/>
                <w:szCs w:val="19"/>
                <w:lang w:val="fr-FR"/>
              </w:rPr>
              <w:t xml:space="preserve">et faire pression pour obtenir </w:t>
            </w:r>
            <w:r w:rsidR="003F6255">
              <w:rPr>
                <w:sz w:val="19"/>
                <w:szCs w:val="19"/>
                <w:lang w:val="fr-FR"/>
              </w:rPr>
              <w:t>les normes les plus élevées dans ce domaine</w:t>
            </w:r>
            <w:r w:rsidR="00AC306B" w:rsidRPr="00115A34">
              <w:rPr>
                <w:sz w:val="19"/>
                <w:szCs w:val="19"/>
                <w:lang w:val="fr-FR"/>
              </w:rPr>
              <w:t>.</w:t>
            </w:r>
          </w:p>
          <w:p w14:paraId="303B2BC8" w14:textId="76089168" w:rsidR="00AC306B" w:rsidRPr="00115A34" w:rsidRDefault="003F6255" w:rsidP="002B5FE9">
            <w:pPr>
              <w:pStyle w:val="ListParagraph"/>
              <w:numPr>
                <w:ilvl w:val="0"/>
                <w:numId w:val="30"/>
              </w:numPr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Utiliser l’exemple de l’UE</w:t>
            </w:r>
            <w:r w:rsidR="00AC306B" w:rsidRPr="00115A34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 xml:space="preserve">pour faire pression en faveur de </w:t>
            </w:r>
            <w:r w:rsidR="00AC306B" w:rsidRPr="00115A34">
              <w:rPr>
                <w:sz w:val="19"/>
                <w:szCs w:val="19"/>
                <w:lang w:val="fr-FR"/>
              </w:rPr>
              <w:t xml:space="preserve">restrictions </w:t>
            </w:r>
            <w:r>
              <w:rPr>
                <w:sz w:val="19"/>
                <w:szCs w:val="19"/>
                <w:lang w:val="fr-FR"/>
              </w:rPr>
              <w:t>similaires partout dans la zone de l’Accord</w:t>
            </w:r>
            <w:r w:rsidR="00AC306B" w:rsidRPr="00115A34">
              <w:rPr>
                <w:sz w:val="19"/>
                <w:szCs w:val="19"/>
                <w:lang w:val="fr-FR"/>
              </w:rPr>
              <w:t>.</w:t>
            </w:r>
          </w:p>
        </w:tc>
      </w:tr>
    </w:tbl>
    <w:p w14:paraId="7265593D" w14:textId="77777777" w:rsidR="00AC306B" w:rsidRPr="00115A34" w:rsidRDefault="00AC306B" w:rsidP="007722E8">
      <w:pPr>
        <w:spacing w:after="20"/>
        <w:rPr>
          <w:sz w:val="22"/>
          <w:szCs w:val="22"/>
          <w:lang w:val="fr-FR"/>
        </w:rPr>
      </w:pPr>
    </w:p>
    <w:p w14:paraId="13E86C40" w14:textId="77777777" w:rsidR="005F5B81" w:rsidRPr="00115A34" w:rsidRDefault="005F5B81" w:rsidP="008D68D5">
      <w:pPr>
        <w:spacing w:after="20"/>
        <w:rPr>
          <w:sz w:val="16"/>
          <w:szCs w:val="16"/>
          <w:lang w:val="fr-FR"/>
        </w:rPr>
      </w:pPr>
    </w:p>
    <w:p w14:paraId="568D9E07" w14:textId="068F4B66" w:rsidR="005F5B81" w:rsidRPr="00115A34" w:rsidRDefault="00E1163B" w:rsidP="00E1163B">
      <w:pPr>
        <w:pStyle w:val="Heading1"/>
        <w:keepNext/>
        <w:tabs>
          <w:tab w:val="left" w:pos="5780"/>
        </w:tabs>
        <w:spacing w:before="0" w:beforeAutospacing="0" w:after="0" w:afterAutospacing="0"/>
        <w:rPr>
          <w:bCs w:val="0"/>
          <w:color w:val="264D74"/>
          <w:sz w:val="24"/>
          <w:szCs w:val="24"/>
          <w:lang w:val="fr-FR"/>
        </w:rPr>
      </w:pPr>
      <w:bookmarkStart w:id="5" w:name="_Toc112941100"/>
      <w:r w:rsidRPr="00115A34">
        <w:rPr>
          <w:bCs w:val="0"/>
          <w:color w:val="264D74"/>
          <w:sz w:val="24"/>
          <w:szCs w:val="24"/>
          <w:lang w:val="fr-FR"/>
        </w:rPr>
        <w:t xml:space="preserve">Conclusions </w:t>
      </w:r>
      <w:r w:rsidR="007C644D">
        <w:rPr>
          <w:bCs w:val="0"/>
          <w:color w:val="264D74"/>
          <w:sz w:val="24"/>
          <w:szCs w:val="24"/>
          <w:lang w:val="fr-FR"/>
        </w:rPr>
        <w:t>et étapes futures</w:t>
      </w:r>
      <w:bookmarkEnd w:id="5"/>
    </w:p>
    <w:p w14:paraId="1A522A74" w14:textId="77777777" w:rsidR="005F5B81" w:rsidRPr="00115A34" w:rsidRDefault="005F5B81" w:rsidP="005F5B81">
      <w:pPr>
        <w:rPr>
          <w:sz w:val="22"/>
          <w:szCs w:val="22"/>
          <w:lang w:val="fr-FR"/>
        </w:rPr>
      </w:pPr>
    </w:p>
    <w:p w14:paraId="2B9ED3C1" w14:textId="26AF6807" w:rsidR="008F0B5E" w:rsidRPr="00115A34" w:rsidRDefault="00717D0C" w:rsidP="00E1163B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Les décisions prises par les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Parties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à l’AEWA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et les résultats des travaux techniques entrepris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au niveau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international </w:t>
      </w:r>
      <w:r>
        <w:rPr>
          <w:rFonts w:ascii="Times New Roman" w:hAnsi="Times New Roman" w:cs="Times New Roman"/>
          <w:sz w:val="22"/>
          <w:szCs w:val="22"/>
          <w:lang w:val="fr-FR"/>
        </w:rPr>
        <w:t>dans le cadre de l’Accord ont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collective</w:t>
      </w:r>
      <w:r>
        <w:rPr>
          <w:rFonts w:ascii="Times New Roman" w:hAnsi="Times New Roman" w:cs="Times New Roman"/>
          <w:sz w:val="22"/>
          <w:szCs w:val="22"/>
          <w:lang w:val="fr-FR"/>
        </w:rPr>
        <w:t>ment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fr-FR"/>
        </w:rPr>
        <w:t>de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diff</w:t>
      </w:r>
      <w:r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>rent</w:t>
      </w:r>
      <w:r>
        <w:rPr>
          <w:rFonts w:ascii="Times New Roman" w:hAnsi="Times New Roman" w:cs="Times New Roman"/>
          <w:sz w:val="22"/>
          <w:szCs w:val="22"/>
          <w:lang w:val="fr-FR"/>
        </w:rPr>
        <w:t>es manières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>) identifi</w:t>
      </w:r>
      <w:r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un ensemble de processus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multilat</w:t>
      </w:r>
      <w:r>
        <w:rPr>
          <w:rFonts w:ascii="Times New Roman" w:hAnsi="Times New Roman" w:cs="Times New Roman"/>
          <w:sz w:val="22"/>
          <w:szCs w:val="22"/>
          <w:lang w:val="fr-FR"/>
        </w:rPr>
        <w:t>éraux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fr-FR"/>
        </w:rPr>
        <w:t>au-delà de l’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AEWA </w:t>
      </w:r>
      <w:r>
        <w:rPr>
          <w:rFonts w:ascii="Times New Roman" w:hAnsi="Times New Roman" w:cs="Times New Roman"/>
          <w:sz w:val="22"/>
          <w:szCs w:val="22"/>
          <w:lang w:val="fr-FR"/>
        </w:rPr>
        <w:t>lui-même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qui peuvent contribuer à lutter contre les causes de </w:t>
      </w:r>
      <w:r>
        <w:rPr>
          <w:rFonts w:ascii="Times New Roman" w:hAnsi="Times New Roman" w:cs="Times New Roman"/>
          <w:sz w:val="22"/>
          <w:szCs w:val="22"/>
          <w:lang w:val="fr-FR"/>
        </w:rPr>
        <w:lastRenderedPageBreak/>
        <w:t>mortalité inutile des oiseaux d’eau dans la zone de l’Accord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>,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y compris les quatre causes prioritaires mises en évidence dans l</w:t>
      </w:r>
      <w:r w:rsidR="000B707E">
        <w:rPr>
          <w:rFonts w:ascii="Times New Roman" w:hAnsi="Times New Roman" w:cs="Times New Roman"/>
          <w:sz w:val="22"/>
          <w:szCs w:val="22"/>
          <w:lang w:val="fr-FR"/>
        </w:rPr>
        <w:t>e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Plan stratégique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072E58BA" w14:textId="77777777" w:rsidR="008F0B5E" w:rsidRPr="00115A34" w:rsidRDefault="008F0B5E" w:rsidP="00E1163B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180E813C" w14:textId="45F2F4D6" w:rsidR="008F0B5E" w:rsidRPr="00115A34" w:rsidRDefault="00717D0C" w:rsidP="00E1163B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Ce</w:t>
      </w:r>
      <w:r w:rsidR="004A73CC">
        <w:rPr>
          <w:rFonts w:ascii="Times New Roman" w:hAnsi="Times New Roman" w:cs="Times New Roman"/>
          <w:sz w:val="22"/>
          <w:szCs w:val="22"/>
          <w:lang w:val="fr-FR"/>
        </w:rPr>
        <w:t>s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liens </w:t>
      </w:r>
      <w:r w:rsidR="004A73CC">
        <w:rPr>
          <w:rFonts w:ascii="Times New Roman" w:hAnsi="Times New Roman" w:cs="Times New Roman"/>
          <w:sz w:val="22"/>
          <w:szCs w:val="22"/>
          <w:lang w:val="fr-FR"/>
        </w:rPr>
        <w:t>très divers, identifiés différemment et parfois exprimés de façon générique,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A73CC">
        <w:rPr>
          <w:rFonts w:ascii="Times New Roman" w:hAnsi="Times New Roman" w:cs="Times New Roman"/>
          <w:sz w:val="22"/>
          <w:szCs w:val="22"/>
          <w:lang w:val="fr-FR"/>
        </w:rPr>
        <w:t xml:space="preserve">ont été </w:t>
      </w:r>
      <w:r w:rsidR="00BD3835">
        <w:rPr>
          <w:rFonts w:ascii="Times New Roman" w:hAnsi="Times New Roman" w:cs="Times New Roman"/>
          <w:sz w:val="22"/>
          <w:szCs w:val="22"/>
          <w:lang w:val="fr-FR"/>
        </w:rPr>
        <w:t>dégagés</w:t>
      </w:r>
      <w:r w:rsidR="004A73CC">
        <w:rPr>
          <w:rFonts w:ascii="Times New Roman" w:hAnsi="Times New Roman" w:cs="Times New Roman"/>
          <w:sz w:val="22"/>
          <w:szCs w:val="22"/>
          <w:lang w:val="fr-FR"/>
        </w:rPr>
        <w:t xml:space="preserve"> et rassemblés pour la première fois dans ce rapport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>, sp</w:t>
      </w:r>
      <w:r w:rsidR="004A73CC">
        <w:rPr>
          <w:rFonts w:ascii="Times New Roman" w:hAnsi="Times New Roman" w:cs="Times New Roman"/>
          <w:sz w:val="22"/>
          <w:szCs w:val="22"/>
          <w:lang w:val="fr-FR"/>
        </w:rPr>
        <w:t>écifiquement dans le but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A73CC">
        <w:rPr>
          <w:rFonts w:ascii="Times New Roman" w:hAnsi="Times New Roman" w:cs="Times New Roman"/>
          <w:sz w:val="22"/>
          <w:szCs w:val="22"/>
          <w:lang w:val="fr-FR"/>
        </w:rPr>
        <w:t>de signaler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A73CC">
        <w:rPr>
          <w:rFonts w:ascii="Times New Roman" w:hAnsi="Times New Roman" w:cs="Times New Roman"/>
          <w:sz w:val="22"/>
          <w:szCs w:val="22"/>
          <w:lang w:val="fr-FR"/>
        </w:rPr>
        <w:t>les voies d’influence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potenti</w:t>
      </w:r>
      <w:r w:rsidR="004A73CC">
        <w:rPr>
          <w:rFonts w:ascii="Times New Roman" w:hAnsi="Times New Roman" w:cs="Times New Roman"/>
          <w:sz w:val="22"/>
          <w:szCs w:val="22"/>
          <w:lang w:val="fr-FR"/>
        </w:rPr>
        <w:t xml:space="preserve">elle, susceptibles de chercher à garantir des gains « à </w:t>
      </w:r>
      <w:r w:rsidR="009D3C68">
        <w:rPr>
          <w:rFonts w:ascii="Times New Roman" w:hAnsi="Times New Roman" w:cs="Times New Roman"/>
          <w:sz w:val="22"/>
          <w:szCs w:val="22"/>
          <w:lang w:val="fr-FR"/>
        </w:rPr>
        <w:t xml:space="preserve">plus </w:t>
      </w:r>
      <w:r w:rsidR="004A73CC">
        <w:rPr>
          <w:rFonts w:ascii="Times New Roman" w:hAnsi="Times New Roman" w:cs="Times New Roman"/>
          <w:sz w:val="22"/>
          <w:szCs w:val="22"/>
          <w:lang w:val="fr-FR"/>
        </w:rPr>
        <w:t>grande échelle »</w:t>
      </w:r>
      <w:r w:rsidR="009D3C68">
        <w:rPr>
          <w:rFonts w:ascii="Times New Roman" w:hAnsi="Times New Roman" w:cs="Times New Roman"/>
          <w:sz w:val="22"/>
          <w:szCs w:val="22"/>
          <w:lang w:val="fr-FR"/>
        </w:rPr>
        <w:t xml:space="preserve"> pour les objectifs de l’Accord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="009D3C68">
        <w:rPr>
          <w:rFonts w:ascii="Times New Roman" w:hAnsi="Times New Roman" w:cs="Times New Roman"/>
          <w:sz w:val="22"/>
          <w:szCs w:val="22"/>
          <w:lang w:val="fr-FR"/>
        </w:rPr>
        <w:t>La majeure partie du matériel présenté ici est donc issue des processus existants de l’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>AEWA.</w:t>
      </w:r>
    </w:p>
    <w:p w14:paraId="7F808DF8" w14:textId="77777777" w:rsidR="008F0B5E" w:rsidRPr="00115A34" w:rsidRDefault="008F0B5E" w:rsidP="00E1163B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1D3659F" w14:textId="7DE27A47" w:rsidR="008F0B5E" w:rsidRPr="00115A34" w:rsidRDefault="009D3C68" w:rsidP="00E1163B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Un deuxième composant principal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ajoute cependant quelques éléments sélectionnés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d’une pertinence potentielle équivalente, qui n’ont pas encore figuré dans les sources officielles de l’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AEWA. </w:t>
      </w:r>
      <w:r>
        <w:rPr>
          <w:rFonts w:ascii="Times New Roman" w:hAnsi="Times New Roman" w:cs="Times New Roman"/>
          <w:sz w:val="22"/>
          <w:szCs w:val="22"/>
          <w:lang w:val="fr-FR"/>
        </w:rPr>
        <w:t>Ce composant doit être considéré comme un simple échantillon initial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Une recherche complète </w:t>
      </w:r>
      <w:r w:rsidR="00E9744E">
        <w:rPr>
          <w:rFonts w:ascii="Times New Roman" w:hAnsi="Times New Roman" w:cs="Times New Roman"/>
          <w:sz w:val="22"/>
          <w:szCs w:val="22"/>
          <w:lang w:val="fr-FR"/>
        </w:rPr>
        <w:t>des possibilités éventuelles à travers tous les Accords environnementaux multilatéraux et les initiatives régionales liés à la biodiversité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E9744E">
        <w:rPr>
          <w:rFonts w:ascii="Times New Roman" w:hAnsi="Times New Roman" w:cs="Times New Roman"/>
          <w:sz w:val="22"/>
          <w:szCs w:val="22"/>
          <w:lang w:val="fr-FR"/>
        </w:rPr>
        <w:t>dépasse l</w:t>
      </w:r>
      <w:r w:rsidR="00BD3835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E9744E">
        <w:rPr>
          <w:rFonts w:ascii="Times New Roman" w:hAnsi="Times New Roman" w:cs="Times New Roman"/>
          <w:sz w:val="22"/>
          <w:szCs w:val="22"/>
          <w:lang w:val="fr-FR"/>
        </w:rPr>
        <w:t xml:space="preserve"> cadre de cet exercice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E9744E">
        <w:rPr>
          <w:rFonts w:ascii="Times New Roman" w:hAnsi="Times New Roman" w:cs="Times New Roman"/>
          <w:sz w:val="22"/>
          <w:szCs w:val="22"/>
          <w:lang w:val="fr-FR"/>
        </w:rPr>
        <w:t>mais c’est un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concept </w:t>
      </w:r>
      <w:r w:rsidR="00E9744E">
        <w:rPr>
          <w:rFonts w:ascii="Times New Roman" w:hAnsi="Times New Roman" w:cs="Times New Roman"/>
          <w:sz w:val="22"/>
          <w:szCs w:val="22"/>
          <w:lang w:val="fr-FR"/>
        </w:rPr>
        <w:t>qui pourrait faire très utilement l’objet d’un travail approfondi à l’avenir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25EE486D" w14:textId="77777777" w:rsidR="008F0B5E" w:rsidRPr="00115A34" w:rsidRDefault="008F0B5E" w:rsidP="00E1163B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415D31E6" w14:textId="75E24E91" w:rsidR="008F0B5E" w:rsidRPr="00115A34" w:rsidRDefault="009A4678" w:rsidP="00E1163B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De même, les informations données dans les colonnes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« Possibilités éventuelles d’influence »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des tableaux présentés ci-dessus ne sont que des illustrations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de la portée potentielle qui pourrait exister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fr-FR"/>
        </w:rPr>
        <w:t>L’une des utilisations importantes de ce document, en tant qu’étape suivante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fr-FR"/>
        </w:rPr>
        <w:t>sera d’élaborer des propositions plus détaillées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pour chacune de ces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suggestions, </w:t>
      </w:r>
      <w:r>
        <w:rPr>
          <w:rFonts w:ascii="Times New Roman" w:hAnsi="Times New Roman" w:cs="Times New Roman"/>
          <w:sz w:val="22"/>
          <w:szCs w:val="22"/>
          <w:lang w:val="fr-FR"/>
        </w:rPr>
        <w:t>et donc de les développer (ou une sélection d’entre elles)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en un programme d’activités concrètes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1B8DDAAD" w14:textId="77777777" w:rsidR="00050415" w:rsidRPr="00115A34" w:rsidRDefault="00050415" w:rsidP="00E1163B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C0AEB93" w14:textId="3236ADEF" w:rsidR="00050415" w:rsidRPr="00115A34" w:rsidRDefault="00D42452" w:rsidP="00E1163B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Comme indiqué précédemment, le paysage des possibilités éventuelles</w:t>
      </w:r>
      <w:r w:rsidR="00050415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continue</w:t>
      </w:r>
      <w:r>
        <w:rPr>
          <w:rFonts w:ascii="Times New Roman" w:hAnsi="Times New Roman" w:cs="Times New Roman"/>
          <w:sz w:val="22"/>
          <w:szCs w:val="22"/>
          <w:lang w:val="fr-FR"/>
        </w:rPr>
        <w:t>ra d’évoluer</w:t>
      </w:r>
      <w:r w:rsidR="00050415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fr-FR"/>
        </w:rPr>
        <w:t>au fur et à mesure que les divers processus internationaux</w:t>
      </w:r>
      <w:r w:rsidR="00050415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prendront de nouvelles décisions</w:t>
      </w:r>
      <w:r w:rsidR="00050415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o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u lanceront de nouvelles </w:t>
      </w:r>
      <w:r w:rsidR="00050415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initiatives.  </w:t>
      </w:r>
      <w:r>
        <w:rPr>
          <w:rFonts w:ascii="Times New Roman" w:hAnsi="Times New Roman" w:cs="Times New Roman"/>
          <w:sz w:val="22"/>
          <w:szCs w:val="22"/>
          <w:lang w:val="fr-FR"/>
        </w:rPr>
        <w:t>L’inventaire des possibilités commencé avec le présent rapport</w:t>
      </w:r>
      <w:r w:rsidR="00050415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devrait être mis à jour de temps en temps avec la contribution des</w:t>
      </w:r>
      <w:r w:rsidR="00050415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Parties, </w:t>
      </w:r>
      <w:r>
        <w:rPr>
          <w:rFonts w:ascii="Times New Roman" w:hAnsi="Times New Roman" w:cs="Times New Roman"/>
          <w:sz w:val="22"/>
          <w:szCs w:val="22"/>
          <w:lang w:val="fr-FR"/>
        </w:rPr>
        <w:t>du Comité permanent</w:t>
      </w:r>
      <w:r w:rsidR="00050415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fr-FR"/>
        </w:rPr>
        <w:t>du Comité technique</w:t>
      </w:r>
      <w:r w:rsidR="00050415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fr-FR"/>
        </w:rPr>
        <w:t>du</w:t>
      </w:r>
      <w:r w:rsidR="00050415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Secr</w:t>
      </w:r>
      <w:r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050415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tariat </w:t>
      </w:r>
      <w:r>
        <w:rPr>
          <w:rFonts w:ascii="Times New Roman" w:hAnsi="Times New Roman" w:cs="Times New Roman"/>
          <w:sz w:val="22"/>
          <w:szCs w:val="22"/>
          <w:lang w:val="fr-FR"/>
        </w:rPr>
        <w:t>et des</w:t>
      </w:r>
      <w:r w:rsidR="00050415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organisations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partenaires</w:t>
      </w:r>
      <w:r w:rsidR="00050415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fr-FR"/>
        </w:rPr>
        <w:t>et les</w:t>
      </w:r>
      <w:r w:rsidR="00050415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information</w:t>
      </w:r>
      <w:r w:rsidR="000B707E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050415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qui en résultent devraient être mises à la disposition de la</w:t>
      </w:r>
      <w:r w:rsidR="00050415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MOP. </w:t>
      </w:r>
      <w:r>
        <w:rPr>
          <w:rFonts w:ascii="Times New Roman" w:hAnsi="Times New Roman" w:cs="Times New Roman"/>
          <w:sz w:val="22"/>
          <w:szCs w:val="22"/>
          <w:lang w:val="fr-FR"/>
        </w:rPr>
        <w:t>La gamme d’</w:t>
      </w:r>
      <w:r w:rsidR="00050415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instruments 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et de </w:t>
      </w:r>
      <w:r w:rsidR="00050415" w:rsidRPr="00115A34">
        <w:rPr>
          <w:rFonts w:ascii="Times New Roman" w:hAnsi="Times New Roman" w:cs="Times New Roman"/>
          <w:sz w:val="22"/>
          <w:szCs w:val="22"/>
          <w:lang w:val="fr-FR"/>
        </w:rPr>
        <w:t>process</w:t>
      </w:r>
      <w:r>
        <w:rPr>
          <w:rFonts w:ascii="Times New Roman" w:hAnsi="Times New Roman" w:cs="Times New Roman"/>
          <w:sz w:val="22"/>
          <w:szCs w:val="22"/>
          <w:lang w:val="fr-FR"/>
        </w:rPr>
        <w:t>u</w:t>
      </w:r>
      <w:r w:rsidR="00050415" w:rsidRPr="00115A34">
        <w:rPr>
          <w:rFonts w:ascii="Times New Roman" w:hAnsi="Times New Roman" w:cs="Times New Roman"/>
          <w:sz w:val="22"/>
          <w:szCs w:val="22"/>
          <w:lang w:val="fr-FR"/>
        </w:rPr>
        <w:t>s consid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érés dans </w:t>
      </w:r>
      <w:r w:rsidR="002761DA">
        <w:rPr>
          <w:rFonts w:ascii="Times New Roman" w:hAnsi="Times New Roman" w:cs="Times New Roman"/>
          <w:sz w:val="22"/>
          <w:szCs w:val="22"/>
          <w:lang w:val="fr-FR"/>
        </w:rPr>
        <w:t>le présent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rapport</w:t>
      </w:r>
      <w:r w:rsidR="00050415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761DA">
        <w:rPr>
          <w:rFonts w:ascii="Times New Roman" w:hAnsi="Times New Roman" w:cs="Times New Roman"/>
          <w:sz w:val="22"/>
          <w:szCs w:val="22"/>
          <w:lang w:val="fr-FR"/>
        </w:rPr>
        <w:t>n’est qu’un point de départ</w:t>
      </w:r>
      <w:r w:rsidR="00050415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2761DA">
        <w:rPr>
          <w:rFonts w:ascii="Times New Roman" w:hAnsi="Times New Roman" w:cs="Times New Roman"/>
          <w:sz w:val="22"/>
          <w:szCs w:val="22"/>
          <w:lang w:val="fr-FR"/>
        </w:rPr>
        <w:t>et le champ d’application sera utilement élargi</w:t>
      </w:r>
      <w:r w:rsidR="00050415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761DA">
        <w:rPr>
          <w:rFonts w:ascii="Times New Roman" w:hAnsi="Times New Roman" w:cs="Times New Roman"/>
          <w:sz w:val="22"/>
          <w:szCs w:val="22"/>
          <w:lang w:val="fr-FR"/>
        </w:rPr>
        <w:t>à l’avenir pour en envisager d’autres</w:t>
      </w:r>
      <w:r w:rsidR="00050415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2761DA">
        <w:rPr>
          <w:rFonts w:ascii="Times New Roman" w:hAnsi="Times New Roman" w:cs="Times New Roman"/>
          <w:sz w:val="22"/>
          <w:szCs w:val="22"/>
          <w:lang w:val="fr-FR"/>
        </w:rPr>
        <w:t>y compris au niveau régional et dans des domaines dépassant le secteur de la biodiversité</w:t>
      </w:r>
      <w:r w:rsidR="00050415" w:rsidRPr="00115A34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2F502D28" w14:textId="77777777" w:rsidR="008F0B5E" w:rsidRPr="00115A34" w:rsidRDefault="008F0B5E" w:rsidP="00E1163B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31E120E3" w14:textId="61690579" w:rsidR="008F0B5E" w:rsidRPr="00115A34" w:rsidRDefault="002761DA" w:rsidP="00E1163B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Parmi les autres questions à examiner à l’avenir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fr-FR"/>
        </w:rPr>
        <w:t>mentionnées dans les sections précédentes du présent rapport, figurent les méthodes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permettant d’évaluer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fr-FR"/>
        </w:rPr>
        <w:t>à l’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avance) </w:t>
      </w:r>
      <w:r>
        <w:rPr>
          <w:rFonts w:ascii="Times New Roman" w:hAnsi="Times New Roman" w:cs="Times New Roman"/>
          <w:sz w:val="22"/>
          <w:szCs w:val="22"/>
          <w:lang w:val="fr-FR"/>
        </w:rPr>
        <w:t>le rapport coût-efficacité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de toute intervention particulière prévue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fr-FR"/>
        </w:rPr>
        <w:t>d’évaluer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fr-FR"/>
        </w:rPr>
        <w:t>par la suite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fr-FR"/>
        </w:rPr>
        <w:t>le degré de réussite obtenu et l’</w:t>
      </w:r>
      <w:r w:rsidR="00DA5AF8" w:rsidRPr="00115A34">
        <w:rPr>
          <w:rFonts w:ascii="Times New Roman" w:hAnsi="Times New Roman" w:cs="Times New Roman"/>
          <w:sz w:val="22"/>
          <w:szCs w:val="22"/>
          <w:lang w:val="fr-FR"/>
        </w:rPr>
        <w:t xml:space="preserve">importance </w:t>
      </w:r>
      <w:r>
        <w:rPr>
          <w:rFonts w:ascii="Times New Roman" w:hAnsi="Times New Roman" w:cs="Times New Roman"/>
          <w:sz w:val="22"/>
          <w:szCs w:val="22"/>
          <w:lang w:val="fr-FR"/>
        </w:rPr>
        <w:t>cruciale de publier ces évaluations afin de tirer des</w:t>
      </w:r>
      <w:r w:rsidR="000656FD">
        <w:rPr>
          <w:rFonts w:ascii="Times New Roman" w:hAnsi="Times New Roman" w:cs="Times New Roman"/>
          <w:sz w:val="22"/>
          <w:szCs w:val="22"/>
          <w:lang w:val="fr-FR"/>
        </w:rPr>
        <w:t xml:space="preserve"> enseignements de l’expérience acquise</w:t>
      </w:r>
      <w:r w:rsidR="008F0B5E" w:rsidRPr="00115A34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24B777A3" w14:textId="77777777" w:rsidR="008F0B5E" w:rsidRPr="00115A34" w:rsidRDefault="008F0B5E" w:rsidP="00E1163B">
      <w:pPr>
        <w:jc w:val="both"/>
        <w:rPr>
          <w:sz w:val="22"/>
          <w:szCs w:val="22"/>
          <w:lang w:val="fr-FR"/>
        </w:rPr>
      </w:pPr>
    </w:p>
    <w:p w14:paraId="5BB7C98F" w14:textId="1033997D" w:rsidR="00DA5AF8" w:rsidRPr="00115A34" w:rsidRDefault="000656FD" w:rsidP="00E1163B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La Cible</w:t>
      </w:r>
      <w:r w:rsidR="008F0B5E" w:rsidRPr="00115A34">
        <w:rPr>
          <w:sz w:val="22"/>
          <w:szCs w:val="22"/>
          <w:lang w:val="fr-FR"/>
        </w:rPr>
        <w:t xml:space="preserve"> 1.6 </w:t>
      </w:r>
      <w:r>
        <w:rPr>
          <w:sz w:val="22"/>
          <w:szCs w:val="22"/>
          <w:lang w:val="fr-FR"/>
        </w:rPr>
        <w:t>du Plan stratégique de l’</w:t>
      </w:r>
      <w:r w:rsidR="008F0B5E" w:rsidRPr="00115A34">
        <w:rPr>
          <w:sz w:val="22"/>
          <w:szCs w:val="22"/>
          <w:lang w:val="fr-FR"/>
        </w:rPr>
        <w:t>AEWA aspire</w:t>
      </w:r>
      <w:r>
        <w:rPr>
          <w:sz w:val="22"/>
          <w:szCs w:val="22"/>
          <w:lang w:val="fr-FR"/>
        </w:rPr>
        <w:t xml:space="preserve"> à ce que les priorités de l’</w:t>
      </w:r>
      <w:r w:rsidR="008F0B5E" w:rsidRPr="00115A34">
        <w:rPr>
          <w:sz w:val="22"/>
          <w:szCs w:val="22"/>
          <w:lang w:val="fr-FR"/>
        </w:rPr>
        <w:t>AEWA</w:t>
      </w:r>
      <w:r>
        <w:rPr>
          <w:sz w:val="22"/>
          <w:szCs w:val="22"/>
          <w:lang w:val="fr-FR"/>
        </w:rPr>
        <w:t xml:space="preserve"> relatives aux quatre causes de mortalité inutile des oiseaux d’eau</w:t>
      </w:r>
      <w:r w:rsidR="008F0B5E" w:rsidRPr="00115A34">
        <w:rPr>
          <w:sz w:val="22"/>
          <w:szCs w:val="22"/>
          <w:lang w:val="fr-FR"/>
        </w:rPr>
        <w:t xml:space="preserve"> (</w:t>
      </w:r>
      <w:r>
        <w:rPr>
          <w:sz w:val="22"/>
          <w:szCs w:val="22"/>
          <w:lang w:val="fr-FR"/>
        </w:rPr>
        <w:t>et autres menaces majeures</w:t>
      </w:r>
      <w:r w:rsidR="008F0B5E" w:rsidRPr="00115A34">
        <w:rPr>
          <w:sz w:val="22"/>
          <w:szCs w:val="22"/>
          <w:lang w:val="fr-FR"/>
        </w:rPr>
        <w:t xml:space="preserve">) </w:t>
      </w:r>
      <w:r>
        <w:rPr>
          <w:sz w:val="22"/>
          <w:szCs w:val="22"/>
          <w:lang w:val="fr-FR"/>
        </w:rPr>
        <w:t>soient « intégrées » dans les principaux processus multilatéraux</w:t>
      </w:r>
      <w:r w:rsidR="008F0B5E" w:rsidRPr="00115A34">
        <w:rPr>
          <w:sz w:val="22"/>
          <w:szCs w:val="22"/>
          <w:lang w:val="fr-FR"/>
        </w:rPr>
        <w:t xml:space="preserve">. </w:t>
      </w:r>
      <w:r>
        <w:rPr>
          <w:sz w:val="22"/>
          <w:szCs w:val="22"/>
          <w:lang w:val="fr-FR"/>
        </w:rPr>
        <w:t>Les</w:t>
      </w:r>
      <w:r w:rsidR="008F0B5E" w:rsidRPr="00115A34">
        <w:rPr>
          <w:sz w:val="22"/>
          <w:szCs w:val="22"/>
          <w:lang w:val="fr-FR"/>
        </w:rPr>
        <w:t xml:space="preserve"> suggestions </w:t>
      </w:r>
      <w:r>
        <w:rPr>
          <w:sz w:val="22"/>
          <w:szCs w:val="22"/>
          <w:lang w:val="fr-FR"/>
        </w:rPr>
        <w:t>rassemblées dans le présent</w:t>
      </w:r>
      <w:r w:rsidR="008F0B5E" w:rsidRPr="00115A34">
        <w:rPr>
          <w:sz w:val="22"/>
          <w:szCs w:val="22"/>
          <w:lang w:val="fr-FR"/>
        </w:rPr>
        <w:t xml:space="preserve"> document </w:t>
      </w:r>
      <w:r>
        <w:rPr>
          <w:sz w:val="22"/>
          <w:szCs w:val="22"/>
          <w:lang w:val="fr-FR"/>
        </w:rPr>
        <w:t>fournissent une première feuille de route à l’échelle de l’Accord pour atteindre cet objectif</w:t>
      </w:r>
      <w:r w:rsidR="008F0B5E" w:rsidRPr="00115A34">
        <w:rPr>
          <w:sz w:val="22"/>
          <w:szCs w:val="22"/>
          <w:lang w:val="fr-FR"/>
        </w:rPr>
        <w:t xml:space="preserve">. </w:t>
      </w:r>
      <w:r>
        <w:rPr>
          <w:sz w:val="22"/>
          <w:szCs w:val="22"/>
          <w:lang w:val="fr-FR"/>
        </w:rPr>
        <w:t>Le véritable résultat en jeu</w:t>
      </w:r>
      <w:r w:rsidR="008F0B5E" w:rsidRPr="00115A3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devrait toutefois être considéré comme allant au-delà de la notion « d’intégration », </w:t>
      </w:r>
      <w:r w:rsidR="00EE4BE6">
        <w:rPr>
          <w:sz w:val="22"/>
          <w:szCs w:val="22"/>
          <w:lang w:val="fr-FR"/>
        </w:rPr>
        <w:t>pour générer un</w:t>
      </w:r>
      <w:r w:rsidR="008F0B5E" w:rsidRPr="00115A34">
        <w:rPr>
          <w:sz w:val="22"/>
          <w:szCs w:val="22"/>
          <w:lang w:val="fr-FR"/>
        </w:rPr>
        <w:t xml:space="preserve"> </w:t>
      </w:r>
      <w:r w:rsidR="00EE4BE6">
        <w:rPr>
          <w:sz w:val="22"/>
          <w:szCs w:val="22"/>
          <w:lang w:val="fr-FR"/>
        </w:rPr>
        <w:t xml:space="preserve">impact </w:t>
      </w:r>
      <w:r w:rsidR="008F0B5E" w:rsidRPr="00115A34">
        <w:rPr>
          <w:sz w:val="22"/>
          <w:szCs w:val="22"/>
          <w:lang w:val="fr-FR"/>
        </w:rPr>
        <w:t>(</w:t>
      </w:r>
      <w:r w:rsidR="00EE4BE6">
        <w:rPr>
          <w:sz w:val="22"/>
          <w:szCs w:val="22"/>
          <w:lang w:val="fr-FR"/>
        </w:rPr>
        <w:t>plus important</w:t>
      </w:r>
      <w:r w:rsidR="008F0B5E" w:rsidRPr="00115A34">
        <w:rPr>
          <w:sz w:val="22"/>
          <w:szCs w:val="22"/>
          <w:lang w:val="fr-FR"/>
        </w:rPr>
        <w:t xml:space="preserve">) </w:t>
      </w:r>
      <w:r w:rsidR="00EE4BE6">
        <w:rPr>
          <w:sz w:val="22"/>
          <w:szCs w:val="22"/>
          <w:lang w:val="fr-FR"/>
        </w:rPr>
        <w:t>grâce aux possibilités d’influence identifiées</w:t>
      </w:r>
      <w:r w:rsidR="008F0B5E" w:rsidRPr="00115A34">
        <w:rPr>
          <w:sz w:val="22"/>
          <w:szCs w:val="22"/>
          <w:lang w:val="fr-FR"/>
        </w:rPr>
        <w:t xml:space="preserve">. </w:t>
      </w:r>
      <w:r w:rsidR="00EE4BE6">
        <w:rPr>
          <w:sz w:val="22"/>
          <w:szCs w:val="22"/>
          <w:lang w:val="fr-FR"/>
        </w:rPr>
        <w:t>Toutes les p</w:t>
      </w:r>
      <w:r w:rsidR="00BD3835">
        <w:rPr>
          <w:sz w:val="22"/>
          <w:szCs w:val="22"/>
          <w:lang w:val="fr-FR"/>
        </w:rPr>
        <w:t>arties prenantes</w:t>
      </w:r>
      <w:r w:rsidR="00EE4BE6">
        <w:rPr>
          <w:sz w:val="22"/>
          <w:szCs w:val="22"/>
          <w:lang w:val="fr-FR"/>
        </w:rPr>
        <w:t xml:space="preserve"> concernées sont invitées à réfléchir à la façon dont elles pourraient utiliser les informations contenues dans le présent rapport pour contribuer à cet objectif</w:t>
      </w:r>
      <w:r w:rsidR="008F0B5E" w:rsidRPr="00115A34">
        <w:rPr>
          <w:sz w:val="22"/>
          <w:szCs w:val="22"/>
          <w:lang w:val="fr-FR"/>
        </w:rPr>
        <w:t>.</w:t>
      </w:r>
    </w:p>
    <w:sectPr w:rsidR="00DA5AF8" w:rsidRPr="00115A34" w:rsidSect="00943D46">
      <w:headerReference w:type="default" r:id="rId23"/>
      <w:footerReference w:type="default" r:id="rId24"/>
      <w:headerReference w:type="first" r:id="rId25"/>
      <w:pgSz w:w="11906" w:h="16838"/>
      <w:pgMar w:top="1138" w:right="1138" w:bottom="1138" w:left="1138" w:header="432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1F18" w14:textId="77777777" w:rsidR="00401456" w:rsidRDefault="00401456" w:rsidP="00DF126C">
      <w:r>
        <w:separator/>
      </w:r>
    </w:p>
  </w:endnote>
  <w:endnote w:type="continuationSeparator" w:id="0">
    <w:p w14:paraId="38FB1BB6" w14:textId="77777777" w:rsidR="00401456" w:rsidRDefault="00401456" w:rsidP="00DF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371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C420DBE" w14:textId="7EDDB997" w:rsidR="00506507" w:rsidRPr="00506507" w:rsidRDefault="00506507" w:rsidP="0050650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650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650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0650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0650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0650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6585" w14:textId="77777777" w:rsidR="00401456" w:rsidRDefault="00401456" w:rsidP="00DF126C">
      <w:r>
        <w:separator/>
      </w:r>
    </w:p>
  </w:footnote>
  <w:footnote w:type="continuationSeparator" w:id="0">
    <w:p w14:paraId="61B46D26" w14:textId="77777777" w:rsidR="00401456" w:rsidRDefault="00401456" w:rsidP="00DF126C">
      <w:r>
        <w:continuationSeparator/>
      </w:r>
    </w:p>
  </w:footnote>
  <w:footnote w:id="1">
    <w:p w14:paraId="6C96FFB9" w14:textId="7A78FB78" w:rsidR="00DA5AF8" w:rsidRPr="00326B2D" w:rsidRDefault="00DA5AF8" w:rsidP="00E1163B">
      <w:pPr>
        <w:pStyle w:val="FootnoteText"/>
        <w:ind w:left="170" w:hanging="170"/>
        <w:jc w:val="both"/>
        <w:rPr>
          <w:sz w:val="18"/>
          <w:szCs w:val="18"/>
          <w:lang w:val="fr-FR"/>
        </w:rPr>
      </w:pPr>
      <w:r w:rsidRPr="00506507">
        <w:rPr>
          <w:rStyle w:val="FootnoteReference"/>
          <w:sz w:val="18"/>
          <w:szCs w:val="18"/>
        </w:rPr>
        <w:footnoteRef/>
      </w:r>
      <w:r w:rsidRPr="00326B2D">
        <w:rPr>
          <w:sz w:val="18"/>
          <w:szCs w:val="18"/>
          <w:lang w:val="fr-FR"/>
        </w:rPr>
        <w:t xml:space="preserve">  </w:t>
      </w:r>
      <w:r w:rsidRPr="006D433C">
        <w:rPr>
          <w:sz w:val="18"/>
          <w:szCs w:val="18"/>
          <w:lang w:val="fr-FR"/>
        </w:rPr>
        <w:t>(</w:t>
      </w:r>
      <w:r w:rsidR="006D433C" w:rsidRPr="006D433C">
        <w:rPr>
          <w:sz w:val="18"/>
          <w:szCs w:val="18"/>
          <w:lang w:val="fr-FR"/>
        </w:rPr>
        <w:t>Les</w:t>
      </w:r>
      <w:r w:rsidRPr="006D433C">
        <w:rPr>
          <w:sz w:val="18"/>
          <w:szCs w:val="18"/>
          <w:lang w:val="fr-FR"/>
        </w:rPr>
        <w:t xml:space="preserve"> R</w:t>
      </w:r>
      <w:r w:rsidR="006D433C" w:rsidRPr="006D433C">
        <w:rPr>
          <w:sz w:val="18"/>
          <w:szCs w:val="18"/>
          <w:lang w:val="fr-FR"/>
        </w:rPr>
        <w:t>é</w:t>
      </w:r>
      <w:r w:rsidRPr="006D433C">
        <w:rPr>
          <w:sz w:val="18"/>
          <w:szCs w:val="18"/>
          <w:lang w:val="fr-FR"/>
        </w:rPr>
        <w:t xml:space="preserve">solutions </w:t>
      </w:r>
      <w:r w:rsidR="006D433C" w:rsidRPr="006D433C">
        <w:rPr>
          <w:sz w:val="18"/>
          <w:szCs w:val="18"/>
          <w:lang w:val="fr-FR"/>
        </w:rPr>
        <w:t>de l’AEWA s</w:t>
      </w:r>
      <w:r w:rsidR="006D433C">
        <w:rPr>
          <w:sz w:val="18"/>
          <w:szCs w:val="18"/>
          <w:lang w:val="fr-FR"/>
        </w:rPr>
        <w:t>’y</w:t>
      </w:r>
      <w:r w:rsidR="006D433C" w:rsidRPr="006D433C">
        <w:rPr>
          <w:sz w:val="18"/>
          <w:szCs w:val="18"/>
          <w:lang w:val="fr-FR"/>
        </w:rPr>
        <w:t xml:space="preserve"> r</w:t>
      </w:r>
      <w:r w:rsidR="006D433C">
        <w:rPr>
          <w:sz w:val="18"/>
          <w:szCs w:val="18"/>
          <w:lang w:val="fr-FR"/>
        </w:rPr>
        <w:t>é</w:t>
      </w:r>
      <w:r w:rsidR="006D433C" w:rsidRPr="006D433C">
        <w:rPr>
          <w:sz w:val="18"/>
          <w:szCs w:val="18"/>
          <w:lang w:val="fr-FR"/>
        </w:rPr>
        <w:t>f</w:t>
      </w:r>
      <w:r w:rsidR="006D433C">
        <w:rPr>
          <w:sz w:val="18"/>
          <w:szCs w:val="18"/>
          <w:lang w:val="fr-FR"/>
        </w:rPr>
        <w:t>è</w:t>
      </w:r>
      <w:r w:rsidR="006D433C" w:rsidRPr="006D433C">
        <w:rPr>
          <w:sz w:val="18"/>
          <w:szCs w:val="18"/>
          <w:lang w:val="fr-FR"/>
        </w:rPr>
        <w:t xml:space="preserve">rent toutes deux </w:t>
      </w:r>
      <w:r w:rsidR="0094410C">
        <w:rPr>
          <w:sz w:val="18"/>
          <w:szCs w:val="18"/>
          <w:lang w:val="fr-FR"/>
        </w:rPr>
        <w:t>en tant que</w:t>
      </w:r>
      <w:r w:rsidRPr="006D433C">
        <w:rPr>
          <w:sz w:val="18"/>
          <w:szCs w:val="18"/>
          <w:lang w:val="fr-FR"/>
        </w:rPr>
        <w:t xml:space="preserve"> R</w:t>
      </w:r>
      <w:r w:rsidR="0094410C">
        <w:rPr>
          <w:sz w:val="18"/>
          <w:szCs w:val="18"/>
          <w:lang w:val="fr-FR"/>
        </w:rPr>
        <w:t>é</w:t>
      </w:r>
      <w:r w:rsidRPr="006D433C">
        <w:rPr>
          <w:sz w:val="18"/>
          <w:szCs w:val="18"/>
          <w:lang w:val="fr-FR"/>
        </w:rPr>
        <w:t>solution 10.9</w:t>
      </w:r>
      <w:r w:rsidR="0094410C">
        <w:rPr>
          <w:sz w:val="18"/>
          <w:szCs w:val="18"/>
          <w:lang w:val="fr-FR"/>
        </w:rPr>
        <w:t xml:space="preserve"> de la CMS</w:t>
      </w:r>
      <w:r w:rsidRPr="006D433C">
        <w:rPr>
          <w:sz w:val="18"/>
          <w:szCs w:val="18"/>
          <w:lang w:val="fr-FR"/>
        </w:rPr>
        <w:t xml:space="preserve">, </w:t>
      </w:r>
      <w:r w:rsidR="0094410C">
        <w:rPr>
          <w:sz w:val="18"/>
          <w:szCs w:val="18"/>
          <w:lang w:val="fr-FR"/>
        </w:rPr>
        <w:t>mais le numéro correct est</w:t>
      </w:r>
      <w:r w:rsidRPr="006D433C">
        <w:rPr>
          <w:sz w:val="18"/>
          <w:szCs w:val="18"/>
          <w:lang w:val="fr-FR"/>
        </w:rPr>
        <w:t xml:space="preserve"> 10.11.  </w:t>
      </w:r>
      <w:r w:rsidR="0094410C">
        <w:rPr>
          <w:sz w:val="18"/>
          <w:szCs w:val="18"/>
          <w:lang w:val="fr-FR"/>
        </w:rPr>
        <w:t xml:space="preserve">La </w:t>
      </w:r>
      <w:r w:rsidRPr="006D433C">
        <w:rPr>
          <w:sz w:val="18"/>
          <w:szCs w:val="18"/>
          <w:lang w:val="fr-FR"/>
        </w:rPr>
        <w:t>R</w:t>
      </w:r>
      <w:r w:rsidR="0094410C">
        <w:rPr>
          <w:sz w:val="18"/>
          <w:szCs w:val="18"/>
          <w:lang w:val="fr-FR"/>
        </w:rPr>
        <w:t>ésolution</w:t>
      </w:r>
      <w:r w:rsidRPr="006D433C">
        <w:rPr>
          <w:sz w:val="18"/>
          <w:szCs w:val="18"/>
          <w:lang w:val="fr-FR"/>
        </w:rPr>
        <w:t xml:space="preserve"> 6.11 </w:t>
      </w:r>
      <w:r w:rsidR="0094410C">
        <w:rPr>
          <w:sz w:val="18"/>
          <w:szCs w:val="18"/>
          <w:lang w:val="fr-FR"/>
        </w:rPr>
        <w:t>fait également une référence distincte et</w:t>
      </w:r>
      <w:r w:rsidRPr="006D433C">
        <w:rPr>
          <w:sz w:val="18"/>
          <w:szCs w:val="18"/>
          <w:lang w:val="fr-FR"/>
        </w:rPr>
        <w:t xml:space="preserve"> correct</w:t>
      </w:r>
      <w:r w:rsidR="0094410C">
        <w:rPr>
          <w:sz w:val="18"/>
          <w:szCs w:val="18"/>
          <w:lang w:val="fr-FR"/>
        </w:rPr>
        <w:t>e à la Résolution</w:t>
      </w:r>
      <w:r w:rsidRPr="006D433C">
        <w:rPr>
          <w:sz w:val="18"/>
          <w:szCs w:val="18"/>
          <w:lang w:val="fr-FR"/>
        </w:rPr>
        <w:t xml:space="preserve"> 10.11</w:t>
      </w:r>
      <w:r w:rsidR="0094410C">
        <w:rPr>
          <w:sz w:val="18"/>
          <w:szCs w:val="18"/>
          <w:lang w:val="fr-FR"/>
        </w:rPr>
        <w:t xml:space="preserve"> de la CMS</w:t>
      </w:r>
      <w:r w:rsidRPr="006D433C">
        <w:rPr>
          <w:sz w:val="18"/>
          <w:szCs w:val="18"/>
          <w:lang w:val="fr-FR"/>
        </w:rPr>
        <w:t>.).</w:t>
      </w:r>
    </w:p>
  </w:footnote>
  <w:footnote w:id="2">
    <w:p w14:paraId="77DD4C12" w14:textId="05B14CA3" w:rsidR="00DA5AF8" w:rsidRPr="00326B2D" w:rsidRDefault="00DA5AF8" w:rsidP="00E1163B">
      <w:pPr>
        <w:pStyle w:val="FootnoteText"/>
        <w:ind w:left="170" w:hanging="170"/>
        <w:jc w:val="both"/>
        <w:rPr>
          <w:sz w:val="18"/>
          <w:szCs w:val="18"/>
          <w:lang w:val="fr-FR"/>
        </w:rPr>
      </w:pPr>
      <w:r w:rsidRPr="00506507">
        <w:rPr>
          <w:rStyle w:val="FootnoteReference"/>
          <w:sz w:val="18"/>
          <w:szCs w:val="18"/>
        </w:rPr>
        <w:footnoteRef/>
      </w:r>
      <w:r w:rsidRPr="00326B2D">
        <w:rPr>
          <w:sz w:val="18"/>
          <w:szCs w:val="18"/>
          <w:lang w:val="fr-FR"/>
        </w:rPr>
        <w:t xml:space="preserve"> </w:t>
      </w:r>
      <w:r w:rsidRPr="007F6165">
        <w:rPr>
          <w:sz w:val="18"/>
          <w:szCs w:val="18"/>
          <w:lang w:val="fr-FR"/>
        </w:rPr>
        <w:t xml:space="preserve"> (</w:t>
      </w:r>
      <w:r w:rsidR="007F6165" w:rsidRPr="007F6165">
        <w:rPr>
          <w:sz w:val="18"/>
          <w:szCs w:val="18"/>
          <w:lang w:val="fr-FR"/>
        </w:rPr>
        <w:t>Le titre</w:t>
      </w:r>
      <w:r w:rsidRPr="007F6165">
        <w:rPr>
          <w:sz w:val="18"/>
          <w:szCs w:val="18"/>
          <w:lang w:val="fr-FR"/>
        </w:rPr>
        <w:t xml:space="preserve"> </w:t>
      </w:r>
      <w:r w:rsidR="007F6165" w:rsidRPr="007F6165">
        <w:rPr>
          <w:sz w:val="18"/>
          <w:szCs w:val="18"/>
          <w:lang w:val="fr-FR"/>
        </w:rPr>
        <w:t>du document de la Banque mondiale</w:t>
      </w:r>
      <w:r w:rsidRPr="007F6165">
        <w:rPr>
          <w:sz w:val="18"/>
          <w:szCs w:val="18"/>
          <w:lang w:val="fr-FR"/>
        </w:rPr>
        <w:t xml:space="preserve"> </w:t>
      </w:r>
      <w:r w:rsidR="00477689">
        <w:rPr>
          <w:sz w:val="18"/>
          <w:szCs w:val="18"/>
          <w:lang w:val="fr-FR"/>
        </w:rPr>
        <w:t>n’</w:t>
      </w:r>
      <w:r w:rsidR="007F6165">
        <w:rPr>
          <w:sz w:val="18"/>
          <w:szCs w:val="18"/>
          <w:lang w:val="fr-FR"/>
        </w:rPr>
        <w:t xml:space="preserve">est </w:t>
      </w:r>
      <w:r w:rsidR="00477689">
        <w:rPr>
          <w:sz w:val="18"/>
          <w:szCs w:val="18"/>
          <w:lang w:val="fr-FR"/>
        </w:rPr>
        <w:t>peut-être pas tout à fait exact</w:t>
      </w:r>
      <w:r w:rsidR="00CA17E2">
        <w:rPr>
          <w:sz w:val="18"/>
          <w:szCs w:val="18"/>
          <w:lang w:val="fr-FR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10C" w14:textId="59C49394" w:rsidR="00DA5AF8" w:rsidRDefault="00DA5AF8">
    <w:pPr>
      <w:pStyle w:val="Header"/>
      <w:jc w:val="center"/>
    </w:pPr>
  </w:p>
  <w:p w14:paraId="17DFB83A" w14:textId="77777777" w:rsidR="00DA5AF8" w:rsidRDefault="00DA5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318" w:type="dxa"/>
      <w:tblBorders>
        <w:bottom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406"/>
      <w:gridCol w:w="5580"/>
      <w:gridCol w:w="2505"/>
    </w:tblGrid>
    <w:tr w:rsidR="00506507" w:rsidRPr="00326B2D" w14:paraId="44C841B3" w14:textId="77777777" w:rsidTr="00815F54">
      <w:trPr>
        <w:trHeight w:val="1256"/>
      </w:trPr>
      <w:tc>
        <w:tcPr>
          <w:tcW w:w="2406" w:type="dxa"/>
        </w:tcPr>
        <w:p w14:paraId="236B7250" w14:textId="77777777" w:rsidR="00506507" w:rsidRPr="001C1BFF" w:rsidRDefault="00506507" w:rsidP="00506507">
          <w:pPr>
            <w:rPr>
              <w:rFonts w:eastAsia="Times New Roman"/>
              <w:lang w:val="en-US" w:eastAsia="en-US"/>
            </w:rPr>
          </w:pPr>
          <w:r w:rsidRPr="001C1BFF">
            <w:rPr>
              <w:rFonts w:eastAsia="Times New Roman"/>
              <w:noProof/>
            </w:rPr>
            <w:drawing>
              <wp:inline distT="0" distB="0" distL="0" distR="0" wp14:anchorId="365486FB" wp14:editId="63CB1E5A">
                <wp:extent cx="857250" cy="714375"/>
                <wp:effectExtent l="0" t="0" r="0" b="9525"/>
                <wp:docPr id="10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4DA33319" w14:textId="57CA7A54" w:rsidR="00506507" w:rsidRPr="005D4894" w:rsidRDefault="005D4894" w:rsidP="00506507">
          <w:pPr>
            <w:jc w:val="center"/>
            <w:rPr>
              <w:rFonts w:eastAsia="Times New Roman"/>
              <w:lang w:val="fr-FR" w:eastAsia="en-US"/>
            </w:rPr>
          </w:pPr>
          <w:r w:rsidRPr="005D4894">
            <w:rPr>
              <w:i/>
              <w:sz w:val="22"/>
              <w:szCs w:val="22"/>
              <w:lang w:val="fr-FR"/>
            </w:rPr>
            <w:t>ACCORD SUR LA CONSERVATION DES OISEAUX D’EAU MIGRATEURS D’AFRIQUE-EURASIE</w:t>
          </w:r>
        </w:p>
      </w:tc>
      <w:tc>
        <w:tcPr>
          <w:tcW w:w="2505" w:type="dxa"/>
        </w:tcPr>
        <w:p w14:paraId="08EC2253" w14:textId="6DDC6AB7" w:rsidR="00506507" w:rsidRPr="005D4894" w:rsidRDefault="00506507" w:rsidP="00506507">
          <w:pPr>
            <w:spacing w:line="276" w:lineRule="auto"/>
            <w:jc w:val="right"/>
            <w:rPr>
              <w:rFonts w:eastAsia="Times New Roman"/>
              <w:bCs/>
              <w:i/>
              <w:iCs/>
              <w:sz w:val="20"/>
              <w:szCs w:val="20"/>
              <w:lang w:val="fr-FR" w:eastAsia="en-US"/>
            </w:rPr>
          </w:pPr>
          <w:r w:rsidRPr="005D4894">
            <w:rPr>
              <w:rFonts w:eastAsia="Times New Roman"/>
              <w:i/>
              <w:iCs/>
              <w:sz w:val="20"/>
              <w:szCs w:val="20"/>
              <w:lang w:val="fr-FR" w:eastAsia="en-US"/>
            </w:rPr>
            <w:t xml:space="preserve">Doc. </w:t>
          </w:r>
          <w:r w:rsidRPr="005D4894">
            <w:rPr>
              <w:rFonts w:eastAsia="Times New Roman"/>
              <w:bCs/>
              <w:i/>
              <w:iCs/>
              <w:sz w:val="20"/>
              <w:szCs w:val="20"/>
              <w:lang w:val="fr-FR" w:eastAsia="en-US"/>
            </w:rPr>
            <w:t>AEWA/MOP 8.40</w:t>
          </w:r>
        </w:p>
        <w:p w14:paraId="65ED6E44" w14:textId="439F640F" w:rsidR="00506507" w:rsidRDefault="005D4894" w:rsidP="00506507">
          <w:pPr>
            <w:spacing w:line="276" w:lineRule="auto"/>
            <w:jc w:val="right"/>
            <w:rPr>
              <w:rFonts w:eastAsia="Times New Roman"/>
              <w:i/>
              <w:iCs/>
              <w:sz w:val="20"/>
              <w:szCs w:val="20"/>
              <w:lang w:val="fr-FR" w:eastAsia="en-US"/>
            </w:rPr>
          </w:pPr>
          <w:r w:rsidRPr="005D4894">
            <w:rPr>
              <w:rFonts w:eastAsia="Times New Roman"/>
              <w:i/>
              <w:iCs/>
              <w:sz w:val="20"/>
              <w:szCs w:val="20"/>
              <w:lang w:val="fr-FR" w:eastAsia="en-US"/>
            </w:rPr>
            <w:t>Point</w:t>
          </w:r>
          <w:r w:rsidR="00506507" w:rsidRPr="005D4894">
            <w:rPr>
              <w:rFonts w:eastAsia="Times New Roman"/>
              <w:i/>
              <w:iCs/>
              <w:sz w:val="20"/>
              <w:szCs w:val="20"/>
              <w:lang w:val="fr-FR" w:eastAsia="en-US"/>
            </w:rPr>
            <w:t xml:space="preserve"> 21</w:t>
          </w:r>
          <w:r w:rsidRPr="005D4894">
            <w:rPr>
              <w:rFonts w:eastAsia="Times New Roman"/>
              <w:i/>
              <w:iCs/>
              <w:sz w:val="20"/>
              <w:szCs w:val="20"/>
              <w:lang w:val="fr-FR" w:eastAsia="en-US"/>
            </w:rPr>
            <w:t xml:space="preserve"> de l’ordre du jour</w:t>
          </w:r>
        </w:p>
        <w:p w14:paraId="54CE698A" w14:textId="26923CCF" w:rsidR="00326B2D" w:rsidRPr="005D4894" w:rsidRDefault="00326B2D" w:rsidP="00506507">
          <w:pPr>
            <w:spacing w:line="276" w:lineRule="auto"/>
            <w:jc w:val="right"/>
            <w:rPr>
              <w:rFonts w:eastAsia="Times New Roman"/>
              <w:bCs/>
              <w:i/>
              <w:iCs/>
              <w:sz w:val="20"/>
              <w:szCs w:val="20"/>
              <w:lang w:val="fr-FR" w:eastAsia="en-US"/>
            </w:rPr>
          </w:pPr>
          <w:r>
            <w:rPr>
              <w:rFonts w:eastAsia="Times New Roman"/>
              <w:i/>
              <w:iCs/>
              <w:sz w:val="20"/>
              <w:szCs w:val="20"/>
              <w:lang w:val="fr-FR" w:eastAsia="en-US"/>
            </w:rPr>
            <w:t>Original : Anglais</w:t>
          </w:r>
        </w:p>
        <w:p w14:paraId="60AC15AC" w14:textId="54CDA29E" w:rsidR="00506507" w:rsidRPr="005D4894" w:rsidRDefault="007D1931" w:rsidP="00506507">
          <w:pPr>
            <w:spacing w:line="276" w:lineRule="auto"/>
            <w:jc w:val="right"/>
            <w:rPr>
              <w:rFonts w:eastAsia="Times New Roman"/>
              <w:lang w:val="fr-FR" w:eastAsia="en-US"/>
            </w:rPr>
          </w:pPr>
          <w:r>
            <w:rPr>
              <w:rFonts w:eastAsia="Times New Roman"/>
              <w:i/>
              <w:iCs/>
              <w:sz w:val="20"/>
              <w:szCs w:val="20"/>
              <w:lang w:val="fr-FR" w:eastAsia="en-US"/>
            </w:rPr>
            <w:t>12 septembre</w:t>
          </w:r>
          <w:r w:rsidR="00506507" w:rsidRPr="005D4894">
            <w:rPr>
              <w:rFonts w:eastAsia="Times New Roman"/>
              <w:i/>
              <w:iCs/>
              <w:sz w:val="20"/>
              <w:szCs w:val="20"/>
              <w:lang w:val="fr-FR" w:eastAsia="en-US"/>
            </w:rPr>
            <w:t xml:space="preserve"> 2022</w:t>
          </w:r>
        </w:p>
      </w:tc>
    </w:tr>
    <w:tr w:rsidR="00506507" w:rsidRPr="00326B2D" w14:paraId="171E3D4F" w14:textId="77777777" w:rsidTr="00815F54">
      <w:tc>
        <w:tcPr>
          <w:tcW w:w="10491" w:type="dxa"/>
          <w:gridSpan w:val="3"/>
        </w:tcPr>
        <w:p w14:paraId="5219FB43" w14:textId="77777777" w:rsidR="005D4894" w:rsidRPr="005D4894" w:rsidRDefault="005D4894" w:rsidP="005D4894">
          <w:pPr>
            <w:spacing w:line="254" w:lineRule="auto"/>
            <w:jc w:val="center"/>
            <w:rPr>
              <w:b/>
              <w:bCs/>
              <w:caps/>
              <w:sz w:val="26"/>
              <w:szCs w:val="26"/>
              <w:lang w:val="fr-FR"/>
            </w:rPr>
          </w:pPr>
          <w:r w:rsidRPr="005D4894">
            <w:rPr>
              <w:b/>
              <w:bCs/>
              <w:sz w:val="26"/>
              <w:szCs w:val="26"/>
              <w:lang w:val="fr-FR"/>
            </w:rPr>
            <w:t>8</w:t>
          </w:r>
          <w:r w:rsidRPr="005D4894">
            <w:rPr>
              <w:b/>
              <w:bCs/>
              <w:sz w:val="26"/>
              <w:szCs w:val="26"/>
              <w:vertAlign w:val="superscript"/>
              <w:lang w:val="fr-FR"/>
            </w:rPr>
            <w:t>e</w:t>
          </w:r>
          <w:r w:rsidRPr="005D4894">
            <w:rPr>
              <w:b/>
              <w:bCs/>
              <w:sz w:val="26"/>
              <w:szCs w:val="26"/>
              <w:lang w:val="fr-FR"/>
            </w:rPr>
            <w:t xml:space="preserve"> SESSION DE LA RÉUNION DES PARTIES</w:t>
          </w:r>
        </w:p>
        <w:p w14:paraId="49C90BC3" w14:textId="77777777" w:rsidR="005D4894" w:rsidRPr="005D4894" w:rsidRDefault="005D4894" w:rsidP="005D4894">
          <w:pPr>
            <w:spacing w:line="254" w:lineRule="auto"/>
            <w:jc w:val="center"/>
            <w:rPr>
              <w:i/>
              <w:sz w:val="22"/>
              <w:szCs w:val="22"/>
              <w:lang w:val="fr-FR"/>
            </w:rPr>
          </w:pPr>
          <w:r w:rsidRPr="005D4894">
            <w:rPr>
              <w:i/>
              <w:sz w:val="22"/>
              <w:szCs w:val="22"/>
              <w:lang w:val="fr-FR"/>
            </w:rPr>
            <w:t>26 – 30 septembre 2022, Budapest, Hongrie</w:t>
          </w:r>
        </w:p>
        <w:p w14:paraId="40D50A30" w14:textId="77777777" w:rsidR="005D4894" w:rsidRPr="005D4894" w:rsidRDefault="005D4894" w:rsidP="005D4894">
          <w:pPr>
            <w:spacing w:line="254" w:lineRule="auto"/>
            <w:jc w:val="center"/>
            <w:rPr>
              <w:i/>
              <w:sz w:val="22"/>
              <w:szCs w:val="22"/>
              <w:lang w:val="fr-FR"/>
            </w:rPr>
          </w:pPr>
        </w:p>
        <w:p w14:paraId="778259A0" w14:textId="47F49ED1" w:rsidR="00943D46" w:rsidRPr="005D4894" w:rsidRDefault="005D4894" w:rsidP="005D4894">
          <w:pPr>
            <w:jc w:val="center"/>
            <w:rPr>
              <w:rFonts w:eastAsia="Times New Roman"/>
              <w:i/>
              <w:iCs/>
              <w:sz w:val="22"/>
              <w:szCs w:val="22"/>
              <w:lang w:val="fr-FR" w:eastAsia="en-US"/>
            </w:rPr>
          </w:pPr>
          <w:r w:rsidRPr="005D4894">
            <w:rPr>
              <w:i/>
              <w:lang w:val="fr-FR"/>
            </w:rPr>
            <w:t>« Renforcer la</w:t>
          </w:r>
          <w:r w:rsidRPr="005D4894">
            <w:rPr>
              <w:bCs/>
              <w:i/>
              <w:sz w:val="22"/>
              <w:szCs w:val="22"/>
              <w:lang w:val="fr-FR"/>
            </w:rPr>
            <w:t xml:space="preserve"> conservation des voies de migration dans un monde en mutation »</w:t>
          </w:r>
        </w:p>
        <w:p w14:paraId="6D05EB3C" w14:textId="77777777" w:rsidR="00506507" w:rsidRPr="005D4894" w:rsidRDefault="00506507" w:rsidP="00506507">
          <w:pPr>
            <w:jc w:val="center"/>
            <w:rPr>
              <w:rFonts w:eastAsia="Times New Roman"/>
              <w:i/>
              <w:sz w:val="22"/>
              <w:szCs w:val="22"/>
              <w:lang w:val="fr-FR" w:eastAsia="en-US"/>
            </w:rPr>
          </w:pPr>
        </w:p>
      </w:tc>
    </w:tr>
  </w:tbl>
  <w:p w14:paraId="7E22B160" w14:textId="77777777" w:rsidR="00506507" w:rsidRPr="00326B2D" w:rsidRDefault="00506507" w:rsidP="00506507">
    <w:pPr>
      <w:tabs>
        <w:tab w:val="center" w:pos="4320"/>
        <w:tab w:val="right" w:pos="8640"/>
      </w:tabs>
      <w:rPr>
        <w:rFonts w:eastAsia="Times New Roman"/>
        <w:lang w:val="fr-FR" w:eastAsia="en-US"/>
      </w:rPr>
    </w:pPr>
  </w:p>
  <w:p w14:paraId="7C3C405B" w14:textId="77777777" w:rsidR="00506507" w:rsidRPr="00326B2D" w:rsidRDefault="00506507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A25D5B"/>
    <w:multiLevelType w:val="hybridMultilevel"/>
    <w:tmpl w:val="EBA089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A2366D"/>
    <w:multiLevelType w:val="hybridMultilevel"/>
    <w:tmpl w:val="1A36EEB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C73E6A"/>
    <w:multiLevelType w:val="multilevel"/>
    <w:tmpl w:val="322A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C345B"/>
    <w:multiLevelType w:val="hybridMultilevel"/>
    <w:tmpl w:val="738C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4049"/>
    <w:multiLevelType w:val="hybridMultilevel"/>
    <w:tmpl w:val="02A6E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72E"/>
    <w:multiLevelType w:val="hybridMultilevel"/>
    <w:tmpl w:val="4082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9134C"/>
    <w:multiLevelType w:val="hybridMultilevel"/>
    <w:tmpl w:val="E4485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522A7"/>
    <w:multiLevelType w:val="hybridMultilevel"/>
    <w:tmpl w:val="231AE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A3B0E"/>
    <w:multiLevelType w:val="hybridMultilevel"/>
    <w:tmpl w:val="9096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1A88"/>
    <w:multiLevelType w:val="hybridMultilevel"/>
    <w:tmpl w:val="CCFED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7B5"/>
    <w:multiLevelType w:val="hybridMultilevel"/>
    <w:tmpl w:val="A0A66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015844"/>
    <w:multiLevelType w:val="multilevel"/>
    <w:tmpl w:val="D774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B07089"/>
    <w:multiLevelType w:val="hybridMultilevel"/>
    <w:tmpl w:val="D160E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6D6D3D"/>
    <w:multiLevelType w:val="hybridMultilevel"/>
    <w:tmpl w:val="1130C6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004A9"/>
    <w:multiLevelType w:val="hybridMultilevel"/>
    <w:tmpl w:val="EE668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D1B90"/>
    <w:multiLevelType w:val="hybridMultilevel"/>
    <w:tmpl w:val="481C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84660"/>
    <w:multiLevelType w:val="hybridMultilevel"/>
    <w:tmpl w:val="8054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12026"/>
    <w:multiLevelType w:val="hybridMultilevel"/>
    <w:tmpl w:val="F88EE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B6ACF"/>
    <w:multiLevelType w:val="hybridMultilevel"/>
    <w:tmpl w:val="9EF46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9F5EB9"/>
    <w:multiLevelType w:val="hybridMultilevel"/>
    <w:tmpl w:val="79345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03923"/>
    <w:multiLevelType w:val="hybridMultilevel"/>
    <w:tmpl w:val="454CD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2674E"/>
    <w:multiLevelType w:val="multilevel"/>
    <w:tmpl w:val="AE768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FFE7DE5"/>
    <w:multiLevelType w:val="hybridMultilevel"/>
    <w:tmpl w:val="F6B41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FF5542"/>
    <w:multiLevelType w:val="hybridMultilevel"/>
    <w:tmpl w:val="B14AFC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8732B"/>
    <w:multiLevelType w:val="hybridMultilevel"/>
    <w:tmpl w:val="03648984"/>
    <w:lvl w:ilvl="0" w:tplc="18E699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C50D6"/>
    <w:multiLevelType w:val="hybridMultilevel"/>
    <w:tmpl w:val="B4B2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4BDC"/>
    <w:multiLevelType w:val="multilevel"/>
    <w:tmpl w:val="1314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BFC429"/>
    <w:multiLevelType w:val="hybridMultilevel"/>
    <w:tmpl w:val="CC2BF1E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CA57BA3"/>
    <w:multiLevelType w:val="hybridMultilevel"/>
    <w:tmpl w:val="BB6EF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571D9"/>
    <w:multiLevelType w:val="multilevel"/>
    <w:tmpl w:val="D9D6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0B5BE8"/>
    <w:multiLevelType w:val="hybridMultilevel"/>
    <w:tmpl w:val="5B82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F79FD"/>
    <w:multiLevelType w:val="hybridMultilevel"/>
    <w:tmpl w:val="26BA2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E3EC5"/>
    <w:multiLevelType w:val="multilevel"/>
    <w:tmpl w:val="2604D62C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92" w:hanging="1800"/>
      </w:pPr>
      <w:rPr>
        <w:rFonts w:hint="default"/>
      </w:rPr>
    </w:lvl>
  </w:abstractNum>
  <w:abstractNum w:abstractNumId="33" w15:restartNumberingAfterBreak="0">
    <w:nsid w:val="6AC1342D"/>
    <w:multiLevelType w:val="multilevel"/>
    <w:tmpl w:val="D11E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89378A"/>
    <w:multiLevelType w:val="hybridMultilevel"/>
    <w:tmpl w:val="E18A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F431C"/>
    <w:multiLevelType w:val="hybridMultilevel"/>
    <w:tmpl w:val="A3325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353EAE"/>
    <w:multiLevelType w:val="hybridMultilevel"/>
    <w:tmpl w:val="46549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E74C0"/>
    <w:multiLevelType w:val="hybridMultilevel"/>
    <w:tmpl w:val="C5D2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02DD1"/>
    <w:multiLevelType w:val="multilevel"/>
    <w:tmpl w:val="D9EC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7"/>
  </w:num>
  <w:num w:numId="3">
    <w:abstractNumId w:val="17"/>
  </w:num>
  <w:num w:numId="4">
    <w:abstractNumId w:val="30"/>
  </w:num>
  <w:num w:numId="5">
    <w:abstractNumId w:val="14"/>
  </w:num>
  <w:num w:numId="6">
    <w:abstractNumId w:val="2"/>
  </w:num>
  <w:num w:numId="7">
    <w:abstractNumId w:val="29"/>
  </w:num>
  <w:num w:numId="8">
    <w:abstractNumId w:val="11"/>
  </w:num>
  <w:num w:numId="9">
    <w:abstractNumId w:val="33"/>
  </w:num>
  <w:num w:numId="10">
    <w:abstractNumId w:val="38"/>
  </w:num>
  <w:num w:numId="11">
    <w:abstractNumId w:val="26"/>
  </w:num>
  <w:num w:numId="12">
    <w:abstractNumId w:val="35"/>
  </w:num>
  <w:num w:numId="13">
    <w:abstractNumId w:val="27"/>
  </w:num>
  <w:num w:numId="14">
    <w:abstractNumId w:val="0"/>
  </w:num>
  <w:num w:numId="15">
    <w:abstractNumId w:val="1"/>
  </w:num>
  <w:num w:numId="16">
    <w:abstractNumId w:val="25"/>
  </w:num>
  <w:num w:numId="17">
    <w:abstractNumId w:val="20"/>
  </w:num>
  <w:num w:numId="18">
    <w:abstractNumId w:val="34"/>
  </w:num>
  <w:num w:numId="19">
    <w:abstractNumId w:val="15"/>
  </w:num>
  <w:num w:numId="20">
    <w:abstractNumId w:val="34"/>
  </w:num>
  <w:num w:numId="21">
    <w:abstractNumId w:val="5"/>
  </w:num>
  <w:num w:numId="22">
    <w:abstractNumId w:val="6"/>
  </w:num>
  <w:num w:numId="23">
    <w:abstractNumId w:val="7"/>
  </w:num>
  <w:num w:numId="24">
    <w:abstractNumId w:val="13"/>
  </w:num>
  <w:num w:numId="25">
    <w:abstractNumId w:val="3"/>
  </w:num>
  <w:num w:numId="26">
    <w:abstractNumId w:val="8"/>
  </w:num>
  <w:num w:numId="27">
    <w:abstractNumId w:val="32"/>
  </w:num>
  <w:num w:numId="28">
    <w:abstractNumId w:val="24"/>
  </w:num>
  <w:num w:numId="29">
    <w:abstractNumId w:val="21"/>
  </w:num>
  <w:num w:numId="30">
    <w:abstractNumId w:val="12"/>
  </w:num>
  <w:num w:numId="31">
    <w:abstractNumId w:val="18"/>
  </w:num>
  <w:num w:numId="32">
    <w:abstractNumId w:val="10"/>
  </w:num>
  <w:num w:numId="33">
    <w:abstractNumId w:val="23"/>
  </w:num>
  <w:num w:numId="34">
    <w:abstractNumId w:val="16"/>
  </w:num>
  <w:num w:numId="35">
    <w:abstractNumId w:val="4"/>
  </w:num>
  <w:num w:numId="36">
    <w:abstractNumId w:val="36"/>
  </w:num>
  <w:num w:numId="37">
    <w:abstractNumId w:val="9"/>
  </w:num>
  <w:num w:numId="38">
    <w:abstractNumId w:val="31"/>
  </w:num>
  <w:num w:numId="39">
    <w:abstractNumId w:val="2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FD"/>
    <w:rsid w:val="00000FC2"/>
    <w:rsid w:val="00006FA8"/>
    <w:rsid w:val="00015BE6"/>
    <w:rsid w:val="000268A0"/>
    <w:rsid w:val="000272BA"/>
    <w:rsid w:val="00027AA6"/>
    <w:rsid w:val="00033F01"/>
    <w:rsid w:val="000352FB"/>
    <w:rsid w:val="000363A7"/>
    <w:rsid w:val="00037A52"/>
    <w:rsid w:val="000451F6"/>
    <w:rsid w:val="000475C9"/>
    <w:rsid w:val="00050415"/>
    <w:rsid w:val="00050DA3"/>
    <w:rsid w:val="00055632"/>
    <w:rsid w:val="000602FE"/>
    <w:rsid w:val="000624EF"/>
    <w:rsid w:val="000656FD"/>
    <w:rsid w:val="00073ECE"/>
    <w:rsid w:val="00075841"/>
    <w:rsid w:val="00076932"/>
    <w:rsid w:val="000811CF"/>
    <w:rsid w:val="00083889"/>
    <w:rsid w:val="00084207"/>
    <w:rsid w:val="00084359"/>
    <w:rsid w:val="00091315"/>
    <w:rsid w:val="00097278"/>
    <w:rsid w:val="000A086C"/>
    <w:rsid w:val="000A4058"/>
    <w:rsid w:val="000A6E22"/>
    <w:rsid w:val="000B022B"/>
    <w:rsid w:val="000B3282"/>
    <w:rsid w:val="000B484E"/>
    <w:rsid w:val="000B4D4F"/>
    <w:rsid w:val="000B5B90"/>
    <w:rsid w:val="000B63C3"/>
    <w:rsid w:val="000B707E"/>
    <w:rsid w:val="000B71DC"/>
    <w:rsid w:val="000B76CF"/>
    <w:rsid w:val="000C0D7E"/>
    <w:rsid w:val="000C43F4"/>
    <w:rsid w:val="000C54AE"/>
    <w:rsid w:val="000C6216"/>
    <w:rsid w:val="000C71A3"/>
    <w:rsid w:val="000D0D23"/>
    <w:rsid w:val="000D24C6"/>
    <w:rsid w:val="000D332C"/>
    <w:rsid w:val="000D43F7"/>
    <w:rsid w:val="000D5224"/>
    <w:rsid w:val="000D638B"/>
    <w:rsid w:val="000E419E"/>
    <w:rsid w:val="000E7DF8"/>
    <w:rsid w:val="000F42FF"/>
    <w:rsid w:val="000F788D"/>
    <w:rsid w:val="0010003C"/>
    <w:rsid w:val="001015F4"/>
    <w:rsid w:val="001030E3"/>
    <w:rsid w:val="00103865"/>
    <w:rsid w:val="00106AAE"/>
    <w:rsid w:val="00107FEA"/>
    <w:rsid w:val="00111231"/>
    <w:rsid w:val="00115A34"/>
    <w:rsid w:val="0011610D"/>
    <w:rsid w:val="00117F29"/>
    <w:rsid w:val="00120B65"/>
    <w:rsid w:val="00122057"/>
    <w:rsid w:val="00123DD0"/>
    <w:rsid w:val="00123F94"/>
    <w:rsid w:val="0012602C"/>
    <w:rsid w:val="00126981"/>
    <w:rsid w:val="001310A0"/>
    <w:rsid w:val="00133B65"/>
    <w:rsid w:val="001348B7"/>
    <w:rsid w:val="0014676C"/>
    <w:rsid w:val="00147EBC"/>
    <w:rsid w:val="0015760C"/>
    <w:rsid w:val="00160269"/>
    <w:rsid w:val="001604D0"/>
    <w:rsid w:val="0018194C"/>
    <w:rsid w:val="00184EBF"/>
    <w:rsid w:val="0019103E"/>
    <w:rsid w:val="001946CC"/>
    <w:rsid w:val="0019493E"/>
    <w:rsid w:val="00195A01"/>
    <w:rsid w:val="001A19C6"/>
    <w:rsid w:val="001A3F25"/>
    <w:rsid w:val="001B0638"/>
    <w:rsid w:val="001B4657"/>
    <w:rsid w:val="001B6E6F"/>
    <w:rsid w:val="001B6EA5"/>
    <w:rsid w:val="001C246D"/>
    <w:rsid w:val="001C3838"/>
    <w:rsid w:val="001C39CA"/>
    <w:rsid w:val="001D53AB"/>
    <w:rsid w:val="001E1D7A"/>
    <w:rsid w:val="001E3AA7"/>
    <w:rsid w:val="001E6F7F"/>
    <w:rsid w:val="001F0CB3"/>
    <w:rsid w:val="001F44D6"/>
    <w:rsid w:val="001F7BE5"/>
    <w:rsid w:val="002004BF"/>
    <w:rsid w:val="00200A45"/>
    <w:rsid w:val="0020128F"/>
    <w:rsid w:val="0020210D"/>
    <w:rsid w:val="00211E35"/>
    <w:rsid w:val="002123EC"/>
    <w:rsid w:val="00213A81"/>
    <w:rsid w:val="00215918"/>
    <w:rsid w:val="00224558"/>
    <w:rsid w:val="00225CBF"/>
    <w:rsid w:val="00227AB7"/>
    <w:rsid w:val="0023263C"/>
    <w:rsid w:val="00233FFC"/>
    <w:rsid w:val="002371A2"/>
    <w:rsid w:val="00241C92"/>
    <w:rsid w:val="0024288E"/>
    <w:rsid w:val="00267F27"/>
    <w:rsid w:val="002759C7"/>
    <w:rsid w:val="002761DA"/>
    <w:rsid w:val="002762E4"/>
    <w:rsid w:val="00280AEA"/>
    <w:rsid w:val="0028133C"/>
    <w:rsid w:val="00284247"/>
    <w:rsid w:val="002870C8"/>
    <w:rsid w:val="00287668"/>
    <w:rsid w:val="002920A4"/>
    <w:rsid w:val="002944B2"/>
    <w:rsid w:val="002A4369"/>
    <w:rsid w:val="002A54F5"/>
    <w:rsid w:val="002A6298"/>
    <w:rsid w:val="002B0F6D"/>
    <w:rsid w:val="002B4FE5"/>
    <w:rsid w:val="002B5E63"/>
    <w:rsid w:val="002B5FE9"/>
    <w:rsid w:val="002C1A12"/>
    <w:rsid w:val="002C4205"/>
    <w:rsid w:val="002D0AB7"/>
    <w:rsid w:val="002D0ADA"/>
    <w:rsid w:val="002D2C7D"/>
    <w:rsid w:val="002D41D5"/>
    <w:rsid w:val="002D6D3C"/>
    <w:rsid w:val="002E1F69"/>
    <w:rsid w:val="002E6D58"/>
    <w:rsid w:val="002F4F3D"/>
    <w:rsid w:val="00301C7F"/>
    <w:rsid w:val="003041E6"/>
    <w:rsid w:val="00314645"/>
    <w:rsid w:val="0032224B"/>
    <w:rsid w:val="00324FB9"/>
    <w:rsid w:val="00325225"/>
    <w:rsid w:val="00325C28"/>
    <w:rsid w:val="00326B2D"/>
    <w:rsid w:val="00334B34"/>
    <w:rsid w:val="0033685A"/>
    <w:rsid w:val="00341F2E"/>
    <w:rsid w:val="003467A6"/>
    <w:rsid w:val="003534E5"/>
    <w:rsid w:val="00363ECF"/>
    <w:rsid w:val="00367922"/>
    <w:rsid w:val="00375DC1"/>
    <w:rsid w:val="00375E5E"/>
    <w:rsid w:val="00376FCE"/>
    <w:rsid w:val="003838AB"/>
    <w:rsid w:val="00383BF6"/>
    <w:rsid w:val="00386C9C"/>
    <w:rsid w:val="00387089"/>
    <w:rsid w:val="003A2E5D"/>
    <w:rsid w:val="003A38D8"/>
    <w:rsid w:val="003B0F57"/>
    <w:rsid w:val="003B2297"/>
    <w:rsid w:val="003B3468"/>
    <w:rsid w:val="003B5746"/>
    <w:rsid w:val="003B65D3"/>
    <w:rsid w:val="003C3A7E"/>
    <w:rsid w:val="003C493B"/>
    <w:rsid w:val="003C72BB"/>
    <w:rsid w:val="003D171C"/>
    <w:rsid w:val="003D25FD"/>
    <w:rsid w:val="003D2611"/>
    <w:rsid w:val="003D26C9"/>
    <w:rsid w:val="003D3979"/>
    <w:rsid w:val="003D403D"/>
    <w:rsid w:val="003D49A2"/>
    <w:rsid w:val="003D6269"/>
    <w:rsid w:val="003E1AE1"/>
    <w:rsid w:val="003E2CB9"/>
    <w:rsid w:val="003E407A"/>
    <w:rsid w:val="003E4D22"/>
    <w:rsid w:val="003E7399"/>
    <w:rsid w:val="003F130B"/>
    <w:rsid w:val="003F6255"/>
    <w:rsid w:val="00401456"/>
    <w:rsid w:val="004034C8"/>
    <w:rsid w:val="00411570"/>
    <w:rsid w:val="00413400"/>
    <w:rsid w:val="0042110D"/>
    <w:rsid w:val="00421BD3"/>
    <w:rsid w:val="00431732"/>
    <w:rsid w:val="00433F4B"/>
    <w:rsid w:val="0043484E"/>
    <w:rsid w:val="00435F9D"/>
    <w:rsid w:val="00436741"/>
    <w:rsid w:val="00436F4F"/>
    <w:rsid w:val="00446350"/>
    <w:rsid w:val="004539DE"/>
    <w:rsid w:val="00460715"/>
    <w:rsid w:val="00461C0B"/>
    <w:rsid w:val="00477338"/>
    <w:rsid w:val="00477689"/>
    <w:rsid w:val="00477DF9"/>
    <w:rsid w:val="00481013"/>
    <w:rsid w:val="00481F3A"/>
    <w:rsid w:val="00485356"/>
    <w:rsid w:val="00486204"/>
    <w:rsid w:val="0049097D"/>
    <w:rsid w:val="00492220"/>
    <w:rsid w:val="00496449"/>
    <w:rsid w:val="004968E4"/>
    <w:rsid w:val="004A450A"/>
    <w:rsid w:val="004A5557"/>
    <w:rsid w:val="004A694B"/>
    <w:rsid w:val="004A73CC"/>
    <w:rsid w:val="004C1723"/>
    <w:rsid w:val="004C4702"/>
    <w:rsid w:val="004C5EEF"/>
    <w:rsid w:val="004C70BC"/>
    <w:rsid w:val="004D01EB"/>
    <w:rsid w:val="004D5799"/>
    <w:rsid w:val="004D686D"/>
    <w:rsid w:val="004D6D3F"/>
    <w:rsid w:val="004E047E"/>
    <w:rsid w:val="004E19A7"/>
    <w:rsid w:val="004E406E"/>
    <w:rsid w:val="004E6B98"/>
    <w:rsid w:val="004E6D32"/>
    <w:rsid w:val="004E7BA8"/>
    <w:rsid w:val="004F357D"/>
    <w:rsid w:val="004F659F"/>
    <w:rsid w:val="00504C6D"/>
    <w:rsid w:val="00506507"/>
    <w:rsid w:val="005159D4"/>
    <w:rsid w:val="00516FAB"/>
    <w:rsid w:val="0052454E"/>
    <w:rsid w:val="00527D77"/>
    <w:rsid w:val="00527E41"/>
    <w:rsid w:val="00540F41"/>
    <w:rsid w:val="0054198B"/>
    <w:rsid w:val="005424F6"/>
    <w:rsid w:val="00544CEA"/>
    <w:rsid w:val="005504E4"/>
    <w:rsid w:val="00554C86"/>
    <w:rsid w:val="00560D52"/>
    <w:rsid w:val="005632D0"/>
    <w:rsid w:val="005634BB"/>
    <w:rsid w:val="00571B28"/>
    <w:rsid w:val="005816C8"/>
    <w:rsid w:val="005867D6"/>
    <w:rsid w:val="00591B82"/>
    <w:rsid w:val="00595072"/>
    <w:rsid w:val="00596B36"/>
    <w:rsid w:val="00597360"/>
    <w:rsid w:val="005A007A"/>
    <w:rsid w:val="005A14F2"/>
    <w:rsid w:val="005A5638"/>
    <w:rsid w:val="005A58BC"/>
    <w:rsid w:val="005A656A"/>
    <w:rsid w:val="005B1065"/>
    <w:rsid w:val="005B5A46"/>
    <w:rsid w:val="005B7D42"/>
    <w:rsid w:val="005B7E9F"/>
    <w:rsid w:val="005C2E37"/>
    <w:rsid w:val="005C58EF"/>
    <w:rsid w:val="005C6F88"/>
    <w:rsid w:val="005D18F7"/>
    <w:rsid w:val="005D197C"/>
    <w:rsid w:val="005D30C4"/>
    <w:rsid w:val="005D4894"/>
    <w:rsid w:val="005D5DCE"/>
    <w:rsid w:val="005E061D"/>
    <w:rsid w:val="005E2A1E"/>
    <w:rsid w:val="005E696D"/>
    <w:rsid w:val="005F1238"/>
    <w:rsid w:val="005F5B81"/>
    <w:rsid w:val="005F7185"/>
    <w:rsid w:val="006063D4"/>
    <w:rsid w:val="00613CD5"/>
    <w:rsid w:val="00615458"/>
    <w:rsid w:val="00617602"/>
    <w:rsid w:val="00621810"/>
    <w:rsid w:val="0063419B"/>
    <w:rsid w:val="00634C1A"/>
    <w:rsid w:val="0064065F"/>
    <w:rsid w:val="00642C8E"/>
    <w:rsid w:val="00644718"/>
    <w:rsid w:val="0065285C"/>
    <w:rsid w:val="00663BA3"/>
    <w:rsid w:val="00663EE6"/>
    <w:rsid w:val="00664A52"/>
    <w:rsid w:val="00666FBF"/>
    <w:rsid w:val="0066723E"/>
    <w:rsid w:val="00670C34"/>
    <w:rsid w:val="00670D94"/>
    <w:rsid w:val="00673982"/>
    <w:rsid w:val="00676E93"/>
    <w:rsid w:val="00677EAB"/>
    <w:rsid w:val="00681726"/>
    <w:rsid w:val="00683668"/>
    <w:rsid w:val="0068378B"/>
    <w:rsid w:val="0068661D"/>
    <w:rsid w:val="00692C69"/>
    <w:rsid w:val="00693898"/>
    <w:rsid w:val="006A16C5"/>
    <w:rsid w:val="006A5164"/>
    <w:rsid w:val="006A6D71"/>
    <w:rsid w:val="006B036A"/>
    <w:rsid w:val="006B065C"/>
    <w:rsid w:val="006B3085"/>
    <w:rsid w:val="006C1E47"/>
    <w:rsid w:val="006C20AC"/>
    <w:rsid w:val="006C3F14"/>
    <w:rsid w:val="006C5284"/>
    <w:rsid w:val="006D433C"/>
    <w:rsid w:val="006D7A21"/>
    <w:rsid w:val="006D7FAF"/>
    <w:rsid w:val="006E0384"/>
    <w:rsid w:val="006E31C4"/>
    <w:rsid w:val="006E381E"/>
    <w:rsid w:val="006E5B6F"/>
    <w:rsid w:val="006E68AF"/>
    <w:rsid w:val="006E6D10"/>
    <w:rsid w:val="006F2C60"/>
    <w:rsid w:val="006F51CD"/>
    <w:rsid w:val="00704242"/>
    <w:rsid w:val="00711CC6"/>
    <w:rsid w:val="0071282E"/>
    <w:rsid w:val="00712B17"/>
    <w:rsid w:val="007140A6"/>
    <w:rsid w:val="007156D5"/>
    <w:rsid w:val="00716286"/>
    <w:rsid w:val="00717D0C"/>
    <w:rsid w:val="0073126B"/>
    <w:rsid w:val="007322F7"/>
    <w:rsid w:val="00732760"/>
    <w:rsid w:val="00735146"/>
    <w:rsid w:val="00737346"/>
    <w:rsid w:val="0074028B"/>
    <w:rsid w:val="00741A07"/>
    <w:rsid w:val="00742CE0"/>
    <w:rsid w:val="00747197"/>
    <w:rsid w:val="007513CC"/>
    <w:rsid w:val="00755AEC"/>
    <w:rsid w:val="007572B0"/>
    <w:rsid w:val="00760EEB"/>
    <w:rsid w:val="007722E8"/>
    <w:rsid w:val="00773326"/>
    <w:rsid w:val="00773A77"/>
    <w:rsid w:val="00773C6B"/>
    <w:rsid w:val="00777BDB"/>
    <w:rsid w:val="00782F7C"/>
    <w:rsid w:val="00785178"/>
    <w:rsid w:val="00791343"/>
    <w:rsid w:val="007946FA"/>
    <w:rsid w:val="007A3FD8"/>
    <w:rsid w:val="007A5D76"/>
    <w:rsid w:val="007B2C1F"/>
    <w:rsid w:val="007B5E14"/>
    <w:rsid w:val="007B790D"/>
    <w:rsid w:val="007C25F3"/>
    <w:rsid w:val="007C5AE4"/>
    <w:rsid w:val="007C644D"/>
    <w:rsid w:val="007D1931"/>
    <w:rsid w:val="007D1C13"/>
    <w:rsid w:val="007E1CB0"/>
    <w:rsid w:val="007F07D8"/>
    <w:rsid w:val="007F1653"/>
    <w:rsid w:val="007F3D2F"/>
    <w:rsid w:val="007F6165"/>
    <w:rsid w:val="0080675B"/>
    <w:rsid w:val="0081128E"/>
    <w:rsid w:val="00811D75"/>
    <w:rsid w:val="00812147"/>
    <w:rsid w:val="008121CA"/>
    <w:rsid w:val="00812C0B"/>
    <w:rsid w:val="00812F0B"/>
    <w:rsid w:val="00813E0D"/>
    <w:rsid w:val="00814B14"/>
    <w:rsid w:val="00814C1A"/>
    <w:rsid w:val="008214A0"/>
    <w:rsid w:val="00832877"/>
    <w:rsid w:val="0083375B"/>
    <w:rsid w:val="00841B27"/>
    <w:rsid w:val="00844A24"/>
    <w:rsid w:val="00846337"/>
    <w:rsid w:val="0084696F"/>
    <w:rsid w:val="00847B92"/>
    <w:rsid w:val="00851F51"/>
    <w:rsid w:val="0085398A"/>
    <w:rsid w:val="00855087"/>
    <w:rsid w:val="0085637D"/>
    <w:rsid w:val="0085723A"/>
    <w:rsid w:val="00862152"/>
    <w:rsid w:val="00876131"/>
    <w:rsid w:val="00882F12"/>
    <w:rsid w:val="0088356E"/>
    <w:rsid w:val="0088584D"/>
    <w:rsid w:val="00886995"/>
    <w:rsid w:val="00886BF5"/>
    <w:rsid w:val="00892C2A"/>
    <w:rsid w:val="00892D98"/>
    <w:rsid w:val="008937B1"/>
    <w:rsid w:val="00893B60"/>
    <w:rsid w:val="008A197D"/>
    <w:rsid w:val="008A4B6C"/>
    <w:rsid w:val="008A57B2"/>
    <w:rsid w:val="008B11F2"/>
    <w:rsid w:val="008B4C32"/>
    <w:rsid w:val="008B4FDB"/>
    <w:rsid w:val="008B557E"/>
    <w:rsid w:val="008B679F"/>
    <w:rsid w:val="008C31CD"/>
    <w:rsid w:val="008C535B"/>
    <w:rsid w:val="008D24DC"/>
    <w:rsid w:val="008D5751"/>
    <w:rsid w:val="008D68D5"/>
    <w:rsid w:val="008D6AC7"/>
    <w:rsid w:val="008E3083"/>
    <w:rsid w:val="008E364F"/>
    <w:rsid w:val="008E4D5E"/>
    <w:rsid w:val="008E5AB1"/>
    <w:rsid w:val="008F0B5E"/>
    <w:rsid w:val="008F0C7F"/>
    <w:rsid w:val="008F1508"/>
    <w:rsid w:val="008F2B7D"/>
    <w:rsid w:val="008F365B"/>
    <w:rsid w:val="00903F19"/>
    <w:rsid w:val="00907558"/>
    <w:rsid w:val="00907A2E"/>
    <w:rsid w:val="00911443"/>
    <w:rsid w:val="00913C54"/>
    <w:rsid w:val="0091405E"/>
    <w:rsid w:val="00920F56"/>
    <w:rsid w:val="00921E12"/>
    <w:rsid w:val="00925331"/>
    <w:rsid w:val="00925609"/>
    <w:rsid w:val="00926C4E"/>
    <w:rsid w:val="0093010B"/>
    <w:rsid w:val="009402EE"/>
    <w:rsid w:val="00943D46"/>
    <w:rsid w:val="0094410C"/>
    <w:rsid w:val="009451F3"/>
    <w:rsid w:val="00945712"/>
    <w:rsid w:val="0094774F"/>
    <w:rsid w:val="00964D31"/>
    <w:rsid w:val="00970365"/>
    <w:rsid w:val="00974F6F"/>
    <w:rsid w:val="00976F78"/>
    <w:rsid w:val="00981B6A"/>
    <w:rsid w:val="00992728"/>
    <w:rsid w:val="00996807"/>
    <w:rsid w:val="009A03A8"/>
    <w:rsid w:val="009A08D0"/>
    <w:rsid w:val="009A385D"/>
    <w:rsid w:val="009A4678"/>
    <w:rsid w:val="009A71DB"/>
    <w:rsid w:val="009B041A"/>
    <w:rsid w:val="009B06D5"/>
    <w:rsid w:val="009B2E9C"/>
    <w:rsid w:val="009B4283"/>
    <w:rsid w:val="009B7FCF"/>
    <w:rsid w:val="009C063A"/>
    <w:rsid w:val="009C198C"/>
    <w:rsid w:val="009C1CC6"/>
    <w:rsid w:val="009C6087"/>
    <w:rsid w:val="009D0CCA"/>
    <w:rsid w:val="009D2F31"/>
    <w:rsid w:val="009D3988"/>
    <w:rsid w:val="009D3C68"/>
    <w:rsid w:val="009D3F12"/>
    <w:rsid w:val="009E1303"/>
    <w:rsid w:val="009E2EB4"/>
    <w:rsid w:val="009E3A23"/>
    <w:rsid w:val="009E4227"/>
    <w:rsid w:val="009E433A"/>
    <w:rsid w:val="009E48CC"/>
    <w:rsid w:val="009E5183"/>
    <w:rsid w:val="009F1B6C"/>
    <w:rsid w:val="009F28F5"/>
    <w:rsid w:val="009F5FCA"/>
    <w:rsid w:val="009F6F95"/>
    <w:rsid w:val="00A01477"/>
    <w:rsid w:val="00A04877"/>
    <w:rsid w:val="00A16F01"/>
    <w:rsid w:val="00A2120C"/>
    <w:rsid w:val="00A2136D"/>
    <w:rsid w:val="00A2448E"/>
    <w:rsid w:val="00A25E67"/>
    <w:rsid w:val="00A2626A"/>
    <w:rsid w:val="00A32C43"/>
    <w:rsid w:val="00A342CE"/>
    <w:rsid w:val="00A35655"/>
    <w:rsid w:val="00A418E1"/>
    <w:rsid w:val="00A44D13"/>
    <w:rsid w:val="00A45FCC"/>
    <w:rsid w:val="00A46451"/>
    <w:rsid w:val="00A528D9"/>
    <w:rsid w:val="00A53291"/>
    <w:rsid w:val="00A5470F"/>
    <w:rsid w:val="00A56FC9"/>
    <w:rsid w:val="00A62258"/>
    <w:rsid w:val="00A647DD"/>
    <w:rsid w:val="00A6787F"/>
    <w:rsid w:val="00A679B2"/>
    <w:rsid w:val="00A7330C"/>
    <w:rsid w:val="00A7348C"/>
    <w:rsid w:val="00A74E56"/>
    <w:rsid w:val="00A81121"/>
    <w:rsid w:val="00A81EC5"/>
    <w:rsid w:val="00A84CA0"/>
    <w:rsid w:val="00A8752A"/>
    <w:rsid w:val="00A9295D"/>
    <w:rsid w:val="00A93A65"/>
    <w:rsid w:val="00A95B4D"/>
    <w:rsid w:val="00A976EF"/>
    <w:rsid w:val="00AA278C"/>
    <w:rsid w:val="00AB0923"/>
    <w:rsid w:val="00AB1E85"/>
    <w:rsid w:val="00AB5DA0"/>
    <w:rsid w:val="00AC306B"/>
    <w:rsid w:val="00AC4BBB"/>
    <w:rsid w:val="00AC7338"/>
    <w:rsid w:val="00AC7FBB"/>
    <w:rsid w:val="00AD0747"/>
    <w:rsid w:val="00AD483B"/>
    <w:rsid w:val="00AD7C4F"/>
    <w:rsid w:val="00AE22D8"/>
    <w:rsid w:val="00AE3B32"/>
    <w:rsid w:val="00AE42D0"/>
    <w:rsid w:val="00AF2A42"/>
    <w:rsid w:val="00AF3042"/>
    <w:rsid w:val="00AF5A62"/>
    <w:rsid w:val="00AF5AA4"/>
    <w:rsid w:val="00AF648C"/>
    <w:rsid w:val="00AF6677"/>
    <w:rsid w:val="00B02A9D"/>
    <w:rsid w:val="00B054EE"/>
    <w:rsid w:val="00B115B5"/>
    <w:rsid w:val="00B13EA6"/>
    <w:rsid w:val="00B14CF7"/>
    <w:rsid w:val="00B172C1"/>
    <w:rsid w:val="00B226BD"/>
    <w:rsid w:val="00B2405B"/>
    <w:rsid w:val="00B264E1"/>
    <w:rsid w:val="00B31737"/>
    <w:rsid w:val="00B34902"/>
    <w:rsid w:val="00B360B2"/>
    <w:rsid w:val="00B36F60"/>
    <w:rsid w:val="00B475D9"/>
    <w:rsid w:val="00B53266"/>
    <w:rsid w:val="00B549AF"/>
    <w:rsid w:val="00B607DC"/>
    <w:rsid w:val="00B7004E"/>
    <w:rsid w:val="00B71D62"/>
    <w:rsid w:val="00B71EDC"/>
    <w:rsid w:val="00B80334"/>
    <w:rsid w:val="00B8704F"/>
    <w:rsid w:val="00BB0531"/>
    <w:rsid w:val="00BB25D6"/>
    <w:rsid w:val="00BC34D8"/>
    <w:rsid w:val="00BC3CC5"/>
    <w:rsid w:val="00BD0773"/>
    <w:rsid w:val="00BD1F43"/>
    <w:rsid w:val="00BD3835"/>
    <w:rsid w:val="00BE2972"/>
    <w:rsid w:val="00BF2B49"/>
    <w:rsid w:val="00C10DD9"/>
    <w:rsid w:val="00C11206"/>
    <w:rsid w:val="00C1393E"/>
    <w:rsid w:val="00C15B85"/>
    <w:rsid w:val="00C1697C"/>
    <w:rsid w:val="00C17AB1"/>
    <w:rsid w:val="00C2086C"/>
    <w:rsid w:val="00C20DD3"/>
    <w:rsid w:val="00C2366C"/>
    <w:rsid w:val="00C25A9B"/>
    <w:rsid w:val="00C25E9E"/>
    <w:rsid w:val="00C270AA"/>
    <w:rsid w:val="00C351A8"/>
    <w:rsid w:val="00C367A6"/>
    <w:rsid w:val="00C370D3"/>
    <w:rsid w:val="00C43232"/>
    <w:rsid w:val="00C44894"/>
    <w:rsid w:val="00C46197"/>
    <w:rsid w:val="00C47665"/>
    <w:rsid w:val="00C51981"/>
    <w:rsid w:val="00C51C60"/>
    <w:rsid w:val="00C56898"/>
    <w:rsid w:val="00C60C83"/>
    <w:rsid w:val="00C61742"/>
    <w:rsid w:val="00C62624"/>
    <w:rsid w:val="00C768B5"/>
    <w:rsid w:val="00C77BCE"/>
    <w:rsid w:val="00C80AC1"/>
    <w:rsid w:val="00C827E7"/>
    <w:rsid w:val="00C85261"/>
    <w:rsid w:val="00C854FD"/>
    <w:rsid w:val="00C8552C"/>
    <w:rsid w:val="00C85878"/>
    <w:rsid w:val="00C9020F"/>
    <w:rsid w:val="00CA17E2"/>
    <w:rsid w:val="00CA21A0"/>
    <w:rsid w:val="00CA21FB"/>
    <w:rsid w:val="00CA42F7"/>
    <w:rsid w:val="00CA6F58"/>
    <w:rsid w:val="00CB05D6"/>
    <w:rsid w:val="00CB23FF"/>
    <w:rsid w:val="00CB7CC4"/>
    <w:rsid w:val="00CC09CA"/>
    <w:rsid w:val="00CC1C36"/>
    <w:rsid w:val="00CC2696"/>
    <w:rsid w:val="00CC3255"/>
    <w:rsid w:val="00CC3BB8"/>
    <w:rsid w:val="00CC4EEF"/>
    <w:rsid w:val="00CC502C"/>
    <w:rsid w:val="00CD08AB"/>
    <w:rsid w:val="00CD2381"/>
    <w:rsid w:val="00CD37A4"/>
    <w:rsid w:val="00CD49DF"/>
    <w:rsid w:val="00CD6B91"/>
    <w:rsid w:val="00CE0955"/>
    <w:rsid w:val="00CE4699"/>
    <w:rsid w:val="00CE6EF4"/>
    <w:rsid w:val="00CE7F6D"/>
    <w:rsid w:val="00D00907"/>
    <w:rsid w:val="00D05633"/>
    <w:rsid w:val="00D11E79"/>
    <w:rsid w:val="00D122F6"/>
    <w:rsid w:val="00D13674"/>
    <w:rsid w:val="00D14822"/>
    <w:rsid w:val="00D25B18"/>
    <w:rsid w:val="00D319FD"/>
    <w:rsid w:val="00D33291"/>
    <w:rsid w:val="00D42452"/>
    <w:rsid w:val="00D45318"/>
    <w:rsid w:val="00D54900"/>
    <w:rsid w:val="00D57B29"/>
    <w:rsid w:val="00D60323"/>
    <w:rsid w:val="00D60F6B"/>
    <w:rsid w:val="00D61565"/>
    <w:rsid w:val="00D6368B"/>
    <w:rsid w:val="00D66F2B"/>
    <w:rsid w:val="00D71947"/>
    <w:rsid w:val="00D734D7"/>
    <w:rsid w:val="00D825C2"/>
    <w:rsid w:val="00D82DA0"/>
    <w:rsid w:val="00D83E3F"/>
    <w:rsid w:val="00D83F0C"/>
    <w:rsid w:val="00D845FE"/>
    <w:rsid w:val="00D84FB1"/>
    <w:rsid w:val="00D87692"/>
    <w:rsid w:val="00D942E7"/>
    <w:rsid w:val="00D96B45"/>
    <w:rsid w:val="00DA1C53"/>
    <w:rsid w:val="00DA5AF8"/>
    <w:rsid w:val="00DA5BBF"/>
    <w:rsid w:val="00DC0F21"/>
    <w:rsid w:val="00DC5947"/>
    <w:rsid w:val="00DC63CE"/>
    <w:rsid w:val="00DC7585"/>
    <w:rsid w:val="00DD664D"/>
    <w:rsid w:val="00DE2140"/>
    <w:rsid w:val="00DF00AB"/>
    <w:rsid w:val="00DF11C6"/>
    <w:rsid w:val="00DF126C"/>
    <w:rsid w:val="00E1163B"/>
    <w:rsid w:val="00E16C1B"/>
    <w:rsid w:val="00E1786F"/>
    <w:rsid w:val="00E208B5"/>
    <w:rsid w:val="00E217F5"/>
    <w:rsid w:val="00E21CD6"/>
    <w:rsid w:val="00E2703D"/>
    <w:rsid w:val="00E31983"/>
    <w:rsid w:val="00E33D6B"/>
    <w:rsid w:val="00E34250"/>
    <w:rsid w:val="00E34C50"/>
    <w:rsid w:val="00E36D54"/>
    <w:rsid w:val="00E3730A"/>
    <w:rsid w:val="00E43AD7"/>
    <w:rsid w:val="00E46AA4"/>
    <w:rsid w:val="00E47309"/>
    <w:rsid w:val="00E47E0F"/>
    <w:rsid w:val="00E509FE"/>
    <w:rsid w:val="00E50F1B"/>
    <w:rsid w:val="00E548DD"/>
    <w:rsid w:val="00E54A00"/>
    <w:rsid w:val="00E54BAF"/>
    <w:rsid w:val="00E55AAC"/>
    <w:rsid w:val="00E62FB8"/>
    <w:rsid w:val="00E65BB6"/>
    <w:rsid w:val="00E7611D"/>
    <w:rsid w:val="00E801EF"/>
    <w:rsid w:val="00E81964"/>
    <w:rsid w:val="00E8198F"/>
    <w:rsid w:val="00E86450"/>
    <w:rsid w:val="00E87421"/>
    <w:rsid w:val="00E92386"/>
    <w:rsid w:val="00E92B42"/>
    <w:rsid w:val="00E93995"/>
    <w:rsid w:val="00E9744E"/>
    <w:rsid w:val="00EA4059"/>
    <w:rsid w:val="00EB0586"/>
    <w:rsid w:val="00EC2069"/>
    <w:rsid w:val="00EC3BE1"/>
    <w:rsid w:val="00EC53F4"/>
    <w:rsid w:val="00EC77AE"/>
    <w:rsid w:val="00ED014C"/>
    <w:rsid w:val="00ED1304"/>
    <w:rsid w:val="00ED172C"/>
    <w:rsid w:val="00ED56CD"/>
    <w:rsid w:val="00EE13AD"/>
    <w:rsid w:val="00EE38DB"/>
    <w:rsid w:val="00EE413C"/>
    <w:rsid w:val="00EE4BE6"/>
    <w:rsid w:val="00EE63D7"/>
    <w:rsid w:val="00EE77CF"/>
    <w:rsid w:val="00EE78E4"/>
    <w:rsid w:val="00EF0502"/>
    <w:rsid w:val="00EF7C54"/>
    <w:rsid w:val="00EF7D5C"/>
    <w:rsid w:val="00F10EDD"/>
    <w:rsid w:val="00F11630"/>
    <w:rsid w:val="00F11A46"/>
    <w:rsid w:val="00F15AAC"/>
    <w:rsid w:val="00F178F6"/>
    <w:rsid w:val="00F21628"/>
    <w:rsid w:val="00F25CC1"/>
    <w:rsid w:val="00F2678C"/>
    <w:rsid w:val="00F32D9A"/>
    <w:rsid w:val="00F415C8"/>
    <w:rsid w:val="00F4182C"/>
    <w:rsid w:val="00F42171"/>
    <w:rsid w:val="00F42AEB"/>
    <w:rsid w:val="00F42E87"/>
    <w:rsid w:val="00F43171"/>
    <w:rsid w:val="00F43727"/>
    <w:rsid w:val="00F443AE"/>
    <w:rsid w:val="00F44A5A"/>
    <w:rsid w:val="00F4784A"/>
    <w:rsid w:val="00F649E3"/>
    <w:rsid w:val="00F71628"/>
    <w:rsid w:val="00F74405"/>
    <w:rsid w:val="00F766CD"/>
    <w:rsid w:val="00F82B23"/>
    <w:rsid w:val="00F83EF1"/>
    <w:rsid w:val="00F853BB"/>
    <w:rsid w:val="00F85C5C"/>
    <w:rsid w:val="00F867B3"/>
    <w:rsid w:val="00F9055C"/>
    <w:rsid w:val="00F91FFD"/>
    <w:rsid w:val="00FA2AAA"/>
    <w:rsid w:val="00FA763A"/>
    <w:rsid w:val="00FB068D"/>
    <w:rsid w:val="00FB20E4"/>
    <w:rsid w:val="00FB2245"/>
    <w:rsid w:val="00FB5493"/>
    <w:rsid w:val="00FC33EF"/>
    <w:rsid w:val="00FD79DA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76F3"/>
  <w15:chartTrackingRefBased/>
  <w15:docId w15:val="{73E525A3-E100-4BB5-AB61-ECC7FDE6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A07"/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EF050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F05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F050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4D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EF0502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F0502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28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0128F"/>
    <w:rPr>
      <w:rFonts w:ascii="Arial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128F"/>
    <w:rPr>
      <w:rFonts w:ascii="Arial" w:hAnsi="Arial" w:cs="Consolas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126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126C"/>
  </w:style>
  <w:style w:type="paragraph" w:styleId="Footer">
    <w:name w:val="footer"/>
    <w:basedOn w:val="Normal"/>
    <w:link w:val="FooterChar"/>
    <w:uiPriority w:val="99"/>
    <w:unhideWhenUsed/>
    <w:rsid w:val="00DF126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F126C"/>
  </w:style>
  <w:style w:type="character" w:styleId="FollowedHyperlink">
    <w:name w:val="FollowedHyperlink"/>
    <w:basedOn w:val="DefaultParagraphFont"/>
    <w:uiPriority w:val="99"/>
    <w:semiHidden/>
    <w:unhideWhenUsed/>
    <w:rsid w:val="00CE7F6D"/>
    <w:rPr>
      <w:color w:val="954F72" w:themeColor="followedHyperlink"/>
      <w:u w:val="single"/>
    </w:rPr>
  </w:style>
  <w:style w:type="paragraph" w:customStyle="1" w:styleId="Default">
    <w:name w:val="Default"/>
    <w:rsid w:val="00026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A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A07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A07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F648C"/>
    <w:pPr>
      <w:ind w:left="720"/>
      <w:contextualSpacing/>
    </w:pPr>
  </w:style>
  <w:style w:type="table" w:styleId="TableGrid">
    <w:name w:val="Table Grid"/>
    <w:basedOn w:val="TableNormal"/>
    <w:uiPriority w:val="39"/>
    <w:rsid w:val="00AC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A3F25"/>
    <w:rPr>
      <w:b/>
      <w:bCs/>
    </w:rPr>
  </w:style>
  <w:style w:type="character" w:styleId="Emphasis">
    <w:name w:val="Emphasis"/>
    <w:basedOn w:val="DefaultParagraphFont"/>
    <w:uiPriority w:val="20"/>
    <w:qFormat/>
    <w:rsid w:val="001A3F2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F05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F05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F050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F050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F050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fn">
    <w:name w:val="fn"/>
    <w:basedOn w:val="DefaultParagraphFont"/>
    <w:rsid w:val="00EF0502"/>
  </w:style>
  <w:style w:type="paragraph" w:customStyle="1" w:styleId="role">
    <w:name w:val="role"/>
    <w:basedOn w:val="Normal"/>
    <w:rsid w:val="00EF0502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EF0502"/>
    <w:pPr>
      <w:spacing w:before="100" w:beforeAutospacing="1" w:after="100" w:afterAutospacing="1"/>
    </w:pPr>
    <w:rPr>
      <w:rFonts w:eastAsia="Times New Roman"/>
    </w:rPr>
  </w:style>
  <w:style w:type="paragraph" w:customStyle="1" w:styleId="disclosure-logo">
    <w:name w:val="disclosure-logo"/>
    <w:basedOn w:val="Normal"/>
    <w:rsid w:val="00EF0502"/>
    <w:pPr>
      <w:spacing w:before="100" w:beforeAutospacing="1" w:after="100" w:afterAutospacing="1"/>
    </w:pPr>
    <w:rPr>
      <w:rFonts w:eastAsia="Times New Roman"/>
    </w:rPr>
  </w:style>
  <w:style w:type="paragraph" w:customStyle="1" w:styleId="funding-statement">
    <w:name w:val="funding-statement"/>
    <w:basedOn w:val="Normal"/>
    <w:rsid w:val="00EF0502"/>
    <w:pPr>
      <w:spacing w:before="100" w:beforeAutospacing="1" w:after="100" w:afterAutospacing="1"/>
    </w:pPr>
    <w:rPr>
      <w:rFonts w:eastAsia="Times New Roman"/>
    </w:rPr>
  </w:style>
  <w:style w:type="character" w:customStyle="1" w:styleId="data-count">
    <w:name w:val="data-count"/>
    <w:basedOn w:val="DefaultParagraphFont"/>
    <w:rsid w:val="00EF0502"/>
  </w:style>
  <w:style w:type="character" w:customStyle="1" w:styleId="Caption1">
    <w:name w:val="Caption1"/>
    <w:basedOn w:val="DefaultParagraphFont"/>
    <w:rsid w:val="00EF0502"/>
  </w:style>
  <w:style w:type="character" w:customStyle="1" w:styleId="source">
    <w:name w:val="source"/>
    <w:basedOn w:val="DefaultParagraphFont"/>
    <w:rsid w:val="00EF0502"/>
  </w:style>
  <w:style w:type="paragraph" w:customStyle="1" w:styleId="muitypography-root-422">
    <w:name w:val="muitypography-root-422"/>
    <w:basedOn w:val="Normal"/>
    <w:rsid w:val="00EF0502"/>
    <w:pPr>
      <w:spacing w:before="100" w:beforeAutospacing="1" w:after="100" w:afterAutospacing="1"/>
    </w:pPr>
    <w:rPr>
      <w:rFonts w:eastAsia="Times New Roman"/>
    </w:rPr>
  </w:style>
  <w:style w:type="character" w:customStyle="1" w:styleId="comment-count">
    <w:name w:val="comment-count"/>
    <w:basedOn w:val="DefaultParagraphFont"/>
    <w:rsid w:val="00EF0502"/>
  </w:style>
  <w:style w:type="character" w:customStyle="1" w:styleId="name">
    <w:name w:val="name"/>
    <w:basedOn w:val="DefaultParagraphFont"/>
    <w:rsid w:val="00EF0502"/>
  </w:style>
  <w:style w:type="character" w:customStyle="1" w:styleId="location">
    <w:name w:val="location"/>
    <w:basedOn w:val="DefaultParagraphFont"/>
    <w:rsid w:val="00EF0502"/>
  </w:style>
  <w:style w:type="character" w:customStyle="1" w:styleId="action">
    <w:name w:val="action"/>
    <w:basedOn w:val="DefaultParagraphFont"/>
    <w:rsid w:val="00EF0502"/>
  </w:style>
  <w:style w:type="character" w:styleId="FootnoteReference">
    <w:name w:val="footnote reference"/>
    <w:uiPriority w:val="99"/>
    <w:rsid w:val="002428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4288E"/>
    <w:rPr>
      <w:rFonts w:eastAsia="Times New Roman"/>
      <w:sz w:val="22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288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164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rsid w:val="007722E8"/>
    <w:pPr>
      <w:jc w:val="center"/>
    </w:pPr>
    <w:rPr>
      <w:rFonts w:eastAsia="Times New Roman"/>
      <w:b/>
      <w:bCs/>
      <w:sz w:val="28"/>
      <w:lang w:eastAsia="de-DE"/>
    </w:rPr>
  </w:style>
  <w:style w:type="character" w:customStyle="1" w:styleId="BodyText3Char">
    <w:name w:val="Body Text 3 Char"/>
    <w:basedOn w:val="DefaultParagraphFont"/>
    <w:link w:val="BodyText3"/>
    <w:uiPriority w:val="99"/>
    <w:rsid w:val="007722E8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markedcontent">
    <w:name w:val="markedcontent"/>
    <w:basedOn w:val="DefaultParagraphFont"/>
    <w:rsid w:val="007722E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0F5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E4D2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1163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1163B"/>
    <w:pPr>
      <w:spacing w:after="100"/>
    </w:pPr>
  </w:style>
  <w:style w:type="paragraph" w:styleId="BodyText">
    <w:name w:val="Body Text"/>
    <w:basedOn w:val="Normal"/>
    <w:link w:val="BodyTextChar"/>
    <w:uiPriority w:val="99"/>
    <w:semiHidden/>
    <w:unhideWhenUsed/>
    <w:rsid w:val="001C38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3838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5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6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7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4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2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5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13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4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p-aewa.org/en/publication/aewa-conservation-guidelines-no-11-guidelines-how-avoid-minimize-or-mitigate-impact" TargetMode="External"/><Relationship Id="rId13" Type="http://schemas.openxmlformats.org/officeDocument/2006/relationships/hyperlink" Target="https://en.wikipedia.org/w/index.php?title=Protocol_on_Strategic_Environmental_Assessment&amp;action=edit&amp;redlink=1" TargetMode="External"/><Relationship Id="rId18" Type="http://schemas.openxmlformats.org/officeDocument/2006/relationships/hyperlink" Target="https://www.unep-aewa.org/en/document/impact-invasive-alien-aquatic-weeds-waterbird-habitats-africa-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unep-aewa.org/en/document/adverse-effects-agrochemicals-migratory-waterbirds-africa-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nep-aewa.org/en/document/addressing-impacts-renewable-energy-deployment-migratory-waterbirds-2" TargetMode="External"/><Relationship Id="rId17" Type="http://schemas.openxmlformats.org/officeDocument/2006/relationships/hyperlink" Target="https://www.unep-aewa.org/en/document/introduced-non-native-waterbird-species-agreement-area-0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unep-aewa.org/en/document/priorities-conservation-seabirds-african-eurasian-flyways-1" TargetMode="External"/><Relationship Id="rId20" Type="http://schemas.openxmlformats.org/officeDocument/2006/relationships/hyperlink" Target="https://www.unep-aewa.org/en/document/phasing-out-lead-shot-hunting-wetlands-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ep-aewa.org/en/document/renewable-energy-and-migratory-waterbirds-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unep-aewa.org/en/document/improving-conservation-status-african-eurasian-seabirds-3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unep-aewa.org/en/document/power-lines-and-migratory-waterbirds" TargetMode="External"/><Relationship Id="rId19" Type="http://schemas.openxmlformats.org/officeDocument/2006/relationships/hyperlink" Target="https://www.unep-aewa.org/en/document/phasing-out-lead-shot-hunting-wetlands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ep-aewa.org/en/publication/aewa-conservation-guidelines-no-14-guidelines-how-avoid-or-mitigate-impact-electricity" TargetMode="External"/><Relationship Id="rId14" Type="http://schemas.openxmlformats.org/officeDocument/2006/relationships/hyperlink" Target="https://www.unep-aewa.org/en/publication/aewa-conservation-guidelines-no-6-guidelines-regulating-trade-migratory-waterbirds-ts-no" TargetMode="External"/><Relationship Id="rId22" Type="http://schemas.openxmlformats.org/officeDocument/2006/relationships/hyperlink" Target="https://www.unep-aewa.org/en/document/priorities-conservation-seabirds-african-eurasian-flyways-1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C4E88-51AA-4E27-A1D1-2D14DD86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11606</Words>
  <Characters>66155</Characters>
  <Application>Microsoft Office Word</Application>
  <DocSecurity>0</DocSecurity>
  <Lines>551</Lines>
  <Paragraphs>155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Jeannine Dicken</cp:lastModifiedBy>
  <cp:revision>4</cp:revision>
  <cp:lastPrinted>2022-09-12T12:36:00Z</cp:lastPrinted>
  <dcterms:created xsi:type="dcterms:W3CDTF">2022-09-12T05:50:00Z</dcterms:created>
  <dcterms:modified xsi:type="dcterms:W3CDTF">2022-09-12T12:37:00Z</dcterms:modified>
</cp:coreProperties>
</file>