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76DB" w14:textId="77777777" w:rsidR="005D197C" w:rsidRPr="00AC7338" w:rsidRDefault="005D197C" w:rsidP="005D197C">
      <w:pPr>
        <w:rPr>
          <w:rFonts w:ascii="Arial" w:hAnsi="Arial" w:cs="Arial"/>
          <w:sz w:val="16"/>
          <w:szCs w:val="16"/>
        </w:rPr>
      </w:pPr>
    </w:p>
    <w:p w14:paraId="630DAB73" w14:textId="5A4AD52B" w:rsidR="00AC7338" w:rsidRPr="00506507" w:rsidRDefault="00506507" w:rsidP="00506507">
      <w:pPr>
        <w:shd w:val="clear" w:color="auto" w:fill="FFFFFF" w:themeFill="background1"/>
        <w:jc w:val="center"/>
        <w:rPr>
          <w:b/>
        </w:rPr>
      </w:pPr>
      <w:bookmarkStart w:id="0" w:name="_Hlk109303139"/>
      <w:r w:rsidRPr="00506507">
        <w:rPr>
          <w:b/>
        </w:rPr>
        <w:t>OPPORTUNITIES FOR ADDRESSING CAUSES OF WATERBIRD MORTALITY</w:t>
      </w:r>
      <w:bookmarkEnd w:id="0"/>
    </w:p>
    <w:p w14:paraId="1E774135" w14:textId="77777777" w:rsidR="00AC7338" w:rsidRPr="00506507" w:rsidRDefault="00AC7338" w:rsidP="00AC7338">
      <w:pPr>
        <w:rPr>
          <w:sz w:val="12"/>
          <w:szCs w:val="12"/>
        </w:rPr>
      </w:pPr>
    </w:p>
    <w:p w14:paraId="795D008F" w14:textId="55782760" w:rsidR="00AC7338" w:rsidRDefault="00AC7338" w:rsidP="00AC7338">
      <w:pPr>
        <w:rPr>
          <w:sz w:val="22"/>
          <w:szCs w:val="22"/>
        </w:rPr>
      </w:pPr>
    </w:p>
    <w:p w14:paraId="7D8B61DE" w14:textId="6736733D" w:rsidR="00E1163B" w:rsidRDefault="00E1163B" w:rsidP="00AC7338">
      <w:pPr>
        <w:rPr>
          <w:sz w:val="22"/>
          <w:szCs w:val="22"/>
        </w:rPr>
      </w:pPr>
    </w:p>
    <w:p w14:paraId="189493FF" w14:textId="77777777" w:rsidR="001C3838" w:rsidRPr="001C3838" w:rsidRDefault="001C3838" w:rsidP="001C3838">
      <w:pPr>
        <w:spacing w:after="180"/>
        <w:jc w:val="both"/>
        <w:rPr>
          <w:rFonts w:eastAsia="Calibri"/>
          <w:b/>
          <w:bCs/>
          <w:lang w:val="en-US" w:eastAsia="en-US"/>
        </w:rPr>
      </w:pPr>
      <w:r w:rsidRPr="001C3838">
        <w:rPr>
          <w:rFonts w:eastAsia="Calibri"/>
          <w:b/>
          <w:bCs/>
          <w:lang w:val="en-US" w:eastAsia="en-US"/>
        </w:rPr>
        <w:t>Introduction</w:t>
      </w:r>
    </w:p>
    <w:p w14:paraId="16FE546A" w14:textId="77777777" w:rsidR="001C3838" w:rsidRPr="001C3838" w:rsidRDefault="001C3838" w:rsidP="001C3838">
      <w:pPr>
        <w:spacing w:before="180" w:after="180"/>
        <w:jc w:val="both"/>
        <w:rPr>
          <w:rFonts w:eastAsia="Calibri"/>
          <w:sz w:val="22"/>
          <w:szCs w:val="22"/>
          <w:lang w:val="en-US" w:eastAsia="en-US"/>
        </w:rPr>
      </w:pPr>
      <w:r w:rsidRPr="001C3838">
        <w:rPr>
          <w:rFonts w:eastAsia="Calibri"/>
          <w:sz w:val="22"/>
          <w:szCs w:val="22"/>
          <w:lang w:val="en-US" w:eastAsia="en-US"/>
        </w:rPr>
        <w:t>Under Objective 1 of the AEWA Strategic Plan 2019-2027 (</w:t>
      </w:r>
      <w:r w:rsidRPr="001C3838">
        <w:rPr>
          <w:rFonts w:eastAsia="Calibri"/>
          <w:i/>
          <w:sz w:val="22"/>
          <w:szCs w:val="22"/>
          <w:lang w:val="en-US" w:eastAsia="en-US"/>
        </w:rPr>
        <w:t>To strengthen species conservation and recovery and reduce causes of unnecessary mortality</w:t>
      </w:r>
      <w:r w:rsidRPr="001C3838">
        <w:rPr>
          <w:rFonts w:eastAsia="Calibri"/>
          <w:sz w:val="22"/>
          <w:szCs w:val="22"/>
          <w:lang w:val="en-US" w:eastAsia="en-US"/>
        </w:rPr>
        <w:t>) Target 1.6 foresees the integration of AEWA priorities relating to four causes of unnecessary additional mortality and other key threats to migratory waterbirds and their habitats in key multilateral processes. The four causes identified in the Strategic Plan are energy infrastructure (especially powerlines, wind turbines); illegal taking &amp; killing; fisheries bycatch; and invasive alien species.</w:t>
      </w:r>
    </w:p>
    <w:p w14:paraId="35F91185" w14:textId="77777777" w:rsidR="001C3838" w:rsidRPr="001C3838" w:rsidRDefault="001C3838" w:rsidP="001C3838">
      <w:pPr>
        <w:spacing w:before="180" w:after="180"/>
        <w:jc w:val="both"/>
        <w:rPr>
          <w:rFonts w:eastAsia="Calibri"/>
          <w:sz w:val="22"/>
          <w:szCs w:val="22"/>
          <w:lang w:val="en-US" w:eastAsia="en-US"/>
        </w:rPr>
      </w:pPr>
      <w:r w:rsidRPr="001C3838">
        <w:rPr>
          <w:rFonts w:eastAsia="Calibri"/>
          <w:sz w:val="22"/>
          <w:szCs w:val="22"/>
          <w:lang w:val="en-US" w:eastAsia="en-US"/>
        </w:rPr>
        <w:t xml:space="preserve">Under actions 1.6(a) and 1.6(b) the Technical Committee was mandated to identify those multilateral processes that can contribute most to progressing AEWA priorities and identify strategic opportunities for positively influencing these processes (meetings of technical bodies, working groups etc.) </w:t>
      </w:r>
      <w:proofErr w:type="gramStart"/>
      <w:r w:rsidRPr="001C3838">
        <w:rPr>
          <w:rFonts w:eastAsia="Calibri"/>
          <w:sz w:val="22"/>
          <w:szCs w:val="22"/>
          <w:lang w:val="en-US" w:eastAsia="en-US"/>
        </w:rPr>
        <w:t>in order to</w:t>
      </w:r>
      <w:proofErr w:type="gramEnd"/>
      <w:r w:rsidRPr="001C3838">
        <w:rPr>
          <w:rFonts w:eastAsia="Calibri"/>
          <w:sz w:val="22"/>
          <w:szCs w:val="22"/>
          <w:lang w:val="en-US" w:eastAsia="en-US"/>
        </w:rPr>
        <w:t xml:space="preserve"> ensure, as far as possible, that AEWA’s views are represented.</w:t>
      </w:r>
    </w:p>
    <w:p w14:paraId="2F21D8D5" w14:textId="77777777" w:rsidR="001C3838" w:rsidRPr="001C3838" w:rsidRDefault="001C3838" w:rsidP="001C3838">
      <w:pPr>
        <w:spacing w:before="180" w:after="180"/>
        <w:jc w:val="both"/>
        <w:rPr>
          <w:rFonts w:eastAsia="Calibri"/>
          <w:sz w:val="22"/>
          <w:szCs w:val="22"/>
          <w:lang w:val="en-US" w:eastAsia="en-US"/>
        </w:rPr>
      </w:pPr>
      <w:r w:rsidRPr="001C3838">
        <w:rPr>
          <w:rFonts w:eastAsia="Calibri"/>
          <w:sz w:val="22"/>
          <w:szCs w:val="22"/>
          <w:lang w:val="en-US" w:eastAsia="en-US"/>
        </w:rPr>
        <w:t xml:space="preserve">In response to this mandate, task 4.1 was added to the Technical Committee workplan 2019-2021/22. Due to lack of capacity this task could not be addressed until very late in the intersessional period. </w:t>
      </w:r>
    </w:p>
    <w:p w14:paraId="40884217" w14:textId="4DE7AB27" w:rsidR="001C3838" w:rsidRPr="001C3838" w:rsidRDefault="001C3838" w:rsidP="001C3838">
      <w:pPr>
        <w:spacing w:before="180" w:after="180"/>
        <w:jc w:val="both"/>
        <w:rPr>
          <w:rFonts w:eastAsia="Calibri"/>
          <w:sz w:val="22"/>
          <w:szCs w:val="22"/>
          <w:lang w:val="en-US" w:eastAsia="en-US"/>
        </w:rPr>
      </w:pPr>
      <w:r w:rsidRPr="001C3838">
        <w:rPr>
          <w:rFonts w:eastAsia="Calibri"/>
          <w:sz w:val="22"/>
          <w:szCs w:val="22"/>
          <w:lang w:val="en-US" w:eastAsia="en-US"/>
        </w:rPr>
        <w:t xml:space="preserve">With the financial support of the Government of the United Kingdom, in early 2021 the Secretariat commissioned the compilation of an overview of the opportunities available to address the four causes of waterbird mortality in the framework of other multilateral processes. Due to the postponement of MOP8 from October 2021 to September 2022, this document could be </w:t>
      </w:r>
      <w:proofErr w:type="spellStart"/>
      <w:r w:rsidRPr="001C3838">
        <w:rPr>
          <w:rFonts w:eastAsia="Calibri"/>
          <w:sz w:val="22"/>
          <w:szCs w:val="22"/>
          <w:lang w:val="en-US" w:eastAsia="en-US"/>
        </w:rPr>
        <w:t>finali</w:t>
      </w:r>
      <w:r w:rsidR="005B1065">
        <w:rPr>
          <w:rFonts w:eastAsia="Calibri"/>
          <w:sz w:val="22"/>
          <w:szCs w:val="22"/>
          <w:lang w:val="en-US" w:eastAsia="en-US"/>
        </w:rPr>
        <w:t>s</w:t>
      </w:r>
      <w:r w:rsidRPr="001C3838">
        <w:rPr>
          <w:rFonts w:eastAsia="Calibri"/>
          <w:sz w:val="22"/>
          <w:szCs w:val="22"/>
          <w:lang w:val="en-US" w:eastAsia="en-US"/>
        </w:rPr>
        <w:t>ed</w:t>
      </w:r>
      <w:proofErr w:type="spellEnd"/>
      <w:r w:rsidRPr="001C3838">
        <w:rPr>
          <w:rFonts w:eastAsia="Calibri"/>
          <w:sz w:val="22"/>
          <w:szCs w:val="22"/>
          <w:lang w:val="en-US" w:eastAsia="en-US"/>
        </w:rPr>
        <w:t xml:space="preserve"> for submission to MOP8.</w:t>
      </w:r>
    </w:p>
    <w:p w14:paraId="465C369C" w14:textId="77777777" w:rsidR="001C3838" w:rsidRPr="001C3838" w:rsidRDefault="001C3838" w:rsidP="001C3838">
      <w:pPr>
        <w:spacing w:before="180"/>
        <w:jc w:val="both"/>
        <w:rPr>
          <w:rFonts w:eastAsia="Calibri"/>
          <w:sz w:val="22"/>
          <w:szCs w:val="22"/>
          <w:lang w:val="en-US" w:eastAsia="en-US"/>
        </w:rPr>
      </w:pPr>
      <w:r w:rsidRPr="001C3838">
        <w:rPr>
          <w:rFonts w:eastAsia="Calibri"/>
          <w:sz w:val="22"/>
          <w:szCs w:val="22"/>
          <w:lang w:val="en-US" w:eastAsia="en-US"/>
        </w:rPr>
        <w:t>The document was compiled in close consultation with and input from the Technical Committee through its online Workspace. The Technical Committee reviewed drafts of the document and approved the final and agreed version for submission to the Standing Committee. The Standing Committee approved by correspondence the document for submission to MOP8.</w:t>
      </w:r>
    </w:p>
    <w:p w14:paraId="5AA7D8BC" w14:textId="77777777" w:rsidR="001C3838" w:rsidRPr="001C3838" w:rsidRDefault="001C3838" w:rsidP="001C3838">
      <w:pPr>
        <w:spacing w:after="240"/>
        <w:jc w:val="both"/>
        <w:rPr>
          <w:rFonts w:eastAsia="Calibri"/>
          <w:sz w:val="22"/>
          <w:szCs w:val="22"/>
          <w:lang w:val="en-US" w:eastAsia="en-US"/>
        </w:rPr>
      </w:pPr>
    </w:p>
    <w:p w14:paraId="74328ADF" w14:textId="77777777" w:rsidR="001C3838" w:rsidRPr="001C3838" w:rsidRDefault="001C3838" w:rsidP="001C3838">
      <w:pPr>
        <w:spacing w:before="180" w:after="180"/>
        <w:jc w:val="both"/>
        <w:rPr>
          <w:rFonts w:eastAsia="Calibri"/>
          <w:b/>
          <w:bCs/>
          <w:lang w:val="en-US" w:eastAsia="en-US"/>
        </w:rPr>
      </w:pPr>
      <w:r w:rsidRPr="001C3838">
        <w:rPr>
          <w:rFonts w:eastAsia="Calibri"/>
          <w:b/>
          <w:bCs/>
          <w:lang w:val="en-US" w:eastAsia="en-US"/>
        </w:rPr>
        <w:t>Action Requested from the Meeting of the Parties</w:t>
      </w:r>
    </w:p>
    <w:p w14:paraId="52068067" w14:textId="77777777" w:rsidR="001C3838" w:rsidRPr="001C3838" w:rsidRDefault="001C3838" w:rsidP="00F415C8">
      <w:pPr>
        <w:spacing w:after="200"/>
        <w:jc w:val="both"/>
        <w:rPr>
          <w:rFonts w:ascii="Calibri" w:eastAsia="Calibri" w:hAnsi="Calibri"/>
          <w:lang w:val="en-US" w:eastAsia="en-US"/>
        </w:rPr>
      </w:pPr>
      <w:r w:rsidRPr="001C3838">
        <w:rPr>
          <w:rFonts w:eastAsia="Calibri"/>
          <w:sz w:val="22"/>
          <w:szCs w:val="22"/>
          <w:lang w:val="en-US" w:eastAsia="en-US"/>
        </w:rPr>
        <w:t>The Meeting of the Parties is requested to review the document and consider its recommendations for implementation (see also Draft Resolution 8.15).</w:t>
      </w:r>
    </w:p>
    <w:p w14:paraId="06617CAA" w14:textId="77777777" w:rsidR="001C3838" w:rsidRDefault="001C3838" w:rsidP="00AC7338">
      <w:pPr>
        <w:rPr>
          <w:b/>
        </w:rPr>
      </w:pPr>
    </w:p>
    <w:p w14:paraId="2200613D" w14:textId="77777777" w:rsidR="001C3838" w:rsidRDefault="001C3838" w:rsidP="00AC7338">
      <w:pPr>
        <w:rPr>
          <w:b/>
        </w:rPr>
      </w:pPr>
    </w:p>
    <w:p w14:paraId="0AA50ED8" w14:textId="77777777" w:rsidR="001C3838" w:rsidRDefault="001C3838" w:rsidP="00AC7338">
      <w:pPr>
        <w:rPr>
          <w:b/>
        </w:rPr>
      </w:pPr>
    </w:p>
    <w:p w14:paraId="55F58A36" w14:textId="77777777" w:rsidR="001C3838" w:rsidRDefault="001C3838" w:rsidP="00AC7338">
      <w:pPr>
        <w:rPr>
          <w:b/>
        </w:rPr>
      </w:pPr>
    </w:p>
    <w:p w14:paraId="4A812647" w14:textId="77777777" w:rsidR="001C3838" w:rsidRDefault="001C3838" w:rsidP="00AC7338">
      <w:pPr>
        <w:rPr>
          <w:b/>
        </w:rPr>
      </w:pPr>
    </w:p>
    <w:p w14:paraId="1FA52F10" w14:textId="77777777" w:rsidR="001C3838" w:rsidRDefault="001C3838" w:rsidP="00AC7338">
      <w:pPr>
        <w:rPr>
          <w:b/>
        </w:rPr>
      </w:pPr>
    </w:p>
    <w:p w14:paraId="56B7BC02" w14:textId="37E989A5" w:rsidR="001C3838" w:rsidRDefault="001C3838" w:rsidP="00AC7338">
      <w:pPr>
        <w:rPr>
          <w:b/>
        </w:rPr>
      </w:pPr>
    </w:p>
    <w:p w14:paraId="155252DD" w14:textId="77777777" w:rsidR="00F443AE" w:rsidRDefault="00F443AE" w:rsidP="00AC7338">
      <w:pPr>
        <w:rPr>
          <w:b/>
        </w:rPr>
      </w:pPr>
    </w:p>
    <w:p w14:paraId="6678C9DC" w14:textId="77777777" w:rsidR="001C3838" w:rsidRPr="001C3838" w:rsidRDefault="001C3838" w:rsidP="00AC7338">
      <w:pPr>
        <w:rPr>
          <w:sz w:val="22"/>
          <w:szCs w:val="22"/>
          <w:lang w:val="en-US"/>
        </w:rPr>
      </w:pPr>
    </w:p>
    <w:p w14:paraId="2B3CFD52" w14:textId="77777777" w:rsidR="00E1163B" w:rsidRPr="00506507" w:rsidRDefault="00E1163B" w:rsidP="00AC7338">
      <w:pPr>
        <w:rPr>
          <w:sz w:val="22"/>
          <w:szCs w:val="22"/>
        </w:rPr>
      </w:pPr>
    </w:p>
    <w:sdt>
      <w:sdtPr>
        <w:rPr>
          <w:rFonts w:ascii="Times New Roman" w:eastAsiaTheme="minorHAnsi" w:hAnsi="Times New Roman" w:cs="Times New Roman"/>
          <w:color w:val="auto"/>
          <w:sz w:val="24"/>
          <w:szCs w:val="24"/>
          <w:lang w:val="en-GB" w:eastAsia="en-GB"/>
        </w:rPr>
        <w:id w:val="-667867348"/>
        <w:docPartObj>
          <w:docPartGallery w:val="Table of Contents"/>
          <w:docPartUnique/>
        </w:docPartObj>
      </w:sdtPr>
      <w:sdtEndPr>
        <w:rPr>
          <w:b/>
          <w:bCs/>
          <w:noProof/>
        </w:rPr>
      </w:sdtEndPr>
      <w:sdtContent>
        <w:p w14:paraId="575D431C" w14:textId="2108DD27" w:rsidR="00E1163B" w:rsidRPr="00F443AE" w:rsidRDefault="00E1163B">
          <w:pPr>
            <w:pStyle w:val="TOCHeading"/>
            <w:rPr>
              <w:rFonts w:ascii="Times New Roman" w:hAnsi="Times New Roman" w:cs="Times New Roman"/>
              <w:sz w:val="28"/>
              <w:szCs w:val="28"/>
            </w:rPr>
          </w:pPr>
          <w:r w:rsidRPr="00F443AE">
            <w:rPr>
              <w:rFonts w:ascii="Times New Roman" w:hAnsi="Times New Roman" w:cs="Times New Roman"/>
              <w:sz w:val="28"/>
              <w:szCs w:val="28"/>
            </w:rPr>
            <w:t>Contents</w:t>
          </w:r>
        </w:p>
        <w:p w14:paraId="14313117" w14:textId="7BD645A6" w:rsidR="004A450A" w:rsidRDefault="00E1163B">
          <w:pPr>
            <w:pStyle w:val="TOC1"/>
            <w:tabs>
              <w:tab w:val="right" w:leader="dot" w:pos="9620"/>
            </w:tabs>
            <w:rPr>
              <w:rFonts w:asciiTheme="minorHAnsi" w:eastAsiaTheme="minorEastAsia" w:hAnsiTheme="minorHAnsi" w:cstheme="minorBidi"/>
              <w:noProof/>
              <w:sz w:val="22"/>
              <w:szCs w:val="22"/>
              <w:lang w:val="en-US" w:eastAsia="en-US"/>
            </w:rPr>
          </w:pPr>
          <w:r w:rsidRPr="00E1163B">
            <w:fldChar w:fldCharType="begin"/>
          </w:r>
          <w:r w:rsidRPr="00E1163B">
            <w:instrText xml:space="preserve"> TOC \o "1-3" \h \z \u </w:instrText>
          </w:r>
          <w:r w:rsidRPr="00E1163B">
            <w:fldChar w:fldCharType="separate"/>
          </w:r>
          <w:hyperlink w:anchor="_Toc106615964" w:history="1">
            <w:r w:rsidR="004A450A" w:rsidRPr="00F25829">
              <w:rPr>
                <w:rStyle w:val="Hyperlink"/>
                <w:noProof/>
              </w:rPr>
              <w:t>Introduction and Purpose of this Document</w:t>
            </w:r>
            <w:r w:rsidR="004A450A">
              <w:rPr>
                <w:noProof/>
                <w:webHidden/>
              </w:rPr>
              <w:tab/>
            </w:r>
            <w:r w:rsidR="004A450A">
              <w:rPr>
                <w:noProof/>
                <w:webHidden/>
              </w:rPr>
              <w:fldChar w:fldCharType="begin"/>
            </w:r>
            <w:r w:rsidR="004A450A">
              <w:rPr>
                <w:noProof/>
                <w:webHidden/>
              </w:rPr>
              <w:instrText xml:space="preserve"> PAGEREF _Toc106615964 \h </w:instrText>
            </w:r>
            <w:r w:rsidR="004A450A">
              <w:rPr>
                <w:noProof/>
                <w:webHidden/>
              </w:rPr>
            </w:r>
            <w:r w:rsidR="004A450A">
              <w:rPr>
                <w:noProof/>
                <w:webHidden/>
              </w:rPr>
              <w:fldChar w:fldCharType="separate"/>
            </w:r>
            <w:r w:rsidR="00F443AE">
              <w:rPr>
                <w:noProof/>
                <w:webHidden/>
              </w:rPr>
              <w:t>3</w:t>
            </w:r>
            <w:r w:rsidR="004A450A">
              <w:rPr>
                <w:noProof/>
                <w:webHidden/>
              </w:rPr>
              <w:fldChar w:fldCharType="end"/>
            </w:r>
          </w:hyperlink>
        </w:p>
        <w:p w14:paraId="3E34FB00" w14:textId="7F77ECB9" w:rsidR="004A450A" w:rsidRDefault="00886995">
          <w:pPr>
            <w:pStyle w:val="TOC1"/>
            <w:tabs>
              <w:tab w:val="right" w:leader="dot" w:pos="9620"/>
            </w:tabs>
            <w:rPr>
              <w:rFonts w:asciiTheme="minorHAnsi" w:eastAsiaTheme="minorEastAsia" w:hAnsiTheme="minorHAnsi" w:cstheme="minorBidi"/>
              <w:noProof/>
              <w:sz w:val="22"/>
              <w:szCs w:val="22"/>
              <w:lang w:val="en-US" w:eastAsia="en-US"/>
            </w:rPr>
          </w:pPr>
          <w:hyperlink w:anchor="_Toc106615965" w:history="1">
            <w:r w:rsidR="004A450A" w:rsidRPr="00F25829">
              <w:rPr>
                <w:rStyle w:val="Hyperlink"/>
                <w:noProof/>
              </w:rPr>
              <w:t>What do we Mean by Influencing?</w:t>
            </w:r>
            <w:r w:rsidR="004A450A">
              <w:rPr>
                <w:noProof/>
                <w:webHidden/>
              </w:rPr>
              <w:tab/>
            </w:r>
            <w:r w:rsidR="004A450A">
              <w:rPr>
                <w:noProof/>
                <w:webHidden/>
              </w:rPr>
              <w:fldChar w:fldCharType="begin"/>
            </w:r>
            <w:r w:rsidR="004A450A">
              <w:rPr>
                <w:noProof/>
                <w:webHidden/>
              </w:rPr>
              <w:instrText xml:space="preserve"> PAGEREF _Toc106615965 \h </w:instrText>
            </w:r>
            <w:r w:rsidR="004A450A">
              <w:rPr>
                <w:noProof/>
                <w:webHidden/>
              </w:rPr>
            </w:r>
            <w:r w:rsidR="004A450A">
              <w:rPr>
                <w:noProof/>
                <w:webHidden/>
              </w:rPr>
              <w:fldChar w:fldCharType="separate"/>
            </w:r>
            <w:r w:rsidR="00F443AE">
              <w:rPr>
                <w:noProof/>
                <w:webHidden/>
              </w:rPr>
              <w:t>3</w:t>
            </w:r>
            <w:r w:rsidR="004A450A">
              <w:rPr>
                <w:noProof/>
                <w:webHidden/>
              </w:rPr>
              <w:fldChar w:fldCharType="end"/>
            </w:r>
          </w:hyperlink>
        </w:p>
        <w:p w14:paraId="118DF8F5" w14:textId="38689BF5" w:rsidR="004A450A" w:rsidRDefault="00886995">
          <w:pPr>
            <w:pStyle w:val="TOC1"/>
            <w:tabs>
              <w:tab w:val="right" w:leader="dot" w:pos="9620"/>
            </w:tabs>
            <w:rPr>
              <w:rFonts w:asciiTheme="minorHAnsi" w:eastAsiaTheme="minorEastAsia" w:hAnsiTheme="minorHAnsi" w:cstheme="minorBidi"/>
              <w:noProof/>
              <w:sz w:val="22"/>
              <w:szCs w:val="22"/>
              <w:lang w:val="en-US" w:eastAsia="en-US"/>
            </w:rPr>
          </w:pPr>
          <w:hyperlink w:anchor="_Toc106615966" w:history="1">
            <w:r w:rsidR="004A450A" w:rsidRPr="00F25829">
              <w:rPr>
                <w:rStyle w:val="Hyperlink"/>
                <w:noProof/>
              </w:rPr>
              <w:t>How Opportunities for Influencing have been Prioritised for this Review</w:t>
            </w:r>
            <w:r w:rsidR="004A450A">
              <w:rPr>
                <w:noProof/>
                <w:webHidden/>
              </w:rPr>
              <w:tab/>
            </w:r>
            <w:r w:rsidR="004A450A">
              <w:rPr>
                <w:noProof/>
                <w:webHidden/>
              </w:rPr>
              <w:fldChar w:fldCharType="begin"/>
            </w:r>
            <w:r w:rsidR="004A450A">
              <w:rPr>
                <w:noProof/>
                <w:webHidden/>
              </w:rPr>
              <w:instrText xml:space="preserve"> PAGEREF _Toc106615966 \h </w:instrText>
            </w:r>
            <w:r w:rsidR="004A450A">
              <w:rPr>
                <w:noProof/>
                <w:webHidden/>
              </w:rPr>
            </w:r>
            <w:r w:rsidR="004A450A">
              <w:rPr>
                <w:noProof/>
                <w:webHidden/>
              </w:rPr>
              <w:fldChar w:fldCharType="separate"/>
            </w:r>
            <w:r w:rsidR="00F443AE">
              <w:rPr>
                <w:noProof/>
                <w:webHidden/>
              </w:rPr>
              <w:t>4</w:t>
            </w:r>
            <w:r w:rsidR="004A450A">
              <w:rPr>
                <w:noProof/>
                <w:webHidden/>
              </w:rPr>
              <w:fldChar w:fldCharType="end"/>
            </w:r>
          </w:hyperlink>
        </w:p>
        <w:p w14:paraId="0E948D33" w14:textId="7E98703C" w:rsidR="004A450A" w:rsidRDefault="00886995">
          <w:pPr>
            <w:pStyle w:val="TOC1"/>
            <w:tabs>
              <w:tab w:val="right" w:leader="dot" w:pos="9620"/>
            </w:tabs>
            <w:rPr>
              <w:rFonts w:asciiTheme="minorHAnsi" w:eastAsiaTheme="minorEastAsia" w:hAnsiTheme="minorHAnsi" w:cstheme="minorBidi"/>
              <w:noProof/>
              <w:sz w:val="22"/>
              <w:szCs w:val="22"/>
              <w:lang w:val="en-US" w:eastAsia="en-US"/>
            </w:rPr>
          </w:pPr>
          <w:hyperlink w:anchor="_Toc106615967" w:history="1">
            <w:r w:rsidR="004A450A" w:rsidRPr="00F25829">
              <w:rPr>
                <w:rStyle w:val="Hyperlink"/>
                <w:noProof/>
              </w:rPr>
              <w:t>The Opportunities Relating to each Mortality Cause</w:t>
            </w:r>
            <w:r w:rsidR="004A450A">
              <w:rPr>
                <w:noProof/>
                <w:webHidden/>
              </w:rPr>
              <w:tab/>
            </w:r>
            <w:r w:rsidR="004A450A">
              <w:rPr>
                <w:noProof/>
                <w:webHidden/>
              </w:rPr>
              <w:fldChar w:fldCharType="begin"/>
            </w:r>
            <w:r w:rsidR="004A450A">
              <w:rPr>
                <w:noProof/>
                <w:webHidden/>
              </w:rPr>
              <w:instrText xml:space="preserve"> PAGEREF _Toc106615967 \h </w:instrText>
            </w:r>
            <w:r w:rsidR="004A450A">
              <w:rPr>
                <w:noProof/>
                <w:webHidden/>
              </w:rPr>
            </w:r>
            <w:r w:rsidR="004A450A">
              <w:rPr>
                <w:noProof/>
                <w:webHidden/>
              </w:rPr>
              <w:fldChar w:fldCharType="separate"/>
            </w:r>
            <w:r w:rsidR="00F443AE">
              <w:rPr>
                <w:noProof/>
                <w:webHidden/>
              </w:rPr>
              <w:t>6</w:t>
            </w:r>
            <w:r w:rsidR="004A450A">
              <w:rPr>
                <w:noProof/>
                <w:webHidden/>
              </w:rPr>
              <w:fldChar w:fldCharType="end"/>
            </w:r>
          </w:hyperlink>
        </w:p>
        <w:p w14:paraId="73F987DC" w14:textId="3706DD33" w:rsidR="004A450A" w:rsidRDefault="00886995">
          <w:pPr>
            <w:pStyle w:val="TOC1"/>
            <w:tabs>
              <w:tab w:val="right" w:leader="dot" w:pos="9620"/>
            </w:tabs>
            <w:rPr>
              <w:rFonts w:asciiTheme="minorHAnsi" w:eastAsiaTheme="minorEastAsia" w:hAnsiTheme="minorHAnsi" w:cstheme="minorBidi"/>
              <w:noProof/>
              <w:sz w:val="22"/>
              <w:szCs w:val="22"/>
              <w:lang w:val="en-US" w:eastAsia="en-US"/>
            </w:rPr>
          </w:pPr>
          <w:hyperlink w:anchor="_Toc106615968" w:history="1">
            <w:r w:rsidR="004A450A" w:rsidRPr="00F25829">
              <w:rPr>
                <w:rStyle w:val="Hyperlink"/>
                <w:noProof/>
              </w:rPr>
              <w:t>Conclusions and Future Steps</w:t>
            </w:r>
            <w:r w:rsidR="004A450A">
              <w:rPr>
                <w:noProof/>
                <w:webHidden/>
              </w:rPr>
              <w:tab/>
            </w:r>
            <w:r w:rsidR="004A450A">
              <w:rPr>
                <w:noProof/>
                <w:webHidden/>
              </w:rPr>
              <w:fldChar w:fldCharType="begin"/>
            </w:r>
            <w:r w:rsidR="004A450A">
              <w:rPr>
                <w:noProof/>
                <w:webHidden/>
              </w:rPr>
              <w:instrText xml:space="preserve"> PAGEREF _Toc106615968 \h </w:instrText>
            </w:r>
            <w:r w:rsidR="004A450A">
              <w:rPr>
                <w:noProof/>
                <w:webHidden/>
              </w:rPr>
            </w:r>
            <w:r w:rsidR="004A450A">
              <w:rPr>
                <w:noProof/>
                <w:webHidden/>
              </w:rPr>
              <w:fldChar w:fldCharType="separate"/>
            </w:r>
            <w:r w:rsidR="00F443AE">
              <w:rPr>
                <w:noProof/>
                <w:webHidden/>
              </w:rPr>
              <w:t>19</w:t>
            </w:r>
            <w:r w:rsidR="004A450A">
              <w:rPr>
                <w:noProof/>
                <w:webHidden/>
              </w:rPr>
              <w:fldChar w:fldCharType="end"/>
            </w:r>
          </w:hyperlink>
        </w:p>
        <w:p w14:paraId="2FE47FDC" w14:textId="46DDF4D0" w:rsidR="00E1163B" w:rsidRDefault="00E1163B">
          <w:r w:rsidRPr="00E1163B">
            <w:rPr>
              <w:b/>
              <w:bCs/>
              <w:noProof/>
            </w:rPr>
            <w:fldChar w:fldCharType="end"/>
          </w:r>
        </w:p>
      </w:sdtContent>
    </w:sdt>
    <w:p w14:paraId="1C0B88D7" w14:textId="319CA3A2" w:rsidR="00AC7338" w:rsidRDefault="00AC7338" w:rsidP="005D197C">
      <w:pPr>
        <w:shd w:val="clear" w:color="auto" w:fill="FFFFFF" w:themeFill="background1"/>
        <w:rPr>
          <w:sz w:val="22"/>
          <w:szCs w:val="22"/>
        </w:rPr>
      </w:pPr>
    </w:p>
    <w:p w14:paraId="613E397F" w14:textId="2B309E18" w:rsidR="00E1163B" w:rsidRDefault="00E1163B" w:rsidP="005D197C">
      <w:pPr>
        <w:shd w:val="clear" w:color="auto" w:fill="FFFFFF" w:themeFill="background1"/>
        <w:rPr>
          <w:sz w:val="22"/>
          <w:szCs w:val="22"/>
        </w:rPr>
      </w:pPr>
    </w:p>
    <w:p w14:paraId="032DDA36" w14:textId="1118F4C7" w:rsidR="00E1163B" w:rsidRDefault="00E1163B" w:rsidP="005D197C">
      <w:pPr>
        <w:shd w:val="clear" w:color="auto" w:fill="FFFFFF" w:themeFill="background1"/>
        <w:rPr>
          <w:sz w:val="22"/>
          <w:szCs w:val="22"/>
        </w:rPr>
      </w:pPr>
    </w:p>
    <w:p w14:paraId="057341C1" w14:textId="31AE29DC" w:rsidR="00E1163B" w:rsidRDefault="00E1163B" w:rsidP="005D197C">
      <w:pPr>
        <w:shd w:val="clear" w:color="auto" w:fill="FFFFFF" w:themeFill="background1"/>
        <w:rPr>
          <w:sz w:val="22"/>
          <w:szCs w:val="22"/>
        </w:rPr>
      </w:pPr>
    </w:p>
    <w:p w14:paraId="01889EDD" w14:textId="714331C4" w:rsidR="00E1163B" w:rsidRDefault="00E1163B" w:rsidP="005D197C">
      <w:pPr>
        <w:shd w:val="clear" w:color="auto" w:fill="FFFFFF" w:themeFill="background1"/>
        <w:rPr>
          <w:sz w:val="22"/>
          <w:szCs w:val="22"/>
        </w:rPr>
      </w:pPr>
    </w:p>
    <w:p w14:paraId="39D90FDC" w14:textId="57424044" w:rsidR="00E1163B" w:rsidRDefault="00E1163B" w:rsidP="005D197C">
      <w:pPr>
        <w:shd w:val="clear" w:color="auto" w:fill="FFFFFF" w:themeFill="background1"/>
        <w:rPr>
          <w:sz w:val="22"/>
          <w:szCs w:val="22"/>
        </w:rPr>
      </w:pPr>
    </w:p>
    <w:p w14:paraId="23A84646" w14:textId="099CAF8B" w:rsidR="00E1163B" w:rsidRDefault="00E1163B" w:rsidP="005D197C">
      <w:pPr>
        <w:shd w:val="clear" w:color="auto" w:fill="FFFFFF" w:themeFill="background1"/>
        <w:rPr>
          <w:sz w:val="22"/>
          <w:szCs w:val="22"/>
        </w:rPr>
      </w:pPr>
    </w:p>
    <w:p w14:paraId="5B071F3E" w14:textId="3B466CC2" w:rsidR="00E1163B" w:rsidRDefault="00E1163B" w:rsidP="005D197C">
      <w:pPr>
        <w:shd w:val="clear" w:color="auto" w:fill="FFFFFF" w:themeFill="background1"/>
        <w:rPr>
          <w:sz w:val="22"/>
          <w:szCs w:val="22"/>
        </w:rPr>
      </w:pPr>
    </w:p>
    <w:p w14:paraId="17C72326" w14:textId="4D9C2605" w:rsidR="00E1163B" w:rsidRDefault="00E1163B" w:rsidP="005D197C">
      <w:pPr>
        <w:shd w:val="clear" w:color="auto" w:fill="FFFFFF" w:themeFill="background1"/>
        <w:rPr>
          <w:sz w:val="22"/>
          <w:szCs w:val="22"/>
        </w:rPr>
      </w:pPr>
    </w:p>
    <w:p w14:paraId="7A6B7703" w14:textId="07C1AF32" w:rsidR="00E1163B" w:rsidRDefault="00E1163B" w:rsidP="005D197C">
      <w:pPr>
        <w:shd w:val="clear" w:color="auto" w:fill="FFFFFF" w:themeFill="background1"/>
        <w:rPr>
          <w:sz w:val="22"/>
          <w:szCs w:val="22"/>
        </w:rPr>
      </w:pPr>
    </w:p>
    <w:p w14:paraId="2C6AC371" w14:textId="16D89B52" w:rsidR="00E1163B" w:rsidRDefault="00E1163B" w:rsidP="005D197C">
      <w:pPr>
        <w:shd w:val="clear" w:color="auto" w:fill="FFFFFF" w:themeFill="background1"/>
        <w:rPr>
          <w:sz w:val="22"/>
          <w:szCs w:val="22"/>
        </w:rPr>
      </w:pPr>
    </w:p>
    <w:p w14:paraId="0ECB6764" w14:textId="2C4A2F8F" w:rsidR="00E1163B" w:rsidRDefault="00E1163B" w:rsidP="005D197C">
      <w:pPr>
        <w:shd w:val="clear" w:color="auto" w:fill="FFFFFF" w:themeFill="background1"/>
        <w:rPr>
          <w:sz w:val="22"/>
          <w:szCs w:val="22"/>
        </w:rPr>
      </w:pPr>
    </w:p>
    <w:p w14:paraId="350F5EAF" w14:textId="29B04255" w:rsidR="00E1163B" w:rsidRDefault="00E1163B" w:rsidP="005D197C">
      <w:pPr>
        <w:shd w:val="clear" w:color="auto" w:fill="FFFFFF" w:themeFill="background1"/>
        <w:rPr>
          <w:sz w:val="22"/>
          <w:szCs w:val="22"/>
        </w:rPr>
      </w:pPr>
    </w:p>
    <w:p w14:paraId="69ED79CA" w14:textId="56661C17" w:rsidR="00E1163B" w:rsidRDefault="00E1163B" w:rsidP="005D197C">
      <w:pPr>
        <w:shd w:val="clear" w:color="auto" w:fill="FFFFFF" w:themeFill="background1"/>
        <w:rPr>
          <w:sz w:val="22"/>
          <w:szCs w:val="22"/>
        </w:rPr>
      </w:pPr>
    </w:p>
    <w:p w14:paraId="265072CD" w14:textId="7750F125" w:rsidR="00E1163B" w:rsidRDefault="00E1163B" w:rsidP="005D197C">
      <w:pPr>
        <w:shd w:val="clear" w:color="auto" w:fill="FFFFFF" w:themeFill="background1"/>
        <w:rPr>
          <w:sz w:val="22"/>
          <w:szCs w:val="22"/>
        </w:rPr>
      </w:pPr>
    </w:p>
    <w:p w14:paraId="77400E00" w14:textId="6F66160D" w:rsidR="00E1163B" w:rsidRDefault="00E1163B" w:rsidP="005D197C">
      <w:pPr>
        <w:shd w:val="clear" w:color="auto" w:fill="FFFFFF" w:themeFill="background1"/>
        <w:rPr>
          <w:sz w:val="22"/>
          <w:szCs w:val="22"/>
        </w:rPr>
      </w:pPr>
    </w:p>
    <w:p w14:paraId="3A68DAE6" w14:textId="63A26BDD" w:rsidR="00E1163B" w:rsidRDefault="00E1163B" w:rsidP="005D197C">
      <w:pPr>
        <w:shd w:val="clear" w:color="auto" w:fill="FFFFFF" w:themeFill="background1"/>
        <w:rPr>
          <w:sz w:val="22"/>
          <w:szCs w:val="22"/>
        </w:rPr>
      </w:pPr>
    </w:p>
    <w:p w14:paraId="6910F3F8" w14:textId="4A6C6682" w:rsidR="00E1163B" w:rsidRDefault="00E1163B" w:rsidP="005D197C">
      <w:pPr>
        <w:shd w:val="clear" w:color="auto" w:fill="FFFFFF" w:themeFill="background1"/>
        <w:rPr>
          <w:sz w:val="22"/>
          <w:szCs w:val="22"/>
        </w:rPr>
      </w:pPr>
    </w:p>
    <w:p w14:paraId="3BA554E8" w14:textId="50B70D4A" w:rsidR="00E1163B" w:rsidRDefault="00E1163B" w:rsidP="005D197C">
      <w:pPr>
        <w:shd w:val="clear" w:color="auto" w:fill="FFFFFF" w:themeFill="background1"/>
        <w:rPr>
          <w:sz w:val="22"/>
          <w:szCs w:val="22"/>
        </w:rPr>
      </w:pPr>
    </w:p>
    <w:p w14:paraId="1985B4E4" w14:textId="39793C9C" w:rsidR="00E1163B" w:rsidRDefault="00E1163B" w:rsidP="005D197C">
      <w:pPr>
        <w:shd w:val="clear" w:color="auto" w:fill="FFFFFF" w:themeFill="background1"/>
        <w:rPr>
          <w:sz w:val="22"/>
          <w:szCs w:val="22"/>
        </w:rPr>
      </w:pPr>
    </w:p>
    <w:p w14:paraId="7B1705D5" w14:textId="3D47C26D" w:rsidR="00E1163B" w:rsidRDefault="00E1163B" w:rsidP="005D197C">
      <w:pPr>
        <w:shd w:val="clear" w:color="auto" w:fill="FFFFFF" w:themeFill="background1"/>
        <w:rPr>
          <w:sz w:val="22"/>
          <w:szCs w:val="22"/>
        </w:rPr>
      </w:pPr>
    </w:p>
    <w:p w14:paraId="04FAA7CB" w14:textId="1F03C235" w:rsidR="00E1163B" w:rsidRDefault="00E1163B" w:rsidP="005D197C">
      <w:pPr>
        <w:shd w:val="clear" w:color="auto" w:fill="FFFFFF" w:themeFill="background1"/>
        <w:rPr>
          <w:sz w:val="22"/>
          <w:szCs w:val="22"/>
        </w:rPr>
      </w:pPr>
    </w:p>
    <w:p w14:paraId="6E3E2C37" w14:textId="62332653" w:rsidR="00E1163B" w:rsidRDefault="00E1163B" w:rsidP="005D197C">
      <w:pPr>
        <w:shd w:val="clear" w:color="auto" w:fill="FFFFFF" w:themeFill="background1"/>
        <w:rPr>
          <w:sz w:val="22"/>
          <w:szCs w:val="22"/>
        </w:rPr>
      </w:pPr>
    </w:p>
    <w:p w14:paraId="5F52312A" w14:textId="6F35117D" w:rsidR="00E1163B" w:rsidRDefault="00E1163B" w:rsidP="005D197C">
      <w:pPr>
        <w:shd w:val="clear" w:color="auto" w:fill="FFFFFF" w:themeFill="background1"/>
        <w:rPr>
          <w:sz w:val="22"/>
          <w:szCs w:val="22"/>
        </w:rPr>
      </w:pPr>
    </w:p>
    <w:p w14:paraId="61ECE491" w14:textId="580967C4" w:rsidR="00E1163B" w:rsidRDefault="00E1163B" w:rsidP="005D197C">
      <w:pPr>
        <w:shd w:val="clear" w:color="auto" w:fill="FFFFFF" w:themeFill="background1"/>
        <w:rPr>
          <w:sz w:val="22"/>
          <w:szCs w:val="22"/>
        </w:rPr>
      </w:pPr>
    </w:p>
    <w:p w14:paraId="19EF80AF" w14:textId="5DCEFAB8" w:rsidR="00E1163B" w:rsidRDefault="00E1163B" w:rsidP="005D197C">
      <w:pPr>
        <w:shd w:val="clear" w:color="auto" w:fill="FFFFFF" w:themeFill="background1"/>
        <w:rPr>
          <w:sz w:val="22"/>
          <w:szCs w:val="22"/>
        </w:rPr>
      </w:pPr>
    </w:p>
    <w:p w14:paraId="68754D11" w14:textId="42E4D81C" w:rsidR="00E1163B" w:rsidRDefault="00E1163B" w:rsidP="005D197C">
      <w:pPr>
        <w:shd w:val="clear" w:color="auto" w:fill="FFFFFF" w:themeFill="background1"/>
        <w:rPr>
          <w:sz w:val="22"/>
          <w:szCs w:val="22"/>
        </w:rPr>
      </w:pPr>
    </w:p>
    <w:p w14:paraId="6043862F" w14:textId="197F9504" w:rsidR="001C3838" w:rsidRDefault="001C3838" w:rsidP="005D197C">
      <w:pPr>
        <w:shd w:val="clear" w:color="auto" w:fill="FFFFFF" w:themeFill="background1"/>
        <w:rPr>
          <w:sz w:val="22"/>
          <w:szCs w:val="22"/>
        </w:rPr>
      </w:pPr>
    </w:p>
    <w:p w14:paraId="4E84690F" w14:textId="48BF3D8A" w:rsidR="001C3838" w:rsidRDefault="001C3838" w:rsidP="005D197C">
      <w:pPr>
        <w:shd w:val="clear" w:color="auto" w:fill="FFFFFF" w:themeFill="background1"/>
        <w:rPr>
          <w:sz w:val="22"/>
          <w:szCs w:val="22"/>
        </w:rPr>
      </w:pPr>
    </w:p>
    <w:p w14:paraId="6BA8AFD8" w14:textId="416EF412" w:rsidR="001C3838" w:rsidRDefault="001C3838" w:rsidP="005D197C">
      <w:pPr>
        <w:shd w:val="clear" w:color="auto" w:fill="FFFFFF" w:themeFill="background1"/>
        <w:rPr>
          <w:sz w:val="22"/>
          <w:szCs w:val="22"/>
        </w:rPr>
      </w:pPr>
    </w:p>
    <w:p w14:paraId="58962117" w14:textId="1280654C" w:rsidR="001C3838" w:rsidRDefault="001C3838" w:rsidP="005D197C">
      <w:pPr>
        <w:shd w:val="clear" w:color="auto" w:fill="FFFFFF" w:themeFill="background1"/>
        <w:rPr>
          <w:sz w:val="22"/>
          <w:szCs w:val="22"/>
        </w:rPr>
      </w:pPr>
    </w:p>
    <w:p w14:paraId="62BAC456" w14:textId="320B0C22" w:rsidR="001C3838" w:rsidRDefault="001C3838" w:rsidP="005D197C">
      <w:pPr>
        <w:shd w:val="clear" w:color="auto" w:fill="FFFFFF" w:themeFill="background1"/>
        <w:rPr>
          <w:sz w:val="22"/>
          <w:szCs w:val="22"/>
        </w:rPr>
      </w:pPr>
    </w:p>
    <w:p w14:paraId="6CDD359D" w14:textId="7D5EA9E3" w:rsidR="001C3838" w:rsidRDefault="001C3838" w:rsidP="005D197C">
      <w:pPr>
        <w:shd w:val="clear" w:color="auto" w:fill="FFFFFF" w:themeFill="background1"/>
        <w:rPr>
          <w:sz w:val="22"/>
          <w:szCs w:val="22"/>
        </w:rPr>
      </w:pPr>
    </w:p>
    <w:p w14:paraId="33A8725C" w14:textId="603807DD" w:rsidR="001C3838" w:rsidRDefault="001C3838" w:rsidP="005D197C">
      <w:pPr>
        <w:shd w:val="clear" w:color="auto" w:fill="FFFFFF" w:themeFill="background1"/>
        <w:rPr>
          <w:sz w:val="22"/>
          <w:szCs w:val="22"/>
        </w:rPr>
      </w:pPr>
    </w:p>
    <w:p w14:paraId="60929E52" w14:textId="73D0A559" w:rsidR="001C3838" w:rsidRDefault="001C3838" w:rsidP="005D197C">
      <w:pPr>
        <w:shd w:val="clear" w:color="auto" w:fill="FFFFFF" w:themeFill="background1"/>
        <w:rPr>
          <w:sz w:val="22"/>
          <w:szCs w:val="22"/>
        </w:rPr>
      </w:pPr>
    </w:p>
    <w:p w14:paraId="26644750" w14:textId="0A7C3D52" w:rsidR="001C3838" w:rsidRDefault="001C3838" w:rsidP="005D197C">
      <w:pPr>
        <w:shd w:val="clear" w:color="auto" w:fill="FFFFFF" w:themeFill="background1"/>
        <w:rPr>
          <w:sz w:val="22"/>
          <w:szCs w:val="22"/>
        </w:rPr>
      </w:pPr>
    </w:p>
    <w:p w14:paraId="5B492FB4" w14:textId="21B80015" w:rsidR="00F443AE" w:rsidRDefault="00F443AE" w:rsidP="005D197C">
      <w:pPr>
        <w:shd w:val="clear" w:color="auto" w:fill="FFFFFF" w:themeFill="background1"/>
        <w:rPr>
          <w:sz w:val="22"/>
          <w:szCs w:val="22"/>
        </w:rPr>
      </w:pPr>
    </w:p>
    <w:p w14:paraId="2AE7EA7D" w14:textId="1E1B947B" w:rsidR="00F443AE" w:rsidRDefault="00F443AE" w:rsidP="005D197C">
      <w:pPr>
        <w:shd w:val="clear" w:color="auto" w:fill="FFFFFF" w:themeFill="background1"/>
        <w:rPr>
          <w:sz w:val="22"/>
          <w:szCs w:val="22"/>
        </w:rPr>
      </w:pPr>
    </w:p>
    <w:p w14:paraId="231BE8B6" w14:textId="00BB402C" w:rsidR="00F443AE" w:rsidRDefault="00F443AE" w:rsidP="005D197C">
      <w:pPr>
        <w:shd w:val="clear" w:color="auto" w:fill="FFFFFF" w:themeFill="background1"/>
        <w:rPr>
          <w:sz w:val="22"/>
          <w:szCs w:val="22"/>
        </w:rPr>
      </w:pPr>
    </w:p>
    <w:p w14:paraId="2A999859" w14:textId="6176694B" w:rsidR="00F443AE" w:rsidRDefault="00F443AE" w:rsidP="005D197C">
      <w:pPr>
        <w:shd w:val="clear" w:color="auto" w:fill="FFFFFF" w:themeFill="background1"/>
        <w:rPr>
          <w:sz w:val="22"/>
          <w:szCs w:val="22"/>
        </w:rPr>
      </w:pPr>
    </w:p>
    <w:p w14:paraId="16B25B38" w14:textId="77777777" w:rsidR="00F443AE" w:rsidRDefault="00F443AE" w:rsidP="005D197C">
      <w:pPr>
        <w:shd w:val="clear" w:color="auto" w:fill="FFFFFF" w:themeFill="background1"/>
        <w:rPr>
          <w:sz w:val="22"/>
          <w:szCs w:val="22"/>
        </w:rPr>
      </w:pPr>
    </w:p>
    <w:p w14:paraId="44C49EC5" w14:textId="460BB8D1" w:rsidR="001C3838" w:rsidRDefault="001C3838" w:rsidP="005D197C">
      <w:pPr>
        <w:shd w:val="clear" w:color="auto" w:fill="FFFFFF" w:themeFill="background1"/>
        <w:rPr>
          <w:sz w:val="22"/>
          <w:szCs w:val="22"/>
        </w:rPr>
      </w:pPr>
    </w:p>
    <w:p w14:paraId="4ABE0E2E" w14:textId="77777777" w:rsidR="001C3838" w:rsidRDefault="001C3838" w:rsidP="005D197C">
      <w:pPr>
        <w:shd w:val="clear" w:color="auto" w:fill="FFFFFF" w:themeFill="background1"/>
        <w:rPr>
          <w:sz w:val="22"/>
          <w:szCs w:val="22"/>
        </w:rPr>
      </w:pPr>
    </w:p>
    <w:p w14:paraId="6D1A86D5" w14:textId="701441E4" w:rsidR="00E1163B" w:rsidRDefault="00E1163B" w:rsidP="005D197C">
      <w:pPr>
        <w:shd w:val="clear" w:color="auto" w:fill="FFFFFF" w:themeFill="background1"/>
        <w:rPr>
          <w:sz w:val="22"/>
          <w:szCs w:val="22"/>
        </w:rPr>
      </w:pPr>
    </w:p>
    <w:p w14:paraId="5430AB1B" w14:textId="77777777" w:rsidR="005E2A1E" w:rsidRDefault="005E2A1E" w:rsidP="005D197C">
      <w:pPr>
        <w:shd w:val="clear" w:color="auto" w:fill="FFFFFF" w:themeFill="background1"/>
        <w:rPr>
          <w:sz w:val="22"/>
          <w:szCs w:val="22"/>
        </w:rPr>
      </w:pPr>
    </w:p>
    <w:p w14:paraId="5D1DA60D" w14:textId="77777777" w:rsidR="00E1163B" w:rsidRPr="00506507" w:rsidRDefault="00E1163B" w:rsidP="005D197C">
      <w:pPr>
        <w:shd w:val="clear" w:color="auto" w:fill="FFFFFF" w:themeFill="background1"/>
        <w:rPr>
          <w:sz w:val="22"/>
          <w:szCs w:val="22"/>
        </w:rPr>
      </w:pPr>
    </w:p>
    <w:p w14:paraId="6A3AFD9A" w14:textId="77777777" w:rsidR="002B5FE9" w:rsidRPr="00506507" w:rsidRDefault="002B5FE9" w:rsidP="005D197C">
      <w:pPr>
        <w:shd w:val="clear" w:color="auto" w:fill="FFFFFF" w:themeFill="background1"/>
        <w:rPr>
          <w:sz w:val="10"/>
          <w:szCs w:val="10"/>
        </w:rPr>
      </w:pPr>
    </w:p>
    <w:p w14:paraId="03288A85" w14:textId="0637F3DE" w:rsidR="005D197C" w:rsidRPr="00E1163B" w:rsidRDefault="00506507" w:rsidP="00E1163B">
      <w:pPr>
        <w:pStyle w:val="Heading1"/>
        <w:keepNext/>
        <w:tabs>
          <w:tab w:val="left" w:pos="5780"/>
        </w:tabs>
        <w:spacing w:before="0" w:beforeAutospacing="0" w:after="0" w:afterAutospacing="0"/>
        <w:rPr>
          <w:bCs w:val="0"/>
          <w:color w:val="264D74"/>
          <w:sz w:val="24"/>
          <w:szCs w:val="24"/>
        </w:rPr>
      </w:pPr>
      <w:bookmarkStart w:id="1" w:name="_Toc106615964"/>
      <w:r w:rsidRPr="00E1163B">
        <w:rPr>
          <w:bCs w:val="0"/>
          <w:color w:val="264D74"/>
          <w:sz w:val="24"/>
          <w:szCs w:val="24"/>
        </w:rPr>
        <w:lastRenderedPageBreak/>
        <w:t>Introduction and Purpose of this Document</w:t>
      </w:r>
      <w:bookmarkEnd w:id="1"/>
    </w:p>
    <w:p w14:paraId="3838C695" w14:textId="77777777" w:rsidR="005D197C" w:rsidRPr="00506507" w:rsidRDefault="005D197C" w:rsidP="00B054EE">
      <w:pPr>
        <w:rPr>
          <w:sz w:val="22"/>
          <w:szCs w:val="22"/>
        </w:rPr>
      </w:pPr>
    </w:p>
    <w:p w14:paraId="3E3EF1B2" w14:textId="77777777" w:rsidR="0024288E" w:rsidRPr="00506507" w:rsidRDefault="0024288E" w:rsidP="00506507">
      <w:pPr>
        <w:jc w:val="both"/>
        <w:rPr>
          <w:sz w:val="22"/>
          <w:szCs w:val="22"/>
        </w:rPr>
      </w:pPr>
      <w:r w:rsidRPr="00506507">
        <w:rPr>
          <w:sz w:val="22"/>
          <w:szCs w:val="22"/>
        </w:rPr>
        <w:t>The five objectives in the AEWA Strategic Plan 2019-2027 include (as No.1) “</w:t>
      </w:r>
      <w:r w:rsidRPr="00506507">
        <w:rPr>
          <w:i/>
          <w:sz w:val="22"/>
          <w:szCs w:val="22"/>
        </w:rPr>
        <w:t>To strengthen species conservation and recovery and reduce causes of unnecessary mortality</w:t>
      </w:r>
      <w:r w:rsidRPr="00506507">
        <w:rPr>
          <w:sz w:val="22"/>
          <w:szCs w:val="22"/>
        </w:rPr>
        <w:t>”.  Target 1.6 in the Plan foresees that “</w:t>
      </w:r>
      <w:r w:rsidRPr="00506507">
        <w:rPr>
          <w:i/>
          <w:sz w:val="22"/>
          <w:szCs w:val="22"/>
        </w:rPr>
        <w:t>AEWA priorities relating to four causes of unnecessary additional mortality and other key threats to migratory waterbirds and their habitats are integrated in key multilateral processes</w:t>
      </w:r>
      <w:r w:rsidRPr="00506507">
        <w:rPr>
          <w:sz w:val="22"/>
          <w:szCs w:val="22"/>
        </w:rPr>
        <w:t>”.</w:t>
      </w:r>
    </w:p>
    <w:p w14:paraId="7E8C9874" w14:textId="77777777" w:rsidR="0024288E" w:rsidRPr="00506507" w:rsidRDefault="0024288E" w:rsidP="00506507">
      <w:pPr>
        <w:jc w:val="both"/>
        <w:rPr>
          <w:sz w:val="22"/>
          <w:szCs w:val="22"/>
        </w:rPr>
      </w:pPr>
    </w:p>
    <w:p w14:paraId="2B9B3CFC" w14:textId="0FCB1FB8" w:rsidR="0024288E" w:rsidRPr="00506507" w:rsidRDefault="0024288E" w:rsidP="00506507">
      <w:pPr>
        <w:spacing w:after="40"/>
        <w:jc w:val="both"/>
        <w:rPr>
          <w:sz w:val="22"/>
          <w:szCs w:val="22"/>
        </w:rPr>
      </w:pPr>
      <w:r w:rsidRPr="00506507">
        <w:rPr>
          <w:sz w:val="22"/>
          <w:szCs w:val="22"/>
        </w:rPr>
        <w:t>The “four causes” are given as:</w:t>
      </w:r>
    </w:p>
    <w:p w14:paraId="70F2C7AC" w14:textId="77777777" w:rsidR="0024288E" w:rsidRPr="00506507" w:rsidRDefault="0024288E" w:rsidP="00506507">
      <w:pPr>
        <w:pStyle w:val="ListParagraph"/>
        <w:numPr>
          <w:ilvl w:val="0"/>
          <w:numId w:val="22"/>
        </w:numPr>
        <w:spacing w:after="20"/>
        <w:ind w:left="714" w:hanging="357"/>
        <w:contextualSpacing w:val="0"/>
        <w:jc w:val="both"/>
        <w:rPr>
          <w:sz w:val="22"/>
          <w:szCs w:val="22"/>
        </w:rPr>
      </w:pPr>
      <w:r w:rsidRPr="00506507">
        <w:rPr>
          <w:sz w:val="22"/>
          <w:szCs w:val="22"/>
        </w:rPr>
        <w:t>energy infrastructure (especially powerlines, wind turbines</w:t>
      </w:r>
      <w:proofErr w:type="gramStart"/>
      <w:r w:rsidRPr="00506507">
        <w:rPr>
          <w:sz w:val="22"/>
          <w:szCs w:val="22"/>
        </w:rPr>
        <w:t>);</w:t>
      </w:r>
      <w:proofErr w:type="gramEnd"/>
    </w:p>
    <w:p w14:paraId="4F5421C3" w14:textId="77777777" w:rsidR="0024288E" w:rsidRPr="00506507" w:rsidRDefault="0024288E" w:rsidP="00506507">
      <w:pPr>
        <w:pStyle w:val="ListParagraph"/>
        <w:numPr>
          <w:ilvl w:val="0"/>
          <w:numId w:val="22"/>
        </w:numPr>
        <w:spacing w:after="20"/>
        <w:ind w:left="714" w:hanging="357"/>
        <w:contextualSpacing w:val="0"/>
        <w:jc w:val="both"/>
        <w:rPr>
          <w:sz w:val="22"/>
          <w:szCs w:val="22"/>
        </w:rPr>
      </w:pPr>
      <w:r w:rsidRPr="00506507">
        <w:rPr>
          <w:sz w:val="22"/>
          <w:szCs w:val="22"/>
        </w:rPr>
        <w:t xml:space="preserve">illegal taking &amp; </w:t>
      </w:r>
      <w:proofErr w:type="gramStart"/>
      <w:r w:rsidRPr="00506507">
        <w:rPr>
          <w:sz w:val="22"/>
          <w:szCs w:val="22"/>
        </w:rPr>
        <w:t>killing;</w:t>
      </w:r>
      <w:proofErr w:type="gramEnd"/>
    </w:p>
    <w:p w14:paraId="13CEF1A9" w14:textId="0E9AFEB0" w:rsidR="0024288E" w:rsidRPr="00506507" w:rsidRDefault="0024288E" w:rsidP="00506507">
      <w:pPr>
        <w:pStyle w:val="ListParagraph"/>
        <w:numPr>
          <w:ilvl w:val="0"/>
          <w:numId w:val="22"/>
        </w:numPr>
        <w:spacing w:after="20"/>
        <w:ind w:left="714" w:hanging="357"/>
        <w:contextualSpacing w:val="0"/>
        <w:jc w:val="both"/>
        <w:rPr>
          <w:sz w:val="22"/>
          <w:szCs w:val="22"/>
        </w:rPr>
      </w:pPr>
      <w:r w:rsidRPr="00506507">
        <w:rPr>
          <w:sz w:val="22"/>
          <w:szCs w:val="22"/>
        </w:rPr>
        <w:t>fisheries bycatch; and</w:t>
      </w:r>
    </w:p>
    <w:p w14:paraId="443BF226" w14:textId="38EAB339" w:rsidR="0024288E" w:rsidRPr="00506507" w:rsidRDefault="0024288E" w:rsidP="00506507">
      <w:pPr>
        <w:pStyle w:val="ListParagraph"/>
        <w:numPr>
          <w:ilvl w:val="0"/>
          <w:numId w:val="22"/>
        </w:numPr>
        <w:jc w:val="both"/>
        <w:rPr>
          <w:sz w:val="22"/>
          <w:szCs w:val="22"/>
        </w:rPr>
      </w:pPr>
      <w:r w:rsidRPr="00506507">
        <w:rPr>
          <w:sz w:val="22"/>
          <w:szCs w:val="22"/>
        </w:rPr>
        <w:t>invasive alien species.</w:t>
      </w:r>
    </w:p>
    <w:p w14:paraId="36CB8644" w14:textId="77777777" w:rsidR="0024288E" w:rsidRPr="00506507" w:rsidRDefault="0024288E" w:rsidP="00506507">
      <w:pPr>
        <w:jc w:val="both"/>
        <w:rPr>
          <w:sz w:val="22"/>
          <w:szCs w:val="22"/>
        </w:rPr>
      </w:pPr>
    </w:p>
    <w:p w14:paraId="32D15495" w14:textId="574666CA" w:rsidR="0024288E" w:rsidRPr="00506507" w:rsidRDefault="0024288E" w:rsidP="00506507">
      <w:pPr>
        <w:spacing w:after="40"/>
        <w:jc w:val="both"/>
        <w:rPr>
          <w:sz w:val="22"/>
          <w:szCs w:val="22"/>
        </w:rPr>
      </w:pPr>
      <w:r w:rsidRPr="00506507">
        <w:rPr>
          <w:sz w:val="22"/>
          <w:szCs w:val="22"/>
        </w:rPr>
        <w:t xml:space="preserve">Examples of relevant multilateral processes are mentioned </w:t>
      </w:r>
      <w:r w:rsidR="00992728" w:rsidRPr="00506507">
        <w:rPr>
          <w:sz w:val="22"/>
          <w:szCs w:val="22"/>
        </w:rPr>
        <w:t xml:space="preserve">in the Plan </w:t>
      </w:r>
      <w:r w:rsidRPr="00506507">
        <w:rPr>
          <w:sz w:val="22"/>
          <w:szCs w:val="22"/>
        </w:rPr>
        <w:t>as including, but not being limited to:</w:t>
      </w:r>
    </w:p>
    <w:p w14:paraId="6F0C4B27" w14:textId="08BB3B79" w:rsidR="0024288E" w:rsidRPr="00506507" w:rsidRDefault="0024288E" w:rsidP="00506507">
      <w:pPr>
        <w:pStyle w:val="ListParagraph"/>
        <w:numPr>
          <w:ilvl w:val="0"/>
          <w:numId w:val="23"/>
        </w:numPr>
        <w:spacing w:after="20"/>
        <w:ind w:left="714" w:hanging="357"/>
        <w:contextualSpacing w:val="0"/>
        <w:jc w:val="both"/>
        <w:rPr>
          <w:sz w:val="22"/>
          <w:szCs w:val="22"/>
        </w:rPr>
      </w:pPr>
      <w:r w:rsidRPr="00506507">
        <w:rPr>
          <w:sz w:val="22"/>
          <w:szCs w:val="22"/>
        </w:rPr>
        <w:t>The UN 2030 Agenda for Sustainable Development (including the Sustainable Development Goals or SDGs</w:t>
      </w:r>
      <w:proofErr w:type="gramStart"/>
      <w:r w:rsidRPr="00506507">
        <w:rPr>
          <w:sz w:val="22"/>
          <w:szCs w:val="22"/>
        </w:rPr>
        <w:t>);</w:t>
      </w:r>
      <w:proofErr w:type="gramEnd"/>
    </w:p>
    <w:p w14:paraId="73D322CF" w14:textId="0566C851" w:rsidR="0024288E" w:rsidRPr="00506507" w:rsidRDefault="0024288E" w:rsidP="00506507">
      <w:pPr>
        <w:pStyle w:val="ListParagraph"/>
        <w:numPr>
          <w:ilvl w:val="0"/>
          <w:numId w:val="23"/>
        </w:numPr>
        <w:spacing w:after="20"/>
        <w:ind w:left="714" w:hanging="357"/>
        <w:contextualSpacing w:val="0"/>
        <w:jc w:val="both"/>
        <w:rPr>
          <w:sz w:val="22"/>
          <w:szCs w:val="22"/>
        </w:rPr>
      </w:pPr>
      <w:r w:rsidRPr="00506507">
        <w:rPr>
          <w:sz w:val="22"/>
          <w:szCs w:val="22"/>
        </w:rPr>
        <w:t>The Convention on Biological Diversity (CBD</w:t>
      </w:r>
      <w:proofErr w:type="gramStart"/>
      <w:r w:rsidRPr="00506507">
        <w:rPr>
          <w:sz w:val="22"/>
          <w:szCs w:val="22"/>
        </w:rPr>
        <w:t>);</w:t>
      </w:r>
      <w:proofErr w:type="gramEnd"/>
    </w:p>
    <w:p w14:paraId="531F8665" w14:textId="2EEF4309" w:rsidR="0024288E" w:rsidRPr="00506507" w:rsidRDefault="0024288E" w:rsidP="00506507">
      <w:pPr>
        <w:pStyle w:val="ListParagraph"/>
        <w:numPr>
          <w:ilvl w:val="0"/>
          <w:numId w:val="23"/>
        </w:numPr>
        <w:spacing w:after="20"/>
        <w:ind w:left="714" w:hanging="357"/>
        <w:contextualSpacing w:val="0"/>
        <w:jc w:val="both"/>
        <w:rPr>
          <w:sz w:val="22"/>
          <w:szCs w:val="22"/>
        </w:rPr>
      </w:pPr>
      <w:r w:rsidRPr="00506507">
        <w:rPr>
          <w:sz w:val="22"/>
          <w:szCs w:val="22"/>
        </w:rPr>
        <w:t>The Convention on Migratory Species (CMS</w:t>
      </w:r>
      <w:proofErr w:type="gramStart"/>
      <w:r w:rsidRPr="00506507">
        <w:rPr>
          <w:sz w:val="22"/>
          <w:szCs w:val="22"/>
        </w:rPr>
        <w:t>);</w:t>
      </w:r>
      <w:proofErr w:type="gramEnd"/>
    </w:p>
    <w:p w14:paraId="2BEB8278" w14:textId="7D7A0C82" w:rsidR="0024288E" w:rsidRPr="00506507" w:rsidRDefault="0024288E" w:rsidP="00506507">
      <w:pPr>
        <w:pStyle w:val="ListParagraph"/>
        <w:numPr>
          <w:ilvl w:val="0"/>
          <w:numId w:val="23"/>
        </w:numPr>
        <w:spacing w:after="20"/>
        <w:ind w:left="714" w:hanging="357"/>
        <w:contextualSpacing w:val="0"/>
        <w:jc w:val="both"/>
        <w:rPr>
          <w:sz w:val="22"/>
          <w:szCs w:val="22"/>
        </w:rPr>
      </w:pPr>
      <w:r w:rsidRPr="00506507">
        <w:rPr>
          <w:sz w:val="22"/>
          <w:szCs w:val="22"/>
        </w:rPr>
        <w:t xml:space="preserve">The Convention on </w:t>
      </w:r>
      <w:r w:rsidR="00992728" w:rsidRPr="00506507">
        <w:rPr>
          <w:sz w:val="22"/>
          <w:szCs w:val="22"/>
        </w:rPr>
        <w:t>W</w:t>
      </w:r>
      <w:r w:rsidRPr="00506507">
        <w:rPr>
          <w:sz w:val="22"/>
          <w:szCs w:val="22"/>
        </w:rPr>
        <w:t>etlands (Ramsar Convention</w:t>
      </w:r>
      <w:proofErr w:type="gramStart"/>
      <w:r w:rsidRPr="00506507">
        <w:rPr>
          <w:sz w:val="22"/>
          <w:szCs w:val="22"/>
        </w:rPr>
        <w:t>);</w:t>
      </w:r>
      <w:proofErr w:type="gramEnd"/>
    </w:p>
    <w:p w14:paraId="72C18656" w14:textId="4E3ED914" w:rsidR="0024288E" w:rsidRPr="00506507" w:rsidRDefault="0024288E" w:rsidP="00506507">
      <w:pPr>
        <w:pStyle w:val="ListParagraph"/>
        <w:numPr>
          <w:ilvl w:val="0"/>
          <w:numId w:val="23"/>
        </w:numPr>
        <w:spacing w:after="20"/>
        <w:ind w:left="714" w:hanging="357"/>
        <w:contextualSpacing w:val="0"/>
        <w:jc w:val="both"/>
        <w:rPr>
          <w:sz w:val="22"/>
          <w:szCs w:val="22"/>
        </w:rPr>
      </w:pPr>
      <w:r w:rsidRPr="00506507">
        <w:rPr>
          <w:sz w:val="22"/>
          <w:szCs w:val="22"/>
        </w:rPr>
        <w:t>Regional Fisheries Ma</w:t>
      </w:r>
      <w:r w:rsidR="00992728" w:rsidRPr="00506507">
        <w:rPr>
          <w:sz w:val="22"/>
          <w:szCs w:val="22"/>
        </w:rPr>
        <w:t>nagement Organisations (RFMOs); and</w:t>
      </w:r>
      <w:r w:rsidRPr="00506507">
        <w:rPr>
          <w:sz w:val="22"/>
          <w:szCs w:val="22"/>
        </w:rPr>
        <w:t xml:space="preserve"> </w:t>
      </w:r>
    </w:p>
    <w:p w14:paraId="1EEA675A" w14:textId="285CEA05" w:rsidR="0024288E" w:rsidRPr="00506507" w:rsidRDefault="00992728" w:rsidP="00506507">
      <w:pPr>
        <w:pStyle w:val="ListParagraph"/>
        <w:numPr>
          <w:ilvl w:val="0"/>
          <w:numId w:val="23"/>
        </w:numPr>
        <w:spacing w:after="40"/>
        <w:jc w:val="both"/>
        <w:rPr>
          <w:sz w:val="22"/>
          <w:szCs w:val="22"/>
        </w:rPr>
      </w:pPr>
      <w:r w:rsidRPr="00506507">
        <w:rPr>
          <w:sz w:val="22"/>
          <w:szCs w:val="22"/>
        </w:rPr>
        <w:t>The UN Framework Convention on Climate Change (UNFCCC).</w:t>
      </w:r>
    </w:p>
    <w:p w14:paraId="7D7F6530" w14:textId="77777777" w:rsidR="0024288E" w:rsidRPr="00506507" w:rsidRDefault="0024288E" w:rsidP="00506507">
      <w:pPr>
        <w:jc w:val="both"/>
        <w:rPr>
          <w:sz w:val="22"/>
          <w:szCs w:val="22"/>
        </w:rPr>
      </w:pPr>
    </w:p>
    <w:p w14:paraId="24B5C630" w14:textId="526650E8" w:rsidR="005F7185" w:rsidRPr="00506507" w:rsidRDefault="002944B2" w:rsidP="00506507">
      <w:pPr>
        <w:jc w:val="both"/>
        <w:rPr>
          <w:sz w:val="22"/>
          <w:szCs w:val="22"/>
        </w:rPr>
      </w:pPr>
      <w:r w:rsidRPr="00506507">
        <w:rPr>
          <w:sz w:val="22"/>
          <w:szCs w:val="22"/>
        </w:rPr>
        <w:t>This is linked to AEWA MOP Resolution 6.12 (2015) on “</w:t>
      </w:r>
      <w:r w:rsidRPr="00506507">
        <w:rPr>
          <w:i/>
          <w:sz w:val="22"/>
          <w:szCs w:val="22"/>
        </w:rPr>
        <w:t>Avoiding additional and unnecessary mortality for migratory waterbirds</w:t>
      </w:r>
      <w:r w:rsidRPr="00506507">
        <w:rPr>
          <w:sz w:val="22"/>
          <w:szCs w:val="22"/>
        </w:rPr>
        <w:t xml:space="preserve">”, which lists a range of previous MOP Resolutions and other initiatives on individual threats and mortality causes, urges Parties to give priority to making use of those, and makes a connection </w:t>
      </w:r>
      <w:proofErr w:type="gramStart"/>
      <w:r w:rsidRPr="00506507">
        <w:rPr>
          <w:sz w:val="22"/>
          <w:szCs w:val="22"/>
        </w:rPr>
        <w:t>in particular to</w:t>
      </w:r>
      <w:proofErr w:type="gramEnd"/>
      <w:r w:rsidRPr="00506507">
        <w:rPr>
          <w:sz w:val="22"/>
          <w:szCs w:val="22"/>
        </w:rPr>
        <w:t xml:space="preserve"> related Resolutions and working arrangements under the Convention on Migratory Species</w:t>
      </w:r>
      <w:r w:rsidR="00C10DD9" w:rsidRPr="00506507">
        <w:rPr>
          <w:sz w:val="22"/>
          <w:szCs w:val="22"/>
        </w:rPr>
        <w:t>,</w:t>
      </w:r>
      <w:r w:rsidRPr="00506507">
        <w:rPr>
          <w:sz w:val="22"/>
          <w:szCs w:val="22"/>
        </w:rPr>
        <w:t xml:space="preserve"> </w:t>
      </w:r>
      <w:r w:rsidR="00C10DD9" w:rsidRPr="00506507">
        <w:rPr>
          <w:sz w:val="22"/>
          <w:szCs w:val="22"/>
        </w:rPr>
        <w:t>concerning</w:t>
      </w:r>
      <w:r w:rsidRPr="00506507">
        <w:rPr>
          <w:sz w:val="22"/>
          <w:szCs w:val="22"/>
        </w:rPr>
        <w:t xml:space="preserve"> poisoning and illegal killing.</w:t>
      </w:r>
      <w:r w:rsidR="005F7185" w:rsidRPr="00506507">
        <w:rPr>
          <w:sz w:val="22"/>
          <w:szCs w:val="22"/>
        </w:rPr>
        <w:t xml:space="preserve">  A general mandate is also contained in the Agreement itself, in Article III.2(e) which provides that Parties shall “</w:t>
      </w:r>
      <w:r w:rsidR="005F7185" w:rsidRPr="00506507">
        <w:rPr>
          <w:i/>
          <w:sz w:val="22"/>
          <w:szCs w:val="22"/>
        </w:rPr>
        <w:t>investigate problems that are posed or are likely to be posed by human activities and endeavour to implement remedial measures, including habitat rehabilitation and restoration, and compensatory measures for loss of habitat</w:t>
      </w:r>
      <w:r w:rsidR="005F7185" w:rsidRPr="00506507">
        <w:rPr>
          <w:sz w:val="22"/>
          <w:szCs w:val="22"/>
        </w:rPr>
        <w:t>”.</w:t>
      </w:r>
    </w:p>
    <w:p w14:paraId="6C80E9FD" w14:textId="77777777" w:rsidR="005F7185" w:rsidRPr="00506507" w:rsidRDefault="005F7185" w:rsidP="00506507">
      <w:pPr>
        <w:jc w:val="both"/>
        <w:rPr>
          <w:sz w:val="22"/>
          <w:szCs w:val="22"/>
        </w:rPr>
      </w:pPr>
    </w:p>
    <w:p w14:paraId="670045F4" w14:textId="39677836" w:rsidR="00006FA8" w:rsidRPr="00506507" w:rsidRDefault="00DC63CE" w:rsidP="00506507">
      <w:pPr>
        <w:jc w:val="both"/>
        <w:rPr>
          <w:sz w:val="22"/>
          <w:szCs w:val="22"/>
        </w:rPr>
      </w:pPr>
      <w:r w:rsidRPr="00506507">
        <w:rPr>
          <w:sz w:val="22"/>
          <w:szCs w:val="22"/>
        </w:rPr>
        <w:t>The aim of the present document is</w:t>
      </w:r>
      <w:r w:rsidR="00E31983" w:rsidRPr="00506507">
        <w:rPr>
          <w:sz w:val="22"/>
          <w:szCs w:val="22"/>
        </w:rPr>
        <w:t xml:space="preserve"> to identify opportunities for influencing Multilateral Environmental Agreements (MEAs) and other multilateral processes to address the </w:t>
      </w:r>
      <w:r w:rsidRPr="00506507">
        <w:rPr>
          <w:sz w:val="22"/>
          <w:szCs w:val="22"/>
        </w:rPr>
        <w:t xml:space="preserve">named priority causes of unnecessary additional mortality of migratory waterbirds.  </w:t>
      </w:r>
      <w:r w:rsidR="00006FA8" w:rsidRPr="00506507">
        <w:rPr>
          <w:sz w:val="22"/>
          <w:szCs w:val="22"/>
        </w:rPr>
        <w:t>This responds to Action 1.6 (a) in the Strategic Plan which is to “identify those multilateral processes that can contribute most to progressing AEWA priorities” and Action 1.6 (b) which includes “identify[</w:t>
      </w:r>
      <w:proofErr w:type="spellStart"/>
      <w:r w:rsidR="00006FA8" w:rsidRPr="00506507">
        <w:rPr>
          <w:sz w:val="22"/>
          <w:szCs w:val="22"/>
        </w:rPr>
        <w:t>ing</w:t>
      </w:r>
      <w:proofErr w:type="spellEnd"/>
      <w:r w:rsidR="00006FA8" w:rsidRPr="00506507">
        <w:rPr>
          <w:sz w:val="22"/>
          <w:szCs w:val="22"/>
        </w:rPr>
        <w:t>] strategic opportunities for positively influencing these processes (meetings of technical bodies, working groups etc.)”.  Other actions are specified which lie beyond the scope of the present document but will in due course be supported by it, concerning advocacy in relevant fora (including by Parties) of AEWA’s priorities in coherent and mutually reinforcing ways.</w:t>
      </w:r>
    </w:p>
    <w:p w14:paraId="276501E4" w14:textId="77777777" w:rsidR="00006FA8" w:rsidRPr="00506507" w:rsidRDefault="00006FA8" w:rsidP="00506507">
      <w:pPr>
        <w:jc w:val="both"/>
        <w:rPr>
          <w:sz w:val="22"/>
          <w:szCs w:val="22"/>
        </w:rPr>
      </w:pPr>
    </w:p>
    <w:p w14:paraId="2F5BBC17" w14:textId="07787613" w:rsidR="00992728" w:rsidRPr="00506507" w:rsidRDefault="00006FA8" w:rsidP="00B054EE">
      <w:pPr>
        <w:rPr>
          <w:sz w:val="22"/>
          <w:szCs w:val="22"/>
        </w:rPr>
      </w:pPr>
      <w:r w:rsidRPr="00506507">
        <w:rPr>
          <w:sz w:val="22"/>
          <w:szCs w:val="22"/>
        </w:rPr>
        <w:t>The overview that follows below</w:t>
      </w:r>
      <w:r w:rsidR="00DC63CE" w:rsidRPr="00506507">
        <w:rPr>
          <w:sz w:val="22"/>
          <w:szCs w:val="22"/>
        </w:rPr>
        <w:t xml:space="preserve"> is largely limited to the four </w:t>
      </w:r>
      <w:r w:rsidRPr="00506507">
        <w:rPr>
          <w:sz w:val="22"/>
          <w:szCs w:val="22"/>
        </w:rPr>
        <w:t xml:space="preserve">mortality </w:t>
      </w:r>
      <w:r w:rsidR="00DC63CE" w:rsidRPr="00506507">
        <w:rPr>
          <w:sz w:val="22"/>
          <w:szCs w:val="22"/>
        </w:rPr>
        <w:t>causes named in the Plan and listed above</w:t>
      </w:r>
      <w:r w:rsidR="001E1D7A" w:rsidRPr="00506507">
        <w:rPr>
          <w:sz w:val="22"/>
          <w:szCs w:val="22"/>
        </w:rPr>
        <w:t>.  S</w:t>
      </w:r>
      <w:r w:rsidR="00DC63CE" w:rsidRPr="00506507">
        <w:rPr>
          <w:sz w:val="22"/>
          <w:szCs w:val="22"/>
        </w:rPr>
        <w:t>ome consideration will also be given to others such as</w:t>
      </w:r>
      <w:r w:rsidR="00992728" w:rsidRPr="00506507">
        <w:rPr>
          <w:sz w:val="22"/>
          <w:szCs w:val="22"/>
        </w:rPr>
        <w:t xml:space="preserve"> poisoning, including lead poisoning</w:t>
      </w:r>
      <w:r w:rsidR="001E1D7A" w:rsidRPr="00506507">
        <w:rPr>
          <w:sz w:val="22"/>
          <w:szCs w:val="22"/>
        </w:rPr>
        <w:t xml:space="preserve">; but causes that are specifically covered by other targets in the Strategic Plan (such as non-energy developments, habitat loss, </w:t>
      </w:r>
      <w:r w:rsidR="000B63C3" w:rsidRPr="00506507">
        <w:rPr>
          <w:sz w:val="22"/>
          <w:szCs w:val="22"/>
        </w:rPr>
        <w:t xml:space="preserve">climate change and </w:t>
      </w:r>
      <w:r w:rsidR="00A45FCC" w:rsidRPr="00506507">
        <w:rPr>
          <w:sz w:val="22"/>
          <w:szCs w:val="22"/>
        </w:rPr>
        <w:t>unsustainable</w:t>
      </w:r>
      <w:r w:rsidR="001E1D7A" w:rsidRPr="00506507">
        <w:rPr>
          <w:sz w:val="22"/>
          <w:szCs w:val="22"/>
        </w:rPr>
        <w:t xml:space="preserve"> hunting/harvesting) are beyond the scope.  </w:t>
      </w:r>
      <w:r w:rsidRPr="00506507">
        <w:rPr>
          <w:sz w:val="22"/>
          <w:szCs w:val="22"/>
        </w:rPr>
        <w:t>The MEAs and multilateral processes considered include those listed above as well as others where appropriate.</w:t>
      </w:r>
    </w:p>
    <w:p w14:paraId="3CCAED0F" w14:textId="77777777" w:rsidR="00992728" w:rsidRPr="00506507" w:rsidRDefault="00992728" w:rsidP="00B054EE">
      <w:pPr>
        <w:rPr>
          <w:sz w:val="22"/>
          <w:szCs w:val="22"/>
        </w:rPr>
      </w:pPr>
    </w:p>
    <w:p w14:paraId="6463F57F" w14:textId="77777777" w:rsidR="005F5B81" w:rsidRPr="00506507" w:rsidRDefault="005F5B81" w:rsidP="00B054EE">
      <w:pPr>
        <w:rPr>
          <w:sz w:val="22"/>
          <w:szCs w:val="22"/>
        </w:rPr>
      </w:pPr>
    </w:p>
    <w:p w14:paraId="345D9020" w14:textId="5F12AA58" w:rsidR="00DC63CE" w:rsidRPr="00E1163B" w:rsidRDefault="00506507" w:rsidP="00E1163B">
      <w:pPr>
        <w:pStyle w:val="Heading1"/>
        <w:keepNext/>
        <w:tabs>
          <w:tab w:val="left" w:pos="5780"/>
        </w:tabs>
        <w:spacing w:before="0" w:beforeAutospacing="0" w:after="0" w:afterAutospacing="0"/>
        <w:rPr>
          <w:bCs w:val="0"/>
          <w:sz w:val="24"/>
          <w:szCs w:val="24"/>
        </w:rPr>
      </w:pPr>
      <w:bookmarkStart w:id="2" w:name="_Toc106615965"/>
      <w:r w:rsidRPr="00E1163B">
        <w:rPr>
          <w:bCs w:val="0"/>
          <w:color w:val="264D74"/>
          <w:sz w:val="24"/>
          <w:szCs w:val="24"/>
        </w:rPr>
        <w:t xml:space="preserve">What do we </w:t>
      </w:r>
      <w:r w:rsidR="00A46451">
        <w:rPr>
          <w:bCs w:val="0"/>
          <w:color w:val="264D74"/>
          <w:sz w:val="24"/>
          <w:szCs w:val="24"/>
        </w:rPr>
        <w:t>M</w:t>
      </w:r>
      <w:r w:rsidRPr="00E1163B">
        <w:rPr>
          <w:bCs w:val="0"/>
          <w:color w:val="264D74"/>
          <w:sz w:val="24"/>
          <w:szCs w:val="24"/>
        </w:rPr>
        <w:t>ean by Influencing?</w:t>
      </w:r>
      <w:bookmarkEnd w:id="2"/>
    </w:p>
    <w:p w14:paraId="2F08A898" w14:textId="77777777" w:rsidR="004D6D3F" w:rsidRPr="00506507" w:rsidRDefault="004D6D3F" w:rsidP="00B054EE">
      <w:pPr>
        <w:rPr>
          <w:sz w:val="22"/>
          <w:szCs w:val="22"/>
        </w:rPr>
      </w:pPr>
    </w:p>
    <w:p w14:paraId="4F1B21CE" w14:textId="77777777" w:rsidR="004D6D3F" w:rsidRPr="00506507" w:rsidRDefault="004D6D3F" w:rsidP="00506507">
      <w:pPr>
        <w:jc w:val="both"/>
        <w:rPr>
          <w:sz w:val="22"/>
          <w:szCs w:val="22"/>
        </w:rPr>
      </w:pPr>
      <w:r w:rsidRPr="00506507">
        <w:rPr>
          <w:sz w:val="22"/>
          <w:szCs w:val="22"/>
        </w:rPr>
        <w:t xml:space="preserve">“Influencing” in this context can be pursued in a variety of ways by players of many types of roles in the AEWA system.  The Secretariat has coordination and synergistic dealings with the Secretariats of other MEAs, and individual experts in science, policy, </w:t>
      </w:r>
      <w:proofErr w:type="gramStart"/>
      <w:r w:rsidRPr="00506507">
        <w:rPr>
          <w:sz w:val="22"/>
          <w:szCs w:val="22"/>
        </w:rPr>
        <w:t>law</w:t>
      </w:r>
      <w:proofErr w:type="gramEnd"/>
      <w:r w:rsidRPr="00506507">
        <w:rPr>
          <w:sz w:val="22"/>
          <w:szCs w:val="22"/>
        </w:rPr>
        <w:t xml:space="preserve"> and communications as well as non-governmental partner organisations with skills and capacity in these areas are able to promote the interests of AEWA in other multilateral fora.</w:t>
      </w:r>
    </w:p>
    <w:p w14:paraId="3B5B7000" w14:textId="77777777" w:rsidR="004D6D3F" w:rsidRPr="00506507" w:rsidRDefault="004D6D3F" w:rsidP="00506507">
      <w:pPr>
        <w:jc w:val="both"/>
        <w:rPr>
          <w:sz w:val="22"/>
          <w:szCs w:val="22"/>
        </w:rPr>
      </w:pPr>
    </w:p>
    <w:p w14:paraId="239C0207" w14:textId="7CFBC72B" w:rsidR="004D6D3F" w:rsidRPr="00506507" w:rsidRDefault="004D6D3F" w:rsidP="00506507">
      <w:pPr>
        <w:jc w:val="both"/>
        <w:rPr>
          <w:sz w:val="22"/>
          <w:szCs w:val="22"/>
        </w:rPr>
      </w:pPr>
      <w:r w:rsidRPr="00506507">
        <w:rPr>
          <w:sz w:val="22"/>
          <w:szCs w:val="22"/>
        </w:rPr>
        <w:lastRenderedPageBreak/>
        <w:t>A key part of this picture however also rests with the national government agencies of States that are Contracting Parties to the Agreement and are also Parties</w:t>
      </w:r>
      <w:r w:rsidR="005C58EF" w:rsidRPr="00506507">
        <w:rPr>
          <w:sz w:val="22"/>
          <w:szCs w:val="22"/>
        </w:rPr>
        <w:t xml:space="preserve"> (</w:t>
      </w:r>
      <w:r w:rsidRPr="00506507">
        <w:rPr>
          <w:sz w:val="22"/>
          <w:szCs w:val="22"/>
        </w:rPr>
        <w:t>or Signatories</w:t>
      </w:r>
      <w:r w:rsidR="005C58EF" w:rsidRPr="00506507">
        <w:rPr>
          <w:sz w:val="22"/>
          <w:szCs w:val="22"/>
        </w:rPr>
        <w:t>,</w:t>
      </w:r>
      <w:r w:rsidRPr="00506507">
        <w:rPr>
          <w:sz w:val="22"/>
          <w:szCs w:val="22"/>
        </w:rPr>
        <w:t xml:space="preserve"> or Members</w:t>
      </w:r>
      <w:r w:rsidR="005C58EF" w:rsidRPr="00506507">
        <w:rPr>
          <w:sz w:val="22"/>
          <w:szCs w:val="22"/>
        </w:rPr>
        <w:t>)</w:t>
      </w:r>
      <w:r w:rsidRPr="00506507">
        <w:rPr>
          <w:sz w:val="22"/>
          <w:szCs w:val="22"/>
        </w:rPr>
        <w:t xml:space="preserve"> of the other multilateral agreements and processes covered by this review.</w:t>
      </w:r>
      <w:r w:rsidR="005C58EF" w:rsidRPr="00506507">
        <w:rPr>
          <w:sz w:val="22"/>
          <w:szCs w:val="22"/>
        </w:rPr>
        <w:t xml:space="preserve">  Internal coordination in each country between the respective Focal Points and Ministry Departments responsible for each of the identified opportunities below will be important for success</w:t>
      </w:r>
      <w:r w:rsidR="00C62624" w:rsidRPr="00506507">
        <w:rPr>
          <w:sz w:val="22"/>
          <w:szCs w:val="22"/>
        </w:rPr>
        <w:t xml:space="preserve"> here</w:t>
      </w:r>
      <w:r w:rsidR="005C58EF" w:rsidRPr="00506507">
        <w:rPr>
          <w:sz w:val="22"/>
          <w:szCs w:val="22"/>
        </w:rPr>
        <w:t>.</w:t>
      </w:r>
    </w:p>
    <w:p w14:paraId="5BF76751" w14:textId="77777777" w:rsidR="00C43232" w:rsidRPr="00506507" w:rsidRDefault="00C43232" w:rsidP="00506507">
      <w:pPr>
        <w:jc w:val="both"/>
        <w:rPr>
          <w:sz w:val="22"/>
          <w:szCs w:val="22"/>
        </w:rPr>
      </w:pPr>
    </w:p>
    <w:p w14:paraId="3D438291" w14:textId="79FBC531" w:rsidR="00C43232" w:rsidRPr="00506507" w:rsidRDefault="00C43232" w:rsidP="00506507">
      <w:pPr>
        <w:jc w:val="both"/>
        <w:rPr>
          <w:sz w:val="22"/>
          <w:szCs w:val="22"/>
        </w:rPr>
      </w:pPr>
      <w:r w:rsidRPr="00506507">
        <w:rPr>
          <w:sz w:val="22"/>
          <w:szCs w:val="22"/>
        </w:rPr>
        <w:t xml:space="preserve">A typical opportunity in an MEA context might be in the intergovernmental decision-making meetings (such as periodic meetings of a Convention’s Conference of Parties or Standing Committee) where formal Resolutions, guidance documents and work programmes are agreed; or in the processes of scientific and technical subsidiary bodies where guidance is </w:t>
      </w:r>
      <w:r w:rsidR="00E1163B" w:rsidRPr="00506507">
        <w:rPr>
          <w:sz w:val="22"/>
          <w:szCs w:val="22"/>
        </w:rPr>
        <w:t>developed,</w:t>
      </w:r>
      <w:r w:rsidRPr="00506507">
        <w:rPr>
          <w:sz w:val="22"/>
          <w:szCs w:val="22"/>
        </w:rPr>
        <w:t xml:space="preserve"> and technical assessments are planned and undertaken.  More “operational” contexts at programme and project level</w:t>
      </w:r>
      <w:r w:rsidR="002F4F3D" w:rsidRPr="00506507">
        <w:rPr>
          <w:sz w:val="22"/>
          <w:szCs w:val="22"/>
        </w:rPr>
        <w:t xml:space="preserve"> are also </w:t>
      </w:r>
      <w:r w:rsidR="00E1163B" w:rsidRPr="00506507">
        <w:rPr>
          <w:sz w:val="22"/>
          <w:szCs w:val="22"/>
        </w:rPr>
        <w:t>relevant but</w:t>
      </w:r>
      <w:r w:rsidR="002F4F3D" w:rsidRPr="00506507">
        <w:rPr>
          <w:sz w:val="22"/>
          <w:szCs w:val="22"/>
        </w:rPr>
        <w:t xml:space="preserve"> limited for present purposes </w:t>
      </w:r>
      <w:r w:rsidR="00844A24" w:rsidRPr="00506507">
        <w:rPr>
          <w:sz w:val="22"/>
          <w:szCs w:val="22"/>
        </w:rPr>
        <w:t>mainly</w:t>
      </w:r>
      <w:r w:rsidR="00C10DD9" w:rsidRPr="00506507">
        <w:rPr>
          <w:sz w:val="22"/>
          <w:szCs w:val="22"/>
        </w:rPr>
        <w:t xml:space="preserve"> </w:t>
      </w:r>
      <w:r w:rsidR="002F4F3D" w:rsidRPr="00506507">
        <w:rPr>
          <w:sz w:val="22"/>
          <w:szCs w:val="22"/>
        </w:rPr>
        <w:t>to multi-country situations.</w:t>
      </w:r>
    </w:p>
    <w:p w14:paraId="1F0F3A39" w14:textId="77777777" w:rsidR="004D6D3F" w:rsidRPr="00506507" w:rsidRDefault="004D6D3F" w:rsidP="00506507">
      <w:pPr>
        <w:jc w:val="both"/>
        <w:rPr>
          <w:sz w:val="22"/>
          <w:szCs w:val="22"/>
        </w:rPr>
      </w:pPr>
    </w:p>
    <w:p w14:paraId="091557D3" w14:textId="5FB2E9E6" w:rsidR="000C0D7E" w:rsidRPr="00506507" w:rsidRDefault="005C58EF" w:rsidP="00506507">
      <w:pPr>
        <w:jc w:val="both"/>
        <w:rPr>
          <w:sz w:val="22"/>
          <w:szCs w:val="22"/>
        </w:rPr>
      </w:pPr>
      <w:r w:rsidRPr="00506507">
        <w:rPr>
          <w:sz w:val="22"/>
          <w:szCs w:val="22"/>
        </w:rPr>
        <w:t xml:space="preserve">Multilateral processes of relevance include not only Conventions and other treaty systems, but also international funding </w:t>
      </w:r>
      <w:r w:rsidR="00C62624" w:rsidRPr="00506507">
        <w:rPr>
          <w:sz w:val="22"/>
          <w:szCs w:val="22"/>
        </w:rPr>
        <w:t>programmes (both those that are biodiversity-related and others that have environmental safeguarding regimes)</w:t>
      </w:r>
      <w:r w:rsidR="003467A6" w:rsidRPr="00506507">
        <w:rPr>
          <w:sz w:val="22"/>
          <w:szCs w:val="22"/>
        </w:rPr>
        <w:t xml:space="preserve"> and</w:t>
      </w:r>
      <w:r w:rsidRPr="00506507">
        <w:rPr>
          <w:sz w:val="22"/>
          <w:szCs w:val="22"/>
        </w:rPr>
        <w:t xml:space="preserve"> regulatory and standard-setting </w:t>
      </w:r>
      <w:r w:rsidR="003467A6" w:rsidRPr="00506507">
        <w:rPr>
          <w:sz w:val="22"/>
          <w:szCs w:val="22"/>
        </w:rPr>
        <w:t>bodies</w:t>
      </w:r>
      <w:r w:rsidRPr="00506507">
        <w:rPr>
          <w:sz w:val="22"/>
          <w:szCs w:val="22"/>
        </w:rPr>
        <w:t>.</w:t>
      </w:r>
    </w:p>
    <w:p w14:paraId="0506181B" w14:textId="77777777" w:rsidR="00015BE6" w:rsidRPr="00506507" w:rsidRDefault="00015BE6" w:rsidP="00506507">
      <w:pPr>
        <w:jc w:val="both"/>
        <w:rPr>
          <w:sz w:val="22"/>
          <w:szCs w:val="22"/>
        </w:rPr>
      </w:pPr>
    </w:p>
    <w:p w14:paraId="55D77DA7" w14:textId="2C5ECB8E" w:rsidR="00015BE6" w:rsidRPr="00506507" w:rsidRDefault="00015BE6" w:rsidP="00506507">
      <w:pPr>
        <w:jc w:val="both"/>
      </w:pPr>
      <w:r w:rsidRPr="00506507">
        <w:rPr>
          <w:sz w:val="22"/>
          <w:szCs w:val="22"/>
        </w:rPr>
        <w:t>Among the opportunities identified in the tables that follow below are some measures adopted in the legal and policy framework of the European Union.  Good implementation of these will support AEWA’s objectives and should be encouraged.  These situations are of a slightly different character to the others described here however, in that the European Union i</w:t>
      </w:r>
      <w:r w:rsidR="004C4702" w:rsidRPr="00506507">
        <w:rPr>
          <w:sz w:val="22"/>
          <w:szCs w:val="22"/>
        </w:rPr>
        <w:t>s</w:t>
      </w:r>
      <w:r w:rsidRPr="00506507">
        <w:rPr>
          <w:sz w:val="22"/>
          <w:szCs w:val="22"/>
        </w:rPr>
        <w:t xml:space="preserve"> a Party to </w:t>
      </w:r>
      <w:proofErr w:type="gramStart"/>
      <w:r w:rsidRPr="00506507">
        <w:rPr>
          <w:sz w:val="22"/>
          <w:szCs w:val="22"/>
        </w:rPr>
        <w:t>AEWA</w:t>
      </w:r>
      <w:r w:rsidR="004C4702" w:rsidRPr="00506507">
        <w:rPr>
          <w:sz w:val="22"/>
          <w:szCs w:val="22"/>
        </w:rPr>
        <w:t xml:space="preserve"> in its own right</w:t>
      </w:r>
      <w:r w:rsidRPr="00506507">
        <w:rPr>
          <w:sz w:val="22"/>
          <w:szCs w:val="22"/>
        </w:rPr>
        <w:t>, and</w:t>
      </w:r>
      <w:proofErr w:type="gramEnd"/>
      <w:r w:rsidRPr="00506507">
        <w:rPr>
          <w:sz w:val="22"/>
          <w:szCs w:val="22"/>
        </w:rPr>
        <w:t xml:space="preserve"> therefore already under an obligation to follow AEWA MOP decisions and other mandates.  “Influencing” in this case is more a matter of ensuring that these existing obligations are upheld.</w:t>
      </w:r>
    </w:p>
    <w:p w14:paraId="2DF40239" w14:textId="77777777" w:rsidR="00015BE6" w:rsidRPr="00506507" w:rsidRDefault="00015BE6" w:rsidP="00506507">
      <w:pPr>
        <w:jc w:val="both"/>
        <w:rPr>
          <w:sz w:val="22"/>
          <w:szCs w:val="22"/>
        </w:rPr>
      </w:pPr>
    </w:p>
    <w:p w14:paraId="31C51A5F" w14:textId="4E28AD9B" w:rsidR="00233FFC" w:rsidRPr="00506507" w:rsidRDefault="005C58EF" w:rsidP="00506507">
      <w:pPr>
        <w:jc w:val="both"/>
        <w:rPr>
          <w:sz w:val="22"/>
          <w:szCs w:val="22"/>
        </w:rPr>
      </w:pPr>
      <w:r w:rsidRPr="00506507">
        <w:rPr>
          <w:sz w:val="22"/>
          <w:szCs w:val="22"/>
        </w:rPr>
        <w:t>“Success” can be interpreted at two main levels.</w:t>
      </w:r>
      <w:r w:rsidR="00233FFC" w:rsidRPr="00506507">
        <w:rPr>
          <w:sz w:val="22"/>
          <w:szCs w:val="22"/>
        </w:rPr>
        <w:t xml:space="preserve">  </w:t>
      </w:r>
      <w:r w:rsidR="00F85C5C" w:rsidRPr="00506507">
        <w:rPr>
          <w:sz w:val="22"/>
          <w:szCs w:val="22"/>
        </w:rPr>
        <w:t>At</w:t>
      </w:r>
      <w:r w:rsidR="00233FFC" w:rsidRPr="00506507">
        <w:rPr>
          <w:sz w:val="22"/>
          <w:szCs w:val="22"/>
        </w:rPr>
        <w:t xml:space="preserve"> one level, it might be considered </w:t>
      </w:r>
      <w:r w:rsidR="00037A52" w:rsidRPr="00506507">
        <w:rPr>
          <w:sz w:val="22"/>
          <w:szCs w:val="22"/>
        </w:rPr>
        <w:t>that</w:t>
      </w:r>
      <w:r w:rsidR="00233FFC" w:rsidRPr="00506507">
        <w:rPr>
          <w:sz w:val="22"/>
          <w:szCs w:val="22"/>
        </w:rPr>
        <w:t xml:space="preserve"> success </w:t>
      </w:r>
      <w:r w:rsidR="00037A52" w:rsidRPr="00506507">
        <w:rPr>
          <w:sz w:val="22"/>
          <w:szCs w:val="22"/>
        </w:rPr>
        <w:t xml:space="preserve">has been achieved </w:t>
      </w:r>
      <w:r w:rsidR="00233FFC" w:rsidRPr="00506507">
        <w:rPr>
          <w:sz w:val="22"/>
          <w:szCs w:val="22"/>
        </w:rPr>
        <w:t xml:space="preserve">when AEWA principles, standards, </w:t>
      </w:r>
      <w:proofErr w:type="gramStart"/>
      <w:r w:rsidR="00233FFC" w:rsidRPr="00506507">
        <w:rPr>
          <w:sz w:val="22"/>
          <w:szCs w:val="22"/>
        </w:rPr>
        <w:t>ideas</w:t>
      </w:r>
      <w:proofErr w:type="gramEnd"/>
      <w:r w:rsidR="00233FFC" w:rsidRPr="00506507">
        <w:rPr>
          <w:sz w:val="22"/>
          <w:szCs w:val="22"/>
        </w:rPr>
        <w:t xml:space="preserve"> and suggestions </w:t>
      </w:r>
      <w:r w:rsidR="00037A52" w:rsidRPr="00506507">
        <w:rPr>
          <w:sz w:val="22"/>
          <w:szCs w:val="22"/>
        </w:rPr>
        <w:t>are</w:t>
      </w:r>
      <w:r w:rsidR="00233FFC" w:rsidRPr="00506507">
        <w:rPr>
          <w:sz w:val="22"/>
          <w:szCs w:val="22"/>
        </w:rPr>
        <w:t xml:space="preserve"> taken up and reflected in the policies and decisions of other multilateral processes.</w:t>
      </w:r>
      <w:r w:rsidR="00F85C5C" w:rsidRPr="00506507">
        <w:rPr>
          <w:sz w:val="22"/>
          <w:szCs w:val="22"/>
        </w:rPr>
        <w:t xml:space="preserve">  This can perhaps be viewed as success for AEWA </w:t>
      </w:r>
      <w:r w:rsidR="00F85C5C" w:rsidRPr="00506507">
        <w:rPr>
          <w:i/>
          <w:sz w:val="22"/>
          <w:szCs w:val="22"/>
        </w:rPr>
        <w:t>inputs</w:t>
      </w:r>
      <w:r w:rsidR="00F85C5C" w:rsidRPr="00506507">
        <w:rPr>
          <w:sz w:val="22"/>
          <w:szCs w:val="22"/>
        </w:rPr>
        <w:t xml:space="preserve">.  This may be all that </w:t>
      </w:r>
      <w:r w:rsidR="00233FFC" w:rsidRPr="00506507">
        <w:rPr>
          <w:sz w:val="22"/>
          <w:szCs w:val="22"/>
        </w:rPr>
        <w:t xml:space="preserve">Target 1.6 in the Strategic Plan </w:t>
      </w:r>
      <w:r w:rsidR="00F85C5C" w:rsidRPr="00506507">
        <w:rPr>
          <w:sz w:val="22"/>
          <w:szCs w:val="22"/>
        </w:rPr>
        <w:t xml:space="preserve">expects, in that it refers to </w:t>
      </w:r>
      <w:r w:rsidR="00233FFC" w:rsidRPr="00506507">
        <w:rPr>
          <w:sz w:val="22"/>
          <w:szCs w:val="22"/>
        </w:rPr>
        <w:t xml:space="preserve">AEWA priorities being “integrated” in these other processes, </w:t>
      </w:r>
      <w:r w:rsidR="00F85C5C" w:rsidRPr="00506507">
        <w:rPr>
          <w:sz w:val="22"/>
          <w:szCs w:val="22"/>
        </w:rPr>
        <w:t>with</w:t>
      </w:r>
      <w:r w:rsidR="00233FFC" w:rsidRPr="00506507">
        <w:rPr>
          <w:sz w:val="22"/>
          <w:szCs w:val="22"/>
        </w:rPr>
        <w:t xml:space="preserve"> the two suggested indicators for th</w:t>
      </w:r>
      <w:r w:rsidR="00F85C5C" w:rsidRPr="00506507">
        <w:rPr>
          <w:sz w:val="22"/>
          <w:szCs w:val="22"/>
        </w:rPr>
        <w:t>e</w:t>
      </w:r>
      <w:r w:rsidR="00233FFC" w:rsidRPr="00506507">
        <w:rPr>
          <w:sz w:val="22"/>
          <w:szCs w:val="22"/>
        </w:rPr>
        <w:t xml:space="preserve"> target </w:t>
      </w:r>
      <w:r w:rsidR="00F85C5C" w:rsidRPr="00506507">
        <w:rPr>
          <w:sz w:val="22"/>
          <w:szCs w:val="22"/>
        </w:rPr>
        <w:t>being</w:t>
      </w:r>
      <w:r w:rsidR="00233FFC" w:rsidRPr="00506507">
        <w:rPr>
          <w:sz w:val="22"/>
          <w:szCs w:val="22"/>
        </w:rPr>
        <w:t xml:space="preserve"> (i) </w:t>
      </w:r>
      <w:r w:rsidR="00F85C5C" w:rsidRPr="00506507">
        <w:rPr>
          <w:sz w:val="22"/>
          <w:szCs w:val="22"/>
        </w:rPr>
        <w:t xml:space="preserve">the </w:t>
      </w:r>
      <w:r w:rsidR="00233FFC" w:rsidRPr="00506507">
        <w:rPr>
          <w:sz w:val="22"/>
          <w:szCs w:val="22"/>
        </w:rPr>
        <w:t>“</w:t>
      </w:r>
      <w:r w:rsidR="00233FFC" w:rsidRPr="00506507">
        <w:rPr>
          <w:i/>
          <w:sz w:val="22"/>
          <w:szCs w:val="22"/>
        </w:rPr>
        <w:t>number of issues for which AEWA priorities have been formally communicated to the most relevant multilateral process(es)</w:t>
      </w:r>
      <w:r w:rsidR="00233FFC" w:rsidRPr="00506507">
        <w:rPr>
          <w:sz w:val="22"/>
          <w:szCs w:val="22"/>
        </w:rPr>
        <w:t>” and (ii) the “</w:t>
      </w:r>
      <w:r w:rsidR="00233FFC" w:rsidRPr="00506507">
        <w:rPr>
          <w:i/>
          <w:sz w:val="22"/>
          <w:szCs w:val="22"/>
        </w:rPr>
        <w:t>number of relevant decisions, actions, recommendations and guidance under these processes that incorporate AEWA priorities</w:t>
      </w:r>
      <w:r w:rsidR="00F85C5C" w:rsidRPr="00506507">
        <w:rPr>
          <w:sz w:val="22"/>
          <w:szCs w:val="22"/>
        </w:rPr>
        <w:t>”</w:t>
      </w:r>
      <w:r w:rsidR="00233FFC" w:rsidRPr="00506507">
        <w:rPr>
          <w:sz w:val="22"/>
          <w:szCs w:val="22"/>
        </w:rPr>
        <w:t>.</w:t>
      </w:r>
    </w:p>
    <w:p w14:paraId="14653682" w14:textId="0FBF1CEB" w:rsidR="005C58EF" w:rsidRPr="00506507" w:rsidRDefault="005C58EF" w:rsidP="00506507">
      <w:pPr>
        <w:jc w:val="both"/>
        <w:rPr>
          <w:sz w:val="22"/>
          <w:szCs w:val="22"/>
        </w:rPr>
      </w:pPr>
    </w:p>
    <w:p w14:paraId="40D3361E" w14:textId="0544AB3A" w:rsidR="005F5B81" w:rsidRPr="00506507" w:rsidRDefault="00F85C5C" w:rsidP="00506507">
      <w:pPr>
        <w:jc w:val="both"/>
        <w:rPr>
          <w:sz w:val="22"/>
          <w:szCs w:val="22"/>
        </w:rPr>
      </w:pPr>
      <w:r w:rsidRPr="00506507">
        <w:rPr>
          <w:sz w:val="22"/>
          <w:szCs w:val="22"/>
        </w:rPr>
        <w:t xml:space="preserve">It might be possible to consider also </w:t>
      </w:r>
      <w:r w:rsidR="00037A52" w:rsidRPr="00506507">
        <w:rPr>
          <w:sz w:val="22"/>
          <w:szCs w:val="22"/>
        </w:rPr>
        <w:t xml:space="preserve">however </w:t>
      </w:r>
      <w:r w:rsidRPr="00506507">
        <w:rPr>
          <w:sz w:val="22"/>
          <w:szCs w:val="22"/>
        </w:rPr>
        <w:t xml:space="preserve">whether success is accomplished at the level of </w:t>
      </w:r>
      <w:r w:rsidRPr="00506507">
        <w:rPr>
          <w:i/>
          <w:sz w:val="22"/>
          <w:szCs w:val="22"/>
        </w:rPr>
        <w:t>outcomes</w:t>
      </w:r>
      <w:r w:rsidRPr="00506507">
        <w:rPr>
          <w:sz w:val="22"/>
          <w:szCs w:val="22"/>
        </w:rPr>
        <w:t xml:space="preserve">, which would </w:t>
      </w:r>
      <w:r w:rsidR="00037A52" w:rsidRPr="00506507">
        <w:rPr>
          <w:sz w:val="22"/>
          <w:szCs w:val="22"/>
        </w:rPr>
        <w:t xml:space="preserve">refer to instances where, </w:t>
      </w:r>
      <w:proofErr w:type="gramStart"/>
      <w:r w:rsidR="00037A52" w:rsidRPr="00506507">
        <w:rPr>
          <w:sz w:val="22"/>
          <w:szCs w:val="22"/>
        </w:rPr>
        <w:t>as a consequence of</w:t>
      </w:r>
      <w:proofErr w:type="gramEnd"/>
      <w:r w:rsidR="00037A52" w:rsidRPr="00506507">
        <w:rPr>
          <w:sz w:val="22"/>
          <w:szCs w:val="22"/>
        </w:rPr>
        <w:t xml:space="preserve"> the integration of inputs as described above, </w:t>
      </w:r>
      <w:r w:rsidR="00492220" w:rsidRPr="00506507">
        <w:rPr>
          <w:sz w:val="22"/>
          <w:szCs w:val="22"/>
        </w:rPr>
        <w:t xml:space="preserve">tangible steps towards </w:t>
      </w:r>
      <w:r w:rsidR="00037A52" w:rsidRPr="00506507">
        <w:rPr>
          <w:sz w:val="22"/>
          <w:szCs w:val="22"/>
        </w:rPr>
        <w:t xml:space="preserve">AEWA objectives concerning the </w:t>
      </w:r>
      <w:r w:rsidR="00037A52" w:rsidRPr="00506507">
        <w:rPr>
          <w:i/>
          <w:sz w:val="22"/>
          <w:szCs w:val="22"/>
        </w:rPr>
        <w:t>resulting conservation status</w:t>
      </w:r>
      <w:r w:rsidR="00037A52" w:rsidRPr="00506507">
        <w:rPr>
          <w:sz w:val="22"/>
          <w:szCs w:val="22"/>
        </w:rPr>
        <w:t xml:space="preserve"> of migratory waterbirds and their habitats are achieved (and verified by evidence) </w:t>
      </w:r>
      <w:r w:rsidR="00037A52" w:rsidRPr="00506507">
        <w:rPr>
          <w:i/>
          <w:sz w:val="22"/>
          <w:szCs w:val="22"/>
        </w:rPr>
        <w:t>through</w:t>
      </w:r>
      <w:r w:rsidR="00037A52" w:rsidRPr="00506507">
        <w:rPr>
          <w:sz w:val="22"/>
          <w:szCs w:val="22"/>
        </w:rPr>
        <w:t xml:space="preserve"> the actions of other multilateral processes that have been influenced.  Target 1.6 might in fact partly contemplate this by its reference in the second suggested indicator to “actions” (by others) that incorporate AEWA priorities; but a true expression of it might require indicators</w:t>
      </w:r>
      <w:r w:rsidR="00027AA6" w:rsidRPr="00506507">
        <w:rPr>
          <w:sz w:val="22"/>
          <w:szCs w:val="22"/>
        </w:rPr>
        <w:t xml:space="preserve"> </w:t>
      </w:r>
      <w:r w:rsidR="005F5B81" w:rsidRPr="00506507">
        <w:rPr>
          <w:sz w:val="22"/>
          <w:szCs w:val="22"/>
        </w:rPr>
        <w:t xml:space="preserve">more </w:t>
      </w:r>
      <w:r w:rsidR="00C10DD9" w:rsidRPr="00506507">
        <w:rPr>
          <w:sz w:val="22"/>
          <w:szCs w:val="22"/>
        </w:rPr>
        <w:t>akin to</w:t>
      </w:r>
      <w:r w:rsidR="005F5B81" w:rsidRPr="00506507">
        <w:rPr>
          <w:sz w:val="22"/>
          <w:szCs w:val="22"/>
        </w:rPr>
        <w:t xml:space="preserve"> those for the “purposes” in the Plan (P1-P6), if the outcomes concerned could in some way be a</w:t>
      </w:r>
      <w:r w:rsidR="00027AA6" w:rsidRPr="00506507">
        <w:rPr>
          <w:sz w:val="22"/>
          <w:szCs w:val="22"/>
        </w:rPr>
        <w:t>ttribut</w:t>
      </w:r>
      <w:r w:rsidR="005F5B81" w:rsidRPr="00506507">
        <w:rPr>
          <w:sz w:val="22"/>
          <w:szCs w:val="22"/>
        </w:rPr>
        <w:t>ed</w:t>
      </w:r>
      <w:r w:rsidR="00027AA6" w:rsidRPr="00506507">
        <w:rPr>
          <w:sz w:val="22"/>
          <w:szCs w:val="22"/>
        </w:rPr>
        <w:t xml:space="preserve"> to the actions of a particular category of actor.  This </w:t>
      </w:r>
      <w:r w:rsidR="005F5B81" w:rsidRPr="00506507">
        <w:rPr>
          <w:sz w:val="22"/>
          <w:szCs w:val="22"/>
        </w:rPr>
        <w:t>may be possible in some cases at a project scale, but addressing it more widely is perhaps a longer-term challenge.</w:t>
      </w:r>
      <w:r w:rsidR="00492220" w:rsidRPr="00506507">
        <w:rPr>
          <w:sz w:val="22"/>
          <w:szCs w:val="22"/>
        </w:rPr>
        <w:t xml:space="preserve">  Achieving favourable conservation status itself may be a long-term process, but evidence of “threat removal” in the interim, and/or associated positive trends exhibited by affected species, would be a basis at least for indicating good progress.</w:t>
      </w:r>
    </w:p>
    <w:p w14:paraId="22B7FCA5" w14:textId="77777777" w:rsidR="005F5B81" w:rsidRPr="00506507" w:rsidRDefault="005F5B81" w:rsidP="00F85C5C">
      <w:pPr>
        <w:rPr>
          <w:sz w:val="22"/>
          <w:szCs w:val="22"/>
        </w:rPr>
      </w:pPr>
    </w:p>
    <w:p w14:paraId="69CDEE36" w14:textId="77777777" w:rsidR="005F5B81" w:rsidRPr="00506507" w:rsidRDefault="005F5B81" w:rsidP="00F85C5C">
      <w:pPr>
        <w:rPr>
          <w:sz w:val="22"/>
          <w:szCs w:val="22"/>
        </w:rPr>
      </w:pPr>
    </w:p>
    <w:p w14:paraId="333A5E5C" w14:textId="434656FA" w:rsidR="00B054EE" w:rsidRPr="00E1163B" w:rsidRDefault="00506507" w:rsidP="00E1163B">
      <w:pPr>
        <w:pStyle w:val="Heading1"/>
        <w:keepNext/>
        <w:tabs>
          <w:tab w:val="left" w:pos="5780"/>
        </w:tabs>
        <w:spacing w:before="0" w:beforeAutospacing="0" w:after="0" w:afterAutospacing="0"/>
        <w:rPr>
          <w:bCs w:val="0"/>
          <w:color w:val="264D74"/>
          <w:sz w:val="24"/>
          <w:szCs w:val="24"/>
        </w:rPr>
      </w:pPr>
      <w:bookmarkStart w:id="3" w:name="_Toc106615966"/>
      <w:r w:rsidRPr="00E1163B">
        <w:rPr>
          <w:bCs w:val="0"/>
          <w:color w:val="264D74"/>
          <w:sz w:val="24"/>
          <w:szCs w:val="24"/>
        </w:rPr>
        <w:t>How Opportunities for Influencing have been Prioritised for this Review</w:t>
      </w:r>
      <w:bookmarkEnd w:id="3"/>
    </w:p>
    <w:p w14:paraId="166312D1" w14:textId="77777777" w:rsidR="00B054EE" w:rsidRPr="00506507" w:rsidRDefault="00B054EE" w:rsidP="00B054EE">
      <w:pPr>
        <w:rPr>
          <w:sz w:val="22"/>
          <w:szCs w:val="22"/>
        </w:rPr>
      </w:pPr>
    </w:p>
    <w:p w14:paraId="5606C5CD" w14:textId="5C2A7067" w:rsidR="008D6AC7" w:rsidRPr="00506507" w:rsidRDefault="008D6AC7" w:rsidP="00506507">
      <w:pPr>
        <w:jc w:val="both"/>
        <w:rPr>
          <w:sz w:val="22"/>
          <w:szCs w:val="22"/>
        </w:rPr>
      </w:pPr>
      <w:r w:rsidRPr="00506507">
        <w:rPr>
          <w:sz w:val="22"/>
          <w:szCs w:val="22"/>
        </w:rPr>
        <w:t xml:space="preserve">Each of the “four causes” is addressed in turn in the sections that follow below, followed by a fifth section touching on some additional issues.  Each section contains two tables.  Table (a) identifies opportunities derived from “existing AEWA orientations”.  These orientations refer to sources including Resolutions of the MOP, </w:t>
      </w:r>
      <w:r w:rsidR="001C246D" w:rsidRPr="00506507">
        <w:rPr>
          <w:sz w:val="22"/>
          <w:szCs w:val="22"/>
        </w:rPr>
        <w:t xml:space="preserve">Action Plans, guidance documents and other materials or initiatives generated under the auspices of the Agreement.  Nothing is included here however that is a process or initiative of AEWA </w:t>
      </w:r>
      <w:r w:rsidR="00506507" w:rsidRPr="00506507">
        <w:rPr>
          <w:sz w:val="22"/>
          <w:szCs w:val="22"/>
        </w:rPr>
        <w:t>itself or</w:t>
      </w:r>
      <w:r w:rsidR="001C246D" w:rsidRPr="00506507">
        <w:rPr>
          <w:sz w:val="22"/>
          <w:szCs w:val="22"/>
        </w:rPr>
        <w:t xml:space="preserve"> is a joint initiative where AEWA takes a leading role, or is a request or recommendation made by AEWA to another body.  This is because AEWA’s own activities are not targets for “influencing” in the “externally directed” sense foreseen in Strategic Plan Target 1.6.</w:t>
      </w:r>
    </w:p>
    <w:p w14:paraId="452B3B3C" w14:textId="77777777" w:rsidR="001C246D" w:rsidRPr="00506507" w:rsidRDefault="001C246D" w:rsidP="00506507">
      <w:pPr>
        <w:jc w:val="both"/>
        <w:rPr>
          <w:sz w:val="22"/>
          <w:szCs w:val="22"/>
        </w:rPr>
      </w:pPr>
    </w:p>
    <w:p w14:paraId="39BCC65C" w14:textId="3635432F" w:rsidR="007A3FD8" w:rsidRPr="00506507" w:rsidRDefault="001C246D" w:rsidP="00506507">
      <w:pPr>
        <w:jc w:val="both"/>
        <w:rPr>
          <w:sz w:val="22"/>
          <w:szCs w:val="22"/>
        </w:rPr>
      </w:pPr>
      <w:r w:rsidRPr="00506507">
        <w:rPr>
          <w:sz w:val="22"/>
          <w:szCs w:val="22"/>
        </w:rPr>
        <w:lastRenderedPageBreak/>
        <w:t xml:space="preserve">The second table in each section, Table (b), identifies opportunities derived from other relevant contexts which have not yet been formally highlighted in </w:t>
      </w:r>
      <w:r w:rsidR="007A3FD8" w:rsidRPr="00506507">
        <w:rPr>
          <w:sz w:val="22"/>
          <w:szCs w:val="22"/>
        </w:rPr>
        <w:t xml:space="preserve">existing </w:t>
      </w:r>
      <w:r w:rsidRPr="00506507">
        <w:rPr>
          <w:sz w:val="22"/>
          <w:szCs w:val="22"/>
        </w:rPr>
        <w:t>AEWA sources.  In many cases th</w:t>
      </w:r>
      <w:r w:rsidR="007A3FD8" w:rsidRPr="00506507">
        <w:rPr>
          <w:sz w:val="22"/>
          <w:szCs w:val="22"/>
        </w:rPr>
        <w:t>is is simply because they arise from decisions or initiatives that are more recent than the latest AEWA MOP Resolutions or Agreement publications on the subject.</w:t>
      </w:r>
    </w:p>
    <w:p w14:paraId="78AC303F" w14:textId="77777777" w:rsidR="007A3FD8" w:rsidRPr="00506507" w:rsidRDefault="007A3FD8" w:rsidP="00506507">
      <w:pPr>
        <w:jc w:val="both"/>
        <w:rPr>
          <w:sz w:val="22"/>
          <w:szCs w:val="22"/>
        </w:rPr>
      </w:pPr>
    </w:p>
    <w:p w14:paraId="00C3D3AE" w14:textId="605D5FAD" w:rsidR="007A3FD8" w:rsidRPr="00506507" w:rsidRDefault="007A3FD8" w:rsidP="00506507">
      <w:pPr>
        <w:jc w:val="both"/>
        <w:rPr>
          <w:sz w:val="22"/>
          <w:szCs w:val="22"/>
        </w:rPr>
      </w:pPr>
      <w:r w:rsidRPr="00506507">
        <w:rPr>
          <w:sz w:val="22"/>
          <w:szCs w:val="22"/>
        </w:rPr>
        <w:t xml:space="preserve">Both lists in each section may be regarded as a sample of the most relevant items, informed </w:t>
      </w:r>
      <w:r w:rsidRPr="00506507">
        <w:rPr>
          <w:i/>
          <w:sz w:val="22"/>
          <w:szCs w:val="22"/>
        </w:rPr>
        <w:t>inter alia</w:t>
      </w:r>
      <w:r w:rsidRPr="00506507">
        <w:rPr>
          <w:sz w:val="22"/>
          <w:szCs w:val="22"/>
        </w:rPr>
        <w:t xml:space="preserve"> by consultative input from the AEWA Technical Committee (during 2022).  The lists do not in any way purport to be a comprehensive inventory: </w:t>
      </w:r>
      <w:r w:rsidR="00506507" w:rsidRPr="00506507">
        <w:rPr>
          <w:sz w:val="22"/>
          <w:szCs w:val="22"/>
        </w:rPr>
        <w:t>instead,</w:t>
      </w:r>
      <w:r w:rsidRPr="00506507">
        <w:rPr>
          <w:sz w:val="22"/>
          <w:szCs w:val="22"/>
        </w:rPr>
        <w:t xml:space="preserve"> the selection has been made according to where the most concrete basis for an influencing opportunity is seen to lie.  This is necessarily a matter of subjective judgement; but it is a starting point for developing the more specific steps that might be considered in each case.</w:t>
      </w:r>
      <w:r w:rsidR="00050415" w:rsidRPr="00506507">
        <w:rPr>
          <w:sz w:val="22"/>
          <w:szCs w:val="22"/>
        </w:rPr>
        <w:t xml:space="preserve">  The overall picture will continue to evolve as well, as external processes develop further and as this assessment of opportunities is updated and broadened in future (see “Conclusions” section below).</w:t>
      </w:r>
    </w:p>
    <w:p w14:paraId="085AB158" w14:textId="77777777" w:rsidR="005F5B81" w:rsidRPr="00506507" w:rsidRDefault="005F5B81" w:rsidP="00B054EE">
      <w:pPr>
        <w:rPr>
          <w:sz w:val="22"/>
          <w:szCs w:val="22"/>
        </w:rPr>
      </w:pPr>
    </w:p>
    <w:p w14:paraId="1C388F19" w14:textId="4C279297" w:rsidR="007A3FD8" w:rsidRPr="00506507" w:rsidRDefault="007A3FD8">
      <w:pPr>
        <w:rPr>
          <w:sz w:val="12"/>
          <w:szCs w:val="12"/>
        </w:rPr>
      </w:pPr>
      <w:r w:rsidRPr="00506507">
        <w:rPr>
          <w:sz w:val="12"/>
          <w:szCs w:val="12"/>
        </w:rPr>
        <w:br w:type="page"/>
      </w:r>
    </w:p>
    <w:p w14:paraId="252F7F4D" w14:textId="77777777" w:rsidR="005F5B81" w:rsidRPr="00506507" w:rsidRDefault="005F5B81" w:rsidP="00B054EE">
      <w:pPr>
        <w:rPr>
          <w:sz w:val="12"/>
          <w:szCs w:val="12"/>
        </w:rPr>
      </w:pPr>
    </w:p>
    <w:p w14:paraId="59C034BF" w14:textId="6B42B40E" w:rsidR="001E1D7A" w:rsidRPr="00E1163B" w:rsidRDefault="00506507" w:rsidP="00E1163B">
      <w:pPr>
        <w:pStyle w:val="Heading1"/>
        <w:keepNext/>
        <w:tabs>
          <w:tab w:val="left" w:pos="5780"/>
        </w:tabs>
        <w:spacing w:before="0" w:beforeAutospacing="0" w:after="0" w:afterAutospacing="0"/>
        <w:rPr>
          <w:bCs w:val="0"/>
          <w:color w:val="264D74"/>
          <w:sz w:val="24"/>
          <w:szCs w:val="24"/>
        </w:rPr>
      </w:pPr>
      <w:bookmarkStart w:id="4" w:name="_Toc106615967"/>
      <w:r w:rsidRPr="00E1163B">
        <w:rPr>
          <w:bCs w:val="0"/>
          <w:color w:val="264D74"/>
          <w:sz w:val="24"/>
          <w:szCs w:val="24"/>
        </w:rPr>
        <w:t>The Opportunities Relating to each Mortality Cause</w:t>
      </w:r>
      <w:bookmarkEnd w:id="4"/>
    </w:p>
    <w:p w14:paraId="3DB47B0C" w14:textId="77777777" w:rsidR="001E1D7A" w:rsidRPr="00506507" w:rsidRDefault="001E1D7A" w:rsidP="00B054EE">
      <w:pPr>
        <w:rPr>
          <w:sz w:val="22"/>
          <w:szCs w:val="22"/>
        </w:rPr>
      </w:pPr>
    </w:p>
    <w:p w14:paraId="446EB3F0" w14:textId="77777777" w:rsidR="004C70BC" w:rsidRPr="00506507" w:rsidRDefault="004C70BC" w:rsidP="00B054EE">
      <w:pPr>
        <w:rPr>
          <w:sz w:val="16"/>
          <w:szCs w:val="16"/>
        </w:rPr>
      </w:pPr>
    </w:p>
    <w:p w14:paraId="2F12EDEA" w14:textId="5F6C31DD" w:rsidR="007722E8" w:rsidRPr="00506507" w:rsidRDefault="007722E8" w:rsidP="00506507">
      <w:pPr>
        <w:shd w:val="clear" w:color="auto" w:fill="DEEAF6" w:themeFill="accent1" w:themeFillTint="33"/>
        <w:spacing w:after="20"/>
        <w:rPr>
          <w:b/>
        </w:rPr>
      </w:pPr>
      <w:r w:rsidRPr="00506507">
        <w:rPr>
          <w:b/>
        </w:rPr>
        <w:t xml:space="preserve">1.  Energy </w:t>
      </w:r>
      <w:r w:rsidR="00D87692">
        <w:rPr>
          <w:b/>
        </w:rPr>
        <w:t>I</w:t>
      </w:r>
      <w:r w:rsidRPr="00506507">
        <w:rPr>
          <w:b/>
        </w:rPr>
        <w:t>nfrastructure</w:t>
      </w:r>
    </w:p>
    <w:p w14:paraId="043DEB80" w14:textId="77777777" w:rsidR="007722E8" w:rsidRPr="00506507" w:rsidRDefault="007722E8" w:rsidP="007722E8">
      <w:pPr>
        <w:rPr>
          <w:sz w:val="22"/>
          <w:szCs w:val="22"/>
        </w:rPr>
      </w:pPr>
    </w:p>
    <w:p w14:paraId="56803789" w14:textId="77777777" w:rsidR="007722E8" w:rsidRPr="00506507" w:rsidRDefault="007722E8" w:rsidP="007722E8">
      <w:pPr>
        <w:spacing w:after="20"/>
        <w:rPr>
          <w:b/>
          <w:i/>
          <w:color w:val="003366"/>
          <w:sz w:val="22"/>
          <w:szCs w:val="22"/>
        </w:rPr>
      </w:pPr>
      <w:r w:rsidRPr="00506507">
        <w:rPr>
          <w:b/>
          <w:i/>
          <w:color w:val="003366"/>
          <w:sz w:val="22"/>
          <w:szCs w:val="22"/>
        </w:rPr>
        <w:t xml:space="preserve">  (a)  Existing AEWA orientations</w:t>
      </w:r>
    </w:p>
    <w:p w14:paraId="0FDF58CA" w14:textId="77777777" w:rsidR="007722E8" w:rsidRPr="00506507" w:rsidRDefault="007722E8" w:rsidP="007722E8">
      <w:pPr>
        <w:rPr>
          <w:sz w:val="22"/>
          <w:szCs w:val="22"/>
        </w:rPr>
      </w:pPr>
    </w:p>
    <w:p w14:paraId="081950ED" w14:textId="6735F77F" w:rsidR="005F7185" w:rsidRPr="00506507" w:rsidRDefault="007722E8" w:rsidP="00506507">
      <w:pPr>
        <w:jc w:val="both"/>
        <w:rPr>
          <w:sz w:val="22"/>
          <w:szCs w:val="22"/>
        </w:rPr>
      </w:pPr>
      <w:r w:rsidRPr="00506507">
        <w:rPr>
          <w:sz w:val="22"/>
          <w:szCs w:val="22"/>
        </w:rPr>
        <w:t>AEWA has produced two publications in its</w:t>
      </w:r>
      <w:r w:rsidR="005F7185" w:rsidRPr="00506507">
        <w:rPr>
          <w:sz w:val="22"/>
          <w:szCs w:val="22"/>
        </w:rPr>
        <w:t xml:space="preserve"> series of MOP-approved</w:t>
      </w:r>
      <w:r w:rsidRPr="00506507">
        <w:rPr>
          <w:sz w:val="22"/>
          <w:szCs w:val="22"/>
        </w:rPr>
        <w:t xml:space="preserve"> “Conservation Guidelines” that address this issue</w:t>
      </w:r>
      <w:r w:rsidR="005F7185" w:rsidRPr="00506507">
        <w:rPr>
          <w:sz w:val="22"/>
          <w:szCs w:val="22"/>
        </w:rPr>
        <w:t>:</w:t>
      </w:r>
    </w:p>
    <w:p w14:paraId="5EA6F0BF" w14:textId="77777777" w:rsidR="005F7185" w:rsidRPr="00506507" w:rsidRDefault="005F7185" w:rsidP="00506507">
      <w:pPr>
        <w:jc w:val="both"/>
        <w:rPr>
          <w:sz w:val="10"/>
          <w:szCs w:val="10"/>
        </w:rPr>
      </w:pPr>
    </w:p>
    <w:p w14:paraId="0EBE8C4E" w14:textId="00AB2159" w:rsidR="005F7185" w:rsidRPr="00506507" w:rsidRDefault="005F7185" w:rsidP="00506507">
      <w:pPr>
        <w:pStyle w:val="ListParagraph"/>
        <w:numPr>
          <w:ilvl w:val="0"/>
          <w:numId w:val="34"/>
        </w:numPr>
        <w:jc w:val="both"/>
        <w:rPr>
          <w:sz w:val="20"/>
          <w:szCs w:val="20"/>
        </w:rPr>
      </w:pPr>
      <w:r w:rsidRPr="00506507">
        <w:rPr>
          <w:color w:val="000000"/>
          <w:sz w:val="20"/>
          <w:szCs w:val="20"/>
        </w:rPr>
        <w:t xml:space="preserve">Guidelines No. 11 (2008) on how to avoid, minimise or mitigate impact of infrastructural developments and related disturbance affecting waterbirds - </w:t>
      </w:r>
      <w:hyperlink r:id="rId8" w:history="1">
        <w:r w:rsidRPr="00506507">
          <w:rPr>
            <w:rStyle w:val="Hyperlink"/>
            <w:i/>
            <w:sz w:val="20"/>
            <w:szCs w:val="20"/>
          </w:rPr>
          <w:t>https://www.unep-aewa.org/en/publication/aewa-conservation-guidelines-no-11-guidelines-how-avoid-minimize-or-mitigate-impact</w:t>
        </w:r>
      </w:hyperlink>
      <w:r w:rsidRPr="00506507">
        <w:rPr>
          <w:color w:val="000000"/>
          <w:sz w:val="20"/>
          <w:szCs w:val="20"/>
        </w:rPr>
        <w:t xml:space="preserve"> ;</w:t>
      </w:r>
    </w:p>
    <w:p w14:paraId="5C1AE48B" w14:textId="77777777" w:rsidR="005F7185" w:rsidRPr="00506507" w:rsidRDefault="005F7185" w:rsidP="00506507">
      <w:pPr>
        <w:jc w:val="both"/>
        <w:rPr>
          <w:sz w:val="10"/>
          <w:szCs w:val="10"/>
        </w:rPr>
      </w:pPr>
    </w:p>
    <w:p w14:paraId="456EBD02" w14:textId="3F62EBB9" w:rsidR="005F7185" w:rsidRPr="00506507" w:rsidRDefault="005F7185" w:rsidP="00506507">
      <w:pPr>
        <w:pStyle w:val="ListParagraph"/>
        <w:numPr>
          <w:ilvl w:val="0"/>
          <w:numId w:val="34"/>
        </w:numPr>
        <w:jc w:val="both"/>
        <w:rPr>
          <w:sz w:val="20"/>
          <w:szCs w:val="20"/>
        </w:rPr>
      </w:pPr>
      <w:r w:rsidRPr="00506507">
        <w:rPr>
          <w:sz w:val="20"/>
          <w:szCs w:val="20"/>
        </w:rPr>
        <w:t xml:space="preserve">Guidelines No. 14 (2012) on how to avoid or mitigate impact of electricity power grids on migratory birds in the African-Eurasian region - </w:t>
      </w:r>
      <w:hyperlink r:id="rId9" w:history="1">
        <w:r w:rsidRPr="00506507">
          <w:rPr>
            <w:rStyle w:val="Hyperlink"/>
            <w:i/>
            <w:sz w:val="20"/>
            <w:szCs w:val="20"/>
          </w:rPr>
          <w:t>https://www.unep-aewa.org/en/publication/aewa-conservation-guidelines-no-14-guidelines-how-avoid-or-mitigate-impact-electricity</w:t>
        </w:r>
      </w:hyperlink>
      <w:r w:rsidRPr="00506507">
        <w:rPr>
          <w:sz w:val="20"/>
          <w:szCs w:val="20"/>
        </w:rPr>
        <w:t xml:space="preserve"> .</w:t>
      </w:r>
    </w:p>
    <w:p w14:paraId="2F434DDC" w14:textId="77777777" w:rsidR="005F7185" w:rsidRPr="00506507" w:rsidRDefault="005F7185" w:rsidP="00506507">
      <w:pPr>
        <w:jc w:val="both"/>
        <w:rPr>
          <w:sz w:val="22"/>
          <w:szCs w:val="22"/>
        </w:rPr>
      </w:pPr>
    </w:p>
    <w:p w14:paraId="15DF4C07" w14:textId="5F73201D" w:rsidR="00F91FFD" w:rsidRPr="00506507" w:rsidRDefault="00F91FFD" w:rsidP="00506507">
      <w:pPr>
        <w:jc w:val="both"/>
        <w:rPr>
          <w:sz w:val="22"/>
          <w:szCs w:val="22"/>
        </w:rPr>
      </w:pPr>
      <w:r w:rsidRPr="00506507">
        <w:rPr>
          <w:sz w:val="22"/>
          <w:szCs w:val="22"/>
        </w:rPr>
        <w:t>T</w:t>
      </w:r>
      <w:r w:rsidR="007722E8" w:rsidRPr="00506507">
        <w:rPr>
          <w:sz w:val="22"/>
          <w:szCs w:val="22"/>
        </w:rPr>
        <w:t xml:space="preserve">he MOP has to date </w:t>
      </w:r>
      <w:r w:rsidRPr="00506507">
        <w:rPr>
          <w:sz w:val="22"/>
          <w:szCs w:val="22"/>
        </w:rPr>
        <w:t xml:space="preserve">also </w:t>
      </w:r>
      <w:r w:rsidR="007722E8" w:rsidRPr="00506507">
        <w:rPr>
          <w:sz w:val="22"/>
          <w:szCs w:val="22"/>
        </w:rPr>
        <w:t>adopted three relevant Resolutions</w:t>
      </w:r>
      <w:r w:rsidRPr="00506507">
        <w:rPr>
          <w:sz w:val="22"/>
          <w:szCs w:val="22"/>
        </w:rPr>
        <w:t>:</w:t>
      </w:r>
    </w:p>
    <w:p w14:paraId="33BBEBD8" w14:textId="77777777" w:rsidR="00F91FFD" w:rsidRPr="00506507" w:rsidRDefault="00F91FFD" w:rsidP="00506507">
      <w:pPr>
        <w:jc w:val="both"/>
        <w:rPr>
          <w:sz w:val="10"/>
          <w:szCs w:val="10"/>
        </w:rPr>
      </w:pPr>
    </w:p>
    <w:p w14:paraId="3DBC0FD2" w14:textId="70621C20" w:rsidR="00F91FFD" w:rsidRPr="00506507" w:rsidRDefault="00F91FFD" w:rsidP="00506507">
      <w:pPr>
        <w:pStyle w:val="ListParagraph"/>
        <w:numPr>
          <w:ilvl w:val="0"/>
          <w:numId w:val="35"/>
        </w:numPr>
        <w:jc w:val="both"/>
        <w:rPr>
          <w:sz w:val="20"/>
          <w:szCs w:val="20"/>
        </w:rPr>
      </w:pPr>
      <w:r w:rsidRPr="00506507">
        <w:rPr>
          <w:sz w:val="20"/>
          <w:szCs w:val="20"/>
        </w:rPr>
        <w:t xml:space="preserve">Resolution 5.11 (2012) on Power lines and migratory waterbirds - </w:t>
      </w:r>
      <w:hyperlink r:id="rId10" w:history="1">
        <w:r w:rsidRPr="00506507">
          <w:rPr>
            <w:rStyle w:val="Hyperlink"/>
            <w:i/>
            <w:sz w:val="20"/>
            <w:szCs w:val="20"/>
          </w:rPr>
          <w:t>https://www.unep-aewa.org/en/document/power-lines-and-migratory-waterbirds</w:t>
        </w:r>
      </w:hyperlink>
      <w:r w:rsidRPr="00506507">
        <w:rPr>
          <w:sz w:val="20"/>
          <w:szCs w:val="20"/>
        </w:rPr>
        <w:t xml:space="preserve"> ;</w:t>
      </w:r>
    </w:p>
    <w:p w14:paraId="585952B7" w14:textId="77777777" w:rsidR="00F91FFD" w:rsidRPr="00506507" w:rsidRDefault="00F91FFD" w:rsidP="00506507">
      <w:pPr>
        <w:jc w:val="both"/>
        <w:rPr>
          <w:sz w:val="10"/>
          <w:szCs w:val="10"/>
        </w:rPr>
      </w:pPr>
    </w:p>
    <w:p w14:paraId="2F7A93CD" w14:textId="34171684" w:rsidR="00F91FFD" w:rsidRPr="00506507" w:rsidRDefault="00F91FFD" w:rsidP="00506507">
      <w:pPr>
        <w:pStyle w:val="ListParagraph"/>
        <w:numPr>
          <w:ilvl w:val="0"/>
          <w:numId w:val="35"/>
        </w:numPr>
        <w:jc w:val="both"/>
        <w:rPr>
          <w:sz w:val="20"/>
          <w:szCs w:val="20"/>
        </w:rPr>
      </w:pPr>
      <w:r w:rsidRPr="00506507">
        <w:rPr>
          <w:sz w:val="20"/>
          <w:szCs w:val="20"/>
        </w:rPr>
        <w:t xml:space="preserve">Resolution 5.16 (2012) on Renewable energy and migratory waterbirds - </w:t>
      </w:r>
      <w:hyperlink r:id="rId11" w:history="1">
        <w:r w:rsidRPr="00506507">
          <w:rPr>
            <w:rStyle w:val="Hyperlink"/>
            <w:i/>
            <w:sz w:val="20"/>
            <w:szCs w:val="20"/>
          </w:rPr>
          <w:t>https://www.unep-aewa.org/en/document/renewable-energy-and-migratory-waterbirds-1</w:t>
        </w:r>
      </w:hyperlink>
      <w:r w:rsidRPr="00506507">
        <w:rPr>
          <w:sz w:val="20"/>
          <w:szCs w:val="20"/>
        </w:rPr>
        <w:t xml:space="preserve"> ;</w:t>
      </w:r>
    </w:p>
    <w:p w14:paraId="75C71B08" w14:textId="77777777" w:rsidR="00F91FFD" w:rsidRPr="00506507" w:rsidRDefault="00F91FFD" w:rsidP="00506507">
      <w:pPr>
        <w:jc w:val="both"/>
        <w:rPr>
          <w:sz w:val="10"/>
          <w:szCs w:val="10"/>
        </w:rPr>
      </w:pPr>
    </w:p>
    <w:p w14:paraId="72B7CF04" w14:textId="175E0635" w:rsidR="00F91FFD" w:rsidRPr="00506507" w:rsidRDefault="00F91FFD" w:rsidP="00506507">
      <w:pPr>
        <w:pStyle w:val="ListParagraph"/>
        <w:numPr>
          <w:ilvl w:val="0"/>
          <w:numId w:val="35"/>
        </w:numPr>
        <w:jc w:val="both"/>
        <w:rPr>
          <w:sz w:val="20"/>
          <w:szCs w:val="20"/>
        </w:rPr>
      </w:pPr>
      <w:r w:rsidRPr="00506507">
        <w:rPr>
          <w:sz w:val="20"/>
          <w:szCs w:val="20"/>
        </w:rPr>
        <w:t xml:space="preserve">Resolution 6.11 (2015) on Addressing impacts of renewable energy deployment on migratory waterbirds - </w:t>
      </w:r>
      <w:hyperlink r:id="rId12" w:history="1">
        <w:r w:rsidRPr="00506507">
          <w:rPr>
            <w:rStyle w:val="Hyperlink"/>
            <w:i/>
            <w:sz w:val="20"/>
            <w:szCs w:val="20"/>
          </w:rPr>
          <w:t>https://www.unep-aewa.org/en/document/addressing-impacts-renewable-energy-deployment-migratory-waterbirds-2</w:t>
        </w:r>
      </w:hyperlink>
      <w:r w:rsidRPr="00506507">
        <w:rPr>
          <w:sz w:val="20"/>
          <w:szCs w:val="20"/>
        </w:rPr>
        <w:t xml:space="preserve"> .</w:t>
      </w:r>
    </w:p>
    <w:p w14:paraId="108DC398" w14:textId="77777777" w:rsidR="00F91FFD" w:rsidRPr="00506507" w:rsidRDefault="00F91FFD" w:rsidP="00506507">
      <w:pPr>
        <w:jc w:val="both"/>
        <w:rPr>
          <w:sz w:val="22"/>
          <w:szCs w:val="22"/>
        </w:rPr>
      </w:pPr>
    </w:p>
    <w:p w14:paraId="065E04F1" w14:textId="20EE6DCF" w:rsidR="007722E8" w:rsidRPr="00506507" w:rsidRDefault="004C4702" w:rsidP="00506507">
      <w:pPr>
        <w:jc w:val="both"/>
        <w:rPr>
          <w:sz w:val="22"/>
          <w:szCs w:val="22"/>
        </w:rPr>
      </w:pPr>
      <w:r w:rsidRPr="00506507">
        <w:rPr>
          <w:sz w:val="22"/>
          <w:szCs w:val="22"/>
        </w:rPr>
        <w:t>Key m</w:t>
      </w:r>
      <w:r w:rsidR="007722E8" w:rsidRPr="00506507">
        <w:rPr>
          <w:sz w:val="22"/>
          <w:szCs w:val="22"/>
        </w:rPr>
        <w:t>ultilateral processes/platforms identified in these that may offer an entry-point for influence</w:t>
      </w:r>
      <w:r w:rsidRPr="00506507">
        <w:rPr>
          <w:sz w:val="22"/>
          <w:szCs w:val="22"/>
        </w:rPr>
        <w:t>, and some others,</w:t>
      </w:r>
      <w:r w:rsidR="007722E8" w:rsidRPr="00506507">
        <w:rPr>
          <w:sz w:val="22"/>
          <w:szCs w:val="22"/>
        </w:rPr>
        <w:t xml:space="preserve"> are summarised in the table below.</w:t>
      </w:r>
    </w:p>
    <w:p w14:paraId="5FF056EF" w14:textId="77777777" w:rsidR="007722E8" w:rsidRPr="00506507" w:rsidRDefault="007722E8" w:rsidP="007722E8">
      <w:pPr>
        <w:rPr>
          <w:sz w:val="22"/>
          <w:szCs w:val="22"/>
        </w:rPr>
      </w:pPr>
    </w:p>
    <w:p w14:paraId="2243F04F" w14:textId="77777777" w:rsidR="007722E8" w:rsidRPr="00506507" w:rsidRDefault="007722E8" w:rsidP="007722E8">
      <w:pPr>
        <w:rPr>
          <w:sz w:val="8"/>
          <w:szCs w:val="8"/>
        </w:rPr>
      </w:pPr>
    </w:p>
    <w:tbl>
      <w:tblPr>
        <w:tblStyle w:val="TableGrid"/>
        <w:tblW w:w="0" w:type="auto"/>
        <w:jc w:val="center"/>
        <w:tblLook w:val="04A0" w:firstRow="1" w:lastRow="0" w:firstColumn="1" w:lastColumn="0" w:noHBand="0" w:noVBand="1"/>
      </w:tblPr>
      <w:tblGrid>
        <w:gridCol w:w="3005"/>
        <w:gridCol w:w="3005"/>
        <w:gridCol w:w="3006"/>
      </w:tblGrid>
      <w:tr w:rsidR="007722E8" w:rsidRPr="00506507" w14:paraId="6AB7771F" w14:textId="77777777" w:rsidTr="00506507">
        <w:trPr>
          <w:jc w:val="center"/>
        </w:trPr>
        <w:tc>
          <w:tcPr>
            <w:tcW w:w="3005" w:type="dxa"/>
            <w:shd w:val="clear" w:color="auto" w:fill="DEEAF6" w:themeFill="accent1" w:themeFillTint="33"/>
            <w:vAlign w:val="center"/>
          </w:tcPr>
          <w:p w14:paraId="2366C63E" w14:textId="77777777" w:rsidR="007722E8" w:rsidRPr="00506507" w:rsidRDefault="007722E8" w:rsidP="005F7185">
            <w:pPr>
              <w:jc w:val="center"/>
              <w:rPr>
                <w:b/>
                <w:sz w:val="20"/>
                <w:szCs w:val="20"/>
              </w:rPr>
            </w:pPr>
            <w:r w:rsidRPr="00506507">
              <w:rPr>
                <w:b/>
                <w:sz w:val="20"/>
                <w:szCs w:val="20"/>
              </w:rPr>
              <w:t>Multilateral process / platform</w:t>
            </w:r>
          </w:p>
        </w:tc>
        <w:tc>
          <w:tcPr>
            <w:tcW w:w="3005" w:type="dxa"/>
            <w:shd w:val="clear" w:color="auto" w:fill="DEEAF6" w:themeFill="accent1" w:themeFillTint="33"/>
            <w:vAlign w:val="center"/>
          </w:tcPr>
          <w:p w14:paraId="38CFED33" w14:textId="77777777" w:rsidR="007722E8" w:rsidRPr="00506507" w:rsidRDefault="007722E8" w:rsidP="005F7185">
            <w:pPr>
              <w:jc w:val="center"/>
              <w:rPr>
                <w:b/>
                <w:sz w:val="20"/>
                <w:szCs w:val="20"/>
              </w:rPr>
            </w:pPr>
            <w:r w:rsidRPr="00506507">
              <w:rPr>
                <w:b/>
                <w:sz w:val="20"/>
                <w:szCs w:val="20"/>
              </w:rPr>
              <w:t>Where identified by AEWA</w:t>
            </w:r>
          </w:p>
        </w:tc>
        <w:tc>
          <w:tcPr>
            <w:tcW w:w="3006" w:type="dxa"/>
            <w:shd w:val="clear" w:color="auto" w:fill="DEEAF6" w:themeFill="accent1" w:themeFillTint="33"/>
            <w:vAlign w:val="center"/>
          </w:tcPr>
          <w:p w14:paraId="1BCB8B9B" w14:textId="77777777" w:rsidR="007722E8" w:rsidRPr="00506507" w:rsidRDefault="007722E8" w:rsidP="005F7185">
            <w:pPr>
              <w:jc w:val="center"/>
              <w:rPr>
                <w:b/>
                <w:sz w:val="20"/>
                <w:szCs w:val="20"/>
              </w:rPr>
            </w:pPr>
            <w:r w:rsidRPr="00506507">
              <w:rPr>
                <w:b/>
                <w:sz w:val="20"/>
                <w:szCs w:val="20"/>
              </w:rPr>
              <w:t>Possible opportunity for influence</w:t>
            </w:r>
          </w:p>
        </w:tc>
      </w:tr>
      <w:tr w:rsidR="007722E8" w:rsidRPr="00506507" w14:paraId="1415709B" w14:textId="77777777" w:rsidTr="00506507">
        <w:trPr>
          <w:jc w:val="center"/>
        </w:trPr>
        <w:tc>
          <w:tcPr>
            <w:tcW w:w="9016" w:type="dxa"/>
            <w:gridSpan w:val="3"/>
            <w:shd w:val="clear" w:color="auto" w:fill="D9D9D9" w:themeFill="background1" w:themeFillShade="D9"/>
          </w:tcPr>
          <w:p w14:paraId="1B61DAD9" w14:textId="77777777" w:rsidR="007722E8" w:rsidRPr="00506507" w:rsidRDefault="007722E8" w:rsidP="005F7185">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Convention on Migratory Species (CMS)</w:t>
            </w:r>
          </w:p>
        </w:tc>
      </w:tr>
      <w:tr w:rsidR="007722E8" w:rsidRPr="00506507" w14:paraId="0B25046E" w14:textId="77777777" w:rsidTr="00506507">
        <w:trPr>
          <w:jc w:val="center"/>
        </w:trPr>
        <w:tc>
          <w:tcPr>
            <w:tcW w:w="3005" w:type="dxa"/>
          </w:tcPr>
          <w:p w14:paraId="158D9F83" w14:textId="77777777" w:rsidR="007722E8" w:rsidRPr="00506507" w:rsidRDefault="007722E8" w:rsidP="005F7185">
            <w:pPr>
              <w:rPr>
                <w:sz w:val="19"/>
                <w:szCs w:val="19"/>
              </w:rPr>
            </w:pPr>
            <w:r w:rsidRPr="00506507">
              <w:rPr>
                <w:sz w:val="19"/>
                <w:szCs w:val="19"/>
              </w:rPr>
              <w:t xml:space="preserve">CMS COP Resolution 7.4 (2002) on </w:t>
            </w:r>
            <w:proofErr w:type="gramStart"/>
            <w:r w:rsidRPr="00506507">
              <w:rPr>
                <w:sz w:val="19"/>
                <w:szCs w:val="19"/>
              </w:rPr>
              <w:t>The</w:t>
            </w:r>
            <w:proofErr w:type="gramEnd"/>
            <w:r w:rsidRPr="00506507">
              <w:rPr>
                <w:sz w:val="19"/>
                <w:szCs w:val="19"/>
              </w:rPr>
              <w:t xml:space="preserve"> electrocution of migratory birds</w:t>
            </w:r>
          </w:p>
        </w:tc>
        <w:tc>
          <w:tcPr>
            <w:tcW w:w="3005" w:type="dxa"/>
          </w:tcPr>
          <w:p w14:paraId="752D16B7" w14:textId="77777777" w:rsidR="007722E8" w:rsidRPr="00506507" w:rsidRDefault="007722E8" w:rsidP="005F7185">
            <w:pPr>
              <w:rPr>
                <w:sz w:val="19"/>
                <w:szCs w:val="19"/>
              </w:rPr>
            </w:pPr>
            <w:r w:rsidRPr="00506507">
              <w:rPr>
                <w:sz w:val="19"/>
                <w:szCs w:val="19"/>
              </w:rPr>
              <w:t>Noted in preamble of MOP Resolution 5.11 (2012) on Power lines and migratory waterbirds</w:t>
            </w:r>
          </w:p>
          <w:p w14:paraId="5DCD582D" w14:textId="77777777" w:rsidR="007722E8" w:rsidRPr="00506507" w:rsidRDefault="007722E8" w:rsidP="005F7185">
            <w:pPr>
              <w:rPr>
                <w:sz w:val="19"/>
                <w:szCs w:val="19"/>
              </w:rPr>
            </w:pPr>
            <w:r w:rsidRPr="00506507">
              <w:rPr>
                <w:sz w:val="19"/>
                <w:szCs w:val="19"/>
              </w:rPr>
              <w:t>Mentioned also in AEWA Conservation Guidelines No. 14 (2012) on how to avoid or mitigate impact of electricity power grids on migratory birds in the African-Eurasian region</w:t>
            </w:r>
          </w:p>
        </w:tc>
        <w:tc>
          <w:tcPr>
            <w:tcW w:w="3006" w:type="dxa"/>
          </w:tcPr>
          <w:p w14:paraId="29BC8D31" w14:textId="77777777" w:rsidR="007722E8" w:rsidRPr="00506507" w:rsidRDefault="007722E8" w:rsidP="005F7185">
            <w:pPr>
              <w:pStyle w:val="ListParagraph"/>
              <w:numPr>
                <w:ilvl w:val="0"/>
                <w:numId w:val="30"/>
              </w:numPr>
              <w:rPr>
                <w:sz w:val="19"/>
                <w:szCs w:val="19"/>
              </w:rPr>
            </w:pPr>
            <w:r w:rsidRPr="00506507">
              <w:rPr>
                <w:sz w:val="19"/>
                <w:szCs w:val="19"/>
              </w:rPr>
              <w:t>CMS Parties accounting for action via national reports.</w:t>
            </w:r>
          </w:p>
          <w:p w14:paraId="41815848" w14:textId="77777777" w:rsidR="007722E8" w:rsidRPr="00506507" w:rsidRDefault="007722E8" w:rsidP="005F7185">
            <w:pPr>
              <w:pStyle w:val="ListParagraph"/>
              <w:numPr>
                <w:ilvl w:val="0"/>
                <w:numId w:val="30"/>
              </w:numPr>
              <w:rPr>
                <w:sz w:val="19"/>
                <w:szCs w:val="19"/>
              </w:rPr>
            </w:pPr>
            <w:r w:rsidRPr="00506507">
              <w:rPr>
                <w:sz w:val="19"/>
                <w:szCs w:val="19"/>
              </w:rPr>
              <w:t>Follow-up attention at future CMS COPs.</w:t>
            </w:r>
          </w:p>
          <w:p w14:paraId="1A24A6F0" w14:textId="77777777" w:rsidR="007722E8" w:rsidRPr="00506507" w:rsidRDefault="007722E8" w:rsidP="005F7185">
            <w:pPr>
              <w:pStyle w:val="ListParagraph"/>
              <w:numPr>
                <w:ilvl w:val="0"/>
                <w:numId w:val="30"/>
              </w:numPr>
              <w:rPr>
                <w:sz w:val="19"/>
                <w:szCs w:val="19"/>
              </w:rPr>
            </w:pPr>
            <w:r w:rsidRPr="00506507">
              <w:rPr>
                <w:sz w:val="19"/>
                <w:szCs w:val="19"/>
              </w:rPr>
              <w:t>Support for leveraging action in other fora/industry groups.</w:t>
            </w:r>
          </w:p>
        </w:tc>
      </w:tr>
      <w:tr w:rsidR="007722E8" w:rsidRPr="00506507" w14:paraId="0473CC6C" w14:textId="77777777" w:rsidTr="00506507">
        <w:trPr>
          <w:jc w:val="center"/>
        </w:trPr>
        <w:tc>
          <w:tcPr>
            <w:tcW w:w="3005" w:type="dxa"/>
          </w:tcPr>
          <w:p w14:paraId="2627AF21" w14:textId="77777777" w:rsidR="007722E8" w:rsidRPr="00506507" w:rsidRDefault="007722E8" w:rsidP="005F7185">
            <w:pPr>
              <w:rPr>
                <w:sz w:val="19"/>
                <w:szCs w:val="19"/>
              </w:rPr>
            </w:pPr>
            <w:r w:rsidRPr="00506507">
              <w:rPr>
                <w:sz w:val="19"/>
                <w:szCs w:val="19"/>
              </w:rPr>
              <w:t>CMS “Suggested Practices for Bird Protection on Power Lines” - Document Inf.7.21 for CMS COP 7 (2012)</w:t>
            </w:r>
          </w:p>
        </w:tc>
        <w:tc>
          <w:tcPr>
            <w:tcW w:w="3005" w:type="dxa"/>
          </w:tcPr>
          <w:p w14:paraId="5B763D2F" w14:textId="77777777" w:rsidR="007722E8" w:rsidRPr="00506507" w:rsidRDefault="007722E8" w:rsidP="005F7185">
            <w:pPr>
              <w:rPr>
                <w:sz w:val="19"/>
                <w:szCs w:val="19"/>
              </w:rPr>
            </w:pPr>
            <w:r w:rsidRPr="00506507">
              <w:rPr>
                <w:sz w:val="19"/>
                <w:szCs w:val="19"/>
              </w:rPr>
              <w:t>Noted in preamble of MOP Resolution 5.11 (2012) on Power lines and migratory waterbirds</w:t>
            </w:r>
          </w:p>
        </w:tc>
        <w:tc>
          <w:tcPr>
            <w:tcW w:w="3006" w:type="dxa"/>
          </w:tcPr>
          <w:p w14:paraId="621616C1" w14:textId="77777777" w:rsidR="007722E8" w:rsidRPr="00506507" w:rsidRDefault="007722E8" w:rsidP="005F7185">
            <w:pPr>
              <w:pStyle w:val="ListParagraph"/>
              <w:numPr>
                <w:ilvl w:val="0"/>
                <w:numId w:val="31"/>
              </w:numPr>
              <w:rPr>
                <w:sz w:val="19"/>
                <w:szCs w:val="19"/>
              </w:rPr>
            </w:pPr>
            <w:r w:rsidRPr="00506507">
              <w:rPr>
                <w:sz w:val="19"/>
                <w:szCs w:val="19"/>
              </w:rPr>
              <w:t>Review extent/quality of implementation.</w:t>
            </w:r>
          </w:p>
        </w:tc>
      </w:tr>
      <w:tr w:rsidR="007722E8" w:rsidRPr="00506507" w14:paraId="2A8AA66B" w14:textId="77777777" w:rsidTr="00506507">
        <w:trPr>
          <w:jc w:val="center"/>
        </w:trPr>
        <w:tc>
          <w:tcPr>
            <w:tcW w:w="3005" w:type="dxa"/>
          </w:tcPr>
          <w:p w14:paraId="69760AB2" w14:textId="77777777" w:rsidR="007722E8" w:rsidRPr="00506507" w:rsidRDefault="007722E8" w:rsidP="005F7185">
            <w:pPr>
              <w:rPr>
                <w:sz w:val="19"/>
                <w:szCs w:val="19"/>
              </w:rPr>
            </w:pPr>
            <w:r w:rsidRPr="00506507">
              <w:rPr>
                <w:sz w:val="19"/>
                <w:szCs w:val="19"/>
              </w:rPr>
              <w:t>CMS Resolution 10.11 (2011) on Power lines and migratory birds</w:t>
            </w:r>
          </w:p>
        </w:tc>
        <w:tc>
          <w:tcPr>
            <w:tcW w:w="3005" w:type="dxa"/>
          </w:tcPr>
          <w:p w14:paraId="70854918" w14:textId="77777777" w:rsidR="007722E8" w:rsidRPr="00506507" w:rsidRDefault="007722E8" w:rsidP="005F7185">
            <w:pPr>
              <w:rPr>
                <w:sz w:val="19"/>
                <w:szCs w:val="19"/>
              </w:rPr>
            </w:pPr>
            <w:r w:rsidRPr="00506507">
              <w:rPr>
                <w:sz w:val="19"/>
                <w:szCs w:val="19"/>
              </w:rPr>
              <w:t>Noted in preamble of MOP Resolution 5.11 (2012) on Power lines and migratory waterbirds</w:t>
            </w:r>
          </w:p>
        </w:tc>
        <w:tc>
          <w:tcPr>
            <w:tcW w:w="3006" w:type="dxa"/>
          </w:tcPr>
          <w:p w14:paraId="44521647" w14:textId="77777777" w:rsidR="007722E8" w:rsidRPr="00506507" w:rsidRDefault="007722E8" w:rsidP="005F7185">
            <w:pPr>
              <w:pStyle w:val="ListParagraph"/>
              <w:numPr>
                <w:ilvl w:val="0"/>
                <w:numId w:val="30"/>
              </w:numPr>
              <w:rPr>
                <w:sz w:val="19"/>
                <w:szCs w:val="19"/>
              </w:rPr>
            </w:pPr>
            <w:r w:rsidRPr="00506507">
              <w:rPr>
                <w:sz w:val="19"/>
                <w:szCs w:val="19"/>
              </w:rPr>
              <w:t>CMS Parties accounting for action via national reports.</w:t>
            </w:r>
          </w:p>
          <w:p w14:paraId="1C2D85AD" w14:textId="77777777" w:rsidR="007722E8" w:rsidRPr="00506507" w:rsidRDefault="007722E8" w:rsidP="005F7185">
            <w:pPr>
              <w:pStyle w:val="ListParagraph"/>
              <w:numPr>
                <w:ilvl w:val="0"/>
                <w:numId w:val="30"/>
              </w:numPr>
              <w:rPr>
                <w:sz w:val="19"/>
                <w:szCs w:val="19"/>
              </w:rPr>
            </w:pPr>
            <w:r w:rsidRPr="00506507">
              <w:rPr>
                <w:sz w:val="19"/>
                <w:szCs w:val="19"/>
              </w:rPr>
              <w:t>Follow-up attention at future CMS COPs.</w:t>
            </w:r>
          </w:p>
          <w:p w14:paraId="196DF632" w14:textId="77777777" w:rsidR="007722E8" w:rsidRPr="00506507" w:rsidRDefault="007722E8" w:rsidP="005F7185">
            <w:pPr>
              <w:pStyle w:val="ListParagraph"/>
              <w:numPr>
                <w:ilvl w:val="0"/>
                <w:numId w:val="30"/>
              </w:numPr>
              <w:rPr>
                <w:sz w:val="19"/>
                <w:szCs w:val="19"/>
              </w:rPr>
            </w:pPr>
            <w:r w:rsidRPr="00506507">
              <w:rPr>
                <w:sz w:val="19"/>
                <w:szCs w:val="19"/>
              </w:rPr>
              <w:t>Support for leveraging action in other fora/industry groups.</w:t>
            </w:r>
          </w:p>
        </w:tc>
      </w:tr>
      <w:tr w:rsidR="007722E8" w:rsidRPr="00506507" w14:paraId="60E87E37" w14:textId="77777777" w:rsidTr="00506507">
        <w:trPr>
          <w:jc w:val="center"/>
        </w:trPr>
        <w:tc>
          <w:tcPr>
            <w:tcW w:w="3005" w:type="dxa"/>
          </w:tcPr>
          <w:p w14:paraId="241F30F0" w14:textId="77777777" w:rsidR="007722E8" w:rsidRPr="00506507" w:rsidRDefault="007722E8" w:rsidP="005F7185">
            <w:pPr>
              <w:rPr>
                <w:sz w:val="19"/>
                <w:szCs w:val="19"/>
              </w:rPr>
            </w:pPr>
            <w:r w:rsidRPr="00506507">
              <w:rPr>
                <w:sz w:val="19"/>
                <w:szCs w:val="19"/>
              </w:rPr>
              <w:t>CMS Resolution 7.5 (2002) on Wind turbines and migratory species</w:t>
            </w:r>
          </w:p>
        </w:tc>
        <w:tc>
          <w:tcPr>
            <w:tcW w:w="3005" w:type="dxa"/>
          </w:tcPr>
          <w:p w14:paraId="5BA52766" w14:textId="77777777" w:rsidR="007722E8" w:rsidRPr="00506507" w:rsidRDefault="007722E8" w:rsidP="005F7185">
            <w:pPr>
              <w:rPr>
                <w:sz w:val="19"/>
                <w:szCs w:val="19"/>
              </w:rPr>
            </w:pPr>
            <w:r w:rsidRPr="00506507">
              <w:rPr>
                <w:sz w:val="19"/>
                <w:szCs w:val="19"/>
              </w:rPr>
              <w:t>Noted in preambles of MOP Resolutions 5.16 (2012) on Renewable energy and migratory waterbirds and 6.11 (2015) on Addressing impacts of renewable energy deployment on migratory waterbirds</w:t>
            </w:r>
          </w:p>
        </w:tc>
        <w:tc>
          <w:tcPr>
            <w:tcW w:w="3006" w:type="dxa"/>
          </w:tcPr>
          <w:p w14:paraId="69E56771" w14:textId="77777777" w:rsidR="007722E8" w:rsidRPr="00506507" w:rsidRDefault="007722E8" w:rsidP="005F7185">
            <w:pPr>
              <w:pStyle w:val="ListParagraph"/>
              <w:numPr>
                <w:ilvl w:val="0"/>
                <w:numId w:val="30"/>
              </w:numPr>
              <w:rPr>
                <w:sz w:val="19"/>
                <w:szCs w:val="19"/>
              </w:rPr>
            </w:pPr>
            <w:r w:rsidRPr="00506507">
              <w:rPr>
                <w:sz w:val="19"/>
                <w:szCs w:val="19"/>
              </w:rPr>
              <w:t>CMS Parties accounting for action via national reports.</w:t>
            </w:r>
          </w:p>
          <w:p w14:paraId="20BE4FC4" w14:textId="77777777" w:rsidR="007722E8" w:rsidRPr="00506507" w:rsidRDefault="007722E8" w:rsidP="005F7185">
            <w:pPr>
              <w:pStyle w:val="ListParagraph"/>
              <w:numPr>
                <w:ilvl w:val="0"/>
                <w:numId w:val="30"/>
              </w:numPr>
              <w:rPr>
                <w:sz w:val="19"/>
                <w:szCs w:val="19"/>
              </w:rPr>
            </w:pPr>
            <w:r w:rsidRPr="00506507">
              <w:rPr>
                <w:sz w:val="19"/>
                <w:szCs w:val="19"/>
              </w:rPr>
              <w:t>Follow-up attention at future CMS COPs.</w:t>
            </w:r>
          </w:p>
          <w:p w14:paraId="4006D364" w14:textId="77777777" w:rsidR="007722E8" w:rsidRPr="00506507" w:rsidRDefault="007722E8" w:rsidP="005F7185">
            <w:pPr>
              <w:pStyle w:val="ListParagraph"/>
              <w:numPr>
                <w:ilvl w:val="0"/>
                <w:numId w:val="30"/>
              </w:numPr>
              <w:rPr>
                <w:sz w:val="19"/>
                <w:szCs w:val="19"/>
              </w:rPr>
            </w:pPr>
            <w:r w:rsidRPr="00506507">
              <w:rPr>
                <w:sz w:val="19"/>
                <w:szCs w:val="19"/>
              </w:rPr>
              <w:t>Support for leveraging action in other fora/industry groups.</w:t>
            </w:r>
          </w:p>
        </w:tc>
      </w:tr>
      <w:tr w:rsidR="007722E8" w:rsidRPr="00506507" w14:paraId="0EB3B39C" w14:textId="77777777" w:rsidTr="00506507">
        <w:trPr>
          <w:jc w:val="center"/>
        </w:trPr>
        <w:tc>
          <w:tcPr>
            <w:tcW w:w="3005" w:type="dxa"/>
          </w:tcPr>
          <w:p w14:paraId="523EEA7B" w14:textId="77777777" w:rsidR="007722E8" w:rsidRPr="00506507" w:rsidRDefault="007722E8" w:rsidP="005F7185">
            <w:pPr>
              <w:rPr>
                <w:sz w:val="19"/>
                <w:szCs w:val="19"/>
              </w:rPr>
            </w:pPr>
            <w:r w:rsidRPr="00506507">
              <w:rPr>
                <w:sz w:val="19"/>
                <w:szCs w:val="19"/>
              </w:rPr>
              <w:lastRenderedPageBreak/>
              <w:t>CMS Resolution 10.11 (2011) on Wind turbines and migratory species</w:t>
            </w:r>
          </w:p>
        </w:tc>
        <w:tc>
          <w:tcPr>
            <w:tcW w:w="3005" w:type="dxa"/>
          </w:tcPr>
          <w:p w14:paraId="52B65D1B" w14:textId="77777777" w:rsidR="007722E8" w:rsidRPr="00506507" w:rsidRDefault="007722E8" w:rsidP="005F7185">
            <w:pPr>
              <w:rPr>
                <w:sz w:val="19"/>
                <w:szCs w:val="19"/>
              </w:rPr>
            </w:pPr>
            <w:r w:rsidRPr="00506507">
              <w:rPr>
                <w:sz w:val="19"/>
                <w:szCs w:val="19"/>
              </w:rPr>
              <w:t>Noted in preambles of MOP Resolutions 5.16 (2012) on Renewable energy and migratory waterbirds and 6.11 (2015) on Addressing impacts of renewable energy deployment on migratory waterbirds</w:t>
            </w:r>
            <w:r w:rsidRPr="00506507">
              <w:rPr>
                <w:rStyle w:val="FootnoteReference"/>
                <w:sz w:val="19"/>
                <w:szCs w:val="19"/>
              </w:rPr>
              <w:footnoteReference w:id="1"/>
            </w:r>
          </w:p>
        </w:tc>
        <w:tc>
          <w:tcPr>
            <w:tcW w:w="3006" w:type="dxa"/>
          </w:tcPr>
          <w:p w14:paraId="391EA848" w14:textId="77777777" w:rsidR="007722E8" w:rsidRPr="00506507" w:rsidRDefault="007722E8" w:rsidP="005F7185">
            <w:pPr>
              <w:pStyle w:val="ListParagraph"/>
              <w:numPr>
                <w:ilvl w:val="0"/>
                <w:numId w:val="30"/>
              </w:numPr>
              <w:rPr>
                <w:sz w:val="19"/>
                <w:szCs w:val="19"/>
              </w:rPr>
            </w:pPr>
            <w:r w:rsidRPr="00506507">
              <w:rPr>
                <w:sz w:val="19"/>
                <w:szCs w:val="19"/>
              </w:rPr>
              <w:t>CMS Parties accounting for action via national reports.</w:t>
            </w:r>
          </w:p>
          <w:p w14:paraId="682A92F8" w14:textId="77777777" w:rsidR="007722E8" w:rsidRPr="00506507" w:rsidRDefault="007722E8" w:rsidP="005F7185">
            <w:pPr>
              <w:pStyle w:val="ListParagraph"/>
              <w:numPr>
                <w:ilvl w:val="0"/>
                <w:numId w:val="30"/>
              </w:numPr>
              <w:rPr>
                <w:sz w:val="19"/>
                <w:szCs w:val="19"/>
              </w:rPr>
            </w:pPr>
            <w:r w:rsidRPr="00506507">
              <w:rPr>
                <w:sz w:val="19"/>
                <w:szCs w:val="19"/>
              </w:rPr>
              <w:t>Follow-up attention at future CMS COPs.</w:t>
            </w:r>
          </w:p>
          <w:p w14:paraId="44551281" w14:textId="77777777" w:rsidR="007722E8" w:rsidRPr="00506507" w:rsidRDefault="007722E8" w:rsidP="005F7185">
            <w:pPr>
              <w:pStyle w:val="ListParagraph"/>
              <w:numPr>
                <w:ilvl w:val="0"/>
                <w:numId w:val="30"/>
              </w:numPr>
              <w:rPr>
                <w:sz w:val="19"/>
                <w:szCs w:val="19"/>
              </w:rPr>
            </w:pPr>
            <w:r w:rsidRPr="00506507">
              <w:rPr>
                <w:sz w:val="19"/>
                <w:szCs w:val="19"/>
              </w:rPr>
              <w:t>Support for leveraging action in other fora/industry groups.</w:t>
            </w:r>
          </w:p>
        </w:tc>
      </w:tr>
      <w:tr w:rsidR="007722E8" w:rsidRPr="00506507" w14:paraId="55734778" w14:textId="77777777" w:rsidTr="00506507">
        <w:trPr>
          <w:jc w:val="center"/>
        </w:trPr>
        <w:tc>
          <w:tcPr>
            <w:tcW w:w="3005" w:type="dxa"/>
          </w:tcPr>
          <w:p w14:paraId="1EFE2BDC" w14:textId="77777777" w:rsidR="007722E8" w:rsidRPr="00506507" w:rsidRDefault="007722E8" w:rsidP="005F7185">
            <w:pPr>
              <w:rPr>
                <w:sz w:val="19"/>
                <w:szCs w:val="19"/>
              </w:rPr>
            </w:pPr>
            <w:r w:rsidRPr="00506507">
              <w:rPr>
                <w:sz w:val="19"/>
                <w:szCs w:val="19"/>
              </w:rPr>
              <w:t>CMS Resolution 11.27 (2014) on renewable energy and migratory species</w:t>
            </w:r>
          </w:p>
        </w:tc>
        <w:tc>
          <w:tcPr>
            <w:tcW w:w="3005" w:type="dxa"/>
          </w:tcPr>
          <w:p w14:paraId="17E555A4" w14:textId="77777777" w:rsidR="007722E8" w:rsidRPr="00506507" w:rsidRDefault="007722E8" w:rsidP="005F7185">
            <w:pPr>
              <w:rPr>
                <w:sz w:val="19"/>
                <w:szCs w:val="19"/>
              </w:rPr>
            </w:pPr>
            <w:r w:rsidRPr="00506507">
              <w:rPr>
                <w:sz w:val="19"/>
                <w:szCs w:val="19"/>
              </w:rPr>
              <w:t>Noted in preamble of MOP Resolution 6.11 (2015) on Addressing impacts of renewable energy deployment on migratory waterbirds</w:t>
            </w:r>
          </w:p>
        </w:tc>
        <w:tc>
          <w:tcPr>
            <w:tcW w:w="3006" w:type="dxa"/>
          </w:tcPr>
          <w:p w14:paraId="54132954" w14:textId="77777777" w:rsidR="007722E8" w:rsidRPr="00506507" w:rsidRDefault="007722E8" w:rsidP="005F7185">
            <w:pPr>
              <w:pStyle w:val="ListParagraph"/>
              <w:numPr>
                <w:ilvl w:val="0"/>
                <w:numId w:val="30"/>
              </w:numPr>
              <w:rPr>
                <w:sz w:val="19"/>
                <w:szCs w:val="19"/>
              </w:rPr>
            </w:pPr>
            <w:r w:rsidRPr="00506507">
              <w:rPr>
                <w:sz w:val="19"/>
                <w:szCs w:val="19"/>
              </w:rPr>
              <w:t>CMS Parties accounting for action via national reports.</w:t>
            </w:r>
          </w:p>
          <w:p w14:paraId="7E25508E" w14:textId="77777777" w:rsidR="007722E8" w:rsidRPr="00506507" w:rsidRDefault="007722E8" w:rsidP="005F7185">
            <w:pPr>
              <w:pStyle w:val="ListParagraph"/>
              <w:numPr>
                <w:ilvl w:val="0"/>
                <w:numId w:val="30"/>
              </w:numPr>
              <w:rPr>
                <w:sz w:val="19"/>
                <w:szCs w:val="19"/>
              </w:rPr>
            </w:pPr>
            <w:r w:rsidRPr="00506507">
              <w:rPr>
                <w:sz w:val="19"/>
                <w:szCs w:val="19"/>
              </w:rPr>
              <w:t>Follow-up attention at future CMS COPs.</w:t>
            </w:r>
          </w:p>
          <w:p w14:paraId="78905E01" w14:textId="77777777" w:rsidR="007722E8" w:rsidRPr="00506507" w:rsidRDefault="007722E8" w:rsidP="005F7185">
            <w:pPr>
              <w:pStyle w:val="ListParagraph"/>
              <w:numPr>
                <w:ilvl w:val="0"/>
                <w:numId w:val="30"/>
              </w:numPr>
              <w:rPr>
                <w:sz w:val="19"/>
                <w:szCs w:val="19"/>
              </w:rPr>
            </w:pPr>
            <w:r w:rsidRPr="00506507">
              <w:rPr>
                <w:sz w:val="19"/>
                <w:szCs w:val="19"/>
              </w:rPr>
              <w:t>Support for leveraging action in other fora/industry groups.</w:t>
            </w:r>
          </w:p>
        </w:tc>
      </w:tr>
      <w:tr w:rsidR="007722E8" w:rsidRPr="00506507" w14:paraId="7A77432F" w14:textId="77777777" w:rsidTr="00506507">
        <w:trPr>
          <w:jc w:val="center"/>
        </w:trPr>
        <w:tc>
          <w:tcPr>
            <w:tcW w:w="3005" w:type="dxa"/>
          </w:tcPr>
          <w:p w14:paraId="4289B138" w14:textId="77777777" w:rsidR="007722E8" w:rsidRPr="00506507" w:rsidRDefault="007722E8" w:rsidP="005F7185">
            <w:pPr>
              <w:rPr>
                <w:sz w:val="19"/>
                <w:szCs w:val="19"/>
              </w:rPr>
            </w:pPr>
            <w:r w:rsidRPr="00506507">
              <w:rPr>
                <w:sz w:val="19"/>
                <w:szCs w:val="19"/>
              </w:rPr>
              <w:t>CMS Energy Task Force (Task Force on Reconciling Selected Energy Sector Developments with Migratory Species Conservation)</w:t>
            </w:r>
          </w:p>
        </w:tc>
        <w:tc>
          <w:tcPr>
            <w:tcW w:w="3005" w:type="dxa"/>
          </w:tcPr>
          <w:p w14:paraId="37607707" w14:textId="77777777" w:rsidR="007722E8" w:rsidRPr="00506507" w:rsidRDefault="007722E8" w:rsidP="005F7185">
            <w:pPr>
              <w:rPr>
                <w:sz w:val="19"/>
                <w:szCs w:val="19"/>
              </w:rPr>
            </w:pPr>
            <w:r w:rsidRPr="00506507">
              <w:rPr>
                <w:sz w:val="19"/>
                <w:szCs w:val="19"/>
              </w:rPr>
              <w:t>Operative section of MOP Resolution 6.11 (2015) on Addressing impacts of renewable energy deployment on migratory waterbirds - instructs the AEWA Secretariat to stay involved in the Task Force</w:t>
            </w:r>
          </w:p>
        </w:tc>
        <w:tc>
          <w:tcPr>
            <w:tcW w:w="3006" w:type="dxa"/>
          </w:tcPr>
          <w:p w14:paraId="0AC31E8A" w14:textId="65F9D122" w:rsidR="007722E8" w:rsidRPr="00506507" w:rsidRDefault="007722E8" w:rsidP="005F7185">
            <w:pPr>
              <w:pStyle w:val="ListParagraph"/>
              <w:numPr>
                <w:ilvl w:val="0"/>
                <w:numId w:val="30"/>
              </w:numPr>
              <w:rPr>
                <w:sz w:val="19"/>
                <w:szCs w:val="19"/>
              </w:rPr>
            </w:pPr>
            <w:r w:rsidRPr="00506507">
              <w:rPr>
                <w:sz w:val="19"/>
                <w:szCs w:val="19"/>
              </w:rPr>
              <w:t>Direct involvement in Task Force, influencing joint positions/actions</w:t>
            </w:r>
            <w:r w:rsidR="004C70BC" w:rsidRPr="00506507">
              <w:rPr>
                <w:sz w:val="19"/>
                <w:szCs w:val="19"/>
              </w:rPr>
              <w:t>.</w:t>
            </w:r>
          </w:p>
        </w:tc>
      </w:tr>
      <w:tr w:rsidR="007722E8" w:rsidRPr="00506507" w14:paraId="1C838AE3" w14:textId="77777777" w:rsidTr="00506507">
        <w:trPr>
          <w:jc w:val="center"/>
        </w:trPr>
        <w:tc>
          <w:tcPr>
            <w:tcW w:w="9016" w:type="dxa"/>
            <w:gridSpan w:val="3"/>
            <w:shd w:val="clear" w:color="auto" w:fill="D9D9D9" w:themeFill="background1" w:themeFillShade="D9"/>
          </w:tcPr>
          <w:p w14:paraId="4C5964F9" w14:textId="77777777" w:rsidR="007722E8" w:rsidRPr="00506507" w:rsidRDefault="007722E8" w:rsidP="005F7185">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Joint guidelines</w:t>
            </w:r>
          </w:p>
        </w:tc>
      </w:tr>
      <w:tr w:rsidR="007722E8" w:rsidRPr="00506507" w14:paraId="68E20389" w14:textId="77777777" w:rsidTr="00506507">
        <w:trPr>
          <w:jc w:val="center"/>
        </w:trPr>
        <w:tc>
          <w:tcPr>
            <w:tcW w:w="3005" w:type="dxa"/>
          </w:tcPr>
          <w:p w14:paraId="7D73E58D" w14:textId="77777777" w:rsidR="007722E8" w:rsidRPr="00506507" w:rsidRDefault="007722E8" w:rsidP="005F7185">
            <w:pPr>
              <w:rPr>
                <w:sz w:val="19"/>
                <w:szCs w:val="19"/>
              </w:rPr>
            </w:pPr>
            <w:r w:rsidRPr="00506507">
              <w:rPr>
                <w:color w:val="000000"/>
                <w:sz w:val="19"/>
                <w:szCs w:val="19"/>
              </w:rPr>
              <w:t>“Guidelines on How to Avoid or Mitigate the Impact of Electricity Power Grids on Migratory Birds in the African-Eurasian Region” adopted by CMS COP10 (2011), AEWA MOP5 (2012) and the CMS Raptors MoU MOS1 (2012)</w:t>
            </w:r>
          </w:p>
        </w:tc>
        <w:tc>
          <w:tcPr>
            <w:tcW w:w="3005" w:type="dxa"/>
          </w:tcPr>
          <w:p w14:paraId="623A502D" w14:textId="77777777" w:rsidR="007722E8" w:rsidRPr="00506507" w:rsidRDefault="007722E8" w:rsidP="005F7185">
            <w:pPr>
              <w:rPr>
                <w:sz w:val="19"/>
                <w:szCs w:val="19"/>
              </w:rPr>
            </w:pPr>
            <w:r w:rsidRPr="00506507">
              <w:rPr>
                <w:sz w:val="19"/>
                <w:szCs w:val="19"/>
              </w:rPr>
              <w:t>Noted in preamble of MOP Resolution 6.11 (2015) on Addressing impacts of renewable energy deployment on migratory waterbirds</w:t>
            </w:r>
          </w:p>
        </w:tc>
        <w:tc>
          <w:tcPr>
            <w:tcW w:w="3006" w:type="dxa"/>
          </w:tcPr>
          <w:p w14:paraId="7222B539" w14:textId="77777777" w:rsidR="007722E8" w:rsidRPr="00506507" w:rsidRDefault="007722E8" w:rsidP="005F7185">
            <w:pPr>
              <w:pStyle w:val="ListParagraph"/>
              <w:numPr>
                <w:ilvl w:val="0"/>
                <w:numId w:val="30"/>
              </w:numPr>
              <w:rPr>
                <w:sz w:val="19"/>
                <w:szCs w:val="19"/>
              </w:rPr>
            </w:pPr>
            <w:r w:rsidRPr="00506507">
              <w:rPr>
                <w:sz w:val="19"/>
                <w:szCs w:val="19"/>
              </w:rPr>
              <w:t>Review extent/quality of implementation.</w:t>
            </w:r>
          </w:p>
          <w:p w14:paraId="388F349B" w14:textId="77777777" w:rsidR="007722E8" w:rsidRPr="00506507" w:rsidRDefault="007722E8" w:rsidP="005F7185">
            <w:pPr>
              <w:pStyle w:val="ListParagraph"/>
              <w:numPr>
                <w:ilvl w:val="0"/>
                <w:numId w:val="30"/>
              </w:numPr>
              <w:rPr>
                <w:sz w:val="19"/>
                <w:szCs w:val="19"/>
              </w:rPr>
            </w:pPr>
            <w:r w:rsidRPr="00506507">
              <w:rPr>
                <w:sz w:val="19"/>
                <w:szCs w:val="19"/>
              </w:rPr>
              <w:t>Promote to other fora/industry groups.</w:t>
            </w:r>
          </w:p>
        </w:tc>
      </w:tr>
      <w:tr w:rsidR="007722E8" w:rsidRPr="00506507" w14:paraId="355651F7" w14:textId="77777777" w:rsidTr="00506507">
        <w:trPr>
          <w:jc w:val="center"/>
        </w:trPr>
        <w:tc>
          <w:tcPr>
            <w:tcW w:w="3005" w:type="dxa"/>
          </w:tcPr>
          <w:p w14:paraId="41AE87D2" w14:textId="77777777" w:rsidR="007722E8" w:rsidRPr="00506507" w:rsidRDefault="007722E8" w:rsidP="005F7185">
            <w:pPr>
              <w:rPr>
                <w:color w:val="000000"/>
                <w:sz w:val="19"/>
                <w:szCs w:val="19"/>
              </w:rPr>
            </w:pPr>
            <w:r w:rsidRPr="00506507">
              <w:rPr>
                <w:color w:val="000000"/>
                <w:sz w:val="19"/>
                <w:szCs w:val="19"/>
              </w:rPr>
              <w:t>“Renewable Energy Technologies and Migratory Species: Guidelines for Sustainable Deployment” adopted by AEWA MOP Resolution 6.5 (2015) were also previously endorsed by CMS COP11 (2014)</w:t>
            </w:r>
          </w:p>
        </w:tc>
        <w:tc>
          <w:tcPr>
            <w:tcW w:w="3005" w:type="dxa"/>
          </w:tcPr>
          <w:p w14:paraId="5F9D5017" w14:textId="77777777" w:rsidR="007722E8" w:rsidRPr="00506507" w:rsidRDefault="007722E8" w:rsidP="005F7185">
            <w:pPr>
              <w:rPr>
                <w:color w:val="000000"/>
                <w:sz w:val="19"/>
                <w:szCs w:val="19"/>
              </w:rPr>
            </w:pPr>
            <w:r w:rsidRPr="00506507">
              <w:rPr>
                <w:color w:val="000000"/>
                <w:sz w:val="19"/>
                <w:szCs w:val="19"/>
              </w:rPr>
              <w:t>Noted in preamble of MOP Resolution 6.11 (2015) on Addressing impacts of renewable energy deployment on migratory waterbirds</w:t>
            </w:r>
          </w:p>
        </w:tc>
        <w:tc>
          <w:tcPr>
            <w:tcW w:w="3006" w:type="dxa"/>
          </w:tcPr>
          <w:p w14:paraId="3116632A" w14:textId="77777777" w:rsidR="007722E8" w:rsidRPr="00506507" w:rsidRDefault="007722E8" w:rsidP="005F7185">
            <w:pPr>
              <w:pStyle w:val="ListParagraph"/>
              <w:numPr>
                <w:ilvl w:val="0"/>
                <w:numId w:val="30"/>
              </w:numPr>
              <w:rPr>
                <w:sz w:val="19"/>
                <w:szCs w:val="19"/>
              </w:rPr>
            </w:pPr>
            <w:r w:rsidRPr="00506507">
              <w:rPr>
                <w:sz w:val="19"/>
                <w:szCs w:val="19"/>
              </w:rPr>
              <w:t>Review extent/quality of implementation.</w:t>
            </w:r>
          </w:p>
          <w:p w14:paraId="42E70FCF" w14:textId="77777777" w:rsidR="007722E8" w:rsidRPr="00506507" w:rsidRDefault="007722E8" w:rsidP="005F7185">
            <w:pPr>
              <w:pStyle w:val="ListParagraph"/>
              <w:numPr>
                <w:ilvl w:val="0"/>
                <w:numId w:val="30"/>
              </w:numPr>
              <w:rPr>
                <w:sz w:val="19"/>
                <w:szCs w:val="19"/>
              </w:rPr>
            </w:pPr>
            <w:r w:rsidRPr="00506507">
              <w:rPr>
                <w:sz w:val="19"/>
                <w:szCs w:val="19"/>
              </w:rPr>
              <w:t>Promote to other fora/industry groups.</w:t>
            </w:r>
          </w:p>
        </w:tc>
      </w:tr>
      <w:tr w:rsidR="007722E8" w:rsidRPr="00506507" w14:paraId="20066B12" w14:textId="77777777" w:rsidTr="00506507">
        <w:trPr>
          <w:jc w:val="center"/>
        </w:trPr>
        <w:tc>
          <w:tcPr>
            <w:tcW w:w="9016" w:type="dxa"/>
            <w:gridSpan w:val="3"/>
            <w:shd w:val="clear" w:color="auto" w:fill="D9D9D9" w:themeFill="background1" w:themeFillShade="D9"/>
          </w:tcPr>
          <w:p w14:paraId="26EAFD5C" w14:textId="77777777" w:rsidR="007722E8" w:rsidRPr="00506507" w:rsidRDefault="007722E8" w:rsidP="005F7185">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Convention on Biological Diversity (CBD)</w:t>
            </w:r>
          </w:p>
        </w:tc>
      </w:tr>
      <w:tr w:rsidR="007722E8" w:rsidRPr="00506507" w14:paraId="61A71601" w14:textId="77777777" w:rsidTr="00506507">
        <w:trPr>
          <w:jc w:val="center"/>
        </w:trPr>
        <w:tc>
          <w:tcPr>
            <w:tcW w:w="3005" w:type="dxa"/>
          </w:tcPr>
          <w:p w14:paraId="3146514E" w14:textId="77777777" w:rsidR="007722E8" w:rsidRPr="00506507" w:rsidRDefault="007722E8" w:rsidP="005F7185">
            <w:pPr>
              <w:rPr>
                <w:sz w:val="19"/>
                <w:szCs w:val="19"/>
              </w:rPr>
            </w:pPr>
            <w:r w:rsidRPr="00506507">
              <w:rPr>
                <w:color w:val="000000"/>
                <w:sz w:val="19"/>
                <w:szCs w:val="19"/>
              </w:rPr>
              <w:t>CBD Article 14 requires Parties to have procedures for carrying out Environmental Impact Assessments (EIA) for projects likely to have a significant adverse impact on biodiversity.  CBD COP adopted voluntary EIA guidelines (Decision VII/7 in 2004, superseded by Decision VIII/28 in 2006)</w:t>
            </w:r>
          </w:p>
        </w:tc>
        <w:tc>
          <w:tcPr>
            <w:tcW w:w="3005" w:type="dxa"/>
          </w:tcPr>
          <w:p w14:paraId="71A9E6EA" w14:textId="77777777" w:rsidR="007722E8" w:rsidRPr="00506507" w:rsidRDefault="007722E8" w:rsidP="005F7185">
            <w:pPr>
              <w:rPr>
                <w:color w:val="000000"/>
                <w:sz w:val="19"/>
                <w:szCs w:val="19"/>
              </w:rPr>
            </w:pPr>
            <w:r w:rsidRPr="00506507">
              <w:rPr>
                <w:color w:val="000000"/>
                <w:sz w:val="19"/>
                <w:szCs w:val="19"/>
              </w:rPr>
              <w:t>Described in AEWA Conservation Guidelines No. 11 (2008) on how to avoid, minimise or mitigate impact of infrastructural developments and related disturbance affecting waterbirds; and guidance referred to in “</w:t>
            </w:r>
            <w:r w:rsidRPr="00506507">
              <w:rPr>
                <w:sz w:val="19"/>
                <w:szCs w:val="19"/>
              </w:rPr>
              <w:t>Renewable energy technologies and migratory species: guidelines for sustainable deployment” (AEWA MOP document 6.37, 2015)</w:t>
            </w:r>
          </w:p>
        </w:tc>
        <w:tc>
          <w:tcPr>
            <w:tcW w:w="3006" w:type="dxa"/>
          </w:tcPr>
          <w:p w14:paraId="7A7FE3F4" w14:textId="7B307827" w:rsidR="00147EBC" w:rsidRPr="00506507" w:rsidRDefault="00147EBC" w:rsidP="00147EBC">
            <w:pPr>
              <w:pStyle w:val="ListParagraph"/>
              <w:numPr>
                <w:ilvl w:val="0"/>
                <w:numId w:val="30"/>
              </w:numPr>
              <w:rPr>
                <w:color w:val="000000"/>
                <w:sz w:val="19"/>
                <w:szCs w:val="19"/>
              </w:rPr>
            </w:pPr>
            <w:r w:rsidRPr="00506507">
              <w:rPr>
                <w:color w:val="000000"/>
                <w:sz w:val="19"/>
                <w:szCs w:val="19"/>
              </w:rPr>
              <w:t>Assess adequacy of national legislation against the standards in the guidelines.</w:t>
            </w:r>
          </w:p>
          <w:p w14:paraId="0892BDB9" w14:textId="77777777" w:rsidR="007722E8" w:rsidRPr="00506507" w:rsidRDefault="00147EBC" w:rsidP="00844A24">
            <w:pPr>
              <w:pStyle w:val="ListParagraph"/>
              <w:numPr>
                <w:ilvl w:val="0"/>
                <w:numId w:val="30"/>
              </w:numPr>
              <w:rPr>
                <w:color w:val="000000"/>
                <w:sz w:val="19"/>
                <w:szCs w:val="19"/>
              </w:rPr>
            </w:pPr>
            <w:r w:rsidRPr="00506507">
              <w:rPr>
                <w:color w:val="000000"/>
                <w:sz w:val="19"/>
                <w:szCs w:val="19"/>
              </w:rPr>
              <w:t>Invoke guidelines in advocating good practice.</w:t>
            </w:r>
          </w:p>
          <w:p w14:paraId="1E0C8716" w14:textId="5A3C3256" w:rsidR="00844A24" w:rsidRPr="00506507" w:rsidRDefault="00844A24" w:rsidP="00844A24">
            <w:pPr>
              <w:pStyle w:val="ListParagraph"/>
              <w:numPr>
                <w:ilvl w:val="0"/>
                <w:numId w:val="30"/>
              </w:numPr>
              <w:rPr>
                <w:color w:val="000000"/>
                <w:sz w:val="19"/>
                <w:szCs w:val="19"/>
              </w:rPr>
            </w:pPr>
            <w:r w:rsidRPr="00506507">
              <w:rPr>
                <w:color w:val="000000"/>
                <w:sz w:val="19"/>
                <w:szCs w:val="19"/>
              </w:rPr>
              <w:t>Suggest review of any need to update guidelines.</w:t>
            </w:r>
          </w:p>
        </w:tc>
      </w:tr>
      <w:tr w:rsidR="007722E8" w:rsidRPr="00506507" w14:paraId="56ABB17E" w14:textId="77777777" w:rsidTr="00506507">
        <w:trPr>
          <w:jc w:val="center"/>
        </w:trPr>
        <w:tc>
          <w:tcPr>
            <w:tcW w:w="3005" w:type="dxa"/>
          </w:tcPr>
          <w:p w14:paraId="62041B59" w14:textId="0B3134C0" w:rsidR="007722E8" w:rsidRPr="00506507" w:rsidRDefault="007722E8" w:rsidP="00844A24">
            <w:pPr>
              <w:rPr>
                <w:color w:val="000000"/>
                <w:sz w:val="19"/>
                <w:szCs w:val="19"/>
              </w:rPr>
            </w:pPr>
            <w:r w:rsidRPr="00506507">
              <w:rPr>
                <w:color w:val="000000"/>
                <w:sz w:val="19"/>
                <w:szCs w:val="19"/>
              </w:rPr>
              <w:t>SBSTTA Recommendation XVI/9 (2012) on “Technical and regulatory matters on geo</w:t>
            </w:r>
            <w:r w:rsidRPr="00506507">
              <w:rPr>
                <w:color w:val="000000"/>
                <w:sz w:val="19"/>
                <w:szCs w:val="19"/>
              </w:rPr>
              <w:softHyphen/>
              <w:t>engineering in relation to the Convention on Biological Diversity”</w:t>
            </w:r>
            <w:r w:rsidR="00B607DC" w:rsidRPr="00506507">
              <w:rPr>
                <w:color w:val="000000"/>
                <w:sz w:val="19"/>
                <w:szCs w:val="19"/>
              </w:rPr>
              <w:t xml:space="preserve">.  (Led to CBD COP Decision XI/20 (2012) on Climate-related geoengineering). </w:t>
            </w:r>
          </w:p>
        </w:tc>
        <w:tc>
          <w:tcPr>
            <w:tcW w:w="3005" w:type="dxa"/>
          </w:tcPr>
          <w:p w14:paraId="529A1041" w14:textId="77777777" w:rsidR="007722E8" w:rsidRPr="00506507" w:rsidRDefault="007722E8" w:rsidP="005F7185">
            <w:pPr>
              <w:rPr>
                <w:color w:val="000000"/>
                <w:sz w:val="19"/>
                <w:szCs w:val="19"/>
              </w:rPr>
            </w:pPr>
            <w:r w:rsidRPr="00506507">
              <w:rPr>
                <w:sz w:val="19"/>
                <w:szCs w:val="19"/>
              </w:rPr>
              <w:t>Noted in preamble of MOP Resolution 6.11 (2015) on Addressing impacts of renewable energy deployment on migratory waterbirds</w:t>
            </w:r>
          </w:p>
        </w:tc>
        <w:tc>
          <w:tcPr>
            <w:tcW w:w="3006" w:type="dxa"/>
          </w:tcPr>
          <w:p w14:paraId="7B6E6F2B" w14:textId="27E821F7" w:rsidR="007722E8" w:rsidRPr="00506507" w:rsidRDefault="00B607DC" w:rsidP="00844A24">
            <w:pPr>
              <w:pStyle w:val="ListParagraph"/>
              <w:numPr>
                <w:ilvl w:val="0"/>
                <w:numId w:val="39"/>
              </w:numPr>
              <w:rPr>
                <w:sz w:val="19"/>
                <w:szCs w:val="19"/>
              </w:rPr>
            </w:pPr>
            <w:r w:rsidRPr="00506507">
              <w:rPr>
                <w:sz w:val="19"/>
                <w:szCs w:val="19"/>
              </w:rPr>
              <w:t>Follow up action/ reporting on implementation of the CBD C</w:t>
            </w:r>
            <w:r w:rsidR="00844A24" w:rsidRPr="00506507">
              <w:rPr>
                <w:sz w:val="19"/>
                <w:szCs w:val="19"/>
              </w:rPr>
              <w:t>OP</w:t>
            </w:r>
            <w:r w:rsidRPr="00506507">
              <w:rPr>
                <w:sz w:val="19"/>
                <w:szCs w:val="19"/>
              </w:rPr>
              <w:t xml:space="preserve"> Decision.</w:t>
            </w:r>
          </w:p>
        </w:tc>
      </w:tr>
      <w:tr w:rsidR="00FB20E4" w:rsidRPr="00506507" w14:paraId="1FD426F7" w14:textId="77777777" w:rsidTr="00506507">
        <w:trPr>
          <w:trHeight w:val="1277"/>
          <w:jc w:val="center"/>
        </w:trPr>
        <w:tc>
          <w:tcPr>
            <w:tcW w:w="3005" w:type="dxa"/>
          </w:tcPr>
          <w:p w14:paraId="13C505C5" w14:textId="05D42300" w:rsidR="00FB20E4" w:rsidRPr="00506507" w:rsidRDefault="00FB20E4" w:rsidP="009B7FCF">
            <w:pPr>
              <w:rPr>
                <w:sz w:val="19"/>
                <w:szCs w:val="19"/>
              </w:rPr>
            </w:pPr>
            <w:r w:rsidRPr="00506507">
              <w:rPr>
                <w:sz w:val="19"/>
                <w:szCs w:val="19"/>
              </w:rPr>
              <w:t>National Biodiversity Strategies and Action Plans (NBSAPs) under the CBD</w:t>
            </w:r>
          </w:p>
        </w:tc>
        <w:tc>
          <w:tcPr>
            <w:tcW w:w="3005" w:type="dxa"/>
          </w:tcPr>
          <w:p w14:paraId="087B05A0" w14:textId="2243FE82" w:rsidR="00FB20E4" w:rsidRPr="00506507" w:rsidRDefault="00FB20E4" w:rsidP="005F7185">
            <w:pPr>
              <w:rPr>
                <w:sz w:val="19"/>
                <w:szCs w:val="19"/>
              </w:rPr>
            </w:pPr>
            <w:r w:rsidRPr="00506507">
              <w:rPr>
                <w:sz w:val="19"/>
                <w:szCs w:val="19"/>
              </w:rPr>
              <w:t>Operative sections of MOP Resolutions 5.11 (2012) on Power lines and migratory waterbirds and 5.16 (2012) on Renewable energy and migratory waterbirds</w:t>
            </w:r>
          </w:p>
        </w:tc>
        <w:tc>
          <w:tcPr>
            <w:tcW w:w="3006" w:type="dxa"/>
          </w:tcPr>
          <w:p w14:paraId="5D95C470" w14:textId="77777777" w:rsidR="00FB20E4" w:rsidRDefault="004C4702" w:rsidP="009F6F95">
            <w:pPr>
              <w:pStyle w:val="ListParagraph"/>
              <w:numPr>
                <w:ilvl w:val="0"/>
                <w:numId w:val="30"/>
              </w:numPr>
              <w:rPr>
                <w:sz w:val="19"/>
                <w:szCs w:val="19"/>
              </w:rPr>
            </w:pPr>
            <w:r w:rsidRPr="00506507">
              <w:rPr>
                <w:sz w:val="19"/>
                <w:szCs w:val="19"/>
              </w:rPr>
              <w:t>When NBSAPs are being developed or updated, advocate inclusion of the measures defined in the</w:t>
            </w:r>
            <w:r w:rsidR="009F6F95" w:rsidRPr="00506507">
              <w:rPr>
                <w:sz w:val="19"/>
                <w:szCs w:val="19"/>
              </w:rPr>
              <w:t>se</w:t>
            </w:r>
            <w:r w:rsidRPr="00506507">
              <w:rPr>
                <w:sz w:val="19"/>
                <w:szCs w:val="19"/>
              </w:rPr>
              <w:t xml:space="preserve"> two AEWA Resolutions</w:t>
            </w:r>
          </w:p>
          <w:p w14:paraId="59604B3F" w14:textId="77777777" w:rsidR="00506507" w:rsidRDefault="00506507" w:rsidP="00506507">
            <w:pPr>
              <w:rPr>
                <w:sz w:val="19"/>
                <w:szCs w:val="19"/>
              </w:rPr>
            </w:pPr>
          </w:p>
          <w:p w14:paraId="7C0081AD" w14:textId="77777777" w:rsidR="00506507" w:rsidRDefault="00506507" w:rsidP="00506507">
            <w:pPr>
              <w:rPr>
                <w:sz w:val="19"/>
                <w:szCs w:val="19"/>
              </w:rPr>
            </w:pPr>
          </w:p>
          <w:p w14:paraId="7293814C" w14:textId="5E3395A3" w:rsidR="00506507" w:rsidRPr="00506507" w:rsidRDefault="00506507" w:rsidP="00506507">
            <w:pPr>
              <w:rPr>
                <w:sz w:val="19"/>
                <w:szCs w:val="19"/>
              </w:rPr>
            </w:pPr>
          </w:p>
        </w:tc>
      </w:tr>
      <w:tr w:rsidR="007722E8" w:rsidRPr="00506507" w14:paraId="5A1BED15" w14:textId="77777777" w:rsidTr="00506507">
        <w:trPr>
          <w:jc w:val="center"/>
        </w:trPr>
        <w:tc>
          <w:tcPr>
            <w:tcW w:w="9016" w:type="dxa"/>
            <w:gridSpan w:val="3"/>
            <w:shd w:val="clear" w:color="auto" w:fill="D9D9D9" w:themeFill="background1" w:themeFillShade="D9"/>
          </w:tcPr>
          <w:p w14:paraId="0D463996" w14:textId="77777777" w:rsidR="007722E8" w:rsidRPr="00506507" w:rsidRDefault="007722E8" w:rsidP="005F7185">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Bern Convention</w:t>
            </w:r>
          </w:p>
        </w:tc>
      </w:tr>
      <w:tr w:rsidR="00E2703D" w:rsidRPr="00506507" w14:paraId="2E5893F9" w14:textId="77777777" w:rsidTr="00506507">
        <w:trPr>
          <w:trHeight w:val="70"/>
          <w:jc w:val="center"/>
        </w:trPr>
        <w:tc>
          <w:tcPr>
            <w:tcW w:w="3005" w:type="dxa"/>
          </w:tcPr>
          <w:p w14:paraId="7C63244E" w14:textId="0F6BC3CB" w:rsidR="00E2703D" w:rsidRPr="00506507" w:rsidRDefault="00E2703D" w:rsidP="00844A24">
            <w:pPr>
              <w:rPr>
                <w:sz w:val="19"/>
                <w:szCs w:val="19"/>
              </w:rPr>
            </w:pPr>
            <w:r w:rsidRPr="00506507">
              <w:rPr>
                <w:sz w:val="19"/>
                <w:szCs w:val="19"/>
              </w:rPr>
              <w:lastRenderedPageBreak/>
              <w:t>Bern Standing Committee Recommendation No. 110 (2004) on Minimising the adverse effects of above-ground electricity transmission facilities (power lines) on birds; (and implementation report presented to the Committee in 2010)</w:t>
            </w:r>
          </w:p>
        </w:tc>
        <w:tc>
          <w:tcPr>
            <w:tcW w:w="3005" w:type="dxa"/>
          </w:tcPr>
          <w:p w14:paraId="0274B0D6" w14:textId="5E6D6B79" w:rsidR="00E2703D" w:rsidRPr="00506507" w:rsidRDefault="00E2703D" w:rsidP="005F7185">
            <w:pPr>
              <w:rPr>
                <w:sz w:val="19"/>
                <w:szCs w:val="19"/>
              </w:rPr>
            </w:pPr>
            <w:r w:rsidRPr="00506507">
              <w:rPr>
                <w:sz w:val="19"/>
                <w:szCs w:val="19"/>
              </w:rPr>
              <w:t xml:space="preserve">Operative section of MOP Resolution 5.11 (2012) on Power lines and migratory waterbirds instructs the AEWA Secretariat, in close cooperation with the CMS Secretariat, to consult the Secretariat of the Bern Convention </w:t>
            </w:r>
            <w:proofErr w:type="gramStart"/>
            <w:r w:rsidRPr="00506507">
              <w:rPr>
                <w:sz w:val="19"/>
                <w:szCs w:val="19"/>
              </w:rPr>
              <w:t>in order to</w:t>
            </w:r>
            <w:proofErr w:type="gramEnd"/>
            <w:r w:rsidRPr="00506507">
              <w:rPr>
                <w:sz w:val="19"/>
                <w:szCs w:val="19"/>
              </w:rPr>
              <w:t xml:space="preserve"> regularly update the examples of possible mitigation measures adopted as an appendix to Recommendation No. 110 of 2004, as appropriate, and to disseminate these to their respective Parties.</w:t>
            </w:r>
          </w:p>
          <w:p w14:paraId="51B0B5D1" w14:textId="4615DB03" w:rsidR="00E2703D" w:rsidRPr="00506507" w:rsidRDefault="00E2703D" w:rsidP="009F6F95">
            <w:pPr>
              <w:rPr>
                <w:sz w:val="19"/>
                <w:szCs w:val="19"/>
              </w:rPr>
            </w:pPr>
            <w:r w:rsidRPr="00506507">
              <w:rPr>
                <w:sz w:val="19"/>
                <w:szCs w:val="19"/>
              </w:rPr>
              <w:t>Mentioned also in AEWA Conservation Guidelines No. 14 (2012) on how to avoid or mitigate impact of electricity power grids on migratory birds in the African-Eurasian region</w:t>
            </w:r>
          </w:p>
        </w:tc>
        <w:tc>
          <w:tcPr>
            <w:tcW w:w="3006" w:type="dxa"/>
          </w:tcPr>
          <w:p w14:paraId="033BF5FD" w14:textId="4EDB0AA0" w:rsidR="00E2703D" w:rsidRPr="00506507" w:rsidRDefault="00844A24" w:rsidP="00844A24">
            <w:pPr>
              <w:pStyle w:val="ListParagraph"/>
              <w:numPr>
                <w:ilvl w:val="0"/>
                <w:numId w:val="30"/>
              </w:numPr>
              <w:rPr>
                <w:sz w:val="19"/>
                <w:szCs w:val="19"/>
              </w:rPr>
            </w:pPr>
            <w:r w:rsidRPr="00506507">
              <w:rPr>
                <w:sz w:val="19"/>
                <w:szCs w:val="19"/>
              </w:rPr>
              <w:t>Collate and disseminate / promote examples of evolving innovations in mitigation techniques, and examples of successful implementation.</w:t>
            </w:r>
          </w:p>
        </w:tc>
      </w:tr>
      <w:tr w:rsidR="007722E8" w:rsidRPr="00506507" w14:paraId="46469235" w14:textId="77777777" w:rsidTr="00506507">
        <w:trPr>
          <w:jc w:val="center"/>
        </w:trPr>
        <w:tc>
          <w:tcPr>
            <w:tcW w:w="3005" w:type="dxa"/>
          </w:tcPr>
          <w:p w14:paraId="48FF24E9" w14:textId="77777777" w:rsidR="007722E8" w:rsidRPr="00506507" w:rsidRDefault="007722E8" w:rsidP="005F7185">
            <w:pPr>
              <w:rPr>
                <w:sz w:val="19"/>
                <w:szCs w:val="19"/>
              </w:rPr>
            </w:pPr>
            <w:r w:rsidRPr="00506507">
              <w:rPr>
                <w:sz w:val="19"/>
                <w:szCs w:val="19"/>
              </w:rPr>
              <w:t>Bern Convention Report “Effects of Wind Farms on Birds”</w:t>
            </w:r>
          </w:p>
        </w:tc>
        <w:tc>
          <w:tcPr>
            <w:tcW w:w="3005" w:type="dxa"/>
          </w:tcPr>
          <w:p w14:paraId="7F37E0B9" w14:textId="77777777" w:rsidR="007722E8" w:rsidRPr="00506507" w:rsidRDefault="007722E8" w:rsidP="005F7185">
            <w:pPr>
              <w:rPr>
                <w:sz w:val="19"/>
                <w:szCs w:val="19"/>
              </w:rPr>
            </w:pPr>
            <w:r w:rsidRPr="00506507">
              <w:rPr>
                <w:sz w:val="19"/>
                <w:szCs w:val="19"/>
              </w:rPr>
              <w:t>Noted in preamble of MOP Resolution 5.16 (2012) on Renewable energy and migratory waterbirds</w:t>
            </w:r>
          </w:p>
        </w:tc>
        <w:tc>
          <w:tcPr>
            <w:tcW w:w="3006" w:type="dxa"/>
          </w:tcPr>
          <w:p w14:paraId="1DB5107F" w14:textId="1A377642" w:rsidR="007722E8" w:rsidRPr="00506507" w:rsidRDefault="00844A24" w:rsidP="00844A24">
            <w:pPr>
              <w:pStyle w:val="ListParagraph"/>
              <w:numPr>
                <w:ilvl w:val="0"/>
                <w:numId w:val="30"/>
              </w:numPr>
              <w:rPr>
                <w:sz w:val="19"/>
                <w:szCs w:val="19"/>
              </w:rPr>
            </w:pPr>
            <w:r w:rsidRPr="00506507">
              <w:rPr>
                <w:sz w:val="19"/>
                <w:szCs w:val="19"/>
              </w:rPr>
              <w:t>Review and update scientific knowledge.</w:t>
            </w:r>
          </w:p>
        </w:tc>
      </w:tr>
      <w:tr w:rsidR="007722E8" w:rsidRPr="00506507" w14:paraId="23827D59" w14:textId="77777777" w:rsidTr="00506507">
        <w:trPr>
          <w:jc w:val="center"/>
        </w:trPr>
        <w:tc>
          <w:tcPr>
            <w:tcW w:w="3005" w:type="dxa"/>
          </w:tcPr>
          <w:p w14:paraId="1C63CC54" w14:textId="77777777" w:rsidR="007722E8" w:rsidRPr="00506507" w:rsidRDefault="007722E8" w:rsidP="005F7185">
            <w:pPr>
              <w:rPr>
                <w:sz w:val="19"/>
                <w:szCs w:val="19"/>
              </w:rPr>
            </w:pPr>
            <w:r w:rsidRPr="00506507">
              <w:rPr>
                <w:sz w:val="19"/>
                <w:szCs w:val="19"/>
              </w:rPr>
              <w:t>Bern Standing Committee Recommendation No. 109 (2004) on minimising adverse effects of wind power generation on wildlife</w:t>
            </w:r>
          </w:p>
        </w:tc>
        <w:tc>
          <w:tcPr>
            <w:tcW w:w="3005" w:type="dxa"/>
          </w:tcPr>
          <w:p w14:paraId="3BA27A86" w14:textId="77777777" w:rsidR="007722E8" w:rsidRPr="00506507" w:rsidRDefault="007722E8" w:rsidP="005F7185">
            <w:pPr>
              <w:rPr>
                <w:sz w:val="19"/>
                <w:szCs w:val="19"/>
              </w:rPr>
            </w:pPr>
            <w:r w:rsidRPr="00506507">
              <w:rPr>
                <w:sz w:val="19"/>
                <w:szCs w:val="19"/>
              </w:rPr>
              <w:t>Noted in preamble of MOP Resolution 6.11 (2015) on Addressing impacts of renewable energy deployment on migratory waterbirds</w:t>
            </w:r>
          </w:p>
        </w:tc>
        <w:tc>
          <w:tcPr>
            <w:tcW w:w="3006" w:type="dxa"/>
          </w:tcPr>
          <w:p w14:paraId="63432F82" w14:textId="0919C38B" w:rsidR="007722E8" w:rsidRPr="00506507" w:rsidRDefault="00844A24" w:rsidP="00844A24">
            <w:pPr>
              <w:pStyle w:val="ListParagraph"/>
              <w:numPr>
                <w:ilvl w:val="0"/>
                <w:numId w:val="30"/>
              </w:numPr>
              <w:rPr>
                <w:sz w:val="19"/>
                <w:szCs w:val="19"/>
              </w:rPr>
            </w:pPr>
            <w:r w:rsidRPr="00506507">
              <w:rPr>
                <w:sz w:val="19"/>
                <w:szCs w:val="19"/>
              </w:rPr>
              <w:t>Collate and disseminate / promote examples of evolving innovations in mitigation techniques, and examples of successful implementation.</w:t>
            </w:r>
          </w:p>
        </w:tc>
      </w:tr>
      <w:tr w:rsidR="007722E8" w:rsidRPr="00506507" w14:paraId="12B90860" w14:textId="77777777" w:rsidTr="00506507">
        <w:trPr>
          <w:jc w:val="center"/>
        </w:trPr>
        <w:tc>
          <w:tcPr>
            <w:tcW w:w="3005" w:type="dxa"/>
          </w:tcPr>
          <w:p w14:paraId="600F811E" w14:textId="77777777" w:rsidR="007722E8" w:rsidRPr="00506507" w:rsidRDefault="007722E8" w:rsidP="005F7185">
            <w:pPr>
              <w:rPr>
                <w:sz w:val="19"/>
                <w:szCs w:val="19"/>
              </w:rPr>
            </w:pPr>
            <w:r w:rsidRPr="00506507">
              <w:rPr>
                <w:sz w:val="19"/>
                <w:szCs w:val="19"/>
              </w:rPr>
              <w:t>Bern Convention document T-PVS/Inf (2013)15: “Wind farms and birds: an updated analysis of the effects of wind farms on birds, and best practice guidance on integrated planning and impact assessment”</w:t>
            </w:r>
          </w:p>
        </w:tc>
        <w:tc>
          <w:tcPr>
            <w:tcW w:w="3005" w:type="dxa"/>
          </w:tcPr>
          <w:p w14:paraId="4DD9482B" w14:textId="77777777" w:rsidR="007722E8" w:rsidRPr="00506507" w:rsidRDefault="007722E8" w:rsidP="005F7185">
            <w:pPr>
              <w:rPr>
                <w:sz w:val="19"/>
                <w:szCs w:val="19"/>
              </w:rPr>
            </w:pPr>
            <w:r w:rsidRPr="00506507">
              <w:rPr>
                <w:sz w:val="19"/>
                <w:szCs w:val="19"/>
              </w:rPr>
              <w:t xml:space="preserve">Noted in preamble of MOP Resolution 6.11 (2015) on Addressing impacts of renewable energy deployment on migratory waterbirds; and </w:t>
            </w:r>
            <w:r w:rsidRPr="00506507">
              <w:rPr>
                <w:color w:val="000000"/>
                <w:sz w:val="19"/>
                <w:szCs w:val="19"/>
              </w:rPr>
              <w:t>in “</w:t>
            </w:r>
            <w:r w:rsidRPr="00506507">
              <w:rPr>
                <w:sz w:val="19"/>
                <w:szCs w:val="19"/>
              </w:rPr>
              <w:t>Renewable energy technologies and migratory species: guidelines for sustainable deployment” (AEWA MOP document 6.37, 2015)</w:t>
            </w:r>
          </w:p>
        </w:tc>
        <w:tc>
          <w:tcPr>
            <w:tcW w:w="3006" w:type="dxa"/>
          </w:tcPr>
          <w:p w14:paraId="23B28585" w14:textId="06EF2A66" w:rsidR="007722E8" w:rsidRPr="00506507" w:rsidRDefault="00844A24" w:rsidP="00844A24">
            <w:pPr>
              <w:pStyle w:val="ListParagraph"/>
              <w:numPr>
                <w:ilvl w:val="0"/>
                <w:numId w:val="30"/>
              </w:numPr>
              <w:rPr>
                <w:sz w:val="19"/>
                <w:szCs w:val="19"/>
              </w:rPr>
            </w:pPr>
            <w:r w:rsidRPr="00506507">
              <w:rPr>
                <w:sz w:val="19"/>
                <w:szCs w:val="19"/>
              </w:rPr>
              <w:t>Review and update scientific knowledge and advice on best practices.</w:t>
            </w:r>
          </w:p>
        </w:tc>
      </w:tr>
      <w:tr w:rsidR="007722E8" w:rsidRPr="00506507" w14:paraId="0ED47DB4" w14:textId="77777777" w:rsidTr="00506507">
        <w:trPr>
          <w:jc w:val="center"/>
        </w:trPr>
        <w:tc>
          <w:tcPr>
            <w:tcW w:w="3005" w:type="dxa"/>
          </w:tcPr>
          <w:p w14:paraId="5F83022C" w14:textId="77777777" w:rsidR="007722E8" w:rsidRPr="00506507" w:rsidRDefault="007722E8" w:rsidP="005F7185">
            <w:pPr>
              <w:rPr>
                <w:sz w:val="19"/>
                <w:szCs w:val="19"/>
              </w:rPr>
            </w:pPr>
            <w:r w:rsidRPr="00506507">
              <w:rPr>
                <w:sz w:val="19"/>
                <w:szCs w:val="19"/>
              </w:rPr>
              <w:t>Bern Standing Committee Recommendation No. 110 (2004) on minimising adverse effects of above-ground electricity transmission facilities (power lines) on birds</w:t>
            </w:r>
          </w:p>
        </w:tc>
        <w:tc>
          <w:tcPr>
            <w:tcW w:w="3005" w:type="dxa"/>
          </w:tcPr>
          <w:p w14:paraId="3FF72DC6" w14:textId="77777777" w:rsidR="007722E8" w:rsidRPr="00506507" w:rsidRDefault="007722E8" w:rsidP="005F7185">
            <w:pPr>
              <w:rPr>
                <w:sz w:val="19"/>
                <w:szCs w:val="19"/>
              </w:rPr>
            </w:pPr>
            <w:r w:rsidRPr="00506507">
              <w:rPr>
                <w:sz w:val="19"/>
                <w:szCs w:val="19"/>
              </w:rPr>
              <w:t>Noted in preamble of MOP Resolution 6.11 (2015) on Addressing impacts of renewable energy deployment on migratory waterbirds</w:t>
            </w:r>
          </w:p>
        </w:tc>
        <w:tc>
          <w:tcPr>
            <w:tcW w:w="3006" w:type="dxa"/>
          </w:tcPr>
          <w:p w14:paraId="08A3CBF7" w14:textId="76C628B0" w:rsidR="007722E8" w:rsidRPr="00506507" w:rsidRDefault="00844A24" w:rsidP="00844A24">
            <w:pPr>
              <w:pStyle w:val="ListParagraph"/>
              <w:numPr>
                <w:ilvl w:val="0"/>
                <w:numId w:val="30"/>
              </w:numPr>
              <w:rPr>
                <w:sz w:val="19"/>
                <w:szCs w:val="19"/>
              </w:rPr>
            </w:pPr>
            <w:r w:rsidRPr="00506507">
              <w:rPr>
                <w:sz w:val="19"/>
                <w:szCs w:val="19"/>
              </w:rPr>
              <w:t>Collate and disseminate / promote examples of evolving innovations in mitigation techniques, and examples of successful implementation.</w:t>
            </w:r>
          </w:p>
        </w:tc>
      </w:tr>
      <w:tr w:rsidR="007722E8" w:rsidRPr="00506507" w14:paraId="23F6DA8E" w14:textId="77777777" w:rsidTr="00506507">
        <w:trPr>
          <w:jc w:val="center"/>
        </w:trPr>
        <w:tc>
          <w:tcPr>
            <w:tcW w:w="9016" w:type="dxa"/>
            <w:gridSpan w:val="3"/>
            <w:shd w:val="clear" w:color="auto" w:fill="D9D9D9" w:themeFill="background1" w:themeFillShade="D9"/>
          </w:tcPr>
          <w:p w14:paraId="08E713FF" w14:textId="77777777" w:rsidR="007722E8" w:rsidRPr="00506507" w:rsidRDefault="007722E8" w:rsidP="005F7185">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Ramsar Convention</w:t>
            </w:r>
          </w:p>
        </w:tc>
      </w:tr>
      <w:tr w:rsidR="007722E8" w:rsidRPr="00506507" w14:paraId="7841B2DD" w14:textId="77777777" w:rsidTr="00506507">
        <w:trPr>
          <w:jc w:val="center"/>
        </w:trPr>
        <w:tc>
          <w:tcPr>
            <w:tcW w:w="3005" w:type="dxa"/>
          </w:tcPr>
          <w:p w14:paraId="502B46E9" w14:textId="77777777" w:rsidR="007722E8" w:rsidRPr="00506507" w:rsidRDefault="007722E8" w:rsidP="005F7185">
            <w:pPr>
              <w:rPr>
                <w:sz w:val="19"/>
                <w:szCs w:val="19"/>
              </w:rPr>
            </w:pPr>
            <w:r w:rsidRPr="00506507">
              <w:rPr>
                <w:sz w:val="19"/>
                <w:szCs w:val="19"/>
              </w:rPr>
              <w:t>Ramsar Resolution X.25 (2008) on wetlands and biofuels</w:t>
            </w:r>
          </w:p>
        </w:tc>
        <w:tc>
          <w:tcPr>
            <w:tcW w:w="3005" w:type="dxa"/>
          </w:tcPr>
          <w:p w14:paraId="274C43DE" w14:textId="4F7FE691" w:rsidR="007722E8" w:rsidRPr="00506507" w:rsidRDefault="00E2703D" w:rsidP="00E2703D">
            <w:pPr>
              <w:rPr>
                <w:sz w:val="19"/>
                <w:szCs w:val="19"/>
              </w:rPr>
            </w:pPr>
            <w:r w:rsidRPr="00506507">
              <w:rPr>
                <w:sz w:val="19"/>
                <w:szCs w:val="19"/>
              </w:rPr>
              <w:t>Operative section of</w:t>
            </w:r>
            <w:r w:rsidR="007722E8" w:rsidRPr="00506507">
              <w:rPr>
                <w:sz w:val="19"/>
                <w:szCs w:val="19"/>
              </w:rPr>
              <w:t xml:space="preserve"> MOP Resolution 5.16 (2012) on Renewable energy and migratory waterbirds</w:t>
            </w:r>
            <w:r w:rsidRPr="00506507">
              <w:rPr>
                <w:sz w:val="19"/>
                <w:szCs w:val="19"/>
              </w:rPr>
              <w:t xml:space="preserve"> calls on AEWA Parties to address potential impacts of biofuel production on waterbirds, building on approaches established in Ramsar Resolution X.25</w:t>
            </w:r>
          </w:p>
        </w:tc>
        <w:tc>
          <w:tcPr>
            <w:tcW w:w="3006" w:type="dxa"/>
          </w:tcPr>
          <w:p w14:paraId="341B93B2" w14:textId="600C4084" w:rsidR="006C5284" w:rsidRPr="00506507" w:rsidRDefault="006C5284" w:rsidP="006C5284">
            <w:pPr>
              <w:pStyle w:val="ListParagraph"/>
              <w:numPr>
                <w:ilvl w:val="0"/>
                <w:numId w:val="30"/>
              </w:numPr>
              <w:rPr>
                <w:sz w:val="19"/>
                <w:szCs w:val="19"/>
              </w:rPr>
            </w:pPr>
            <w:r w:rsidRPr="00506507">
              <w:rPr>
                <w:sz w:val="19"/>
                <w:szCs w:val="19"/>
              </w:rPr>
              <w:t>Ramsar Parties accounting for action via national reports.</w:t>
            </w:r>
          </w:p>
          <w:p w14:paraId="33D472B7" w14:textId="10DC9417" w:rsidR="007722E8" w:rsidRPr="00506507" w:rsidRDefault="006C5284" w:rsidP="006C5284">
            <w:pPr>
              <w:pStyle w:val="ListParagraph"/>
              <w:numPr>
                <w:ilvl w:val="0"/>
                <w:numId w:val="30"/>
              </w:numPr>
              <w:rPr>
                <w:sz w:val="19"/>
                <w:szCs w:val="19"/>
              </w:rPr>
            </w:pPr>
            <w:r w:rsidRPr="00506507">
              <w:rPr>
                <w:sz w:val="19"/>
                <w:szCs w:val="19"/>
              </w:rPr>
              <w:t>Follow-up attention at future Ramsar COPs.</w:t>
            </w:r>
          </w:p>
        </w:tc>
      </w:tr>
      <w:tr w:rsidR="007722E8" w:rsidRPr="00506507" w14:paraId="0082DA31" w14:textId="77777777" w:rsidTr="00506507">
        <w:trPr>
          <w:jc w:val="center"/>
        </w:trPr>
        <w:tc>
          <w:tcPr>
            <w:tcW w:w="3005" w:type="dxa"/>
          </w:tcPr>
          <w:p w14:paraId="0B77C711" w14:textId="77777777" w:rsidR="007722E8" w:rsidRPr="00506507" w:rsidRDefault="007722E8" w:rsidP="005F7185">
            <w:pPr>
              <w:rPr>
                <w:sz w:val="19"/>
                <w:szCs w:val="19"/>
              </w:rPr>
            </w:pPr>
            <w:r w:rsidRPr="00506507">
              <w:rPr>
                <w:sz w:val="19"/>
                <w:szCs w:val="19"/>
              </w:rPr>
              <w:t>Draft Ramsar Technical Report “Wetlands and energy issues: a review of the possible implications of policies, plans and activities in the energy sector for the wise use of wetlands” (summary provided to COP11 (2012) in DOC. 28, but Technical Report itself never issued?)</w:t>
            </w:r>
          </w:p>
        </w:tc>
        <w:tc>
          <w:tcPr>
            <w:tcW w:w="3005" w:type="dxa"/>
          </w:tcPr>
          <w:p w14:paraId="0D1C978B" w14:textId="77777777" w:rsidR="007722E8" w:rsidRPr="00506507" w:rsidRDefault="007722E8" w:rsidP="005F7185">
            <w:pPr>
              <w:rPr>
                <w:sz w:val="19"/>
                <w:szCs w:val="19"/>
              </w:rPr>
            </w:pPr>
            <w:r w:rsidRPr="00506507">
              <w:rPr>
                <w:sz w:val="19"/>
                <w:szCs w:val="19"/>
              </w:rPr>
              <w:t>Draft noted in preamble of MOP Resolution 5.16 (2012) on Renewable energy and migratory waterbirds</w:t>
            </w:r>
          </w:p>
        </w:tc>
        <w:tc>
          <w:tcPr>
            <w:tcW w:w="3006" w:type="dxa"/>
          </w:tcPr>
          <w:p w14:paraId="1CEE6419" w14:textId="585A68D6" w:rsidR="007722E8" w:rsidRPr="00506507" w:rsidRDefault="006C5284" w:rsidP="006C5284">
            <w:pPr>
              <w:pStyle w:val="ListParagraph"/>
              <w:numPr>
                <w:ilvl w:val="0"/>
                <w:numId w:val="30"/>
              </w:numPr>
              <w:rPr>
                <w:sz w:val="19"/>
                <w:szCs w:val="19"/>
              </w:rPr>
            </w:pPr>
            <w:r w:rsidRPr="00506507">
              <w:rPr>
                <w:sz w:val="19"/>
                <w:szCs w:val="19"/>
              </w:rPr>
              <w:t>Follow-up attention at Ramsar COP and via Ramsar Scientific &amp; Technical Review Panel</w:t>
            </w:r>
          </w:p>
        </w:tc>
      </w:tr>
      <w:tr w:rsidR="007722E8" w:rsidRPr="00506507" w14:paraId="74B02955" w14:textId="77777777" w:rsidTr="00506507">
        <w:trPr>
          <w:jc w:val="center"/>
        </w:trPr>
        <w:tc>
          <w:tcPr>
            <w:tcW w:w="3005" w:type="dxa"/>
          </w:tcPr>
          <w:p w14:paraId="36F94BBD" w14:textId="6B2DF445" w:rsidR="007722E8" w:rsidRPr="00506507" w:rsidRDefault="007722E8" w:rsidP="00387089">
            <w:pPr>
              <w:rPr>
                <w:sz w:val="19"/>
                <w:szCs w:val="19"/>
              </w:rPr>
            </w:pPr>
            <w:r w:rsidRPr="00506507">
              <w:rPr>
                <w:sz w:val="19"/>
                <w:szCs w:val="19"/>
              </w:rPr>
              <w:t>Ramsar Resolution VII.24 (1999)</w:t>
            </w:r>
            <w:r w:rsidR="00E2703D" w:rsidRPr="00506507">
              <w:rPr>
                <w:sz w:val="19"/>
                <w:szCs w:val="19"/>
              </w:rPr>
              <w:t xml:space="preserve"> on Compensation for lost wetland habitats and other functions</w:t>
            </w:r>
          </w:p>
        </w:tc>
        <w:tc>
          <w:tcPr>
            <w:tcW w:w="3005" w:type="dxa"/>
          </w:tcPr>
          <w:p w14:paraId="14DB6582" w14:textId="2787F166" w:rsidR="007722E8" w:rsidRPr="00506507" w:rsidRDefault="007722E8" w:rsidP="005F7185">
            <w:pPr>
              <w:rPr>
                <w:sz w:val="19"/>
                <w:szCs w:val="19"/>
              </w:rPr>
            </w:pPr>
            <w:r w:rsidRPr="00506507">
              <w:rPr>
                <w:sz w:val="19"/>
                <w:szCs w:val="19"/>
              </w:rPr>
              <w:t>Operative section of MOP Resolution 5.16 (2012) on Renewable energy and migratory waterbirds</w:t>
            </w:r>
            <w:r w:rsidR="00E2703D" w:rsidRPr="00506507">
              <w:rPr>
                <w:sz w:val="19"/>
                <w:szCs w:val="19"/>
              </w:rPr>
              <w:t xml:space="preserve"> calls on AEWA Parties </w:t>
            </w:r>
            <w:r w:rsidR="00E2703D" w:rsidRPr="00506507">
              <w:rPr>
                <w:sz w:val="19"/>
                <w:szCs w:val="19"/>
              </w:rPr>
              <w:lastRenderedPageBreak/>
              <w:t>to consider compensation for damage resulting from renewable energy installations in accordance with Ramsar Resolution VII.24</w:t>
            </w:r>
          </w:p>
        </w:tc>
        <w:tc>
          <w:tcPr>
            <w:tcW w:w="3006" w:type="dxa"/>
          </w:tcPr>
          <w:p w14:paraId="4FB767A9" w14:textId="77777777" w:rsidR="006C5284" w:rsidRPr="00506507" w:rsidRDefault="006C5284" w:rsidP="006C5284">
            <w:pPr>
              <w:pStyle w:val="ListParagraph"/>
              <w:numPr>
                <w:ilvl w:val="0"/>
                <w:numId w:val="30"/>
              </w:numPr>
              <w:rPr>
                <w:sz w:val="19"/>
                <w:szCs w:val="19"/>
              </w:rPr>
            </w:pPr>
            <w:r w:rsidRPr="00506507">
              <w:rPr>
                <w:sz w:val="19"/>
                <w:szCs w:val="19"/>
              </w:rPr>
              <w:lastRenderedPageBreak/>
              <w:t>Ramsar Parties accounting for action via national reports.</w:t>
            </w:r>
          </w:p>
          <w:p w14:paraId="3FD1F4FB" w14:textId="75E4A420" w:rsidR="007722E8" w:rsidRPr="00506507" w:rsidRDefault="006C5284" w:rsidP="006C5284">
            <w:pPr>
              <w:pStyle w:val="ListParagraph"/>
              <w:numPr>
                <w:ilvl w:val="0"/>
                <w:numId w:val="30"/>
              </w:numPr>
              <w:rPr>
                <w:sz w:val="19"/>
                <w:szCs w:val="19"/>
              </w:rPr>
            </w:pPr>
            <w:r w:rsidRPr="00506507">
              <w:rPr>
                <w:sz w:val="19"/>
                <w:szCs w:val="19"/>
              </w:rPr>
              <w:t>Follow-up attention at future Ramsar COPs.</w:t>
            </w:r>
          </w:p>
        </w:tc>
      </w:tr>
      <w:tr w:rsidR="00E2703D" w:rsidRPr="00506507" w14:paraId="502587B2" w14:textId="77777777" w:rsidTr="00506507">
        <w:trPr>
          <w:jc w:val="center"/>
        </w:trPr>
        <w:tc>
          <w:tcPr>
            <w:tcW w:w="3005" w:type="dxa"/>
          </w:tcPr>
          <w:p w14:paraId="4E4BD327" w14:textId="7487549E" w:rsidR="00E2703D" w:rsidRPr="00506507" w:rsidRDefault="00E2703D" w:rsidP="00387089">
            <w:pPr>
              <w:rPr>
                <w:sz w:val="19"/>
                <w:szCs w:val="19"/>
              </w:rPr>
            </w:pPr>
            <w:r w:rsidRPr="00506507">
              <w:rPr>
                <w:sz w:val="19"/>
                <w:szCs w:val="19"/>
              </w:rPr>
              <w:t>Ramsar Resolution VIII.20 (2002) on General guidance for interpreting “urgent national interests”</w:t>
            </w:r>
            <w:r w:rsidR="00387089" w:rsidRPr="00506507">
              <w:rPr>
                <w:sz w:val="19"/>
                <w:szCs w:val="19"/>
              </w:rPr>
              <w:t xml:space="preserve"> </w:t>
            </w:r>
            <w:r w:rsidRPr="00506507">
              <w:rPr>
                <w:sz w:val="19"/>
                <w:szCs w:val="19"/>
              </w:rPr>
              <w:t>under Article 2.5 of the Convention and considering compensation</w:t>
            </w:r>
            <w:r w:rsidR="00387089" w:rsidRPr="00506507">
              <w:rPr>
                <w:sz w:val="19"/>
                <w:szCs w:val="19"/>
              </w:rPr>
              <w:t xml:space="preserve"> </w:t>
            </w:r>
            <w:r w:rsidRPr="00506507">
              <w:rPr>
                <w:sz w:val="19"/>
                <w:szCs w:val="19"/>
              </w:rPr>
              <w:t>under Article 4.2</w:t>
            </w:r>
          </w:p>
        </w:tc>
        <w:tc>
          <w:tcPr>
            <w:tcW w:w="3005" w:type="dxa"/>
          </w:tcPr>
          <w:p w14:paraId="4DF05A35" w14:textId="05527000" w:rsidR="00E2703D" w:rsidRPr="00506507" w:rsidRDefault="00E2703D" w:rsidP="00E2703D">
            <w:pPr>
              <w:rPr>
                <w:sz w:val="19"/>
                <w:szCs w:val="19"/>
              </w:rPr>
            </w:pPr>
            <w:r w:rsidRPr="00506507">
              <w:rPr>
                <w:sz w:val="19"/>
                <w:szCs w:val="19"/>
              </w:rPr>
              <w:t>Operative section of MOP Resolution 5.16 (2012) on Renewable energy and migratory waterbirds calls on AEWA Parties to consider compensation for damage resulting from renewable energy installations in accordance with Ramsar Resolution VIII.20</w:t>
            </w:r>
          </w:p>
        </w:tc>
        <w:tc>
          <w:tcPr>
            <w:tcW w:w="3006" w:type="dxa"/>
          </w:tcPr>
          <w:p w14:paraId="18C17155" w14:textId="3632A441" w:rsidR="00E2703D" w:rsidRPr="00506507" w:rsidRDefault="006C5284" w:rsidP="006C5284">
            <w:pPr>
              <w:pStyle w:val="ListParagraph"/>
              <w:numPr>
                <w:ilvl w:val="0"/>
                <w:numId w:val="30"/>
              </w:numPr>
              <w:rPr>
                <w:sz w:val="19"/>
                <w:szCs w:val="19"/>
              </w:rPr>
            </w:pPr>
            <w:r w:rsidRPr="00506507">
              <w:rPr>
                <w:sz w:val="19"/>
                <w:szCs w:val="19"/>
              </w:rPr>
              <w:t>Suggest review of instances of application of these provisions in renewable energy development contexts.</w:t>
            </w:r>
          </w:p>
        </w:tc>
      </w:tr>
      <w:tr w:rsidR="007722E8" w:rsidRPr="00506507" w14:paraId="2F1306BD" w14:textId="77777777" w:rsidTr="00506507">
        <w:trPr>
          <w:jc w:val="center"/>
        </w:trPr>
        <w:tc>
          <w:tcPr>
            <w:tcW w:w="3005" w:type="dxa"/>
          </w:tcPr>
          <w:p w14:paraId="23E99CE5" w14:textId="77777777" w:rsidR="007722E8" w:rsidRPr="00506507" w:rsidRDefault="007722E8" w:rsidP="005F7185">
            <w:pPr>
              <w:rPr>
                <w:sz w:val="19"/>
                <w:szCs w:val="19"/>
              </w:rPr>
            </w:pPr>
            <w:r w:rsidRPr="00506507">
              <w:rPr>
                <w:sz w:val="19"/>
                <w:szCs w:val="19"/>
              </w:rPr>
              <w:t>Ramsar Resolution XI.10 (2012) providing “Guidance for addressing the implications for wetlands of policies, plans and activities in the energy sector”</w:t>
            </w:r>
          </w:p>
        </w:tc>
        <w:tc>
          <w:tcPr>
            <w:tcW w:w="3005" w:type="dxa"/>
          </w:tcPr>
          <w:p w14:paraId="5434C0B3" w14:textId="77777777" w:rsidR="007722E8" w:rsidRPr="00506507" w:rsidRDefault="007722E8" w:rsidP="005F7185">
            <w:pPr>
              <w:rPr>
                <w:sz w:val="19"/>
                <w:szCs w:val="19"/>
              </w:rPr>
            </w:pPr>
            <w:r w:rsidRPr="00506507">
              <w:rPr>
                <w:sz w:val="19"/>
                <w:szCs w:val="19"/>
              </w:rPr>
              <w:t>Noted in preamble of MOP Resolution 6.11 (2015) on Addressing impacts of renewable energy deployment on migratory waterbirds</w:t>
            </w:r>
          </w:p>
        </w:tc>
        <w:tc>
          <w:tcPr>
            <w:tcW w:w="3006" w:type="dxa"/>
          </w:tcPr>
          <w:p w14:paraId="06D1861F" w14:textId="6F8125C0" w:rsidR="007722E8" w:rsidRPr="00506507" w:rsidRDefault="006C5284" w:rsidP="006C5284">
            <w:pPr>
              <w:pStyle w:val="ListParagraph"/>
              <w:numPr>
                <w:ilvl w:val="0"/>
                <w:numId w:val="30"/>
              </w:numPr>
              <w:rPr>
                <w:sz w:val="19"/>
                <w:szCs w:val="19"/>
              </w:rPr>
            </w:pPr>
            <w:r w:rsidRPr="00506507">
              <w:rPr>
                <w:sz w:val="19"/>
                <w:szCs w:val="19"/>
              </w:rPr>
              <w:t>Suggest Ramsar STRP review possible need to update the guidance.</w:t>
            </w:r>
          </w:p>
        </w:tc>
      </w:tr>
      <w:tr w:rsidR="007722E8" w:rsidRPr="00506507" w14:paraId="24B2DA00" w14:textId="77777777" w:rsidTr="00506507">
        <w:trPr>
          <w:jc w:val="center"/>
        </w:trPr>
        <w:tc>
          <w:tcPr>
            <w:tcW w:w="3005" w:type="dxa"/>
          </w:tcPr>
          <w:p w14:paraId="07F65256" w14:textId="77777777" w:rsidR="007722E8" w:rsidRPr="00506507" w:rsidRDefault="007722E8" w:rsidP="005F7185">
            <w:pPr>
              <w:rPr>
                <w:sz w:val="19"/>
                <w:szCs w:val="19"/>
              </w:rPr>
            </w:pPr>
            <w:r w:rsidRPr="00506507">
              <w:rPr>
                <w:sz w:val="19"/>
                <w:szCs w:val="19"/>
              </w:rPr>
              <w:t>Ramsar Resolution X.17 (2008) on Environmental Impact Assessment and Strategic Environmental Assessment - updated scientific and technical guidance</w:t>
            </w:r>
          </w:p>
        </w:tc>
        <w:tc>
          <w:tcPr>
            <w:tcW w:w="3005" w:type="dxa"/>
          </w:tcPr>
          <w:p w14:paraId="0FC16046" w14:textId="77777777" w:rsidR="007722E8" w:rsidRPr="00506507" w:rsidRDefault="007722E8" w:rsidP="005F7185">
            <w:pPr>
              <w:rPr>
                <w:sz w:val="19"/>
                <w:szCs w:val="19"/>
              </w:rPr>
            </w:pPr>
            <w:r w:rsidRPr="00506507">
              <w:rPr>
                <w:sz w:val="19"/>
                <w:szCs w:val="19"/>
              </w:rPr>
              <w:t xml:space="preserve">Noted </w:t>
            </w:r>
            <w:r w:rsidRPr="00506507">
              <w:rPr>
                <w:color w:val="000000"/>
                <w:sz w:val="19"/>
                <w:szCs w:val="19"/>
              </w:rPr>
              <w:t>in “</w:t>
            </w:r>
            <w:r w:rsidRPr="00506507">
              <w:rPr>
                <w:sz w:val="19"/>
                <w:szCs w:val="19"/>
              </w:rPr>
              <w:t>Renewable energy technologies and migratory species: guidelines for sustainable deployment” (AEWA MOP document 6.37, 2015)</w:t>
            </w:r>
          </w:p>
        </w:tc>
        <w:tc>
          <w:tcPr>
            <w:tcW w:w="3006" w:type="dxa"/>
          </w:tcPr>
          <w:p w14:paraId="6F14495E" w14:textId="77777777" w:rsidR="006C5284" w:rsidRPr="00506507" w:rsidRDefault="006C5284" w:rsidP="006C5284">
            <w:pPr>
              <w:pStyle w:val="ListParagraph"/>
              <w:numPr>
                <w:ilvl w:val="0"/>
                <w:numId w:val="30"/>
              </w:numPr>
              <w:rPr>
                <w:color w:val="000000"/>
                <w:sz w:val="19"/>
                <w:szCs w:val="19"/>
              </w:rPr>
            </w:pPr>
            <w:r w:rsidRPr="00506507">
              <w:rPr>
                <w:color w:val="000000"/>
                <w:sz w:val="19"/>
                <w:szCs w:val="19"/>
              </w:rPr>
              <w:t>Assess adequacy of national legislation against the standards in the guidelines.</w:t>
            </w:r>
          </w:p>
          <w:p w14:paraId="784F8B2A" w14:textId="77777777" w:rsidR="006C5284" w:rsidRPr="00506507" w:rsidRDefault="006C5284" w:rsidP="006C5284">
            <w:pPr>
              <w:pStyle w:val="ListParagraph"/>
              <w:numPr>
                <w:ilvl w:val="0"/>
                <w:numId w:val="30"/>
              </w:numPr>
              <w:rPr>
                <w:color w:val="000000"/>
                <w:sz w:val="19"/>
                <w:szCs w:val="19"/>
              </w:rPr>
            </w:pPr>
            <w:r w:rsidRPr="00506507">
              <w:rPr>
                <w:color w:val="000000"/>
                <w:sz w:val="19"/>
                <w:szCs w:val="19"/>
              </w:rPr>
              <w:t>Invoke guidelines in advocating good practice.</w:t>
            </w:r>
          </w:p>
          <w:p w14:paraId="0897054C" w14:textId="1E9AB961" w:rsidR="007722E8" w:rsidRPr="00506507" w:rsidRDefault="006C5284" w:rsidP="006C5284">
            <w:pPr>
              <w:pStyle w:val="ListParagraph"/>
              <w:numPr>
                <w:ilvl w:val="0"/>
                <w:numId w:val="30"/>
              </w:numPr>
              <w:rPr>
                <w:sz w:val="19"/>
                <w:szCs w:val="19"/>
              </w:rPr>
            </w:pPr>
            <w:r w:rsidRPr="00506507">
              <w:rPr>
                <w:color w:val="000000"/>
                <w:sz w:val="19"/>
                <w:szCs w:val="19"/>
              </w:rPr>
              <w:t>Suggest review of any need to update guidelines.</w:t>
            </w:r>
          </w:p>
        </w:tc>
      </w:tr>
      <w:tr w:rsidR="007722E8" w:rsidRPr="00506507" w14:paraId="565940B4" w14:textId="77777777" w:rsidTr="00506507">
        <w:trPr>
          <w:jc w:val="center"/>
        </w:trPr>
        <w:tc>
          <w:tcPr>
            <w:tcW w:w="9016" w:type="dxa"/>
            <w:gridSpan w:val="3"/>
            <w:shd w:val="clear" w:color="auto" w:fill="D9D9D9" w:themeFill="background1" w:themeFillShade="D9"/>
          </w:tcPr>
          <w:p w14:paraId="7C61FDF9" w14:textId="77777777" w:rsidR="007722E8" w:rsidRPr="00506507" w:rsidRDefault="007722E8" w:rsidP="005F7185">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Espoo Convention</w:t>
            </w:r>
          </w:p>
        </w:tc>
      </w:tr>
      <w:tr w:rsidR="007722E8" w:rsidRPr="00506507" w14:paraId="595AC58F" w14:textId="77777777" w:rsidTr="00506507">
        <w:trPr>
          <w:jc w:val="center"/>
        </w:trPr>
        <w:tc>
          <w:tcPr>
            <w:tcW w:w="3005" w:type="dxa"/>
          </w:tcPr>
          <w:p w14:paraId="39140DFC" w14:textId="77777777" w:rsidR="007722E8" w:rsidRPr="00506507" w:rsidRDefault="007722E8" w:rsidP="005F7185">
            <w:pPr>
              <w:rPr>
                <w:sz w:val="19"/>
                <w:szCs w:val="19"/>
              </w:rPr>
            </w:pPr>
            <w:r w:rsidRPr="00506507">
              <w:rPr>
                <w:sz w:val="19"/>
                <w:szCs w:val="19"/>
              </w:rPr>
              <w:t xml:space="preserve">UNECE Convention on Environmental Impact Assessment in a Transboundary Context (Espoo Convention, 1991) requires its Parties to consult with other Parties if a plan or programme may have significant transboundary effects.  Supplemented by a </w:t>
            </w:r>
            <w:hyperlink r:id="rId13" w:tooltip="Protocol on Strategic Environmental Assessment (page does not exist)" w:history="1">
              <w:r w:rsidRPr="00506507">
                <w:rPr>
                  <w:sz w:val="19"/>
                  <w:szCs w:val="19"/>
                </w:rPr>
                <w:t>Protocol on Strategic Environmental Assessment</w:t>
              </w:r>
            </w:hyperlink>
            <w:r w:rsidRPr="00506507">
              <w:rPr>
                <w:sz w:val="19"/>
                <w:szCs w:val="19"/>
              </w:rPr>
              <w:t xml:space="preserve"> (2003).</w:t>
            </w:r>
          </w:p>
        </w:tc>
        <w:tc>
          <w:tcPr>
            <w:tcW w:w="3005" w:type="dxa"/>
          </w:tcPr>
          <w:p w14:paraId="51695928" w14:textId="77777777" w:rsidR="007722E8" w:rsidRPr="00506507" w:rsidRDefault="007722E8" w:rsidP="005F7185">
            <w:pPr>
              <w:rPr>
                <w:sz w:val="19"/>
                <w:szCs w:val="19"/>
              </w:rPr>
            </w:pPr>
            <w:r w:rsidRPr="00506507">
              <w:rPr>
                <w:sz w:val="19"/>
                <w:szCs w:val="19"/>
              </w:rPr>
              <w:t>Referred to in AEWA Conservation Guidelines No. 11 (2008) on how to avoid, minimise or mitigate impact of infrastructural developments and related disturbance affecting waterbirds</w:t>
            </w:r>
          </w:p>
        </w:tc>
        <w:tc>
          <w:tcPr>
            <w:tcW w:w="3006" w:type="dxa"/>
          </w:tcPr>
          <w:p w14:paraId="518E40DA" w14:textId="478C1F25" w:rsidR="007722E8" w:rsidRPr="00506507" w:rsidRDefault="00681726" w:rsidP="00681726">
            <w:pPr>
              <w:pStyle w:val="ListParagraph"/>
              <w:numPr>
                <w:ilvl w:val="0"/>
                <w:numId w:val="30"/>
              </w:numPr>
              <w:rPr>
                <w:sz w:val="19"/>
                <w:szCs w:val="19"/>
              </w:rPr>
            </w:pPr>
            <w:r w:rsidRPr="00506507">
              <w:rPr>
                <w:sz w:val="19"/>
                <w:szCs w:val="19"/>
              </w:rPr>
              <w:t xml:space="preserve">Espoo Parties accounting for action; </w:t>
            </w:r>
            <w:r w:rsidRPr="00506507">
              <w:rPr>
                <w:color w:val="000000"/>
                <w:sz w:val="19"/>
                <w:szCs w:val="19"/>
              </w:rPr>
              <w:t>synthesis</w:t>
            </w:r>
            <w:r w:rsidRPr="00506507">
              <w:rPr>
                <w:sz w:val="19"/>
                <w:szCs w:val="19"/>
              </w:rPr>
              <w:t xml:space="preserve"> reports of implementation?</w:t>
            </w:r>
          </w:p>
        </w:tc>
      </w:tr>
      <w:tr w:rsidR="007722E8" w:rsidRPr="00506507" w14:paraId="3434CB2D" w14:textId="77777777" w:rsidTr="00506507">
        <w:trPr>
          <w:jc w:val="center"/>
        </w:trPr>
        <w:tc>
          <w:tcPr>
            <w:tcW w:w="9016" w:type="dxa"/>
            <w:gridSpan w:val="3"/>
            <w:shd w:val="clear" w:color="auto" w:fill="D9D9D9" w:themeFill="background1" w:themeFillShade="D9"/>
          </w:tcPr>
          <w:p w14:paraId="0A59DB0A" w14:textId="77777777" w:rsidR="007722E8" w:rsidRPr="00506507" w:rsidRDefault="007722E8" w:rsidP="005F7185">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European Union</w:t>
            </w:r>
          </w:p>
        </w:tc>
      </w:tr>
      <w:tr w:rsidR="007722E8" w:rsidRPr="00506507" w14:paraId="0D05D736" w14:textId="77777777" w:rsidTr="00506507">
        <w:trPr>
          <w:jc w:val="center"/>
        </w:trPr>
        <w:tc>
          <w:tcPr>
            <w:tcW w:w="3005" w:type="dxa"/>
          </w:tcPr>
          <w:p w14:paraId="68634E31" w14:textId="77777777" w:rsidR="007722E8" w:rsidRPr="00506507" w:rsidRDefault="007722E8" w:rsidP="005F7185">
            <w:pPr>
              <w:rPr>
                <w:sz w:val="19"/>
                <w:szCs w:val="19"/>
              </w:rPr>
            </w:pPr>
            <w:r w:rsidRPr="00506507">
              <w:rPr>
                <w:sz w:val="19"/>
                <w:szCs w:val="19"/>
              </w:rPr>
              <w:t>EU Directive on Environmental Assessment – initially Directive 85/337/EEC (1985) and amended several times since (latest version Directive 2011/92/EU (2011) with amendments in Directive 2014/52/EU (2014))</w:t>
            </w:r>
          </w:p>
        </w:tc>
        <w:tc>
          <w:tcPr>
            <w:tcW w:w="3005" w:type="dxa"/>
          </w:tcPr>
          <w:p w14:paraId="44BBADA1" w14:textId="77777777" w:rsidR="007722E8" w:rsidRPr="00506507" w:rsidRDefault="007722E8" w:rsidP="005F7185">
            <w:pPr>
              <w:rPr>
                <w:sz w:val="19"/>
                <w:szCs w:val="19"/>
              </w:rPr>
            </w:pPr>
            <w:r w:rsidRPr="00506507">
              <w:rPr>
                <w:sz w:val="19"/>
                <w:szCs w:val="19"/>
              </w:rPr>
              <w:t>Referred to in AEWA Conservation Guidelines No. 11 (2008) on how to avoid, minimise or mitigate impact of infrastructural developments and related disturbance affecting waterbirds</w:t>
            </w:r>
          </w:p>
        </w:tc>
        <w:tc>
          <w:tcPr>
            <w:tcW w:w="3006" w:type="dxa"/>
          </w:tcPr>
          <w:p w14:paraId="6F00CEAE" w14:textId="7E239ECA" w:rsidR="007722E8" w:rsidRPr="00506507" w:rsidRDefault="00681726" w:rsidP="00681726">
            <w:pPr>
              <w:pStyle w:val="ListParagraph"/>
              <w:numPr>
                <w:ilvl w:val="0"/>
                <w:numId w:val="30"/>
              </w:numPr>
              <w:rPr>
                <w:sz w:val="19"/>
                <w:szCs w:val="19"/>
              </w:rPr>
            </w:pPr>
            <w:r w:rsidRPr="00506507">
              <w:rPr>
                <w:sz w:val="19"/>
                <w:szCs w:val="19"/>
              </w:rPr>
              <w:t>Implementation/ compliance reviews at EU level.</w:t>
            </w:r>
          </w:p>
        </w:tc>
      </w:tr>
      <w:tr w:rsidR="00681726" w:rsidRPr="00506507" w14:paraId="2AA515A6" w14:textId="77777777" w:rsidTr="00506507">
        <w:trPr>
          <w:jc w:val="center"/>
        </w:trPr>
        <w:tc>
          <w:tcPr>
            <w:tcW w:w="3005" w:type="dxa"/>
          </w:tcPr>
          <w:p w14:paraId="341DD89B" w14:textId="77777777" w:rsidR="00681726" w:rsidRPr="00506507" w:rsidRDefault="00681726" w:rsidP="00681726">
            <w:pPr>
              <w:rPr>
                <w:sz w:val="19"/>
                <w:szCs w:val="19"/>
              </w:rPr>
            </w:pPr>
            <w:r w:rsidRPr="00506507">
              <w:rPr>
                <w:sz w:val="19"/>
                <w:szCs w:val="19"/>
              </w:rPr>
              <w:t>EU Directive 2001/42/EC on Strategic Environmental Assessment (2001)</w:t>
            </w:r>
          </w:p>
        </w:tc>
        <w:tc>
          <w:tcPr>
            <w:tcW w:w="3005" w:type="dxa"/>
          </w:tcPr>
          <w:p w14:paraId="780B8FAB" w14:textId="77777777" w:rsidR="00681726" w:rsidRPr="00506507" w:rsidRDefault="00681726" w:rsidP="00681726">
            <w:pPr>
              <w:rPr>
                <w:sz w:val="19"/>
                <w:szCs w:val="19"/>
              </w:rPr>
            </w:pPr>
            <w:r w:rsidRPr="00506507">
              <w:rPr>
                <w:sz w:val="19"/>
                <w:szCs w:val="19"/>
              </w:rPr>
              <w:t xml:space="preserve">Referred to in </w:t>
            </w:r>
            <w:r w:rsidRPr="00506507">
              <w:rPr>
                <w:color w:val="000000"/>
                <w:sz w:val="19"/>
                <w:szCs w:val="19"/>
              </w:rPr>
              <w:t>“</w:t>
            </w:r>
            <w:r w:rsidRPr="00506507">
              <w:rPr>
                <w:sz w:val="19"/>
                <w:szCs w:val="19"/>
              </w:rPr>
              <w:t>Renewable energy technologies and migratory species: guidelines for sustainable deployment” (AEWA MOP document 6.37, 2015)</w:t>
            </w:r>
          </w:p>
        </w:tc>
        <w:tc>
          <w:tcPr>
            <w:tcW w:w="3006" w:type="dxa"/>
          </w:tcPr>
          <w:p w14:paraId="6E937965" w14:textId="1F293A7C" w:rsidR="00681726" w:rsidRPr="00506507" w:rsidRDefault="00681726" w:rsidP="00681726">
            <w:pPr>
              <w:pStyle w:val="ListParagraph"/>
              <w:numPr>
                <w:ilvl w:val="0"/>
                <w:numId w:val="30"/>
              </w:numPr>
              <w:rPr>
                <w:sz w:val="19"/>
                <w:szCs w:val="19"/>
              </w:rPr>
            </w:pPr>
            <w:r w:rsidRPr="00506507">
              <w:rPr>
                <w:sz w:val="19"/>
                <w:szCs w:val="19"/>
              </w:rPr>
              <w:t>Implementation/ compliance reviews at EU level.</w:t>
            </w:r>
          </w:p>
        </w:tc>
      </w:tr>
      <w:tr w:rsidR="00681726" w:rsidRPr="00506507" w14:paraId="014D06CB" w14:textId="77777777" w:rsidTr="00506507">
        <w:trPr>
          <w:jc w:val="center"/>
        </w:trPr>
        <w:tc>
          <w:tcPr>
            <w:tcW w:w="3005" w:type="dxa"/>
          </w:tcPr>
          <w:p w14:paraId="1A3C41D2" w14:textId="65A50B10" w:rsidR="00681726" w:rsidRPr="00506507" w:rsidRDefault="00681726" w:rsidP="00681726">
            <w:pPr>
              <w:rPr>
                <w:sz w:val="19"/>
                <w:szCs w:val="19"/>
              </w:rPr>
            </w:pPr>
            <w:r w:rsidRPr="00506507">
              <w:rPr>
                <w:sz w:val="19"/>
                <w:szCs w:val="19"/>
              </w:rPr>
              <w:t>EU guidance document on Wind energy developments and Natura 2000 (2011)</w:t>
            </w:r>
            <w:r w:rsidR="0088356E" w:rsidRPr="00506507">
              <w:rPr>
                <w:sz w:val="19"/>
                <w:szCs w:val="19"/>
              </w:rPr>
              <w:t xml:space="preserve"> (subsequently updated in 2021 as Wind energy developments and EU legislation</w:t>
            </w:r>
            <w:r w:rsidR="00A2136D" w:rsidRPr="00506507">
              <w:rPr>
                <w:sz w:val="19"/>
                <w:szCs w:val="19"/>
              </w:rPr>
              <w:t>)</w:t>
            </w:r>
          </w:p>
        </w:tc>
        <w:tc>
          <w:tcPr>
            <w:tcW w:w="3005" w:type="dxa"/>
          </w:tcPr>
          <w:p w14:paraId="14B5D7D4" w14:textId="77777777" w:rsidR="00681726" w:rsidRPr="00506507" w:rsidRDefault="00681726" w:rsidP="00681726">
            <w:pPr>
              <w:rPr>
                <w:sz w:val="19"/>
                <w:szCs w:val="19"/>
              </w:rPr>
            </w:pPr>
            <w:r w:rsidRPr="00506507">
              <w:rPr>
                <w:sz w:val="19"/>
                <w:szCs w:val="19"/>
              </w:rPr>
              <w:t>Referred to in “Renewable energy technologies and migratory species: guidelines for sustainable deployment” (AEWA MOP document 6.37, 2015)</w:t>
            </w:r>
          </w:p>
        </w:tc>
        <w:tc>
          <w:tcPr>
            <w:tcW w:w="3006" w:type="dxa"/>
          </w:tcPr>
          <w:p w14:paraId="1F259EE2" w14:textId="1023D654" w:rsidR="00681726" w:rsidRPr="00506507" w:rsidRDefault="0088356E" w:rsidP="0088356E">
            <w:pPr>
              <w:pStyle w:val="ListParagraph"/>
              <w:numPr>
                <w:ilvl w:val="0"/>
                <w:numId w:val="30"/>
              </w:numPr>
              <w:rPr>
                <w:sz w:val="19"/>
                <w:szCs w:val="19"/>
              </w:rPr>
            </w:pPr>
            <w:r w:rsidRPr="00506507">
              <w:rPr>
                <w:sz w:val="19"/>
                <w:szCs w:val="19"/>
              </w:rPr>
              <w:t>Promote awareness and application of the more recent update of the guidance.</w:t>
            </w:r>
          </w:p>
        </w:tc>
      </w:tr>
      <w:tr w:rsidR="00681726" w:rsidRPr="00506507" w14:paraId="3B4D2BE2" w14:textId="77777777" w:rsidTr="00506507">
        <w:trPr>
          <w:jc w:val="center"/>
        </w:trPr>
        <w:tc>
          <w:tcPr>
            <w:tcW w:w="9016" w:type="dxa"/>
            <w:gridSpan w:val="3"/>
            <w:shd w:val="clear" w:color="auto" w:fill="D9D9D9" w:themeFill="background1" w:themeFillShade="D9"/>
          </w:tcPr>
          <w:p w14:paraId="030A4030" w14:textId="77777777" w:rsidR="00681726" w:rsidRPr="00506507" w:rsidRDefault="00681726" w:rsidP="00681726">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OECD</w:t>
            </w:r>
          </w:p>
        </w:tc>
      </w:tr>
      <w:tr w:rsidR="00681726" w:rsidRPr="00506507" w14:paraId="31CC24B1" w14:textId="77777777" w:rsidTr="00506507">
        <w:trPr>
          <w:jc w:val="center"/>
        </w:trPr>
        <w:tc>
          <w:tcPr>
            <w:tcW w:w="3005" w:type="dxa"/>
          </w:tcPr>
          <w:p w14:paraId="1A995627" w14:textId="77777777" w:rsidR="00681726" w:rsidRPr="00506507" w:rsidRDefault="00681726" w:rsidP="00681726">
            <w:pPr>
              <w:rPr>
                <w:sz w:val="19"/>
                <w:szCs w:val="19"/>
              </w:rPr>
            </w:pPr>
            <w:r w:rsidRPr="00506507">
              <w:rPr>
                <w:sz w:val="19"/>
                <w:szCs w:val="19"/>
              </w:rPr>
              <w:t>OECD Development Assistance Committee (DAC) Guidance on SEA: Applying Strategic Environmental Assessment. Good Practice Guidance for Development Co-operation (2006).</w:t>
            </w:r>
          </w:p>
        </w:tc>
        <w:tc>
          <w:tcPr>
            <w:tcW w:w="3005" w:type="dxa"/>
          </w:tcPr>
          <w:p w14:paraId="078AE79E" w14:textId="77777777" w:rsidR="00681726" w:rsidRPr="00506507" w:rsidRDefault="00681726" w:rsidP="00681726">
            <w:pPr>
              <w:rPr>
                <w:sz w:val="19"/>
                <w:szCs w:val="19"/>
              </w:rPr>
            </w:pPr>
            <w:r w:rsidRPr="00506507">
              <w:rPr>
                <w:sz w:val="19"/>
                <w:szCs w:val="19"/>
              </w:rPr>
              <w:t>Referred to in “Renewable energy technologies and migratory species: guidelines for sustainable deployment” (AEWA MOP document 6.37, 2015)</w:t>
            </w:r>
          </w:p>
        </w:tc>
        <w:tc>
          <w:tcPr>
            <w:tcW w:w="3006" w:type="dxa"/>
          </w:tcPr>
          <w:p w14:paraId="76E45CE1" w14:textId="511D3211" w:rsidR="00681726" w:rsidRPr="00506507" w:rsidRDefault="00681726" w:rsidP="00681726">
            <w:pPr>
              <w:pStyle w:val="ListParagraph"/>
              <w:numPr>
                <w:ilvl w:val="0"/>
                <w:numId w:val="30"/>
              </w:numPr>
              <w:rPr>
                <w:sz w:val="19"/>
                <w:szCs w:val="19"/>
              </w:rPr>
            </w:pPr>
            <w:r w:rsidRPr="00506507">
              <w:rPr>
                <w:sz w:val="19"/>
                <w:szCs w:val="19"/>
              </w:rPr>
              <w:t>Assess application of guidance.</w:t>
            </w:r>
          </w:p>
        </w:tc>
      </w:tr>
      <w:tr w:rsidR="00681726" w:rsidRPr="00506507" w14:paraId="7A37B4DF" w14:textId="77777777" w:rsidTr="00506507">
        <w:trPr>
          <w:jc w:val="center"/>
        </w:trPr>
        <w:tc>
          <w:tcPr>
            <w:tcW w:w="9016" w:type="dxa"/>
            <w:gridSpan w:val="3"/>
            <w:shd w:val="clear" w:color="auto" w:fill="D9D9D9" w:themeFill="background1" w:themeFillShade="D9"/>
          </w:tcPr>
          <w:p w14:paraId="7FA86500" w14:textId="77777777" w:rsidR="00681726" w:rsidRPr="00506507" w:rsidRDefault="00681726" w:rsidP="00681726">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World Bank</w:t>
            </w:r>
          </w:p>
        </w:tc>
      </w:tr>
      <w:tr w:rsidR="00681726" w:rsidRPr="00506507" w14:paraId="23A78920" w14:textId="77777777" w:rsidTr="00506507">
        <w:trPr>
          <w:jc w:val="center"/>
        </w:trPr>
        <w:tc>
          <w:tcPr>
            <w:tcW w:w="3005" w:type="dxa"/>
          </w:tcPr>
          <w:p w14:paraId="4622C33A" w14:textId="77777777" w:rsidR="00681726" w:rsidRPr="00506507" w:rsidRDefault="00681726" w:rsidP="00681726">
            <w:pPr>
              <w:rPr>
                <w:sz w:val="19"/>
                <w:szCs w:val="19"/>
              </w:rPr>
            </w:pPr>
            <w:r w:rsidRPr="00506507">
              <w:rPr>
                <w:sz w:val="19"/>
                <w:szCs w:val="19"/>
              </w:rPr>
              <w:t>World Bank working paper “Good dams and bad dams: environmental criteria for site selection of hydroelectric projects (2003)</w:t>
            </w:r>
          </w:p>
        </w:tc>
        <w:tc>
          <w:tcPr>
            <w:tcW w:w="3005" w:type="dxa"/>
          </w:tcPr>
          <w:p w14:paraId="3EA8576B" w14:textId="77777777" w:rsidR="00681726" w:rsidRPr="00506507" w:rsidRDefault="00681726" w:rsidP="00681726">
            <w:pPr>
              <w:rPr>
                <w:sz w:val="19"/>
                <w:szCs w:val="19"/>
              </w:rPr>
            </w:pPr>
            <w:r w:rsidRPr="00506507">
              <w:rPr>
                <w:sz w:val="19"/>
                <w:szCs w:val="19"/>
              </w:rPr>
              <w:t xml:space="preserve">Noted in preamble of MOP Resolution 5.16 (2012) on </w:t>
            </w:r>
            <w:r w:rsidRPr="00506507">
              <w:rPr>
                <w:sz w:val="19"/>
                <w:szCs w:val="19"/>
              </w:rPr>
              <w:lastRenderedPageBreak/>
              <w:t>Renewable energy and migratory waterbirds</w:t>
            </w:r>
            <w:r w:rsidRPr="00506507">
              <w:rPr>
                <w:rStyle w:val="FootnoteReference"/>
                <w:sz w:val="19"/>
                <w:szCs w:val="19"/>
              </w:rPr>
              <w:footnoteReference w:id="2"/>
            </w:r>
          </w:p>
        </w:tc>
        <w:tc>
          <w:tcPr>
            <w:tcW w:w="3006" w:type="dxa"/>
          </w:tcPr>
          <w:p w14:paraId="5B2E8B6C" w14:textId="2EB44ADA" w:rsidR="00681726" w:rsidRPr="00506507" w:rsidRDefault="00681726" w:rsidP="00681726">
            <w:pPr>
              <w:pStyle w:val="ListParagraph"/>
              <w:numPr>
                <w:ilvl w:val="0"/>
                <w:numId w:val="30"/>
              </w:numPr>
              <w:rPr>
                <w:sz w:val="19"/>
                <w:szCs w:val="19"/>
              </w:rPr>
            </w:pPr>
            <w:r w:rsidRPr="00506507">
              <w:rPr>
                <w:sz w:val="19"/>
                <w:szCs w:val="19"/>
              </w:rPr>
              <w:lastRenderedPageBreak/>
              <w:t>Assess application of criteria.</w:t>
            </w:r>
          </w:p>
        </w:tc>
      </w:tr>
      <w:tr w:rsidR="00681726" w:rsidRPr="00506507" w14:paraId="70DB3542" w14:textId="77777777" w:rsidTr="00506507">
        <w:trPr>
          <w:jc w:val="center"/>
        </w:trPr>
        <w:tc>
          <w:tcPr>
            <w:tcW w:w="9016" w:type="dxa"/>
            <w:gridSpan w:val="3"/>
            <w:shd w:val="clear" w:color="auto" w:fill="D9D9D9" w:themeFill="background1" w:themeFillShade="D9"/>
          </w:tcPr>
          <w:p w14:paraId="6D4450C3" w14:textId="77777777" w:rsidR="00681726" w:rsidRPr="00506507" w:rsidRDefault="00681726" w:rsidP="00681726">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International Association for Impact Assessment (IAIA)</w:t>
            </w:r>
          </w:p>
        </w:tc>
      </w:tr>
      <w:tr w:rsidR="00681726" w:rsidRPr="00506507" w14:paraId="4852FE5B" w14:textId="77777777" w:rsidTr="00506507">
        <w:trPr>
          <w:jc w:val="center"/>
        </w:trPr>
        <w:tc>
          <w:tcPr>
            <w:tcW w:w="3005" w:type="dxa"/>
          </w:tcPr>
          <w:p w14:paraId="24971EE3" w14:textId="77777777" w:rsidR="00681726" w:rsidRPr="00506507" w:rsidRDefault="00681726" w:rsidP="00681726">
            <w:pPr>
              <w:rPr>
                <w:sz w:val="19"/>
                <w:szCs w:val="19"/>
              </w:rPr>
            </w:pPr>
            <w:r w:rsidRPr="00506507">
              <w:rPr>
                <w:sz w:val="19"/>
                <w:szCs w:val="19"/>
              </w:rPr>
              <w:t>Recommended that all impact assessment should follow the Best Practice Principles for Impact Assessment, Strategic Environmental Assessment and Biodiversity in Impact Assessment provided in an IAIA toolkit in 2005</w:t>
            </w:r>
          </w:p>
        </w:tc>
        <w:tc>
          <w:tcPr>
            <w:tcW w:w="3005" w:type="dxa"/>
          </w:tcPr>
          <w:p w14:paraId="5488B252" w14:textId="77777777" w:rsidR="00681726" w:rsidRPr="00506507" w:rsidRDefault="00681726" w:rsidP="00681726">
            <w:pPr>
              <w:rPr>
                <w:sz w:val="19"/>
                <w:szCs w:val="19"/>
              </w:rPr>
            </w:pPr>
            <w:r w:rsidRPr="00506507">
              <w:rPr>
                <w:sz w:val="19"/>
                <w:szCs w:val="19"/>
              </w:rPr>
              <w:t>Referred to in AEWA Conservation Guidelines No. 11 (2008) on how to avoid, minimise or mitigate impact of infrastructural developments and related disturbance affecting waterbirds</w:t>
            </w:r>
          </w:p>
        </w:tc>
        <w:tc>
          <w:tcPr>
            <w:tcW w:w="3006" w:type="dxa"/>
          </w:tcPr>
          <w:p w14:paraId="6D372E6A" w14:textId="77777777" w:rsidR="00681726" w:rsidRPr="00506507" w:rsidRDefault="00681726" w:rsidP="00681726">
            <w:pPr>
              <w:pStyle w:val="ListParagraph"/>
              <w:numPr>
                <w:ilvl w:val="0"/>
                <w:numId w:val="30"/>
              </w:numPr>
              <w:rPr>
                <w:sz w:val="19"/>
                <w:szCs w:val="19"/>
              </w:rPr>
            </w:pPr>
            <w:r w:rsidRPr="00506507">
              <w:rPr>
                <w:sz w:val="19"/>
                <w:szCs w:val="19"/>
              </w:rPr>
              <w:t>Suggest IAIA review best practices and update international principles.</w:t>
            </w:r>
          </w:p>
          <w:p w14:paraId="1B2DD50C" w14:textId="3FD7E933" w:rsidR="00681726" w:rsidRPr="00506507" w:rsidRDefault="00681726" w:rsidP="00681726">
            <w:pPr>
              <w:pStyle w:val="ListParagraph"/>
              <w:numPr>
                <w:ilvl w:val="0"/>
                <w:numId w:val="30"/>
              </w:numPr>
              <w:rPr>
                <w:sz w:val="19"/>
                <w:szCs w:val="19"/>
              </w:rPr>
            </w:pPr>
            <w:r w:rsidRPr="00506507">
              <w:rPr>
                <w:sz w:val="19"/>
                <w:szCs w:val="19"/>
              </w:rPr>
              <w:t xml:space="preserve">Promote renewed collaboration between IAIA and </w:t>
            </w:r>
            <w:proofErr w:type="spellStart"/>
            <w:r w:rsidRPr="00506507">
              <w:rPr>
                <w:sz w:val="19"/>
                <w:szCs w:val="19"/>
              </w:rPr>
              <w:t>MEAs.</w:t>
            </w:r>
            <w:proofErr w:type="spellEnd"/>
          </w:p>
        </w:tc>
      </w:tr>
      <w:tr w:rsidR="00681726" w:rsidRPr="00506507" w14:paraId="64D76E11" w14:textId="77777777" w:rsidTr="00506507">
        <w:trPr>
          <w:jc w:val="center"/>
        </w:trPr>
        <w:tc>
          <w:tcPr>
            <w:tcW w:w="9016" w:type="dxa"/>
            <w:gridSpan w:val="3"/>
            <w:shd w:val="clear" w:color="auto" w:fill="D9D9D9" w:themeFill="background1" w:themeFillShade="D9"/>
          </w:tcPr>
          <w:p w14:paraId="6E20367E" w14:textId="77777777" w:rsidR="00681726" w:rsidRPr="00506507" w:rsidRDefault="00681726" w:rsidP="00681726">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International Energy Agency</w:t>
            </w:r>
          </w:p>
        </w:tc>
      </w:tr>
      <w:tr w:rsidR="00681726" w:rsidRPr="00506507" w14:paraId="64D84E9C" w14:textId="77777777" w:rsidTr="00506507">
        <w:trPr>
          <w:jc w:val="center"/>
        </w:trPr>
        <w:tc>
          <w:tcPr>
            <w:tcW w:w="3005" w:type="dxa"/>
          </w:tcPr>
          <w:p w14:paraId="37A66A67" w14:textId="77777777" w:rsidR="00681726" w:rsidRPr="00506507" w:rsidRDefault="00681726" w:rsidP="00681726">
            <w:pPr>
              <w:rPr>
                <w:sz w:val="19"/>
                <w:szCs w:val="19"/>
              </w:rPr>
            </w:pPr>
            <w:r w:rsidRPr="00506507">
              <w:rPr>
                <w:sz w:val="19"/>
                <w:szCs w:val="19"/>
              </w:rPr>
              <w:t>Guidelines for the mitigation of the construction and decommissioning of hydropower facilities (2006, 2012)</w:t>
            </w:r>
          </w:p>
        </w:tc>
        <w:tc>
          <w:tcPr>
            <w:tcW w:w="3005" w:type="dxa"/>
          </w:tcPr>
          <w:p w14:paraId="064CBE4C" w14:textId="77777777" w:rsidR="00681726" w:rsidRPr="00506507" w:rsidRDefault="00681726" w:rsidP="00681726">
            <w:pPr>
              <w:rPr>
                <w:sz w:val="19"/>
                <w:szCs w:val="19"/>
              </w:rPr>
            </w:pPr>
            <w:r w:rsidRPr="00506507">
              <w:rPr>
                <w:sz w:val="19"/>
                <w:szCs w:val="19"/>
              </w:rPr>
              <w:t>Referred to in “Renewable energy technologies and migratory species: guidelines for sustainable deployment” (AEWA MOP document 6.37, 2015)</w:t>
            </w:r>
          </w:p>
        </w:tc>
        <w:tc>
          <w:tcPr>
            <w:tcW w:w="3006" w:type="dxa"/>
          </w:tcPr>
          <w:p w14:paraId="492D2B06" w14:textId="69DD46BD" w:rsidR="00681726" w:rsidRPr="00506507" w:rsidRDefault="00681726" w:rsidP="00681726">
            <w:pPr>
              <w:pStyle w:val="ListParagraph"/>
              <w:numPr>
                <w:ilvl w:val="0"/>
                <w:numId w:val="30"/>
              </w:numPr>
              <w:rPr>
                <w:sz w:val="19"/>
                <w:szCs w:val="19"/>
              </w:rPr>
            </w:pPr>
            <w:r w:rsidRPr="00506507">
              <w:rPr>
                <w:sz w:val="19"/>
                <w:szCs w:val="19"/>
              </w:rPr>
              <w:t>Assess application of the guidelines.</w:t>
            </w:r>
          </w:p>
        </w:tc>
      </w:tr>
      <w:tr w:rsidR="00681726" w:rsidRPr="00506507" w14:paraId="695C42BE" w14:textId="77777777" w:rsidTr="00506507">
        <w:trPr>
          <w:jc w:val="center"/>
        </w:trPr>
        <w:tc>
          <w:tcPr>
            <w:tcW w:w="9016" w:type="dxa"/>
            <w:gridSpan w:val="3"/>
            <w:shd w:val="clear" w:color="auto" w:fill="D9D9D9" w:themeFill="background1" w:themeFillShade="D9"/>
          </w:tcPr>
          <w:p w14:paraId="594C90CF" w14:textId="77777777" w:rsidR="00681726" w:rsidRPr="00506507" w:rsidRDefault="00681726" w:rsidP="00681726">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World Commission on Dams</w:t>
            </w:r>
          </w:p>
        </w:tc>
      </w:tr>
      <w:tr w:rsidR="00681726" w:rsidRPr="00506507" w14:paraId="6100FDE8" w14:textId="77777777" w:rsidTr="00506507">
        <w:trPr>
          <w:jc w:val="center"/>
        </w:trPr>
        <w:tc>
          <w:tcPr>
            <w:tcW w:w="3005" w:type="dxa"/>
          </w:tcPr>
          <w:p w14:paraId="1379624C" w14:textId="77777777" w:rsidR="00681726" w:rsidRPr="00506507" w:rsidRDefault="00681726" w:rsidP="00681726">
            <w:pPr>
              <w:rPr>
                <w:sz w:val="19"/>
                <w:szCs w:val="19"/>
              </w:rPr>
            </w:pPr>
            <w:r w:rsidRPr="00506507">
              <w:rPr>
                <w:sz w:val="19"/>
                <w:szCs w:val="19"/>
              </w:rPr>
              <w:t>Dams and development: a new framework for decision making (2000)</w:t>
            </w:r>
          </w:p>
        </w:tc>
        <w:tc>
          <w:tcPr>
            <w:tcW w:w="3005" w:type="dxa"/>
          </w:tcPr>
          <w:p w14:paraId="32BCA6F9" w14:textId="77777777" w:rsidR="00681726" w:rsidRPr="00506507" w:rsidRDefault="00681726" w:rsidP="00681726">
            <w:pPr>
              <w:rPr>
                <w:sz w:val="19"/>
                <w:szCs w:val="19"/>
              </w:rPr>
            </w:pPr>
            <w:r w:rsidRPr="00506507">
              <w:rPr>
                <w:sz w:val="19"/>
                <w:szCs w:val="19"/>
              </w:rPr>
              <w:t>Referred to in “Renewable energy technologies and migratory species: guidelines for sustainable deployment” (AEWA MOP document 6.37, 2015)</w:t>
            </w:r>
          </w:p>
        </w:tc>
        <w:tc>
          <w:tcPr>
            <w:tcW w:w="3006" w:type="dxa"/>
          </w:tcPr>
          <w:p w14:paraId="0A5E5C20" w14:textId="0FBD3D17" w:rsidR="00681726" w:rsidRPr="00506507" w:rsidRDefault="00681726" w:rsidP="00681726">
            <w:pPr>
              <w:pStyle w:val="ListParagraph"/>
              <w:numPr>
                <w:ilvl w:val="0"/>
                <w:numId w:val="30"/>
              </w:numPr>
              <w:rPr>
                <w:sz w:val="19"/>
                <w:szCs w:val="19"/>
              </w:rPr>
            </w:pPr>
            <w:r w:rsidRPr="00506507">
              <w:rPr>
                <w:sz w:val="19"/>
                <w:szCs w:val="19"/>
              </w:rPr>
              <w:t>Assess application of the framework.</w:t>
            </w:r>
          </w:p>
        </w:tc>
      </w:tr>
    </w:tbl>
    <w:p w14:paraId="73E781AD" w14:textId="77777777" w:rsidR="007722E8" w:rsidRPr="00506507" w:rsidRDefault="007722E8" w:rsidP="007722E8">
      <w:pPr>
        <w:rPr>
          <w:sz w:val="22"/>
          <w:szCs w:val="22"/>
        </w:rPr>
      </w:pPr>
    </w:p>
    <w:p w14:paraId="1366C5A2" w14:textId="77777777" w:rsidR="007722E8" w:rsidRPr="00506507" w:rsidRDefault="007722E8" w:rsidP="00E1163B">
      <w:pPr>
        <w:jc w:val="both"/>
        <w:rPr>
          <w:sz w:val="22"/>
          <w:szCs w:val="22"/>
        </w:rPr>
      </w:pPr>
      <w:r w:rsidRPr="00506507">
        <w:rPr>
          <w:sz w:val="22"/>
          <w:szCs w:val="22"/>
        </w:rPr>
        <w:t>In addition, some individual Species Action Plans under AEWA may contain relevant ideas.</w:t>
      </w:r>
    </w:p>
    <w:p w14:paraId="68B88E06" w14:textId="77777777" w:rsidR="007722E8" w:rsidRPr="00506507" w:rsidRDefault="007722E8" w:rsidP="007722E8">
      <w:pPr>
        <w:spacing w:after="20"/>
        <w:rPr>
          <w:sz w:val="22"/>
          <w:szCs w:val="22"/>
        </w:rPr>
      </w:pPr>
    </w:p>
    <w:p w14:paraId="0B2D6289" w14:textId="77777777" w:rsidR="007722E8" w:rsidRPr="00506507" w:rsidRDefault="007722E8" w:rsidP="007722E8">
      <w:pPr>
        <w:spacing w:after="20"/>
        <w:rPr>
          <w:b/>
          <w:i/>
          <w:color w:val="003366"/>
          <w:sz w:val="22"/>
          <w:szCs w:val="22"/>
        </w:rPr>
      </w:pPr>
      <w:r w:rsidRPr="00506507">
        <w:rPr>
          <w:b/>
          <w:i/>
          <w:color w:val="003366"/>
          <w:sz w:val="22"/>
          <w:szCs w:val="22"/>
        </w:rPr>
        <w:t xml:space="preserve">  (b) Other relevant contexts</w:t>
      </w:r>
    </w:p>
    <w:p w14:paraId="7856DB4C" w14:textId="77777777" w:rsidR="00460715" w:rsidRPr="00506507" w:rsidRDefault="00460715" w:rsidP="007722E8">
      <w:pPr>
        <w:spacing w:after="20"/>
        <w:rPr>
          <w:sz w:val="22"/>
          <w:szCs w:val="22"/>
        </w:rPr>
      </w:pPr>
    </w:p>
    <w:tbl>
      <w:tblPr>
        <w:tblStyle w:val="TableGrid"/>
        <w:tblW w:w="0" w:type="auto"/>
        <w:jc w:val="center"/>
        <w:tblLook w:val="04A0" w:firstRow="1" w:lastRow="0" w:firstColumn="1" w:lastColumn="0" w:noHBand="0" w:noVBand="1"/>
      </w:tblPr>
      <w:tblGrid>
        <w:gridCol w:w="4531"/>
        <w:gridCol w:w="4485"/>
      </w:tblGrid>
      <w:tr w:rsidR="00673982" w:rsidRPr="00506507" w14:paraId="4133AD10" w14:textId="77777777" w:rsidTr="00E1163B">
        <w:trPr>
          <w:jc w:val="center"/>
        </w:trPr>
        <w:tc>
          <w:tcPr>
            <w:tcW w:w="4531" w:type="dxa"/>
            <w:shd w:val="clear" w:color="auto" w:fill="DEEAF6" w:themeFill="accent1" w:themeFillTint="33"/>
            <w:vAlign w:val="center"/>
          </w:tcPr>
          <w:p w14:paraId="56109129" w14:textId="77777777" w:rsidR="00673982" w:rsidRPr="00506507" w:rsidRDefault="00673982" w:rsidP="002B5FE9">
            <w:pPr>
              <w:jc w:val="center"/>
              <w:rPr>
                <w:b/>
                <w:sz w:val="20"/>
                <w:szCs w:val="20"/>
              </w:rPr>
            </w:pPr>
            <w:r w:rsidRPr="00506507">
              <w:rPr>
                <w:b/>
                <w:sz w:val="20"/>
                <w:szCs w:val="20"/>
              </w:rPr>
              <w:t>Multilateral process / platform</w:t>
            </w:r>
          </w:p>
        </w:tc>
        <w:tc>
          <w:tcPr>
            <w:tcW w:w="4485" w:type="dxa"/>
            <w:shd w:val="clear" w:color="auto" w:fill="DEEAF6" w:themeFill="accent1" w:themeFillTint="33"/>
            <w:vAlign w:val="center"/>
          </w:tcPr>
          <w:p w14:paraId="549DB4F3" w14:textId="77777777" w:rsidR="00673982" w:rsidRPr="00506507" w:rsidRDefault="00673982" w:rsidP="002B5FE9">
            <w:pPr>
              <w:jc w:val="center"/>
              <w:rPr>
                <w:b/>
                <w:sz w:val="20"/>
                <w:szCs w:val="20"/>
              </w:rPr>
            </w:pPr>
            <w:r w:rsidRPr="00506507">
              <w:rPr>
                <w:b/>
                <w:sz w:val="20"/>
                <w:szCs w:val="20"/>
              </w:rPr>
              <w:t>Possible opportunity for influence</w:t>
            </w:r>
          </w:p>
        </w:tc>
      </w:tr>
      <w:tr w:rsidR="00673982" w:rsidRPr="00506507" w14:paraId="1D0AFF37" w14:textId="77777777" w:rsidTr="00E1163B">
        <w:trPr>
          <w:jc w:val="center"/>
        </w:trPr>
        <w:tc>
          <w:tcPr>
            <w:tcW w:w="9016" w:type="dxa"/>
            <w:gridSpan w:val="2"/>
            <w:shd w:val="clear" w:color="auto" w:fill="D9D9D9" w:themeFill="background1" w:themeFillShade="D9"/>
          </w:tcPr>
          <w:p w14:paraId="76831008" w14:textId="77777777" w:rsidR="00673982" w:rsidRPr="00506507" w:rsidRDefault="00673982" w:rsidP="002B5FE9">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Convention on Migratory Species (CMS)</w:t>
            </w:r>
          </w:p>
        </w:tc>
      </w:tr>
      <w:tr w:rsidR="00673982" w:rsidRPr="00506507" w14:paraId="24AC4A7F" w14:textId="77777777" w:rsidTr="00E1163B">
        <w:trPr>
          <w:jc w:val="center"/>
        </w:trPr>
        <w:tc>
          <w:tcPr>
            <w:tcW w:w="4531" w:type="dxa"/>
          </w:tcPr>
          <w:p w14:paraId="49EDA1A5" w14:textId="77777777" w:rsidR="00673982" w:rsidRPr="00506507" w:rsidRDefault="00673982" w:rsidP="002B5FE9">
            <w:pPr>
              <w:rPr>
                <w:sz w:val="19"/>
                <w:szCs w:val="19"/>
              </w:rPr>
            </w:pPr>
            <w:r w:rsidRPr="00506507">
              <w:rPr>
                <w:sz w:val="19"/>
                <w:szCs w:val="19"/>
              </w:rPr>
              <w:t>CMS Resolution 7.2 (Rev.COP12) on Impact assessment and migratory species</w:t>
            </w:r>
          </w:p>
        </w:tc>
        <w:tc>
          <w:tcPr>
            <w:tcW w:w="4485" w:type="dxa"/>
          </w:tcPr>
          <w:p w14:paraId="3C5F076A" w14:textId="77777777" w:rsidR="00673982" w:rsidRPr="00506507" w:rsidRDefault="00673982" w:rsidP="002B5FE9">
            <w:pPr>
              <w:pStyle w:val="ListParagraph"/>
              <w:numPr>
                <w:ilvl w:val="0"/>
                <w:numId w:val="30"/>
              </w:numPr>
              <w:rPr>
                <w:sz w:val="19"/>
                <w:szCs w:val="19"/>
              </w:rPr>
            </w:pPr>
            <w:r w:rsidRPr="00506507">
              <w:rPr>
                <w:sz w:val="19"/>
                <w:szCs w:val="19"/>
              </w:rPr>
              <w:t>CMS Parties accounting for action via national reports.</w:t>
            </w:r>
          </w:p>
        </w:tc>
      </w:tr>
      <w:tr w:rsidR="00673982" w:rsidRPr="00506507" w14:paraId="2A2850DC" w14:textId="77777777" w:rsidTr="00E1163B">
        <w:trPr>
          <w:jc w:val="center"/>
        </w:trPr>
        <w:tc>
          <w:tcPr>
            <w:tcW w:w="4531" w:type="dxa"/>
          </w:tcPr>
          <w:p w14:paraId="00B2AD94" w14:textId="77777777" w:rsidR="00673982" w:rsidRPr="00506507" w:rsidRDefault="00673982" w:rsidP="002B5FE9">
            <w:pPr>
              <w:rPr>
                <w:sz w:val="19"/>
                <w:szCs w:val="19"/>
              </w:rPr>
            </w:pPr>
            <w:r w:rsidRPr="00506507">
              <w:rPr>
                <w:sz w:val="19"/>
                <w:szCs w:val="19"/>
              </w:rPr>
              <w:t>CMS Resolution 10.11 (Rev.COP13, 2020) on Power lines and migratory birds</w:t>
            </w:r>
          </w:p>
        </w:tc>
        <w:tc>
          <w:tcPr>
            <w:tcW w:w="4485" w:type="dxa"/>
          </w:tcPr>
          <w:p w14:paraId="61B9A629" w14:textId="77777777" w:rsidR="00673982" w:rsidRPr="00506507" w:rsidRDefault="00673982" w:rsidP="002B5FE9">
            <w:pPr>
              <w:pStyle w:val="ListParagraph"/>
              <w:numPr>
                <w:ilvl w:val="0"/>
                <w:numId w:val="30"/>
              </w:numPr>
              <w:rPr>
                <w:sz w:val="19"/>
                <w:szCs w:val="19"/>
              </w:rPr>
            </w:pPr>
            <w:r w:rsidRPr="00506507">
              <w:rPr>
                <w:sz w:val="19"/>
                <w:szCs w:val="19"/>
              </w:rPr>
              <w:t xml:space="preserve">Influence implementation by CMS Parties of provisions in the Resolution relating </w:t>
            </w:r>
            <w:r w:rsidRPr="00506507">
              <w:rPr>
                <w:i/>
                <w:sz w:val="19"/>
                <w:szCs w:val="19"/>
              </w:rPr>
              <w:t>inter alia</w:t>
            </w:r>
            <w:r w:rsidRPr="00506507">
              <w:rPr>
                <w:sz w:val="19"/>
                <w:szCs w:val="19"/>
              </w:rPr>
              <w:t xml:space="preserve"> to sensitivity mapping, establishing bird data baselines for mitigating and monitoring and mitigating impacts, and including relevant measures in NBSAPs and legislation.</w:t>
            </w:r>
          </w:p>
        </w:tc>
      </w:tr>
      <w:tr w:rsidR="00673982" w:rsidRPr="00506507" w14:paraId="4F3C24AF" w14:textId="77777777" w:rsidTr="00E1163B">
        <w:trPr>
          <w:jc w:val="center"/>
        </w:trPr>
        <w:tc>
          <w:tcPr>
            <w:tcW w:w="9016" w:type="dxa"/>
            <w:gridSpan w:val="2"/>
            <w:shd w:val="clear" w:color="auto" w:fill="D9D9D9" w:themeFill="background1" w:themeFillShade="D9"/>
          </w:tcPr>
          <w:p w14:paraId="67B2BE51" w14:textId="0ADE7F63" w:rsidR="00673982" w:rsidRPr="00506507" w:rsidRDefault="00673982" w:rsidP="002B5FE9">
            <w:pPr>
              <w:spacing w:before="20" w:after="20"/>
              <w:rPr>
                <w:sz w:val="19"/>
                <w:szCs w:val="19"/>
              </w:rPr>
            </w:pPr>
            <w:r w:rsidRPr="00506507">
              <w:rPr>
                <w:b/>
                <w:i/>
                <w:color w:val="000066"/>
                <w:sz w:val="19"/>
                <w:szCs w:val="19"/>
              </w:rPr>
              <w:t>United Nations Environment Assembly (UNEA)</w:t>
            </w:r>
          </w:p>
        </w:tc>
      </w:tr>
      <w:tr w:rsidR="00673982" w:rsidRPr="00506507" w14:paraId="6C5A8BC8" w14:textId="77777777" w:rsidTr="00E1163B">
        <w:trPr>
          <w:jc w:val="center"/>
        </w:trPr>
        <w:tc>
          <w:tcPr>
            <w:tcW w:w="4531" w:type="dxa"/>
          </w:tcPr>
          <w:p w14:paraId="51581FB2" w14:textId="77777777" w:rsidR="00673982" w:rsidRPr="00506507" w:rsidRDefault="00673982" w:rsidP="002B5FE9">
            <w:pPr>
              <w:rPr>
                <w:sz w:val="19"/>
                <w:szCs w:val="19"/>
              </w:rPr>
            </w:pPr>
            <w:r w:rsidRPr="00506507">
              <w:rPr>
                <w:sz w:val="19"/>
                <w:szCs w:val="19"/>
              </w:rPr>
              <w:t>UNEA Resolution 5/9 (2022) on Sustainable and resilient infrastructure</w:t>
            </w:r>
          </w:p>
        </w:tc>
        <w:tc>
          <w:tcPr>
            <w:tcW w:w="4485" w:type="dxa"/>
          </w:tcPr>
          <w:p w14:paraId="3CC4CC80" w14:textId="77777777" w:rsidR="00673982" w:rsidRPr="00506507" w:rsidRDefault="00673982" w:rsidP="002B5FE9">
            <w:pPr>
              <w:pStyle w:val="ListParagraph"/>
              <w:numPr>
                <w:ilvl w:val="0"/>
                <w:numId w:val="30"/>
              </w:numPr>
              <w:rPr>
                <w:sz w:val="19"/>
                <w:szCs w:val="19"/>
              </w:rPr>
            </w:pPr>
            <w:r w:rsidRPr="00506507">
              <w:rPr>
                <w:sz w:val="19"/>
                <w:szCs w:val="19"/>
              </w:rPr>
              <w:t xml:space="preserve">Invoke the Resolution’s encouragement for integrating UNEP’s </w:t>
            </w:r>
            <w:r w:rsidRPr="00506507">
              <w:rPr>
                <w:i/>
                <w:sz w:val="19"/>
                <w:szCs w:val="19"/>
              </w:rPr>
              <w:t>International Good Practice Principles for Sustainable Infrastructure: Integrated, Systems-Level Approaches for Policymakers</w:t>
            </w:r>
            <w:r w:rsidRPr="00506507">
              <w:rPr>
                <w:sz w:val="19"/>
                <w:szCs w:val="19"/>
              </w:rPr>
              <w:t xml:space="preserve"> (2021) into national legislation, to ensure such integration throughout the Agreement area.</w:t>
            </w:r>
          </w:p>
          <w:p w14:paraId="64E6265C" w14:textId="77777777" w:rsidR="00673982" w:rsidRPr="00506507" w:rsidRDefault="00673982" w:rsidP="002B5FE9">
            <w:pPr>
              <w:pStyle w:val="ListParagraph"/>
              <w:numPr>
                <w:ilvl w:val="0"/>
                <w:numId w:val="30"/>
              </w:numPr>
              <w:rPr>
                <w:sz w:val="19"/>
                <w:szCs w:val="19"/>
              </w:rPr>
            </w:pPr>
            <w:r w:rsidRPr="00506507">
              <w:rPr>
                <w:sz w:val="19"/>
                <w:szCs w:val="19"/>
              </w:rPr>
              <w:t>Oversight of follow-up through future sessions of UNEA.</w:t>
            </w:r>
          </w:p>
        </w:tc>
      </w:tr>
      <w:tr w:rsidR="00673982" w:rsidRPr="00506507" w14:paraId="7BD15EC5" w14:textId="77777777" w:rsidTr="00E1163B">
        <w:trPr>
          <w:jc w:val="center"/>
        </w:trPr>
        <w:tc>
          <w:tcPr>
            <w:tcW w:w="9016" w:type="dxa"/>
            <w:gridSpan w:val="2"/>
            <w:shd w:val="clear" w:color="auto" w:fill="D9D9D9" w:themeFill="background1" w:themeFillShade="D9"/>
          </w:tcPr>
          <w:p w14:paraId="68B17B3A" w14:textId="77777777" w:rsidR="00673982" w:rsidRPr="00506507" w:rsidRDefault="00673982" w:rsidP="002B5FE9">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European Union</w:t>
            </w:r>
          </w:p>
        </w:tc>
      </w:tr>
      <w:tr w:rsidR="00673982" w:rsidRPr="00506507" w14:paraId="343C48A8" w14:textId="77777777" w:rsidTr="00E1163B">
        <w:trPr>
          <w:jc w:val="center"/>
        </w:trPr>
        <w:tc>
          <w:tcPr>
            <w:tcW w:w="4531" w:type="dxa"/>
          </w:tcPr>
          <w:p w14:paraId="2A2DB1B1" w14:textId="77777777" w:rsidR="00673982" w:rsidRPr="00506507" w:rsidRDefault="00673982" w:rsidP="002B5FE9">
            <w:pPr>
              <w:rPr>
                <w:sz w:val="19"/>
                <w:szCs w:val="19"/>
              </w:rPr>
            </w:pPr>
            <w:r w:rsidRPr="00506507">
              <w:rPr>
                <w:sz w:val="19"/>
                <w:szCs w:val="19"/>
              </w:rPr>
              <w:t>European Commission guidance document on Energy transmission infrastructure and EU nature legislation (2019)</w:t>
            </w:r>
          </w:p>
        </w:tc>
        <w:tc>
          <w:tcPr>
            <w:tcW w:w="4485" w:type="dxa"/>
          </w:tcPr>
          <w:p w14:paraId="36068C2C" w14:textId="77777777" w:rsidR="00673982" w:rsidRPr="00506507" w:rsidRDefault="00673982" w:rsidP="002B5FE9">
            <w:pPr>
              <w:pStyle w:val="ListParagraph"/>
              <w:numPr>
                <w:ilvl w:val="0"/>
                <w:numId w:val="30"/>
              </w:numPr>
              <w:rPr>
                <w:sz w:val="19"/>
                <w:szCs w:val="19"/>
              </w:rPr>
            </w:pPr>
            <w:r w:rsidRPr="00506507">
              <w:rPr>
                <w:sz w:val="19"/>
                <w:szCs w:val="19"/>
              </w:rPr>
              <w:t>Promote and monitor implementation in EU countries.</w:t>
            </w:r>
          </w:p>
        </w:tc>
      </w:tr>
    </w:tbl>
    <w:p w14:paraId="220E0D6E" w14:textId="6F1D07FE" w:rsidR="00673982" w:rsidRDefault="00673982" w:rsidP="007722E8">
      <w:pPr>
        <w:spacing w:after="20"/>
        <w:rPr>
          <w:sz w:val="22"/>
          <w:szCs w:val="22"/>
        </w:rPr>
      </w:pPr>
    </w:p>
    <w:p w14:paraId="47C87AE2" w14:textId="711F013F" w:rsidR="00506507" w:rsidRDefault="00506507" w:rsidP="007722E8">
      <w:pPr>
        <w:spacing w:after="20"/>
        <w:rPr>
          <w:sz w:val="22"/>
          <w:szCs w:val="22"/>
        </w:rPr>
      </w:pPr>
    </w:p>
    <w:p w14:paraId="4D7FC339" w14:textId="39714CEE" w:rsidR="00506507" w:rsidRDefault="00506507" w:rsidP="007722E8">
      <w:pPr>
        <w:spacing w:after="20"/>
        <w:rPr>
          <w:sz w:val="22"/>
          <w:szCs w:val="22"/>
        </w:rPr>
      </w:pPr>
    </w:p>
    <w:p w14:paraId="4AA11D87" w14:textId="21F6A06F" w:rsidR="00506507" w:rsidRDefault="00506507" w:rsidP="007722E8">
      <w:pPr>
        <w:spacing w:after="20"/>
        <w:rPr>
          <w:sz w:val="22"/>
          <w:szCs w:val="22"/>
        </w:rPr>
      </w:pPr>
    </w:p>
    <w:p w14:paraId="0D757461" w14:textId="6DFE6D99" w:rsidR="00506507" w:rsidRDefault="00506507" w:rsidP="007722E8">
      <w:pPr>
        <w:spacing w:after="20"/>
        <w:rPr>
          <w:sz w:val="22"/>
          <w:szCs w:val="22"/>
        </w:rPr>
      </w:pPr>
    </w:p>
    <w:p w14:paraId="54BF87E8" w14:textId="77777777" w:rsidR="00506507" w:rsidRPr="00506507" w:rsidRDefault="00506507" w:rsidP="007722E8">
      <w:pPr>
        <w:spacing w:after="20"/>
        <w:rPr>
          <w:sz w:val="22"/>
          <w:szCs w:val="22"/>
        </w:rPr>
      </w:pPr>
    </w:p>
    <w:p w14:paraId="1046D888" w14:textId="77777777" w:rsidR="007722E8" w:rsidRPr="00506507" w:rsidRDefault="007722E8" w:rsidP="007722E8">
      <w:pPr>
        <w:spacing w:after="20"/>
        <w:rPr>
          <w:sz w:val="16"/>
          <w:szCs w:val="16"/>
        </w:rPr>
      </w:pPr>
    </w:p>
    <w:p w14:paraId="08ED94FA" w14:textId="432AE24C" w:rsidR="007722E8" w:rsidRPr="00506507" w:rsidRDefault="007722E8" w:rsidP="00506507">
      <w:pPr>
        <w:shd w:val="clear" w:color="auto" w:fill="DEEAF6" w:themeFill="accent1" w:themeFillTint="33"/>
        <w:spacing w:after="20"/>
        <w:rPr>
          <w:b/>
        </w:rPr>
      </w:pPr>
      <w:r w:rsidRPr="00506507">
        <w:rPr>
          <w:b/>
        </w:rPr>
        <w:lastRenderedPageBreak/>
        <w:t xml:space="preserve">2.  Illegal </w:t>
      </w:r>
      <w:r w:rsidR="00D87692">
        <w:rPr>
          <w:b/>
        </w:rPr>
        <w:t>T</w:t>
      </w:r>
      <w:r w:rsidRPr="00506507">
        <w:rPr>
          <w:b/>
        </w:rPr>
        <w:t xml:space="preserve">aking &amp; </w:t>
      </w:r>
      <w:r w:rsidR="00D87692">
        <w:rPr>
          <w:b/>
        </w:rPr>
        <w:t>K</w:t>
      </w:r>
      <w:r w:rsidRPr="00506507">
        <w:rPr>
          <w:b/>
        </w:rPr>
        <w:t>illing</w:t>
      </w:r>
    </w:p>
    <w:p w14:paraId="1D78FDCF" w14:textId="77777777" w:rsidR="007722E8" w:rsidRPr="00506507" w:rsidRDefault="007722E8" w:rsidP="007722E8">
      <w:pPr>
        <w:spacing w:after="20"/>
        <w:rPr>
          <w:sz w:val="22"/>
          <w:szCs w:val="22"/>
        </w:rPr>
      </w:pPr>
    </w:p>
    <w:p w14:paraId="45ADB083" w14:textId="77777777" w:rsidR="007722E8" w:rsidRPr="00506507" w:rsidRDefault="007722E8" w:rsidP="007722E8">
      <w:pPr>
        <w:spacing w:after="20"/>
        <w:rPr>
          <w:b/>
          <w:i/>
          <w:color w:val="003366"/>
          <w:sz w:val="22"/>
          <w:szCs w:val="22"/>
        </w:rPr>
      </w:pPr>
      <w:r w:rsidRPr="00506507">
        <w:rPr>
          <w:b/>
          <w:i/>
          <w:color w:val="003366"/>
          <w:sz w:val="22"/>
          <w:szCs w:val="22"/>
        </w:rPr>
        <w:t xml:space="preserve">  (a)  Existing AEWA orientations</w:t>
      </w:r>
    </w:p>
    <w:p w14:paraId="335961EA" w14:textId="77777777" w:rsidR="007722E8" w:rsidRPr="00506507" w:rsidRDefault="007722E8" w:rsidP="007722E8">
      <w:pPr>
        <w:spacing w:after="20"/>
        <w:rPr>
          <w:sz w:val="22"/>
          <w:szCs w:val="22"/>
        </w:rPr>
      </w:pPr>
    </w:p>
    <w:p w14:paraId="070E1D10" w14:textId="2087A4C4" w:rsidR="007722E8" w:rsidRPr="00506507" w:rsidRDefault="00F91FFD" w:rsidP="00E1163B">
      <w:pPr>
        <w:spacing w:after="20"/>
        <w:jc w:val="both"/>
        <w:rPr>
          <w:sz w:val="22"/>
          <w:szCs w:val="22"/>
        </w:rPr>
      </w:pPr>
      <w:r w:rsidRPr="00506507">
        <w:rPr>
          <w:sz w:val="22"/>
          <w:szCs w:val="22"/>
        </w:rPr>
        <w:t xml:space="preserve">The </w:t>
      </w:r>
      <w:r w:rsidR="007722E8" w:rsidRPr="00506507">
        <w:rPr>
          <w:sz w:val="22"/>
          <w:szCs w:val="22"/>
        </w:rPr>
        <w:t xml:space="preserve">AEWA </w:t>
      </w:r>
      <w:r w:rsidRPr="00506507">
        <w:rPr>
          <w:sz w:val="22"/>
          <w:szCs w:val="22"/>
        </w:rPr>
        <w:t xml:space="preserve">MOP-adopted </w:t>
      </w:r>
      <w:r w:rsidR="00334B34" w:rsidRPr="00506507">
        <w:rPr>
          <w:sz w:val="22"/>
          <w:szCs w:val="22"/>
        </w:rPr>
        <w:t xml:space="preserve">Conservation </w:t>
      </w:r>
      <w:r w:rsidR="007722E8" w:rsidRPr="00506507">
        <w:rPr>
          <w:sz w:val="22"/>
          <w:szCs w:val="22"/>
        </w:rPr>
        <w:t xml:space="preserve">Guidelines </w:t>
      </w:r>
      <w:r w:rsidRPr="00506507">
        <w:rPr>
          <w:sz w:val="22"/>
          <w:szCs w:val="22"/>
        </w:rPr>
        <w:t xml:space="preserve">No. 6 (2005) on regulating trade in migratory waterbirds </w:t>
      </w:r>
      <w:r w:rsidR="00334B34" w:rsidRPr="00506507">
        <w:rPr>
          <w:sz w:val="22"/>
          <w:szCs w:val="22"/>
        </w:rPr>
        <w:t>(</w:t>
      </w:r>
      <w:hyperlink r:id="rId14" w:history="1">
        <w:r w:rsidRPr="00506507">
          <w:rPr>
            <w:rStyle w:val="Hyperlink"/>
            <w:i/>
            <w:sz w:val="22"/>
            <w:szCs w:val="22"/>
          </w:rPr>
          <w:t>https://www.unep-aewa.org/en/publication/aewa-conservation-guidelines-no-6-guidelines-regulating-trade-migratory-waterbirds-ts-no</w:t>
        </w:r>
      </w:hyperlink>
      <w:r w:rsidRPr="00506507">
        <w:rPr>
          <w:sz w:val="22"/>
          <w:szCs w:val="22"/>
        </w:rPr>
        <w:t xml:space="preserve"> )</w:t>
      </w:r>
      <w:r w:rsidR="007722E8" w:rsidRPr="00506507">
        <w:rPr>
          <w:sz w:val="22"/>
          <w:szCs w:val="22"/>
        </w:rPr>
        <w:t xml:space="preserve"> identified </w:t>
      </w:r>
      <w:r w:rsidR="00387089" w:rsidRPr="00506507">
        <w:rPr>
          <w:sz w:val="22"/>
          <w:szCs w:val="22"/>
        </w:rPr>
        <w:t xml:space="preserve">some </w:t>
      </w:r>
      <w:r w:rsidR="007722E8" w:rsidRPr="00506507">
        <w:rPr>
          <w:sz w:val="22"/>
          <w:szCs w:val="22"/>
        </w:rPr>
        <w:t xml:space="preserve">multilateral processes/platforms that may offer entry-points for influence.  These </w:t>
      </w:r>
      <w:r w:rsidR="00387089" w:rsidRPr="00506507">
        <w:rPr>
          <w:sz w:val="22"/>
          <w:szCs w:val="22"/>
        </w:rPr>
        <w:t xml:space="preserve">and some others </w:t>
      </w:r>
      <w:r w:rsidR="007722E8" w:rsidRPr="00506507">
        <w:rPr>
          <w:sz w:val="22"/>
          <w:szCs w:val="22"/>
        </w:rPr>
        <w:t>are summarised in the table below.</w:t>
      </w:r>
    </w:p>
    <w:p w14:paraId="437D9420" w14:textId="77777777" w:rsidR="007722E8" w:rsidRPr="00506507" w:rsidRDefault="007722E8" w:rsidP="007722E8">
      <w:pPr>
        <w:rPr>
          <w:sz w:val="22"/>
          <w:szCs w:val="22"/>
        </w:rPr>
      </w:pPr>
    </w:p>
    <w:p w14:paraId="43A87AFF" w14:textId="77777777" w:rsidR="007722E8" w:rsidRPr="00506507" w:rsidRDefault="007722E8" w:rsidP="007722E8">
      <w:pPr>
        <w:rPr>
          <w:sz w:val="8"/>
          <w:szCs w:val="8"/>
        </w:rPr>
      </w:pPr>
    </w:p>
    <w:tbl>
      <w:tblPr>
        <w:tblStyle w:val="TableGrid"/>
        <w:tblW w:w="0" w:type="auto"/>
        <w:jc w:val="center"/>
        <w:tblLook w:val="04A0" w:firstRow="1" w:lastRow="0" w:firstColumn="1" w:lastColumn="0" w:noHBand="0" w:noVBand="1"/>
      </w:tblPr>
      <w:tblGrid>
        <w:gridCol w:w="3005"/>
        <w:gridCol w:w="3005"/>
        <w:gridCol w:w="3006"/>
      </w:tblGrid>
      <w:tr w:rsidR="007722E8" w:rsidRPr="00506507" w14:paraId="40A62632" w14:textId="77777777" w:rsidTr="00E1163B">
        <w:trPr>
          <w:jc w:val="center"/>
        </w:trPr>
        <w:tc>
          <w:tcPr>
            <w:tcW w:w="3005" w:type="dxa"/>
            <w:shd w:val="clear" w:color="auto" w:fill="DEEAF6" w:themeFill="accent1" w:themeFillTint="33"/>
            <w:vAlign w:val="center"/>
          </w:tcPr>
          <w:p w14:paraId="31836DA4" w14:textId="77777777" w:rsidR="007722E8" w:rsidRPr="00506507" w:rsidRDefault="007722E8" w:rsidP="005F7185">
            <w:pPr>
              <w:jc w:val="center"/>
              <w:rPr>
                <w:b/>
                <w:sz w:val="20"/>
                <w:szCs w:val="20"/>
              </w:rPr>
            </w:pPr>
            <w:r w:rsidRPr="00506507">
              <w:rPr>
                <w:b/>
                <w:sz w:val="20"/>
                <w:szCs w:val="20"/>
              </w:rPr>
              <w:t>Multilateral process / platform</w:t>
            </w:r>
          </w:p>
        </w:tc>
        <w:tc>
          <w:tcPr>
            <w:tcW w:w="3005" w:type="dxa"/>
            <w:shd w:val="clear" w:color="auto" w:fill="DEEAF6" w:themeFill="accent1" w:themeFillTint="33"/>
            <w:vAlign w:val="center"/>
          </w:tcPr>
          <w:p w14:paraId="1A1200BA" w14:textId="77777777" w:rsidR="007722E8" w:rsidRPr="00506507" w:rsidRDefault="007722E8" w:rsidP="005F7185">
            <w:pPr>
              <w:jc w:val="center"/>
              <w:rPr>
                <w:b/>
                <w:sz w:val="20"/>
                <w:szCs w:val="20"/>
              </w:rPr>
            </w:pPr>
            <w:r w:rsidRPr="00506507">
              <w:rPr>
                <w:b/>
                <w:sz w:val="20"/>
                <w:szCs w:val="20"/>
              </w:rPr>
              <w:t>Where identified by AEWA</w:t>
            </w:r>
          </w:p>
        </w:tc>
        <w:tc>
          <w:tcPr>
            <w:tcW w:w="3006" w:type="dxa"/>
            <w:shd w:val="clear" w:color="auto" w:fill="DEEAF6" w:themeFill="accent1" w:themeFillTint="33"/>
            <w:vAlign w:val="center"/>
          </w:tcPr>
          <w:p w14:paraId="3FB2925F" w14:textId="77777777" w:rsidR="007722E8" w:rsidRPr="00506507" w:rsidRDefault="007722E8" w:rsidP="005F7185">
            <w:pPr>
              <w:jc w:val="center"/>
              <w:rPr>
                <w:b/>
                <w:sz w:val="20"/>
                <w:szCs w:val="20"/>
              </w:rPr>
            </w:pPr>
            <w:r w:rsidRPr="00506507">
              <w:rPr>
                <w:b/>
                <w:sz w:val="20"/>
                <w:szCs w:val="20"/>
              </w:rPr>
              <w:t>Possible opportunity for influence</w:t>
            </w:r>
          </w:p>
        </w:tc>
      </w:tr>
      <w:tr w:rsidR="007722E8" w:rsidRPr="00506507" w14:paraId="3CC0A903" w14:textId="77777777" w:rsidTr="00E1163B">
        <w:trPr>
          <w:jc w:val="center"/>
        </w:trPr>
        <w:tc>
          <w:tcPr>
            <w:tcW w:w="9016" w:type="dxa"/>
            <w:gridSpan w:val="3"/>
            <w:shd w:val="clear" w:color="auto" w:fill="D9D9D9" w:themeFill="background1" w:themeFillShade="D9"/>
          </w:tcPr>
          <w:p w14:paraId="41142448" w14:textId="77777777" w:rsidR="007722E8" w:rsidRPr="00506507" w:rsidRDefault="007722E8" w:rsidP="005F7185">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Convention on International Trade in Endangered Species (CITES)</w:t>
            </w:r>
          </w:p>
        </w:tc>
      </w:tr>
      <w:tr w:rsidR="007722E8" w:rsidRPr="00506507" w14:paraId="7D69DD14" w14:textId="77777777" w:rsidTr="00E1163B">
        <w:trPr>
          <w:jc w:val="center"/>
        </w:trPr>
        <w:tc>
          <w:tcPr>
            <w:tcW w:w="3005" w:type="dxa"/>
          </w:tcPr>
          <w:p w14:paraId="46209D2C" w14:textId="77777777" w:rsidR="007722E8" w:rsidRPr="00506507" w:rsidRDefault="007722E8" w:rsidP="005F7185">
            <w:pPr>
              <w:rPr>
                <w:sz w:val="19"/>
                <w:szCs w:val="19"/>
              </w:rPr>
            </w:pPr>
            <w:r w:rsidRPr="00506507">
              <w:rPr>
                <w:sz w:val="19"/>
                <w:szCs w:val="19"/>
              </w:rPr>
              <w:t>Where international trade affects migratory waterbirds, CITES (via UNEP-WCMC) provides the best source of data on this problem.  (Only small numbers of migratory waterbirds are affected in the AEWA area however, with domestic trade being much more significant.  Data are also based only on CITES-listed species, and they exclude pre-export mortality, which may be significant).</w:t>
            </w:r>
          </w:p>
        </w:tc>
        <w:tc>
          <w:tcPr>
            <w:tcW w:w="3005" w:type="dxa"/>
          </w:tcPr>
          <w:p w14:paraId="6C3A8CF4" w14:textId="77777777" w:rsidR="007722E8" w:rsidRPr="00506507" w:rsidRDefault="007722E8" w:rsidP="005F7185">
            <w:pPr>
              <w:rPr>
                <w:sz w:val="19"/>
                <w:szCs w:val="19"/>
              </w:rPr>
            </w:pPr>
            <w:r w:rsidRPr="00506507">
              <w:rPr>
                <w:sz w:val="19"/>
                <w:szCs w:val="19"/>
              </w:rPr>
              <w:t>Referred to in AEWA Conservation Guidelines No. 6 (2005) on regulating trade in migratory waterbirds</w:t>
            </w:r>
          </w:p>
        </w:tc>
        <w:tc>
          <w:tcPr>
            <w:tcW w:w="3006" w:type="dxa"/>
          </w:tcPr>
          <w:p w14:paraId="1D3E6308" w14:textId="3EBDEAF5" w:rsidR="007722E8" w:rsidRPr="00506507" w:rsidRDefault="0080675B" w:rsidP="0080675B">
            <w:pPr>
              <w:pStyle w:val="ListParagraph"/>
              <w:numPr>
                <w:ilvl w:val="0"/>
                <w:numId w:val="30"/>
              </w:numPr>
              <w:rPr>
                <w:sz w:val="19"/>
                <w:szCs w:val="19"/>
              </w:rPr>
            </w:pPr>
            <w:r w:rsidRPr="00506507">
              <w:rPr>
                <w:sz w:val="19"/>
                <w:szCs w:val="19"/>
              </w:rPr>
              <w:t>Reporting and assessment of CITES implementation data.</w:t>
            </w:r>
          </w:p>
        </w:tc>
      </w:tr>
      <w:tr w:rsidR="007722E8" w:rsidRPr="00506507" w14:paraId="6B1DF002" w14:textId="77777777" w:rsidTr="00E1163B">
        <w:trPr>
          <w:jc w:val="center"/>
        </w:trPr>
        <w:tc>
          <w:tcPr>
            <w:tcW w:w="3005" w:type="dxa"/>
          </w:tcPr>
          <w:p w14:paraId="61534ACA" w14:textId="2E443E81" w:rsidR="007722E8" w:rsidRPr="00506507" w:rsidRDefault="00B226BD" w:rsidP="00B226BD">
            <w:pPr>
              <w:rPr>
                <w:sz w:val="19"/>
                <w:szCs w:val="19"/>
              </w:rPr>
            </w:pPr>
            <w:r w:rsidRPr="00506507">
              <w:rPr>
                <w:sz w:val="19"/>
                <w:szCs w:val="19"/>
              </w:rPr>
              <w:t>CITES Parties required to regulate trade in Appendix-listed species</w:t>
            </w:r>
          </w:p>
        </w:tc>
        <w:tc>
          <w:tcPr>
            <w:tcW w:w="3005" w:type="dxa"/>
          </w:tcPr>
          <w:p w14:paraId="53691168" w14:textId="0B1EADE3" w:rsidR="007722E8" w:rsidRPr="00506507" w:rsidRDefault="007722E8" w:rsidP="00B226BD">
            <w:pPr>
              <w:rPr>
                <w:sz w:val="19"/>
                <w:szCs w:val="19"/>
              </w:rPr>
            </w:pPr>
            <w:r w:rsidRPr="00506507">
              <w:rPr>
                <w:sz w:val="19"/>
                <w:szCs w:val="19"/>
              </w:rPr>
              <w:t>AEWA Conservation Guidelines No. 6 (2005) on regulating trade in migratory waterbirds</w:t>
            </w:r>
            <w:r w:rsidR="00B226BD" w:rsidRPr="00506507">
              <w:rPr>
                <w:sz w:val="19"/>
                <w:szCs w:val="19"/>
              </w:rPr>
              <w:t xml:space="preserve"> recommends that States join CITES, to monitor and regulate trade in endangered and vulnerable species</w:t>
            </w:r>
          </w:p>
        </w:tc>
        <w:tc>
          <w:tcPr>
            <w:tcW w:w="3006" w:type="dxa"/>
          </w:tcPr>
          <w:p w14:paraId="29611BBA" w14:textId="77777777" w:rsidR="007722E8" w:rsidRPr="00506507" w:rsidRDefault="007722E8" w:rsidP="0080675B">
            <w:pPr>
              <w:pStyle w:val="ListParagraph"/>
              <w:numPr>
                <w:ilvl w:val="0"/>
                <w:numId w:val="30"/>
              </w:numPr>
              <w:rPr>
                <w:sz w:val="19"/>
                <w:szCs w:val="19"/>
              </w:rPr>
            </w:pPr>
            <w:r w:rsidRPr="00506507">
              <w:rPr>
                <w:sz w:val="19"/>
                <w:szCs w:val="19"/>
              </w:rPr>
              <w:t>Join the Convention, if not already a Party</w:t>
            </w:r>
            <w:r w:rsidR="0080675B" w:rsidRPr="00506507">
              <w:rPr>
                <w:sz w:val="19"/>
                <w:szCs w:val="19"/>
              </w:rPr>
              <w:t>.</w:t>
            </w:r>
          </w:p>
          <w:p w14:paraId="00CD9D73" w14:textId="3066DE43" w:rsidR="0080675B" w:rsidRPr="00506507" w:rsidRDefault="0080675B" w:rsidP="0080675B">
            <w:pPr>
              <w:pStyle w:val="ListParagraph"/>
              <w:numPr>
                <w:ilvl w:val="0"/>
                <w:numId w:val="30"/>
              </w:numPr>
              <w:rPr>
                <w:sz w:val="19"/>
                <w:szCs w:val="19"/>
              </w:rPr>
            </w:pPr>
            <w:r w:rsidRPr="00506507">
              <w:rPr>
                <w:sz w:val="19"/>
                <w:szCs w:val="19"/>
              </w:rPr>
              <w:t>Mechanisms to ensure/ improve compliance.</w:t>
            </w:r>
          </w:p>
        </w:tc>
      </w:tr>
      <w:tr w:rsidR="007722E8" w:rsidRPr="00506507" w14:paraId="60902B35" w14:textId="77777777" w:rsidTr="00E1163B">
        <w:trPr>
          <w:jc w:val="center"/>
        </w:trPr>
        <w:tc>
          <w:tcPr>
            <w:tcW w:w="3005" w:type="dxa"/>
          </w:tcPr>
          <w:p w14:paraId="768D7582" w14:textId="260C19F1" w:rsidR="007722E8" w:rsidRPr="00506507" w:rsidRDefault="007722E8" w:rsidP="000B76CF">
            <w:pPr>
              <w:rPr>
                <w:sz w:val="19"/>
                <w:szCs w:val="19"/>
              </w:rPr>
            </w:pPr>
            <w:r w:rsidRPr="00506507">
              <w:rPr>
                <w:sz w:val="19"/>
                <w:szCs w:val="19"/>
              </w:rPr>
              <w:t xml:space="preserve">CITES species listings are dynamic, and Parties need to keep them up to date.  Twelve species with the highest conservation status in the AEWA Action Plan (Category 1, Column A, Table 1) and 3 species listed in Appendix I of CMS, </w:t>
            </w:r>
            <w:r w:rsidR="000B76CF" w:rsidRPr="00506507">
              <w:rPr>
                <w:sz w:val="19"/>
                <w:szCs w:val="19"/>
              </w:rPr>
              <w:t>were not</w:t>
            </w:r>
            <w:r w:rsidRPr="00506507">
              <w:rPr>
                <w:sz w:val="19"/>
                <w:szCs w:val="19"/>
              </w:rPr>
              <w:t xml:space="preserve"> listed</w:t>
            </w:r>
            <w:r w:rsidR="000B76CF" w:rsidRPr="00506507">
              <w:rPr>
                <w:sz w:val="19"/>
                <w:szCs w:val="19"/>
              </w:rPr>
              <w:t xml:space="preserve"> at the time of the 2005 Guidelines referred to here (position requires updating)</w:t>
            </w:r>
          </w:p>
        </w:tc>
        <w:tc>
          <w:tcPr>
            <w:tcW w:w="3005" w:type="dxa"/>
          </w:tcPr>
          <w:p w14:paraId="2BE2007A" w14:textId="77777777" w:rsidR="007722E8" w:rsidRPr="00506507" w:rsidRDefault="007722E8" w:rsidP="005F7185">
            <w:pPr>
              <w:rPr>
                <w:sz w:val="19"/>
                <w:szCs w:val="19"/>
              </w:rPr>
            </w:pPr>
            <w:r w:rsidRPr="00506507">
              <w:rPr>
                <w:sz w:val="19"/>
                <w:szCs w:val="19"/>
              </w:rPr>
              <w:t>Mentioned to in AEWA Conservation Guidelines No. 6 (2005) on regulating trade in migratory waterbirds</w:t>
            </w:r>
          </w:p>
        </w:tc>
        <w:tc>
          <w:tcPr>
            <w:tcW w:w="3006" w:type="dxa"/>
          </w:tcPr>
          <w:p w14:paraId="183912BA" w14:textId="0FFF139C" w:rsidR="007722E8" w:rsidRPr="00506507" w:rsidRDefault="0080675B" w:rsidP="0080675B">
            <w:pPr>
              <w:pStyle w:val="ListParagraph"/>
              <w:numPr>
                <w:ilvl w:val="0"/>
                <w:numId w:val="30"/>
              </w:numPr>
              <w:rPr>
                <w:sz w:val="19"/>
                <w:szCs w:val="19"/>
              </w:rPr>
            </w:pPr>
            <w:r w:rsidRPr="00506507">
              <w:rPr>
                <w:sz w:val="19"/>
                <w:szCs w:val="19"/>
              </w:rPr>
              <w:t>Align CITES species listings with AEWA priorities.</w:t>
            </w:r>
          </w:p>
        </w:tc>
      </w:tr>
      <w:tr w:rsidR="007722E8" w:rsidRPr="00506507" w14:paraId="5E5D64A1" w14:textId="77777777" w:rsidTr="00E1163B">
        <w:trPr>
          <w:jc w:val="center"/>
        </w:trPr>
        <w:tc>
          <w:tcPr>
            <w:tcW w:w="9016" w:type="dxa"/>
            <w:gridSpan w:val="3"/>
            <w:shd w:val="clear" w:color="auto" w:fill="D9D9D9" w:themeFill="background1" w:themeFillShade="D9"/>
          </w:tcPr>
          <w:p w14:paraId="15D66E97" w14:textId="33019AD5" w:rsidR="007722E8" w:rsidRPr="00506507" w:rsidRDefault="007722E8" w:rsidP="00387089">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w:t>
            </w:r>
            <w:r w:rsidR="00387089" w:rsidRPr="00506507">
              <w:rPr>
                <w:b/>
                <w:i/>
                <w:color w:val="000066"/>
                <w:sz w:val="19"/>
                <w:szCs w:val="19"/>
              </w:rPr>
              <w:t>Convention on Migratory Species (CMS)</w:t>
            </w:r>
          </w:p>
        </w:tc>
      </w:tr>
      <w:tr w:rsidR="007722E8" w:rsidRPr="00506507" w14:paraId="370D7B9C" w14:textId="77777777" w:rsidTr="00E1163B">
        <w:trPr>
          <w:jc w:val="center"/>
        </w:trPr>
        <w:tc>
          <w:tcPr>
            <w:tcW w:w="3005" w:type="dxa"/>
          </w:tcPr>
          <w:p w14:paraId="3FEA6328" w14:textId="361578EA" w:rsidR="007722E8" w:rsidRPr="00506507" w:rsidRDefault="00387089" w:rsidP="005F7185">
            <w:pPr>
              <w:rPr>
                <w:sz w:val="19"/>
                <w:szCs w:val="19"/>
              </w:rPr>
            </w:pPr>
            <w:r w:rsidRPr="00506507">
              <w:rPr>
                <w:color w:val="000000"/>
                <w:sz w:val="19"/>
                <w:szCs w:val="19"/>
              </w:rPr>
              <w:t>Intergovernmental Task Force on Illegal Killing, Taking and Trade of Migratory Birds in the Mediterranean (MIKT) established</w:t>
            </w:r>
            <w:r w:rsidR="00B226BD" w:rsidRPr="00506507">
              <w:rPr>
                <w:color w:val="000000"/>
                <w:sz w:val="19"/>
                <w:szCs w:val="19"/>
              </w:rPr>
              <w:t xml:space="preserve"> under CMS COP Resolution 11.16, 2014 (Rev. COP13, 2020) on the illegal killing, taking and trade of migratory birds (IKB)</w:t>
            </w:r>
          </w:p>
        </w:tc>
        <w:tc>
          <w:tcPr>
            <w:tcW w:w="3005" w:type="dxa"/>
          </w:tcPr>
          <w:p w14:paraId="1DEADA3D" w14:textId="05AE61DD" w:rsidR="007722E8" w:rsidRPr="00506507" w:rsidRDefault="00B226BD" w:rsidP="005F7185">
            <w:pPr>
              <w:rPr>
                <w:sz w:val="19"/>
                <w:szCs w:val="19"/>
              </w:rPr>
            </w:pPr>
            <w:r w:rsidRPr="00506507">
              <w:rPr>
                <w:sz w:val="19"/>
                <w:szCs w:val="19"/>
              </w:rPr>
              <w:t>Task Force convened by the CMS Secretariat in conjunction with the AEWA Secretariat and others.</w:t>
            </w:r>
            <w:r w:rsidRPr="00506507">
              <w:t xml:space="preserve">  </w:t>
            </w:r>
            <w:r w:rsidR="007722E8" w:rsidRPr="00506507">
              <w:rPr>
                <w:sz w:val="19"/>
                <w:szCs w:val="19"/>
              </w:rPr>
              <w:t>Referred to in the Plan of Action to address bird trapping along the Mediterranean coasts of Egypt and Libya (2014)</w:t>
            </w:r>
          </w:p>
        </w:tc>
        <w:tc>
          <w:tcPr>
            <w:tcW w:w="3006" w:type="dxa"/>
          </w:tcPr>
          <w:p w14:paraId="55C30E6E" w14:textId="7376941E" w:rsidR="007722E8" w:rsidRPr="00506507" w:rsidRDefault="0080675B" w:rsidP="0080675B">
            <w:pPr>
              <w:pStyle w:val="ListParagraph"/>
              <w:numPr>
                <w:ilvl w:val="0"/>
                <w:numId w:val="30"/>
              </w:numPr>
              <w:rPr>
                <w:sz w:val="19"/>
                <w:szCs w:val="19"/>
              </w:rPr>
            </w:pPr>
            <w:r w:rsidRPr="00506507">
              <w:rPr>
                <w:sz w:val="19"/>
                <w:szCs w:val="19"/>
              </w:rPr>
              <w:t>Influence the agenda and work of the Task Force.</w:t>
            </w:r>
          </w:p>
        </w:tc>
      </w:tr>
      <w:tr w:rsidR="007722E8" w:rsidRPr="00506507" w14:paraId="075A4EEC" w14:textId="77777777" w:rsidTr="00E1163B">
        <w:trPr>
          <w:jc w:val="center"/>
        </w:trPr>
        <w:tc>
          <w:tcPr>
            <w:tcW w:w="3005" w:type="dxa"/>
          </w:tcPr>
          <w:p w14:paraId="1B4BEDDC" w14:textId="77777777" w:rsidR="007722E8" w:rsidRPr="00506507" w:rsidRDefault="007722E8" w:rsidP="005F7185">
            <w:pPr>
              <w:rPr>
                <w:sz w:val="19"/>
                <w:szCs w:val="19"/>
              </w:rPr>
            </w:pPr>
            <w:r w:rsidRPr="00506507">
              <w:rPr>
                <w:color w:val="000000"/>
                <w:sz w:val="19"/>
                <w:szCs w:val="19"/>
              </w:rPr>
              <w:t>Funding to be provided by members of the Task Force (see above) as feasible, or to be raised from governments and other donors</w:t>
            </w:r>
          </w:p>
        </w:tc>
        <w:tc>
          <w:tcPr>
            <w:tcW w:w="3005" w:type="dxa"/>
          </w:tcPr>
          <w:p w14:paraId="4AF0D0C3" w14:textId="77777777" w:rsidR="007722E8" w:rsidRPr="00506507" w:rsidRDefault="007722E8" w:rsidP="005F7185">
            <w:pPr>
              <w:rPr>
                <w:sz w:val="19"/>
                <w:szCs w:val="19"/>
              </w:rPr>
            </w:pPr>
            <w:r w:rsidRPr="00506507">
              <w:rPr>
                <w:sz w:val="19"/>
                <w:szCs w:val="19"/>
              </w:rPr>
              <w:t>For implementation of the Plan of Action to address bird trapping along the Mediterranean coasts of Egypt and Libya (2014) (mentioned ion the Action Plan)</w:t>
            </w:r>
          </w:p>
        </w:tc>
        <w:tc>
          <w:tcPr>
            <w:tcW w:w="3006" w:type="dxa"/>
          </w:tcPr>
          <w:p w14:paraId="13859964" w14:textId="416EA79B" w:rsidR="007722E8" w:rsidRPr="00506507" w:rsidRDefault="0080675B" w:rsidP="0080675B">
            <w:pPr>
              <w:pStyle w:val="ListParagraph"/>
              <w:numPr>
                <w:ilvl w:val="0"/>
                <w:numId w:val="30"/>
              </w:numPr>
              <w:rPr>
                <w:sz w:val="19"/>
                <w:szCs w:val="19"/>
              </w:rPr>
            </w:pPr>
            <w:r w:rsidRPr="00506507">
              <w:rPr>
                <w:sz w:val="19"/>
                <w:szCs w:val="19"/>
              </w:rPr>
              <w:t>Press for adequate provision of funding.</w:t>
            </w:r>
          </w:p>
        </w:tc>
      </w:tr>
      <w:tr w:rsidR="007722E8" w:rsidRPr="00506507" w14:paraId="4246EFB1" w14:textId="77777777" w:rsidTr="00E1163B">
        <w:trPr>
          <w:jc w:val="center"/>
        </w:trPr>
        <w:tc>
          <w:tcPr>
            <w:tcW w:w="3005" w:type="dxa"/>
          </w:tcPr>
          <w:p w14:paraId="2E92730D" w14:textId="77777777" w:rsidR="007722E8" w:rsidRPr="00506507" w:rsidRDefault="007722E8" w:rsidP="005F7185">
            <w:pPr>
              <w:rPr>
                <w:sz w:val="19"/>
                <w:szCs w:val="19"/>
              </w:rPr>
            </w:pPr>
            <w:r w:rsidRPr="00506507">
              <w:rPr>
                <w:sz w:val="19"/>
                <w:szCs w:val="19"/>
              </w:rPr>
              <w:t xml:space="preserve">Research on socioeconomics of bird trapping, with methodology coordinated with </w:t>
            </w:r>
            <w:r w:rsidRPr="00506507">
              <w:rPr>
                <w:color w:val="000000"/>
                <w:sz w:val="19"/>
                <w:szCs w:val="19"/>
              </w:rPr>
              <w:t>EEAA EGA, BirdLife International, NCE and LSB</w:t>
            </w:r>
          </w:p>
        </w:tc>
        <w:tc>
          <w:tcPr>
            <w:tcW w:w="3005" w:type="dxa"/>
          </w:tcPr>
          <w:p w14:paraId="43547FDB" w14:textId="77777777" w:rsidR="007722E8" w:rsidRPr="00506507" w:rsidRDefault="007722E8" w:rsidP="005F7185">
            <w:pPr>
              <w:rPr>
                <w:sz w:val="19"/>
                <w:szCs w:val="19"/>
              </w:rPr>
            </w:pPr>
            <w:r w:rsidRPr="00506507">
              <w:rPr>
                <w:sz w:val="19"/>
                <w:szCs w:val="19"/>
              </w:rPr>
              <w:t>Result 1.2 in the Plan of Action to address bird trapping along the Mediterranean coasts of Egypt and Libya (2014)</w:t>
            </w:r>
          </w:p>
        </w:tc>
        <w:tc>
          <w:tcPr>
            <w:tcW w:w="3006" w:type="dxa"/>
          </w:tcPr>
          <w:p w14:paraId="1BB9CF00" w14:textId="49E2188D" w:rsidR="007722E8" w:rsidRPr="00506507" w:rsidRDefault="004C5EEF" w:rsidP="004C5EEF">
            <w:pPr>
              <w:pStyle w:val="ListParagraph"/>
              <w:numPr>
                <w:ilvl w:val="0"/>
                <w:numId w:val="30"/>
              </w:numPr>
              <w:rPr>
                <w:sz w:val="19"/>
                <w:szCs w:val="19"/>
              </w:rPr>
            </w:pPr>
            <w:r w:rsidRPr="00506507">
              <w:rPr>
                <w:sz w:val="19"/>
                <w:szCs w:val="19"/>
              </w:rPr>
              <w:t>Complete the analysis and publication of the data collected for Egypt and Libya.  Invite cooperation to pursue application of the same approach in sub-Saharan Africa and the Arctic.</w:t>
            </w:r>
          </w:p>
        </w:tc>
      </w:tr>
      <w:tr w:rsidR="007722E8" w:rsidRPr="00506507" w14:paraId="6E7908AF" w14:textId="77777777" w:rsidTr="00E1163B">
        <w:trPr>
          <w:jc w:val="center"/>
        </w:trPr>
        <w:tc>
          <w:tcPr>
            <w:tcW w:w="3005" w:type="dxa"/>
          </w:tcPr>
          <w:p w14:paraId="36663816" w14:textId="77777777" w:rsidR="007722E8" w:rsidRPr="00506507" w:rsidRDefault="007722E8" w:rsidP="005F7185">
            <w:pPr>
              <w:rPr>
                <w:sz w:val="19"/>
                <w:szCs w:val="19"/>
              </w:rPr>
            </w:pPr>
            <w:r w:rsidRPr="00506507">
              <w:rPr>
                <w:sz w:val="19"/>
                <w:szCs w:val="19"/>
              </w:rPr>
              <w:lastRenderedPageBreak/>
              <w:t>(International) identification of migration patterns of (selected) trapped species</w:t>
            </w:r>
          </w:p>
        </w:tc>
        <w:tc>
          <w:tcPr>
            <w:tcW w:w="3005" w:type="dxa"/>
          </w:tcPr>
          <w:p w14:paraId="0A827538" w14:textId="77777777" w:rsidR="007722E8" w:rsidRPr="00506507" w:rsidRDefault="007722E8" w:rsidP="005F7185">
            <w:pPr>
              <w:rPr>
                <w:sz w:val="19"/>
                <w:szCs w:val="19"/>
              </w:rPr>
            </w:pPr>
            <w:r w:rsidRPr="00506507">
              <w:rPr>
                <w:sz w:val="19"/>
                <w:szCs w:val="19"/>
              </w:rPr>
              <w:t>Result 1.5 in the Plan of Action to address bird trapping along the Mediterranean coasts of Egypt and Libya (2014)</w:t>
            </w:r>
          </w:p>
        </w:tc>
        <w:tc>
          <w:tcPr>
            <w:tcW w:w="3006" w:type="dxa"/>
          </w:tcPr>
          <w:p w14:paraId="49D794EC" w14:textId="6F5EB567" w:rsidR="007722E8" w:rsidRPr="00506507" w:rsidRDefault="00084207" w:rsidP="00084207">
            <w:pPr>
              <w:pStyle w:val="ListParagraph"/>
              <w:numPr>
                <w:ilvl w:val="0"/>
                <w:numId w:val="30"/>
              </w:numPr>
              <w:rPr>
                <w:sz w:val="19"/>
                <w:szCs w:val="19"/>
              </w:rPr>
            </w:pPr>
            <w:r w:rsidRPr="00506507">
              <w:rPr>
                <w:sz w:val="19"/>
                <w:szCs w:val="19"/>
              </w:rPr>
              <w:t>Promote further research work.</w:t>
            </w:r>
          </w:p>
        </w:tc>
      </w:tr>
      <w:tr w:rsidR="007722E8" w:rsidRPr="00506507" w14:paraId="786B7A2C" w14:textId="77777777" w:rsidTr="00E1163B">
        <w:trPr>
          <w:jc w:val="center"/>
        </w:trPr>
        <w:tc>
          <w:tcPr>
            <w:tcW w:w="3005" w:type="dxa"/>
          </w:tcPr>
          <w:p w14:paraId="344F1171" w14:textId="77777777" w:rsidR="007722E8" w:rsidRPr="00506507" w:rsidRDefault="007722E8" w:rsidP="005F7185">
            <w:pPr>
              <w:rPr>
                <w:sz w:val="19"/>
                <w:szCs w:val="19"/>
              </w:rPr>
            </w:pPr>
            <w:r w:rsidRPr="00506507">
              <w:rPr>
                <w:sz w:val="19"/>
                <w:szCs w:val="19"/>
              </w:rPr>
              <w:t xml:space="preserve">Pooling lessons learned from initiatives addressing </w:t>
            </w:r>
            <w:r w:rsidRPr="00506507">
              <w:rPr>
                <w:color w:val="000000"/>
                <w:sz w:val="19"/>
                <w:szCs w:val="19"/>
              </w:rPr>
              <w:t>bird trapping in the Mediterranean basin and other regions</w:t>
            </w:r>
          </w:p>
        </w:tc>
        <w:tc>
          <w:tcPr>
            <w:tcW w:w="3005" w:type="dxa"/>
          </w:tcPr>
          <w:p w14:paraId="585CFD3B" w14:textId="77777777" w:rsidR="007722E8" w:rsidRPr="00506507" w:rsidRDefault="007722E8" w:rsidP="005F7185">
            <w:pPr>
              <w:rPr>
                <w:sz w:val="19"/>
                <w:szCs w:val="19"/>
              </w:rPr>
            </w:pPr>
            <w:r w:rsidRPr="00506507">
              <w:rPr>
                <w:sz w:val="19"/>
                <w:szCs w:val="19"/>
              </w:rPr>
              <w:t>Result 1.6 in the Plan of Action to address bird trapping along the Mediterranean coasts of Egypt and Libya (2014)</w:t>
            </w:r>
          </w:p>
        </w:tc>
        <w:tc>
          <w:tcPr>
            <w:tcW w:w="3006" w:type="dxa"/>
          </w:tcPr>
          <w:p w14:paraId="026BB0D5" w14:textId="557CF8ED" w:rsidR="007722E8" w:rsidRPr="00506507" w:rsidRDefault="00084207" w:rsidP="005C6F88">
            <w:pPr>
              <w:pStyle w:val="ListParagraph"/>
              <w:numPr>
                <w:ilvl w:val="0"/>
                <w:numId w:val="30"/>
              </w:numPr>
              <w:rPr>
                <w:sz w:val="19"/>
                <w:szCs w:val="19"/>
              </w:rPr>
            </w:pPr>
            <w:r w:rsidRPr="00506507">
              <w:rPr>
                <w:sz w:val="19"/>
                <w:szCs w:val="19"/>
              </w:rPr>
              <w:t xml:space="preserve">Analysis </w:t>
            </w:r>
            <w:r w:rsidR="005C6F88" w:rsidRPr="00506507">
              <w:rPr>
                <w:sz w:val="19"/>
                <w:szCs w:val="19"/>
              </w:rPr>
              <w:t>o</w:t>
            </w:r>
            <w:r w:rsidRPr="00506507">
              <w:rPr>
                <w:sz w:val="19"/>
                <w:szCs w:val="19"/>
              </w:rPr>
              <w:t>f lessons and development of follow-up actions.</w:t>
            </w:r>
          </w:p>
        </w:tc>
      </w:tr>
      <w:tr w:rsidR="000C0D7E" w:rsidRPr="00506507" w14:paraId="68F07FDA" w14:textId="77777777" w:rsidTr="00E1163B">
        <w:trPr>
          <w:jc w:val="center"/>
        </w:trPr>
        <w:tc>
          <w:tcPr>
            <w:tcW w:w="9016" w:type="dxa"/>
            <w:gridSpan w:val="3"/>
            <w:shd w:val="clear" w:color="auto" w:fill="D9D9D9" w:themeFill="background1" w:themeFillShade="D9"/>
          </w:tcPr>
          <w:p w14:paraId="62E7929D" w14:textId="1E70A0E5" w:rsidR="000C0D7E" w:rsidRPr="00506507" w:rsidRDefault="000C0D7E" w:rsidP="000C0D7E">
            <w:pPr>
              <w:rPr>
                <w:sz w:val="19"/>
                <w:szCs w:val="19"/>
              </w:rPr>
            </w:pPr>
            <w:r w:rsidRPr="00506507">
              <w:rPr>
                <w:b/>
                <w:i/>
                <w:color w:val="000066"/>
                <w:sz w:val="19"/>
                <w:szCs w:val="19"/>
              </w:rPr>
              <w:sym w:font="Wingdings" w:char="F0D8"/>
            </w:r>
            <w:r w:rsidRPr="00506507">
              <w:rPr>
                <w:b/>
                <w:i/>
                <w:color w:val="000066"/>
                <w:sz w:val="19"/>
                <w:szCs w:val="19"/>
              </w:rPr>
              <w:t xml:space="preserve"> Bern Convention</w:t>
            </w:r>
          </w:p>
        </w:tc>
      </w:tr>
      <w:tr w:rsidR="000C0D7E" w:rsidRPr="00506507" w14:paraId="19B65BD3" w14:textId="77777777" w:rsidTr="00E1163B">
        <w:trPr>
          <w:jc w:val="center"/>
        </w:trPr>
        <w:tc>
          <w:tcPr>
            <w:tcW w:w="3005" w:type="dxa"/>
          </w:tcPr>
          <w:p w14:paraId="138A1ED7" w14:textId="0D32AC75" w:rsidR="000C0D7E" w:rsidRPr="00506507" w:rsidRDefault="000C0D7E" w:rsidP="000C0D7E">
            <w:pPr>
              <w:rPr>
                <w:color w:val="000000"/>
                <w:sz w:val="19"/>
                <w:szCs w:val="19"/>
              </w:rPr>
            </w:pPr>
            <w:r w:rsidRPr="00506507">
              <w:rPr>
                <w:color w:val="000000"/>
                <w:sz w:val="19"/>
                <w:szCs w:val="19"/>
              </w:rPr>
              <w:t>Standing Committee Recommendation No. 155 (2011) on the illegal killing, trapping and trade of wild birds</w:t>
            </w:r>
          </w:p>
        </w:tc>
        <w:tc>
          <w:tcPr>
            <w:tcW w:w="3005" w:type="dxa"/>
          </w:tcPr>
          <w:p w14:paraId="34CDDDF2" w14:textId="2FF3AFF2" w:rsidR="000C0D7E" w:rsidRPr="00506507" w:rsidRDefault="000C0D7E" w:rsidP="000C0D7E">
            <w:pPr>
              <w:rPr>
                <w:sz w:val="19"/>
                <w:szCs w:val="19"/>
              </w:rPr>
            </w:pPr>
            <w:r w:rsidRPr="00506507">
              <w:rPr>
                <w:sz w:val="19"/>
                <w:szCs w:val="19"/>
              </w:rPr>
              <w:t>AEWA Articles II.1 (addressing poisoning, taking and trade of birds) and III.2(b) (ensuring that any use of migratory waterbirds is sustainable) are referred to in the Recommendation</w:t>
            </w:r>
          </w:p>
        </w:tc>
        <w:tc>
          <w:tcPr>
            <w:tcW w:w="3006" w:type="dxa"/>
          </w:tcPr>
          <w:p w14:paraId="58C85D76" w14:textId="453C8CA3" w:rsidR="000C0D7E" w:rsidRPr="00506507" w:rsidRDefault="00084207" w:rsidP="00084207">
            <w:pPr>
              <w:pStyle w:val="ListParagraph"/>
              <w:numPr>
                <w:ilvl w:val="0"/>
                <w:numId w:val="30"/>
              </w:numPr>
              <w:rPr>
                <w:sz w:val="19"/>
                <w:szCs w:val="19"/>
              </w:rPr>
            </w:pPr>
            <w:r w:rsidRPr="00506507">
              <w:rPr>
                <w:sz w:val="19"/>
                <w:szCs w:val="19"/>
              </w:rPr>
              <w:t>Follow-up/ assessment by Standing Committee of implementation</w:t>
            </w:r>
          </w:p>
        </w:tc>
      </w:tr>
      <w:tr w:rsidR="00015BE6" w:rsidRPr="00506507" w14:paraId="63DEA309" w14:textId="77777777" w:rsidTr="00E1163B">
        <w:trPr>
          <w:jc w:val="center"/>
        </w:trPr>
        <w:tc>
          <w:tcPr>
            <w:tcW w:w="3005" w:type="dxa"/>
          </w:tcPr>
          <w:p w14:paraId="72DF7CB2" w14:textId="4C2A2FD8" w:rsidR="00015BE6" w:rsidRPr="00506507" w:rsidRDefault="00015BE6" w:rsidP="000C0D7E">
            <w:pPr>
              <w:rPr>
                <w:color w:val="000000"/>
                <w:sz w:val="19"/>
                <w:szCs w:val="19"/>
              </w:rPr>
            </w:pPr>
            <w:r w:rsidRPr="00506507">
              <w:rPr>
                <w:color w:val="000000"/>
                <w:sz w:val="19"/>
                <w:szCs w:val="19"/>
              </w:rPr>
              <w:t>Standing Committee Recommendation No. 164 (2013) on the implementation of the Tunis Action Plan 2013-2020 for the eradication of illegal killing, trapping and trade of wild birds</w:t>
            </w:r>
          </w:p>
        </w:tc>
        <w:tc>
          <w:tcPr>
            <w:tcW w:w="3005" w:type="dxa"/>
          </w:tcPr>
          <w:p w14:paraId="02BF9C19" w14:textId="2D9A816A" w:rsidR="00015BE6" w:rsidRPr="00506507" w:rsidRDefault="00015BE6" w:rsidP="00015BE6">
            <w:pPr>
              <w:rPr>
                <w:color w:val="000000"/>
                <w:sz w:val="19"/>
                <w:szCs w:val="19"/>
              </w:rPr>
            </w:pPr>
            <w:r w:rsidRPr="00506507">
              <w:rPr>
                <w:color w:val="000000"/>
                <w:sz w:val="19"/>
                <w:szCs w:val="19"/>
              </w:rPr>
              <w:t>Provisions of AEWA Agreement text, and synergies between the Bern Convention and AEWA, are mentioned in the preamble to the Recommendation</w:t>
            </w:r>
          </w:p>
        </w:tc>
        <w:tc>
          <w:tcPr>
            <w:tcW w:w="3006" w:type="dxa"/>
          </w:tcPr>
          <w:p w14:paraId="0BD4200F" w14:textId="5AD85798" w:rsidR="00015BE6" w:rsidRPr="00506507" w:rsidRDefault="00084207" w:rsidP="00084207">
            <w:pPr>
              <w:pStyle w:val="ListParagraph"/>
              <w:numPr>
                <w:ilvl w:val="0"/>
                <w:numId w:val="30"/>
              </w:numPr>
              <w:rPr>
                <w:sz w:val="19"/>
                <w:szCs w:val="19"/>
              </w:rPr>
            </w:pPr>
            <w:r w:rsidRPr="00506507">
              <w:rPr>
                <w:sz w:val="19"/>
                <w:szCs w:val="19"/>
              </w:rPr>
              <w:t>Follow-up/ assessment by Standing Committee of implementation</w:t>
            </w:r>
          </w:p>
        </w:tc>
      </w:tr>
      <w:tr w:rsidR="00015BE6" w:rsidRPr="00506507" w14:paraId="25DFF857" w14:textId="77777777" w:rsidTr="00E1163B">
        <w:trPr>
          <w:jc w:val="center"/>
        </w:trPr>
        <w:tc>
          <w:tcPr>
            <w:tcW w:w="9016" w:type="dxa"/>
            <w:gridSpan w:val="3"/>
            <w:shd w:val="clear" w:color="auto" w:fill="D9D9D9" w:themeFill="background1" w:themeFillShade="D9"/>
          </w:tcPr>
          <w:p w14:paraId="67FE67C6" w14:textId="2D6D9FB3" w:rsidR="00015BE6" w:rsidRPr="00506507" w:rsidRDefault="00015BE6" w:rsidP="00015BE6">
            <w:pPr>
              <w:rPr>
                <w:sz w:val="19"/>
                <w:szCs w:val="19"/>
              </w:rPr>
            </w:pPr>
            <w:r w:rsidRPr="00506507">
              <w:rPr>
                <w:b/>
                <w:i/>
                <w:color w:val="000066"/>
                <w:sz w:val="19"/>
                <w:szCs w:val="19"/>
              </w:rPr>
              <w:sym w:font="Wingdings" w:char="F0D8"/>
            </w:r>
            <w:r w:rsidRPr="00506507">
              <w:rPr>
                <w:b/>
                <w:i/>
                <w:color w:val="000066"/>
                <w:sz w:val="19"/>
                <w:szCs w:val="19"/>
              </w:rPr>
              <w:t xml:space="preserve"> European Union</w:t>
            </w:r>
          </w:p>
        </w:tc>
      </w:tr>
      <w:tr w:rsidR="00015BE6" w:rsidRPr="00506507" w14:paraId="20BD6A19" w14:textId="77777777" w:rsidTr="00E1163B">
        <w:trPr>
          <w:jc w:val="center"/>
        </w:trPr>
        <w:tc>
          <w:tcPr>
            <w:tcW w:w="3005" w:type="dxa"/>
          </w:tcPr>
          <w:p w14:paraId="369C1ACD" w14:textId="5F6B6DA0" w:rsidR="00015BE6" w:rsidRPr="00506507" w:rsidRDefault="00015BE6" w:rsidP="00015BE6">
            <w:pPr>
              <w:rPr>
                <w:color w:val="000000"/>
                <w:sz w:val="19"/>
                <w:szCs w:val="19"/>
              </w:rPr>
            </w:pPr>
            <w:r w:rsidRPr="00506507">
              <w:rPr>
                <w:color w:val="000000"/>
                <w:sz w:val="19"/>
                <w:szCs w:val="19"/>
              </w:rPr>
              <w:t>Wild Birds Directive (2009/147/EC) - Articles 5, 6 and 8 provide for prohibitions on the killing, taking and trade of wild birds</w:t>
            </w:r>
          </w:p>
        </w:tc>
        <w:tc>
          <w:tcPr>
            <w:tcW w:w="3005" w:type="dxa"/>
          </w:tcPr>
          <w:p w14:paraId="1DBCECF0" w14:textId="479E0535" w:rsidR="00C44894" w:rsidRPr="00506507" w:rsidRDefault="00C44894" w:rsidP="000B76CF">
            <w:pPr>
              <w:rPr>
                <w:color w:val="000000"/>
                <w:sz w:val="19"/>
                <w:szCs w:val="19"/>
              </w:rPr>
            </w:pPr>
            <w:r w:rsidRPr="00506507">
              <w:rPr>
                <w:color w:val="000000"/>
                <w:sz w:val="19"/>
                <w:szCs w:val="19"/>
              </w:rPr>
              <w:t>Strategic Plan 2019-2027 Action 3.2 (a) - to develop a monitoring framework for the AEWA flyway site network in coordination with other processes including reporting under the Birds Directive</w:t>
            </w:r>
          </w:p>
        </w:tc>
        <w:tc>
          <w:tcPr>
            <w:tcW w:w="3006" w:type="dxa"/>
          </w:tcPr>
          <w:p w14:paraId="2E09EAF1" w14:textId="55A4D997" w:rsidR="00084207" w:rsidRPr="00506507" w:rsidRDefault="00084207" w:rsidP="00084207">
            <w:pPr>
              <w:pStyle w:val="ListParagraph"/>
              <w:numPr>
                <w:ilvl w:val="0"/>
                <w:numId w:val="30"/>
              </w:numPr>
              <w:rPr>
                <w:sz w:val="19"/>
                <w:szCs w:val="19"/>
              </w:rPr>
            </w:pPr>
            <w:r w:rsidRPr="00506507">
              <w:rPr>
                <w:sz w:val="19"/>
                <w:szCs w:val="19"/>
              </w:rPr>
              <w:t>Member States accounting for action via national reports.</w:t>
            </w:r>
          </w:p>
          <w:p w14:paraId="73DA8216" w14:textId="31ABFCB1" w:rsidR="00015BE6" w:rsidRPr="00506507" w:rsidRDefault="00084207" w:rsidP="00084207">
            <w:pPr>
              <w:pStyle w:val="ListParagraph"/>
              <w:numPr>
                <w:ilvl w:val="0"/>
                <w:numId w:val="30"/>
              </w:numPr>
              <w:rPr>
                <w:sz w:val="19"/>
                <w:szCs w:val="19"/>
              </w:rPr>
            </w:pPr>
            <w:r w:rsidRPr="00506507">
              <w:rPr>
                <w:sz w:val="19"/>
                <w:szCs w:val="19"/>
              </w:rPr>
              <w:t>Implementation/ compliance reviews at EU level.</w:t>
            </w:r>
          </w:p>
        </w:tc>
      </w:tr>
      <w:tr w:rsidR="00015BE6" w:rsidRPr="00506507" w14:paraId="2CF22F37" w14:textId="77777777" w:rsidTr="00E1163B">
        <w:trPr>
          <w:jc w:val="center"/>
        </w:trPr>
        <w:tc>
          <w:tcPr>
            <w:tcW w:w="3005" w:type="dxa"/>
          </w:tcPr>
          <w:p w14:paraId="75B18024" w14:textId="140187BB" w:rsidR="00015BE6" w:rsidRPr="00506507" w:rsidRDefault="00C44894" w:rsidP="00015BE6">
            <w:pPr>
              <w:rPr>
                <w:color w:val="000000"/>
                <w:sz w:val="19"/>
                <w:szCs w:val="19"/>
              </w:rPr>
            </w:pPr>
            <w:r w:rsidRPr="00506507">
              <w:rPr>
                <w:color w:val="000000"/>
                <w:sz w:val="19"/>
                <w:szCs w:val="19"/>
              </w:rPr>
              <w:t>European Commission Roadmap towards eliminating illegal killing, trapping and trade of birds (2012, revised 2017)</w:t>
            </w:r>
          </w:p>
        </w:tc>
        <w:tc>
          <w:tcPr>
            <w:tcW w:w="3005" w:type="dxa"/>
          </w:tcPr>
          <w:p w14:paraId="358DE761" w14:textId="6BCE9F48" w:rsidR="00015BE6" w:rsidRPr="00506507" w:rsidRDefault="00C44894" w:rsidP="00C44894">
            <w:pPr>
              <w:rPr>
                <w:color w:val="000000"/>
                <w:sz w:val="19"/>
                <w:szCs w:val="19"/>
              </w:rPr>
            </w:pPr>
            <w:r w:rsidRPr="00506507">
              <w:rPr>
                <w:color w:val="000000"/>
                <w:sz w:val="19"/>
                <w:szCs w:val="19"/>
              </w:rPr>
              <w:t xml:space="preserve">AEWA is referred to in the </w:t>
            </w:r>
            <w:proofErr w:type="gramStart"/>
            <w:r w:rsidRPr="00506507">
              <w:rPr>
                <w:color w:val="000000"/>
                <w:sz w:val="19"/>
                <w:szCs w:val="19"/>
              </w:rPr>
              <w:t>Roadmap</w:t>
            </w:r>
            <w:proofErr w:type="gramEnd"/>
            <w:r w:rsidRPr="00506507">
              <w:rPr>
                <w:color w:val="000000"/>
                <w:sz w:val="19"/>
                <w:szCs w:val="19"/>
              </w:rPr>
              <w:t xml:space="preserve"> as one of the lead bodies to undertake activities to communicate best practices</w:t>
            </w:r>
          </w:p>
        </w:tc>
        <w:tc>
          <w:tcPr>
            <w:tcW w:w="3006" w:type="dxa"/>
          </w:tcPr>
          <w:p w14:paraId="1FF24949" w14:textId="7AC4F8F6" w:rsidR="00015BE6" w:rsidRPr="00506507" w:rsidRDefault="00084207" w:rsidP="00084207">
            <w:pPr>
              <w:pStyle w:val="ListParagraph"/>
              <w:numPr>
                <w:ilvl w:val="0"/>
                <w:numId w:val="30"/>
              </w:numPr>
              <w:rPr>
                <w:sz w:val="19"/>
                <w:szCs w:val="19"/>
              </w:rPr>
            </w:pPr>
            <w:r w:rsidRPr="00506507">
              <w:rPr>
                <w:sz w:val="19"/>
                <w:szCs w:val="19"/>
              </w:rPr>
              <w:t>Suggest European Commission reviews progress and makes further recommendations</w:t>
            </w:r>
          </w:p>
        </w:tc>
      </w:tr>
    </w:tbl>
    <w:p w14:paraId="4E3ADCED" w14:textId="77777777" w:rsidR="007722E8" w:rsidRPr="00506507" w:rsidRDefault="007722E8" w:rsidP="007722E8">
      <w:pPr>
        <w:spacing w:after="20"/>
        <w:rPr>
          <w:sz w:val="22"/>
          <w:szCs w:val="22"/>
        </w:rPr>
      </w:pPr>
    </w:p>
    <w:p w14:paraId="433A5314" w14:textId="77777777" w:rsidR="007722E8" w:rsidRPr="00506507" w:rsidRDefault="007722E8" w:rsidP="007722E8">
      <w:pPr>
        <w:rPr>
          <w:sz w:val="22"/>
          <w:szCs w:val="22"/>
        </w:rPr>
      </w:pPr>
      <w:r w:rsidRPr="00506507">
        <w:rPr>
          <w:sz w:val="22"/>
          <w:szCs w:val="22"/>
        </w:rPr>
        <w:t>In addition, some individual Species Action Plans under AEWA may contain relevant ideas.</w:t>
      </w:r>
    </w:p>
    <w:p w14:paraId="2F91FE15" w14:textId="77777777" w:rsidR="007722E8" w:rsidRPr="00506507" w:rsidRDefault="007722E8" w:rsidP="007722E8">
      <w:pPr>
        <w:spacing w:after="20"/>
        <w:rPr>
          <w:sz w:val="22"/>
          <w:szCs w:val="22"/>
        </w:rPr>
      </w:pPr>
    </w:p>
    <w:p w14:paraId="0ECD40FA" w14:textId="77777777" w:rsidR="007722E8" w:rsidRPr="00506507" w:rsidRDefault="007722E8" w:rsidP="007722E8">
      <w:pPr>
        <w:spacing w:after="20"/>
        <w:rPr>
          <w:b/>
          <w:i/>
          <w:color w:val="003366"/>
          <w:sz w:val="22"/>
          <w:szCs w:val="22"/>
        </w:rPr>
      </w:pPr>
      <w:r w:rsidRPr="00506507">
        <w:rPr>
          <w:b/>
          <w:i/>
          <w:color w:val="003366"/>
          <w:sz w:val="22"/>
          <w:szCs w:val="22"/>
        </w:rPr>
        <w:t xml:space="preserve">  (b) Other relevant contexts</w:t>
      </w:r>
    </w:p>
    <w:p w14:paraId="73426606" w14:textId="77777777" w:rsidR="007722E8" w:rsidRPr="00506507" w:rsidRDefault="007722E8" w:rsidP="007722E8">
      <w:pPr>
        <w:spacing w:after="20"/>
        <w:rPr>
          <w:sz w:val="22"/>
          <w:szCs w:val="22"/>
        </w:rPr>
      </w:pPr>
    </w:p>
    <w:tbl>
      <w:tblPr>
        <w:tblStyle w:val="TableGrid"/>
        <w:tblW w:w="0" w:type="auto"/>
        <w:tblLook w:val="04A0" w:firstRow="1" w:lastRow="0" w:firstColumn="1" w:lastColumn="0" w:noHBand="0" w:noVBand="1"/>
      </w:tblPr>
      <w:tblGrid>
        <w:gridCol w:w="4531"/>
        <w:gridCol w:w="4485"/>
      </w:tblGrid>
      <w:tr w:rsidR="005B7D42" w:rsidRPr="00506507" w14:paraId="0775A386" w14:textId="77777777" w:rsidTr="005B7D42">
        <w:tc>
          <w:tcPr>
            <w:tcW w:w="4531" w:type="dxa"/>
            <w:shd w:val="clear" w:color="auto" w:fill="DEEAF6" w:themeFill="accent1" w:themeFillTint="33"/>
            <w:vAlign w:val="center"/>
          </w:tcPr>
          <w:p w14:paraId="00B7337F" w14:textId="77777777" w:rsidR="005B7D42" w:rsidRPr="00506507" w:rsidRDefault="005B7D42" w:rsidP="005B7D42">
            <w:pPr>
              <w:jc w:val="center"/>
              <w:rPr>
                <w:b/>
                <w:sz w:val="20"/>
                <w:szCs w:val="20"/>
              </w:rPr>
            </w:pPr>
            <w:r w:rsidRPr="00506507">
              <w:rPr>
                <w:b/>
                <w:sz w:val="20"/>
                <w:szCs w:val="20"/>
              </w:rPr>
              <w:t>Multilateral process / platform</w:t>
            </w:r>
          </w:p>
        </w:tc>
        <w:tc>
          <w:tcPr>
            <w:tcW w:w="4485" w:type="dxa"/>
            <w:shd w:val="clear" w:color="auto" w:fill="DEEAF6" w:themeFill="accent1" w:themeFillTint="33"/>
            <w:vAlign w:val="center"/>
          </w:tcPr>
          <w:p w14:paraId="0F3F38E0" w14:textId="77777777" w:rsidR="005B7D42" w:rsidRPr="00506507" w:rsidRDefault="005B7D42" w:rsidP="005B7D42">
            <w:pPr>
              <w:jc w:val="center"/>
              <w:rPr>
                <w:b/>
                <w:sz w:val="20"/>
                <w:szCs w:val="20"/>
              </w:rPr>
            </w:pPr>
            <w:r w:rsidRPr="00506507">
              <w:rPr>
                <w:b/>
                <w:sz w:val="20"/>
                <w:szCs w:val="20"/>
              </w:rPr>
              <w:t>Possible opportunity for influence</w:t>
            </w:r>
          </w:p>
        </w:tc>
      </w:tr>
      <w:tr w:rsidR="005B7D42" w:rsidRPr="00506507" w14:paraId="26D3B275" w14:textId="77777777" w:rsidTr="005B7D42">
        <w:tc>
          <w:tcPr>
            <w:tcW w:w="9016" w:type="dxa"/>
            <w:gridSpan w:val="2"/>
            <w:shd w:val="clear" w:color="auto" w:fill="D9D9D9" w:themeFill="background1" w:themeFillShade="D9"/>
          </w:tcPr>
          <w:p w14:paraId="470F08DC" w14:textId="77777777" w:rsidR="005B7D42" w:rsidRPr="00506507" w:rsidRDefault="005B7D42" w:rsidP="005B7D42">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Convention on Biological Diversity (CBD)</w:t>
            </w:r>
          </w:p>
        </w:tc>
      </w:tr>
      <w:tr w:rsidR="005B7D42" w:rsidRPr="00506507" w14:paraId="1CE43D52" w14:textId="77777777" w:rsidTr="005B7D42">
        <w:tc>
          <w:tcPr>
            <w:tcW w:w="4531" w:type="dxa"/>
          </w:tcPr>
          <w:p w14:paraId="2271FC16" w14:textId="77777777" w:rsidR="005B7D42" w:rsidRPr="00506507" w:rsidRDefault="005B7D42" w:rsidP="005B7D42">
            <w:pPr>
              <w:rPr>
                <w:color w:val="000000"/>
                <w:sz w:val="19"/>
                <w:szCs w:val="19"/>
              </w:rPr>
            </w:pPr>
            <w:r w:rsidRPr="00506507">
              <w:rPr>
                <w:color w:val="000000"/>
                <w:sz w:val="19"/>
                <w:szCs w:val="19"/>
              </w:rPr>
              <w:t>Draft post-2020 Global Biodiversity Framework Target 5, on ensuring that harvesting, trade and use of wild species is sustainable, legal, and safe</w:t>
            </w:r>
          </w:p>
        </w:tc>
        <w:tc>
          <w:tcPr>
            <w:tcW w:w="4485" w:type="dxa"/>
          </w:tcPr>
          <w:p w14:paraId="087573B3" w14:textId="77777777" w:rsidR="005B7D42" w:rsidRPr="00506507" w:rsidRDefault="005B7D42" w:rsidP="005B7D42">
            <w:pPr>
              <w:pStyle w:val="ListParagraph"/>
              <w:numPr>
                <w:ilvl w:val="0"/>
                <w:numId w:val="30"/>
              </w:numPr>
              <w:rPr>
                <w:sz w:val="19"/>
                <w:szCs w:val="19"/>
              </w:rPr>
            </w:pPr>
            <w:r w:rsidRPr="00506507">
              <w:rPr>
                <w:sz w:val="19"/>
                <w:szCs w:val="19"/>
              </w:rPr>
              <w:t>Input to development of appropriate indicators for Target 5, including via the post-COP15 Ad Hoc Technical Expert Group on the GBF Monitoring Framework.</w:t>
            </w:r>
          </w:p>
        </w:tc>
      </w:tr>
    </w:tbl>
    <w:p w14:paraId="7648209A" w14:textId="77777777" w:rsidR="007722E8" w:rsidRPr="00506507" w:rsidRDefault="007722E8" w:rsidP="007722E8">
      <w:pPr>
        <w:spacing w:after="20"/>
        <w:rPr>
          <w:sz w:val="22"/>
          <w:szCs w:val="22"/>
        </w:rPr>
      </w:pPr>
    </w:p>
    <w:p w14:paraId="481797E6" w14:textId="77777777" w:rsidR="007722E8" w:rsidRPr="00506507" w:rsidRDefault="007722E8" w:rsidP="007722E8">
      <w:pPr>
        <w:spacing w:after="20"/>
        <w:rPr>
          <w:sz w:val="16"/>
          <w:szCs w:val="16"/>
        </w:rPr>
      </w:pPr>
    </w:p>
    <w:p w14:paraId="4C2B3862" w14:textId="5EC544BC" w:rsidR="007722E8" w:rsidRPr="00E1163B" w:rsidRDefault="007722E8" w:rsidP="00E1163B">
      <w:pPr>
        <w:shd w:val="clear" w:color="auto" w:fill="DEEAF6" w:themeFill="accent1" w:themeFillTint="33"/>
        <w:spacing w:after="20"/>
        <w:rPr>
          <w:b/>
        </w:rPr>
      </w:pPr>
      <w:r w:rsidRPr="00E1163B">
        <w:rPr>
          <w:b/>
        </w:rPr>
        <w:t xml:space="preserve">3.  Fisheries </w:t>
      </w:r>
      <w:r w:rsidR="00D87692">
        <w:rPr>
          <w:b/>
        </w:rPr>
        <w:t>B</w:t>
      </w:r>
      <w:r w:rsidRPr="00E1163B">
        <w:rPr>
          <w:b/>
        </w:rPr>
        <w:t>ycatch</w:t>
      </w:r>
    </w:p>
    <w:p w14:paraId="311EDBAC" w14:textId="77777777" w:rsidR="007722E8" w:rsidRPr="00506507" w:rsidRDefault="007722E8" w:rsidP="007722E8">
      <w:pPr>
        <w:spacing w:after="20"/>
        <w:rPr>
          <w:sz w:val="22"/>
          <w:szCs w:val="22"/>
        </w:rPr>
      </w:pPr>
    </w:p>
    <w:p w14:paraId="07DE27AF" w14:textId="77777777" w:rsidR="007722E8" w:rsidRPr="00506507" w:rsidRDefault="007722E8" w:rsidP="007722E8">
      <w:pPr>
        <w:spacing w:after="20"/>
        <w:rPr>
          <w:b/>
          <w:i/>
          <w:color w:val="003366"/>
          <w:sz w:val="22"/>
          <w:szCs w:val="22"/>
        </w:rPr>
      </w:pPr>
      <w:r w:rsidRPr="00506507">
        <w:rPr>
          <w:b/>
          <w:i/>
          <w:color w:val="003366"/>
          <w:sz w:val="22"/>
          <w:szCs w:val="22"/>
        </w:rPr>
        <w:t xml:space="preserve">  (a)  Existing AEWA orientations</w:t>
      </w:r>
    </w:p>
    <w:p w14:paraId="70A52203" w14:textId="77777777" w:rsidR="007722E8" w:rsidRPr="00506507" w:rsidRDefault="007722E8" w:rsidP="007722E8">
      <w:pPr>
        <w:spacing w:after="20"/>
        <w:rPr>
          <w:sz w:val="22"/>
          <w:szCs w:val="22"/>
        </w:rPr>
      </w:pPr>
    </w:p>
    <w:p w14:paraId="0D3ED704" w14:textId="1FFA4183" w:rsidR="00334B34" w:rsidRPr="00506507" w:rsidRDefault="008B4FDB" w:rsidP="00E1163B">
      <w:pPr>
        <w:spacing w:after="20"/>
        <w:jc w:val="both"/>
        <w:rPr>
          <w:sz w:val="22"/>
          <w:szCs w:val="22"/>
        </w:rPr>
      </w:pPr>
      <w:r w:rsidRPr="00506507">
        <w:rPr>
          <w:sz w:val="22"/>
          <w:szCs w:val="22"/>
        </w:rPr>
        <w:t>Annex 3 to the Agreement (the Action Plan) includes two items (4.3.7 and 4.3.8) that urge Parties to take appropriate action</w:t>
      </w:r>
      <w:smartTag w:uri="urn:schemas-microsoft-com:office:smarttags" w:element="PersonName">
        <w:r w:rsidRPr="00506507">
          <w:rPr>
            <w:sz w:val="22"/>
            <w:szCs w:val="22"/>
          </w:rPr>
          <w:t>s</w:t>
        </w:r>
      </w:smartTag>
      <w:r w:rsidRPr="00506507">
        <w:rPr>
          <w:sz w:val="22"/>
          <w:szCs w:val="22"/>
        </w:rPr>
        <w:t xml:space="preserve"> nationally or through the framework of Regional Fi</w:t>
      </w:r>
      <w:smartTag w:uri="urn:schemas-microsoft-com:office:smarttags" w:element="PersonName">
        <w:r w:rsidRPr="00506507">
          <w:rPr>
            <w:sz w:val="22"/>
            <w:szCs w:val="22"/>
          </w:rPr>
          <w:t>s</w:t>
        </w:r>
      </w:smartTag>
      <w:r w:rsidRPr="00506507">
        <w:rPr>
          <w:sz w:val="22"/>
          <w:szCs w:val="22"/>
        </w:rPr>
        <w:t>herie</w:t>
      </w:r>
      <w:smartTag w:uri="urn:schemas-microsoft-com:office:smarttags" w:element="PersonName">
        <w:r w:rsidRPr="00506507">
          <w:rPr>
            <w:sz w:val="22"/>
            <w:szCs w:val="22"/>
          </w:rPr>
          <w:t>s</w:t>
        </w:r>
      </w:smartTag>
      <w:r w:rsidRPr="00506507">
        <w:rPr>
          <w:sz w:val="22"/>
          <w:szCs w:val="22"/>
        </w:rPr>
        <w:t xml:space="preserve"> Management Organi</w:t>
      </w:r>
      <w:smartTag w:uri="urn:schemas-microsoft-com:office:smarttags" w:element="PersonName">
        <w:r w:rsidRPr="00506507">
          <w:rPr>
            <w:sz w:val="22"/>
            <w:szCs w:val="22"/>
          </w:rPr>
          <w:t>s</w:t>
        </w:r>
      </w:smartTag>
      <w:r w:rsidRPr="00506507">
        <w:rPr>
          <w:sz w:val="22"/>
          <w:szCs w:val="22"/>
        </w:rPr>
        <w:t>ation</w:t>
      </w:r>
      <w:smartTag w:uri="urn:schemas-microsoft-com:office:smarttags" w:element="PersonName">
        <w:r w:rsidRPr="00506507">
          <w:rPr>
            <w:sz w:val="22"/>
            <w:szCs w:val="22"/>
          </w:rPr>
          <w:t>s</w:t>
        </w:r>
      </w:smartTag>
      <w:r w:rsidRPr="00506507">
        <w:rPr>
          <w:sz w:val="22"/>
          <w:szCs w:val="22"/>
        </w:rPr>
        <w:t xml:space="preserve"> (RFMO</w:t>
      </w:r>
      <w:smartTag w:uri="urn:schemas-microsoft-com:office:smarttags" w:element="PersonName">
        <w:r w:rsidRPr="00506507">
          <w:rPr>
            <w:sz w:val="22"/>
            <w:szCs w:val="22"/>
          </w:rPr>
          <w:t>s</w:t>
        </w:r>
      </w:smartTag>
      <w:r w:rsidRPr="00506507">
        <w:rPr>
          <w:sz w:val="22"/>
          <w:szCs w:val="22"/>
        </w:rPr>
        <w:t>) and relevant international organi</w:t>
      </w:r>
      <w:smartTag w:uri="urn:schemas-microsoft-com:office:smarttags" w:element="PersonName">
        <w:r w:rsidRPr="00506507">
          <w:rPr>
            <w:sz w:val="22"/>
            <w:szCs w:val="22"/>
          </w:rPr>
          <w:t>s</w:t>
        </w:r>
      </w:smartTag>
      <w:r w:rsidRPr="00506507">
        <w:rPr>
          <w:sz w:val="22"/>
          <w:szCs w:val="22"/>
        </w:rPr>
        <w:t>ation</w:t>
      </w:r>
      <w:smartTag w:uri="urn:schemas-microsoft-com:office:smarttags" w:element="PersonName">
        <w:r w:rsidRPr="00506507">
          <w:rPr>
            <w:sz w:val="22"/>
            <w:szCs w:val="22"/>
          </w:rPr>
          <w:t>s</w:t>
        </w:r>
      </w:smartTag>
      <w:r w:rsidRPr="00506507">
        <w:rPr>
          <w:sz w:val="22"/>
          <w:szCs w:val="22"/>
        </w:rPr>
        <w:t xml:space="preserve"> to minimi</w:t>
      </w:r>
      <w:smartTag w:uri="urn:schemas-microsoft-com:office:smarttags" w:element="PersonName">
        <w:r w:rsidRPr="00506507">
          <w:rPr>
            <w:sz w:val="22"/>
            <w:szCs w:val="22"/>
          </w:rPr>
          <w:t>s</w:t>
        </w:r>
      </w:smartTag>
      <w:r w:rsidRPr="00506507">
        <w:rPr>
          <w:sz w:val="22"/>
          <w:szCs w:val="22"/>
        </w:rPr>
        <w:t>e the impact of fi</w:t>
      </w:r>
      <w:smartTag w:uri="urn:schemas-microsoft-com:office:smarttags" w:element="PersonName">
        <w:r w:rsidRPr="00506507">
          <w:rPr>
            <w:sz w:val="22"/>
            <w:szCs w:val="22"/>
          </w:rPr>
          <w:t>s</w:t>
        </w:r>
      </w:smartTag>
      <w:r w:rsidRPr="00506507">
        <w:rPr>
          <w:sz w:val="22"/>
          <w:szCs w:val="22"/>
        </w:rPr>
        <w:t>herie</w:t>
      </w:r>
      <w:smartTag w:uri="urn:schemas-microsoft-com:office:smarttags" w:element="PersonName">
        <w:r w:rsidRPr="00506507">
          <w:rPr>
            <w:sz w:val="22"/>
            <w:szCs w:val="22"/>
          </w:rPr>
          <w:t>s</w:t>
        </w:r>
      </w:smartTag>
      <w:r w:rsidRPr="00506507">
        <w:rPr>
          <w:sz w:val="22"/>
          <w:szCs w:val="22"/>
        </w:rPr>
        <w:t xml:space="preserve"> on migratory waterbirds, including from bycatch.  Bycatch may occur in both freshwater and marine environments, and both are considered in AEWA orientations.  </w:t>
      </w:r>
      <w:r w:rsidR="007722E8" w:rsidRPr="00506507">
        <w:rPr>
          <w:sz w:val="22"/>
          <w:szCs w:val="22"/>
        </w:rPr>
        <w:t>To date, two MOP Resolutions have focused specifically on seabirds</w:t>
      </w:r>
      <w:r w:rsidR="00334B34" w:rsidRPr="00506507">
        <w:rPr>
          <w:sz w:val="22"/>
          <w:szCs w:val="22"/>
        </w:rPr>
        <w:t>:</w:t>
      </w:r>
    </w:p>
    <w:p w14:paraId="1BA9CF48" w14:textId="77777777" w:rsidR="00334B34" w:rsidRPr="00506507" w:rsidRDefault="00334B34" w:rsidP="00E1163B">
      <w:pPr>
        <w:spacing w:after="20"/>
        <w:jc w:val="both"/>
        <w:rPr>
          <w:sz w:val="10"/>
          <w:szCs w:val="10"/>
        </w:rPr>
      </w:pPr>
    </w:p>
    <w:p w14:paraId="5C81CDA1" w14:textId="220FECDE" w:rsidR="00334B34" w:rsidRPr="00506507" w:rsidRDefault="00334B34" w:rsidP="00E1163B">
      <w:pPr>
        <w:pStyle w:val="ListParagraph"/>
        <w:numPr>
          <w:ilvl w:val="0"/>
          <w:numId w:val="36"/>
        </w:numPr>
        <w:spacing w:after="20"/>
        <w:jc w:val="both"/>
        <w:rPr>
          <w:sz w:val="20"/>
          <w:szCs w:val="20"/>
        </w:rPr>
      </w:pPr>
      <w:r w:rsidRPr="00506507">
        <w:rPr>
          <w:sz w:val="20"/>
          <w:szCs w:val="20"/>
        </w:rPr>
        <w:t xml:space="preserve">Resolution 6.9 (2015) on Improving the conservation status of African-Eurasian seabirds - </w:t>
      </w:r>
      <w:hyperlink r:id="rId15" w:history="1">
        <w:r w:rsidRPr="00506507">
          <w:rPr>
            <w:rStyle w:val="Hyperlink"/>
            <w:sz w:val="20"/>
            <w:szCs w:val="20"/>
          </w:rPr>
          <w:t>https://www.unep-aewa.org/en/document/improving-conservation-status-african-eurasian-seabirds-3</w:t>
        </w:r>
      </w:hyperlink>
      <w:r w:rsidRPr="00506507">
        <w:rPr>
          <w:sz w:val="20"/>
          <w:szCs w:val="20"/>
        </w:rPr>
        <w:t xml:space="preserve"> ;</w:t>
      </w:r>
    </w:p>
    <w:p w14:paraId="61A82423" w14:textId="77777777" w:rsidR="00334B34" w:rsidRPr="00506507" w:rsidRDefault="00334B34" w:rsidP="00E1163B">
      <w:pPr>
        <w:spacing w:after="20"/>
        <w:jc w:val="both"/>
        <w:rPr>
          <w:sz w:val="10"/>
          <w:szCs w:val="10"/>
        </w:rPr>
      </w:pPr>
    </w:p>
    <w:p w14:paraId="7ABA7679" w14:textId="4AF03535" w:rsidR="00334B34" w:rsidRPr="00506507" w:rsidRDefault="00334B34" w:rsidP="00E1163B">
      <w:pPr>
        <w:pStyle w:val="ListParagraph"/>
        <w:numPr>
          <w:ilvl w:val="0"/>
          <w:numId w:val="36"/>
        </w:numPr>
        <w:spacing w:after="20"/>
        <w:jc w:val="both"/>
        <w:rPr>
          <w:sz w:val="20"/>
          <w:szCs w:val="20"/>
        </w:rPr>
      </w:pPr>
      <w:r w:rsidRPr="00506507">
        <w:rPr>
          <w:sz w:val="20"/>
          <w:szCs w:val="20"/>
        </w:rPr>
        <w:t xml:space="preserve">Resolution 7.6 (2018) on Priorities for the conservation of seabirds in the African-Eurasian flyways - </w:t>
      </w:r>
      <w:hyperlink r:id="rId16" w:history="1">
        <w:r w:rsidRPr="00506507">
          <w:rPr>
            <w:rStyle w:val="Hyperlink"/>
            <w:sz w:val="20"/>
            <w:szCs w:val="20"/>
          </w:rPr>
          <w:t>https://www.unep-aewa.org/en/document/priorities-conservation-seabirds-african-eurasian-flyways-1</w:t>
        </w:r>
      </w:hyperlink>
      <w:r w:rsidRPr="00506507">
        <w:rPr>
          <w:sz w:val="20"/>
          <w:szCs w:val="20"/>
        </w:rPr>
        <w:t xml:space="preserve"> .</w:t>
      </w:r>
    </w:p>
    <w:p w14:paraId="31CAF1CF" w14:textId="77777777" w:rsidR="00334B34" w:rsidRPr="00506507" w:rsidRDefault="00334B34" w:rsidP="00E1163B">
      <w:pPr>
        <w:spacing w:after="20"/>
        <w:jc w:val="both"/>
        <w:rPr>
          <w:sz w:val="22"/>
          <w:szCs w:val="22"/>
        </w:rPr>
      </w:pPr>
    </w:p>
    <w:p w14:paraId="4AF11561" w14:textId="144909BD" w:rsidR="00540F41" w:rsidRPr="00506507" w:rsidRDefault="007722E8" w:rsidP="00E1163B">
      <w:pPr>
        <w:spacing w:after="20"/>
        <w:jc w:val="both"/>
        <w:rPr>
          <w:sz w:val="22"/>
          <w:szCs w:val="22"/>
        </w:rPr>
      </w:pPr>
      <w:r w:rsidRPr="00506507">
        <w:rPr>
          <w:sz w:val="22"/>
          <w:szCs w:val="22"/>
        </w:rPr>
        <w:lastRenderedPageBreak/>
        <w:t>Multilateral processes/platforms identified in these that may offer an entry-point for influencing threats from fisheries bycatch are summarised in the table below.</w:t>
      </w:r>
      <w:r w:rsidR="00540F41" w:rsidRPr="00506507">
        <w:rPr>
          <w:sz w:val="22"/>
          <w:szCs w:val="22"/>
        </w:rPr>
        <w:t xml:space="preserve">  Resolution 6.9 notes that AEWA’s priority should be those species, regions, or threats not already the subject of relevant frameworks, e.g. tropical seabirds or those impacted by small or artisanal fisheries not regulated by RFMOs.  The Resolution requested the AEWA Technical Committee to advise on the most urgent priorities.</w:t>
      </w:r>
    </w:p>
    <w:p w14:paraId="277E0B9E" w14:textId="77777777" w:rsidR="007722E8" w:rsidRPr="00506507" w:rsidRDefault="007722E8" w:rsidP="007722E8">
      <w:pPr>
        <w:rPr>
          <w:sz w:val="22"/>
          <w:szCs w:val="22"/>
        </w:rPr>
      </w:pPr>
    </w:p>
    <w:p w14:paraId="299066B2" w14:textId="77777777" w:rsidR="007722E8" w:rsidRPr="00506507" w:rsidRDefault="007722E8" w:rsidP="007722E8">
      <w:pPr>
        <w:rPr>
          <w:sz w:val="8"/>
          <w:szCs w:val="8"/>
        </w:rPr>
      </w:pPr>
    </w:p>
    <w:tbl>
      <w:tblPr>
        <w:tblStyle w:val="TableGrid"/>
        <w:tblW w:w="0" w:type="auto"/>
        <w:tblLook w:val="04A0" w:firstRow="1" w:lastRow="0" w:firstColumn="1" w:lastColumn="0" w:noHBand="0" w:noVBand="1"/>
      </w:tblPr>
      <w:tblGrid>
        <w:gridCol w:w="3005"/>
        <w:gridCol w:w="3005"/>
        <w:gridCol w:w="3006"/>
      </w:tblGrid>
      <w:tr w:rsidR="007722E8" w:rsidRPr="00506507" w14:paraId="6CF24326" w14:textId="77777777" w:rsidTr="005F7185">
        <w:tc>
          <w:tcPr>
            <w:tcW w:w="3005" w:type="dxa"/>
            <w:shd w:val="clear" w:color="auto" w:fill="DEEAF6" w:themeFill="accent1" w:themeFillTint="33"/>
            <w:vAlign w:val="center"/>
          </w:tcPr>
          <w:p w14:paraId="23C07A48" w14:textId="77777777" w:rsidR="007722E8" w:rsidRPr="00506507" w:rsidRDefault="007722E8" w:rsidP="005F7185">
            <w:pPr>
              <w:jc w:val="center"/>
              <w:rPr>
                <w:b/>
                <w:sz w:val="20"/>
                <w:szCs w:val="20"/>
              </w:rPr>
            </w:pPr>
            <w:r w:rsidRPr="00506507">
              <w:rPr>
                <w:b/>
                <w:sz w:val="20"/>
                <w:szCs w:val="20"/>
              </w:rPr>
              <w:t>Multilateral process / platform</w:t>
            </w:r>
          </w:p>
        </w:tc>
        <w:tc>
          <w:tcPr>
            <w:tcW w:w="3005" w:type="dxa"/>
            <w:shd w:val="clear" w:color="auto" w:fill="DEEAF6" w:themeFill="accent1" w:themeFillTint="33"/>
            <w:vAlign w:val="center"/>
          </w:tcPr>
          <w:p w14:paraId="2A1FD7CD" w14:textId="77777777" w:rsidR="007722E8" w:rsidRPr="00506507" w:rsidRDefault="007722E8" w:rsidP="005F7185">
            <w:pPr>
              <w:jc w:val="center"/>
              <w:rPr>
                <w:b/>
                <w:sz w:val="20"/>
                <w:szCs w:val="20"/>
              </w:rPr>
            </w:pPr>
            <w:r w:rsidRPr="00506507">
              <w:rPr>
                <w:b/>
                <w:sz w:val="20"/>
                <w:szCs w:val="20"/>
              </w:rPr>
              <w:t>Where identified by AEWA</w:t>
            </w:r>
          </w:p>
        </w:tc>
        <w:tc>
          <w:tcPr>
            <w:tcW w:w="3006" w:type="dxa"/>
            <w:shd w:val="clear" w:color="auto" w:fill="DEEAF6" w:themeFill="accent1" w:themeFillTint="33"/>
            <w:vAlign w:val="center"/>
          </w:tcPr>
          <w:p w14:paraId="22A69D6E" w14:textId="77777777" w:rsidR="007722E8" w:rsidRPr="00506507" w:rsidRDefault="007722E8" w:rsidP="005F7185">
            <w:pPr>
              <w:jc w:val="center"/>
              <w:rPr>
                <w:b/>
                <w:sz w:val="20"/>
                <w:szCs w:val="20"/>
              </w:rPr>
            </w:pPr>
            <w:r w:rsidRPr="00506507">
              <w:rPr>
                <w:b/>
                <w:sz w:val="20"/>
                <w:szCs w:val="20"/>
              </w:rPr>
              <w:t>Possible opportunity for influence</w:t>
            </w:r>
          </w:p>
        </w:tc>
      </w:tr>
      <w:tr w:rsidR="007722E8" w:rsidRPr="00506507" w14:paraId="1892B341" w14:textId="77777777" w:rsidTr="005F7185">
        <w:tc>
          <w:tcPr>
            <w:tcW w:w="9016" w:type="dxa"/>
            <w:gridSpan w:val="3"/>
            <w:shd w:val="clear" w:color="auto" w:fill="D9D9D9" w:themeFill="background1" w:themeFillShade="D9"/>
          </w:tcPr>
          <w:p w14:paraId="2506FFDE" w14:textId="77777777" w:rsidR="007722E8" w:rsidRPr="00506507" w:rsidRDefault="007722E8" w:rsidP="005F7185">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Convention on Migratory Species (CMS)</w:t>
            </w:r>
          </w:p>
        </w:tc>
      </w:tr>
      <w:tr w:rsidR="007722E8" w:rsidRPr="00506507" w14:paraId="76BDB8C9" w14:textId="77777777" w:rsidTr="005F7185">
        <w:tc>
          <w:tcPr>
            <w:tcW w:w="3005" w:type="dxa"/>
          </w:tcPr>
          <w:p w14:paraId="4EF382A7" w14:textId="77777777" w:rsidR="007722E8" w:rsidRPr="00506507" w:rsidRDefault="007722E8" w:rsidP="005F7185">
            <w:pPr>
              <w:rPr>
                <w:sz w:val="19"/>
                <w:szCs w:val="19"/>
              </w:rPr>
            </w:pPr>
            <w:r w:rsidRPr="00506507">
              <w:rPr>
                <w:sz w:val="19"/>
                <w:szCs w:val="19"/>
              </w:rPr>
              <w:t xml:space="preserve">CMS COP Resolution </w:t>
            </w:r>
            <w:r w:rsidRPr="00506507">
              <w:rPr>
                <w:color w:val="000000"/>
                <w:sz w:val="19"/>
                <w:szCs w:val="19"/>
              </w:rPr>
              <w:t>10.14 (2011) on Bycatch of CMS-listed species in gillnet fisheries</w:t>
            </w:r>
          </w:p>
        </w:tc>
        <w:tc>
          <w:tcPr>
            <w:tcW w:w="3005" w:type="dxa"/>
          </w:tcPr>
          <w:p w14:paraId="6EE829CA" w14:textId="77777777" w:rsidR="007722E8" w:rsidRPr="00506507" w:rsidRDefault="007722E8" w:rsidP="005F7185">
            <w:pPr>
              <w:rPr>
                <w:sz w:val="19"/>
                <w:szCs w:val="19"/>
              </w:rPr>
            </w:pPr>
            <w:r w:rsidRPr="00506507">
              <w:rPr>
                <w:sz w:val="19"/>
                <w:szCs w:val="19"/>
              </w:rPr>
              <w:t>Noted in preamble of MOP Resolution 6.9 (2015) on Improving the conservation status of African-Eurasian seabirds</w:t>
            </w:r>
          </w:p>
        </w:tc>
        <w:tc>
          <w:tcPr>
            <w:tcW w:w="3006" w:type="dxa"/>
          </w:tcPr>
          <w:p w14:paraId="6EBB02F5" w14:textId="77777777" w:rsidR="005B5A46" w:rsidRPr="00506507" w:rsidRDefault="005B5A46" w:rsidP="005B5A46">
            <w:pPr>
              <w:pStyle w:val="ListParagraph"/>
              <w:numPr>
                <w:ilvl w:val="0"/>
                <w:numId w:val="30"/>
              </w:numPr>
              <w:rPr>
                <w:sz w:val="19"/>
                <w:szCs w:val="19"/>
              </w:rPr>
            </w:pPr>
            <w:r w:rsidRPr="00506507">
              <w:rPr>
                <w:sz w:val="19"/>
                <w:szCs w:val="19"/>
              </w:rPr>
              <w:t>CMS Parties accounting for action via national reports.</w:t>
            </w:r>
          </w:p>
          <w:p w14:paraId="5B982484" w14:textId="2CA5E202" w:rsidR="007722E8" w:rsidRPr="00506507" w:rsidRDefault="005B5A46" w:rsidP="005B5A46">
            <w:pPr>
              <w:pStyle w:val="ListParagraph"/>
              <w:numPr>
                <w:ilvl w:val="0"/>
                <w:numId w:val="30"/>
              </w:numPr>
              <w:rPr>
                <w:sz w:val="19"/>
                <w:szCs w:val="19"/>
              </w:rPr>
            </w:pPr>
            <w:r w:rsidRPr="00506507">
              <w:rPr>
                <w:sz w:val="19"/>
                <w:szCs w:val="19"/>
              </w:rPr>
              <w:t>Follow-up attention at future CMS COPs.</w:t>
            </w:r>
          </w:p>
        </w:tc>
      </w:tr>
      <w:tr w:rsidR="007722E8" w:rsidRPr="00506507" w14:paraId="71E8E11E" w14:textId="77777777" w:rsidTr="005F7185">
        <w:tc>
          <w:tcPr>
            <w:tcW w:w="3005" w:type="dxa"/>
          </w:tcPr>
          <w:p w14:paraId="6766F93E" w14:textId="77777777" w:rsidR="007722E8" w:rsidRPr="00506507" w:rsidRDefault="007722E8" w:rsidP="005F7185">
            <w:pPr>
              <w:rPr>
                <w:sz w:val="19"/>
                <w:szCs w:val="19"/>
              </w:rPr>
            </w:pPr>
            <w:r w:rsidRPr="00506507">
              <w:rPr>
                <w:sz w:val="19"/>
                <w:szCs w:val="19"/>
              </w:rPr>
              <w:t xml:space="preserve">CMS COP Resolution 12.22 (2017) </w:t>
            </w:r>
            <w:r w:rsidRPr="00506507">
              <w:rPr>
                <w:color w:val="000000"/>
                <w:sz w:val="19"/>
                <w:szCs w:val="19"/>
              </w:rPr>
              <w:t>on Bycatch of CMS-listed species</w:t>
            </w:r>
          </w:p>
        </w:tc>
        <w:tc>
          <w:tcPr>
            <w:tcW w:w="3005" w:type="dxa"/>
          </w:tcPr>
          <w:p w14:paraId="7474B409" w14:textId="77777777" w:rsidR="007722E8" w:rsidRPr="00506507" w:rsidRDefault="007722E8" w:rsidP="005F7185">
            <w:pPr>
              <w:rPr>
                <w:sz w:val="19"/>
                <w:szCs w:val="19"/>
              </w:rPr>
            </w:pPr>
            <w:r w:rsidRPr="00506507">
              <w:rPr>
                <w:sz w:val="19"/>
                <w:szCs w:val="19"/>
              </w:rPr>
              <w:t>Noted in preamble of MOP Resolution 7.6 (2018) on Priorities for the conservation of seabirds in the African-Eurasian flyways</w:t>
            </w:r>
          </w:p>
        </w:tc>
        <w:tc>
          <w:tcPr>
            <w:tcW w:w="3006" w:type="dxa"/>
          </w:tcPr>
          <w:p w14:paraId="595295F8" w14:textId="77777777" w:rsidR="005B5A46" w:rsidRPr="00506507" w:rsidRDefault="005B5A46" w:rsidP="005B5A46">
            <w:pPr>
              <w:pStyle w:val="ListParagraph"/>
              <w:numPr>
                <w:ilvl w:val="0"/>
                <w:numId w:val="30"/>
              </w:numPr>
              <w:rPr>
                <w:sz w:val="19"/>
                <w:szCs w:val="19"/>
              </w:rPr>
            </w:pPr>
            <w:r w:rsidRPr="00506507">
              <w:rPr>
                <w:sz w:val="19"/>
                <w:szCs w:val="19"/>
              </w:rPr>
              <w:t>CMS Parties accounting for action via national reports.</w:t>
            </w:r>
          </w:p>
          <w:p w14:paraId="3C2BA86B" w14:textId="72DC2F41" w:rsidR="007722E8" w:rsidRPr="00506507" w:rsidRDefault="005B5A46" w:rsidP="005B5A46">
            <w:pPr>
              <w:pStyle w:val="ListParagraph"/>
              <w:numPr>
                <w:ilvl w:val="0"/>
                <w:numId w:val="30"/>
              </w:numPr>
              <w:rPr>
                <w:sz w:val="19"/>
                <w:szCs w:val="19"/>
              </w:rPr>
            </w:pPr>
            <w:r w:rsidRPr="00506507">
              <w:rPr>
                <w:sz w:val="19"/>
                <w:szCs w:val="19"/>
              </w:rPr>
              <w:t>Follow-up attention at future CMS COPs.</w:t>
            </w:r>
          </w:p>
        </w:tc>
      </w:tr>
      <w:tr w:rsidR="00882F12" w:rsidRPr="00506507" w14:paraId="361E5976" w14:textId="77777777" w:rsidTr="005F7185">
        <w:tc>
          <w:tcPr>
            <w:tcW w:w="3005" w:type="dxa"/>
          </w:tcPr>
          <w:p w14:paraId="111367B9" w14:textId="4B33B4F7" w:rsidR="00882F12" w:rsidRPr="00506507" w:rsidRDefault="00882F12" w:rsidP="005F7185">
            <w:pPr>
              <w:rPr>
                <w:color w:val="000000"/>
                <w:sz w:val="19"/>
                <w:szCs w:val="19"/>
              </w:rPr>
            </w:pPr>
            <w:r w:rsidRPr="00506507">
              <w:rPr>
                <w:color w:val="000000"/>
                <w:sz w:val="19"/>
                <w:szCs w:val="19"/>
              </w:rPr>
              <w:t xml:space="preserve">International Single Species Action Plan for the Conservation of the White-headed Duck </w:t>
            </w:r>
            <w:proofErr w:type="spellStart"/>
            <w:r w:rsidRPr="00506507">
              <w:rPr>
                <w:i/>
                <w:color w:val="000000"/>
                <w:sz w:val="19"/>
                <w:szCs w:val="19"/>
              </w:rPr>
              <w:t>Oxyura</w:t>
            </w:r>
            <w:proofErr w:type="spellEnd"/>
            <w:r w:rsidRPr="00506507">
              <w:rPr>
                <w:i/>
                <w:color w:val="000000"/>
                <w:sz w:val="19"/>
                <w:szCs w:val="19"/>
              </w:rPr>
              <w:t xml:space="preserve"> </w:t>
            </w:r>
            <w:proofErr w:type="spellStart"/>
            <w:r w:rsidRPr="00506507">
              <w:rPr>
                <w:i/>
                <w:color w:val="000000"/>
                <w:sz w:val="19"/>
                <w:szCs w:val="19"/>
              </w:rPr>
              <w:t>leucocephala</w:t>
            </w:r>
            <w:proofErr w:type="spellEnd"/>
            <w:r w:rsidRPr="00506507">
              <w:rPr>
                <w:color w:val="000000"/>
                <w:sz w:val="19"/>
                <w:szCs w:val="19"/>
              </w:rPr>
              <w:t xml:space="preserve"> – activities 2.3, 2.6, 2.7 and 5.8 address the threat of bycatch in fishing nets</w:t>
            </w:r>
          </w:p>
        </w:tc>
        <w:tc>
          <w:tcPr>
            <w:tcW w:w="3005" w:type="dxa"/>
          </w:tcPr>
          <w:p w14:paraId="307ED164" w14:textId="205D35B0" w:rsidR="00882F12" w:rsidRPr="00506507" w:rsidRDefault="00882F12" w:rsidP="00EE63D7">
            <w:pPr>
              <w:rPr>
                <w:color w:val="000000"/>
                <w:sz w:val="19"/>
                <w:szCs w:val="19"/>
              </w:rPr>
            </w:pPr>
            <w:r w:rsidRPr="00506507">
              <w:rPr>
                <w:color w:val="000000"/>
                <w:sz w:val="19"/>
                <w:szCs w:val="19"/>
              </w:rPr>
              <w:t xml:space="preserve">AEWA is joint publisher of the Action Plan </w:t>
            </w:r>
            <w:r w:rsidR="00E16C1B" w:rsidRPr="00506507">
              <w:rPr>
                <w:color w:val="000000"/>
                <w:sz w:val="19"/>
                <w:szCs w:val="19"/>
              </w:rPr>
              <w:t>(AEWA Technical Series No. 8</w:t>
            </w:r>
            <w:r w:rsidR="00EE63D7" w:rsidRPr="00506507">
              <w:rPr>
                <w:color w:val="000000"/>
                <w:sz w:val="19"/>
                <w:szCs w:val="19"/>
              </w:rPr>
              <w:t>,</w:t>
            </w:r>
            <w:r w:rsidR="00E16C1B" w:rsidRPr="00506507">
              <w:rPr>
                <w:color w:val="000000"/>
                <w:sz w:val="19"/>
                <w:szCs w:val="19"/>
              </w:rPr>
              <w:t xml:space="preserve"> 2006) </w:t>
            </w:r>
            <w:r w:rsidRPr="00506507">
              <w:rPr>
                <w:color w:val="000000"/>
                <w:sz w:val="19"/>
                <w:szCs w:val="19"/>
              </w:rPr>
              <w:t>together with CMS and the EU, with the aim of assisting fulfilment of obligations under AEWA, CMS and the EU Wild Birds Directive, consistent with Article III.2(e) of the Agreement</w:t>
            </w:r>
          </w:p>
        </w:tc>
        <w:tc>
          <w:tcPr>
            <w:tcW w:w="3006" w:type="dxa"/>
          </w:tcPr>
          <w:p w14:paraId="0C33B11D" w14:textId="6BD67C6E" w:rsidR="00882F12" w:rsidRPr="00506507" w:rsidRDefault="00084207" w:rsidP="00084207">
            <w:pPr>
              <w:pStyle w:val="ListParagraph"/>
              <w:numPr>
                <w:ilvl w:val="0"/>
                <w:numId w:val="30"/>
              </w:numPr>
              <w:rPr>
                <w:sz w:val="19"/>
                <w:szCs w:val="19"/>
              </w:rPr>
            </w:pPr>
            <w:r w:rsidRPr="00506507">
              <w:rPr>
                <w:sz w:val="19"/>
                <w:szCs w:val="19"/>
              </w:rPr>
              <w:t>Review of progress in implementation.</w:t>
            </w:r>
          </w:p>
        </w:tc>
      </w:tr>
      <w:tr w:rsidR="00EE63D7" w:rsidRPr="00506507" w14:paraId="468364BE" w14:textId="77777777" w:rsidTr="005F7185">
        <w:tc>
          <w:tcPr>
            <w:tcW w:w="3005" w:type="dxa"/>
          </w:tcPr>
          <w:p w14:paraId="4250EF3D" w14:textId="1AA5E576" w:rsidR="00EE63D7" w:rsidRPr="00506507" w:rsidRDefault="00EE63D7" w:rsidP="00EE63D7">
            <w:pPr>
              <w:rPr>
                <w:color w:val="000000"/>
                <w:sz w:val="19"/>
                <w:szCs w:val="19"/>
              </w:rPr>
            </w:pPr>
            <w:r w:rsidRPr="00506507">
              <w:rPr>
                <w:color w:val="000000"/>
                <w:sz w:val="19"/>
                <w:szCs w:val="19"/>
              </w:rPr>
              <w:t xml:space="preserve">International Single Species Action Plan for the Conservation of the Ferruginous Duck </w:t>
            </w:r>
            <w:r w:rsidRPr="00506507">
              <w:rPr>
                <w:i/>
                <w:color w:val="000000"/>
                <w:sz w:val="19"/>
                <w:szCs w:val="19"/>
              </w:rPr>
              <w:t xml:space="preserve">Aythya </w:t>
            </w:r>
            <w:proofErr w:type="spellStart"/>
            <w:r w:rsidRPr="00506507">
              <w:rPr>
                <w:i/>
                <w:color w:val="000000"/>
                <w:sz w:val="19"/>
                <w:szCs w:val="19"/>
              </w:rPr>
              <w:t>nyroca</w:t>
            </w:r>
            <w:proofErr w:type="spellEnd"/>
            <w:r w:rsidRPr="00506507">
              <w:rPr>
                <w:color w:val="000000"/>
                <w:sz w:val="19"/>
                <w:szCs w:val="19"/>
              </w:rPr>
              <w:t xml:space="preserve"> – activities 2.3, 2.9, 2.10 and 3.8 address the threat of bycatch in fishing nets</w:t>
            </w:r>
          </w:p>
        </w:tc>
        <w:tc>
          <w:tcPr>
            <w:tcW w:w="3005" w:type="dxa"/>
          </w:tcPr>
          <w:p w14:paraId="35F6C6CF" w14:textId="259AA8AE" w:rsidR="00EE63D7" w:rsidRPr="00506507" w:rsidRDefault="00EE63D7" w:rsidP="00EE63D7">
            <w:pPr>
              <w:rPr>
                <w:color w:val="000000"/>
                <w:sz w:val="19"/>
                <w:szCs w:val="19"/>
              </w:rPr>
            </w:pPr>
            <w:r w:rsidRPr="00506507">
              <w:rPr>
                <w:color w:val="000000"/>
                <w:sz w:val="19"/>
                <w:szCs w:val="19"/>
              </w:rPr>
              <w:t>AEWA is joint publisher of the Action Plan (AEWA Technical Series No. 7, 2006) together with CMS, with the aim of assisting fulfilment of obligations under AEWA and CMS, consistent with Article III.2(e) of the Agreement</w:t>
            </w:r>
          </w:p>
        </w:tc>
        <w:tc>
          <w:tcPr>
            <w:tcW w:w="3006" w:type="dxa"/>
          </w:tcPr>
          <w:p w14:paraId="5735D042" w14:textId="3CA01728" w:rsidR="00EE63D7" w:rsidRPr="00506507" w:rsidRDefault="00084207" w:rsidP="00084207">
            <w:pPr>
              <w:pStyle w:val="ListParagraph"/>
              <w:numPr>
                <w:ilvl w:val="0"/>
                <w:numId w:val="30"/>
              </w:numPr>
              <w:rPr>
                <w:color w:val="000000"/>
                <w:sz w:val="19"/>
                <w:szCs w:val="19"/>
              </w:rPr>
            </w:pPr>
            <w:r w:rsidRPr="00506507">
              <w:rPr>
                <w:sz w:val="19"/>
                <w:szCs w:val="19"/>
              </w:rPr>
              <w:t>Review of progress in implementation.</w:t>
            </w:r>
          </w:p>
        </w:tc>
      </w:tr>
      <w:tr w:rsidR="007722E8" w:rsidRPr="00506507" w14:paraId="439241EB" w14:textId="77777777" w:rsidTr="005F7185">
        <w:tc>
          <w:tcPr>
            <w:tcW w:w="9016" w:type="dxa"/>
            <w:gridSpan w:val="3"/>
            <w:shd w:val="clear" w:color="auto" w:fill="D9D9D9" w:themeFill="background1" w:themeFillShade="D9"/>
          </w:tcPr>
          <w:p w14:paraId="0E112A59" w14:textId="77777777" w:rsidR="007722E8" w:rsidRPr="00506507" w:rsidRDefault="007722E8" w:rsidP="005F7185">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Agreement on the Conservation of Albatrosses and Petrels (ACAP)</w:t>
            </w:r>
          </w:p>
        </w:tc>
      </w:tr>
      <w:tr w:rsidR="007722E8" w:rsidRPr="00506507" w14:paraId="05B56EFE" w14:textId="77777777" w:rsidTr="005F7185">
        <w:tc>
          <w:tcPr>
            <w:tcW w:w="3005" w:type="dxa"/>
          </w:tcPr>
          <w:p w14:paraId="5CF7A6F1" w14:textId="77777777" w:rsidR="007722E8" w:rsidRPr="00506507" w:rsidRDefault="007722E8" w:rsidP="005F7185">
            <w:pPr>
              <w:rPr>
                <w:sz w:val="19"/>
                <w:szCs w:val="19"/>
              </w:rPr>
            </w:pPr>
            <w:r w:rsidRPr="00506507">
              <w:rPr>
                <w:color w:val="000000"/>
                <w:sz w:val="19"/>
                <w:szCs w:val="19"/>
              </w:rPr>
              <w:t>Joint issues of concern and potential synergies between AEWA and ACAP</w:t>
            </w:r>
          </w:p>
        </w:tc>
        <w:tc>
          <w:tcPr>
            <w:tcW w:w="3005" w:type="dxa"/>
          </w:tcPr>
          <w:p w14:paraId="23CC4BD6" w14:textId="77777777" w:rsidR="007722E8" w:rsidRPr="00506507" w:rsidRDefault="007722E8" w:rsidP="005F7185">
            <w:pPr>
              <w:rPr>
                <w:sz w:val="19"/>
                <w:szCs w:val="19"/>
              </w:rPr>
            </w:pPr>
            <w:r w:rsidRPr="00506507">
              <w:rPr>
                <w:sz w:val="19"/>
                <w:szCs w:val="19"/>
              </w:rPr>
              <w:t>Noted in preamble of MOP Resolution 6.9 (2015) on Improving the conservation status of African-Eurasian seabirds; and in preamble of MOP Resolution 7.6 (2018) on Priorities for the conservation of seabirds in the African-Eurasian flyways</w:t>
            </w:r>
          </w:p>
        </w:tc>
        <w:tc>
          <w:tcPr>
            <w:tcW w:w="3006" w:type="dxa"/>
          </w:tcPr>
          <w:p w14:paraId="3BD8E21D" w14:textId="77777777" w:rsidR="004C70BC" w:rsidRPr="00506507" w:rsidRDefault="005C6F88" w:rsidP="00267F27">
            <w:pPr>
              <w:pStyle w:val="ListParagraph"/>
              <w:numPr>
                <w:ilvl w:val="0"/>
                <w:numId w:val="30"/>
              </w:numPr>
              <w:rPr>
                <w:sz w:val="19"/>
                <w:szCs w:val="19"/>
              </w:rPr>
            </w:pPr>
            <w:r w:rsidRPr="00506507">
              <w:rPr>
                <w:sz w:val="19"/>
                <w:szCs w:val="19"/>
              </w:rPr>
              <w:t>Explore scope of opportunities for collaboration/ synergy in further detail.</w:t>
            </w:r>
          </w:p>
          <w:p w14:paraId="6F8613E0" w14:textId="31CB1777" w:rsidR="007722E8" w:rsidRPr="00506507" w:rsidRDefault="00267F27" w:rsidP="00267F27">
            <w:pPr>
              <w:pStyle w:val="ListParagraph"/>
              <w:numPr>
                <w:ilvl w:val="0"/>
                <w:numId w:val="30"/>
              </w:numPr>
              <w:rPr>
                <w:sz w:val="19"/>
                <w:szCs w:val="19"/>
              </w:rPr>
            </w:pPr>
            <w:r w:rsidRPr="00506507">
              <w:rPr>
                <w:sz w:val="19"/>
                <w:szCs w:val="19"/>
              </w:rPr>
              <w:t>Encourage design and application of measures to reduce bycatch of albatrosses and petrels in ways which also address other seabirds.</w:t>
            </w:r>
          </w:p>
        </w:tc>
      </w:tr>
      <w:tr w:rsidR="007722E8" w:rsidRPr="00506507" w14:paraId="3C5FEC80" w14:textId="77777777" w:rsidTr="005F7185">
        <w:tc>
          <w:tcPr>
            <w:tcW w:w="3005" w:type="dxa"/>
          </w:tcPr>
          <w:p w14:paraId="1C6FA812" w14:textId="77777777" w:rsidR="007722E8" w:rsidRPr="00506507" w:rsidRDefault="007722E8" w:rsidP="005F7185">
            <w:pPr>
              <w:rPr>
                <w:sz w:val="19"/>
                <w:szCs w:val="19"/>
              </w:rPr>
            </w:pPr>
            <w:r w:rsidRPr="00506507">
              <w:rPr>
                <w:sz w:val="19"/>
                <w:szCs w:val="19"/>
              </w:rPr>
              <w:t>Albatross Task Force, led by BirdLife International (supporting ACAP)</w:t>
            </w:r>
          </w:p>
        </w:tc>
        <w:tc>
          <w:tcPr>
            <w:tcW w:w="3005" w:type="dxa"/>
          </w:tcPr>
          <w:p w14:paraId="028F6AF2" w14:textId="77777777" w:rsidR="007722E8" w:rsidRPr="00506507" w:rsidRDefault="007722E8" w:rsidP="005F7185">
            <w:pPr>
              <w:rPr>
                <w:sz w:val="19"/>
                <w:szCs w:val="19"/>
              </w:rPr>
            </w:pPr>
            <w:r w:rsidRPr="00506507">
              <w:rPr>
                <w:sz w:val="19"/>
                <w:szCs w:val="19"/>
              </w:rPr>
              <w:t>Noted in preamble of MOP Resolution 6.9 (2015) on Improving the conservation status of African-Eurasian seabirds</w:t>
            </w:r>
          </w:p>
        </w:tc>
        <w:tc>
          <w:tcPr>
            <w:tcW w:w="3006" w:type="dxa"/>
          </w:tcPr>
          <w:p w14:paraId="5306866D" w14:textId="23AE1C0C" w:rsidR="007722E8" w:rsidRPr="00506507" w:rsidRDefault="005C6F88" w:rsidP="005C6F88">
            <w:pPr>
              <w:pStyle w:val="ListParagraph"/>
              <w:numPr>
                <w:ilvl w:val="0"/>
                <w:numId w:val="30"/>
              </w:numPr>
              <w:rPr>
                <w:sz w:val="19"/>
                <w:szCs w:val="19"/>
              </w:rPr>
            </w:pPr>
            <w:r w:rsidRPr="00506507">
              <w:rPr>
                <w:sz w:val="19"/>
                <w:szCs w:val="19"/>
              </w:rPr>
              <w:t>Influence the agenda and work of the Task Force.</w:t>
            </w:r>
          </w:p>
        </w:tc>
      </w:tr>
      <w:tr w:rsidR="007722E8" w:rsidRPr="00506507" w14:paraId="02E0B623" w14:textId="77777777" w:rsidTr="005F7185">
        <w:tc>
          <w:tcPr>
            <w:tcW w:w="9016" w:type="dxa"/>
            <w:gridSpan w:val="3"/>
            <w:shd w:val="clear" w:color="auto" w:fill="D9D9D9" w:themeFill="background1" w:themeFillShade="D9"/>
          </w:tcPr>
          <w:p w14:paraId="4700C05E" w14:textId="77777777" w:rsidR="007722E8" w:rsidRPr="00506507" w:rsidRDefault="007722E8" w:rsidP="005F7185">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UN Food &amp; Agriculture Organisation (FAO)</w:t>
            </w:r>
          </w:p>
        </w:tc>
      </w:tr>
      <w:tr w:rsidR="007722E8" w:rsidRPr="00506507" w14:paraId="39AA0DD1" w14:textId="77777777" w:rsidTr="005F7185">
        <w:tc>
          <w:tcPr>
            <w:tcW w:w="3005" w:type="dxa"/>
          </w:tcPr>
          <w:p w14:paraId="01B803FB" w14:textId="77777777" w:rsidR="007722E8" w:rsidRPr="00506507" w:rsidRDefault="007722E8" w:rsidP="005F7185">
            <w:pPr>
              <w:rPr>
                <w:sz w:val="19"/>
                <w:szCs w:val="19"/>
              </w:rPr>
            </w:pPr>
            <w:r w:rsidRPr="00506507">
              <w:rPr>
                <w:color w:val="000000"/>
                <w:sz w:val="19"/>
                <w:szCs w:val="19"/>
              </w:rPr>
              <w:t>International Plan of Action (1999) for Reducing incidental catch of seabirds in longline fisheries (“IPOA-Seabirds”)</w:t>
            </w:r>
          </w:p>
        </w:tc>
        <w:tc>
          <w:tcPr>
            <w:tcW w:w="3005" w:type="dxa"/>
          </w:tcPr>
          <w:p w14:paraId="0B7D6E8F" w14:textId="77777777" w:rsidR="007722E8" w:rsidRPr="00506507" w:rsidRDefault="007722E8" w:rsidP="005F7185">
            <w:pPr>
              <w:rPr>
                <w:sz w:val="19"/>
                <w:szCs w:val="19"/>
              </w:rPr>
            </w:pPr>
            <w:r w:rsidRPr="00506507">
              <w:rPr>
                <w:sz w:val="19"/>
                <w:szCs w:val="19"/>
              </w:rPr>
              <w:t>Noted in preamble of MOP Resolution 6.9 (2015) on Improving the conservation status of African-Eurasian seabirds</w:t>
            </w:r>
          </w:p>
        </w:tc>
        <w:tc>
          <w:tcPr>
            <w:tcW w:w="3006" w:type="dxa"/>
          </w:tcPr>
          <w:p w14:paraId="66071B2A" w14:textId="1D530A5F" w:rsidR="007722E8" w:rsidRPr="00506507" w:rsidRDefault="005C6F88" w:rsidP="005C6F88">
            <w:pPr>
              <w:pStyle w:val="ListParagraph"/>
              <w:numPr>
                <w:ilvl w:val="0"/>
                <w:numId w:val="30"/>
              </w:numPr>
              <w:rPr>
                <w:sz w:val="19"/>
                <w:szCs w:val="19"/>
              </w:rPr>
            </w:pPr>
            <w:r w:rsidRPr="00506507">
              <w:rPr>
                <w:sz w:val="19"/>
                <w:szCs w:val="19"/>
              </w:rPr>
              <w:t>Monitoring implementation of the IPOA.</w:t>
            </w:r>
          </w:p>
        </w:tc>
      </w:tr>
      <w:tr w:rsidR="007722E8" w:rsidRPr="00506507" w14:paraId="0D0B6C82" w14:textId="77777777" w:rsidTr="005F7185">
        <w:tc>
          <w:tcPr>
            <w:tcW w:w="9016" w:type="dxa"/>
            <w:gridSpan w:val="3"/>
            <w:shd w:val="clear" w:color="auto" w:fill="D9D9D9" w:themeFill="background1" w:themeFillShade="D9"/>
          </w:tcPr>
          <w:p w14:paraId="4BE0E058" w14:textId="77777777" w:rsidR="007722E8" w:rsidRPr="00506507" w:rsidRDefault="007722E8" w:rsidP="005F7185">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UN 2030 Agenda for Sustainable Development / Sustainable Development Goals (SDGs)</w:t>
            </w:r>
          </w:p>
        </w:tc>
      </w:tr>
      <w:tr w:rsidR="007722E8" w:rsidRPr="00506507" w14:paraId="563642FA" w14:textId="77777777" w:rsidTr="005F7185">
        <w:tc>
          <w:tcPr>
            <w:tcW w:w="3005" w:type="dxa"/>
          </w:tcPr>
          <w:p w14:paraId="4C3B0166" w14:textId="77777777" w:rsidR="007722E8" w:rsidRDefault="007722E8" w:rsidP="005F7185">
            <w:pPr>
              <w:rPr>
                <w:color w:val="000000"/>
                <w:sz w:val="19"/>
                <w:szCs w:val="19"/>
              </w:rPr>
            </w:pPr>
            <w:r w:rsidRPr="00506507">
              <w:rPr>
                <w:color w:val="000000"/>
                <w:sz w:val="19"/>
                <w:szCs w:val="19"/>
              </w:rPr>
              <w:t xml:space="preserve">SDG 14 on the conservation and sustainable use of the oceans, </w:t>
            </w:r>
            <w:proofErr w:type="gramStart"/>
            <w:r w:rsidRPr="00506507">
              <w:rPr>
                <w:color w:val="000000"/>
                <w:sz w:val="19"/>
                <w:szCs w:val="19"/>
              </w:rPr>
              <w:t>seas</w:t>
            </w:r>
            <w:proofErr w:type="gramEnd"/>
            <w:r w:rsidRPr="00506507">
              <w:rPr>
                <w:color w:val="000000"/>
                <w:sz w:val="19"/>
                <w:szCs w:val="19"/>
              </w:rPr>
              <w:t xml:space="preserve"> and marine resources, and in particular Target 14.4 on effectively regulating harvesting and ending overfishing, Illegal, Unreported and Unregulated (IUU) fishing and destructive fishing practices</w:t>
            </w:r>
          </w:p>
          <w:p w14:paraId="493C949B" w14:textId="77777777" w:rsidR="00E1163B" w:rsidRDefault="00E1163B" w:rsidP="005F7185">
            <w:pPr>
              <w:rPr>
                <w:color w:val="000000"/>
                <w:sz w:val="19"/>
                <w:szCs w:val="19"/>
              </w:rPr>
            </w:pPr>
          </w:p>
          <w:p w14:paraId="0A4E7738" w14:textId="0EB1775B" w:rsidR="00E1163B" w:rsidRPr="00506507" w:rsidRDefault="00E1163B" w:rsidP="005F7185">
            <w:pPr>
              <w:rPr>
                <w:color w:val="000000"/>
                <w:sz w:val="19"/>
                <w:szCs w:val="19"/>
              </w:rPr>
            </w:pPr>
          </w:p>
        </w:tc>
        <w:tc>
          <w:tcPr>
            <w:tcW w:w="3005" w:type="dxa"/>
          </w:tcPr>
          <w:p w14:paraId="7F405776" w14:textId="77777777" w:rsidR="007722E8" w:rsidRPr="00506507" w:rsidRDefault="007722E8" w:rsidP="005F7185">
            <w:pPr>
              <w:rPr>
                <w:sz w:val="19"/>
                <w:szCs w:val="19"/>
              </w:rPr>
            </w:pPr>
            <w:r w:rsidRPr="00506507">
              <w:rPr>
                <w:sz w:val="19"/>
                <w:szCs w:val="19"/>
              </w:rPr>
              <w:t>Noted in preamble of MOP Resolution 7.6 (2018) on Priorities for the conservation of seabirds in the African-Eurasian flyways</w:t>
            </w:r>
          </w:p>
        </w:tc>
        <w:tc>
          <w:tcPr>
            <w:tcW w:w="3006" w:type="dxa"/>
          </w:tcPr>
          <w:p w14:paraId="62684BF1" w14:textId="73795F10" w:rsidR="007722E8" w:rsidRPr="00506507" w:rsidRDefault="005C6F88" w:rsidP="005C6F88">
            <w:pPr>
              <w:pStyle w:val="ListParagraph"/>
              <w:numPr>
                <w:ilvl w:val="0"/>
                <w:numId w:val="30"/>
              </w:numPr>
              <w:rPr>
                <w:sz w:val="19"/>
                <w:szCs w:val="19"/>
              </w:rPr>
            </w:pPr>
            <w:r w:rsidRPr="00506507">
              <w:rPr>
                <w:sz w:val="19"/>
                <w:szCs w:val="19"/>
              </w:rPr>
              <w:t>Monitoring and reporting against indicators for Target 14.4.</w:t>
            </w:r>
          </w:p>
        </w:tc>
      </w:tr>
      <w:tr w:rsidR="007722E8" w:rsidRPr="00506507" w14:paraId="735E9305" w14:textId="77777777" w:rsidTr="005F7185">
        <w:tc>
          <w:tcPr>
            <w:tcW w:w="9016" w:type="dxa"/>
            <w:gridSpan w:val="3"/>
            <w:shd w:val="clear" w:color="auto" w:fill="D9D9D9" w:themeFill="background1" w:themeFillShade="D9"/>
          </w:tcPr>
          <w:p w14:paraId="7AB45645" w14:textId="77777777" w:rsidR="007722E8" w:rsidRPr="00506507" w:rsidRDefault="007722E8" w:rsidP="005F7185">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European Union</w:t>
            </w:r>
          </w:p>
        </w:tc>
      </w:tr>
      <w:tr w:rsidR="007722E8" w:rsidRPr="00506507" w14:paraId="4C746C0E" w14:textId="77777777" w:rsidTr="005F7185">
        <w:tc>
          <w:tcPr>
            <w:tcW w:w="3005" w:type="dxa"/>
          </w:tcPr>
          <w:p w14:paraId="0E3B0DB2" w14:textId="77777777" w:rsidR="007722E8" w:rsidRPr="00506507" w:rsidRDefault="007722E8" w:rsidP="005F7185">
            <w:pPr>
              <w:rPr>
                <w:sz w:val="19"/>
                <w:szCs w:val="19"/>
              </w:rPr>
            </w:pPr>
            <w:r w:rsidRPr="00506507">
              <w:rPr>
                <w:color w:val="000000"/>
                <w:sz w:val="19"/>
                <w:szCs w:val="19"/>
              </w:rPr>
              <w:lastRenderedPageBreak/>
              <w:t>EU Common Fisheries Policy goal to achieve sustainable fisheries across the EU by 2020 and beyond</w:t>
            </w:r>
          </w:p>
        </w:tc>
        <w:tc>
          <w:tcPr>
            <w:tcW w:w="3005" w:type="dxa"/>
          </w:tcPr>
          <w:p w14:paraId="0A892847" w14:textId="77777777" w:rsidR="007722E8" w:rsidRPr="00506507" w:rsidRDefault="007722E8" w:rsidP="005F7185">
            <w:pPr>
              <w:rPr>
                <w:sz w:val="19"/>
                <w:szCs w:val="19"/>
              </w:rPr>
            </w:pPr>
            <w:r w:rsidRPr="00506507">
              <w:rPr>
                <w:sz w:val="19"/>
                <w:szCs w:val="19"/>
              </w:rPr>
              <w:t>Noted in preamble of MOP Resolution 6.9 (2015) on Improving the conservation status of African-Eurasian seabirds</w:t>
            </w:r>
          </w:p>
        </w:tc>
        <w:tc>
          <w:tcPr>
            <w:tcW w:w="3006" w:type="dxa"/>
          </w:tcPr>
          <w:p w14:paraId="4ADAF1A0" w14:textId="45C3195F" w:rsidR="007722E8" w:rsidRPr="00506507" w:rsidRDefault="003838AB" w:rsidP="003838AB">
            <w:pPr>
              <w:pStyle w:val="ListParagraph"/>
              <w:numPr>
                <w:ilvl w:val="0"/>
                <w:numId w:val="30"/>
              </w:numPr>
              <w:rPr>
                <w:sz w:val="19"/>
                <w:szCs w:val="19"/>
              </w:rPr>
            </w:pPr>
            <w:r w:rsidRPr="00506507">
              <w:rPr>
                <w:sz w:val="19"/>
                <w:szCs w:val="19"/>
              </w:rPr>
              <w:t>Policy reviews.</w:t>
            </w:r>
          </w:p>
        </w:tc>
      </w:tr>
      <w:tr w:rsidR="007722E8" w:rsidRPr="00506507" w14:paraId="75B75BF5" w14:textId="77777777" w:rsidTr="005F7185">
        <w:tc>
          <w:tcPr>
            <w:tcW w:w="3005" w:type="dxa"/>
          </w:tcPr>
          <w:p w14:paraId="29622244" w14:textId="77777777" w:rsidR="007722E8" w:rsidRPr="00506507" w:rsidRDefault="007722E8" w:rsidP="005F7185">
            <w:pPr>
              <w:rPr>
                <w:sz w:val="19"/>
                <w:szCs w:val="19"/>
              </w:rPr>
            </w:pPr>
            <w:r w:rsidRPr="00506507">
              <w:rPr>
                <w:color w:val="000000"/>
                <w:sz w:val="19"/>
                <w:szCs w:val="19"/>
              </w:rPr>
              <w:t>EU Action Plan (2012) for reducing incidental catches of seabirds in fishing gears</w:t>
            </w:r>
          </w:p>
        </w:tc>
        <w:tc>
          <w:tcPr>
            <w:tcW w:w="3005" w:type="dxa"/>
          </w:tcPr>
          <w:p w14:paraId="34C941A0" w14:textId="40752CD8" w:rsidR="007722E8" w:rsidRPr="00506507" w:rsidRDefault="007722E8" w:rsidP="000E7DF8">
            <w:pPr>
              <w:rPr>
                <w:sz w:val="19"/>
                <w:szCs w:val="19"/>
              </w:rPr>
            </w:pPr>
            <w:r w:rsidRPr="00506507">
              <w:rPr>
                <w:sz w:val="19"/>
                <w:szCs w:val="19"/>
              </w:rPr>
              <w:t>Noted in preamble of MOP Resolution 6.9 (2015) on Improving the conservation status of African-Eurasian seabirds</w:t>
            </w:r>
            <w:r w:rsidR="000E7DF8" w:rsidRPr="00506507">
              <w:rPr>
                <w:sz w:val="19"/>
                <w:szCs w:val="19"/>
              </w:rPr>
              <w:t>; and referred to in Species Action Plan for Velvet Scoter (see below)</w:t>
            </w:r>
          </w:p>
        </w:tc>
        <w:tc>
          <w:tcPr>
            <w:tcW w:w="3006" w:type="dxa"/>
          </w:tcPr>
          <w:p w14:paraId="79F6EA0D" w14:textId="77777777" w:rsidR="004C70BC" w:rsidRPr="00506507" w:rsidRDefault="003838AB" w:rsidP="004C70BC">
            <w:pPr>
              <w:pStyle w:val="ListParagraph"/>
              <w:numPr>
                <w:ilvl w:val="0"/>
                <w:numId w:val="30"/>
              </w:numPr>
              <w:rPr>
                <w:sz w:val="19"/>
                <w:szCs w:val="19"/>
              </w:rPr>
            </w:pPr>
            <w:r w:rsidRPr="00506507">
              <w:rPr>
                <w:sz w:val="19"/>
                <w:szCs w:val="19"/>
              </w:rPr>
              <w:t>Review of progress in implementation.</w:t>
            </w:r>
          </w:p>
          <w:p w14:paraId="27E77670" w14:textId="5E921D63" w:rsidR="007722E8" w:rsidRPr="00506507" w:rsidRDefault="00DF00AB" w:rsidP="004C70BC">
            <w:pPr>
              <w:pStyle w:val="ListParagraph"/>
              <w:numPr>
                <w:ilvl w:val="0"/>
                <w:numId w:val="30"/>
              </w:numPr>
              <w:rPr>
                <w:sz w:val="19"/>
                <w:szCs w:val="19"/>
              </w:rPr>
            </w:pPr>
            <w:r w:rsidRPr="00506507">
              <w:rPr>
                <w:sz w:val="19"/>
                <w:szCs w:val="19"/>
              </w:rPr>
              <w:t xml:space="preserve">Influence work towards the new </w:t>
            </w:r>
            <w:r w:rsidR="00DA5AF8" w:rsidRPr="00506507">
              <w:rPr>
                <w:sz w:val="19"/>
                <w:szCs w:val="19"/>
              </w:rPr>
              <w:t xml:space="preserve">EU </w:t>
            </w:r>
            <w:r w:rsidRPr="00506507">
              <w:rPr>
                <w:sz w:val="19"/>
                <w:szCs w:val="19"/>
              </w:rPr>
              <w:t>Action Plan to conserve fisheries resources and protect marine ecosystems, as foreshadowed under the EU Biodiversity Strategy.</w:t>
            </w:r>
          </w:p>
        </w:tc>
      </w:tr>
      <w:tr w:rsidR="007722E8" w:rsidRPr="00506507" w14:paraId="462CD5A0" w14:textId="77777777" w:rsidTr="005F7185">
        <w:tc>
          <w:tcPr>
            <w:tcW w:w="3005" w:type="dxa"/>
          </w:tcPr>
          <w:p w14:paraId="164FCBD4" w14:textId="77777777" w:rsidR="007722E8" w:rsidRPr="00506507" w:rsidRDefault="007722E8" w:rsidP="005F7185">
            <w:pPr>
              <w:rPr>
                <w:sz w:val="19"/>
                <w:szCs w:val="19"/>
              </w:rPr>
            </w:pPr>
            <w:r w:rsidRPr="00506507">
              <w:rPr>
                <w:color w:val="000000"/>
                <w:sz w:val="19"/>
                <w:szCs w:val="19"/>
              </w:rPr>
              <w:t>Joint issues of concern and potential synergies between AEWA and the EU</w:t>
            </w:r>
          </w:p>
        </w:tc>
        <w:tc>
          <w:tcPr>
            <w:tcW w:w="3005" w:type="dxa"/>
          </w:tcPr>
          <w:p w14:paraId="0E4B4761" w14:textId="77777777" w:rsidR="007722E8" w:rsidRPr="00506507" w:rsidRDefault="007722E8" w:rsidP="005F7185">
            <w:pPr>
              <w:rPr>
                <w:sz w:val="19"/>
                <w:szCs w:val="19"/>
              </w:rPr>
            </w:pPr>
            <w:r w:rsidRPr="00506507">
              <w:rPr>
                <w:sz w:val="19"/>
                <w:szCs w:val="19"/>
              </w:rPr>
              <w:t>Noted in preamble of MOP Resolution 7.6 (2018) on Priorities for the conservation of seabirds in the African-Eurasian flyways</w:t>
            </w:r>
          </w:p>
        </w:tc>
        <w:tc>
          <w:tcPr>
            <w:tcW w:w="3006" w:type="dxa"/>
          </w:tcPr>
          <w:p w14:paraId="78FE1306" w14:textId="1CFB6F46" w:rsidR="007722E8" w:rsidRPr="00506507" w:rsidRDefault="003838AB" w:rsidP="00D734D7">
            <w:pPr>
              <w:pStyle w:val="ListParagraph"/>
              <w:numPr>
                <w:ilvl w:val="0"/>
                <w:numId w:val="30"/>
              </w:numPr>
              <w:rPr>
                <w:sz w:val="19"/>
                <w:szCs w:val="19"/>
              </w:rPr>
            </w:pPr>
            <w:r w:rsidRPr="00506507">
              <w:rPr>
                <w:sz w:val="19"/>
                <w:szCs w:val="19"/>
              </w:rPr>
              <w:t>Explore scope of opportunities for collaboration/ synergy in further detail</w:t>
            </w:r>
            <w:r w:rsidR="00D734D7" w:rsidRPr="00506507">
              <w:rPr>
                <w:sz w:val="19"/>
                <w:szCs w:val="19"/>
              </w:rPr>
              <w:t>, including at national level between AEWA Focal Points and lead offices responsible for implementing EU fisheries legislation</w:t>
            </w:r>
            <w:r w:rsidRPr="00506507">
              <w:rPr>
                <w:sz w:val="19"/>
                <w:szCs w:val="19"/>
              </w:rPr>
              <w:t>.</w:t>
            </w:r>
          </w:p>
        </w:tc>
      </w:tr>
      <w:tr w:rsidR="000E7DF8" w:rsidRPr="00506507" w14:paraId="510C2CF9" w14:textId="77777777" w:rsidTr="005F7185">
        <w:tc>
          <w:tcPr>
            <w:tcW w:w="3005" w:type="dxa"/>
          </w:tcPr>
          <w:p w14:paraId="3EE6FCB3" w14:textId="09FF328E" w:rsidR="000E7DF8" w:rsidRPr="00506507" w:rsidRDefault="000E7DF8" w:rsidP="000E7DF8">
            <w:pPr>
              <w:rPr>
                <w:color w:val="000000"/>
                <w:sz w:val="19"/>
                <w:szCs w:val="19"/>
              </w:rPr>
            </w:pPr>
            <w:r w:rsidRPr="00506507">
              <w:rPr>
                <w:color w:val="000000"/>
                <w:sz w:val="19"/>
                <w:szCs w:val="19"/>
              </w:rPr>
              <w:t>International Single Species Action Plan for the Conservation of the Velvet Scoter (</w:t>
            </w:r>
            <w:proofErr w:type="spellStart"/>
            <w:r w:rsidRPr="00506507">
              <w:rPr>
                <w:i/>
                <w:color w:val="000000"/>
                <w:sz w:val="19"/>
                <w:szCs w:val="19"/>
              </w:rPr>
              <w:t>Melanitta</w:t>
            </w:r>
            <w:proofErr w:type="spellEnd"/>
            <w:r w:rsidRPr="00506507">
              <w:rPr>
                <w:i/>
                <w:color w:val="000000"/>
                <w:sz w:val="19"/>
                <w:szCs w:val="19"/>
              </w:rPr>
              <w:t xml:space="preserve"> </w:t>
            </w:r>
            <w:proofErr w:type="spellStart"/>
            <w:r w:rsidRPr="00506507">
              <w:rPr>
                <w:i/>
                <w:color w:val="000000"/>
                <w:sz w:val="19"/>
                <w:szCs w:val="19"/>
              </w:rPr>
              <w:t>fusca</w:t>
            </w:r>
            <w:proofErr w:type="spellEnd"/>
            <w:r w:rsidRPr="00506507">
              <w:rPr>
                <w:color w:val="000000"/>
                <w:sz w:val="19"/>
                <w:szCs w:val="19"/>
              </w:rPr>
              <w:t>) W Siberia &amp; N Europe/ NW Europe population</w:t>
            </w:r>
            <w:r w:rsidR="00CB23FF" w:rsidRPr="00506507">
              <w:rPr>
                <w:color w:val="000000"/>
                <w:sz w:val="19"/>
                <w:szCs w:val="19"/>
              </w:rPr>
              <w:t xml:space="preserve"> (AEWA Technical Series No. 67, 2018)</w:t>
            </w:r>
          </w:p>
        </w:tc>
        <w:tc>
          <w:tcPr>
            <w:tcW w:w="3005" w:type="dxa"/>
          </w:tcPr>
          <w:p w14:paraId="3E7934E5" w14:textId="6FCBFC17" w:rsidR="000E7DF8" w:rsidRPr="00506507" w:rsidRDefault="00CB23FF" w:rsidP="00CB23FF">
            <w:pPr>
              <w:rPr>
                <w:color w:val="000000"/>
                <w:sz w:val="19"/>
                <w:szCs w:val="19"/>
              </w:rPr>
            </w:pPr>
            <w:r w:rsidRPr="00506507">
              <w:rPr>
                <w:color w:val="000000"/>
                <w:sz w:val="19"/>
                <w:szCs w:val="19"/>
              </w:rPr>
              <w:t>This is a joint AEWA/ EU Species Action Plan</w:t>
            </w:r>
            <w:r w:rsidR="000E7DF8" w:rsidRPr="00506507">
              <w:rPr>
                <w:color w:val="000000"/>
                <w:sz w:val="19"/>
                <w:szCs w:val="19"/>
              </w:rPr>
              <w:t>, with the aim of assisting fulfilment of obligations under AEWA and the EU Wild Birds Directive, consistent with Article III.2(e) of the Agreement</w:t>
            </w:r>
          </w:p>
        </w:tc>
        <w:tc>
          <w:tcPr>
            <w:tcW w:w="3006" w:type="dxa"/>
          </w:tcPr>
          <w:p w14:paraId="4AEF152D" w14:textId="1371380B" w:rsidR="000E7DF8" w:rsidRPr="00506507" w:rsidRDefault="000E7DF8" w:rsidP="003838AB">
            <w:pPr>
              <w:pStyle w:val="ListParagraph"/>
              <w:numPr>
                <w:ilvl w:val="0"/>
                <w:numId w:val="30"/>
              </w:numPr>
              <w:rPr>
                <w:sz w:val="19"/>
                <w:szCs w:val="19"/>
              </w:rPr>
            </w:pPr>
            <w:r w:rsidRPr="00506507">
              <w:rPr>
                <w:sz w:val="19"/>
                <w:szCs w:val="19"/>
              </w:rPr>
              <w:t>Review of progress in implementation.</w:t>
            </w:r>
          </w:p>
        </w:tc>
      </w:tr>
      <w:tr w:rsidR="005D5DCE" w:rsidRPr="00506507" w14:paraId="70B03DB8" w14:textId="77777777" w:rsidTr="005F7185">
        <w:tc>
          <w:tcPr>
            <w:tcW w:w="3005" w:type="dxa"/>
          </w:tcPr>
          <w:p w14:paraId="5E0F0730" w14:textId="33B54372" w:rsidR="005D5DCE" w:rsidRPr="00506507" w:rsidRDefault="005D5DCE" w:rsidP="005D5DCE">
            <w:pPr>
              <w:rPr>
                <w:color w:val="000000"/>
                <w:sz w:val="19"/>
                <w:szCs w:val="19"/>
              </w:rPr>
            </w:pPr>
            <w:r w:rsidRPr="00506507">
              <w:rPr>
                <w:color w:val="000000"/>
                <w:sz w:val="19"/>
                <w:szCs w:val="19"/>
              </w:rPr>
              <w:t xml:space="preserve">(See also the International Single Species Action Plan for the Conservation of the White-headed Duck </w:t>
            </w:r>
            <w:proofErr w:type="spellStart"/>
            <w:r w:rsidRPr="00506507">
              <w:rPr>
                <w:i/>
                <w:color w:val="000000"/>
                <w:sz w:val="19"/>
                <w:szCs w:val="19"/>
              </w:rPr>
              <w:t>Oxyura</w:t>
            </w:r>
            <w:proofErr w:type="spellEnd"/>
            <w:r w:rsidRPr="00506507">
              <w:rPr>
                <w:i/>
                <w:color w:val="000000"/>
                <w:sz w:val="19"/>
                <w:szCs w:val="19"/>
              </w:rPr>
              <w:t xml:space="preserve"> </w:t>
            </w:r>
            <w:proofErr w:type="spellStart"/>
            <w:r w:rsidRPr="00506507">
              <w:rPr>
                <w:i/>
                <w:color w:val="000000"/>
                <w:sz w:val="19"/>
                <w:szCs w:val="19"/>
              </w:rPr>
              <w:t>leucocephala</w:t>
            </w:r>
            <w:proofErr w:type="spellEnd"/>
            <w:r w:rsidRPr="00506507">
              <w:rPr>
                <w:color w:val="000000"/>
                <w:sz w:val="19"/>
                <w:szCs w:val="19"/>
              </w:rPr>
              <w:t xml:space="preserve"> in the section on CMS above – is a joint plan with the EU)</w:t>
            </w:r>
          </w:p>
        </w:tc>
        <w:tc>
          <w:tcPr>
            <w:tcW w:w="3005" w:type="dxa"/>
          </w:tcPr>
          <w:p w14:paraId="0193A3EB" w14:textId="35E8142C" w:rsidR="005D5DCE" w:rsidRPr="00506507" w:rsidRDefault="005D5DCE" w:rsidP="005D5DCE">
            <w:pPr>
              <w:rPr>
                <w:sz w:val="19"/>
                <w:szCs w:val="19"/>
              </w:rPr>
            </w:pPr>
            <w:r w:rsidRPr="00506507">
              <w:rPr>
                <w:color w:val="000000"/>
                <w:sz w:val="19"/>
                <w:szCs w:val="19"/>
              </w:rPr>
              <w:t>(See under CMS section above)</w:t>
            </w:r>
          </w:p>
        </w:tc>
        <w:tc>
          <w:tcPr>
            <w:tcW w:w="3006" w:type="dxa"/>
          </w:tcPr>
          <w:p w14:paraId="18041BEE" w14:textId="0DEF71A9" w:rsidR="005D5DCE" w:rsidRPr="00506507" w:rsidRDefault="005D5DCE" w:rsidP="005D5DCE">
            <w:pPr>
              <w:rPr>
                <w:sz w:val="19"/>
                <w:szCs w:val="19"/>
              </w:rPr>
            </w:pPr>
            <w:r w:rsidRPr="00506507">
              <w:rPr>
                <w:color w:val="000000"/>
                <w:sz w:val="19"/>
                <w:szCs w:val="19"/>
              </w:rPr>
              <w:t>(See under CMS section above)</w:t>
            </w:r>
          </w:p>
        </w:tc>
      </w:tr>
      <w:tr w:rsidR="005D5DCE" w:rsidRPr="00506507" w14:paraId="0B0588AB" w14:textId="77777777" w:rsidTr="005F7185">
        <w:tc>
          <w:tcPr>
            <w:tcW w:w="9016" w:type="dxa"/>
            <w:gridSpan w:val="3"/>
            <w:shd w:val="clear" w:color="auto" w:fill="D9D9D9" w:themeFill="background1" w:themeFillShade="D9"/>
          </w:tcPr>
          <w:p w14:paraId="410C2C1F" w14:textId="77777777" w:rsidR="005D5DCE" w:rsidRPr="00506507" w:rsidRDefault="005D5DCE" w:rsidP="005D5DCE">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Regional Fisheries Management Organisations (RFMOs)</w:t>
            </w:r>
          </w:p>
        </w:tc>
      </w:tr>
      <w:tr w:rsidR="005D5DCE" w:rsidRPr="00506507" w14:paraId="64534A74" w14:textId="77777777" w:rsidTr="005867D6">
        <w:trPr>
          <w:trHeight w:val="4044"/>
        </w:trPr>
        <w:tc>
          <w:tcPr>
            <w:tcW w:w="3005" w:type="dxa"/>
          </w:tcPr>
          <w:p w14:paraId="6E58AEB5" w14:textId="77777777" w:rsidR="005D5DCE" w:rsidRPr="00506507" w:rsidRDefault="005D5DCE" w:rsidP="005D5DCE">
            <w:pPr>
              <w:rPr>
                <w:sz w:val="19"/>
                <w:szCs w:val="19"/>
              </w:rPr>
            </w:pPr>
            <w:r w:rsidRPr="00506507">
              <w:rPr>
                <w:color w:val="000000"/>
                <w:sz w:val="19"/>
                <w:szCs w:val="19"/>
              </w:rPr>
              <w:t>The central role and responsibilities of RFMOs to minimise catch of non-target species in their fisheries, as established in the UN Fish Stocks Agreement</w:t>
            </w:r>
          </w:p>
        </w:tc>
        <w:tc>
          <w:tcPr>
            <w:tcW w:w="3005" w:type="dxa"/>
          </w:tcPr>
          <w:p w14:paraId="5B33447F" w14:textId="235AA32B" w:rsidR="005D5DCE" w:rsidRPr="00506507" w:rsidRDefault="005D5DCE" w:rsidP="005D5DCE">
            <w:pPr>
              <w:rPr>
                <w:sz w:val="19"/>
                <w:szCs w:val="19"/>
              </w:rPr>
            </w:pPr>
            <w:r w:rsidRPr="00506507">
              <w:rPr>
                <w:sz w:val="19"/>
                <w:szCs w:val="19"/>
              </w:rPr>
              <w:t xml:space="preserve">Paragraphs 4.3.7 and 4.3.8 of Annex 3 of the Agreement (the Action Plan) urge </w:t>
            </w:r>
            <w:r w:rsidRPr="00506507">
              <w:rPr>
                <w:color w:val="000000"/>
                <w:sz w:val="19"/>
                <w:szCs w:val="19"/>
              </w:rPr>
              <w:t>Parties to take appropriate actions through RFMOs to minimise the impact of fisheries on migratory waterbirds</w:t>
            </w:r>
            <w:r w:rsidRPr="00506507">
              <w:rPr>
                <w:sz w:val="19"/>
                <w:szCs w:val="19"/>
              </w:rPr>
              <w:t xml:space="preserve">.  Also noted in preamble of MOP Resolution 6.9 (2015) on Improving the conservation status of African-Eurasian seabirds; and in preamble of MOP Resolution 7.6 (2018) on Priorities for the conservation of seabirds in the African-Eurasian flyways.  Operative section of Resolution 7.6 identifies priorities for Parties including </w:t>
            </w:r>
            <w:r w:rsidRPr="00506507">
              <w:rPr>
                <w:color w:val="000000"/>
                <w:sz w:val="19"/>
                <w:szCs w:val="19"/>
              </w:rPr>
              <w:t>regular representation on priority RFMOs.</w:t>
            </w:r>
          </w:p>
        </w:tc>
        <w:tc>
          <w:tcPr>
            <w:tcW w:w="3006" w:type="dxa"/>
          </w:tcPr>
          <w:p w14:paraId="58D7A7F5" w14:textId="517BEB2B" w:rsidR="005D5DCE" w:rsidRPr="00506507" w:rsidRDefault="005D5DCE" w:rsidP="003838AB">
            <w:pPr>
              <w:pStyle w:val="ListParagraph"/>
              <w:numPr>
                <w:ilvl w:val="0"/>
                <w:numId w:val="30"/>
              </w:numPr>
              <w:rPr>
                <w:sz w:val="19"/>
                <w:szCs w:val="19"/>
              </w:rPr>
            </w:pPr>
            <w:r w:rsidRPr="00506507">
              <w:rPr>
                <w:sz w:val="19"/>
                <w:szCs w:val="19"/>
              </w:rPr>
              <w:t>Identification of priority RFMOs from the AEWA perspective.  Identify potential representatives for AEWA on each of these, and secure representation.</w:t>
            </w:r>
          </w:p>
        </w:tc>
      </w:tr>
      <w:tr w:rsidR="005D5DCE" w:rsidRPr="00506507" w14:paraId="725360F0" w14:textId="77777777" w:rsidTr="005867D6">
        <w:trPr>
          <w:trHeight w:val="177"/>
        </w:trPr>
        <w:tc>
          <w:tcPr>
            <w:tcW w:w="9016" w:type="dxa"/>
            <w:gridSpan w:val="3"/>
            <w:shd w:val="clear" w:color="auto" w:fill="D9D9D9" w:themeFill="background1" w:themeFillShade="D9"/>
          </w:tcPr>
          <w:p w14:paraId="249E91FD" w14:textId="43217347" w:rsidR="005D5DCE" w:rsidRPr="00506507" w:rsidRDefault="005D5DCE" w:rsidP="005867D6">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Baltic Marine Environment Protection Commission/ Helsinki Commission</w:t>
            </w:r>
            <w:r w:rsidRPr="00506507">
              <w:t xml:space="preserve"> (</w:t>
            </w:r>
            <w:r w:rsidRPr="00506507">
              <w:rPr>
                <w:b/>
                <w:i/>
                <w:color w:val="000066"/>
                <w:sz w:val="19"/>
                <w:szCs w:val="19"/>
              </w:rPr>
              <w:t>HELCOM)</w:t>
            </w:r>
          </w:p>
        </w:tc>
      </w:tr>
      <w:tr w:rsidR="005D5DCE" w:rsidRPr="00506507" w14:paraId="3A5607C4" w14:textId="77777777" w:rsidTr="005F7185">
        <w:tc>
          <w:tcPr>
            <w:tcW w:w="3005" w:type="dxa"/>
          </w:tcPr>
          <w:p w14:paraId="2BE6DBBE" w14:textId="28DB5922" w:rsidR="005D5DCE" w:rsidRPr="00506507" w:rsidRDefault="005D5DCE" w:rsidP="005D5DCE">
            <w:pPr>
              <w:rPr>
                <w:sz w:val="19"/>
                <w:szCs w:val="19"/>
              </w:rPr>
            </w:pPr>
            <w:r w:rsidRPr="00506507">
              <w:rPr>
                <w:sz w:val="19"/>
                <w:szCs w:val="19"/>
              </w:rPr>
              <w:t>HELCOM Baltic Sea Action Plan (2007, updated 2021)</w:t>
            </w:r>
          </w:p>
        </w:tc>
        <w:tc>
          <w:tcPr>
            <w:tcW w:w="3005" w:type="dxa"/>
          </w:tcPr>
          <w:p w14:paraId="5288DA12" w14:textId="624805D5" w:rsidR="005D5DCE" w:rsidRPr="00506507" w:rsidRDefault="005D5DCE" w:rsidP="005D5DCE">
            <w:pPr>
              <w:rPr>
                <w:sz w:val="19"/>
                <w:szCs w:val="19"/>
              </w:rPr>
            </w:pPr>
            <w:r w:rsidRPr="00506507">
              <w:rPr>
                <w:sz w:val="19"/>
                <w:szCs w:val="19"/>
              </w:rPr>
              <w:t>Preamble (reference to potential synergies) and operative section (request to Secretariat to increase AEWA engagement, collaboration and synergies) of MOP Resolution 7.6 (2018) on Priorities for the conservation of seabirds in the African-Eurasian flyways</w:t>
            </w:r>
          </w:p>
        </w:tc>
        <w:tc>
          <w:tcPr>
            <w:tcW w:w="3006" w:type="dxa"/>
          </w:tcPr>
          <w:p w14:paraId="6722BA68" w14:textId="42D4391C" w:rsidR="005D5DCE" w:rsidRPr="00506507" w:rsidRDefault="003838AB" w:rsidP="003838AB">
            <w:pPr>
              <w:pStyle w:val="ListParagraph"/>
              <w:numPr>
                <w:ilvl w:val="0"/>
                <w:numId w:val="30"/>
              </w:numPr>
              <w:rPr>
                <w:sz w:val="19"/>
                <w:szCs w:val="19"/>
              </w:rPr>
            </w:pPr>
            <w:r w:rsidRPr="00506507">
              <w:rPr>
                <w:sz w:val="19"/>
                <w:szCs w:val="19"/>
              </w:rPr>
              <w:t>Review of progress in implementation.</w:t>
            </w:r>
          </w:p>
        </w:tc>
      </w:tr>
      <w:tr w:rsidR="005D5DCE" w:rsidRPr="00506507" w14:paraId="0E67467E" w14:textId="77777777" w:rsidTr="00615458">
        <w:tc>
          <w:tcPr>
            <w:tcW w:w="9016" w:type="dxa"/>
            <w:gridSpan w:val="3"/>
            <w:shd w:val="clear" w:color="auto" w:fill="D9D9D9" w:themeFill="background1" w:themeFillShade="D9"/>
          </w:tcPr>
          <w:p w14:paraId="01B4C146" w14:textId="37468A3C" w:rsidR="005D5DCE" w:rsidRPr="00506507" w:rsidRDefault="005D5DCE" w:rsidP="005867D6">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OSPAR Convention</w:t>
            </w:r>
          </w:p>
        </w:tc>
      </w:tr>
      <w:tr w:rsidR="005D5DCE" w:rsidRPr="00506507" w14:paraId="7F03C424" w14:textId="77777777" w:rsidTr="005F7185">
        <w:tc>
          <w:tcPr>
            <w:tcW w:w="3005" w:type="dxa"/>
          </w:tcPr>
          <w:p w14:paraId="661796C3" w14:textId="50D9E138" w:rsidR="005D5DCE" w:rsidRPr="00506507" w:rsidRDefault="005D5DCE" w:rsidP="005D5DCE">
            <w:pPr>
              <w:rPr>
                <w:sz w:val="19"/>
                <w:szCs w:val="19"/>
              </w:rPr>
            </w:pPr>
            <w:r w:rsidRPr="00506507">
              <w:rPr>
                <w:sz w:val="19"/>
                <w:szCs w:val="19"/>
              </w:rPr>
              <w:t>OSPAR collaboration with HELCOM on bycatch</w:t>
            </w:r>
          </w:p>
        </w:tc>
        <w:tc>
          <w:tcPr>
            <w:tcW w:w="3005" w:type="dxa"/>
          </w:tcPr>
          <w:p w14:paraId="31FFA788" w14:textId="3B7DD372" w:rsidR="005D5DCE" w:rsidRPr="00506507" w:rsidRDefault="005D5DCE" w:rsidP="005D5DCE">
            <w:pPr>
              <w:rPr>
                <w:sz w:val="19"/>
                <w:szCs w:val="19"/>
              </w:rPr>
            </w:pPr>
            <w:r w:rsidRPr="00506507">
              <w:rPr>
                <w:sz w:val="19"/>
                <w:szCs w:val="19"/>
              </w:rPr>
              <w:t>Preamble (reference to potential synergies) and operative section (request to Secretariat to increase AEWA engagement, collaboration and synergies) of MOP Resolution 7.6 (2018) on Priorities for the conservation of seabirds in the African-Eurasian flyways</w:t>
            </w:r>
          </w:p>
        </w:tc>
        <w:tc>
          <w:tcPr>
            <w:tcW w:w="3006" w:type="dxa"/>
          </w:tcPr>
          <w:p w14:paraId="37CAED70" w14:textId="6D1133E5" w:rsidR="005D5DCE" w:rsidRPr="00506507" w:rsidRDefault="003838AB" w:rsidP="003838AB">
            <w:pPr>
              <w:pStyle w:val="ListParagraph"/>
              <w:numPr>
                <w:ilvl w:val="0"/>
                <w:numId w:val="30"/>
              </w:numPr>
              <w:rPr>
                <w:sz w:val="19"/>
                <w:szCs w:val="19"/>
              </w:rPr>
            </w:pPr>
            <w:r w:rsidRPr="00506507">
              <w:rPr>
                <w:sz w:val="19"/>
                <w:szCs w:val="19"/>
              </w:rPr>
              <w:t>Seek (strengthened) AEWA engagement on bycatch issues.</w:t>
            </w:r>
          </w:p>
        </w:tc>
      </w:tr>
      <w:tr w:rsidR="005D5DCE" w:rsidRPr="00506507" w14:paraId="51068654" w14:textId="77777777" w:rsidTr="00615458">
        <w:tc>
          <w:tcPr>
            <w:tcW w:w="9016" w:type="dxa"/>
            <w:gridSpan w:val="3"/>
            <w:shd w:val="clear" w:color="auto" w:fill="D9D9D9" w:themeFill="background1" w:themeFillShade="D9"/>
          </w:tcPr>
          <w:p w14:paraId="369A1AE5" w14:textId="1259DE21" w:rsidR="005D5DCE" w:rsidRPr="00506507" w:rsidRDefault="005D5DCE" w:rsidP="005867D6">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Conservation of Arctic Flora and Fauna (CAFF)</w:t>
            </w:r>
          </w:p>
        </w:tc>
      </w:tr>
      <w:tr w:rsidR="005D5DCE" w:rsidRPr="00506507" w14:paraId="4F0E299E" w14:textId="77777777" w:rsidTr="005F7185">
        <w:tc>
          <w:tcPr>
            <w:tcW w:w="3005" w:type="dxa"/>
          </w:tcPr>
          <w:p w14:paraId="17BAE23E" w14:textId="65258E9C" w:rsidR="005D5DCE" w:rsidRPr="00506507" w:rsidRDefault="005D5DCE" w:rsidP="005D5DCE">
            <w:pPr>
              <w:rPr>
                <w:sz w:val="19"/>
                <w:szCs w:val="19"/>
              </w:rPr>
            </w:pPr>
            <w:r w:rsidRPr="00506507">
              <w:rPr>
                <w:sz w:val="19"/>
                <w:szCs w:val="19"/>
              </w:rPr>
              <w:t>CAFF Arctic Migratory Birds Initiative</w:t>
            </w:r>
          </w:p>
        </w:tc>
        <w:tc>
          <w:tcPr>
            <w:tcW w:w="3005" w:type="dxa"/>
          </w:tcPr>
          <w:p w14:paraId="7786136D" w14:textId="67E93CFC" w:rsidR="005D5DCE" w:rsidRPr="00506507" w:rsidRDefault="005D5DCE" w:rsidP="005D5DCE">
            <w:pPr>
              <w:rPr>
                <w:sz w:val="19"/>
                <w:szCs w:val="19"/>
              </w:rPr>
            </w:pPr>
            <w:r w:rsidRPr="00506507">
              <w:rPr>
                <w:sz w:val="19"/>
                <w:szCs w:val="19"/>
              </w:rPr>
              <w:t>Preamble (reference to potential synergies) and operative section (request to Secretariat to increase AEWA engagement, collaboration and synergies) of MOP Resolution 7.6 (2018) on Priorities for the conservation of seabirds in the African-Eurasian flyways</w:t>
            </w:r>
          </w:p>
        </w:tc>
        <w:tc>
          <w:tcPr>
            <w:tcW w:w="3006" w:type="dxa"/>
          </w:tcPr>
          <w:p w14:paraId="6DA4318F" w14:textId="6BB4FB07" w:rsidR="005D5DCE" w:rsidRPr="00506507" w:rsidRDefault="003838AB" w:rsidP="003838AB">
            <w:pPr>
              <w:pStyle w:val="ListParagraph"/>
              <w:numPr>
                <w:ilvl w:val="0"/>
                <w:numId w:val="30"/>
              </w:numPr>
              <w:rPr>
                <w:sz w:val="19"/>
                <w:szCs w:val="19"/>
              </w:rPr>
            </w:pPr>
            <w:r w:rsidRPr="00506507">
              <w:rPr>
                <w:sz w:val="19"/>
                <w:szCs w:val="19"/>
              </w:rPr>
              <w:t>Seek (strengthened) AEWA engagement on bycatch issues.</w:t>
            </w:r>
          </w:p>
        </w:tc>
      </w:tr>
    </w:tbl>
    <w:p w14:paraId="7AE1AEAE" w14:textId="77777777" w:rsidR="007722E8" w:rsidRPr="00506507" w:rsidRDefault="007722E8" w:rsidP="007722E8">
      <w:pPr>
        <w:spacing w:after="20"/>
        <w:rPr>
          <w:sz w:val="22"/>
          <w:szCs w:val="22"/>
        </w:rPr>
      </w:pPr>
    </w:p>
    <w:p w14:paraId="3EF74D3C" w14:textId="4387E72A" w:rsidR="007722E8" w:rsidRPr="00506507" w:rsidRDefault="007722E8" w:rsidP="00E1163B">
      <w:pPr>
        <w:jc w:val="both"/>
        <w:rPr>
          <w:sz w:val="22"/>
          <w:szCs w:val="22"/>
        </w:rPr>
      </w:pPr>
      <w:r w:rsidRPr="00506507">
        <w:rPr>
          <w:sz w:val="22"/>
          <w:szCs w:val="22"/>
        </w:rPr>
        <w:t>In addition, some individual Species Action Plans under AEWA may contain relevant ideas.</w:t>
      </w:r>
      <w:r w:rsidR="000E7DF8" w:rsidRPr="00506507">
        <w:rPr>
          <w:sz w:val="22"/>
          <w:szCs w:val="22"/>
        </w:rPr>
        <w:t xml:space="preserve">  The International Single Species Action Plan for the Conservation of the Long-tailed Duck (</w:t>
      </w:r>
      <w:r w:rsidR="000E7DF8" w:rsidRPr="00506507">
        <w:rPr>
          <w:i/>
          <w:sz w:val="22"/>
          <w:szCs w:val="22"/>
        </w:rPr>
        <w:t xml:space="preserve">Clangula </w:t>
      </w:r>
      <w:proofErr w:type="spellStart"/>
      <w:r w:rsidR="000E7DF8" w:rsidRPr="00506507">
        <w:rPr>
          <w:i/>
          <w:sz w:val="22"/>
          <w:szCs w:val="22"/>
        </w:rPr>
        <w:t>hyemalis</w:t>
      </w:r>
      <w:proofErr w:type="spellEnd"/>
      <w:r w:rsidR="000E7DF8" w:rsidRPr="00506507">
        <w:rPr>
          <w:sz w:val="22"/>
          <w:szCs w:val="22"/>
        </w:rPr>
        <w:t>) (AEWA Technical Series No. 57, 2015) is one example where bycatch is particularly relevant.</w:t>
      </w:r>
    </w:p>
    <w:p w14:paraId="305AD2BC" w14:textId="77777777" w:rsidR="007722E8" w:rsidRPr="00506507" w:rsidRDefault="007722E8" w:rsidP="007722E8">
      <w:pPr>
        <w:spacing w:after="20"/>
        <w:rPr>
          <w:sz w:val="22"/>
          <w:szCs w:val="22"/>
        </w:rPr>
      </w:pPr>
    </w:p>
    <w:p w14:paraId="27534B44" w14:textId="77777777" w:rsidR="007722E8" w:rsidRPr="00506507" w:rsidRDefault="007722E8" w:rsidP="007722E8">
      <w:pPr>
        <w:spacing w:after="20"/>
        <w:rPr>
          <w:b/>
          <w:i/>
          <w:color w:val="003366"/>
          <w:sz w:val="22"/>
          <w:szCs w:val="22"/>
        </w:rPr>
      </w:pPr>
      <w:r w:rsidRPr="00506507">
        <w:rPr>
          <w:b/>
          <w:i/>
          <w:color w:val="003366"/>
          <w:sz w:val="22"/>
          <w:szCs w:val="22"/>
        </w:rPr>
        <w:t xml:space="preserve">  (b) Other relevant contexts</w:t>
      </w:r>
    </w:p>
    <w:p w14:paraId="6D29DC7C" w14:textId="77777777" w:rsidR="007722E8" w:rsidRPr="00506507" w:rsidRDefault="007722E8" w:rsidP="007722E8">
      <w:pPr>
        <w:spacing w:after="20"/>
        <w:rPr>
          <w:sz w:val="22"/>
          <w:szCs w:val="22"/>
        </w:rPr>
      </w:pPr>
    </w:p>
    <w:tbl>
      <w:tblPr>
        <w:tblStyle w:val="TableGrid"/>
        <w:tblW w:w="0" w:type="auto"/>
        <w:jc w:val="center"/>
        <w:tblLook w:val="04A0" w:firstRow="1" w:lastRow="0" w:firstColumn="1" w:lastColumn="0" w:noHBand="0" w:noVBand="1"/>
      </w:tblPr>
      <w:tblGrid>
        <w:gridCol w:w="4531"/>
        <w:gridCol w:w="4485"/>
      </w:tblGrid>
      <w:tr w:rsidR="006C20AC" w:rsidRPr="00506507" w14:paraId="4EDB9A10" w14:textId="77777777" w:rsidTr="00E1163B">
        <w:trPr>
          <w:jc w:val="center"/>
        </w:trPr>
        <w:tc>
          <w:tcPr>
            <w:tcW w:w="4531" w:type="dxa"/>
            <w:shd w:val="clear" w:color="auto" w:fill="DEEAF6" w:themeFill="accent1" w:themeFillTint="33"/>
            <w:vAlign w:val="center"/>
          </w:tcPr>
          <w:p w14:paraId="145CAE64" w14:textId="77777777" w:rsidR="006C20AC" w:rsidRPr="00506507" w:rsidRDefault="006C20AC" w:rsidP="002B5FE9">
            <w:pPr>
              <w:jc w:val="center"/>
              <w:rPr>
                <w:b/>
                <w:sz w:val="20"/>
                <w:szCs w:val="20"/>
              </w:rPr>
            </w:pPr>
            <w:r w:rsidRPr="00506507">
              <w:rPr>
                <w:b/>
                <w:sz w:val="20"/>
                <w:szCs w:val="20"/>
              </w:rPr>
              <w:t>Multilateral process / platform</w:t>
            </w:r>
          </w:p>
        </w:tc>
        <w:tc>
          <w:tcPr>
            <w:tcW w:w="4485" w:type="dxa"/>
            <w:shd w:val="clear" w:color="auto" w:fill="DEEAF6" w:themeFill="accent1" w:themeFillTint="33"/>
            <w:vAlign w:val="center"/>
          </w:tcPr>
          <w:p w14:paraId="429AFCA8" w14:textId="77777777" w:rsidR="006C20AC" w:rsidRPr="00506507" w:rsidRDefault="006C20AC" w:rsidP="002B5FE9">
            <w:pPr>
              <w:jc w:val="center"/>
              <w:rPr>
                <w:b/>
                <w:sz w:val="20"/>
                <w:szCs w:val="20"/>
              </w:rPr>
            </w:pPr>
            <w:r w:rsidRPr="00506507">
              <w:rPr>
                <w:b/>
                <w:sz w:val="20"/>
                <w:szCs w:val="20"/>
              </w:rPr>
              <w:t>Possible opportunity for influence</w:t>
            </w:r>
          </w:p>
        </w:tc>
      </w:tr>
      <w:tr w:rsidR="006C20AC" w:rsidRPr="00506507" w14:paraId="25723678" w14:textId="77777777" w:rsidTr="00E1163B">
        <w:trPr>
          <w:jc w:val="center"/>
        </w:trPr>
        <w:tc>
          <w:tcPr>
            <w:tcW w:w="9016" w:type="dxa"/>
            <w:gridSpan w:val="2"/>
            <w:shd w:val="clear" w:color="auto" w:fill="D9D9D9" w:themeFill="background1" w:themeFillShade="D9"/>
          </w:tcPr>
          <w:p w14:paraId="59B23A44" w14:textId="77777777" w:rsidR="006C20AC" w:rsidRPr="00506507" w:rsidRDefault="006C20AC" w:rsidP="002B5FE9">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Convention on Biological Diversity (CBD)</w:t>
            </w:r>
          </w:p>
        </w:tc>
      </w:tr>
      <w:tr w:rsidR="006C20AC" w:rsidRPr="00506507" w14:paraId="703C9ED9" w14:textId="77777777" w:rsidTr="00E1163B">
        <w:trPr>
          <w:jc w:val="center"/>
        </w:trPr>
        <w:tc>
          <w:tcPr>
            <w:tcW w:w="4531" w:type="dxa"/>
          </w:tcPr>
          <w:p w14:paraId="29A0656C" w14:textId="77777777" w:rsidR="006C20AC" w:rsidRPr="00506507" w:rsidRDefault="006C20AC" w:rsidP="002B5FE9">
            <w:pPr>
              <w:rPr>
                <w:sz w:val="19"/>
                <w:szCs w:val="19"/>
              </w:rPr>
            </w:pPr>
            <w:r w:rsidRPr="00506507">
              <w:rPr>
                <w:color w:val="000000"/>
                <w:sz w:val="19"/>
                <w:szCs w:val="19"/>
              </w:rPr>
              <w:t>Draft post-2020 Global Biodiversity Framework Target 5, on ensuring that harvesting, trade and use of wild species is sustainable, legal, and safe</w:t>
            </w:r>
          </w:p>
        </w:tc>
        <w:tc>
          <w:tcPr>
            <w:tcW w:w="4485" w:type="dxa"/>
          </w:tcPr>
          <w:p w14:paraId="3769C879" w14:textId="77777777" w:rsidR="006C20AC" w:rsidRPr="00506507" w:rsidRDefault="006C20AC" w:rsidP="002B5FE9">
            <w:pPr>
              <w:pStyle w:val="ListParagraph"/>
              <w:numPr>
                <w:ilvl w:val="0"/>
                <w:numId w:val="30"/>
              </w:numPr>
              <w:rPr>
                <w:sz w:val="19"/>
                <w:szCs w:val="19"/>
              </w:rPr>
            </w:pPr>
            <w:r w:rsidRPr="00506507">
              <w:rPr>
                <w:sz w:val="19"/>
                <w:szCs w:val="19"/>
              </w:rPr>
              <w:t>Input to development of appropriate indicators for Target 5, including via the post-COP15 Ad Hoc Technical Expert Group on the GBF Monitoring Framework.</w:t>
            </w:r>
          </w:p>
        </w:tc>
      </w:tr>
      <w:tr w:rsidR="006C20AC" w:rsidRPr="00506507" w14:paraId="7D6B7742" w14:textId="77777777" w:rsidTr="00E1163B">
        <w:trPr>
          <w:jc w:val="center"/>
        </w:trPr>
        <w:tc>
          <w:tcPr>
            <w:tcW w:w="9016" w:type="dxa"/>
            <w:gridSpan w:val="2"/>
            <w:shd w:val="clear" w:color="auto" w:fill="D9D9D9" w:themeFill="background1" w:themeFillShade="D9"/>
          </w:tcPr>
          <w:p w14:paraId="60A6E351" w14:textId="77777777" w:rsidR="006C20AC" w:rsidRPr="00506507" w:rsidRDefault="006C20AC" w:rsidP="002B5FE9">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European Union</w:t>
            </w:r>
          </w:p>
        </w:tc>
      </w:tr>
      <w:tr w:rsidR="006C20AC" w:rsidRPr="00506507" w14:paraId="4419E8C8" w14:textId="77777777" w:rsidTr="00E1163B">
        <w:trPr>
          <w:jc w:val="center"/>
        </w:trPr>
        <w:tc>
          <w:tcPr>
            <w:tcW w:w="4531" w:type="dxa"/>
          </w:tcPr>
          <w:p w14:paraId="1ECB2134" w14:textId="77777777" w:rsidR="006C20AC" w:rsidRPr="00506507" w:rsidRDefault="006C20AC" w:rsidP="002B5FE9">
            <w:pPr>
              <w:rPr>
                <w:color w:val="000000"/>
                <w:sz w:val="19"/>
                <w:szCs w:val="19"/>
              </w:rPr>
            </w:pPr>
            <w:r w:rsidRPr="00506507">
              <w:rPr>
                <w:color w:val="000000"/>
                <w:sz w:val="19"/>
                <w:szCs w:val="19"/>
              </w:rPr>
              <w:t>EU Regulation 2019/1241 (June 2019) on the conservation of fisheries resources and the protection of marine ecosystems through technical measures.</w:t>
            </w:r>
          </w:p>
        </w:tc>
        <w:tc>
          <w:tcPr>
            <w:tcW w:w="4485" w:type="dxa"/>
          </w:tcPr>
          <w:p w14:paraId="71C5960A" w14:textId="77777777" w:rsidR="006C20AC" w:rsidRPr="00506507" w:rsidRDefault="006C20AC" w:rsidP="002B5FE9">
            <w:pPr>
              <w:pStyle w:val="ListParagraph"/>
              <w:numPr>
                <w:ilvl w:val="0"/>
                <w:numId w:val="30"/>
              </w:numPr>
              <w:rPr>
                <w:sz w:val="19"/>
                <w:szCs w:val="19"/>
              </w:rPr>
            </w:pPr>
            <w:r w:rsidRPr="00506507">
              <w:rPr>
                <w:sz w:val="19"/>
                <w:szCs w:val="19"/>
              </w:rPr>
              <w:t>Press for application by Member States of the Technical Conservation Measures provided for in the Regulation, including joint actions on a regional basis.  Ensure adequacy of the triennial implementation reports compiled by the European Commission.</w:t>
            </w:r>
          </w:p>
        </w:tc>
      </w:tr>
    </w:tbl>
    <w:p w14:paraId="707B9BAC" w14:textId="77777777" w:rsidR="00D734D7" w:rsidRPr="00506507" w:rsidRDefault="00D734D7" w:rsidP="007722E8">
      <w:pPr>
        <w:spacing w:after="20"/>
        <w:rPr>
          <w:sz w:val="22"/>
          <w:szCs w:val="22"/>
        </w:rPr>
      </w:pPr>
    </w:p>
    <w:p w14:paraId="79FC81B2" w14:textId="77777777" w:rsidR="007722E8" w:rsidRPr="00506507" w:rsidRDefault="007722E8" w:rsidP="007722E8">
      <w:pPr>
        <w:spacing w:after="20"/>
        <w:rPr>
          <w:sz w:val="16"/>
          <w:szCs w:val="16"/>
        </w:rPr>
      </w:pPr>
    </w:p>
    <w:p w14:paraId="67088538" w14:textId="5C7C4C8D" w:rsidR="007722E8" w:rsidRPr="00E1163B" w:rsidRDefault="007722E8" w:rsidP="00E1163B">
      <w:pPr>
        <w:shd w:val="clear" w:color="auto" w:fill="DEEAF6" w:themeFill="accent1" w:themeFillTint="33"/>
        <w:spacing w:after="20"/>
        <w:rPr>
          <w:b/>
        </w:rPr>
      </w:pPr>
      <w:r w:rsidRPr="00E1163B">
        <w:rPr>
          <w:b/>
        </w:rPr>
        <w:t xml:space="preserve">4.  Invasive </w:t>
      </w:r>
      <w:r w:rsidR="00D87692">
        <w:rPr>
          <w:b/>
        </w:rPr>
        <w:t>A</w:t>
      </w:r>
      <w:r w:rsidRPr="00E1163B">
        <w:rPr>
          <w:b/>
        </w:rPr>
        <w:t xml:space="preserve">lien </w:t>
      </w:r>
      <w:r w:rsidR="00D87692">
        <w:rPr>
          <w:b/>
        </w:rPr>
        <w:t>S</w:t>
      </w:r>
      <w:r w:rsidRPr="00E1163B">
        <w:rPr>
          <w:b/>
        </w:rPr>
        <w:t>pecies</w:t>
      </w:r>
    </w:p>
    <w:p w14:paraId="4CEBA36A" w14:textId="77777777" w:rsidR="007722E8" w:rsidRPr="00506507" w:rsidRDefault="007722E8" w:rsidP="007722E8">
      <w:pPr>
        <w:spacing w:after="20"/>
        <w:rPr>
          <w:sz w:val="22"/>
          <w:szCs w:val="22"/>
        </w:rPr>
      </w:pPr>
    </w:p>
    <w:p w14:paraId="06E8ECD5" w14:textId="77777777" w:rsidR="007722E8" w:rsidRPr="00506507" w:rsidRDefault="007722E8" w:rsidP="007722E8">
      <w:pPr>
        <w:spacing w:after="20"/>
        <w:rPr>
          <w:b/>
          <w:i/>
          <w:color w:val="003366"/>
          <w:sz w:val="22"/>
          <w:szCs w:val="22"/>
        </w:rPr>
      </w:pPr>
      <w:r w:rsidRPr="00506507">
        <w:rPr>
          <w:b/>
          <w:i/>
          <w:color w:val="003366"/>
          <w:sz w:val="22"/>
          <w:szCs w:val="22"/>
        </w:rPr>
        <w:t xml:space="preserve">  (a)  Existing AEWA orientations</w:t>
      </w:r>
    </w:p>
    <w:p w14:paraId="30D25A42" w14:textId="77777777" w:rsidR="007722E8" w:rsidRPr="00506507" w:rsidRDefault="007722E8" w:rsidP="007722E8">
      <w:pPr>
        <w:spacing w:after="20"/>
        <w:rPr>
          <w:sz w:val="22"/>
          <w:szCs w:val="22"/>
        </w:rPr>
      </w:pPr>
    </w:p>
    <w:p w14:paraId="018E1990" w14:textId="77777777" w:rsidR="00073ECE" w:rsidRPr="00506507" w:rsidRDefault="00073ECE" w:rsidP="00E1163B">
      <w:pPr>
        <w:spacing w:after="20"/>
        <w:jc w:val="both"/>
        <w:rPr>
          <w:sz w:val="22"/>
          <w:szCs w:val="22"/>
        </w:rPr>
      </w:pPr>
      <w:r w:rsidRPr="00506507">
        <w:rPr>
          <w:sz w:val="22"/>
          <w:szCs w:val="22"/>
        </w:rPr>
        <w:t>Under Article III.2 (g) of the Agreement, Parties are required to prohibit the deliberate introduction of non-native waterbird species, to take measures to prevent the unintentional release of such species, and to take measures to prevent them becoming a threat if they have already been introduced.  These obligations are elaborated further in Annex 3 (the Action Plan), in paragraphs 2.5.1, 2.5.2, 2.5.3, 3.3, 4.3.10 and 4.3.11.</w:t>
      </w:r>
    </w:p>
    <w:p w14:paraId="7EE6CCE2" w14:textId="77777777" w:rsidR="00073ECE" w:rsidRPr="00506507" w:rsidRDefault="00073ECE" w:rsidP="00E1163B">
      <w:pPr>
        <w:spacing w:after="20"/>
        <w:jc w:val="both"/>
        <w:rPr>
          <w:sz w:val="22"/>
          <w:szCs w:val="22"/>
        </w:rPr>
      </w:pPr>
    </w:p>
    <w:p w14:paraId="0EDA33B4" w14:textId="0F7AD0F5" w:rsidR="00073ECE" w:rsidRPr="00506507" w:rsidRDefault="00073ECE" w:rsidP="00E1163B">
      <w:pPr>
        <w:spacing w:after="20"/>
        <w:jc w:val="both"/>
        <w:rPr>
          <w:sz w:val="22"/>
          <w:szCs w:val="22"/>
        </w:rPr>
      </w:pPr>
      <w:r w:rsidRPr="00506507">
        <w:rPr>
          <w:sz w:val="22"/>
          <w:szCs w:val="22"/>
        </w:rPr>
        <w:t>To date, the MOP has adopted two Resolutions that relate to this subject:</w:t>
      </w:r>
    </w:p>
    <w:p w14:paraId="3011136F" w14:textId="77777777" w:rsidR="00073ECE" w:rsidRPr="00506507" w:rsidRDefault="00073ECE" w:rsidP="00E1163B">
      <w:pPr>
        <w:pStyle w:val="PlainText"/>
        <w:jc w:val="both"/>
        <w:rPr>
          <w:rFonts w:ascii="Times New Roman" w:hAnsi="Times New Roman" w:cs="Times New Roman"/>
          <w:sz w:val="10"/>
          <w:szCs w:val="10"/>
        </w:rPr>
      </w:pPr>
    </w:p>
    <w:p w14:paraId="1A235D19" w14:textId="77777777" w:rsidR="00073ECE" w:rsidRPr="00506507" w:rsidRDefault="00073ECE" w:rsidP="00E1163B">
      <w:pPr>
        <w:pStyle w:val="PlainText"/>
        <w:numPr>
          <w:ilvl w:val="0"/>
          <w:numId w:val="38"/>
        </w:numPr>
        <w:jc w:val="both"/>
        <w:rPr>
          <w:rFonts w:ascii="Times New Roman" w:hAnsi="Times New Roman" w:cs="Times New Roman"/>
        </w:rPr>
      </w:pPr>
      <w:r w:rsidRPr="00506507">
        <w:rPr>
          <w:rFonts w:ascii="Times New Roman" w:hAnsi="Times New Roman" w:cs="Times New Roman"/>
        </w:rPr>
        <w:t xml:space="preserve">Resolution 4.5 (2008) on Introduced non-native waterbird species in the Agreement Area - </w:t>
      </w:r>
      <w:hyperlink r:id="rId17" w:history="1">
        <w:r w:rsidRPr="00506507">
          <w:rPr>
            <w:rStyle w:val="Hyperlink"/>
            <w:rFonts w:ascii="Times New Roman" w:hAnsi="Times New Roman" w:cs="Times New Roman"/>
            <w:i/>
          </w:rPr>
          <w:t>https://www.unep-aewa.org/en/document/introduced-non-native-waterbird-species-agreement-area-0</w:t>
        </w:r>
      </w:hyperlink>
      <w:r w:rsidRPr="00506507">
        <w:rPr>
          <w:rFonts w:ascii="Times New Roman" w:hAnsi="Times New Roman" w:cs="Times New Roman"/>
          <w:i/>
        </w:rPr>
        <w:t xml:space="preserve"> </w:t>
      </w:r>
      <w:r w:rsidRPr="00506507">
        <w:rPr>
          <w:rFonts w:ascii="Times New Roman" w:hAnsi="Times New Roman" w:cs="Times New Roman"/>
        </w:rPr>
        <w:t>;</w:t>
      </w:r>
    </w:p>
    <w:p w14:paraId="59B75568" w14:textId="77777777" w:rsidR="00073ECE" w:rsidRPr="00506507" w:rsidRDefault="00073ECE" w:rsidP="00E1163B">
      <w:pPr>
        <w:pStyle w:val="PlainText"/>
        <w:jc w:val="both"/>
        <w:rPr>
          <w:rFonts w:ascii="Times New Roman" w:hAnsi="Times New Roman" w:cs="Times New Roman"/>
          <w:sz w:val="10"/>
          <w:szCs w:val="10"/>
        </w:rPr>
      </w:pPr>
    </w:p>
    <w:p w14:paraId="69546200" w14:textId="77777777" w:rsidR="00073ECE" w:rsidRPr="00506507" w:rsidRDefault="00073ECE" w:rsidP="00E1163B">
      <w:pPr>
        <w:pStyle w:val="PlainText"/>
        <w:numPr>
          <w:ilvl w:val="0"/>
          <w:numId w:val="38"/>
        </w:numPr>
        <w:jc w:val="both"/>
        <w:rPr>
          <w:rFonts w:ascii="Times New Roman" w:hAnsi="Times New Roman" w:cs="Times New Roman"/>
        </w:rPr>
      </w:pPr>
      <w:r w:rsidRPr="00506507">
        <w:rPr>
          <w:rFonts w:ascii="Times New Roman" w:hAnsi="Times New Roman" w:cs="Times New Roman"/>
        </w:rPr>
        <w:t xml:space="preserve">Resolution 5.15 (2012) on Impact of invasive alien aquatic weeds on waterbird habitats in Africa - </w:t>
      </w:r>
      <w:hyperlink r:id="rId18" w:history="1">
        <w:r w:rsidRPr="00506507">
          <w:rPr>
            <w:rStyle w:val="Hyperlink"/>
            <w:rFonts w:ascii="Times New Roman" w:hAnsi="Times New Roman" w:cs="Times New Roman"/>
            <w:i/>
          </w:rPr>
          <w:t>https://www.unep-aewa.org/en/document/impact-invasive-alien-aquatic-weeds-waterbird-habitats-africa-1</w:t>
        </w:r>
      </w:hyperlink>
      <w:r w:rsidRPr="00506507">
        <w:rPr>
          <w:rFonts w:ascii="Times New Roman" w:hAnsi="Times New Roman" w:cs="Times New Roman"/>
        </w:rPr>
        <w:t xml:space="preserve"> .</w:t>
      </w:r>
    </w:p>
    <w:p w14:paraId="0053185C" w14:textId="77777777" w:rsidR="00073ECE" w:rsidRPr="00506507" w:rsidRDefault="00073ECE" w:rsidP="00E1163B">
      <w:pPr>
        <w:spacing w:after="20"/>
        <w:jc w:val="both"/>
        <w:rPr>
          <w:sz w:val="22"/>
          <w:szCs w:val="22"/>
        </w:rPr>
      </w:pPr>
    </w:p>
    <w:p w14:paraId="10DD5645" w14:textId="5C997603" w:rsidR="007722E8" w:rsidRPr="00506507" w:rsidRDefault="007722E8" w:rsidP="00E1163B">
      <w:pPr>
        <w:spacing w:after="20"/>
        <w:jc w:val="both"/>
        <w:rPr>
          <w:sz w:val="22"/>
          <w:szCs w:val="22"/>
        </w:rPr>
      </w:pPr>
      <w:r w:rsidRPr="00506507">
        <w:rPr>
          <w:sz w:val="22"/>
          <w:szCs w:val="22"/>
        </w:rPr>
        <w:t xml:space="preserve">AEWA’s </w:t>
      </w:r>
      <w:r w:rsidR="00334B34" w:rsidRPr="00506507">
        <w:rPr>
          <w:sz w:val="22"/>
          <w:szCs w:val="22"/>
        </w:rPr>
        <w:t xml:space="preserve">MOP-adopted Conservation </w:t>
      </w:r>
      <w:r w:rsidRPr="00506507">
        <w:rPr>
          <w:sz w:val="22"/>
          <w:szCs w:val="22"/>
        </w:rPr>
        <w:t xml:space="preserve">Guidelines </w:t>
      </w:r>
      <w:r w:rsidR="00334B34" w:rsidRPr="00506507">
        <w:rPr>
          <w:sz w:val="22"/>
          <w:szCs w:val="22"/>
        </w:rPr>
        <w:t xml:space="preserve">No.10 (2006) </w:t>
      </w:r>
      <w:r w:rsidRPr="00506507">
        <w:rPr>
          <w:sz w:val="22"/>
          <w:szCs w:val="22"/>
        </w:rPr>
        <w:t xml:space="preserve">on </w:t>
      </w:r>
      <w:r w:rsidR="00334B34" w:rsidRPr="00506507">
        <w:rPr>
          <w:sz w:val="22"/>
          <w:szCs w:val="22"/>
        </w:rPr>
        <w:t xml:space="preserve">avoidance of introductions of </w:t>
      </w:r>
      <w:r w:rsidRPr="00506507">
        <w:rPr>
          <w:sz w:val="22"/>
          <w:szCs w:val="22"/>
        </w:rPr>
        <w:t xml:space="preserve">non-native </w:t>
      </w:r>
      <w:r w:rsidR="00334B34" w:rsidRPr="00506507">
        <w:rPr>
          <w:sz w:val="22"/>
          <w:szCs w:val="22"/>
        </w:rPr>
        <w:t xml:space="preserve">waterbird </w:t>
      </w:r>
      <w:r w:rsidRPr="00506507">
        <w:rPr>
          <w:sz w:val="22"/>
          <w:szCs w:val="22"/>
        </w:rPr>
        <w:t>species</w:t>
      </w:r>
      <w:r w:rsidR="00334B34" w:rsidRPr="00506507">
        <w:rPr>
          <w:sz w:val="22"/>
          <w:szCs w:val="22"/>
        </w:rPr>
        <w:t xml:space="preserve"> (</w:t>
      </w:r>
      <w:r w:rsidR="00334B34" w:rsidRPr="00506507">
        <w:rPr>
          <w:i/>
          <w:sz w:val="22"/>
          <w:szCs w:val="22"/>
        </w:rPr>
        <w:t>https://www.unep-aewa.org/en/publication/aewa-conservation-guidelines-no-10-guidelines-avoidance-introductions-non-native</w:t>
      </w:r>
      <w:r w:rsidR="00334B34" w:rsidRPr="00506507">
        <w:rPr>
          <w:sz w:val="22"/>
          <w:szCs w:val="22"/>
        </w:rPr>
        <w:t xml:space="preserve"> )</w:t>
      </w:r>
      <w:r w:rsidRPr="00506507">
        <w:rPr>
          <w:sz w:val="22"/>
          <w:szCs w:val="22"/>
        </w:rPr>
        <w:t xml:space="preserve"> have identified some multilateral processes/platforms that may offer entry-points for influence.  These are summarised in the table below.</w:t>
      </w:r>
    </w:p>
    <w:p w14:paraId="164342B3" w14:textId="68650372" w:rsidR="007722E8" w:rsidRDefault="007722E8" w:rsidP="007722E8">
      <w:pPr>
        <w:rPr>
          <w:sz w:val="22"/>
          <w:szCs w:val="22"/>
        </w:rPr>
      </w:pPr>
    </w:p>
    <w:p w14:paraId="06421924" w14:textId="77777777" w:rsidR="00E1163B" w:rsidRPr="00506507" w:rsidRDefault="00E1163B" w:rsidP="007722E8">
      <w:pPr>
        <w:rPr>
          <w:sz w:val="22"/>
          <w:szCs w:val="22"/>
        </w:rPr>
      </w:pPr>
    </w:p>
    <w:p w14:paraId="2D629842" w14:textId="77777777" w:rsidR="007722E8" w:rsidRPr="00506507" w:rsidRDefault="007722E8" w:rsidP="007722E8">
      <w:pPr>
        <w:rPr>
          <w:sz w:val="8"/>
          <w:szCs w:val="8"/>
        </w:rPr>
      </w:pPr>
    </w:p>
    <w:tbl>
      <w:tblPr>
        <w:tblStyle w:val="TableGrid"/>
        <w:tblW w:w="0" w:type="auto"/>
        <w:jc w:val="center"/>
        <w:tblLook w:val="04A0" w:firstRow="1" w:lastRow="0" w:firstColumn="1" w:lastColumn="0" w:noHBand="0" w:noVBand="1"/>
      </w:tblPr>
      <w:tblGrid>
        <w:gridCol w:w="3005"/>
        <w:gridCol w:w="3005"/>
        <w:gridCol w:w="3006"/>
      </w:tblGrid>
      <w:tr w:rsidR="007722E8" w:rsidRPr="00506507" w14:paraId="6D3DCEFC" w14:textId="77777777" w:rsidTr="00E1163B">
        <w:trPr>
          <w:jc w:val="center"/>
        </w:trPr>
        <w:tc>
          <w:tcPr>
            <w:tcW w:w="3005" w:type="dxa"/>
            <w:shd w:val="clear" w:color="auto" w:fill="DEEAF6" w:themeFill="accent1" w:themeFillTint="33"/>
            <w:vAlign w:val="center"/>
          </w:tcPr>
          <w:p w14:paraId="3A77DD8A" w14:textId="77777777" w:rsidR="007722E8" w:rsidRPr="00506507" w:rsidRDefault="007722E8" w:rsidP="005F7185">
            <w:pPr>
              <w:jc w:val="center"/>
              <w:rPr>
                <w:b/>
                <w:sz w:val="20"/>
                <w:szCs w:val="20"/>
              </w:rPr>
            </w:pPr>
            <w:r w:rsidRPr="00506507">
              <w:rPr>
                <w:b/>
                <w:sz w:val="20"/>
                <w:szCs w:val="20"/>
              </w:rPr>
              <w:t>Multilateral process / platform</w:t>
            </w:r>
          </w:p>
        </w:tc>
        <w:tc>
          <w:tcPr>
            <w:tcW w:w="3005" w:type="dxa"/>
            <w:shd w:val="clear" w:color="auto" w:fill="DEEAF6" w:themeFill="accent1" w:themeFillTint="33"/>
            <w:vAlign w:val="center"/>
          </w:tcPr>
          <w:p w14:paraId="237ACE80" w14:textId="77777777" w:rsidR="007722E8" w:rsidRPr="00506507" w:rsidRDefault="007722E8" w:rsidP="005F7185">
            <w:pPr>
              <w:jc w:val="center"/>
              <w:rPr>
                <w:b/>
                <w:sz w:val="20"/>
                <w:szCs w:val="20"/>
              </w:rPr>
            </w:pPr>
            <w:r w:rsidRPr="00506507">
              <w:rPr>
                <w:b/>
                <w:sz w:val="20"/>
                <w:szCs w:val="20"/>
              </w:rPr>
              <w:t>Where identified by AEWA</w:t>
            </w:r>
          </w:p>
        </w:tc>
        <w:tc>
          <w:tcPr>
            <w:tcW w:w="3006" w:type="dxa"/>
            <w:shd w:val="clear" w:color="auto" w:fill="DEEAF6" w:themeFill="accent1" w:themeFillTint="33"/>
            <w:vAlign w:val="center"/>
          </w:tcPr>
          <w:p w14:paraId="3950D666" w14:textId="77777777" w:rsidR="007722E8" w:rsidRPr="00506507" w:rsidRDefault="007722E8" w:rsidP="005F7185">
            <w:pPr>
              <w:jc w:val="center"/>
              <w:rPr>
                <w:b/>
                <w:sz w:val="20"/>
                <w:szCs w:val="20"/>
              </w:rPr>
            </w:pPr>
            <w:r w:rsidRPr="00506507">
              <w:rPr>
                <w:b/>
                <w:sz w:val="20"/>
                <w:szCs w:val="20"/>
              </w:rPr>
              <w:t>Possible opportunity for influence</w:t>
            </w:r>
          </w:p>
        </w:tc>
      </w:tr>
      <w:tr w:rsidR="007722E8" w:rsidRPr="00506507" w14:paraId="1A9155E2" w14:textId="77777777" w:rsidTr="00E1163B">
        <w:trPr>
          <w:jc w:val="center"/>
        </w:trPr>
        <w:tc>
          <w:tcPr>
            <w:tcW w:w="9016" w:type="dxa"/>
            <w:gridSpan w:val="3"/>
            <w:shd w:val="clear" w:color="auto" w:fill="D9D9D9" w:themeFill="background1" w:themeFillShade="D9"/>
          </w:tcPr>
          <w:p w14:paraId="773A81C5" w14:textId="77777777" w:rsidR="007722E8" w:rsidRPr="00506507" w:rsidRDefault="007722E8" w:rsidP="005F7185">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Convention on Biological Diversity (CBD)</w:t>
            </w:r>
          </w:p>
        </w:tc>
      </w:tr>
      <w:tr w:rsidR="007722E8" w:rsidRPr="00506507" w14:paraId="121ED158" w14:textId="77777777" w:rsidTr="00E1163B">
        <w:trPr>
          <w:jc w:val="center"/>
        </w:trPr>
        <w:tc>
          <w:tcPr>
            <w:tcW w:w="3005" w:type="dxa"/>
          </w:tcPr>
          <w:p w14:paraId="5498878E" w14:textId="77777777" w:rsidR="007722E8" w:rsidRPr="00506507" w:rsidRDefault="007722E8" w:rsidP="005F7185">
            <w:pPr>
              <w:rPr>
                <w:sz w:val="19"/>
                <w:szCs w:val="19"/>
              </w:rPr>
            </w:pPr>
            <w:r w:rsidRPr="00506507">
              <w:rPr>
                <w:color w:val="000000"/>
                <w:sz w:val="19"/>
                <w:szCs w:val="19"/>
              </w:rPr>
              <w:t>CBD Article 8 commits its Parties to:  “(h) Prevent the introduction of, control or eradicate those alien species which threaten ecosystems, habitats or species; (k) develop or maintain necessary legislation and/or other regulatory provisions for the protection of threatened species or populations; (l) Where a significant adverse effect on biological diversity has been determined….regulate or manage the relevant process and categories of activities…”</w:t>
            </w:r>
          </w:p>
        </w:tc>
        <w:tc>
          <w:tcPr>
            <w:tcW w:w="3005" w:type="dxa"/>
          </w:tcPr>
          <w:p w14:paraId="7A954539" w14:textId="1A409527" w:rsidR="007722E8" w:rsidRPr="00506507" w:rsidRDefault="007722E8" w:rsidP="00334B34">
            <w:pPr>
              <w:rPr>
                <w:sz w:val="19"/>
                <w:szCs w:val="19"/>
              </w:rPr>
            </w:pPr>
            <w:r w:rsidRPr="00506507">
              <w:rPr>
                <w:sz w:val="19"/>
                <w:szCs w:val="19"/>
              </w:rPr>
              <w:t>In AEWA Conservation Guidelines No. 10 (2006) on avoidance of introductions of non-native waterbird species.</w:t>
            </w:r>
          </w:p>
        </w:tc>
        <w:tc>
          <w:tcPr>
            <w:tcW w:w="3006" w:type="dxa"/>
          </w:tcPr>
          <w:p w14:paraId="4B8D9876" w14:textId="28C078CE" w:rsidR="007722E8" w:rsidRPr="00506507" w:rsidRDefault="003838AB" w:rsidP="003838AB">
            <w:pPr>
              <w:pStyle w:val="ListParagraph"/>
              <w:numPr>
                <w:ilvl w:val="0"/>
                <w:numId w:val="30"/>
              </w:numPr>
              <w:rPr>
                <w:sz w:val="19"/>
                <w:szCs w:val="19"/>
              </w:rPr>
            </w:pPr>
            <w:r w:rsidRPr="00506507">
              <w:rPr>
                <w:sz w:val="19"/>
                <w:szCs w:val="19"/>
              </w:rPr>
              <w:t>National reports, and attention at COP and SBSTTA.</w:t>
            </w:r>
          </w:p>
        </w:tc>
      </w:tr>
      <w:tr w:rsidR="007722E8" w:rsidRPr="00506507" w14:paraId="355A4FB7" w14:textId="77777777" w:rsidTr="00E1163B">
        <w:trPr>
          <w:jc w:val="center"/>
        </w:trPr>
        <w:tc>
          <w:tcPr>
            <w:tcW w:w="9016" w:type="dxa"/>
            <w:gridSpan w:val="3"/>
            <w:shd w:val="clear" w:color="auto" w:fill="D9D9D9" w:themeFill="background1" w:themeFillShade="D9"/>
          </w:tcPr>
          <w:p w14:paraId="4351D4B7" w14:textId="77777777" w:rsidR="007722E8" w:rsidRPr="00506507" w:rsidRDefault="007722E8" w:rsidP="005F7185">
            <w:pPr>
              <w:rPr>
                <w:sz w:val="19"/>
                <w:szCs w:val="19"/>
              </w:rPr>
            </w:pPr>
            <w:r w:rsidRPr="00506507">
              <w:rPr>
                <w:b/>
                <w:i/>
                <w:color w:val="000066"/>
                <w:sz w:val="19"/>
                <w:szCs w:val="19"/>
              </w:rPr>
              <w:sym w:font="Wingdings" w:char="F0D8"/>
            </w:r>
            <w:r w:rsidRPr="00506507">
              <w:rPr>
                <w:b/>
                <w:i/>
                <w:color w:val="000066"/>
                <w:sz w:val="19"/>
                <w:szCs w:val="19"/>
              </w:rPr>
              <w:t xml:space="preserve"> Convention on International Trade in Endangered Species (CITES)</w:t>
            </w:r>
          </w:p>
        </w:tc>
      </w:tr>
      <w:tr w:rsidR="007722E8" w:rsidRPr="00506507" w14:paraId="036E8C37" w14:textId="77777777" w:rsidTr="00E1163B">
        <w:trPr>
          <w:jc w:val="center"/>
        </w:trPr>
        <w:tc>
          <w:tcPr>
            <w:tcW w:w="3005" w:type="dxa"/>
          </w:tcPr>
          <w:p w14:paraId="64B0F426" w14:textId="77777777" w:rsidR="007722E8" w:rsidRPr="00506507" w:rsidRDefault="007722E8" w:rsidP="005F7185">
            <w:pPr>
              <w:rPr>
                <w:sz w:val="19"/>
                <w:szCs w:val="19"/>
              </w:rPr>
            </w:pPr>
            <w:r w:rsidRPr="00506507">
              <w:rPr>
                <w:sz w:val="19"/>
                <w:szCs w:val="19"/>
              </w:rPr>
              <w:t xml:space="preserve">CITES is </w:t>
            </w:r>
            <w:r w:rsidRPr="00506507">
              <w:rPr>
                <w:color w:val="000000"/>
                <w:sz w:val="20"/>
                <w:szCs w:val="20"/>
              </w:rPr>
              <w:t>focused on controlling international trade in endangered species; but in theory it could be used for “black listing” trade in invasive species</w:t>
            </w:r>
          </w:p>
        </w:tc>
        <w:tc>
          <w:tcPr>
            <w:tcW w:w="3005" w:type="dxa"/>
          </w:tcPr>
          <w:p w14:paraId="73933962" w14:textId="3AA6B64F" w:rsidR="007722E8" w:rsidRPr="00506507" w:rsidRDefault="007722E8" w:rsidP="00334B34">
            <w:pPr>
              <w:rPr>
                <w:sz w:val="19"/>
                <w:szCs w:val="19"/>
              </w:rPr>
            </w:pPr>
            <w:r w:rsidRPr="00506507">
              <w:rPr>
                <w:sz w:val="19"/>
                <w:szCs w:val="19"/>
              </w:rPr>
              <w:t>In AEWA Conservation Guidelines No. 10 (2006) on avoidance of introductions of non-native waterbird species.</w:t>
            </w:r>
          </w:p>
        </w:tc>
        <w:tc>
          <w:tcPr>
            <w:tcW w:w="3006" w:type="dxa"/>
          </w:tcPr>
          <w:p w14:paraId="720D4DCC" w14:textId="425A734E" w:rsidR="007722E8" w:rsidRPr="00506507" w:rsidRDefault="003838AB" w:rsidP="003838AB">
            <w:pPr>
              <w:pStyle w:val="ListParagraph"/>
              <w:numPr>
                <w:ilvl w:val="0"/>
                <w:numId w:val="30"/>
              </w:numPr>
              <w:rPr>
                <w:sz w:val="19"/>
                <w:szCs w:val="19"/>
              </w:rPr>
            </w:pPr>
            <w:r w:rsidRPr="00506507">
              <w:rPr>
                <w:sz w:val="19"/>
                <w:szCs w:val="19"/>
              </w:rPr>
              <w:t>Explore options for application of CITES in this context.</w:t>
            </w:r>
          </w:p>
        </w:tc>
      </w:tr>
      <w:tr w:rsidR="007722E8" w:rsidRPr="00506507" w14:paraId="4C77A3A4" w14:textId="77777777" w:rsidTr="00E1163B">
        <w:trPr>
          <w:jc w:val="center"/>
        </w:trPr>
        <w:tc>
          <w:tcPr>
            <w:tcW w:w="3005" w:type="dxa"/>
          </w:tcPr>
          <w:p w14:paraId="4305CC42" w14:textId="7FE67832" w:rsidR="007722E8" w:rsidRPr="00506507" w:rsidRDefault="007722E8" w:rsidP="000B76CF">
            <w:pPr>
              <w:rPr>
                <w:sz w:val="19"/>
                <w:szCs w:val="19"/>
              </w:rPr>
            </w:pPr>
            <w:r w:rsidRPr="00506507">
              <w:rPr>
                <w:sz w:val="19"/>
                <w:szCs w:val="19"/>
              </w:rPr>
              <w:t xml:space="preserve">Under Regulation 338/97 that implements CITES in the EU, control of the introduction of species into the EU through trade can apply not only to endangered species but also those that </w:t>
            </w:r>
            <w:r w:rsidRPr="00506507">
              <w:rPr>
                <w:color w:val="000000"/>
                <w:sz w:val="19"/>
                <w:szCs w:val="19"/>
              </w:rPr>
              <w:t xml:space="preserve">present an ecological threat to indigenous wild species of fauna and flora.  [As of 2006] this has only been applied to two reptile species, but </w:t>
            </w:r>
            <w:r w:rsidR="000B76CF" w:rsidRPr="00506507">
              <w:rPr>
                <w:color w:val="000000"/>
                <w:sz w:val="19"/>
                <w:szCs w:val="19"/>
              </w:rPr>
              <w:t>was</w:t>
            </w:r>
            <w:r w:rsidRPr="00506507">
              <w:rPr>
                <w:color w:val="000000"/>
                <w:sz w:val="19"/>
                <w:szCs w:val="19"/>
              </w:rPr>
              <w:t xml:space="preserve"> being considered for Ruddy Duck</w:t>
            </w:r>
            <w:r w:rsidR="000B76CF" w:rsidRPr="00506507">
              <w:rPr>
                <w:sz w:val="19"/>
                <w:szCs w:val="19"/>
              </w:rPr>
              <w:t xml:space="preserve"> at the time of the 2006 Guidelines referred to here (position requires re-checking)</w:t>
            </w:r>
            <w:r w:rsidRPr="00506507">
              <w:rPr>
                <w:color w:val="000000"/>
                <w:sz w:val="19"/>
                <w:szCs w:val="19"/>
              </w:rPr>
              <w:t>.</w:t>
            </w:r>
          </w:p>
        </w:tc>
        <w:tc>
          <w:tcPr>
            <w:tcW w:w="3005" w:type="dxa"/>
          </w:tcPr>
          <w:p w14:paraId="5079D53F" w14:textId="28ACD6EF" w:rsidR="007722E8" w:rsidRPr="00506507" w:rsidRDefault="007722E8" w:rsidP="00334B34">
            <w:pPr>
              <w:rPr>
                <w:sz w:val="19"/>
                <w:szCs w:val="19"/>
              </w:rPr>
            </w:pPr>
            <w:r w:rsidRPr="00506507">
              <w:rPr>
                <w:sz w:val="19"/>
                <w:szCs w:val="19"/>
              </w:rPr>
              <w:t>In AEWA Conservation Guidelines No. 10 (2006) on avoidance of introductions of non-native waterbird species.</w:t>
            </w:r>
          </w:p>
        </w:tc>
        <w:tc>
          <w:tcPr>
            <w:tcW w:w="3006" w:type="dxa"/>
          </w:tcPr>
          <w:p w14:paraId="245F7451" w14:textId="28816A0C" w:rsidR="006F2C60" w:rsidRPr="00506507" w:rsidRDefault="006F2C60" w:rsidP="006F2C60">
            <w:pPr>
              <w:pStyle w:val="ListParagraph"/>
              <w:numPr>
                <w:ilvl w:val="0"/>
                <w:numId w:val="30"/>
              </w:numPr>
              <w:rPr>
                <w:color w:val="000000"/>
                <w:sz w:val="19"/>
                <w:szCs w:val="19"/>
              </w:rPr>
            </w:pPr>
            <w:r w:rsidRPr="00506507">
              <w:rPr>
                <w:color w:val="000000"/>
                <w:sz w:val="19"/>
                <w:szCs w:val="19"/>
              </w:rPr>
              <w:t xml:space="preserve">Check potential scope of relevant </w:t>
            </w:r>
            <w:r w:rsidRPr="00506507">
              <w:rPr>
                <w:sz w:val="19"/>
                <w:szCs w:val="19"/>
              </w:rPr>
              <w:t>opportunities</w:t>
            </w:r>
            <w:r w:rsidRPr="00506507">
              <w:rPr>
                <w:color w:val="000000"/>
                <w:sz w:val="19"/>
                <w:szCs w:val="19"/>
              </w:rPr>
              <w:t>, and update understanding re Ruddy Duck in this context.</w:t>
            </w:r>
          </w:p>
          <w:p w14:paraId="7CFE09E2" w14:textId="77777777" w:rsidR="006F2C60" w:rsidRPr="00506507" w:rsidRDefault="006F2C60" w:rsidP="005F7185">
            <w:pPr>
              <w:rPr>
                <w:color w:val="000000"/>
                <w:sz w:val="10"/>
                <w:szCs w:val="10"/>
              </w:rPr>
            </w:pPr>
          </w:p>
          <w:p w14:paraId="6CF6A07C" w14:textId="77777777" w:rsidR="007722E8" w:rsidRPr="00506507" w:rsidRDefault="007722E8" w:rsidP="005F7185">
            <w:pPr>
              <w:rPr>
                <w:sz w:val="19"/>
                <w:szCs w:val="19"/>
              </w:rPr>
            </w:pPr>
            <w:r w:rsidRPr="00506507">
              <w:rPr>
                <w:color w:val="000000"/>
                <w:sz w:val="19"/>
                <w:szCs w:val="19"/>
              </w:rPr>
              <w:t>(“Imports” here are only into the EU from outside, and the 2006 AEWA Guidelines cite WAZA as saying that almost every potentially invasive species that can be imagined is already kept somewhere within the relevant European area).</w:t>
            </w:r>
          </w:p>
        </w:tc>
      </w:tr>
      <w:tr w:rsidR="007722E8" w:rsidRPr="00506507" w14:paraId="00BEE7D2" w14:textId="77777777" w:rsidTr="00E1163B">
        <w:trPr>
          <w:jc w:val="center"/>
        </w:trPr>
        <w:tc>
          <w:tcPr>
            <w:tcW w:w="9016" w:type="dxa"/>
            <w:gridSpan w:val="3"/>
            <w:shd w:val="clear" w:color="auto" w:fill="D9D9D9" w:themeFill="background1" w:themeFillShade="D9"/>
          </w:tcPr>
          <w:p w14:paraId="24CDA851" w14:textId="77777777" w:rsidR="007722E8" w:rsidRPr="00506507" w:rsidRDefault="007722E8" w:rsidP="005F7185">
            <w:pPr>
              <w:rPr>
                <w:sz w:val="19"/>
                <w:szCs w:val="19"/>
              </w:rPr>
            </w:pPr>
            <w:r w:rsidRPr="00506507">
              <w:rPr>
                <w:b/>
                <w:i/>
                <w:color w:val="000066"/>
                <w:sz w:val="19"/>
                <w:szCs w:val="19"/>
              </w:rPr>
              <w:sym w:font="Wingdings" w:char="F0D8"/>
            </w:r>
            <w:r w:rsidRPr="00506507">
              <w:rPr>
                <w:b/>
                <w:i/>
                <w:color w:val="000066"/>
                <w:sz w:val="19"/>
                <w:szCs w:val="19"/>
              </w:rPr>
              <w:t xml:space="preserve"> Bern Convention</w:t>
            </w:r>
          </w:p>
        </w:tc>
      </w:tr>
      <w:tr w:rsidR="007722E8" w:rsidRPr="00506507" w14:paraId="16B3236A" w14:textId="77777777" w:rsidTr="00E1163B">
        <w:trPr>
          <w:jc w:val="center"/>
        </w:trPr>
        <w:tc>
          <w:tcPr>
            <w:tcW w:w="3005" w:type="dxa"/>
          </w:tcPr>
          <w:p w14:paraId="36D02633" w14:textId="77777777" w:rsidR="007722E8" w:rsidRPr="00506507" w:rsidRDefault="007722E8" w:rsidP="005F7185">
            <w:pPr>
              <w:rPr>
                <w:sz w:val="19"/>
                <w:szCs w:val="19"/>
              </w:rPr>
            </w:pPr>
            <w:r w:rsidRPr="00506507">
              <w:rPr>
                <w:color w:val="000000"/>
                <w:sz w:val="19"/>
                <w:szCs w:val="19"/>
              </w:rPr>
              <w:t>Article 11(2) of the Bern Convention states that Contracting Parties undertake: “(b) to strictly control the introduction of non-native species”.</w:t>
            </w:r>
          </w:p>
        </w:tc>
        <w:tc>
          <w:tcPr>
            <w:tcW w:w="3005" w:type="dxa"/>
          </w:tcPr>
          <w:p w14:paraId="6A56543C" w14:textId="5863E06D" w:rsidR="007722E8" w:rsidRPr="00506507" w:rsidRDefault="007722E8" w:rsidP="00334B34">
            <w:pPr>
              <w:rPr>
                <w:sz w:val="19"/>
                <w:szCs w:val="19"/>
              </w:rPr>
            </w:pPr>
            <w:r w:rsidRPr="00506507">
              <w:rPr>
                <w:sz w:val="19"/>
                <w:szCs w:val="19"/>
              </w:rPr>
              <w:t>In AEWA Conservation Guidelines No. 10 (2006) on avoidance of introductions of non-native waterbird species.</w:t>
            </w:r>
          </w:p>
        </w:tc>
        <w:tc>
          <w:tcPr>
            <w:tcW w:w="3006" w:type="dxa"/>
          </w:tcPr>
          <w:p w14:paraId="0CEA61B5" w14:textId="76346E42" w:rsidR="007722E8" w:rsidRPr="00506507" w:rsidRDefault="006F2C60" w:rsidP="006F2C60">
            <w:pPr>
              <w:pStyle w:val="ListParagraph"/>
              <w:numPr>
                <w:ilvl w:val="0"/>
                <w:numId w:val="30"/>
              </w:numPr>
              <w:rPr>
                <w:sz w:val="19"/>
                <w:szCs w:val="19"/>
              </w:rPr>
            </w:pPr>
            <w:r w:rsidRPr="00506507">
              <w:rPr>
                <w:sz w:val="19"/>
                <w:szCs w:val="19"/>
              </w:rPr>
              <w:t>Oversight of implementation through Standing Committee.</w:t>
            </w:r>
          </w:p>
        </w:tc>
      </w:tr>
      <w:tr w:rsidR="00712B17" w:rsidRPr="00506507" w14:paraId="6C1DED65" w14:textId="77777777" w:rsidTr="00E1163B">
        <w:trPr>
          <w:jc w:val="center"/>
        </w:trPr>
        <w:tc>
          <w:tcPr>
            <w:tcW w:w="3005" w:type="dxa"/>
          </w:tcPr>
          <w:p w14:paraId="2968E047" w14:textId="6EDDBAF8" w:rsidR="00712B17" w:rsidRPr="00506507" w:rsidRDefault="00712B17" w:rsidP="005F7185">
            <w:pPr>
              <w:rPr>
                <w:color w:val="000000"/>
                <w:sz w:val="19"/>
                <w:szCs w:val="19"/>
              </w:rPr>
            </w:pPr>
            <w:r w:rsidRPr="00506507">
              <w:rPr>
                <w:color w:val="000000"/>
                <w:sz w:val="19"/>
                <w:szCs w:val="19"/>
              </w:rPr>
              <w:t xml:space="preserve">Revised Action Plan (2021–2025) for the eradication of the Ruddy Duck </w:t>
            </w:r>
            <w:proofErr w:type="spellStart"/>
            <w:r w:rsidRPr="00506507">
              <w:rPr>
                <w:i/>
                <w:color w:val="000000"/>
                <w:sz w:val="19"/>
                <w:szCs w:val="19"/>
              </w:rPr>
              <w:t>Oxyura</w:t>
            </w:r>
            <w:proofErr w:type="spellEnd"/>
            <w:r w:rsidRPr="00506507">
              <w:rPr>
                <w:i/>
                <w:color w:val="000000"/>
                <w:sz w:val="19"/>
                <w:szCs w:val="19"/>
              </w:rPr>
              <w:t xml:space="preserve"> </w:t>
            </w:r>
            <w:proofErr w:type="spellStart"/>
            <w:r w:rsidRPr="00506507">
              <w:rPr>
                <w:i/>
                <w:color w:val="000000"/>
                <w:sz w:val="19"/>
                <w:szCs w:val="19"/>
              </w:rPr>
              <w:t>jamaicensis</w:t>
            </w:r>
            <w:proofErr w:type="spellEnd"/>
            <w:r w:rsidRPr="00506507">
              <w:rPr>
                <w:color w:val="000000"/>
                <w:sz w:val="19"/>
                <w:szCs w:val="19"/>
              </w:rPr>
              <w:t xml:space="preserve"> in the Western Palaearctic</w:t>
            </w:r>
          </w:p>
        </w:tc>
        <w:tc>
          <w:tcPr>
            <w:tcW w:w="3005" w:type="dxa"/>
          </w:tcPr>
          <w:p w14:paraId="3770DD68" w14:textId="07DE644A" w:rsidR="00712B17" w:rsidRPr="00506507" w:rsidRDefault="00712B17" w:rsidP="00712B17">
            <w:pPr>
              <w:rPr>
                <w:sz w:val="19"/>
                <w:szCs w:val="19"/>
              </w:rPr>
            </w:pPr>
            <w:r w:rsidRPr="00506507">
              <w:rPr>
                <w:sz w:val="19"/>
                <w:szCs w:val="19"/>
              </w:rPr>
              <w:t>Collaboration with AEWA is included as part of Action 9 in the Plan</w:t>
            </w:r>
          </w:p>
        </w:tc>
        <w:tc>
          <w:tcPr>
            <w:tcW w:w="3006" w:type="dxa"/>
          </w:tcPr>
          <w:p w14:paraId="7FEAC1E8" w14:textId="5E4974E1" w:rsidR="00712B17" w:rsidRPr="00506507" w:rsidRDefault="006F2C60" w:rsidP="006F2C60">
            <w:pPr>
              <w:pStyle w:val="ListParagraph"/>
              <w:numPr>
                <w:ilvl w:val="0"/>
                <w:numId w:val="30"/>
              </w:numPr>
              <w:rPr>
                <w:sz w:val="19"/>
                <w:szCs w:val="19"/>
              </w:rPr>
            </w:pPr>
            <w:r w:rsidRPr="00506507">
              <w:rPr>
                <w:sz w:val="19"/>
                <w:szCs w:val="19"/>
              </w:rPr>
              <w:t>Review of progress in implementation.</w:t>
            </w:r>
          </w:p>
        </w:tc>
      </w:tr>
    </w:tbl>
    <w:p w14:paraId="14635A2E" w14:textId="77777777" w:rsidR="007722E8" w:rsidRPr="00506507" w:rsidRDefault="007722E8" w:rsidP="007722E8">
      <w:pPr>
        <w:spacing w:after="20"/>
        <w:rPr>
          <w:sz w:val="22"/>
          <w:szCs w:val="22"/>
        </w:rPr>
      </w:pPr>
    </w:p>
    <w:p w14:paraId="4287622A" w14:textId="77777777" w:rsidR="007722E8" w:rsidRPr="00506507" w:rsidRDefault="007722E8" w:rsidP="007722E8">
      <w:pPr>
        <w:rPr>
          <w:sz w:val="22"/>
          <w:szCs w:val="22"/>
        </w:rPr>
      </w:pPr>
      <w:r w:rsidRPr="00506507">
        <w:rPr>
          <w:sz w:val="22"/>
          <w:szCs w:val="22"/>
        </w:rPr>
        <w:t>In addition, some individual Species Action Plans under AEWA may contain relevant ideas.</w:t>
      </w:r>
    </w:p>
    <w:p w14:paraId="5ECDBBB9" w14:textId="77777777" w:rsidR="007722E8" w:rsidRPr="00506507" w:rsidRDefault="007722E8" w:rsidP="007722E8">
      <w:pPr>
        <w:spacing w:after="20"/>
        <w:rPr>
          <w:sz w:val="22"/>
          <w:szCs w:val="22"/>
        </w:rPr>
      </w:pPr>
    </w:p>
    <w:p w14:paraId="15A79994" w14:textId="77777777" w:rsidR="007722E8" w:rsidRPr="00506507" w:rsidRDefault="007722E8" w:rsidP="007722E8">
      <w:pPr>
        <w:spacing w:after="20"/>
        <w:rPr>
          <w:b/>
          <w:i/>
          <w:color w:val="003366"/>
          <w:sz w:val="22"/>
          <w:szCs w:val="22"/>
        </w:rPr>
      </w:pPr>
      <w:r w:rsidRPr="00506507">
        <w:rPr>
          <w:b/>
          <w:i/>
          <w:color w:val="003366"/>
          <w:sz w:val="22"/>
          <w:szCs w:val="22"/>
        </w:rPr>
        <w:t xml:space="preserve">  (b) Other relevant contexts</w:t>
      </w:r>
    </w:p>
    <w:p w14:paraId="214F8FAD" w14:textId="77777777" w:rsidR="005B7D42" w:rsidRPr="00506507" w:rsidRDefault="005B7D42" w:rsidP="007722E8">
      <w:pPr>
        <w:spacing w:after="20"/>
        <w:rPr>
          <w:sz w:val="22"/>
          <w:szCs w:val="22"/>
        </w:rPr>
      </w:pPr>
    </w:p>
    <w:tbl>
      <w:tblPr>
        <w:tblStyle w:val="TableGrid"/>
        <w:tblW w:w="0" w:type="auto"/>
        <w:jc w:val="center"/>
        <w:tblLook w:val="04A0" w:firstRow="1" w:lastRow="0" w:firstColumn="1" w:lastColumn="0" w:noHBand="0" w:noVBand="1"/>
      </w:tblPr>
      <w:tblGrid>
        <w:gridCol w:w="4531"/>
        <w:gridCol w:w="4485"/>
      </w:tblGrid>
      <w:tr w:rsidR="003E4D22" w:rsidRPr="00506507" w14:paraId="6B1E7BB5" w14:textId="77777777" w:rsidTr="00E1163B">
        <w:trPr>
          <w:jc w:val="center"/>
        </w:trPr>
        <w:tc>
          <w:tcPr>
            <w:tcW w:w="4531" w:type="dxa"/>
            <w:shd w:val="clear" w:color="auto" w:fill="DEEAF6" w:themeFill="accent1" w:themeFillTint="33"/>
            <w:vAlign w:val="center"/>
          </w:tcPr>
          <w:p w14:paraId="4669DC2C" w14:textId="77777777" w:rsidR="003E4D22" w:rsidRPr="00506507" w:rsidRDefault="003E4D22" w:rsidP="002B5FE9">
            <w:pPr>
              <w:jc w:val="center"/>
              <w:rPr>
                <w:b/>
                <w:sz w:val="20"/>
                <w:szCs w:val="20"/>
              </w:rPr>
            </w:pPr>
            <w:r w:rsidRPr="00506507">
              <w:rPr>
                <w:b/>
                <w:sz w:val="20"/>
                <w:szCs w:val="20"/>
              </w:rPr>
              <w:t>Multilateral process / platform</w:t>
            </w:r>
          </w:p>
        </w:tc>
        <w:tc>
          <w:tcPr>
            <w:tcW w:w="4485" w:type="dxa"/>
            <w:shd w:val="clear" w:color="auto" w:fill="DEEAF6" w:themeFill="accent1" w:themeFillTint="33"/>
            <w:vAlign w:val="center"/>
          </w:tcPr>
          <w:p w14:paraId="66306EFB" w14:textId="77777777" w:rsidR="003E4D22" w:rsidRPr="00506507" w:rsidRDefault="003E4D22" w:rsidP="002B5FE9">
            <w:pPr>
              <w:jc w:val="center"/>
              <w:rPr>
                <w:b/>
                <w:sz w:val="20"/>
                <w:szCs w:val="20"/>
              </w:rPr>
            </w:pPr>
            <w:r w:rsidRPr="00506507">
              <w:rPr>
                <w:b/>
                <w:sz w:val="20"/>
                <w:szCs w:val="20"/>
              </w:rPr>
              <w:t>Possible opportunity for influence</w:t>
            </w:r>
          </w:p>
        </w:tc>
      </w:tr>
      <w:tr w:rsidR="003E4D22" w:rsidRPr="00506507" w14:paraId="4A98A74E" w14:textId="77777777" w:rsidTr="00E1163B">
        <w:trPr>
          <w:jc w:val="center"/>
        </w:trPr>
        <w:tc>
          <w:tcPr>
            <w:tcW w:w="9016" w:type="dxa"/>
            <w:gridSpan w:val="2"/>
            <w:shd w:val="clear" w:color="auto" w:fill="D9D9D9" w:themeFill="background1" w:themeFillShade="D9"/>
          </w:tcPr>
          <w:p w14:paraId="0B7CB782" w14:textId="77777777" w:rsidR="003E4D22" w:rsidRPr="00506507" w:rsidRDefault="003E4D22" w:rsidP="002B5FE9">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Convention on Biological Diversity (CBD)</w:t>
            </w:r>
          </w:p>
        </w:tc>
      </w:tr>
      <w:tr w:rsidR="003E4D22" w:rsidRPr="00506507" w14:paraId="0FA35AD9" w14:textId="77777777" w:rsidTr="00E1163B">
        <w:trPr>
          <w:jc w:val="center"/>
        </w:trPr>
        <w:tc>
          <w:tcPr>
            <w:tcW w:w="4531" w:type="dxa"/>
          </w:tcPr>
          <w:p w14:paraId="5D573433" w14:textId="77777777" w:rsidR="003E4D22" w:rsidRPr="00506507" w:rsidRDefault="003E4D22" w:rsidP="002B5FE9">
            <w:pPr>
              <w:rPr>
                <w:color w:val="000000"/>
                <w:sz w:val="19"/>
                <w:szCs w:val="19"/>
              </w:rPr>
            </w:pPr>
            <w:r w:rsidRPr="00506507">
              <w:rPr>
                <w:color w:val="000000"/>
                <w:sz w:val="19"/>
                <w:szCs w:val="19"/>
              </w:rPr>
              <w:t>Draft post-2020 Global Biodiversity Framework Target 6, on preventing introduction, controlling or eradicating invasive alien species</w:t>
            </w:r>
          </w:p>
        </w:tc>
        <w:tc>
          <w:tcPr>
            <w:tcW w:w="4485" w:type="dxa"/>
          </w:tcPr>
          <w:p w14:paraId="758F25A0" w14:textId="77777777" w:rsidR="003E4D22" w:rsidRPr="00506507" w:rsidRDefault="003E4D22" w:rsidP="002B5FE9">
            <w:pPr>
              <w:pStyle w:val="ListParagraph"/>
              <w:numPr>
                <w:ilvl w:val="0"/>
                <w:numId w:val="30"/>
              </w:numPr>
              <w:rPr>
                <w:sz w:val="19"/>
                <w:szCs w:val="19"/>
              </w:rPr>
            </w:pPr>
            <w:r w:rsidRPr="00506507">
              <w:rPr>
                <w:sz w:val="19"/>
                <w:szCs w:val="19"/>
              </w:rPr>
              <w:t>Input to development of appropriate indicators for Target 6, including via the post-COP15 Ad Hoc Technical Expert Group on the GBF Monitoring Framework.</w:t>
            </w:r>
          </w:p>
        </w:tc>
      </w:tr>
      <w:tr w:rsidR="003E4D22" w:rsidRPr="00506507" w14:paraId="368CB5C1" w14:textId="77777777" w:rsidTr="00E1163B">
        <w:trPr>
          <w:jc w:val="center"/>
        </w:trPr>
        <w:tc>
          <w:tcPr>
            <w:tcW w:w="9016" w:type="dxa"/>
            <w:gridSpan w:val="2"/>
            <w:shd w:val="clear" w:color="auto" w:fill="D9D9D9" w:themeFill="background1" w:themeFillShade="D9"/>
          </w:tcPr>
          <w:p w14:paraId="08E0E3B8" w14:textId="77777777" w:rsidR="003E4D22" w:rsidRPr="00506507" w:rsidRDefault="003E4D22" w:rsidP="002B5FE9">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European Union</w:t>
            </w:r>
          </w:p>
        </w:tc>
      </w:tr>
      <w:tr w:rsidR="003E4D22" w:rsidRPr="00506507" w14:paraId="2F31E460" w14:textId="77777777" w:rsidTr="00E1163B">
        <w:trPr>
          <w:jc w:val="center"/>
        </w:trPr>
        <w:tc>
          <w:tcPr>
            <w:tcW w:w="4531" w:type="dxa"/>
          </w:tcPr>
          <w:p w14:paraId="4F257186" w14:textId="77777777" w:rsidR="003E4D22" w:rsidRPr="00506507" w:rsidRDefault="003E4D22" w:rsidP="002B5FE9">
            <w:pPr>
              <w:rPr>
                <w:color w:val="000000"/>
                <w:sz w:val="19"/>
                <w:szCs w:val="19"/>
              </w:rPr>
            </w:pPr>
            <w:r w:rsidRPr="00506507">
              <w:rPr>
                <w:color w:val="000000"/>
                <w:sz w:val="19"/>
                <w:szCs w:val="19"/>
              </w:rPr>
              <w:t>EU Regulation 1143/2014 (October 2014) on the prevention and management of the introduction and spread of invasive alien species</w:t>
            </w:r>
          </w:p>
        </w:tc>
        <w:tc>
          <w:tcPr>
            <w:tcW w:w="4485" w:type="dxa"/>
          </w:tcPr>
          <w:p w14:paraId="6A80F54C" w14:textId="77777777" w:rsidR="003E4D22" w:rsidRPr="00506507" w:rsidRDefault="003E4D22" w:rsidP="002B5FE9">
            <w:pPr>
              <w:pStyle w:val="ListParagraph"/>
              <w:numPr>
                <w:ilvl w:val="0"/>
                <w:numId w:val="30"/>
              </w:numPr>
              <w:rPr>
                <w:sz w:val="19"/>
                <w:szCs w:val="19"/>
              </w:rPr>
            </w:pPr>
            <w:r w:rsidRPr="00506507">
              <w:rPr>
                <w:sz w:val="19"/>
                <w:szCs w:val="19"/>
              </w:rPr>
              <w:t>Press for/support complete implementation by Member States and periodic overview reporting by the European Commission.</w:t>
            </w:r>
          </w:p>
          <w:p w14:paraId="704F59B8" w14:textId="77777777" w:rsidR="003E4D22" w:rsidRPr="00506507" w:rsidRDefault="003E4D22" w:rsidP="002B5FE9">
            <w:pPr>
              <w:pStyle w:val="ListParagraph"/>
              <w:numPr>
                <w:ilvl w:val="0"/>
                <w:numId w:val="30"/>
              </w:numPr>
              <w:rPr>
                <w:sz w:val="19"/>
                <w:szCs w:val="19"/>
              </w:rPr>
            </w:pPr>
            <w:r w:rsidRPr="00506507">
              <w:rPr>
                <w:sz w:val="19"/>
                <w:szCs w:val="19"/>
              </w:rPr>
              <w:t>Input to the associated EU Invasive Alien Species Expert Group and the European Alien Species Information Network.</w:t>
            </w:r>
          </w:p>
        </w:tc>
      </w:tr>
    </w:tbl>
    <w:p w14:paraId="7187DAC4" w14:textId="77777777" w:rsidR="007722E8" w:rsidRPr="00E1163B" w:rsidRDefault="007722E8" w:rsidP="007722E8">
      <w:pPr>
        <w:rPr>
          <w:sz w:val="22"/>
          <w:szCs w:val="22"/>
        </w:rPr>
      </w:pPr>
    </w:p>
    <w:p w14:paraId="03E0790F" w14:textId="1C3C9A5C" w:rsidR="007722E8" w:rsidRPr="00E1163B" w:rsidRDefault="007722E8" w:rsidP="00E1163B">
      <w:pPr>
        <w:shd w:val="clear" w:color="auto" w:fill="DEEAF6" w:themeFill="accent1" w:themeFillTint="33"/>
        <w:spacing w:after="20"/>
        <w:rPr>
          <w:b/>
        </w:rPr>
      </w:pPr>
      <w:r w:rsidRPr="00E1163B">
        <w:rPr>
          <w:b/>
        </w:rPr>
        <w:t xml:space="preserve">5.  Other </w:t>
      </w:r>
      <w:r w:rsidR="00D87692">
        <w:rPr>
          <w:b/>
        </w:rPr>
        <w:t>I</w:t>
      </w:r>
      <w:r w:rsidRPr="00E1163B">
        <w:rPr>
          <w:b/>
        </w:rPr>
        <w:t>ssues</w:t>
      </w:r>
    </w:p>
    <w:p w14:paraId="5590DEA2" w14:textId="77777777" w:rsidR="007722E8" w:rsidRPr="00506507" w:rsidRDefault="007722E8" w:rsidP="007722E8">
      <w:pPr>
        <w:spacing w:after="20"/>
        <w:rPr>
          <w:sz w:val="22"/>
          <w:szCs w:val="22"/>
        </w:rPr>
      </w:pPr>
    </w:p>
    <w:p w14:paraId="31B9D0CF" w14:textId="77777777" w:rsidR="007722E8" w:rsidRPr="00506507" w:rsidRDefault="007722E8" w:rsidP="007722E8">
      <w:pPr>
        <w:spacing w:after="20"/>
        <w:rPr>
          <w:b/>
          <w:i/>
          <w:color w:val="003366"/>
          <w:sz w:val="22"/>
          <w:szCs w:val="22"/>
        </w:rPr>
      </w:pPr>
      <w:r w:rsidRPr="00506507">
        <w:rPr>
          <w:b/>
          <w:i/>
          <w:color w:val="003366"/>
          <w:sz w:val="22"/>
          <w:szCs w:val="22"/>
        </w:rPr>
        <w:t xml:space="preserve">  (a)  Existing AEWA orientations</w:t>
      </w:r>
    </w:p>
    <w:p w14:paraId="408C5484" w14:textId="77777777" w:rsidR="007722E8" w:rsidRPr="00506507" w:rsidRDefault="007722E8" w:rsidP="007722E8">
      <w:pPr>
        <w:spacing w:after="20"/>
        <w:rPr>
          <w:sz w:val="22"/>
          <w:szCs w:val="22"/>
        </w:rPr>
      </w:pPr>
    </w:p>
    <w:p w14:paraId="16E62660" w14:textId="38F1F47C" w:rsidR="007140A6" w:rsidRPr="00506507" w:rsidRDefault="007722E8" w:rsidP="00E1163B">
      <w:pPr>
        <w:spacing w:after="20"/>
        <w:jc w:val="both"/>
        <w:rPr>
          <w:sz w:val="22"/>
          <w:szCs w:val="22"/>
        </w:rPr>
      </w:pPr>
      <w:r w:rsidRPr="00506507">
        <w:rPr>
          <w:sz w:val="22"/>
          <w:szCs w:val="22"/>
        </w:rPr>
        <w:t>Other relevant issues identified in AEWA texts include lead pollution, agrochemicals, marine pollution/debris and emergency situations.</w:t>
      </w:r>
      <w:r w:rsidR="007140A6" w:rsidRPr="00506507">
        <w:rPr>
          <w:sz w:val="22"/>
          <w:szCs w:val="22"/>
        </w:rPr>
        <w:t xml:space="preserve">  The </w:t>
      </w:r>
      <w:r w:rsidR="00334B34" w:rsidRPr="00506507">
        <w:rPr>
          <w:sz w:val="22"/>
          <w:szCs w:val="22"/>
        </w:rPr>
        <w:t xml:space="preserve">MOP-adopted </w:t>
      </w:r>
      <w:r w:rsidR="007140A6" w:rsidRPr="00506507">
        <w:rPr>
          <w:sz w:val="22"/>
          <w:szCs w:val="22"/>
        </w:rPr>
        <w:t>Conservation Guidelines No. 2 (2005) on identifying and tackling emergency situations for migratory waterbirds (https://www.unep-aewa.org/en/publication/aewa-conservation-guidelines-no-2-guidelines-identifying-and-tackling-emergency ) are</w:t>
      </w:r>
      <w:r w:rsidR="009B7FCF" w:rsidRPr="00506507">
        <w:rPr>
          <w:sz w:val="22"/>
          <w:szCs w:val="22"/>
        </w:rPr>
        <w:t xml:space="preserve"> relevant, as is the Technical S</w:t>
      </w:r>
      <w:r w:rsidR="007140A6" w:rsidRPr="00506507">
        <w:rPr>
          <w:sz w:val="22"/>
          <w:szCs w:val="22"/>
        </w:rPr>
        <w:t xml:space="preserve">eries publication “Non-toxic Shot - A Path Towards Sustainable Use of the Waterbird Resource” (TS No. 3, 2009 - </w:t>
      </w:r>
      <w:r w:rsidR="007140A6" w:rsidRPr="00506507">
        <w:rPr>
          <w:i/>
          <w:sz w:val="22"/>
          <w:szCs w:val="22"/>
        </w:rPr>
        <w:t>https://www.unep-aewa.org/en/publication/non-toxic-shot-path-towards-sustainable-use-waterbird-resource-ts-no-3</w:t>
      </w:r>
      <w:r w:rsidR="007140A6" w:rsidRPr="00506507">
        <w:rPr>
          <w:sz w:val="22"/>
          <w:szCs w:val="22"/>
        </w:rPr>
        <w:t xml:space="preserve"> ).</w:t>
      </w:r>
    </w:p>
    <w:p w14:paraId="353D1835" w14:textId="77777777" w:rsidR="009B7FCF" w:rsidRPr="00506507" w:rsidRDefault="009B7FCF" w:rsidP="00E1163B">
      <w:pPr>
        <w:spacing w:after="20"/>
        <w:jc w:val="both"/>
        <w:rPr>
          <w:sz w:val="22"/>
          <w:szCs w:val="22"/>
        </w:rPr>
      </w:pPr>
    </w:p>
    <w:p w14:paraId="03D676F5" w14:textId="037F186D" w:rsidR="009B7FCF" w:rsidRPr="00506507" w:rsidRDefault="009B7FCF" w:rsidP="00E1163B">
      <w:pPr>
        <w:spacing w:after="20"/>
        <w:jc w:val="both"/>
        <w:rPr>
          <w:sz w:val="22"/>
          <w:szCs w:val="22"/>
        </w:rPr>
      </w:pPr>
      <w:r w:rsidRPr="00506507">
        <w:rPr>
          <w:sz w:val="22"/>
          <w:szCs w:val="22"/>
        </w:rPr>
        <w:t>Relevant MOP Resolutions include:</w:t>
      </w:r>
    </w:p>
    <w:p w14:paraId="527302F5" w14:textId="5A0BC3C9" w:rsidR="007140A6" w:rsidRPr="00506507" w:rsidRDefault="007140A6" w:rsidP="00E1163B">
      <w:pPr>
        <w:spacing w:after="20"/>
        <w:jc w:val="both"/>
        <w:rPr>
          <w:sz w:val="10"/>
          <w:szCs w:val="10"/>
        </w:rPr>
      </w:pPr>
    </w:p>
    <w:p w14:paraId="53E1F2FF" w14:textId="0A6744E6" w:rsidR="007140A6" w:rsidRPr="00506507" w:rsidRDefault="007140A6" w:rsidP="00E1163B">
      <w:pPr>
        <w:pStyle w:val="ListParagraph"/>
        <w:numPr>
          <w:ilvl w:val="0"/>
          <w:numId w:val="37"/>
        </w:numPr>
        <w:spacing w:after="20"/>
        <w:jc w:val="both"/>
        <w:rPr>
          <w:sz w:val="20"/>
          <w:szCs w:val="20"/>
        </w:rPr>
      </w:pPr>
      <w:r w:rsidRPr="00506507">
        <w:rPr>
          <w:sz w:val="20"/>
          <w:szCs w:val="20"/>
        </w:rPr>
        <w:t xml:space="preserve">Resolution 2.2 (2002) on Phasing out lead shot for hunting in wetlands - </w:t>
      </w:r>
      <w:hyperlink r:id="rId19" w:history="1">
        <w:r w:rsidRPr="00506507">
          <w:rPr>
            <w:rStyle w:val="Hyperlink"/>
            <w:i/>
            <w:sz w:val="20"/>
            <w:szCs w:val="20"/>
          </w:rPr>
          <w:t>https://www.unep-aewa.org/en/document/phasing-out-lead-shot-hunting-wetlands-2</w:t>
        </w:r>
      </w:hyperlink>
      <w:r w:rsidRPr="00506507">
        <w:rPr>
          <w:sz w:val="20"/>
          <w:szCs w:val="20"/>
        </w:rPr>
        <w:t xml:space="preserve"> ;</w:t>
      </w:r>
    </w:p>
    <w:p w14:paraId="5CCD3987" w14:textId="77777777" w:rsidR="007140A6" w:rsidRPr="00506507" w:rsidRDefault="007140A6" w:rsidP="00E1163B">
      <w:pPr>
        <w:spacing w:after="20"/>
        <w:jc w:val="both"/>
        <w:rPr>
          <w:sz w:val="10"/>
          <w:szCs w:val="10"/>
        </w:rPr>
      </w:pPr>
    </w:p>
    <w:p w14:paraId="37E67CCF" w14:textId="4511E0D8" w:rsidR="007140A6" w:rsidRPr="00506507" w:rsidRDefault="007140A6" w:rsidP="00E1163B">
      <w:pPr>
        <w:pStyle w:val="ListParagraph"/>
        <w:numPr>
          <w:ilvl w:val="0"/>
          <w:numId w:val="37"/>
        </w:numPr>
        <w:spacing w:after="20"/>
        <w:jc w:val="both"/>
        <w:rPr>
          <w:color w:val="000000"/>
          <w:sz w:val="20"/>
          <w:szCs w:val="20"/>
        </w:rPr>
      </w:pPr>
      <w:r w:rsidRPr="00506507">
        <w:rPr>
          <w:color w:val="000000"/>
          <w:sz w:val="20"/>
          <w:szCs w:val="20"/>
        </w:rPr>
        <w:t xml:space="preserve">Resolution 4.1 (2008) on Phasing out lead shot for hunting in wetlands - </w:t>
      </w:r>
      <w:hyperlink r:id="rId20" w:history="1">
        <w:r w:rsidRPr="00506507">
          <w:rPr>
            <w:rStyle w:val="Hyperlink"/>
            <w:i/>
            <w:sz w:val="20"/>
            <w:szCs w:val="20"/>
          </w:rPr>
          <w:t>https://www.unep-aewa.org/en/document/phasing-out-lead-shot-hunting-wetlands-3</w:t>
        </w:r>
      </w:hyperlink>
      <w:r w:rsidRPr="00506507">
        <w:rPr>
          <w:color w:val="000000"/>
          <w:sz w:val="20"/>
          <w:szCs w:val="20"/>
        </w:rPr>
        <w:t xml:space="preserve"> ;</w:t>
      </w:r>
    </w:p>
    <w:p w14:paraId="4824E7B4" w14:textId="77777777" w:rsidR="007140A6" w:rsidRPr="00506507" w:rsidRDefault="007140A6" w:rsidP="00E1163B">
      <w:pPr>
        <w:spacing w:after="20"/>
        <w:jc w:val="both"/>
        <w:rPr>
          <w:sz w:val="10"/>
          <w:szCs w:val="10"/>
        </w:rPr>
      </w:pPr>
    </w:p>
    <w:p w14:paraId="2145423A" w14:textId="7148BF1A" w:rsidR="007140A6" w:rsidRPr="00506507" w:rsidRDefault="007140A6" w:rsidP="00E1163B">
      <w:pPr>
        <w:pStyle w:val="ListParagraph"/>
        <w:numPr>
          <w:ilvl w:val="0"/>
          <w:numId w:val="37"/>
        </w:numPr>
        <w:spacing w:after="20"/>
        <w:jc w:val="both"/>
        <w:rPr>
          <w:color w:val="000000"/>
          <w:sz w:val="20"/>
          <w:szCs w:val="20"/>
        </w:rPr>
      </w:pPr>
      <w:r w:rsidRPr="00506507">
        <w:rPr>
          <w:color w:val="000000"/>
          <w:sz w:val="20"/>
          <w:szCs w:val="20"/>
        </w:rPr>
        <w:t xml:space="preserve">Resolution 5.12 (2012) on Adverse effects of agrochemicals on migratory waterbirds in Africa - </w:t>
      </w:r>
      <w:hyperlink r:id="rId21" w:history="1">
        <w:r w:rsidRPr="00506507">
          <w:rPr>
            <w:rStyle w:val="Hyperlink"/>
            <w:i/>
            <w:sz w:val="20"/>
            <w:szCs w:val="20"/>
          </w:rPr>
          <w:t>https://www.unep-aewa.org/en/document/adverse-effects-agrochemicals-migratory-waterbirds-africa-1</w:t>
        </w:r>
      </w:hyperlink>
      <w:r w:rsidRPr="00506507">
        <w:rPr>
          <w:color w:val="000000"/>
          <w:sz w:val="20"/>
          <w:szCs w:val="20"/>
        </w:rPr>
        <w:t xml:space="preserve"> ;</w:t>
      </w:r>
    </w:p>
    <w:p w14:paraId="4AD9C14D" w14:textId="77777777" w:rsidR="007140A6" w:rsidRPr="00506507" w:rsidRDefault="007140A6" w:rsidP="00E1163B">
      <w:pPr>
        <w:spacing w:after="20"/>
        <w:jc w:val="both"/>
        <w:rPr>
          <w:color w:val="000000"/>
          <w:sz w:val="10"/>
          <w:szCs w:val="10"/>
        </w:rPr>
      </w:pPr>
    </w:p>
    <w:p w14:paraId="3F43E3DB" w14:textId="4D76ACBA" w:rsidR="007140A6" w:rsidRPr="00506507" w:rsidRDefault="007140A6" w:rsidP="00E1163B">
      <w:pPr>
        <w:pStyle w:val="ListParagraph"/>
        <w:numPr>
          <w:ilvl w:val="0"/>
          <w:numId w:val="37"/>
        </w:numPr>
        <w:spacing w:after="20"/>
        <w:jc w:val="both"/>
        <w:rPr>
          <w:sz w:val="20"/>
          <w:szCs w:val="20"/>
        </w:rPr>
      </w:pPr>
      <w:r w:rsidRPr="00506507">
        <w:rPr>
          <w:color w:val="000000"/>
          <w:sz w:val="20"/>
          <w:szCs w:val="20"/>
        </w:rPr>
        <w:t xml:space="preserve">Resolution 7.6 (2018) on Priorities for the conservation of seabirds in the African-Eurasian flyways - </w:t>
      </w:r>
      <w:hyperlink r:id="rId22" w:history="1">
        <w:r w:rsidRPr="00506507">
          <w:rPr>
            <w:rStyle w:val="Hyperlink"/>
            <w:i/>
            <w:sz w:val="20"/>
            <w:szCs w:val="20"/>
          </w:rPr>
          <w:t>https://www.unep-aewa.org/en/document/priorities-conservation-seabirds-african-eurasian-flyways-1</w:t>
        </w:r>
      </w:hyperlink>
      <w:r w:rsidRPr="00506507">
        <w:rPr>
          <w:color w:val="000000"/>
          <w:sz w:val="20"/>
          <w:szCs w:val="20"/>
        </w:rPr>
        <w:t xml:space="preserve"> .</w:t>
      </w:r>
    </w:p>
    <w:p w14:paraId="53D765AD" w14:textId="77777777" w:rsidR="00334B34" w:rsidRPr="00506507" w:rsidRDefault="00334B34" w:rsidP="00E1163B">
      <w:pPr>
        <w:spacing w:after="20"/>
        <w:jc w:val="both"/>
        <w:rPr>
          <w:sz w:val="22"/>
          <w:szCs w:val="22"/>
        </w:rPr>
      </w:pPr>
    </w:p>
    <w:p w14:paraId="62931216" w14:textId="13F7CA2B" w:rsidR="007722E8" w:rsidRPr="00506507" w:rsidRDefault="007722E8" w:rsidP="00E1163B">
      <w:pPr>
        <w:spacing w:after="20"/>
        <w:jc w:val="both"/>
        <w:rPr>
          <w:sz w:val="22"/>
          <w:szCs w:val="22"/>
        </w:rPr>
      </w:pPr>
      <w:r w:rsidRPr="00506507">
        <w:rPr>
          <w:sz w:val="22"/>
          <w:szCs w:val="22"/>
        </w:rPr>
        <w:t>Multilateral processes/platforms offering possible entry-points for influence on these are mentioned in the texts highlighted below.</w:t>
      </w:r>
    </w:p>
    <w:p w14:paraId="3F29B06E" w14:textId="77777777" w:rsidR="007722E8" w:rsidRPr="00506507" w:rsidRDefault="007722E8" w:rsidP="007722E8">
      <w:pPr>
        <w:rPr>
          <w:sz w:val="22"/>
          <w:szCs w:val="22"/>
        </w:rPr>
      </w:pPr>
    </w:p>
    <w:p w14:paraId="3D624F04" w14:textId="77777777" w:rsidR="007722E8" w:rsidRPr="00506507" w:rsidRDefault="007722E8" w:rsidP="007722E8">
      <w:pPr>
        <w:rPr>
          <w:sz w:val="8"/>
          <w:szCs w:val="8"/>
        </w:rPr>
      </w:pPr>
    </w:p>
    <w:tbl>
      <w:tblPr>
        <w:tblStyle w:val="TableGrid"/>
        <w:tblW w:w="0" w:type="auto"/>
        <w:jc w:val="center"/>
        <w:tblLook w:val="04A0" w:firstRow="1" w:lastRow="0" w:firstColumn="1" w:lastColumn="0" w:noHBand="0" w:noVBand="1"/>
      </w:tblPr>
      <w:tblGrid>
        <w:gridCol w:w="3005"/>
        <w:gridCol w:w="3005"/>
        <w:gridCol w:w="3006"/>
      </w:tblGrid>
      <w:tr w:rsidR="007722E8" w:rsidRPr="00506507" w14:paraId="4F0C4072" w14:textId="77777777" w:rsidTr="00E1163B">
        <w:trPr>
          <w:jc w:val="center"/>
        </w:trPr>
        <w:tc>
          <w:tcPr>
            <w:tcW w:w="3005" w:type="dxa"/>
            <w:shd w:val="clear" w:color="auto" w:fill="DEEAF6" w:themeFill="accent1" w:themeFillTint="33"/>
            <w:vAlign w:val="center"/>
          </w:tcPr>
          <w:p w14:paraId="7F7E2B3C" w14:textId="77777777" w:rsidR="007722E8" w:rsidRPr="00506507" w:rsidRDefault="007722E8" w:rsidP="005F7185">
            <w:pPr>
              <w:jc w:val="center"/>
              <w:rPr>
                <w:b/>
                <w:sz w:val="20"/>
                <w:szCs w:val="20"/>
              </w:rPr>
            </w:pPr>
            <w:r w:rsidRPr="00506507">
              <w:rPr>
                <w:b/>
                <w:sz w:val="20"/>
                <w:szCs w:val="20"/>
              </w:rPr>
              <w:t>Multilateral process / platform</w:t>
            </w:r>
          </w:p>
        </w:tc>
        <w:tc>
          <w:tcPr>
            <w:tcW w:w="3005" w:type="dxa"/>
            <w:shd w:val="clear" w:color="auto" w:fill="DEEAF6" w:themeFill="accent1" w:themeFillTint="33"/>
            <w:vAlign w:val="center"/>
          </w:tcPr>
          <w:p w14:paraId="264D9462" w14:textId="77777777" w:rsidR="007722E8" w:rsidRPr="00506507" w:rsidRDefault="007722E8" w:rsidP="005F7185">
            <w:pPr>
              <w:jc w:val="center"/>
              <w:rPr>
                <w:b/>
                <w:sz w:val="20"/>
                <w:szCs w:val="20"/>
              </w:rPr>
            </w:pPr>
            <w:r w:rsidRPr="00506507">
              <w:rPr>
                <w:b/>
                <w:sz w:val="20"/>
                <w:szCs w:val="20"/>
              </w:rPr>
              <w:t>Where identified by AEWA</w:t>
            </w:r>
          </w:p>
        </w:tc>
        <w:tc>
          <w:tcPr>
            <w:tcW w:w="3006" w:type="dxa"/>
            <w:shd w:val="clear" w:color="auto" w:fill="DEEAF6" w:themeFill="accent1" w:themeFillTint="33"/>
            <w:vAlign w:val="center"/>
          </w:tcPr>
          <w:p w14:paraId="0942498C" w14:textId="77777777" w:rsidR="007722E8" w:rsidRPr="00506507" w:rsidRDefault="007722E8" w:rsidP="005F7185">
            <w:pPr>
              <w:jc w:val="center"/>
              <w:rPr>
                <w:b/>
                <w:sz w:val="20"/>
                <w:szCs w:val="20"/>
              </w:rPr>
            </w:pPr>
            <w:r w:rsidRPr="00506507">
              <w:rPr>
                <w:b/>
                <w:sz w:val="20"/>
                <w:szCs w:val="20"/>
              </w:rPr>
              <w:t>Possible opportunity for influence</w:t>
            </w:r>
          </w:p>
        </w:tc>
      </w:tr>
      <w:tr w:rsidR="007722E8" w:rsidRPr="00506507" w14:paraId="459BBC43" w14:textId="77777777" w:rsidTr="00E1163B">
        <w:trPr>
          <w:jc w:val="center"/>
        </w:trPr>
        <w:tc>
          <w:tcPr>
            <w:tcW w:w="9016" w:type="dxa"/>
            <w:gridSpan w:val="3"/>
            <w:shd w:val="clear" w:color="auto" w:fill="D9D9D9" w:themeFill="background1" w:themeFillShade="D9"/>
          </w:tcPr>
          <w:p w14:paraId="24114549" w14:textId="77777777" w:rsidR="007722E8" w:rsidRPr="00506507" w:rsidRDefault="007722E8" w:rsidP="005F7185">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Convention on Migratory Species (CMS)</w:t>
            </w:r>
          </w:p>
        </w:tc>
      </w:tr>
      <w:tr w:rsidR="007722E8" w:rsidRPr="00506507" w14:paraId="24975DAE" w14:textId="77777777" w:rsidTr="00E1163B">
        <w:trPr>
          <w:jc w:val="center"/>
        </w:trPr>
        <w:tc>
          <w:tcPr>
            <w:tcW w:w="3005" w:type="dxa"/>
            <w:shd w:val="clear" w:color="auto" w:fill="FFFFFF" w:themeFill="background1"/>
          </w:tcPr>
          <w:p w14:paraId="02923FC5" w14:textId="77777777" w:rsidR="007722E8" w:rsidRPr="00506507" w:rsidRDefault="007722E8" w:rsidP="005F7185">
            <w:pPr>
              <w:rPr>
                <w:color w:val="000000"/>
                <w:sz w:val="19"/>
                <w:szCs w:val="19"/>
              </w:rPr>
            </w:pPr>
            <w:r w:rsidRPr="00506507">
              <w:rPr>
                <w:color w:val="000000"/>
                <w:sz w:val="19"/>
                <w:szCs w:val="19"/>
              </w:rPr>
              <w:t>CMS COP Resolution 10.26 (2011) on Minimising the risk of poisoning to migratory birds.</w:t>
            </w:r>
          </w:p>
        </w:tc>
        <w:tc>
          <w:tcPr>
            <w:tcW w:w="3005" w:type="dxa"/>
            <w:shd w:val="clear" w:color="auto" w:fill="FFFFFF" w:themeFill="background1"/>
          </w:tcPr>
          <w:p w14:paraId="3FA50B7C" w14:textId="72382887" w:rsidR="007722E8" w:rsidRPr="00506507" w:rsidRDefault="007722E8" w:rsidP="00712B17">
            <w:pPr>
              <w:rPr>
                <w:color w:val="000000"/>
                <w:sz w:val="19"/>
                <w:szCs w:val="19"/>
              </w:rPr>
            </w:pPr>
            <w:r w:rsidRPr="00506507">
              <w:rPr>
                <w:color w:val="000000"/>
                <w:sz w:val="19"/>
                <w:szCs w:val="19"/>
              </w:rPr>
              <w:t>Noted in preamble of MOP Resolution 5.12 (2012) on Adverse effects of agrochemicals on migratory waterbirds in Africa.</w:t>
            </w:r>
            <w:r w:rsidR="00712B17" w:rsidRPr="00506507">
              <w:rPr>
                <w:color w:val="000000"/>
                <w:sz w:val="19"/>
                <w:szCs w:val="19"/>
              </w:rPr>
              <w:t xml:space="preserve">  Operative section of the Resolution requests AEWA Technical Committee and Secretariat to collaborate with the CMS Scientific Council Working Group on poisoning of migratory birds</w:t>
            </w:r>
          </w:p>
        </w:tc>
        <w:tc>
          <w:tcPr>
            <w:tcW w:w="3006" w:type="dxa"/>
            <w:shd w:val="clear" w:color="auto" w:fill="FFFFFF" w:themeFill="background1"/>
          </w:tcPr>
          <w:p w14:paraId="040DCA3A" w14:textId="77777777" w:rsidR="005B5A46" w:rsidRPr="00506507" w:rsidRDefault="005B5A46" w:rsidP="005B5A46">
            <w:pPr>
              <w:pStyle w:val="ListParagraph"/>
              <w:numPr>
                <w:ilvl w:val="0"/>
                <w:numId w:val="30"/>
              </w:numPr>
              <w:rPr>
                <w:sz w:val="19"/>
                <w:szCs w:val="19"/>
              </w:rPr>
            </w:pPr>
            <w:r w:rsidRPr="00506507">
              <w:rPr>
                <w:sz w:val="19"/>
                <w:szCs w:val="19"/>
              </w:rPr>
              <w:t>CMS Parties accounting for action via national reports.</w:t>
            </w:r>
          </w:p>
          <w:p w14:paraId="39B66041" w14:textId="4CAF71F8" w:rsidR="007722E8" w:rsidRPr="00506507" w:rsidRDefault="005B5A46" w:rsidP="005B5A46">
            <w:pPr>
              <w:pStyle w:val="ListParagraph"/>
              <w:numPr>
                <w:ilvl w:val="0"/>
                <w:numId w:val="30"/>
              </w:numPr>
              <w:rPr>
                <w:color w:val="000000"/>
                <w:sz w:val="19"/>
                <w:szCs w:val="19"/>
              </w:rPr>
            </w:pPr>
            <w:r w:rsidRPr="00506507">
              <w:rPr>
                <w:sz w:val="19"/>
                <w:szCs w:val="19"/>
              </w:rPr>
              <w:t>Follow-up attention at future CMS COPs.</w:t>
            </w:r>
          </w:p>
        </w:tc>
      </w:tr>
      <w:tr w:rsidR="007722E8" w:rsidRPr="00506507" w14:paraId="1495F9ED" w14:textId="77777777" w:rsidTr="00E1163B">
        <w:trPr>
          <w:jc w:val="center"/>
        </w:trPr>
        <w:tc>
          <w:tcPr>
            <w:tcW w:w="3005" w:type="dxa"/>
            <w:shd w:val="clear" w:color="auto" w:fill="FFFFFF" w:themeFill="background1"/>
          </w:tcPr>
          <w:p w14:paraId="54BCD394" w14:textId="77777777" w:rsidR="007722E8" w:rsidRPr="00506507" w:rsidRDefault="007722E8" w:rsidP="005F7185">
            <w:pPr>
              <w:rPr>
                <w:color w:val="000000"/>
                <w:sz w:val="19"/>
                <w:szCs w:val="19"/>
              </w:rPr>
            </w:pPr>
            <w:r w:rsidRPr="00506507">
              <w:rPr>
                <w:color w:val="000000"/>
                <w:sz w:val="19"/>
                <w:szCs w:val="19"/>
              </w:rPr>
              <w:t>CMS COP Resolution 7.3 (2002) (Rev COP12, 2017) on Oil pollution and migratory species.</w:t>
            </w:r>
          </w:p>
        </w:tc>
        <w:tc>
          <w:tcPr>
            <w:tcW w:w="3005" w:type="dxa"/>
            <w:shd w:val="clear" w:color="auto" w:fill="FFFFFF" w:themeFill="background1"/>
          </w:tcPr>
          <w:p w14:paraId="6B0DBD70" w14:textId="77777777" w:rsidR="007722E8" w:rsidRPr="00506507" w:rsidRDefault="007722E8" w:rsidP="005F7185">
            <w:pPr>
              <w:rPr>
                <w:color w:val="000000"/>
                <w:sz w:val="19"/>
                <w:szCs w:val="19"/>
              </w:rPr>
            </w:pPr>
            <w:r w:rsidRPr="00506507">
              <w:rPr>
                <w:color w:val="000000"/>
                <w:sz w:val="19"/>
                <w:szCs w:val="19"/>
              </w:rPr>
              <w:t>Noted in preamble of MOP Resolution 7.6 (2018) on Priorities for the conservation of seabirds in the African-Eurasian flyways.</w:t>
            </w:r>
          </w:p>
        </w:tc>
        <w:tc>
          <w:tcPr>
            <w:tcW w:w="3006" w:type="dxa"/>
            <w:shd w:val="clear" w:color="auto" w:fill="FFFFFF" w:themeFill="background1"/>
          </w:tcPr>
          <w:p w14:paraId="30954777" w14:textId="77777777" w:rsidR="005B5A46" w:rsidRPr="00506507" w:rsidRDefault="005B5A46" w:rsidP="005B5A46">
            <w:pPr>
              <w:pStyle w:val="ListParagraph"/>
              <w:numPr>
                <w:ilvl w:val="0"/>
                <w:numId w:val="30"/>
              </w:numPr>
              <w:rPr>
                <w:sz w:val="19"/>
                <w:szCs w:val="19"/>
              </w:rPr>
            </w:pPr>
            <w:r w:rsidRPr="00506507">
              <w:rPr>
                <w:sz w:val="19"/>
                <w:szCs w:val="19"/>
              </w:rPr>
              <w:t>CMS Parties accounting for action via national reports.</w:t>
            </w:r>
          </w:p>
          <w:p w14:paraId="09296861" w14:textId="01B41C7A" w:rsidR="007722E8" w:rsidRPr="00506507" w:rsidRDefault="005B5A46" w:rsidP="005B5A46">
            <w:pPr>
              <w:pStyle w:val="ListParagraph"/>
              <w:numPr>
                <w:ilvl w:val="0"/>
                <w:numId w:val="30"/>
              </w:numPr>
              <w:rPr>
                <w:color w:val="000000"/>
                <w:sz w:val="19"/>
                <w:szCs w:val="19"/>
              </w:rPr>
            </w:pPr>
            <w:r w:rsidRPr="00506507">
              <w:rPr>
                <w:sz w:val="19"/>
                <w:szCs w:val="19"/>
              </w:rPr>
              <w:t>Follow-up attention at future CMS COPs.</w:t>
            </w:r>
          </w:p>
        </w:tc>
      </w:tr>
      <w:tr w:rsidR="007722E8" w:rsidRPr="00506507" w14:paraId="2A9AA3F7" w14:textId="77777777" w:rsidTr="00E1163B">
        <w:trPr>
          <w:jc w:val="center"/>
        </w:trPr>
        <w:tc>
          <w:tcPr>
            <w:tcW w:w="3005" w:type="dxa"/>
            <w:shd w:val="clear" w:color="auto" w:fill="FFFFFF" w:themeFill="background1"/>
          </w:tcPr>
          <w:p w14:paraId="58A1C4C6" w14:textId="77777777" w:rsidR="007722E8" w:rsidRPr="00506507" w:rsidRDefault="007722E8" w:rsidP="005F7185">
            <w:pPr>
              <w:rPr>
                <w:color w:val="000000"/>
                <w:sz w:val="19"/>
                <w:szCs w:val="19"/>
              </w:rPr>
            </w:pPr>
            <w:r w:rsidRPr="00506507">
              <w:rPr>
                <w:color w:val="000000"/>
                <w:sz w:val="19"/>
                <w:szCs w:val="19"/>
              </w:rPr>
              <w:t>CMS COP Resolution 12.20 (2017) on the Management of marine debris.</w:t>
            </w:r>
          </w:p>
        </w:tc>
        <w:tc>
          <w:tcPr>
            <w:tcW w:w="3005" w:type="dxa"/>
            <w:shd w:val="clear" w:color="auto" w:fill="FFFFFF" w:themeFill="background1"/>
          </w:tcPr>
          <w:p w14:paraId="5106CB4D" w14:textId="77777777" w:rsidR="007722E8" w:rsidRPr="00506507" w:rsidRDefault="007722E8" w:rsidP="005F7185">
            <w:pPr>
              <w:rPr>
                <w:color w:val="000000"/>
                <w:sz w:val="19"/>
                <w:szCs w:val="19"/>
              </w:rPr>
            </w:pPr>
            <w:r w:rsidRPr="00506507">
              <w:rPr>
                <w:color w:val="000000"/>
                <w:sz w:val="19"/>
                <w:szCs w:val="19"/>
              </w:rPr>
              <w:t>Noted in preamble of MOP Resolution 7.6 (2018) on Priorities for the conservation of seabirds in the African-Eurasian flyways.</w:t>
            </w:r>
          </w:p>
        </w:tc>
        <w:tc>
          <w:tcPr>
            <w:tcW w:w="3006" w:type="dxa"/>
            <w:shd w:val="clear" w:color="auto" w:fill="FFFFFF" w:themeFill="background1"/>
          </w:tcPr>
          <w:p w14:paraId="5542280F" w14:textId="77777777" w:rsidR="005B5A46" w:rsidRPr="00506507" w:rsidRDefault="005B5A46" w:rsidP="005B5A46">
            <w:pPr>
              <w:pStyle w:val="ListParagraph"/>
              <w:numPr>
                <w:ilvl w:val="0"/>
                <w:numId w:val="30"/>
              </w:numPr>
              <w:rPr>
                <w:sz w:val="19"/>
                <w:szCs w:val="19"/>
              </w:rPr>
            </w:pPr>
            <w:r w:rsidRPr="00506507">
              <w:rPr>
                <w:sz w:val="19"/>
                <w:szCs w:val="19"/>
              </w:rPr>
              <w:t>CMS Parties accounting for action via national reports.</w:t>
            </w:r>
          </w:p>
          <w:p w14:paraId="0CB22DFB" w14:textId="75B51E94" w:rsidR="007722E8" w:rsidRPr="00506507" w:rsidRDefault="005B5A46" w:rsidP="005B5A46">
            <w:pPr>
              <w:pStyle w:val="ListParagraph"/>
              <w:numPr>
                <w:ilvl w:val="0"/>
                <w:numId w:val="30"/>
              </w:numPr>
              <w:rPr>
                <w:color w:val="000000"/>
                <w:sz w:val="19"/>
                <w:szCs w:val="19"/>
              </w:rPr>
            </w:pPr>
            <w:r w:rsidRPr="00506507">
              <w:rPr>
                <w:sz w:val="19"/>
                <w:szCs w:val="19"/>
              </w:rPr>
              <w:t>Follow-up attention at future CMS COPs.</w:t>
            </w:r>
          </w:p>
        </w:tc>
      </w:tr>
      <w:tr w:rsidR="007722E8" w:rsidRPr="00506507" w14:paraId="1DB517E1" w14:textId="77777777" w:rsidTr="00E1163B">
        <w:trPr>
          <w:jc w:val="center"/>
        </w:trPr>
        <w:tc>
          <w:tcPr>
            <w:tcW w:w="9016" w:type="dxa"/>
            <w:gridSpan w:val="3"/>
            <w:shd w:val="clear" w:color="auto" w:fill="D9D9D9" w:themeFill="background1" w:themeFillShade="D9"/>
          </w:tcPr>
          <w:p w14:paraId="099113E6" w14:textId="77777777" w:rsidR="007722E8" w:rsidRPr="00506507" w:rsidRDefault="007722E8" w:rsidP="005F7185">
            <w:pPr>
              <w:rPr>
                <w:color w:val="000000"/>
                <w:sz w:val="19"/>
                <w:szCs w:val="19"/>
              </w:rPr>
            </w:pPr>
            <w:r w:rsidRPr="00506507">
              <w:rPr>
                <w:b/>
                <w:i/>
                <w:color w:val="000066"/>
                <w:sz w:val="19"/>
                <w:szCs w:val="19"/>
              </w:rPr>
              <w:sym w:font="Wingdings" w:char="F0D8"/>
            </w:r>
            <w:r w:rsidRPr="00506507">
              <w:rPr>
                <w:b/>
                <w:i/>
                <w:color w:val="000066"/>
                <w:sz w:val="19"/>
                <w:szCs w:val="19"/>
              </w:rPr>
              <w:t xml:space="preserve"> Ramsar Convention</w:t>
            </w:r>
          </w:p>
        </w:tc>
      </w:tr>
      <w:tr w:rsidR="007722E8" w:rsidRPr="00506507" w14:paraId="456ADE03" w14:textId="77777777" w:rsidTr="00E1163B">
        <w:trPr>
          <w:jc w:val="center"/>
        </w:trPr>
        <w:tc>
          <w:tcPr>
            <w:tcW w:w="3005" w:type="dxa"/>
            <w:shd w:val="clear" w:color="auto" w:fill="FFFFFF" w:themeFill="background1"/>
          </w:tcPr>
          <w:p w14:paraId="4761C47E" w14:textId="77777777" w:rsidR="007722E8" w:rsidRPr="00506507" w:rsidRDefault="007722E8" w:rsidP="005F7185">
            <w:pPr>
              <w:rPr>
                <w:color w:val="000000"/>
                <w:sz w:val="19"/>
                <w:szCs w:val="19"/>
              </w:rPr>
            </w:pPr>
            <w:r w:rsidRPr="00506507">
              <w:rPr>
                <w:color w:val="000000"/>
                <w:sz w:val="19"/>
                <w:szCs w:val="19"/>
              </w:rPr>
              <w:t>Recommendation 9 on Promotion of Hunting Research and Education, agreed by of the International Conference on the Conservation of Wetlands and Waterfowl, 1971 (together with adoption of the Ramsar Convention).</w:t>
            </w:r>
          </w:p>
        </w:tc>
        <w:tc>
          <w:tcPr>
            <w:tcW w:w="3005" w:type="dxa"/>
            <w:shd w:val="clear" w:color="auto" w:fill="FFFFFF" w:themeFill="background1"/>
          </w:tcPr>
          <w:p w14:paraId="0CBBE0A1" w14:textId="77777777" w:rsidR="007722E8" w:rsidRPr="00506507" w:rsidRDefault="007722E8" w:rsidP="005F7185">
            <w:pPr>
              <w:rPr>
                <w:color w:val="000000"/>
                <w:sz w:val="19"/>
                <w:szCs w:val="19"/>
              </w:rPr>
            </w:pPr>
            <w:r w:rsidRPr="00506507">
              <w:rPr>
                <w:color w:val="000000"/>
                <w:sz w:val="19"/>
                <w:szCs w:val="19"/>
              </w:rPr>
              <w:t>In AEWA Technical Series No. 3 (2009) on Non-toxic shot: a pathway towards sustainable use of the waterbird resource.</w:t>
            </w:r>
          </w:p>
        </w:tc>
        <w:tc>
          <w:tcPr>
            <w:tcW w:w="3006" w:type="dxa"/>
            <w:shd w:val="clear" w:color="auto" w:fill="FFFFFF" w:themeFill="background1"/>
          </w:tcPr>
          <w:p w14:paraId="1EA54593" w14:textId="53E2B2A0" w:rsidR="007722E8" w:rsidRPr="00506507" w:rsidRDefault="006F2C60" w:rsidP="006F2C60">
            <w:pPr>
              <w:pStyle w:val="ListParagraph"/>
              <w:numPr>
                <w:ilvl w:val="0"/>
                <w:numId w:val="30"/>
              </w:numPr>
              <w:rPr>
                <w:color w:val="000000"/>
                <w:sz w:val="19"/>
                <w:szCs w:val="19"/>
              </w:rPr>
            </w:pPr>
            <w:r w:rsidRPr="00506507">
              <w:rPr>
                <w:sz w:val="19"/>
                <w:szCs w:val="19"/>
              </w:rPr>
              <w:t>Explore scope of opportunities for collaboration/ synergy and updating of Ramsar perspectives on this issue.</w:t>
            </w:r>
          </w:p>
        </w:tc>
      </w:tr>
      <w:tr w:rsidR="007722E8" w:rsidRPr="00506507" w14:paraId="6FA2D712" w14:textId="77777777" w:rsidTr="00E1163B">
        <w:trPr>
          <w:jc w:val="center"/>
        </w:trPr>
        <w:tc>
          <w:tcPr>
            <w:tcW w:w="9016" w:type="dxa"/>
            <w:gridSpan w:val="3"/>
            <w:shd w:val="clear" w:color="auto" w:fill="D9D9D9" w:themeFill="background1" w:themeFillShade="D9"/>
          </w:tcPr>
          <w:p w14:paraId="2FD3E91D" w14:textId="77777777" w:rsidR="007722E8" w:rsidRPr="00506507" w:rsidRDefault="007722E8" w:rsidP="005F7185">
            <w:pPr>
              <w:rPr>
                <w:color w:val="000000"/>
                <w:sz w:val="19"/>
                <w:szCs w:val="19"/>
              </w:rPr>
            </w:pPr>
            <w:r w:rsidRPr="00506507">
              <w:rPr>
                <w:b/>
                <w:i/>
                <w:color w:val="000066"/>
                <w:sz w:val="19"/>
                <w:szCs w:val="19"/>
              </w:rPr>
              <w:sym w:font="Wingdings" w:char="F0D8"/>
            </w:r>
            <w:r w:rsidRPr="00506507">
              <w:rPr>
                <w:b/>
                <w:i/>
                <w:color w:val="000066"/>
                <w:sz w:val="19"/>
                <w:szCs w:val="19"/>
              </w:rPr>
              <w:t xml:space="preserve"> Bern Convention</w:t>
            </w:r>
          </w:p>
        </w:tc>
      </w:tr>
      <w:tr w:rsidR="007722E8" w:rsidRPr="00506507" w14:paraId="26F73A61" w14:textId="77777777" w:rsidTr="00E1163B">
        <w:trPr>
          <w:jc w:val="center"/>
        </w:trPr>
        <w:tc>
          <w:tcPr>
            <w:tcW w:w="3005" w:type="dxa"/>
            <w:shd w:val="clear" w:color="auto" w:fill="FFFFFF" w:themeFill="background1"/>
          </w:tcPr>
          <w:p w14:paraId="5521D010" w14:textId="77777777" w:rsidR="007722E8" w:rsidRPr="00506507" w:rsidRDefault="007722E8" w:rsidP="005F7185">
            <w:pPr>
              <w:rPr>
                <w:color w:val="000000"/>
                <w:sz w:val="19"/>
                <w:szCs w:val="19"/>
              </w:rPr>
            </w:pPr>
            <w:r w:rsidRPr="00506507">
              <w:rPr>
                <w:color w:val="000000"/>
                <w:sz w:val="19"/>
                <w:szCs w:val="19"/>
              </w:rPr>
              <w:t>Bern Standing Committee Recommendation No. 28 (1991) on the use of non-toxic shot in wetlands.</w:t>
            </w:r>
          </w:p>
        </w:tc>
        <w:tc>
          <w:tcPr>
            <w:tcW w:w="3005" w:type="dxa"/>
            <w:shd w:val="clear" w:color="auto" w:fill="FFFFFF" w:themeFill="background1"/>
          </w:tcPr>
          <w:p w14:paraId="0D37DFD7" w14:textId="1FED9003" w:rsidR="00083889" w:rsidRPr="00506507" w:rsidRDefault="007722E8" w:rsidP="00083889">
            <w:pPr>
              <w:rPr>
                <w:color w:val="000000"/>
                <w:sz w:val="19"/>
                <w:szCs w:val="19"/>
              </w:rPr>
            </w:pPr>
            <w:r w:rsidRPr="00506507">
              <w:rPr>
                <w:color w:val="000000"/>
                <w:sz w:val="19"/>
                <w:szCs w:val="19"/>
              </w:rPr>
              <w:t>In AEWA Technical Series No. 3 (2009) on Non-toxic shot: a pathway towards sustainable use of the waterbird resource.</w:t>
            </w:r>
          </w:p>
        </w:tc>
        <w:tc>
          <w:tcPr>
            <w:tcW w:w="3006" w:type="dxa"/>
            <w:shd w:val="clear" w:color="auto" w:fill="FFFFFF" w:themeFill="background1"/>
          </w:tcPr>
          <w:p w14:paraId="3392EF68" w14:textId="3D933571" w:rsidR="007722E8" w:rsidRPr="00506507" w:rsidRDefault="006F2C60" w:rsidP="006F2C60">
            <w:pPr>
              <w:pStyle w:val="ListParagraph"/>
              <w:numPr>
                <w:ilvl w:val="0"/>
                <w:numId w:val="30"/>
              </w:numPr>
              <w:rPr>
                <w:color w:val="000000"/>
                <w:sz w:val="19"/>
                <w:szCs w:val="19"/>
              </w:rPr>
            </w:pPr>
            <w:r w:rsidRPr="00506507">
              <w:rPr>
                <w:sz w:val="19"/>
                <w:szCs w:val="19"/>
              </w:rPr>
              <w:t>Oversight of implementation through Standing Committee.</w:t>
            </w:r>
          </w:p>
        </w:tc>
      </w:tr>
      <w:tr w:rsidR="007722E8" w:rsidRPr="00506507" w14:paraId="511678FC" w14:textId="77777777" w:rsidTr="00E1163B">
        <w:trPr>
          <w:jc w:val="center"/>
        </w:trPr>
        <w:tc>
          <w:tcPr>
            <w:tcW w:w="9016" w:type="dxa"/>
            <w:gridSpan w:val="3"/>
            <w:shd w:val="clear" w:color="auto" w:fill="D9D9D9" w:themeFill="background1" w:themeFillShade="D9"/>
          </w:tcPr>
          <w:p w14:paraId="7E991062" w14:textId="77777777" w:rsidR="007722E8" w:rsidRPr="00506507" w:rsidRDefault="007722E8" w:rsidP="005F7185">
            <w:pPr>
              <w:rPr>
                <w:color w:val="000000"/>
                <w:sz w:val="19"/>
                <w:szCs w:val="19"/>
              </w:rPr>
            </w:pPr>
            <w:r w:rsidRPr="00506507">
              <w:rPr>
                <w:b/>
                <w:i/>
                <w:color w:val="000066"/>
                <w:sz w:val="19"/>
                <w:szCs w:val="19"/>
              </w:rPr>
              <w:sym w:font="Wingdings" w:char="F0D8"/>
            </w:r>
            <w:r w:rsidRPr="00506507">
              <w:rPr>
                <w:b/>
                <w:i/>
                <w:color w:val="000066"/>
                <w:sz w:val="19"/>
                <w:szCs w:val="19"/>
              </w:rPr>
              <w:t xml:space="preserve"> Stockholm Convention on Persistent Organic Pollutants</w:t>
            </w:r>
          </w:p>
        </w:tc>
      </w:tr>
      <w:tr w:rsidR="007722E8" w:rsidRPr="00506507" w14:paraId="36B1F94D" w14:textId="77777777" w:rsidTr="00E1163B">
        <w:trPr>
          <w:jc w:val="center"/>
        </w:trPr>
        <w:tc>
          <w:tcPr>
            <w:tcW w:w="3005" w:type="dxa"/>
            <w:shd w:val="clear" w:color="auto" w:fill="FFFFFF" w:themeFill="background1"/>
          </w:tcPr>
          <w:p w14:paraId="662C3F46" w14:textId="1FC1D2C3" w:rsidR="007722E8" w:rsidRPr="00506507" w:rsidRDefault="000F42FF" w:rsidP="000F42FF">
            <w:pPr>
              <w:rPr>
                <w:color w:val="000000"/>
                <w:sz w:val="19"/>
                <w:szCs w:val="19"/>
              </w:rPr>
            </w:pPr>
            <w:r w:rsidRPr="00506507">
              <w:rPr>
                <w:color w:val="000000"/>
                <w:sz w:val="19"/>
                <w:szCs w:val="19"/>
              </w:rPr>
              <w:t>The Convention Provides for prohibitions and restrictions on the production, trade and use of POPs, and for preventing their release into the environment.</w:t>
            </w:r>
          </w:p>
        </w:tc>
        <w:tc>
          <w:tcPr>
            <w:tcW w:w="3005" w:type="dxa"/>
            <w:shd w:val="clear" w:color="auto" w:fill="FFFFFF" w:themeFill="background1"/>
          </w:tcPr>
          <w:p w14:paraId="4A845791" w14:textId="69BF33D7" w:rsidR="007722E8" w:rsidRPr="00506507" w:rsidRDefault="007722E8" w:rsidP="000F42FF">
            <w:pPr>
              <w:rPr>
                <w:color w:val="000000"/>
                <w:sz w:val="19"/>
                <w:szCs w:val="19"/>
              </w:rPr>
            </w:pPr>
            <w:r w:rsidRPr="00506507">
              <w:rPr>
                <w:color w:val="000000"/>
                <w:sz w:val="19"/>
                <w:szCs w:val="19"/>
              </w:rPr>
              <w:t>Operative section of MOP Resolution 5.12 (2012) on Adverse effects of agrochemicals on migratory waterbirds in Africa</w:t>
            </w:r>
            <w:r w:rsidR="000F42FF" w:rsidRPr="00506507">
              <w:rPr>
                <w:color w:val="000000"/>
                <w:sz w:val="19"/>
                <w:szCs w:val="19"/>
              </w:rPr>
              <w:t xml:space="preserve"> invites Stockholm Convention Secretariat to cooperate with AEWA Secretariat to strengthen capacity of African countries on issue of agrochemicals</w:t>
            </w:r>
            <w:r w:rsidRPr="00506507">
              <w:rPr>
                <w:color w:val="000000"/>
                <w:sz w:val="19"/>
                <w:szCs w:val="19"/>
              </w:rPr>
              <w:t>.</w:t>
            </w:r>
          </w:p>
        </w:tc>
        <w:tc>
          <w:tcPr>
            <w:tcW w:w="3006" w:type="dxa"/>
            <w:shd w:val="clear" w:color="auto" w:fill="FFFFFF" w:themeFill="background1"/>
          </w:tcPr>
          <w:p w14:paraId="5220282C" w14:textId="3488FE40" w:rsidR="007722E8" w:rsidRPr="00506507" w:rsidRDefault="006F2C60" w:rsidP="006F2C60">
            <w:pPr>
              <w:pStyle w:val="ListParagraph"/>
              <w:numPr>
                <w:ilvl w:val="0"/>
                <w:numId w:val="30"/>
              </w:numPr>
              <w:rPr>
                <w:color w:val="000000"/>
                <w:sz w:val="19"/>
                <w:szCs w:val="19"/>
              </w:rPr>
            </w:pPr>
            <w:r w:rsidRPr="00506507">
              <w:rPr>
                <w:color w:val="000000"/>
                <w:sz w:val="19"/>
                <w:szCs w:val="19"/>
              </w:rPr>
              <w:t xml:space="preserve">Monitoring and assessment of implementation, with attention to implications for </w:t>
            </w:r>
            <w:r w:rsidRPr="00506507">
              <w:rPr>
                <w:sz w:val="19"/>
                <w:szCs w:val="19"/>
              </w:rPr>
              <w:t>waterbirds</w:t>
            </w:r>
            <w:r w:rsidRPr="00506507">
              <w:rPr>
                <w:color w:val="000000"/>
                <w:sz w:val="19"/>
                <w:szCs w:val="19"/>
              </w:rPr>
              <w:t>.</w:t>
            </w:r>
          </w:p>
        </w:tc>
      </w:tr>
      <w:tr w:rsidR="007722E8" w:rsidRPr="00506507" w14:paraId="09D64371" w14:textId="77777777" w:rsidTr="00E1163B">
        <w:trPr>
          <w:jc w:val="center"/>
        </w:trPr>
        <w:tc>
          <w:tcPr>
            <w:tcW w:w="9016" w:type="dxa"/>
            <w:gridSpan w:val="3"/>
            <w:shd w:val="clear" w:color="auto" w:fill="D9D9D9" w:themeFill="background1" w:themeFillShade="D9"/>
          </w:tcPr>
          <w:p w14:paraId="0DAEE6BB" w14:textId="77777777" w:rsidR="007722E8" w:rsidRPr="00506507" w:rsidRDefault="007722E8" w:rsidP="005F7185">
            <w:pPr>
              <w:rPr>
                <w:color w:val="000000"/>
                <w:sz w:val="19"/>
                <w:szCs w:val="19"/>
              </w:rPr>
            </w:pPr>
            <w:r w:rsidRPr="00506507">
              <w:rPr>
                <w:b/>
                <w:i/>
                <w:color w:val="000066"/>
                <w:sz w:val="19"/>
                <w:szCs w:val="19"/>
              </w:rPr>
              <w:sym w:font="Wingdings" w:char="F0D8"/>
            </w:r>
            <w:r w:rsidRPr="00506507">
              <w:rPr>
                <w:b/>
                <w:i/>
                <w:color w:val="000066"/>
                <w:sz w:val="19"/>
                <w:szCs w:val="19"/>
              </w:rPr>
              <w:t xml:space="preserve"> United Nations Environment Assembly (UNEA)</w:t>
            </w:r>
          </w:p>
        </w:tc>
      </w:tr>
      <w:tr w:rsidR="007722E8" w:rsidRPr="00506507" w14:paraId="795343DC" w14:textId="77777777" w:rsidTr="00E1163B">
        <w:trPr>
          <w:jc w:val="center"/>
        </w:trPr>
        <w:tc>
          <w:tcPr>
            <w:tcW w:w="3005" w:type="dxa"/>
            <w:shd w:val="clear" w:color="auto" w:fill="FFFFFF" w:themeFill="background1"/>
          </w:tcPr>
          <w:p w14:paraId="7BE5FFAB" w14:textId="5AC4D9CF" w:rsidR="007722E8" w:rsidRPr="00506507" w:rsidRDefault="007722E8" w:rsidP="00716286">
            <w:pPr>
              <w:rPr>
                <w:color w:val="000000"/>
                <w:sz w:val="19"/>
                <w:szCs w:val="19"/>
              </w:rPr>
            </w:pPr>
            <w:r w:rsidRPr="00506507">
              <w:rPr>
                <w:color w:val="000000"/>
                <w:sz w:val="19"/>
                <w:szCs w:val="19"/>
              </w:rPr>
              <w:t>UNEA Resolutions 1/6 (2014), 2/11 (2016) and 3/7 (2017) on Marine plastic litter and micro plastics</w:t>
            </w:r>
            <w:r w:rsidR="00716286" w:rsidRPr="00506507">
              <w:rPr>
                <w:color w:val="000000"/>
                <w:sz w:val="19"/>
                <w:szCs w:val="19"/>
              </w:rPr>
              <w:t>; and Resolution 3/4 (2017) on</w:t>
            </w:r>
            <w:r w:rsidR="00814B14" w:rsidRPr="00506507">
              <w:rPr>
                <w:color w:val="000000"/>
                <w:sz w:val="19"/>
                <w:szCs w:val="19"/>
              </w:rPr>
              <w:t xml:space="preserve"> E</w:t>
            </w:r>
            <w:r w:rsidR="00716286" w:rsidRPr="00506507">
              <w:rPr>
                <w:color w:val="000000"/>
                <w:sz w:val="19"/>
                <w:szCs w:val="19"/>
              </w:rPr>
              <w:t>nvironment and health</w:t>
            </w:r>
            <w:r w:rsidRPr="00506507">
              <w:rPr>
                <w:color w:val="000000"/>
                <w:sz w:val="19"/>
                <w:szCs w:val="19"/>
              </w:rPr>
              <w:t>.</w:t>
            </w:r>
          </w:p>
        </w:tc>
        <w:tc>
          <w:tcPr>
            <w:tcW w:w="3005" w:type="dxa"/>
            <w:shd w:val="clear" w:color="auto" w:fill="FFFFFF" w:themeFill="background1"/>
          </w:tcPr>
          <w:p w14:paraId="418E371C" w14:textId="6734B75D" w:rsidR="007722E8" w:rsidRPr="00506507" w:rsidRDefault="00814B14" w:rsidP="00814B14">
            <w:pPr>
              <w:rPr>
                <w:color w:val="000000"/>
                <w:sz w:val="19"/>
                <w:szCs w:val="19"/>
              </w:rPr>
            </w:pPr>
            <w:r w:rsidRPr="00506507">
              <w:rPr>
                <w:color w:val="000000"/>
                <w:sz w:val="19"/>
                <w:szCs w:val="19"/>
              </w:rPr>
              <w:t>All (except 3/4) n</w:t>
            </w:r>
            <w:r w:rsidR="007722E8" w:rsidRPr="00506507">
              <w:rPr>
                <w:color w:val="000000"/>
                <w:sz w:val="19"/>
                <w:szCs w:val="19"/>
              </w:rPr>
              <w:t>oted in preamble of MOP Resolution 7.6 (2018) on Priorities for the conservation of seabirds in the African-Eurasian flyways.</w:t>
            </w:r>
          </w:p>
        </w:tc>
        <w:tc>
          <w:tcPr>
            <w:tcW w:w="3006" w:type="dxa"/>
            <w:shd w:val="clear" w:color="auto" w:fill="FFFFFF" w:themeFill="background1"/>
          </w:tcPr>
          <w:p w14:paraId="07E50DE8" w14:textId="1E927F77" w:rsidR="007722E8" w:rsidRPr="00506507" w:rsidRDefault="00AC306B" w:rsidP="000B76CF">
            <w:pPr>
              <w:rPr>
                <w:color w:val="000000"/>
                <w:sz w:val="19"/>
                <w:szCs w:val="19"/>
              </w:rPr>
            </w:pPr>
            <w:r w:rsidRPr="00506507">
              <w:rPr>
                <w:color w:val="000000"/>
                <w:sz w:val="19"/>
                <w:szCs w:val="19"/>
              </w:rPr>
              <w:t xml:space="preserve">(See opportunities defined under UNEA in </w:t>
            </w:r>
            <w:r w:rsidR="000B76CF" w:rsidRPr="00506507">
              <w:rPr>
                <w:color w:val="000000"/>
                <w:sz w:val="19"/>
                <w:szCs w:val="19"/>
              </w:rPr>
              <w:t>T</w:t>
            </w:r>
            <w:r w:rsidRPr="00506507">
              <w:rPr>
                <w:color w:val="000000"/>
                <w:sz w:val="19"/>
                <w:szCs w:val="19"/>
              </w:rPr>
              <w:t>able (b) “Other relevant contexts” below)</w:t>
            </w:r>
            <w:r w:rsidR="000B76CF" w:rsidRPr="00506507">
              <w:rPr>
                <w:color w:val="000000"/>
                <w:sz w:val="19"/>
                <w:szCs w:val="19"/>
              </w:rPr>
              <w:t>.</w:t>
            </w:r>
          </w:p>
        </w:tc>
      </w:tr>
      <w:tr w:rsidR="007722E8" w:rsidRPr="00506507" w14:paraId="06068964" w14:textId="77777777" w:rsidTr="00E1163B">
        <w:trPr>
          <w:jc w:val="center"/>
        </w:trPr>
        <w:tc>
          <w:tcPr>
            <w:tcW w:w="9016" w:type="dxa"/>
            <w:gridSpan w:val="3"/>
            <w:shd w:val="clear" w:color="auto" w:fill="D9D9D9" w:themeFill="background1" w:themeFillShade="D9"/>
          </w:tcPr>
          <w:p w14:paraId="0A5F532D" w14:textId="77777777" w:rsidR="007722E8" w:rsidRPr="00506507" w:rsidRDefault="007722E8" w:rsidP="005F7185">
            <w:pPr>
              <w:rPr>
                <w:color w:val="000000"/>
                <w:sz w:val="19"/>
                <w:szCs w:val="19"/>
              </w:rPr>
            </w:pPr>
            <w:r w:rsidRPr="00506507">
              <w:rPr>
                <w:b/>
                <w:i/>
                <w:color w:val="000066"/>
                <w:sz w:val="19"/>
                <w:szCs w:val="19"/>
              </w:rPr>
              <w:sym w:font="Wingdings" w:char="F0D8"/>
            </w:r>
            <w:r w:rsidRPr="00506507">
              <w:rPr>
                <w:b/>
                <w:i/>
                <w:color w:val="000066"/>
                <w:sz w:val="19"/>
                <w:szCs w:val="19"/>
              </w:rPr>
              <w:t xml:space="preserve"> Organisation for Economic Co-operation and Development (OECD)</w:t>
            </w:r>
          </w:p>
        </w:tc>
      </w:tr>
      <w:tr w:rsidR="007722E8" w:rsidRPr="00506507" w14:paraId="29A6A9F3" w14:textId="77777777" w:rsidTr="00E1163B">
        <w:trPr>
          <w:jc w:val="center"/>
        </w:trPr>
        <w:tc>
          <w:tcPr>
            <w:tcW w:w="3005" w:type="dxa"/>
            <w:shd w:val="clear" w:color="auto" w:fill="FFFFFF" w:themeFill="background1"/>
          </w:tcPr>
          <w:p w14:paraId="43D182F7" w14:textId="77777777" w:rsidR="007722E8" w:rsidRPr="00506507" w:rsidRDefault="007722E8" w:rsidP="005F7185">
            <w:pPr>
              <w:rPr>
                <w:color w:val="000000"/>
                <w:sz w:val="19"/>
                <w:szCs w:val="19"/>
              </w:rPr>
            </w:pPr>
            <w:r w:rsidRPr="00506507">
              <w:rPr>
                <w:color w:val="000000"/>
                <w:sz w:val="19"/>
                <w:szCs w:val="19"/>
              </w:rPr>
              <w:t>OECD Environment Ministers Declaration on risk reduction for lead (1996); and “status report monograph” on lead (1999).</w:t>
            </w:r>
          </w:p>
        </w:tc>
        <w:tc>
          <w:tcPr>
            <w:tcW w:w="3005" w:type="dxa"/>
            <w:shd w:val="clear" w:color="auto" w:fill="FFFFFF" w:themeFill="background1"/>
          </w:tcPr>
          <w:p w14:paraId="579A1C10" w14:textId="77777777" w:rsidR="007722E8" w:rsidRPr="00506507" w:rsidRDefault="007722E8" w:rsidP="005F7185">
            <w:pPr>
              <w:rPr>
                <w:color w:val="000000"/>
                <w:sz w:val="19"/>
                <w:szCs w:val="19"/>
              </w:rPr>
            </w:pPr>
            <w:r w:rsidRPr="00506507">
              <w:rPr>
                <w:color w:val="000000"/>
                <w:sz w:val="19"/>
                <w:szCs w:val="19"/>
              </w:rPr>
              <w:t>In AEWA Technical Series No. 3 (2009) on Non-toxic shot: a pathway towards sustainable use of the waterbird resource.</w:t>
            </w:r>
          </w:p>
        </w:tc>
        <w:tc>
          <w:tcPr>
            <w:tcW w:w="3006" w:type="dxa"/>
            <w:shd w:val="clear" w:color="auto" w:fill="FFFFFF" w:themeFill="background1"/>
          </w:tcPr>
          <w:p w14:paraId="4E3385F3" w14:textId="27657D3B" w:rsidR="007722E8" w:rsidRPr="00506507" w:rsidRDefault="00925609" w:rsidP="00925609">
            <w:pPr>
              <w:pStyle w:val="ListParagraph"/>
              <w:numPr>
                <w:ilvl w:val="0"/>
                <w:numId w:val="30"/>
              </w:numPr>
              <w:rPr>
                <w:color w:val="000000"/>
                <w:sz w:val="19"/>
                <w:szCs w:val="19"/>
              </w:rPr>
            </w:pPr>
            <w:r w:rsidRPr="00506507">
              <w:rPr>
                <w:color w:val="000000"/>
                <w:sz w:val="19"/>
                <w:szCs w:val="19"/>
              </w:rPr>
              <w:t>Review impact/ follow-up of the Declaration.</w:t>
            </w:r>
          </w:p>
        </w:tc>
      </w:tr>
      <w:tr w:rsidR="007722E8" w:rsidRPr="00506507" w14:paraId="1D8FC509" w14:textId="77777777" w:rsidTr="00E1163B">
        <w:trPr>
          <w:jc w:val="center"/>
        </w:trPr>
        <w:tc>
          <w:tcPr>
            <w:tcW w:w="9016" w:type="dxa"/>
            <w:gridSpan w:val="3"/>
            <w:shd w:val="clear" w:color="auto" w:fill="D9D9D9" w:themeFill="background1" w:themeFillShade="D9"/>
          </w:tcPr>
          <w:p w14:paraId="79D28D9D" w14:textId="77777777" w:rsidR="007722E8" w:rsidRPr="00506507" w:rsidRDefault="007722E8" w:rsidP="005F7185">
            <w:pPr>
              <w:rPr>
                <w:sz w:val="19"/>
                <w:szCs w:val="19"/>
              </w:rPr>
            </w:pPr>
            <w:r w:rsidRPr="00506507">
              <w:rPr>
                <w:b/>
                <w:i/>
                <w:color w:val="000066"/>
                <w:sz w:val="19"/>
                <w:szCs w:val="19"/>
              </w:rPr>
              <w:sym w:font="Wingdings" w:char="F0D8"/>
            </w:r>
            <w:r w:rsidRPr="00506507">
              <w:rPr>
                <w:b/>
                <w:i/>
                <w:color w:val="000066"/>
                <w:sz w:val="19"/>
                <w:szCs w:val="19"/>
              </w:rPr>
              <w:t xml:space="preserve"> European Commission </w:t>
            </w:r>
          </w:p>
        </w:tc>
      </w:tr>
      <w:tr w:rsidR="007722E8" w:rsidRPr="00506507" w14:paraId="6A2442C5" w14:textId="77777777" w:rsidTr="00E1163B">
        <w:trPr>
          <w:jc w:val="center"/>
        </w:trPr>
        <w:tc>
          <w:tcPr>
            <w:tcW w:w="3005" w:type="dxa"/>
          </w:tcPr>
          <w:p w14:paraId="13454ADD" w14:textId="77777777" w:rsidR="007722E8" w:rsidRPr="00506507" w:rsidRDefault="007722E8" w:rsidP="005F7185">
            <w:pPr>
              <w:rPr>
                <w:color w:val="000000"/>
                <w:sz w:val="19"/>
                <w:szCs w:val="19"/>
              </w:rPr>
            </w:pPr>
            <w:r w:rsidRPr="00506507">
              <w:rPr>
                <w:color w:val="000000"/>
                <w:sz w:val="19"/>
                <w:szCs w:val="19"/>
              </w:rPr>
              <w:t>In the EU, Emergency Response Notification System (ERNS)-related activities should always be linked to MARS (Major Accident Reporting System) at the European Commission’s Joint Research Centre.</w:t>
            </w:r>
          </w:p>
        </w:tc>
        <w:tc>
          <w:tcPr>
            <w:tcW w:w="3005" w:type="dxa"/>
          </w:tcPr>
          <w:p w14:paraId="6455AAFE" w14:textId="77777777" w:rsidR="007722E8" w:rsidRPr="00506507" w:rsidRDefault="007722E8" w:rsidP="005F7185">
            <w:pPr>
              <w:rPr>
                <w:color w:val="000000"/>
                <w:sz w:val="19"/>
                <w:szCs w:val="19"/>
              </w:rPr>
            </w:pPr>
            <w:r w:rsidRPr="00506507">
              <w:rPr>
                <w:color w:val="000000"/>
                <w:sz w:val="19"/>
                <w:szCs w:val="19"/>
              </w:rPr>
              <w:t>In AEWA Conservation Guidelines No. 2 (2005) on identifying and tackling emergency situations for migratory waterbirds.</w:t>
            </w:r>
          </w:p>
        </w:tc>
        <w:tc>
          <w:tcPr>
            <w:tcW w:w="3006" w:type="dxa"/>
          </w:tcPr>
          <w:p w14:paraId="458DC0A5" w14:textId="4DE6AF4B" w:rsidR="007722E8" w:rsidRPr="00506507" w:rsidRDefault="00925609" w:rsidP="00925609">
            <w:pPr>
              <w:pStyle w:val="ListParagraph"/>
              <w:numPr>
                <w:ilvl w:val="0"/>
                <w:numId w:val="30"/>
              </w:numPr>
              <w:rPr>
                <w:color w:val="000000"/>
                <w:sz w:val="19"/>
                <w:szCs w:val="19"/>
              </w:rPr>
            </w:pPr>
            <w:r w:rsidRPr="00506507">
              <w:rPr>
                <w:color w:val="000000"/>
                <w:sz w:val="19"/>
                <w:szCs w:val="19"/>
              </w:rPr>
              <w:t>Monitoring of the use of the notification and reporting systems, and explore with JRC any need/ scope for enhancements.</w:t>
            </w:r>
          </w:p>
        </w:tc>
      </w:tr>
    </w:tbl>
    <w:p w14:paraId="31E7303D" w14:textId="77777777" w:rsidR="007722E8" w:rsidRPr="00506507" w:rsidRDefault="007722E8" w:rsidP="007722E8">
      <w:pPr>
        <w:spacing w:after="20"/>
        <w:rPr>
          <w:sz w:val="22"/>
          <w:szCs w:val="22"/>
        </w:rPr>
      </w:pPr>
    </w:p>
    <w:p w14:paraId="0D3264B6" w14:textId="77777777" w:rsidR="007722E8" w:rsidRPr="00506507" w:rsidRDefault="007722E8" w:rsidP="007722E8">
      <w:pPr>
        <w:rPr>
          <w:sz w:val="22"/>
          <w:szCs w:val="22"/>
        </w:rPr>
      </w:pPr>
      <w:r w:rsidRPr="00506507">
        <w:rPr>
          <w:sz w:val="22"/>
          <w:szCs w:val="22"/>
        </w:rPr>
        <w:t>In addition, some individual Species Action Plans under AEWA may contain relevant ideas.</w:t>
      </w:r>
    </w:p>
    <w:p w14:paraId="614E57B5" w14:textId="77777777" w:rsidR="007722E8" w:rsidRPr="00506507" w:rsidRDefault="007722E8" w:rsidP="007722E8">
      <w:pPr>
        <w:spacing w:after="20"/>
        <w:rPr>
          <w:sz w:val="22"/>
          <w:szCs w:val="22"/>
        </w:rPr>
      </w:pPr>
    </w:p>
    <w:p w14:paraId="1587A06F" w14:textId="77777777" w:rsidR="007722E8" w:rsidRPr="00506507" w:rsidRDefault="007722E8" w:rsidP="007722E8">
      <w:pPr>
        <w:spacing w:after="20"/>
        <w:rPr>
          <w:b/>
          <w:i/>
          <w:color w:val="003366"/>
          <w:sz w:val="22"/>
          <w:szCs w:val="22"/>
        </w:rPr>
      </w:pPr>
      <w:r w:rsidRPr="00506507">
        <w:rPr>
          <w:b/>
          <w:i/>
          <w:color w:val="003366"/>
          <w:sz w:val="22"/>
          <w:szCs w:val="22"/>
        </w:rPr>
        <w:t xml:space="preserve">  (b) Other relevant contexts</w:t>
      </w:r>
    </w:p>
    <w:p w14:paraId="326C35BF" w14:textId="77777777" w:rsidR="005B7D42" w:rsidRPr="00506507" w:rsidRDefault="005B7D42" w:rsidP="007722E8">
      <w:pPr>
        <w:spacing w:after="20"/>
        <w:rPr>
          <w:sz w:val="22"/>
          <w:szCs w:val="22"/>
        </w:rPr>
      </w:pPr>
    </w:p>
    <w:tbl>
      <w:tblPr>
        <w:tblStyle w:val="TableGrid"/>
        <w:tblW w:w="0" w:type="auto"/>
        <w:jc w:val="center"/>
        <w:tblLook w:val="04A0" w:firstRow="1" w:lastRow="0" w:firstColumn="1" w:lastColumn="0" w:noHBand="0" w:noVBand="1"/>
      </w:tblPr>
      <w:tblGrid>
        <w:gridCol w:w="4531"/>
        <w:gridCol w:w="4485"/>
      </w:tblGrid>
      <w:tr w:rsidR="00AC306B" w:rsidRPr="00506507" w14:paraId="26B8363C" w14:textId="77777777" w:rsidTr="00E1163B">
        <w:trPr>
          <w:jc w:val="center"/>
        </w:trPr>
        <w:tc>
          <w:tcPr>
            <w:tcW w:w="4531" w:type="dxa"/>
            <w:shd w:val="clear" w:color="auto" w:fill="DEEAF6" w:themeFill="accent1" w:themeFillTint="33"/>
            <w:vAlign w:val="center"/>
          </w:tcPr>
          <w:p w14:paraId="663E32C0" w14:textId="77777777" w:rsidR="00AC306B" w:rsidRPr="00506507" w:rsidRDefault="00AC306B" w:rsidP="002B5FE9">
            <w:pPr>
              <w:jc w:val="center"/>
              <w:rPr>
                <w:b/>
                <w:sz w:val="20"/>
                <w:szCs w:val="20"/>
              </w:rPr>
            </w:pPr>
            <w:r w:rsidRPr="00506507">
              <w:rPr>
                <w:b/>
                <w:sz w:val="20"/>
                <w:szCs w:val="20"/>
              </w:rPr>
              <w:t>Multilateral process / platform</w:t>
            </w:r>
          </w:p>
        </w:tc>
        <w:tc>
          <w:tcPr>
            <w:tcW w:w="4485" w:type="dxa"/>
            <w:shd w:val="clear" w:color="auto" w:fill="DEEAF6" w:themeFill="accent1" w:themeFillTint="33"/>
            <w:vAlign w:val="center"/>
          </w:tcPr>
          <w:p w14:paraId="7B2DCA56" w14:textId="77777777" w:rsidR="00AC306B" w:rsidRPr="00506507" w:rsidRDefault="00AC306B" w:rsidP="002B5FE9">
            <w:pPr>
              <w:jc w:val="center"/>
              <w:rPr>
                <w:b/>
                <w:sz w:val="20"/>
                <w:szCs w:val="20"/>
              </w:rPr>
            </w:pPr>
            <w:r w:rsidRPr="00506507">
              <w:rPr>
                <w:b/>
                <w:sz w:val="20"/>
                <w:szCs w:val="20"/>
              </w:rPr>
              <w:t>Possible opportunity for influence</w:t>
            </w:r>
          </w:p>
        </w:tc>
      </w:tr>
      <w:tr w:rsidR="00AC306B" w:rsidRPr="00506507" w14:paraId="60004593" w14:textId="77777777" w:rsidTr="00E1163B">
        <w:trPr>
          <w:jc w:val="center"/>
        </w:trPr>
        <w:tc>
          <w:tcPr>
            <w:tcW w:w="9016" w:type="dxa"/>
            <w:gridSpan w:val="2"/>
            <w:shd w:val="clear" w:color="auto" w:fill="D9D9D9" w:themeFill="background1" w:themeFillShade="D9"/>
          </w:tcPr>
          <w:p w14:paraId="04057258" w14:textId="77777777" w:rsidR="00AC306B" w:rsidRPr="00506507" w:rsidRDefault="00AC306B" w:rsidP="002B5FE9">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Convention on Migratory Species (CMS)</w:t>
            </w:r>
          </w:p>
        </w:tc>
      </w:tr>
      <w:tr w:rsidR="00AC306B" w:rsidRPr="00506507" w14:paraId="4558E989" w14:textId="77777777" w:rsidTr="00E1163B">
        <w:trPr>
          <w:jc w:val="center"/>
        </w:trPr>
        <w:tc>
          <w:tcPr>
            <w:tcW w:w="4531" w:type="dxa"/>
          </w:tcPr>
          <w:p w14:paraId="057A0DAB" w14:textId="77777777" w:rsidR="00AC306B" w:rsidRPr="00506507" w:rsidRDefault="00AC306B" w:rsidP="002B5FE9">
            <w:pPr>
              <w:rPr>
                <w:color w:val="000000"/>
                <w:sz w:val="19"/>
                <w:szCs w:val="19"/>
              </w:rPr>
            </w:pPr>
            <w:r w:rsidRPr="00506507">
              <w:rPr>
                <w:color w:val="000000"/>
                <w:sz w:val="19"/>
                <w:szCs w:val="19"/>
              </w:rPr>
              <w:t>CMS Resolution 11.15 (Rev.COP13, 2020) on Preventing poisoning of migratory birds</w:t>
            </w:r>
          </w:p>
        </w:tc>
        <w:tc>
          <w:tcPr>
            <w:tcW w:w="4485" w:type="dxa"/>
          </w:tcPr>
          <w:p w14:paraId="366B16DD" w14:textId="77777777" w:rsidR="00AC306B" w:rsidRPr="00506507" w:rsidRDefault="00AC306B" w:rsidP="002B5FE9">
            <w:pPr>
              <w:pStyle w:val="ListParagraph"/>
              <w:numPr>
                <w:ilvl w:val="0"/>
                <w:numId w:val="30"/>
              </w:numPr>
              <w:rPr>
                <w:sz w:val="19"/>
                <w:szCs w:val="19"/>
              </w:rPr>
            </w:pPr>
            <w:r w:rsidRPr="00506507">
              <w:rPr>
                <w:sz w:val="19"/>
                <w:szCs w:val="19"/>
              </w:rPr>
              <w:t xml:space="preserve">Influence implementation by CMS Parties of provisions in the Resolution relating </w:t>
            </w:r>
            <w:r w:rsidRPr="00506507">
              <w:rPr>
                <w:i/>
                <w:sz w:val="19"/>
                <w:szCs w:val="19"/>
              </w:rPr>
              <w:t>inter alia</w:t>
            </w:r>
            <w:r w:rsidRPr="00506507">
              <w:rPr>
                <w:sz w:val="19"/>
                <w:szCs w:val="19"/>
              </w:rPr>
              <w:t xml:space="preserve"> to applying the adopted Guidelines to Prevent the Risk of Poisoning to Migratory Birds, monitoring impacts and evaluating the effectiveness of measures to address the issue.</w:t>
            </w:r>
          </w:p>
        </w:tc>
      </w:tr>
      <w:tr w:rsidR="00AC306B" w:rsidRPr="00506507" w14:paraId="637E683C" w14:textId="77777777" w:rsidTr="00E1163B">
        <w:trPr>
          <w:jc w:val="center"/>
        </w:trPr>
        <w:tc>
          <w:tcPr>
            <w:tcW w:w="4531" w:type="dxa"/>
          </w:tcPr>
          <w:p w14:paraId="7F041105" w14:textId="77777777" w:rsidR="00AC306B" w:rsidRPr="00506507" w:rsidRDefault="00AC306B" w:rsidP="002B5FE9">
            <w:pPr>
              <w:rPr>
                <w:color w:val="000000"/>
                <w:sz w:val="19"/>
                <w:szCs w:val="19"/>
              </w:rPr>
            </w:pPr>
            <w:r w:rsidRPr="00506507">
              <w:rPr>
                <w:color w:val="000000"/>
                <w:sz w:val="19"/>
                <w:szCs w:val="19"/>
              </w:rPr>
              <w:t>Preventing Poisoning Working Group, established by Resolution 10.26 (2011) and continued by Resolution 11.15 (2011, latest revision Rev.COP13, 2020)</w:t>
            </w:r>
          </w:p>
        </w:tc>
        <w:tc>
          <w:tcPr>
            <w:tcW w:w="4485" w:type="dxa"/>
          </w:tcPr>
          <w:p w14:paraId="5A0DEE5E" w14:textId="77777777" w:rsidR="00AC306B" w:rsidRPr="00506507" w:rsidRDefault="00AC306B" w:rsidP="002B5FE9">
            <w:pPr>
              <w:pStyle w:val="ListParagraph"/>
              <w:numPr>
                <w:ilvl w:val="0"/>
                <w:numId w:val="30"/>
              </w:numPr>
              <w:rPr>
                <w:sz w:val="19"/>
                <w:szCs w:val="19"/>
              </w:rPr>
            </w:pPr>
            <w:r w:rsidRPr="00506507">
              <w:rPr>
                <w:sz w:val="19"/>
                <w:szCs w:val="19"/>
              </w:rPr>
              <w:t>Contribute to assessing threats, exchanging knowledge, addressing knowledge gaps, developing action recommendations.  AEWA Technical Committee is represented on the Working Group.</w:t>
            </w:r>
          </w:p>
        </w:tc>
      </w:tr>
      <w:tr w:rsidR="00AC306B" w:rsidRPr="00506507" w14:paraId="55CB47A0" w14:textId="77777777" w:rsidTr="00E1163B">
        <w:trPr>
          <w:jc w:val="center"/>
        </w:trPr>
        <w:tc>
          <w:tcPr>
            <w:tcW w:w="4531" w:type="dxa"/>
          </w:tcPr>
          <w:p w14:paraId="0371A8B5" w14:textId="77777777" w:rsidR="00AC306B" w:rsidRPr="00506507" w:rsidRDefault="00AC306B" w:rsidP="002B5FE9">
            <w:pPr>
              <w:rPr>
                <w:color w:val="000000"/>
                <w:sz w:val="19"/>
                <w:szCs w:val="19"/>
              </w:rPr>
            </w:pPr>
            <w:r w:rsidRPr="00506507">
              <w:rPr>
                <w:color w:val="000000"/>
                <w:sz w:val="19"/>
                <w:szCs w:val="19"/>
              </w:rPr>
              <w:t>Intergovernmental Task Force on phasing out the use of lead ammunition and lead fishing weights – established by Resolution 11.15 (Rev.COP13, 2020)</w:t>
            </w:r>
          </w:p>
        </w:tc>
        <w:tc>
          <w:tcPr>
            <w:tcW w:w="4485" w:type="dxa"/>
          </w:tcPr>
          <w:p w14:paraId="3A61D23D" w14:textId="1821375E" w:rsidR="00AC306B" w:rsidRPr="00506507" w:rsidRDefault="00AC306B" w:rsidP="00DA5AF8">
            <w:pPr>
              <w:pStyle w:val="ListParagraph"/>
              <w:numPr>
                <w:ilvl w:val="0"/>
                <w:numId w:val="30"/>
              </w:numPr>
              <w:rPr>
                <w:sz w:val="19"/>
                <w:szCs w:val="19"/>
              </w:rPr>
            </w:pPr>
            <w:r w:rsidRPr="00506507">
              <w:rPr>
                <w:sz w:val="19"/>
                <w:szCs w:val="19"/>
              </w:rPr>
              <w:t>Participate in the work of the Task Force to secure phase-out of lead</w:t>
            </w:r>
            <w:r w:rsidR="00DA5AF8" w:rsidRPr="00506507">
              <w:rPr>
                <w:sz w:val="19"/>
                <w:szCs w:val="19"/>
              </w:rPr>
              <w:t xml:space="preserve"> ammunition and fishing weights</w:t>
            </w:r>
            <w:r w:rsidRPr="00506507">
              <w:rPr>
                <w:sz w:val="19"/>
                <w:szCs w:val="19"/>
              </w:rPr>
              <w:t>.</w:t>
            </w:r>
          </w:p>
        </w:tc>
      </w:tr>
      <w:tr w:rsidR="00AC306B" w:rsidRPr="00506507" w14:paraId="1AE81297" w14:textId="77777777" w:rsidTr="00E1163B">
        <w:trPr>
          <w:jc w:val="center"/>
        </w:trPr>
        <w:tc>
          <w:tcPr>
            <w:tcW w:w="4531" w:type="dxa"/>
          </w:tcPr>
          <w:p w14:paraId="72879A51" w14:textId="77777777" w:rsidR="00AC306B" w:rsidRPr="00506507" w:rsidRDefault="00AC306B" w:rsidP="002B5FE9">
            <w:pPr>
              <w:rPr>
                <w:color w:val="000000"/>
                <w:sz w:val="19"/>
                <w:szCs w:val="19"/>
              </w:rPr>
            </w:pPr>
            <w:r w:rsidRPr="00506507">
              <w:rPr>
                <w:color w:val="000000"/>
                <w:sz w:val="19"/>
                <w:szCs w:val="19"/>
              </w:rPr>
              <w:t>CMS Resolution 13.5 (2020) on Light pollution guidelines for wildlife</w:t>
            </w:r>
          </w:p>
        </w:tc>
        <w:tc>
          <w:tcPr>
            <w:tcW w:w="4485" w:type="dxa"/>
          </w:tcPr>
          <w:p w14:paraId="5738036B" w14:textId="77777777" w:rsidR="00AC306B" w:rsidRPr="00506507" w:rsidRDefault="00AC306B" w:rsidP="002B5FE9">
            <w:pPr>
              <w:pStyle w:val="ListParagraph"/>
              <w:numPr>
                <w:ilvl w:val="0"/>
                <w:numId w:val="30"/>
              </w:numPr>
              <w:rPr>
                <w:sz w:val="19"/>
                <w:szCs w:val="19"/>
              </w:rPr>
            </w:pPr>
            <w:r w:rsidRPr="00506507">
              <w:rPr>
                <w:sz w:val="19"/>
                <w:szCs w:val="19"/>
              </w:rPr>
              <w:t>Promote and monitor implementation of the Guidelines.</w:t>
            </w:r>
          </w:p>
        </w:tc>
      </w:tr>
      <w:tr w:rsidR="00AC306B" w:rsidRPr="00506507" w14:paraId="2786B4CB" w14:textId="77777777" w:rsidTr="00E1163B">
        <w:trPr>
          <w:jc w:val="center"/>
        </w:trPr>
        <w:tc>
          <w:tcPr>
            <w:tcW w:w="4531" w:type="dxa"/>
          </w:tcPr>
          <w:p w14:paraId="541DE1DA" w14:textId="77777777" w:rsidR="00AC306B" w:rsidRPr="00506507" w:rsidRDefault="00AC306B" w:rsidP="002B5FE9">
            <w:pPr>
              <w:rPr>
                <w:color w:val="000000"/>
                <w:sz w:val="19"/>
                <w:szCs w:val="19"/>
              </w:rPr>
            </w:pPr>
            <w:r w:rsidRPr="00506507">
              <w:rPr>
                <w:color w:val="000000"/>
                <w:sz w:val="19"/>
                <w:szCs w:val="19"/>
              </w:rPr>
              <w:t>CMS Resolution 12.6 (2017) on Wildlife disease and migratory species</w:t>
            </w:r>
          </w:p>
        </w:tc>
        <w:tc>
          <w:tcPr>
            <w:tcW w:w="4485" w:type="dxa"/>
          </w:tcPr>
          <w:p w14:paraId="196E4E7A" w14:textId="77777777" w:rsidR="00AC306B" w:rsidRPr="00506507" w:rsidRDefault="00AC306B" w:rsidP="002B5FE9">
            <w:pPr>
              <w:pStyle w:val="ListParagraph"/>
              <w:numPr>
                <w:ilvl w:val="0"/>
                <w:numId w:val="30"/>
              </w:numPr>
              <w:rPr>
                <w:sz w:val="19"/>
                <w:szCs w:val="19"/>
              </w:rPr>
            </w:pPr>
            <w:r w:rsidRPr="00506507">
              <w:rPr>
                <w:sz w:val="19"/>
                <w:szCs w:val="19"/>
              </w:rPr>
              <w:t>CMS Parties accounting for action via national reports.</w:t>
            </w:r>
          </w:p>
          <w:p w14:paraId="37C54F79" w14:textId="77777777" w:rsidR="00AC306B" w:rsidRPr="00506507" w:rsidRDefault="00AC306B" w:rsidP="002B5FE9">
            <w:pPr>
              <w:pStyle w:val="ListParagraph"/>
              <w:numPr>
                <w:ilvl w:val="0"/>
                <w:numId w:val="30"/>
              </w:numPr>
              <w:rPr>
                <w:sz w:val="19"/>
                <w:szCs w:val="19"/>
              </w:rPr>
            </w:pPr>
            <w:r w:rsidRPr="00506507">
              <w:rPr>
                <w:sz w:val="19"/>
                <w:szCs w:val="19"/>
              </w:rPr>
              <w:t>Follow-up attention at future CMS COPs.</w:t>
            </w:r>
          </w:p>
        </w:tc>
      </w:tr>
      <w:tr w:rsidR="00AC306B" w:rsidRPr="00506507" w14:paraId="7E5B15E1" w14:textId="77777777" w:rsidTr="00E1163B">
        <w:trPr>
          <w:jc w:val="center"/>
        </w:trPr>
        <w:tc>
          <w:tcPr>
            <w:tcW w:w="4531" w:type="dxa"/>
          </w:tcPr>
          <w:p w14:paraId="75D28F6F" w14:textId="77777777" w:rsidR="00AC306B" w:rsidRPr="00506507" w:rsidRDefault="00AC306B" w:rsidP="002B5FE9">
            <w:pPr>
              <w:rPr>
                <w:color w:val="000000"/>
                <w:sz w:val="19"/>
                <w:szCs w:val="19"/>
              </w:rPr>
            </w:pPr>
            <w:r w:rsidRPr="00506507">
              <w:rPr>
                <w:color w:val="000000"/>
                <w:sz w:val="19"/>
                <w:szCs w:val="19"/>
              </w:rPr>
              <w:t>Scientific Task Force on Avian Influenza and Wild Birds (co-convened by CMS and FAO)</w:t>
            </w:r>
          </w:p>
        </w:tc>
        <w:tc>
          <w:tcPr>
            <w:tcW w:w="4485" w:type="dxa"/>
          </w:tcPr>
          <w:p w14:paraId="29D57E4D" w14:textId="7C105921" w:rsidR="00AC306B" w:rsidRPr="00506507" w:rsidRDefault="00AC306B" w:rsidP="00DA5AF8">
            <w:pPr>
              <w:pStyle w:val="ListParagraph"/>
              <w:numPr>
                <w:ilvl w:val="0"/>
                <w:numId w:val="30"/>
              </w:numPr>
              <w:rPr>
                <w:sz w:val="19"/>
                <w:szCs w:val="19"/>
              </w:rPr>
            </w:pPr>
            <w:r w:rsidRPr="00506507">
              <w:rPr>
                <w:sz w:val="19"/>
                <w:szCs w:val="19"/>
              </w:rPr>
              <w:t xml:space="preserve">Participate in the work of the Task Force, to secure effective scientific assessments and promotion of timely and appropriate </w:t>
            </w:r>
            <w:r w:rsidR="00DA5AF8" w:rsidRPr="00506507">
              <w:rPr>
                <w:sz w:val="19"/>
                <w:szCs w:val="19"/>
              </w:rPr>
              <w:t xml:space="preserve">guidance and </w:t>
            </w:r>
            <w:r w:rsidRPr="00506507">
              <w:rPr>
                <w:sz w:val="19"/>
                <w:szCs w:val="19"/>
              </w:rPr>
              <w:t>policy advice to governments and others.</w:t>
            </w:r>
          </w:p>
        </w:tc>
      </w:tr>
      <w:tr w:rsidR="00AC306B" w:rsidRPr="00506507" w14:paraId="064CEA46" w14:textId="77777777" w:rsidTr="00E1163B">
        <w:trPr>
          <w:jc w:val="center"/>
        </w:trPr>
        <w:tc>
          <w:tcPr>
            <w:tcW w:w="9016" w:type="dxa"/>
            <w:gridSpan w:val="2"/>
            <w:shd w:val="clear" w:color="auto" w:fill="D9D9D9" w:themeFill="background1" w:themeFillShade="D9"/>
          </w:tcPr>
          <w:p w14:paraId="076344A4" w14:textId="77777777" w:rsidR="00AC306B" w:rsidRPr="00506507" w:rsidRDefault="00AC306B" w:rsidP="002B5FE9">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Convention on Biological Diversity (CBD)</w:t>
            </w:r>
          </w:p>
        </w:tc>
      </w:tr>
      <w:tr w:rsidR="00AC306B" w:rsidRPr="00506507" w14:paraId="2A337479" w14:textId="77777777" w:rsidTr="00E1163B">
        <w:trPr>
          <w:jc w:val="center"/>
        </w:trPr>
        <w:tc>
          <w:tcPr>
            <w:tcW w:w="4531" w:type="dxa"/>
          </w:tcPr>
          <w:p w14:paraId="4FC436BA" w14:textId="77777777" w:rsidR="00AC306B" w:rsidRPr="00506507" w:rsidRDefault="00AC306B" w:rsidP="002B5FE9">
            <w:pPr>
              <w:rPr>
                <w:color w:val="000000"/>
                <w:sz w:val="19"/>
                <w:szCs w:val="19"/>
              </w:rPr>
            </w:pPr>
            <w:r w:rsidRPr="00506507">
              <w:rPr>
                <w:color w:val="000000"/>
                <w:sz w:val="19"/>
                <w:szCs w:val="19"/>
              </w:rPr>
              <w:t>Draft post-2020 Global Biodiversity Framework Target 7, on reducing pollution, including pesticides and plastics.</w:t>
            </w:r>
          </w:p>
        </w:tc>
        <w:tc>
          <w:tcPr>
            <w:tcW w:w="4485" w:type="dxa"/>
          </w:tcPr>
          <w:p w14:paraId="4B94E574" w14:textId="77777777" w:rsidR="00AC306B" w:rsidRPr="00506507" w:rsidRDefault="00AC306B" w:rsidP="002B5FE9">
            <w:pPr>
              <w:pStyle w:val="ListParagraph"/>
              <w:numPr>
                <w:ilvl w:val="0"/>
                <w:numId w:val="30"/>
              </w:numPr>
              <w:rPr>
                <w:sz w:val="19"/>
                <w:szCs w:val="19"/>
              </w:rPr>
            </w:pPr>
            <w:r w:rsidRPr="00506507">
              <w:rPr>
                <w:sz w:val="19"/>
                <w:szCs w:val="19"/>
              </w:rPr>
              <w:t>Input to development of appropriate indicators for Target 7, including via the post-COP15 Ad Hoc Technical Expert Group on the GBF Monitoring Framework.</w:t>
            </w:r>
          </w:p>
        </w:tc>
      </w:tr>
      <w:tr w:rsidR="00AC306B" w:rsidRPr="00506507" w14:paraId="3970CA04" w14:textId="77777777" w:rsidTr="00E1163B">
        <w:trPr>
          <w:jc w:val="center"/>
        </w:trPr>
        <w:tc>
          <w:tcPr>
            <w:tcW w:w="9016" w:type="dxa"/>
            <w:gridSpan w:val="2"/>
            <w:shd w:val="clear" w:color="auto" w:fill="D9D9D9" w:themeFill="background1" w:themeFillShade="D9"/>
          </w:tcPr>
          <w:p w14:paraId="13081DED" w14:textId="77777777" w:rsidR="00AC306B" w:rsidRPr="00506507" w:rsidRDefault="00AC306B" w:rsidP="002B5FE9">
            <w:pPr>
              <w:spacing w:before="20" w:after="20"/>
              <w:rPr>
                <w:b/>
                <w:i/>
                <w:color w:val="000066"/>
                <w:sz w:val="19"/>
                <w:szCs w:val="19"/>
              </w:rPr>
            </w:pPr>
            <w:r w:rsidRPr="00506507">
              <w:rPr>
                <w:b/>
                <w:i/>
                <w:color w:val="000066"/>
                <w:sz w:val="19"/>
                <w:szCs w:val="19"/>
              </w:rPr>
              <w:sym w:font="Wingdings" w:char="F0D8"/>
            </w:r>
            <w:r w:rsidRPr="00506507">
              <w:rPr>
                <w:b/>
                <w:i/>
                <w:color w:val="000066"/>
                <w:sz w:val="19"/>
                <w:szCs w:val="19"/>
              </w:rPr>
              <w:t xml:space="preserve"> United Nations Environment Assembly (UNEA)</w:t>
            </w:r>
          </w:p>
        </w:tc>
      </w:tr>
      <w:tr w:rsidR="00AC306B" w:rsidRPr="00506507" w14:paraId="488C5005" w14:textId="77777777" w:rsidTr="00E1163B">
        <w:trPr>
          <w:jc w:val="center"/>
        </w:trPr>
        <w:tc>
          <w:tcPr>
            <w:tcW w:w="4531" w:type="dxa"/>
          </w:tcPr>
          <w:p w14:paraId="3702C8C8" w14:textId="77777777" w:rsidR="00AC306B" w:rsidRPr="00506507" w:rsidRDefault="00AC306B" w:rsidP="002B5FE9">
            <w:pPr>
              <w:rPr>
                <w:color w:val="000000"/>
                <w:sz w:val="19"/>
                <w:szCs w:val="19"/>
              </w:rPr>
            </w:pPr>
            <w:r w:rsidRPr="00506507">
              <w:rPr>
                <w:color w:val="000000"/>
                <w:sz w:val="19"/>
                <w:szCs w:val="19"/>
              </w:rPr>
              <w:t>UNEA Resolution 5/7 (2022) on Sound management of chemicals and waste</w:t>
            </w:r>
          </w:p>
        </w:tc>
        <w:tc>
          <w:tcPr>
            <w:tcW w:w="4485" w:type="dxa"/>
          </w:tcPr>
          <w:p w14:paraId="00DD6585" w14:textId="77777777" w:rsidR="00AC306B" w:rsidRPr="00506507" w:rsidRDefault="00AC306B" w:rsidP="002B5FE9">
            <w:pPr>
              <w:pStyle w:val="ListParagraph"/>
              <w:numPr>
                <w:ilvl w:val="0"/>
                <w:numId w:val="30"/>
              </w:numPr>
              <w:rPr>
                <w:sz w:val="19"/>
                <w:szCs w:val="19"/>
              </w:rPr>
            </w:pPr>
            <w:r w:rsidRPr="00506507">
              <w:rPr>
                <w:sz w:val="19"/>
                <w:szCs w:val="19"/>
              </w:rPr>
              <w:t>Pursue the Resolution’s proposal for governments and others to put in place an improved enabling framework to address the sound management of chemicals and waste beyond 2020.</w:t>
            </w:r>
          </w:p>
        </w:tc>
      </w:tr>
      <w:tr w:rsidR="00AC306B" w:rsidRPr="00506507" w14:paraId="2A9AA647" w14:textId="77777777" w:rsidTr="00E1163B">
        <w:trPr>
          <w:jc w:val="center"/>
        </w:trPr>
        <w:tc>
          <w:tcPr>
            <w:tcW w:w="4531" w:type="dxa"/>
          </w:tcPr>
          <w:p w14:paraId="49E6AC34" w14:textId="77777777" w:rsidR="00AC306B" w:rsidRPr="00506507" w:rsidRDefault="00AC306B" w:rsidP="002B5FE9">
            <w:pPr>
              <w:rPr>
                <w:color w:val="000000"/>
                <w:sz w:val="19"/>
                <w:szCs w:val="19"/>
              </w:rPr>
            </w:pPr>
            <w:r w:rsidRPr="00506507">
              <w:rPr>
                <w:color w:val="000000"/>
                <w:sz w:val="19"/>
                <w:szCs w:val="19"/>
              </w:rPr>
              <w:t>UNEA Resolution 5/8 (2022) on a Science-policy panel to contribute further to the sound management of chemicals and waste and to prevent pollution</w:t>
            </w:r>
          </w:p>
        </w:tc>
        <w:tc>
          <w:tcPr>
            <w:tcW w:w="4485" w:type="dxa"/>
          </w:tcPr>
          <w:p w14:paraId="31692AC5" w14:textId="77777777" w:rsidR="00AC306B" w:rsidRPr="00506507" w:rsidRDefault="00AC306B" w:rsidP="002B5FE9">
            <w:pPr>
              <w:pStyle w:val="ListParagraph"/>
              <w:numPr>
                <w:ilvl w:val="0"/>
                <w:numId w:val="30"/>
              </w:numPr>
              <w:rPr>
                <w:sz w:val="19"/>
                <w:szCs w:val="19"/>
              </w:rPr>
            </w:pPr>
            <w:r w:rsidRPr="00506507">
              <w:rPr>
                <w:sz w:val="19"/>
                <w:szCs w:val="19"/>
              </w:rPr>
              <w:t>Seek engagement as appropriate with the Panel.</w:t>
            </w:r>
          </w:p>
        </w:tc>
      </w:tr>
      <w:tr w:rsidR="00AC306B" w:rsidRPr="00506507" w14:paraId="3863FFD0" w14:textId="77777777" w:rsidTr="00E1163B">
        <w:trPr>
          <w:jc w:val="center"/>
        </w:trPr>
        <w:tc>
          <w:tcPr>
            <w:tcW w:w="4531" w:type="dxa"/>
          </w:tcPr>
          <w:p w14:paraId="09E9BC0D" w14:textId="77777777" w:rsidR="00AC306B" w:rsidRPr="00506507" w:rsidRDefault="00AC306B" w:rsidP="002B5FE9">
            <w:pPr>
              <w:rPr>
                <w:color w:val="000000"/>
                <w:sz w:val="19"/>
                <w:szCs w:val="19"/>
              </w:rPr>
            </w:pPr>
            <w:r w:rsidRPr="00506507">
              <w:rPr>
                <w:color w:val="000000"/>
                <w:sz w:val="19"/>
                <w:szCs w:val="19"/>
              </w:rPr>
              <w:t>UNEA Resolution 5/14 (2022) on Ending plastic pollution: towards an international legally binding instrument</w:t>
            </w:r>
          </w:p>
        </w:tc>
        <w:tc>
          <w:tcPr>
            <w:tcW w:w="4485" w:type="dxa"/>
          </w:tcPr>
          <w:p w14:paraId="66DFF26C" w14:textId="77777777" w:rsidR="00AC306B" w:rsidRPr="00506507" w:rsidRDefault="00AC306B" w:rsidP="002B5FE9">
            <w:pPr>
              <w:pStyle w:val="ListParagraph"/>
              <w:numPr>
                <w:ilvl w:val="0"/>
                <w:numId w:val="30"/>
              </w:numPr>
              <w:rPr>
                <w:sz w:val="19"/>
                <w:szCs w:val="19"/>
              </w:rPr>
            </w:pPr>
            <w:r w:rsidRPr="00506507">
              <w:rPr>
                <w:sz w:val="19"/>
                <w:szCs w:val="19"/>
              </w:rPr>
              <w:t>Engage with the work of the intergovernmental negotiating committee charged with developing an international legally binding instrument on plastic pollution including in the marine environment, and decisions at UNEA6.</w:t>
            </w:r>
          </w:p>
        </w:tc>
      </w:tr>
      <w:tr w:rsidR="00AC306B" w:rsidRPr="00506507" w14:paraId="5BB2BF34" w14:textId="77777777" w:rsidTr="00E1163B">
        <w:trPr>
          <w:jc w:val="center"/>
        </w:trPr>
        <w:tc>
          <w:tcPr>
            <w:tcW w:w="9016" w:type="dxa"/>
            <w:gridSpan w:val="2"/>
            <w:shd w:val="clear" w:color="auto" w:fill="D9D9D9" w:themeFill="background1" w:themeFillShade="D9"/>
          </w:tcPr>
          <w:p w14:paraId="6F599B96" w14:textId="77777777" w:rsidR="00AC306B" w:rsidRPr="00506507" w:rsidRDefault="00AC306B" w:rsidP="002B5FE9">
            <w:pPr>
              <w:spacing w:before="20" w:after="20"/>
              <w:rPr>
                <w:sz w:val="19"/>
                <w:szCs w:val="19"/>
              </w:rPr>
            </w:pPr>
            <w:r w:rsidRPr="00506507">
              <w:rPr>
                <w:b/>
                <w:i/>
                <w:color w:val="000066"/>
                <w:sz w:val="19"/>
                <w:szCs w:val="19"/>
              </w:rPr>
              <w:sym w:font="Wingdings" w:char="F0D8"/>
            </w:r>
            <w:r w:rsidRPr="00506507">
              <w:rPr>
                <w:b/>
                <w:i/>
                <w:color w:val="000066"/>
                <w:sz w:val="19"/>
                <w:szCs w:val="19"/>
              </w:rPr>
              <w:t xml:space="preserve"> European Union</w:t>
            </w:r>
          </w:p>
        </w:tc>
      </w:tr>
      <w:tr w:rsidR="00AC306B" w:rsidRPr="00506507" w14:paraId="0F0DDF62" w14:textId="77777777" w:rsidTr="00E1163B">
        <w:trPr>
          <w:jc w:val="center"/>
        </w:trPr>
        <w:tc>
          <w:tcPr>
            <w:tcW w:w="4531" w:type="dxa"/>
          </w:tcPr>
          <w:p w14:paraId="735E1583" w14:textId="77777777" w:rsidR="00AC306B" w:rsidRPr="00506507" w:rsidRDefault="00AC306B" w:rsidP="002B5FE9">
            <w:pPr>
              <w:rPr>
                <w:color w:val="000000"/>
                <w:sz w:val="19"/>
                <w:szCs w:val="19"/>
              </w:rPr>
            </w:pPr>
            <w:r w:rsidRPr="00506507">
              <w:rPr>
                <w:color w:val="000000"/>
                <w:sz w:val="19"/>
                <w:szCs w:val="19"/>
              </w:rPr>
              <w:t>EU Regulation 2021/57 (January 2021) on the Registration, Evaluation, Authorisation and Restriction of Chemicals (REACH) as regards lead in gunshot in or around wetlands</w:t>
            </w:r>
          </w:p>
        </w:tc>
        <w:tc>
          <w:tcPr>
            <w:tcW w:w="4485" w:type="dxa"/>
          </w:tcPr>
          <w:p w14:paraId="7B6C4ACE" w14:textId="77777777" w:rsidR="00AC306B" w:rsidRPr="00506507" w:rsidRDefault="00AC306B" w:rsidP="002B5FE9">
            <w:pPr>
              <w:pStyle w:val="ListParagraph"/>
              <w:numPr>
                <w:ilvl w:val="0"/>
                <w:numId w:val="30"/>
              </w:numPr>
              <w:rPr>
                <w:sz w:val="19"/>
                <w:szCs w:val="19"/>
              </w:rPr>
            </w:pPr>
            <w:r w:rsidRPr="00506507">
              <w:rPr>
                <w:sz w:val="19"/>
                <w:szCs w:val="19"/>
              </w:rPr>
              <w:t>Scrutinise implementation, monitoring and enforcement (from entry into effect February 2023) and press for highest standards in these.</w:t>
            </w:r>
          </w:p>
          <w:p w14:paraId="047EC9BC" w14:textId="77777777" w:rsidR="00AC306B" w:rsidRPr="00506507" w:rsidRDefault="00AC306B" w:rsidP="002B5FE9">
            <w:pPr>
              <w:pStyle w:val="ListParagraph"/>
              <w:numPr>
                <w:ilvl w:val="0"/>
                <w:numId w:val="30"/>
              </w:numPr>
              <w:rPr>
                <w:sz w:val="19"/>
                <w:szCs w:val="19"/>
              </w:rPr>
            </w:pPr>
            <w:r w:rsidRPr="00506507">
              <w:rPr>
                <w:sz w:val="19"/>
                <w:szCs w:val="19"/>
              </w:rPr>
              <w:t>Use EU example to press for similar bans on use of lead shot for hunting and or around wetlands elsewhere in the Agreement area.</w:t>
            </w:r>
          </w:p>
        </w:tc>
      </w:tr>
      <w:tr w:rsidR="00AC306B" w:rsidRPr="00506507" w14:paraId="690B570B" w14:textId="77777777" w:rsidTr="00E1163B">
        <w:trPr>
          <w:jc w:val="center"/>
        </w:trPr>
        <w:tc>
          <w:tcPr>
            <w:tcW w:w="4531" w:type="dxa"/>
          </w:tcPr>
          <w:p w14:paraId="223F5AEA" w14:textId="08346D54" w:rsidR="00AC306B" w:rsidRPr="00506507" w:rsidRDefault="00AC306B" w:rsidP="00876131">
            <w:pPr>
              <w:rPr>
                <w:color w:val="000000"/>
                <w:sz w:val="19"/>
                <w:szCs w:val="19"/>
              </w:rPr>
            </w:pPr>
            <w:r w:rsidRPr="00506507">
              <w:rPr>
                <w:color w:val="000000"/>
                <w:sz w:val="19"/>
                <w:szCs w:val="19"/>
              </w:rPr>
              <w:t>European Chemicals Agency</w:t>
            </w:r>
            <w:r w:rsidR="00DA5AF8" w:rsidRPr="00506507">
              <w:rPr>
                <w:color w:val="000000"/>
                <w:sz w:val="19"/>
                <w:szCs w:val="19"/>
              </w:rPr>
              <w:t xml:space="preserve"> (ECHA)/ REACH</w:t>
            </w:r>
            <w:r w:rsidRPr="00506507">
              <w:rPr>
                <w:color w:val="000000"/>
                <w:sz w:val="19"/>
                <w:szCs w:val="19"/>
              </w:rPr>
              <w:t xml:space="preserve"> proposal for restrictions on use of lead in outdoor shooting and fishing in the EU (anticipating decision 202</w:t>
            </w:r>
            <w:r w:rsidR="00876131" w:rsidRPr="00506507">
              <w:rPr>
                <w:color w:val="000000"/>
                <w:sz w:val="19"/>
                <w:szCs w:val="19"/>
              </w:rPr>
              <w:t>3/24</w:t>
            </w:r>
            <w:r w:rsidRPr="00506507">
              <w:rPr>
                <w:color w:val="000000"/>
                <w:sz w:val="19"/>
                <w:szCs w:val="19"/>
              </w:rPr>
              <w:t>).</w:t>
            </w:r>
          </w:p>
        </w:tc>
        <w:tc>
          <w:tcPr>
            <w:tcW w:w="4485" w:type="dxa"/>
          </w:tcPr>
          <w:p w14:paraId="738F9234" w14:textId="71A4E5C9" w:rsidR="00AC306B" w:rsidRPr="00506507" w:rsidRDefault="00AC306B" w:rsidP="002B5FE9">
            <w:pPr>
              <w:pStyle w:val="ListParagraph"/>
              <w:numPr>
                <w:ilvl w:val="0"/>
                <w:numId w:val="30"/>
              </w:numPr>
              <w:rPr>
                <w:sz w:val="19"/>
                <w:szCs w:val="19"/>
              </w:rPr>
            </w:pPr>
            <w:r w:rsidRPr="00506507">
              <w:rPr>
                <w:sz w:val="19"/>
                <w:szCs w:val="19"/>
              </w:rPr>
              <w:t xml:space="preserve">Support ECHA proposal </w:t>
            </w:r>
            <w:r w:rsidR="00876131" w:rsidRPr="00506507">
              <w:rPr>
                <w:sz w:val="19"/>
                <w:szCs w:val="19"/>
              </w:rPr>
              <w:t>on</w:t>
            </w:r>
            <w:r w:rsidRPr="00506507">
              <w:rPr>
                <w:sz w:val="19"/>
                <w:szCs w:val="19"/>
              </w:rPr>
              <w:t xml:space="preserve"> restrict</w:t>
            </w:r>
            <w:r w:rsidR="00876131" w:rsidRPr="00506507">
              <w:rPr>
                <w:sz w:val="19"/>
                <w:szCs w:val="19"/>
              </w:rPr>
              <w:t>ing</w:t>
            </w:r>
            <w:r w:rsidRPr="00506507">
              <w:rPr>
                <w:sz w:val="19"/>
                <w:szCs w:val="19"/>
              </w:rPr>
              <w:t xml:space="preserve"> use of lead </w:t>
            </w:r>
            <w:r w:rsidR="00876131" w:rsidRPr="00506507">
              <w:rPr>
                <w:sz w:val="19"/>
                <w:szCs w:val="19"/>
              </w:rPr>
              <w:t xml:space="preserve">ammunition and </w:t>
            </w:r>
            <w:r w:rsidRPr="00506507">
              <w:rPr>
                <w:sz w:val="19"/>
                <w:szCs w:val="19"/>
              </w:rPr>
              <w:t>fishing weights.</w:t>
            </w:r>
          </w:p>
          <w:p w14:paraId="65E8D4DE" w14:textId="145A2DE8" w:rsidR="00AC306B" w:rsidRPr="00506507" w:rsidRDefault="004C70BC" w:rsidP="002B5FE9">
            <w:pPr>
              <w:pStyle w:val="ListParagraph"/>
              <w:numPr>
                <w:ilvl w:val="0"/>
                <w:numId w:val="30"/>
              </w:numPr>
              <w:rPr>
                <w:sz w:val="19"/>
                <w:szCs w:val="19"/>
              </w:rPr>
            </w:pPr>
            <w:r w:rsidRPr="00506507">
              <w:rPr>
                <w:sz w:val="19"/>
                <w:szCs w:val="19"/>
              </w:rPr>
              <w:t>(</w:t>
            </w:r>
            <w:r w:rsidR="00AC306B" w:rsidRPr="00506507">
              <w:rPr>
                <w:sz w:val="19"/>
                <w:szCs w:val="19"/>
              </w:rPr>
              <w:t xml:space="preserve">Assuming </w:t>
            </w:r>
            <w:r w:rsidR="00CB23FF" w:rsidRPr="00506507">
              <w:rPr>
                <w:sz w:val="19"/>
                <w:szCs w:val="19"/>
              </w:rPr>
              <w:t>new restrictions agreed and formalised</w:t>
            </w:r>
            <w:r w:rsidRPr="00506507">
              <w:rPr>
                <w:sz w:val="19"/>
                <w:szCs w:val="19"/>
              </w:rPr>
              <w:t>)</w:t>
            </w:r>
            <w:r w:rsidR="00AC306B" w:rsidRPr="00506507">
              <w:rPr>
                <w:sz w:val="19"/>
                <w:szCs w:val="19"/>
              </w:rPr>
              <w:t>, scrutinise implementation, monitoring and enforcement, and press for highest standards in these.</w:t>
            </w:r>
          </w:p>
          <w:p w14:paraId="303B2BC8" w14:textId="77777777" w:rsidR="00AC306B" w:rsidRPr="00506507" w:rsidRDefault="00AC306B" w:rsidP="002B5FE9">
            <w:pPr>
              <w:pStyle w:val="ListParagraph"/>
              <w:numPr>
                <w:ilvl w:val="0"/>
                <w:numId w:val="30"/>
              </w:numPr>
              <w:rPr>
                <w:sz w:val="19"/>
                <w:szCs w:val="19"/>
              </w:rPr>
            </w:pPr>
            <w:r w:rsidRPr="00506507">
              <w:rPr>
                <w:sz w:val="19"/>
                <w:szCs w:val="19"/>
              </w:rPr>
              <w:t>Use EU example to press for similar restrictions elsewhere in the Agreement area.</w:t>
            </w:r>
          </w:p>
        </w:tc>
      </w:tr>
    </w:tbl>
    <w:p w14:paraId="7265593D" w14:textId="77777777" w:rsidR="00AC306B" w:rsidRPr="00506507" w:rsidRDefault="00AC306B" w:rsidP="007722E8">
      <w:pPr>
        <w:spacing w:after="20"/>
        <w:rPr>
          <w:sz w:val="22"/>
          <w:szCs w:val="22"/>
        </w:rPr>
      </w:pPr>
    </w:p>
    <w:p w14:paraId="13E86C40" w14:textId="77777777" w:rsidR="005F5B81" w:rsidRPr="00506507" w:rsidRDefault="005F5B81" w:rsidP="008D68D5">
      <w:pPr>
        <w:spacing w:after="20"/>
        <w:rPr>
          <w:sz w:val="16"/>
          <w:szCs w:val="16"/>
        </w:rPr>
      </w:pPr>
    </w:p>
    <w:p w14:paraId="568D9E07" w14:textId="5D8B0A94" w:rsidR="005F5B81" w:rsidRPr="00E1163B" w:rsidRDefault="00E1163B" w:rsidP="00E1163B">
      <w:pPr>
        <w:pStyle w:val="Heading1"/>
        <w:keepNext/>
        <w:tabs>
          <w:tab w:val="left" w:pos="5780"/>
        </w:tabs>
        <w:spacing w:before="0" w:beforeAutospacing="0" w:after="0" w:afterAutospacing="0"/>
        <w:rPr>
          <w:bCs w:val="0"/>
          <w:color w:val="264D74"/>
          <w:sz w:val="24"/>
          <w:szCs w:val="24"/>
        </w:rPr>
      </w:pPr>
      <w:bookmarkStart w:id="5" w:name="_Toc106615968"/>
      <w:r w:rsidRPr="00E1163B">
        <w:rPr>
          <w:bCs w:val="0"/>
          <w:color w:val="264D74"/>
          <w:sz w:val="24"/>
          <w:szCs w:val="24"/>
        </w:rPr>
        <w:t>Conclusions and Future Steps</w:t>
      </w:r>
      <w:bookmarkEnd w:id="5"/>
    </w:p>
    <w:p w14:paraId="1A522A74" w14:textId="77777777" w:rsidR="005F5B81" w:rsidRPr="00506507" w:rsidRDefault="005F5B81" w:rsidP="005F5B81">
      <w:pPr>
        <w:rPr>
          <w:sz w:val="22"/>
          <w:szCs w:val="22"/>
        </w:rPr>
      </w:pPr>
    </w:p>
    <w:p w14:paraId="2B9ED3C1" w14:textId="77777777" w:rsidR="008F0B5E" w:rsidRPr="00506507" w:rsidRDefault="008F0B5E" w:rsidP="00E1163B">
      <w:pPr>
        <w:pStyle w:val="PlainText"/>
        <w:jc w:val="both"/>
        <w:rPr>
          <w:rFonts w:ascii="Times New Roman" w:hAnsi="Times New Roman" w:cs="Times New Roman"/>
          <w:sz w:val="22"/>
          <w:szCs w:val="22"/>
        </w:rPr>
      </w:pPr>
      <w:r w:rsidRPr="00506507">
        <w:rPr>
          <w:rFonts w:ascii="Times New Roman" w:hAnsi="Times New Roman" w:cs="Times New Roman"/>
          <w:sz w:val="22"/>
          <w:szCs w:val="22"/>
        </w:rPr>
        <w:t>Decisions by AEWA Parties, and the products of technical work undertaken at international level under the Agreement, have collectively (in different ways) identified an array of multilateral processes, beyond AEWA itself, that may be relevant in helping to tackle causes of unnecessary mortality of waterbirds in the Agreement area, including the four priority causes that are highlighted in the Strategic Plan.</w:t>
      </w:r>
    </w:p>
    <w:p w14:paraId="072E58BA" w14:textId="77777777" w:rsidR="008F0B5E" w:rsidRPr="00506507" w:rsidRDefault="008F0B5E" w:rsidP="00E1163B">
      <w:pPr>
        <w:pStyle w:val="PlainText"/>
        <w:jc w:val="both"/>
        <w:rPr>
          <w:rFonts w:ascii="Times New Roman" w:hAnsi="Times New Roman" w:cs="Times New Roman"/>
          <w:sz w:val="22"/>
          <w:szCs w:val="22"/>
        </w:rPr>
      </w:pPr>
    </w:p>
    <w:p w14:paraId="180E813C" w14:textId="77777777" w:rsidR="008F0B5E" w:rsidRPr="00506507" w:rsidRDefault="008F0B5E" w:rsidP="00E1163B">
      <w:pPr>
        <w:pStyle w:val="PlainText"/>
        <w:jc w:val="both"/>
        <w:rPr>
          <w:rFonts w:ascii="Times New Roman" w:hAnsi="Times New Roman" w:cs="Times New Roman"/>
          <w:sz w:val="22"/>
          <w:szCs w:val="22"/>
        </w:rPr>
      </w:pPr>
      <w:r w:rsidRPr="00506507">
        <w:rPr>
          <w:rFonts w:ascii="Times New Roman" w:hAnsi="Times New Roman" w:cs="Times New Roman"/>
          <w:sz w:val="22"/>
          <w:szCs w:val="22"/>
        </w:rPr>
        <w:t>This variety of differently-identified and sometimes generically-expressed linkages has been extracted and brought together for the first time in this report, specifically with a view to signposting the avenues for potential influence that might seek to secure” scaled-up” gains for the Agreement’s objectives.  The bulk of the material here has therefore arisen from AEWA’s own existing processes.</w:t>
      </w:r>
    </w:p>
    <w:p w14:paraId="7F808DF8" w14:textId="77777777" w:rsidR="008F0B5E" w:rsidRPr="00506507" w:rsidRDefault="008F0B5E" w:rsidP="00E1163B">
      <w:pPr>
        <w:pStyle w:val="PlainText"/>
        <w:jc w:val="both"/>
        <w:rPr>
          <w:rFonts w:ascii="Times New Roman" w:hAnsi="Times New Roman" w:cs="Times New Roman"/>
          <w:sz w:val="22"/>
          <w:szCs w:val="22"/>
        </w:rPr>
      </w:pPr>
    </w:p>
    <w:p w14:paraId="01D3659F" w14:textId="77777777" w:rsidR="008F0B5E" w:rsidRPr="00506507" w:rsidRDefault="008F0B5E" w:rsidP="00E1163B">
      <w:pPr>
        <w:pStyle w:val="PlainText"/>
        <w:jc w:val="both"/>
        <w:rPr>
          <w:rFonts w:ascii="Times New Roman" w:hAnsi="Times New Roman" w:cs="Times New Roman"/>
          <w:sz w:val="22"/>
          <w:szCs w:val="22"/>
        </w:rPr>
      </w:pPr>
      <w:r w:rsidRPr="00506507">
        <w:rPr>
          <w:rFonts w:ascii="Times New Roman" w:hAnsi="Times New Roman" w:cs="Times New Roman"/>
          <w:sz w:val="22"/>
          <w:szCs w:val="22"/>
        </w:rPr>
        <w:t>A second main component however adds some selected items of equivalent potential relevance that have not yet featured in formal AEWA sources.  This component must be regarded as merely an initial sample.  A full trawl of possible opportunities across all relevant biodiversity-related Multilateral Environmental Agreements and regional initiatives is beyond the scope of this exercise, but is a concept that could very usefully be the focus of further in-depth work in future.</w:t>
      </w:r>
    </w:p>
    <w:p w14:paraId="25EE486D" w14:textId="77777777" w:rsidR="008F0B5E" w:rsidRPr="00506507" w:rsidRDefault="008F0B5E" w:rsidP="00E1163B">
      <w:pPr>
        <w:pStyle w:val="PlainText"/>
        <w:jc w:val="both"/>
        <w:rPr>
          <w:rFonts w:ascii="Times New Roman" w:hAnsi="Times New Roman" w:cs="Times New Roman"/>
          <w:sz w:val="22"/>
          <w:szCs w:val="22"/>
        </w:rPr>
      </w:pPr>
    </w:p>
    <w:p w14:paraId="415D31E6" w14:textId="77777777" w:rsidR="008F0B5E" w:rsidRPr="00506507" w:rsidRDefault="008F0B5E" w:rsidP="00E1163B">
      <w:pPr>
        <w:pStyle w:val="PlainText"/>
        <w:jc w:val="both"/>
        <w:rPr>
          <w:rFonts w:ascii="Times New Roman" w:hAnsi="Times New Roman" w:cs="Times New Roman"/>
          <w:sz w:val="22"/>
          <w:szCs w:val="22"/>
        </w:rPr>
      </w:pPr>
      <w:r w:rsidRPr="00506507">
        <w:rPr>
          <w:rFonts w:ascii="Times New Roman" w:hAnsi="Times New Roman" w:cs="Times New Roman"/>
          <w:sz w:val="22"/>
          <w:szCs w:val="22"/>
        </w:rPr>
        <w:t>The items listed in the “Possible opportunity for influence” columns of the tables presented above are similarly only illustrative of the potential scope that could exist.  One important use of this document, as a next step, will be to devise more detailed propositions for each of these suggestions, and thus to develop them (or a selection of them) into a concrete activity agenda.</w:t>
      </w:r>
    </w:p>
    <w:p w14:paraId="1B8DDAAD" w14:textId="77777777" w:rsidR="00050415" w:rsidRPr="00506507" w:rsidRDefault="00050415" w:rsidP="00E1163B">
      <w:pPr>
        <w:pStyle w:val="PlainText"/>
        <w:jc w:val="both"/>
        <w:rPr>
          <w:rFonts w:ascii="Times New Roman" w:hAnsi="Times New Roman" w:cs="Times New Roman"/>
          <w:sz w:val="22"/>
          <w:szCs w:val="22"/>
        </w:rPr>
      </w:pPr>
    </w:p>
    <w:p w14:paraId="2C0AEB93" w14:textId="77777777" w:rsidR="00050415" w:rsidRPr="00506507" w:rsidRDefault="00050415" w:rsidP="00E1163B">
      <w:pPr>
        <w:pStyle w:val="PlainText"/>
        <w:jc w:val="both"/>
        <w:rPr>
          <w:rFonts w:ascii="Times New Roman" w:hAnsi="Times New Roman" w:cs="Times New Roman"/>
          <w:sz w:val="22"/>
          <w:szCs w:val="22"/>
        </w:rPr>
      </w:pPr>
      <w:r w:rsidRPr="00506507">
        <w:rPr>
          <w:rFonts w:ascii="Times New Roman" w:hAnsi="Times New Roman" w:cs="Times New Roman"/>
          <w:sz w:val="22"/>
          <w:szCs w:val="22"/>
        </w:rPr>
        <w:t>As noted earlier, the landscape of potential opportunities will continue to evolve, as various relevant international processes develop new decisions or launch new initiatives.  The inventory of possibilities begun with this report should be updated from time to time with input from Parties, the Standing Committee, the Technical Committee, the Secretariat and partner organisations, and the resulting information made available to the MOP.  The range of instruments and processes considered in this report is itself only a starting point, and the scope will usefully be widened in future to consider others, including at the regional level and in fields beyond the biodiversity-related sector.</w:t>
      </w:r>
    </w:p>
    <w:p w14:paraId="2F502D28" w14:textId="77777777" w:rsidR="008F0B5E" w:rsidRPr="00506507" w:rsidRDefault="008F0B5E" w:rsidP="00E1163B">
      <w:pPr>
        <w:pStyle w:val="PlainText"/>
        <w:jc w:val="both"/>
        <w:rPr>
          <w:rFonts w:ascii="Times New Roman" w:hAnsi="Times New Roman" w:cs="Times New Roman"/>
          <w:sz w:val="22"/>
          <w:szCs w:val="22"/>
        </w:rPr>
      </w:pPr>
    </w:p>
    <w:p w14:paraId="31E120E3" w14:textId="5E52F63F" w:rsidR="008F0B5E" w:rsidRPr="00506507" w:rsidRDefault="008F0B5E" w:rsidP="00E1163B">
      <w:pPr>
        <w:pStyle w:val="PlainText"/>
        <w:jc w:val="both"/>
        <w:rPr>
          <w:rFonts w:ascii="Times New Roman" w:hAnsi="Times New Roman" w:cs="Times New Roman"/>
          <w:sz w:val="22"/>
          <w:szCs w:val="22"/>
        </w:rPr>
      </w:pPr>
      <w:r w:rsidRPr="00506507">
        <w:rPr>
          <w:rFonts w:ascii="Times New Roman" w:hAnsi="Times New Roman" w:cs="Times New Roman"/>
          <w:sz w:val="22"/>
          <w:szCs w:val="22"/>
        </w:rPr>
        <w:t>Other issues for future attention, mentioned in earlier sections of this report, include methods for evaluating (in advance) the cost-effectiveness of any particular planned intervention, assessing (subsequently) the degree of success achieved</w:t>
      </w:r>
      <w:r w:rsidR="00DA5AF8" w:rsidRPr="00506507">
        <w:rPr>
          <w:rFonts w:ascii="Times New Roman" w:hAnsi="Times New Roman" w:cs="Times New Roman"/>
          <w:sz w:val="22"/>
          <w:szCs w:val="22"/>
        </w:rPr>
        <w:t>, and the critical importance of publishing such assessments so as to learn lessons from experience</w:t>
      </w:r>
      <w:r w:rsidRPr="00506507">
        <w:rPr>
          <w:rFonts w:ascii="Times New Roman" w:hAnsi="Times New Roman" w:cs="Times New Roman"/>
          <w:sz w:val="22"/>
          <w:szCs w:val="22"/>
        </w:rPr>
        <w:t>.</w:t>
      </w:r>
    </w:p>
    <w:p w14:paraId="24B777A3" w14:textId="77777777" w:rsidR="008F0B5E" w:rsidRPr="00506507" w:rsidRDefault="008F0B5E" w:rsidP="00E1163B">
      <w:pPr>
        <w:jc w:val="both"/>
        <w:rPr>
          <w:sz w:val="22"/>
          <w:szCs w:val="22"/>
        </w:rPr>
      </w:pPr>
    </w:p>
    <w:p w14:paraId="5BB7C98F" w14:textId="2228915E" w:rsidR="00DA5AF8" w:rsidRPr="00506507" w:rsidRDefault="008F0B5E" w:rsidP="00E1163B">
      <w:pPr>
        <w:jc w:val="both"/>
        <w:rPr>
          <w:sz w:val="22"/>
          <w:szCs w:val="22"/>
        </w:rPr>
      </w:pPr>
      <w:r w:rsidRPr="00506507">
        <w:rPr>
          <w:sz w:val="22"/>
          <w:szCs w:val="22"/>
        </w:rPr>
        <w:t xml:space="preserve">Target 1.6 in the AEWA Strategic Plan aspires for AEWA’s priorities relating to the four causes of unnecessary waterbird mortality (and other key threats) to be “integrated in” key multilateral processes.  The suggestions drawn together in this document provide an initial Agreement-wide road-map towards that objective.  The true outcome at stake however should hopefully be seen as advancing beyond the notion of “integration”, to the achievement of (greater) </w:t>
      </w:r>
      <w:r w:rsidRPr="00506507">
        <w:rPr>
          <w:i/>
          <w:sz w:val="22"/>
          <w:szCs w:val="22"/>
        </w:rPr>
        <w:t>impact through</w:t>
      </w:r>
      <w:r w:rsidRPr="00506507">
        <w:rPr>
          <w:sz w:val="22"/>
          <w:szCs w:val="22"/>
        </w:rPr>
        <w:t xml:space="preserve"> the identified opportunities for influence.  All concerned </w:t>
      </w:r>
      <w:r w:rsidR="004C70BC" w:rsidRPr="00506507">
        <w:rPr>
          <w:sz w:val="22"/>
          <w:szCs w:val="22"/>
        </w:rPr>
        <w:t xml:space="preserve">with this </w:t>
      </w:r>
      <w:r w:rsidRPr="00506507">
        <w:rPr>
          <w:sz w:val="22"/>
          <w:szCs w:val="22"/>
        </w:rPr>
        <w:t>are invited to consider how they may be able to use the information presented here in contributing towards this aim.</w:t>
      </w:r>
    </w:p>
    <w:sectPr w:rsidR="00DA5AF8" w:rsidRPr="00506507" w:rsidSect="00943D46">
      <w:headerReference w:type="default" r:id="rId23"/>
      <w:footerReference w:type="default" r:id="rId24"/>
      <w:headerReference w:type="first" r:id="rId25"/>
      <w:pgSz w:w="11906" w:h="16838"/>
      <w:pgMar w:top="1138" w:right="1138" w:bottom="1138" w:left="1138"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5A82" w14:textId="77777777" w:rsidR="00A9295D" w:rsidRDefault="00A9295D" w:rsidP="00DF126C">
      <w:r>
        <w:separator/>
      </w:r>
    </w:p>
  </w:endnote>
  <w:endnote w:type="continuationSeparator" w:id="0">
    <w:p w14:paraId="461B4B31" w14:textId="77777777" w:rsidR="00A9295D" w:rsidRDefault="00A9295D"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371291"/>
      <w:docPartObj>
        <w:docPartGallery w:val="Page Numbers (Bottom of Page)"/>
        <w:docPartUnique/>
      </w:docPartObj>
    </w:sdtPr>
    <w:sdtEndPr>
      <w:rPr>
        <w:rFonts w:ascii="Times New Roman" w:hAnsi="Times New Roman" w:cs="Times New Roman"/>
        <w:noProof/>
        <w:sz w:val="20"/>
        <w:szCs w:val="20"/>
      </w:rPr>
    </w:sdtEndPr>
    <w:sdtContent>
      <w:p w14:paraId="0C420DBE" w14:textId="7EDDB997" w:rsidR="00506507" w:rsidRPr="00506507" w:rsidRDefault="00506507" w:rsidP="00506507">
        <w:pPr>
          <w:pStyle w:val="Footer"/>
          <w:jc w:val="center"/>
          <w:rPr>
            <w:rFonts w:ascii="Times New Roman" w:hAnsi="Times New Roman" w:cs="Times New Roman"/>
            <w:sz w:val="20"/>
            <w:szCs w:val="20"/>
          </w:rPr>
        </w:pPr>
        <w:r w:rsidRPr="00506507">
          <w:rPr>
            <w:rFonts w:ascii="Times New Roman" w:hAnsi="Times New Roman" w:cs="Times New Roman"/>
            <w:sz w:val="20"/>
            <w:szCs w:val="20"/>
          </w:rPr>
          <w:fldChar w:fldCharType="begin"/>
        </w:r>
        <w:r w:rsidRPr="00506507">
          <w:rPr>
            <w:rFonts w:ascii="Times New Roman" w:hAnsi="Times New Roman" w:cs="Times New Roman"/>
            <w:sz w:val="20"/>
            <w:szCs w:val="20"/>
          </w:rPr>
          <w:instrText xml:space="preserve"> PAGE   \* MERGEFORMAT </w:instrText>
        </w:r>
        <w:r w:rsidRPr="00506507">
          <w:rPr>
            <w:rFonts w:ascii="Times New Roman" w:hAnsi="Times New Roman" w:cs="Times New Roman"/>
            <w:sz w:val="20"/>
            <w:szCs w:val="20"/>
          </w:rPr>
          <w:fldChar w:fldCharType="separate"/>
        </w:r>
        <w:r w:rsidRPr="00506507">
          <w:rPr>
            <w:rFonts w:ascii="Times New Roman" w:hAnsi="Times New Roman" w:cs="Times New Roman"/>
            <w:noProof/>
            <w:sz w:val="20"/>
            <w:szCs w:val="20"/>
          </w:rPr>
          <w:t>2</w:t>
        </w:r>
        <w:r w:rsidRPr="0050650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A19C" w14:textId="77777777" w:rsidR="00A9295D" w:rsidRDefault="00A9295D" w:rsidP="00DF126C">
      <w:r>
        <w:separator/>
      </w:r>
    </w:p>
  </w:footnote>
  <w:footnote w:type="continuationSeparator" w:id="0">
    <w:p w14:paraId="51EAB639" w14:textId="77777777" w:rsidR="00A9295D" w:rsidRDefault="00A9295D" w:rsidP="00DF126C">
      <w:r>
        <w:continuationSeparator/>
      </w:r>
    </w:p>
  </w:footnote>
  <w:footnote w:id="1">
    <w:p w14:paraId="6C96FFB9" w14:textId="77777777" w:rsidR="00DA5AF8" w:rsidRPr="00506507" w:rsidRDefault="00DA5AF8" w:rsidP="00E1163B">
      <w:pPr>
        <w:pStyle w:val="FootnoteText"/>
        <w:ind w:left="170" w:hanging="170"/>
        <w:jc w:val="both"/>
        <w:rPr>
          <w:sz w:val="18"/>
          <w:szCs w:val="18"/>
          <w:lang w:val="en-GB"/>
        </w:rPr>
      </w:pPr>
      <w:r w:rsidRPr="00506507">
        <w:rPr>
          <w:rStyle w:val="FootnoteReference"/>
          <w:sz w:val="18"/>
          <w:szCs w:val="18"/>
        </w:rPr>
        <w:footnoteRef/>
      </w:r>
      <w:r w:rsidRPr="00506507">
        <w:rPr>
          <w:sz w:val="18"/>
          <w:szCs w:val="18"/>
        </w:rPr>
        <w:t xml:space="preserve"> </w:t>
      </w:r>
      <w:r w:rsidRPr="00506507">
        <w:rPr>
          <w:sz w:val="18"/>
          <w:szCs w:val="18"/>
          <w:lang w:val="en-GB"/>
        </w:rPr>
        <w:t xml:space="preserve"> (The AEWA Resolutions both refer to this as CMS Resolution 10.9, but the correct number is 10.11.  Res 6.11 then also makes a separate correct reference to CMS Res 10.11.).</w:t>
      </w:r>
    </w:p>
  </w:footnote>
  <w:footnote w:id="2">
    <w:p w14:paraId="77DD4C12" w14:textId="0AA9F1A7" w:rsidR="00DA5AF8" w:rsidRPr="00506507" w:rsidRDefault="00DA5AF8" w:rsidP="00E1163B">
      <w:pPr>
        <w:pStyle w:val="FootnoteText"/>
        <w:ind w:left="170" w:hanging="170"/>
        <w:jc w:val="both"/>
        <w:rPr>
          <w:sz w:val="18"/>
          <w:szCs w:val="18"/>
          <w:lang w:val="en-GB"/>
        </w:rPr>
      </w:pPr>
      <w:r w:rsidRPr="00506507">
        <w:rPr>
          <w:rStyle w:val="FootnoteReference"/>
          <w:sz w:val="18"/>
          <w:szCs w:val="18"/>
        </w:rPr>
        <w:footnoteRef/>
      </w:r>
      <w:r w:rsidRPr="00506507">
        <w:rPr>
          <w:sz w:val="18"/>
          <w:szCs w:val="18"/>
        </w:rPr>
        <w:t xml:space="preserve"> </w:t>
      </w:r>
      <w:r w:rsidRPr="00506507">
        <w:rPr>
          <w:sz w:val="18"/>
          <w:szCs w:val="18"/>
          <w:lang w:val="en-GB"/>
        </w:rPr>
        <w:t xml:space="preserve"> (The title of the World Bank document is rendered slightly inaccurately in the AEWA </w:t>
      </w:r>
      <w:r w:rsidR="00506507" w:rsidRPr="00506507">
        <w:rPr>
          <w:sz w:val="18"/>
          <w:szCs w:val="18"/>
          <w:lang w:val="en-GB"/>
        </w:rPr>
        <w:t>Resolution but</w:t>
      </w:r>
      <w:r w:rsidRPr="00506507">
        <w:rPr>
          <w:sz w:val="18"/>
          <w:szCs w:val="18"/>
          <w:lang w:val="en-GB"/>
        </w:rPr>
        <w:t xml:space="preserve"> has been corrected where it appears in the table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110C" w14:textId="59C49394" w:rsidR="00DA5AF8" w:rsidRDefault="00DA5AF8">
    <w:pPr>
      <w:pStyle w:val="Header"/>
      <w:jc w:val="center"/>
    </w:pPr>
  </w:p>
  <w:p w14:paraId="17DFB83A" w14:textId="77777777" w:rsidR="00DA5AF8" w:rsidRDefault="00DA5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318" w:type="dxa"/>
      <w:tblBorders>
        <w:bottom w:val="single" w:sz="8" w:space="0" w:color="auto"/>
      </w:tblBorders>
      <w:tblLayout w:type="fixed"/>
      <w:tblLook w:val="0000" w:firstRow="0" w:lastRow="0" w:firstColumn="0" w:lastColumn="0" w:noHBand="0" w:noVBand="0"/>
    </w:tblPr>
    <w:tblGrid>
      <w:gridCol w:w="2406"/>
      <w:gridCol w:w="5580"/>
      <w:gridCol w:w="2505"/>
    </w:tblGrid>
    <w:tr w:rsidR="00506507" w:rsidRPr="0039606D" w14:paraId="44C841B3" w14:textId="77777777" w:rsidTr="00815F54">
      <w:trPr>
        <w:trHeight w:val="1256"/>
      </w:trPr>
      <w:tc>
        <w:tcPr>
          <w:tcW w:w="2406" w:type="dxa"/>
        </w:tcPr>
        <w:p w14:paraId="236B7250" w14:textId="77777777" w:rsidR="00506507" w:rsidRPr="001C1BFF" w:rsidRDefault="00506507" w:rsidP="00506507">
          <w:pPr>
            <w:rPr>
              <w:rFonts w:eastAsia="Times New Roman"/>
              <w:lang w:val="en-US" w:eastAsia="en-US"/>
            </w:rPr>
          </w:pPr>
          <w:r w:rsidRPr="001C1BFF">
            <w:rPr>
              <w:rFonts w:eastAsia="Times New Roman"/>
              <w:noProof/>
            </w:rPr>
            <w:drawing>
              <wp:inline distT="0" distB="0" distL="0" distR="0" wp14:anchorId="365486FB" wp14:editId="63CB1E5A">
                <wp:extent cx="857250" cy="714375"/>
                <wp:effectExtent l="0" t="0" r="0" b="9525"/>
                <wp:docPr id="10"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6C0D19C9" w14:textId="77777777" w:rsidR="00506507" w:rsidRPr="001C1BFF" w:rsidRDefault="00506507" w:rsidP="00506507">
          <w:pPr>
            <w:jc w:val="center"/>
            <w:rPr>
              <w:rFonts w:eastAsia="Times New Roman"/>
              <w:i/>
              <w:caps/>
              <w:sz w:val="22"/>
              <w:szCs w:val="22"/>
              <w:lang w:val="en-US" w:eastAsia="en-US"/>
            </w:rPr>
          </w:pPr>
          <w:r w:rsidRPr="001C1BFF">
            <w:rPr>
              <w:rFonts w:eastAsia="Times New Roman"/>
              <w:i/>
              <w:caps/>
              <w:sz w:val="22"/>
              <w:szCs w:val="22"/>
              <w:lang w:val="en-US" w:eastAsia="en-US"/>
            </w:rPr>
            <w:t xml:space="preserve">Agreement on the Conservation of </w:t>
          </w:r>
        </w:p>
        <w:p w14:paraId="4DA33319" w14:textId="77777777" w:rsidR="00506507" w:rsidRPr="001C1BFF" w:rsidRDefault="00506507" w:rsidP="00506507">
          <w:pPr>
            <w:jc w:val="center"/>
            <w:rPr>
              <w:rFonts w:eastAsia="Times New Roman"/>
              <w:lang w:val="en-US" w:eastAsia="en-US"/>
            </w:rPr>
          </w:pPr>
          <w:r w:rsidRPr="001C1BFF">
            <w:rPr>
              <w:rFonts w:eastAsia="Times New Roman"/>
              <w:i/>
              <w:caps/>
              <w:sz w:val="22"/>
              <w:szCs w:val="22"/>
              <w:lang w:val="en-US" w:eastAsia="en-US"/>
            </w:rPr>
            <w:t>African-Eurasian Migratory Waterbirds</w:t>
          </w:r>
        </w:p>
      </w:tc>
      <w:tc>
        <w:tcPr>
          <w:tcW w:w="2505" w:type="dxa"/>
        </w:tcPr>
        <w:p w14:paraId="08EC2253" w14:textId="6DDC6AB7" w:rsidR="00506507" w:rsidRPr="0039606D" w:rsidRDefault="00506507" w:rsidP="00506507">
          <w:pPr>
            <w:spacing w:line="276" w:lineRule="auto"/>
            <w:jc w:val="right"/>
            <w:rPr>
              <w:rFonts w:eastAsia="Times New Roman"/>
              <w:bCs/>
              <w:i/>
              <w:iCs/>
              <w:sz w:val="20"/>
              <w:szCs w:val="20"/>
              <w:lang w:val="en-US" w:eastAsia="en-US"/>
            </w:rPr>
          </w:pPr>
          <w:r w:rsidRPr="0039606D">
            <w:rPr>
              <w:rFonts w:eastAsia="Times New Roman"/>
              <w:i/>
              <w:iCs/>
              <w:sz w:val="20"/>
              <w:szCs w:val="20"/>
              <w:lang w:val="en-US" w:eastAsia="en-US"/>
            </w:rPr>
            <w:t xml:space="preserve">Doc. </w:t>
          </w:r>
          <w:r w:rsidRPr="0039606D">
            <w:rPr>
              <w:rFonts w:eastAsia="Times New Roman"/>
              <w:bCs/>
              <w:i/>
              <w:iCs/>
              <w:sz w:val="20"/>
              <w:szCs w:val="20"/>
              <w:lang w:val="en-US" w:eastAsia="en-US"/>
            </w:rPr>
            <w:t>AEWA/MOP 8.4</w:t>
          </w:r>
          <w:r>
            <w:rPr>
              <w:rFonts w:eastAsia="Times New Roman"/>
              <w:bCs/>
              <w:i/>
              <w:iCs/>
              <w:sz w:val="20"/>
              <w:szCs w:val="20"/>
              <w:lang w:val="en-US" w:eastAsia="en-US"/>
            </w:rPr>
            <w:t>0</w:t>
          </w:r>
        </w:p>
        <w:p w14:paraId="65ED6E44" w14:textId="06A63593" w:rsidR="00506507" w:rsidRPr="0039606D" w:rsidRDefault="00506507" w:rsidP="00506507">
          <w:pPr>
            <w:spacing w:line="276" w:lineRule="auto"/>
            <w:jc w:val="right"/>
            <w:rPr>
              <w:rFonts w:eastAsia="Times New Roman"/>
              <w:bCs/>
              <w:i/>
              <w:iCs/>
              <w:sz w:val="20"/>
              <w:szCs w:val="20"/>
              <w:lang w:val="en-US" w:eastAsia="en-US"/>
            </w:rPr>
          </w:pPr>
          <w:r w:rsidRPr="0039606D">
            <w:rPr>
              <w:rFonts w:eastAsia="Times New Roman"/>
              <w:i/>
              <w:iCs/>
              <w:sz w:val="20"/>
              <w:szCs w:val="20"/>
              <w:lang w:val="en-US" w:eastAsia="en-US"/>
            </w:rPr>
            <w:t>Agenda item 2</w:t>
          </w:r>
          <w:r>
            <w:rPr>
              <w:rFonts w:eastAsia="Times New Roman"/>
              <w:i/>
              <w:iCs/>
              <w:sz w:val="20"/>
              <w:szCs w:val="20"/>
              <w:lang w:val="en-US" w:eastAsia="en-US"/>
            </w:rPr>
            <w:t>1</w:t>
          </w:r>
        </w:p>
        <w:p w14:paraId="60AC15AC" w14:textId="065BB6C9" w:rsidR="00506507" w:rsidRPr="0039606D" w:rsidRDefault="00506507" w:rsidP="00506507">
          <w:pPr>
            <w:spacing w:line="276" w:lineRule="auto"/>
            <w:jc w:val="right"/>
            <w:rPr>
              <w:rFonts w:eastAsia="Times New Roman"/>
              <w:lang w:val="en-US" w:eastAsia="en-US"/>
            </w:rPr>
          </w:pPr>
          <w:r>
            <w:rPr>
              <w:rFonts w:eastAsia="Times New Roman"/>
              <w:i/>
              <w:iCs/>
              <w:sz w:val="20"/>
              <w:szCs w:val="20"/>
              <w:lang w:val="en-US" w:eastAsia="en-US"/>
            </w:rPr>
            <w:t>2</w:t>
          </w:r>
          <w:r w:rsidR="00943D46">
            <w:rPr>
              <w:rFonts w:eastAsia="Times New Roman"/>
              <w:i/>
              <w:iCs/>
              <w:sz w:val="20"/>
              <w:szCs w:val="20"/>
              <w:lang w:val="en-US" w:eastAsia="en-US"/>
            </w:rPr>
            <w:t>1 July</w:t>
          </w:r>
          <w:r w:rsidRPr="0039606D">
            <w:rPr>
              <w:rFonts w:eastAsia="Times New Roman"/>
              <w:i/>
              <w:iCs/>
              <w:sz w:val="20"/>
              <w:szCs w:val="20"/>
              <w:lang w:val="en-US" w:eastAsia="en-US"/>
            </w:rPr>
            <w:t xml:space="preserve"> 2022</w:t>
          </w:r>
        </w:p>
      </w:tc>
    </w:tr>
    <w:tr w:rsidR="00506507" w:rsidRPr="001C1BFF" w14:paraId="171E3D4F" w14:textId="77777777" w:rsidTr="00815F54">
      <w:tc>
        <w:tcPr>
          <w:tcW w:w="10491" w:type="dxa"/>
          <w:gridSpan w:val="3"/>
        </w:tcPr>
        <w:p w14:paraId="518D3E2D" w14:textId="77777777" w:rsidR="00506507" w:rsidRPr="001C1BFF" w:rsidRDefault="00506507" w:rsidP="00506507">
          <w:pPr>
            <w:jc w:val="center"/>
            <w:rPr>
              <w:rFonts w:eastAsia="Times New Roman"/>
              <w:b/>
              <w:bCs/>
              <w:caps/>
              <w:lang w:eastAsia="en-US"/>
            </w:rPr>
          </w:pPr>
          <w:r w:rsidRPr="001C1BFF">
            <w:rPr>
              <w:rFonts w:eastAsia="Times New Roman"/>
              <w:b/>
              <w:bCs/>
              <w:lang w:val="en-US" w:eastAsia="en-US"/>
            </w:rPr>
            <w:t>8</w:t>
          </w:r>
          <w:r w:rsidRPr="001C1BFF">
            <w:rPr>
              <w:rFonts w:eastAsia="Times New Roman"/>
              <w:b/>
              <w:bCs/>
              <w:vertAlign w:val="superscript"/>
              <w:lang w:val="en-US" w:eastAsia="en-US"/>
            </w:rPr>
            <w:t>th</w:t>
          </w:r>
          <w:r w:rsidRPr="001C1BFF">
            <w:rPr>
              <w:rFonts w:eastAsia="Times New Roman"/>
              <w:b/>
              <w:bCs/>
              <w:lang w:val="en-US" w:eastAsia="en-US"/>
            </w:rPr>
            <w:t xml:space="preserve"> </w:t>
          </w:r>
          <w:r w:rsidRPr="001C1BFF">
            <w:rPr>
              <w:rFonts w:eastAsia="Times New Roman"/>
              <w:b/>
              <w:bCs/>
              <w:caps/>
              <w:lang w:eastAsia="en-US"/>
            </w:rPr>
            <w:t>Session of the Meeting of the Parties</w:t>
          </w:r>
        </w:p>
        <w:p w14:paraId="32972F7F" w14:textId="186FD3D4" w:rsidR="00506507" w:rsidRDefault="00506507" w:rsidP="00506507">
          <w:pPr>
            <w:jc w:val="center"/>
            <w:rPr>
              <w:rFonts w:eastAsia="Times New Roman"/>
              <w:i/>
              <w:iCs/>
              <w:sz w:val="22"/>
              <w:szCs w:val="22"/>
              <w:lang w:val="en-US" w:eastAsia="en-US"/>
            </w:rPr>
          </w:pPr>
          <w:r w:rsidRPr="001C1BFF">
            <w:rPr>
              <w:rFonts w:eastAsia="Times New Roman"/>
              <w:i/>
              <w:iCs/>
              <w:sz w:val="22"/>
              <w:szCs w:val="22"/>
              <w:lang w:eastAsia="en-US"/>
            </w:rPr>
            <w:t>26</w:t>
          </w:r>
          <w:r w:rsidRPr="001C1BFF">
            <w:rPr>
              <w:rFonts w:eastAsia="Times New Roman"/>
              <w:i/>
              <w:iCs/>
              <w:sz w:val="22"/>
              <w:szCs w:val="22"/>
              <w:lang w:val="en-US" w:eastAsia="en-US"/>
            </w:rPr>
            <w:t xml:space="preserve"> – 30 September 2022, Budapest, Hungary</w:t>
          </w:r>
        </w:p>
        <w:p w14:paraId="151E1814" w14:textId="3E8E6340" w:rsidR="00943D46" w:rsidRDefault="00943D46" w:rsidP="00506507">
          <w:pPr>
            <w:jc w:val="center"/>
            <w:rPr>
              <w:rFonts w:eastAsia="Times New Roman"/>
              <w:i/>
              <w:iCs/>
              <w:sz w:val="22"/>
              <w:szCs w:val="22"/>
              <w:lang w:val="en-US" w:eastAsia="en-US"/>
            </w:rPr>
          </w:pPr>
        </w:p>
        <w:p w14:paraId="778259A0" w14:textId="6B246D1B" w:rsidR="00943D46" w:rsidRDefault="00943D46" w:rsidP="00506507">
          <w:pPr>
            <w:jc w:val="center"/>
            <w:rPr>
              <w:rFonts w:eastAsia="Times New Roman"/>
              <w:i/>
              <w:iCs/>
              <w:sz w:val="22"/>
              <w:szCs w:val="22"/>
              <w:lang w:val="en-US" w:eastAsia="en-US"/>
            </w:rPr>
          </w:pPr>
          <w:r w:rsidRPr="000C0A4B">
            <w:rPr>
              <w:i/>
              <w:lang w:val="en-US"/>
            </w:rPr>
            <w:t>“</w:t>
          </w:r>
          <w:r w:rsidRPr="000C0A4B">
            <w:rPr>
              <w:bCs/>
              <w:i/>
              <w:sz w:val="22"/>
              <w:szCs w:val="22"/>
              <w:lang w:val="en-US"/>
            </w:rPr>
            <w:t>Strengthening Flyway Conservation in a Changing World</w:t>
          </w:r>
          <w:r w:rsidRPr="000C0A4B">
            <w:rPr>
              <w:i/>
              <w:lang w:val="en-US"/>
            </w:rPr>
            <w:t>”</w:t>
          </w:r>
        </w:p>
        <w:p w14:paraId="6D05EB3C" w14:textId="77777777" w:rsidR="00506507" w:rsidRPr="001C1BFF" w:rsidRDefault="00506507" w:rsidP="00506507">
          <w:pPr>
            <w:jc w:val="center"/>
            <w:rPr>
              <w:rFonts w:eastAsia="Times New Roman"/>
              <w:i/>
              <w:sz w:val="22"/>
              <w:szCs w:val="22"/>
              <w:lang w:val="en-US" w:eastAsia="en-US"/>
            </w:rPr>
          </w:pPr>
        </w:p>
      </w:tc>
    </w:tr>
  </w:tbl>
  <w:p w14:paraId="7E22B160" w14:textId="77777777" w:rsidR="00506507" w:rsidRPr="001C1BFF" w:rsidRDefault="00506507" w:rsidP="00506507">
    <w:pPr>
      <w:tabs>
        <w:tab w:val="center" w:pos="4320"/>
        <w:tab w:val="right" w:pos="8640"/>
      </w:tabs>
      <w:rPr>
        <w:rFonts w:eastAsia="Times New Roman"/>
        <w:lang w:val="en-US" w:eastAsia="en-US"/>
      </w:rPr>
    </w:pPr>
  </w:p>
  <w:p w14:paraId="7C3C405B" w14:textId="77777777" w:rsidR="00506507" w:rsidRDefault="00506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A25D5B"/>
    <w:multiLevelType w:val="hybridMultilevel"/>
    <w:tmpl w:val="EBA089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A2366D"/>
    <w:multiLevelType w:val="hybridMultilevel"/>
    <w:tmpl w:val="1A36EE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73E6A"/>
    <w:multiLevelType w:val="multilevel"/>
    <w:tmpl w:val="322A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4049"/>
    <w:multiLevelType w:val="hybridMultilevel"/>
    <w:tmpl w:val="02A6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E372E"/>
    <w:multiLevelType w:val="hybridMultilevel"/>
    <w:tmpl w:val="4082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9134C"/>
    <w:multiLevelType w:val="hybridMultilevel"/>
    <w:tmpl w:val="E448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522A7"/>
    <w:multiLevelType w:val="hybridMultilevel"/>
    <w:tmpl w:val="231A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A3B0E"/>
    <w:multiLevelType w:val="hybridMultilevel"/>
    <w:tmpl w:val="9096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91A88"/>
    <w:multiLevelType w:val="hybridMultilevel"/>
    <w:tmpl w:val="CCFE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237B5"/>
    <w:multiLevelType w:val="hybridMultilevel"/>
    <w:tmpl w:val="A0A6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015844"/>
    <w:multiLevelType w:val="multilevel"/>
    <w:tmpl w:val="D774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07089"/>
    <w:multiLevelType w:val="hybridMultilevel"/>
    <w:tmpl w:val="D160E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6D6D3D"/>
    <w:multiLevelType w:val="hybridMultilevel"/>
    <w:tmpl w:val="1130C66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0004A9"/>
    <w:multiLevelType w:val="hybridMultilevel"/>
    <w:tmpl w:val="EE66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D1B90"/>
    <w:multiLevelType w:val="hybridMultilevel"/>
    <w:tmpl w:val="481CC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184660"/>
    <w:multiLevelType w:val="hybridMultilevel"/>
    <w:tmpl w:val="8054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12026"/>
    <w:multiLevelType w:val="hybridMultilevel"/>
    <w:tmpl w:val="F88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B6ACF"/>
    <w:multiLevelType w:val="hybridMultilevel"/>
    <w:tmpl w:val="9EF46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9F5EB9"/>
    <w:multiLevelType w:val="hybridMultilevel"/>
    <w:tmpl w:val="7934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03923"/>
    <w:multiLevelType w:val="hybridMultilevel"/>
    <w:tmpl w:val="454C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F42674E"/>
    <w:multiLevelType w:val="multilevel"/>
    <w:tmpl w:val="AE7687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FFE7DE5"/>
    <w:multiLevelType w:val="hybridMultilevel"/>
    <w:tmpl w:val="F6B4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FF5542"/>
    <w:multiLevelType w:val="hybridMultilevel"/>
    <w:tmpl w:val="B14AFC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468732B"/>
    <w:multiLevelType w:val="hybridMultilevel"/>
    <w:tmpl w:val="03648984"/>
    <w:lvl w:ilvl="0" w:tplc="18E699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CC50D6"/>
    <w:multiLevelType w:val="hybridMultilevel"/>
    <w:tmpl w:val="B4B28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3E4BDC"/>
    <w:multiLevelType w:val="multilevel"/>
    <w:tmpl w:val="1314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FC429"/>
    <w:multiLevelType w:val="hybridMultilevel"/>
    <w:tmpl w:val="CC2BF1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A57BA3"/>
    <w:multiLevelType w:val="hybridMultilevel"/>
    <w:tmpl w:val="BB6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571D9"/>
    <w:multiLevelType w:val="multilevel"/>
    <w:tmpl w:val="D9D6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0B5BE8"/>
    <w:multiLevelType w:val="hybridMultilevel"/>
    <w:tmpl w:val="5B8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F79FD"/>
    <w:multiLevelType w:val="hybridMultilevel"/>
    <w:tmpl w:val="26BA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7E3EC5"/>
    <w:multiLevelType w:val="multilevel"/>
    <w:tmpl w:val="2604D62C"/>
    <w:lvl w:ilvl="0">
      <w:start w:val="1"/>
      <w:numFmt w:val="decimal"/>
      <w:lvlText w:val="%1."/>
      <w:lvlJc w:val="left"/>
      <w:pPr>
        <w:ind w:left="862" w:hanging="720"/>
      </w:pPr>
      <w:rPr>
        <w:rFonts w:ascii="Times New Roman" w:hAnsi="Times New Roman" w:cs="Times New Roman" w:hint="default"/>
        <w:b w:val="0"/>
        <w:color w:val="auto"/>
        <w:sz w:val="22"/>
        <w:szCs w:val="22"/>
      </w:rPr>
    </w:lvl>
    <w:lvl w:ilvl="1">
      <w:start w:val="1"/>
      <w:numFmt w:val="decimal"/>
      <w:isLgl/>
      <w:lvlText w:val="%1.%2"/>
      <w:lvlJc w:val="left"/>
      <w:pPr>
        <w:ind w:left="1211"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12" w:hanging="720"/>
      </w:pPr>
      <w:rPr>
        <w:rFonts w:hint="default"/>
      </w:rPr>
    </w:lvl>
    <w:lvl w:ilvl="4">
      <w:start w:val="1"/>
      <w:numFmt w:val="decimal"/>
      <w:isLgl/>
      <w:lvlText w:val="%1.%2.%3.%4.%5"/>
      <w:lvlJc w:val="left"/>
      <w:pPr>
        <w:ind w:left="2932" w:hanging="1080"/>
      </w:pPr>
      <w:rPr>
        <w:rFonts w:hint="default"/>
      </w:rPr>
    </w:lvl>
    <w:lvl w:ilvl="5">
      <w:start w:val="1"/>
      <w:numFmt w:val="decimal"/>
      <w:isLgl/>
      <w:lvlText w:val="%1.%2.%3.%4.%5.%6"/>
      <w:lvlJc w:val="left"/>
      <w:pPr>
        <w:ind w:left="3292" w:hanging="1080"/>
      </w:pPr>
      <w:rPr>
        <w:rFonts w:hint="default"/>
      </w:rPr>
    </w:lvl>
    <w:lvl w:ilvl="6">
      <w:start w:val="1"/>
      <w:numFmt w:val="decimal"/>
      <w:isLgl/>
      <w:lvlText w:val="%1.%2.%3.%4.%5.%6.%7"/>
      <w:lvlJc w:val="left"/>
      <w:pPr>
        <w:ind w:left="4012" w:hanging="1440"/>
      </w:pPr>
      <w:rPr>
        <w:rFonts w:hint="default"/>
      </w:rPr>
    </w:lvl>
    <w:lvl w:ilvl="7">
      <w:start w:val="1"/>
      <w:numFmt w:val="decimal"/>
      <w:isLgl/>
      <w:lvlText w:val="%1.%2.%3.%4.%5.%6.%7.%8"/>
      <w:lvlJc w:val="left"/>
      <w:pPr>
        <w:ind w:left="4372" w:hanging="1440"/>
      </w:pPr>
      <w:rPr>
        <w:rFonts w:hint="default"/>
      </w:rPr>
    </w:lvl>
    <w:lvl w:ilvl="8">
      <w:start w:val="1"/>
      <w:numFmt w:val="decimal"/>
      <w:isLgl/>
      <w:lvlText w:val="%1.%2.%3.%4.%5.%6.%7.%8.%9"/>
      <w:lvlJc w:val="left"/>
      <w:pPr>
        <w:ind w:left="5092" w:hanging="1800"/>
      </w:pPr>
      <w:rPr>
        <w:rFonts w:hint="default"/>
      </w:rPr>
    </w:lvl>
  </w:abstractNum>
  <w:abstractNum w:abstractNumId="33" w15:restartNumberingAfterBreak="0">
    <w:nsid w:val="6AC1342D"/>
    <w:multiLevelType w:val="multilevel"/>
    <w:tmpl w:val="D11E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89378A"/>
    <w:multiLevelType w:val="hybridMultilevel"/>
    <w:tmpl w:val="E18A2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B9F431C"/>
    <w:multiLevelType w:val="hybridMultilevel"/>
    <w:tmpl w:val="A3325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353EAE"/>
    <w:multiLevelType w:val="hybridMultilevel"/>
    <w:tmpl w:val="4654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AE74C0"/>
    <w:multiLevelType w:val="hybridMultilevel"/>
    <w:tmpl w:val="C5D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02DD1"/>
    <w:multiLevelType w:val="multilevel"/>
    <w:tmpl w:val="D9ECE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7"/>
  </w:num>
  <w:num w:numId="3">
    <w:abstractNumId w:val="17"/>
  </w:num>
  <w:num w:numId="4">
    <w:abstractNumId w:val="30"/>
  </w:num>
  <w:num w:numId="5">
    <w:abstractNumId w:val="14"/>
  </w:num>
  <w:num w:numId="6">
    <w:abstractNumId w:val="2"/>
  </w:num>
  <w:num w:numId="7">
    <w:abstractNumId w:val="29"/>
  </w:num>
  <w:num w:numId="8">
    <w:abstractNumId w:val="11"/>
  </w:num>
  <w:num w:numId="9">
    <w:abstractNumId w:val="33"/>
  </w:num>
  <w:num w:numId="10">
    <w:abstractNumId w:val="38"/>
  </w:num>
  <w:num w:numId="11">
    <w:abstractNumId w:val="26"/>
  </w:num>
  <w:num w:numId="12">
    <w:abstractNumId w:val="35"/>
  </w:num>
  <w:num w:numId="13">
    <w:abstractNumId w:val="27"/>
  </w:num>
  <w:num w:numId="14">
    <w:abstractNumId w:val="0"/>
  </w:num>
  <w:num w:numId="15">
    <w:abstractNumId w:val="1"/>
  </w:num>
  <w:num w:numId="16">
    <w:abstractNumId w:val="25"/>
  </w:num>
  <w:num w:numId="17">
    <w:abstractNumId w:val="20"/>
  </w:num>
  <w:num w:numId="18">
    <w:abstractNumId w:val="34"/>
  </w:num>
  <w:num w:numId="19">
    <w:abstractNumId w:val="15"/>
  </w:num>
  <w:num w:numId="20">
    <w:abstractNumId w:val="34"/>
  </w:num>
  <w:num w:numId="21">
    <w:abstractNumId w:val="5"/>
  </w:num>
  <w:num w:numId="22">
    <w:abstractNumId w:val="6"/>
  </w:num>
  <w:num w:numId="23">
    <w:abstractNumId w:val="7"/>
  </w:num>
  <w:num w:numId="24">
    <w:abstractNumId w:val="13"/>
  </w:num>
  <w:num w:numId="25">
    <w:abstractNumId w:val="3"/>
  </w:num>
  <w:num w:numId="26">
    <w:abstractNumId w:val="8"/>
  </w:num>
  <w:num w:numId="27">
    <w:abstractNumId w:val="32"/>
  </w:num>
  <w:num w:numId="28">
    <w:abstractNumId w:val="24"/>
  </w:num>
  <w:num w:numId="29">
    <w:abstractNumId w:val="21"/>
  </w:num>
  <w:num w:numId="30">
    <w:abstractNumId w:val="12"/>
  </w:num>
  <w:num w:numId="31">
    <w:abstractNumId w:val="18"/>
  </w:num>
  <w:num w:numId="32">
    <w:abstractNumId w:val="10"/>
  </w:num>
  <w:num w:numId="33">
    <w:abstractNumId w:val="23"/>
  </w:num>
  <w:num w:numId="34">
    <w:abstractNumId w:val="16"/>
  </w:num>
  <w:num w:numId="35">
    <w:abstractNumId w:val="4"/>
  </w:num>
  <w:num w:numId="36">
    <w:abstractNumId w:val="36"/>
  </w:num>
  <w:num w:numId="37">
    <w:abstractNumId w:val="9"/>
  </w:num>
  <w:num w:numId="38">
    <w:abstractNumId w:val="31"/>
  </w:num>
  <w:num w:numId="39">
    <w:abstractNumId w:val="2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D"/>
    <w:rsid w:val="00000FC2"/>
    <w:rsid w:val="00006FA8"/>
    <w:rsid w:val="00015BE6"/>
    <w:rsid w:val="000268A0"/>
    <w:rsid w:val="00027AA6"/>
    <w:rsid w:val="000352FB"/>
    <w:rsid w:val="000363A7"/>
    <w:rsid w:val="00037A52"/>
    <w:rsid w:val="000451F6"/>
    <w:rsid w:val="000475C9"/>
    <w:rsid w:val="00050415"/>
    <w:rsid w:val="00050DA3"/>
    <w:rsid w:val="00055632"/>
    <w:rsid w:val="000602FE"/>
    <w:rsid w:val="000624EF"/>
    <w:rsid w:val="00073ECE"/>
    <w:rsid w:val="00075841"/>
    <w:rsid w:val="00076932"/>
    <w:rsid w:val="000811CF"/>
    <w:rsid w:val="00083889"/>
    <w:rsid w:val="00084207"/>
    <w:rsid w:val="00091315"/>
    <w:rsid w:val="000A4058"/>
    <w:rsid w:val="000A6E22"/>
    <w:rsid w:val="000B3282"/>
    <w:rsid w:val="000B484E"/>
    <w:rsid w:val="000B4D4F"/>
    <w:rsid w:val="000B63C3"/>
    <w:rsid w:val="000B71DC"/>
    <w:rsid w:val="000B76CF"/>
    <w:rsid w:val="000C0D7E"/>
    <w:rsid w:val="000C54AE"/>
    <w:rsid w:val="000D0D23"/>
    <w:rsid w:val="000D24C6"/>
    <w:rsid w:val="000D332C"/>
    <w:rsid w:val="000D5224"/>
    <w:rsid w:val="000E419E"/>
    <w:rsid w:val="000E7DF8"/>
    <w:rsid w:val="000F42FF"/>
    <w:rsid w:val="000F788D"/>
    <w:rsid w:val="0010003C"/>
    <w:rsid w:val="001015F4"/>
    <w:rsid w:val="001030E3"/>
    <w:rsid w:val="00103865"/>
    <w:rsid w:val="00107FEA"/>
    <w:rsid w:val="00117F29"/>
    <w:rsid w:val="00120B65"/>
    <w:rsid w:val="00122057"/>
    <w:rsid w:val="00123DD0"/>
    <w:rsid w:val="00123F94"/>
    <w:rsid w:val="0012602C"/>
    <w:rsid w:val="001348B7"/>
    <w:rsid w:val="0014676C"/>
    <w:rsid w:val="00147EBC"/>
    <w:rsid w:val="00160269"/>
    <w:rsid w:val="0018194C"/>
    <w:rsid w:val="00184EBF"/>
    <w:rsid w:val="0019103E"/>
    <w:rsid w:val="0019493E"/>
    <w:rsid w:val="00195A01"/>
    <w:rsid w:val="001A19C6"/>
    <w:rsid w:val="001A3F25"/>
    <w:rsid w:val="001B0638"/>
    <w:rsid w:val="001B6E6F"/>
    <w:rsid w:val="001B6EA5"/>
    <w:rsid w:val="001C246D"/>
    <w:rsid w:val="001C3838"/>
    <w:rsid w:val="001D53AB"/>
    <w:rsid w:val="001E1D7A"/>
    <w:rsid w:val="001E6F7F"/>
    <w:rsid w:val="001F0CB3"/>
    <w:rsid w:val="001F44D6"/>
    <w:rsid w:val="001F7BE5"/>
    <w:rsid w:val="00200A45"/>
    <w:rsid w:val="0020128F"/>
    <w:rsid w:val="00211E35"/>
    <w:rsid w:val="002123EC"/>
    <w:rsid w:val="00213A81"/>
    <w:rsid w:val="00215918"/>
    <w:rsid w:val="00224558"/>
    <w:rsid w:val="00227AB7"/>
    <w:rsid w:val="00233FFC"/>
    <w:rsid w:val="002371A2"/>
    <w:rsid w:val="00241C92"/>
    <w:rsid w:val="0024288E"/>
    <w:rsid w:val="00267F27"/>
    <w:rsid w:val="002759C7"/>
    <w:rsid w:val="002762E4"/>
    <w:rsid w:val="00280AEA"/>
    <w:rsid w:val="0028133C"/>
    <w:rsid w:val="00284247"/>
    <w:rsid w:val="00287668"/>
    <w:rsid w:val="002920A4"/>
    <w:rsid w:val="002944B2"/>
    <w:rsid w:val="002A6298"/>
    <w:rsid w:val="002B0F6D"/>
    <w:rsid w:val="002B5E63"/>
    <w:rsid w:val="002B5FE9"/>
    <w:rsid w:val="002C1A12"/>
    <w:rsid w:val="002D0AB7"/>
    <w:rsid w:val="002E6D58"/>
    <w:rsid w:val="002F4F3D"/>
    <w:rsid w:val="00301C7F"/>
    <w:rsid w:val="003041E6"/>
    <w:rsid w:val="0032224B"/>
    <w:rsid w:val="00324FB9"/>
    <w:rsid w:val="00325225"/>
    <w:rsid w:val="00325C28"/>
    <w:rsid w:val="00334B34"/>
    <w:rsid w:val="003467A6"/>
    <w:rsid w:val="00375DC1"/>
    <w:rsid w:val="00375E5E"/>
    <w:rsid w:val="00376FCE"/>
    <w:rsid w:val="003838AB"/>
    <w:rsid w:val="00383BF6"/>
    <w:rsid w:val="00386C9C"/>
    <w:rsid w:val="00387089"/>
    <w:rsid w:val="003A38D8"/>
    <w:rsid w:val="003B0F57"/>
    <w:rsid w:val="003B5746"/>
    <w:rsid w:val="003B65D3"/>
    <w:rsid w:val="003C3A7E"/>
    <w:rsid w:val="003D171C"/>
    <w:rsid w:val="003D25FD"/>
    <w:rsid w:val="003D3979"/>
    <w:rsid w:val="003D403D"/>
    <w:rsid w:val="003D6269"/>
    <w:rsid w:val="003E1AE1"/>
    <w:rsid w:val="003E2CB9"/>
    <w:rsid w:val="003E407A"/>
    <w:rsid w:val="003E4D22"/>
    <w:rsid w:val="003E7399"/>
    <w:rsid w:val="004034C8"/>
    <w:rsid w:val="00411570"/>
    <w:rsid w:val="00413400"/>
    <w:rsid w:val="0042110D"/>
    <w:rsid w:val="00431732"/>
    <w:rsid w:val="00433F4B"/>
    <w:rsid w:val="0043484E"/>
    <w:rsid w:val="00435F9D"/>
    <w:rsid w:val="00446350"/>
    <w:rsid w:val="004539DE"/>
    <w:rsid w:val="00460715"/>
    <w:rsid w:val="00461C0B"/>
    <w:rsid w:val="00477338"/>
    <w:rsid w:val="00477DF9"/>
    <w:rsid w:val="00481013"/>
    <w:rsid w:val="00486204"/>
    <w:rsid w:val="0049097D"/>
    <w:rsid w:val="00492220"/>
    <w:rsid w:val="00496449"/>
    <w:rsid w:val="004968E4"/>
    <w:rsid w:val="004A450A"/>
    <w:rsid w:val="004A5557"/>
    <w:rsid w:val="004A694B"/>
    <w:rsid w:val="004C4702"/>
    <w:rsid w:val="004C5EEF"/>
    <w:rsid w:val="004C70BC"/>
    <w:rsid w:val="004D01EB"/>
    <w:rsid w:val="004D5799"/>
    <w:rsid w:val="004D686D"/>
    <w:rsid w:val="004D6D3F"/>
    <w:rsid w:val="004E047E"/>
    <w:rsid w:val="004E19A7"/>
    <w:rsid w:val="004E406E"/>
    <w:rsid w:val="004E6D32"/>
    <w:rsid w:val="004E7BA8"/>
    <w:rsid w:val="004F659F"/>
    <w:rsid w:val="00504C6D"/>
    <w:rsid w:val="00506507"/>
    <w:rsid w:val="005159D4"/>
    <w:rsid w:val="0052454E"/>
    <w:rsid w:val="00527E41"/>
    <w:rsid w:val="00540F41"/>
    <w:rsid w:val="005424F6"/>
    <w:rsid w:val="005504E4"/>
    <w:rsid w:val="00560D52"/>
    <w:rsid w:val="005632D0"/>
    <w:rsid w:val="005634BB"/>
    <w:rsid w:val="00571B28"/>
    <w:rsid w:val="005816C8"/>
    <w:rsid w:val="005867D6"/>
    <w:rsid w:val="00591B82"/>
    <w:rsid w:val="00595072"/>
    <w:rsid w:val="005A007A"/>
    <w:rsid w:val="005A14F2"/>
    <w:rsid w:val="005A5638"/>
    <w:rsid w:val="005A58BC"/>
    <w:rsid w:val="005B1065"/>
    <w:rsid w:val="005B5A46"/>
    <w:rsid w:val="005B7D42"/>
    <w:rsid w:val="005C2E37"/>
    <w:rsid w:val="005C58EF"/>
    <w:rsid w:val="005C6F88"/>
    <w:rsid w:val="005D18F7"/>
    <w:rsid w:val="005D197C"/>
    <w:rsid w:val="005D30C4"/>
    <w:rsid w:val="005D5DCE"/>
    <w:rsid w:val="005E2A1E"/>
    <w:rsid w:val="005F1238"/>
    <w:rsid w:val="005F5B81"/>
    <w:rsid w:val="005F7185"/>
    <w:rsid w:val="006063D4"/>
    <w:rsid w:val="00613CD5"/>
    <w:rsid w:val="00615458"/>
    <w:rsid w:val="00617602"/>
    <w:rsid w:val="00621810"/>
    <w:rsid w:val="0064065F"/>
    <w:rsid w:val="00642C8E"/>
    <w:rsid w:val="00644718"/>
    <w:rsid w:val="00663BA3"/>
    <w:rsid w:val="00663EE6"/>
    <w:rsid w:val="00664A52"/>
    <w:rsid w:val="00670D94"/>
    <w:rsid w:val="00673982"/>
    <w:rsid w:val="00676E93"/>
    <w:rsid w:val="00677EAB"/>
    <w:rsid w:val="00681726"/>
    <w:rsid w:val="00683668"/>
    <w:rsid w:val="0068378B"/>
    <w:rsid w:val="0068661D"/>
    <w:rsid w:val="00692C69"/>
    <w:rsid w:val="00693898"/>
    <w:rsid w:val="006A16C5"/>
    <w:rsid w:val="006A5164"/>
    <w:rsid w:val="006A6D71"/>
    <w:rsid w:val="006B065C"/>
    <w:rsid w:val="006C1E47"/>
    <w:rsid w:val="006C20AC"/>
    <w:rsid w:val="006C3F14"/>
    <w:rsid w:val="006C5284"/>
    <w:rsid w:val="006D7A21"/>
    <w:rsid w:val="006D7FAF"/>
    <w:rsid w:val="006E381E"/>
    <w:rsid w:val="006E5B6F"/>
    <w:rsid w:val="006E6D10"/>
    <w:rsid w:val="006F2C60"/>
    <w:rsid w:val="006F51CD"/>
    <w:rsid w:val="00704242"/>
    <w:rsid w:val="00711CC6"/>
    <w:rsid w:val="00712B17"/>
    <w:rsid w:val="007140A6"/>
    <w:rsid w:val="007156D5"/>
    <w:rsid w:val="00716286"/>
    <w:rsid w:val="0073126B"/>
    <w:rsid w:val="00732760"/>
    <w:rsid w:val="00735146"/>
    <w:rsid w:val="0074028B"/>
    <w:rsid w:val="00741A07"/>
    <w:rsid w:val="007513CC"/>
    <w:rsid w:val="00755AEC"/>
    <w:rsid w:val="007572B0"/>
    <w:rsid w:val="007722E8"/>
    <w:rsid w:val="00773326"/>
    <w:rsid w:val="00773A77"/>
    <w:rsid w:val="00782F7C"/>
    <w:rsid w:val="00785178"/>
    <w:rsid w:val="00791343"/>
    <w:rsid w:val="007946FA"/>
    <w:rsid w:val="007A3FD8"/>
    <w:rsid w:val="007A5D76"/>
    <w:rsid w:val="007B790D"/>
    <w:rsid w:val="007C25F3"/>
    <w:rsid w:val="007D1C13"/>
    <w:rsid w:val="007E1CB0"/>
    <w:rsid w:val="007F07D8"/>
    <w:rsid w:val="007F1653"/>
    <w:rsid w:val="0080675B"/>
    <w:rsid w:val="0081128E"/>
    <w:rsid w:val="00812147"/>
    <w:rsid w:val="008121CA"/>
    <w:rsid w:val="00812C0B"/>
    <w:rsid w:val="00813E0D"/>
    <w:rsid w:val="00814B14"/>
    <w:rsid w:val="00814C1A"/>
    <w:rsid w:val="0083375B"/>
    <w:rsid w:val="00841B27"/>
    <w:rsid w:val="00844A24"/>
    <w:rsid w:val="0084696F"/>
    <w:rsid w:val="0085398A"/>
    <w:rsid w:val="00855087"/>
    <w:rsid w:val="0085637D"/>
    <w:rsid w:val="0085723A"/>
    <w:rsid w:val="00876131"/>
    <w:rsid w:val="00882F12"/>
    <w:rsid w:val="0088356E"/>
    <w:rsid w:val="00886995"/>
    <w:rsid w:val="00892D98"/>
    <w:rsid w:val="00893B60"/>
    <w:rsid w:val="008A197D"/>
    <w:rsid w:val="008B11F2"/>
    <w:rsid w:val="008B4C32"/>
    <w:rsid w:val="008B4FDB"/>
    <w:rsid w:val="008B557E"/>
    <w:rsid w:val="008D24DC"/>
    <w:rsid w:val="008D68D5"/>
    <w:rsid w:val="008D6AC7"/>
    <w:rsid w:val="008E364F"/>
    <w:rsid w:val="008F0B5E"/>
    <w:rsid w:val="008F0C7F"/>
    <w:rsid w:val="008F1508"/>
    <w:rsid w:val="008F2B7D"/>
    <w:rsid w:val="008F365B"/>
    <w:rsid w:val="00903F19"/>
    <w:rsid w:val="00907558"/>
    <w:rsid w:val="00911443"/>
    <w:rsid w:val="00913C54"/>
    <w:rsid w:val="0091405E"/>
    <w:rsid w:val="00920F56"/>
    <w:rsid w:val="00921E12"/>
    <w:rsid w:val="00925331"/>
    <w:rsid w:val="00925609"/>
    <w:rsid w:val="0093010B"/>
    <w:rsid w:val="009402EE"/>
    <w:rsid w:val="00943D46"/>
    <w:rsid w:val="0094774F"/>
    <w:rsid w:val="00970365"/>
    <w:rsid w:val="00974F6F"/>
    <w:rsid w:val="00976F78"/>
    <w:rsid w:val="00992728"/>
    <w:rsid w:val="00996807"/>
    <w:rsid w:val="009A385D"/>
    <w:rsid w:val="009A71DB"/>
    <w:rsid w:val="009B041A"/>
    <w:rsid w:val="009B4283"/>
    <w:rsid w:val="009B7FCF"/>
    <w:rsid w:val="009C198C"/>
    <w:rsid w:val="009C1CC6"/>
    <w:rsid w:val="009C6087"/>
    <w:rsid w:val="009D0CCA"/>
    <w:rsid w:val="009D2F31"/>
    <w:rsid w:val="009D3988"/>
    <w:rsid w:val="009D3F12"/>
    <w:rsid w:val="009E1303"/>
    <w:rsid w:val="009E2EB4"/>
    <w:rsid w:val="009E3A23"/>
    <w:rsid w:val="009E4227"/>
    <w:rsid w:val="009E48CC"/>
    <w:rsid w:val="009F28F5"/>
    <w:rsid w:val="009F5FCA"/>
    <w:rsid w:val="009F6F95"/>
    <w:rsid w:val="00A01477"/>
    <w:rsid w:val="00A04877"/>
    <w:rsid w:val="00A16F01"/>
    <w:rsid w:val="00A2120C"/>
    <w:rsid w:val="00A2136D"/>
    <w:rsid w:val="00A2448E"/>
    <w:rsid w:val="00A25E67"/>
    <w:rsid w:val="00A2626A"/>
    <w:rsid w:val="00A342CE"/>
    <w:rsid w:val="00A35655"/>
    <w:rsid w:val="00A418E1"/>
    <w:rsid w:val="00A44D13"/>
    <w:rsid w:val="00A45FCC"/>
    <w:rsid w:val="00A46451"/>
    <w:rsid w:val="00A528D9"/>
    <w:rsid w:val="00A56FC9"/>
    <w:rsid w:val="00A62258"/>
    <w:rsid w:val="00A6787F"/>
    <w:rsid w:val="00A679B2"/>
    <w:rsid w:val="00A7330C"/>
    <w:rsid w:val="00A7348C"/>
    <w:rsid w:val="00A81121"/>
    <w:rsid w:val="00A84CA0"/>
    <w:rsid w:val="00A8752A"/>
    <w:rsid w:val="00A9295D"/>
    <w:rsid w:val="00A93A65"/>
    <w:rsid w:val="00A95B4D"/>
    <w:rsid w:val="00A976EF"/>
    <w:rsid w:val="00AB1E85"/>
    <w:rsid w:val="00AC306B"/>
    <w:rsid w:val="00AC7338"/>
    <w:rsid w:val="00AC7FBB"/>
    <w:rsid w:val="00AD483B"/>
    <w:rsid w:val="00AD7C4F"/>
    <w:rsid w:val="00AE22D8"/>
    <w:rsid w:val="00AE3B32"/>
    <w:rsid w:val="00AE42D0"/>
    <w:rsid w:val="00AF3042"/>
    <w:rsid w:val="00AF5AA4"/>
    <w:rsid w:val="00AF648C"/>
    <w:rsid w:val="00AF6677"/>
    <w:rsid w:val="00B02A9D"/>
    <w:rsid w:val="00B054EE"/>
    <w:rsid w:val="00B14CF7"/>
    <w:rsid w:val="00B172C1"/>
    <w:rsid w:val="00B226BD"/>
    <w:rsid w:val="00B264E1"/>
    <w:rsid w:val="00B31737"/>
    <w:rsid w:val="00B34902"/>
    <w:rsid w:val="00B36F60"/>
    <w:rsid w:val="00B53266"/>
    <w:rsid w:val="00B607DC"/>
    <w:rsid w:val="00B7004E"/>
    <w:rsid w:val="00B71D62"/>
    <w:rsid w:val="00B71EDC"/>
    <w:rsid w:val="00B80334"/>
    <w:rsid w:val="00B8704F"/>
    <w:rsid w:val="00BB0531"/>
    <w:rsid w:val="00BB25D6"/>
    <w:rsid w:val="00BC34D8"/>
    <w:rsid w:val="00BC3CC5"/>
    <w:rsid w:val="00BD0773"/>
    <w:rsid w:val="00C10DD9"/>
    <w:rsid w:val="00C11206"/>
    <w:rsid w:val="00C15B85"/>
    <w:rsid w:val="00C1697C"/>
    <w:rsid w:val="00C20DD3"/>
    <w:rsid w:val="00C2366C"/>
    <w:rsid w:val="00C25E9E"/>
    <w:rsid w:val="00C270AA"/>
    <w:rsid w:val="00C370D3"/>
    <w:rsid w:val="00C43232"/>
    <w:rsid w:val="00C44894"/>
    <w:rsid w:val="00C46197"/>
    <w:rsid w:val="00C47665"/>
    <w:rsid w:val="00C51C60"/>
    <w:rsid w:val="00C56898"/>
    <w:rsid w:val="00C60C83"/>
    <w:rsid w:val="00C61742"/>
    <w:rsid w:val="00C62624"/>
    <w:rsid w:val="00C77BCE"/>
    <w:rsid w:val="00C8552C"/>
    <w:rsid w:val="00C85878"/>
    <w:rsid w:val="00CA21A0"/>
    <w:rsid w:val="00CA21FB"/>
    <w:rsid w:val="00CA42F7"/>
    <w:rsid w:val="00CA6F58"/>
    <w:rsid w:val="00CB05D6"/>
    <w:rsid w:val="00CB23FF"/>
    <w:rsid w:val="00CB7CC4"/>
    <w:rsid w:val="00CC09CA"/>
    <w:rsid w:val="00CC1C36"/>
    <w:rsid w:val="00CC2696"/>
    <w:rsid w:val="00CC3255"/>
    <w:rsid w:val="00CC3BB8"/>
    <w:rsid w:val="00CC4EEF"/>
    <w:rsid w:val="00CD08AB"/>
    <w:rsid w:val="00CD37A4"/>
    <w:rsid w:val="00CE0955"/>
    <w:rsid w:val="00CE4699"/>
    <w:rsid w:val="00CE6EF4"/>
    <w:rsid w:val="00CE7F6D"/>
    <w:rsid w:val="00D05633"/>
    <w:rsid w:val="00D11E79"/>
    <w:rsid w:val="00D13674"/>
    <w:rsid w:val="00D14822"/>
    <w:rsid w:val="00D25B18"/>
    <w:rsid w:val="00D319FD"/>
    <w:rsid w:val="00D33291"/>
    <w:rsid w:val="00D45318"/>
    <w:rsid w:val="00D57B29"/>
    <w:rsid w:val="00D60323"/>
    <w:rsid w:val="00D60F6B"/>
    <w:rsid w:val="00D6368B"/>
    <w:rsid w:val="00D66F2B"/>
    <w:rsid w:val="00D71947"/>
    <w:rsid w:val="00D734D7"/>
    <w:rsid w:val="00D825C2"/>
    <w:rsid w:val="00D82DA0"/>
    <w:rsid w:val="00D83F0C"/>
    <w:rsid w:val="00D845FE"/>
    <w:rsid w:val="00D84FB1"/>
    <w:rsid w:val="00D87692"/>
    <w:rsid w:val="00D96B45"/>
    <w:rsid w:val="00DA1C53"/>
    <w:rsid w:val="00DA5AF8"/>
    <w:rsid w:val="00DA5BBF"/>
    <w:rsid w:val="00DC5947"/>
    <w:rsid w:val="00DC63CE"/>
    <w:rsid w:val="00DD664D"/>
    <w:rsid w:val="00DE2140"/>
    <w:rsid w:val="00DF00AB"/>
    <w:rsid w:val="00DF11C6"/>
    <w:rsid w:val="00DF126C"/>
    <w:rsid w:val="00E1163B"/>
    <w:rsid w:val="00E16C1B"/>
    <w:rsid w:val="00E208B5"/>
    <w:rsid w:val="00E217F5"/>
    <w:rsid w:val="00E2703D"/>
    <w:rsid w:val="00E31983"/>
    <w:rsid w:val="00E33D6B"/>
    <w:rsid w:val="00E34C50"/>
    <w:rsid w:val="00E43AD7"/>
    <w:rsid w:val="00E46AA4"/>
    <w:rsid w:val="00E47E0F"/>
    <w:rsid w:val="00E509FE"/>
    <w:rsid w:val="00E548DD"/>
    <w:rsid w:val="00E54A00"/>
    <w:rsid w:val="00E7611D"/>
    <w:rsid w:val="00E801EF"/>
    <w:rsid w:val="00E8198F"/>
    <w:rsid w:val="00E87421"/>
    <w:rsid w:val="00E92B42"/>
    <w:rsid w:val="00E93995"/>
    <w:rsid w:val="00EA4059"/>
    <w:rsid w:val="00EC2069"/>
    <w:rsid w:val="00EC3BE1"/>
    <w:rsid w:val="00EC53F4"/>
    <w:rsid w:val="00ED014C"/>
    <w:rsid w:val="00ED1304"/>
    <w:rsid w:val="00ED172C"/>
    <w:rsid w:val="00ED56CD"/>
    <w:rsid w:val="00EE13AD"/>
    <w:rsid w:val="00EE63D7"/>
    <w:rsid w:val="00EE77CF"/>
    <w:rsid w:val="00EE78E4"/>
    <w:rsid w:val="00EF0502"/>
    <w:rsid w:val="00EF7C54"/>
    <w:rsid w:val="00EF7D5C"/>
    <w:rsid w:val="00F15AAC"/>
    <w:rsid w:val="00F178F6"/>
    <w:rsid w:val="00F21628"/>
    <w:rsid w:val="00F25CC1"/>
    <w:rsid w:val="00F2678C"/>
    <w:rsid w:val="00F415C8"/>
    <w:rsid w:val="00F4182C"/>
    <w:rsid w:val="00F42171"/>
    <w:rsid w:val="00F42AEB"/>
    <w:rsid w:val="00F42E87"/>
    <w:rsid w:val="00F43171"/>
    <w:rsid w:val="00F43727"/>
    <w:rsid w:val="00F443AE"/>
    <w:rsid w:val="00F44A5A"/>
    <w:rsid w:val="00F4784A"/>
    <w:rsid w:val="00F71628"/>
    <w:rsid w:val="00F74405"/>
    <w:rsid w:val="00F82B23"/>
    <w:rsid w:val="00F83EF1"/>
    <w:rsid w:val="00F853BB"/>
    <w:rsid w:val="00F85C5C"/>
    <w:rsid w:val="00F867B3"/>
    <w:rsid w:val="00F9055C"/>
    <w:rsid w:val="00F91FFD"/>
    <w:rsid w:val="00FA2AAA"/>
    <w:rsid w:val="00FB068D"/>
    <w:rsid w:val="00FB20E4"/>
    <w:rsid w:val="00FB5493"/>
    <w:rsid w:val="00FC33EF"/>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A576F3"/>
  <w15:chartTrackingRefBased/>
  <w15:docId w15:val="{73E525A3-E100-4BB5-AB61-ECC7FDE6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07"/>
    <w:rPr>
      <w:rFonts w:ascii="Times New Roman" w:hAnsi="Times New Roman" w:cs="Times New Roman"/>
      <w:sz w:val="24"/>
      <w:szCs w:val="24"/>
      <w:lang w:eastAsia="en-GB"/>
    </w:rPr>
  </w:style>
  <w:style w:type="paragraph" w:styleId="Heading1">
    <w:name w:val="heading 1"/>
    <w:basedOn w:val="Normal"/>
    <w:link w:val="Heading1Char"/>
    <w:qFormat/>
    <w:rsid w:val="00EF050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F0502"/>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EF0502"/>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3E4D2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EF0502"/>
    <w:pPr>
      <w:spacing w:before="100" w:beforeAutospacing="1" w:after="100" w:afterAutospacing="1"/>
      <w:outlineLvl w:val="4"/>
    </w:pPr>
    <w:rPr>
      <w:rFonts w:eastAsia="Times New Roman"/>
      <w:b/>
      <w:bCs/>
      <w:sz w:val="20"/>
      <w:szCs w:val="20"/>
    </w:rPr>
  </w:style>
  <w:style w:type="paragraph" w:styleId="Heading6">
    <w:name w:val="heading 6"/>
    <w:basedOn w:val="Normal"/>
    <w:link w:val="Heading6Char"/>
    <w:uiPriority w:val="9"/>
    <w:qFormat/>
    <w:rsid w:val="00EF0502"/>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28F"/>
    <w:rPr>
      <w:color w:val="0563C1" w:themeColor="hyperlink"/>
      <w:u w:val="single"/>
    </w:rPr>
  </w:style>
  <w:style w:type="paragraph" w:styleId="PlainText">
    <w:name w:val="Plain Text"/>
    <w:basedOn w:val="Normal"/>
    <w:link w:val="PlainTextChar"/>
    <w:uiPriority w:val="99"/>
    <w:unhideWhenUsed/>
    <w:rsid w:val="0020128F"/>
    <w:rPr>
      <w:rFonts w:ascii="Arial" w:hAnsi="Arial" w:cs="Consolas"/>
      <w:sz w:val="20"/>
      <w:szCs w:val="21"/>
    </w:rPr>
  </w:style>
  <w:style w:type="character" w:customStyle="1" w:styleId="PlainTextChar">
    <w:name w:val="Plain Text Char"/>
    <w:basedOn w:val="DefaultParagraphFont"/>
    <w:link w:val="PlainText"/>
    <w:uiPriority w:val="99"/>
    <w:rsid w:val="0020128F"/>
    <w:rPr>
      <w:rFonts w:ascii="Arial" w:hAnsi="Arial" w:cs="Consolas"/>
      <w:sz w:val="20"/>
      <w:szCs w:val="21"/>
    </w:rPr>
  </w:style>
  <w:style w:type="paragraph" w:styleId="Header">
    <w:name w:val="header"/>
    <w:basedOn w:val="Normal"/>
    <w:link w:val="HeaderChar"/>
    <w:uiPriority w:val="99"/>
    <w:unhideWhenUsed/>
    <w:rsid w:val="00DF126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F126C"/>
  </w:style>
  <w:style w:type="paragraph" w:styleId="Footer">
    <w:name w:val="footer"/>
    <w:basedOn w:val="Normal"/>
    <w:link w:val="FooterChar"/>
    <w:uiPriority w:val="99"/>
    <w:unhideWhenUsed/>
    <w:rsid w:val="00DF126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F126C"/>
  </w:style>
  <w:style w:type="character" w:styleId="FollowedHyperlink">
    <w:name w:val="FollowedHyperlink"/>
    <w:basedOn w:val="DefaultParagraphFont"/>
    <w:uiPriority w:val="99"/>
    <w:semiHidden/>
    <w:unhideWhenUsed/>
    <w:rsid w:val="00CE7F6D"/>
    <w:rPr>
      <w:color w:val="954F72" w:themeColor="followedHyperlink"/>
      <w:u w:val="single"/>
    </w:rPr>
  </w:style>
  <w:style w:type="paragraph" w:customStyle="1" w:styleId="Default">
    <w:name w:val="Default"/>
    <w:rsid w:val="000268A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F3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5B"/>
    <w:rPr>
      <w:rFonts w:ascii="Segoe UI" w:hAnsi="Segoe UI" w:cs="Segoe UI"/>
      <w:sz w:val="18"/>
      <w:szCs w:val="18"/>
    </w:rPr>
  </w:style>
  <w:style w:type="character" w:styleId="CommentReference">
    <w:name w:val="annotation reference"/>
    <w:basedOn w:val="DefaultParagraphFont"/>
    <w:uiPriority w:val="99"/>
    <w:semiHidden/>
    <w:unhideWhenUsed/>
    <w:rsid w:val="00741A07"/>
    <w:rPr>
      <w:sz w:val="16"/>
      <w:szCs w:val="16"/>
    </w:rPr>
  </w:style>
  <w:style w:type="paragraph" w:styleId="CommentText">
    <w:name w:val="annotation text"/>
    <w:basedOn w:val="Normal"/>
    <w:link w:val="CommentTextChar"/>
    <w:uiPriority w:val="99"/>
    <w:semiHidden/>
    <w:unhideWhenUsed/>
    <w:rsid w:val="00741A07"/>
    <w:rPr>
      <w:sz w:val="20"/>
      <w:szCs w:val="20"/>
    </w:rPr>
  </w:style>
  <w:style w:type="character" w:customStyle="1" w:styleId="CommentTextChar">
    <w:name w:val="Comment Text Char"/>
    <w:basedOn w:val="DefaultParagraphFont"/>
    <w:link w:val="CommentText"/>
    <w:uiPriority w:val="99"/>
    <w:semiHidden/>
    <w:rsid w:val="00741A0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1A07"/>
    <w:rPr>
      <w:b/>
      <w:bCs/>
    </w:rPr>
  </w:style>
  <w:style w:type="character" w:customStyle="1" w:styleId="CommentSubjectChar">
    <w:name w:val="Comment Subject Char"/>
    <w:basedOn w:val="CommentTextChar"/>
    <w:link w:val="CommentSubject"/>
    <w:uiPriority w:val="99"/>
    <w:semiHidden/>
    <w:rsid w:val="00741A07"/>
    <w:rPr>
      <w:rFonts w:ascii="Times New Roman" w:hAnsi="Times New Roman" w:cs="Times New Roman"/>
      <w:b/>
      <w:bCs/>
      <w:sz w:val="20"/>
      <w:szCs w:val="20"/>
      <w:lang w:eastAsia="en-GB"/>
    </w:rPr>
  </w:style>
  <w:style w:type="paragraph" w:styleId="ListParagraph">
    <w:name w:val="List Paragraph"/>
    <w:basedOn w:val="Normal"/>
    <w:uiPriority w:val="34"/>
    <w:qFormat/>
    <w:rsid w:val="00AF648C"/>
    <w:pPr>
      <w:ind w:left="720"/>
      <w:contextualSpacing/>
    </w:pPr>
  </w:style>
  <w:style w:type="table" w:styleId="TableGrid">
    <w:name w:val="Table Grid"/>
    <w:basedOn w:val="TableNormal"/>
    <w:uiPriority w:val="39"/>
    <w:rsid w:val="00AC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3F25"/>
    <w:rPr>
      <w:b/>
      <w:bCs/>
    </w:rPr>
  </w:style>
  <w:style w:type="character" w:styleId="Emphasis">
    <w:name w:val="Emphasis"/>
    <w:basedOn w:val="DefaultParagraphFont"/>
    <w:uiPriority w:val="20"/>
    <w:qFormat/>
    <w:rsid w:val="001A3F25"/>
    <w:rPr>
      <w:i/>
      <w:iCs/>
    </w:rPr>
  </w:style>
  <w:style w:type="character" w:customStyle="1" w:styleId="Heading1Char">
    <w:name w:val="Heading 1 Char"/>
    <w:basedOn w:val="DefaultParagraphFont"/>
    <w:link w:val="Heading1"/>
    <w:rsid w:val="00EF05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F050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0502"/>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EF050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EF0502"/>
    <w:rPr>
      <w:rFonts w:ascii="Times New Roman" w:eastAsia="Times New Roman" w:hAnsi="Times New Roman" w:cs="Times New Roman"/>
      <w:b/>
      <w:bCs/>
      <w:sz w:val="15"/>
      <w:szCs w:val="15"/>
      <w:lang w:eastAsia="en-GB"/>
    </w:rPr>
  </w:style>
  <w:style w:type="character" w:customStyle="1" w:styleId="fn">
    <w:name w:val="fn"/>
    <w:basedOn w:val="DefaultParagraphFont"/>
    <w:rsid w:val="00EF0502"/>
  </w:style>
  <w:style w:type="paragraph" w:customStyle="1" w:styleId="role">
    <w:name w:val="role"/>
    <w:basedOn w:val="Normal"/>
    <w:rsid w:val="00EF0502"/>
    <w:pPr>
      <w:spacing w:before="100" w:beforeAutospacing="1" w:after="100" w:afterAutospacing="1"/>
    </w:pPr>
    <w:rPr>
      <w:rFonts w:eastAsia="Times New Roman"/>
    </w:rPr>
  </w:style>
  <w:style w:type="paragraph" w:styleId="NormalWeb">
    <w:name w:val="Normal (Web)"/>
    <w:basedOn w:val="Normal"/>
    <w:uiPriority w:val="99"/>
    <w:semiHidden/>
    <w:unhideWhenUsed/>
    <w:rsid w:val="00EF0502"/>
    <w:pPr>
      <w:spacing w:before="100" w:beforeAutospacing="1" w:after="100" w:afterAutospacing="1"/>
    </w:pPr>
    <w:rPr>
      <w:rFonts w:eastAsia="Times New Roman"/>
    </w:rPr>
  </w:style>
  <w:style w:type="paragraph" w:customStyle="1" w:styleId="disclosure-logo">
    <w:name w:val="disclosure-logo"/>
    <w:basedOn w:val="Normal"/>
    <w:rsid w:val="00EF0502"/>
    <w:pPr>
      <w:spacing w:before="100" w:beforeAutospacing="1" w:after="100" w:afterAutospacing="1"/>
    </w:pPr>
    <w:rPr>
      <w:rFonts w:eastAsia="Times New Roman"/>
    </w:rPr>
  </w:style>
  <w:style w:type="paragraph" w:customStyle="1" w:styleId="funding-statement">
    <w:name w:val="funding-statement"/>
    <w:basedOn w:val="Normal"/>
    <w:rsid w:val="00EF0502"/>
    <w:pPr>
      <w:spacing w:before="100" w:beforeAutospacing="1" w:after="100" w:afterAutospacing="1"/>
    </w:pPr>
    <w:rPr>
      <w:rFonts w:eastAsia="Times New Roman"/>
    </w:rPr>
  </w:style>
  <w:style w:type="character" w:customStyle="1" w:styleId="data-count">
    <w:name w:val="data-count"/>
    <w:basedOn w:val="DefaultParagraphFont"/>
    <w:rsid w:val="00EF0502"/>
  </w:style>
  <w:style w:type="character" w:customStyle="1" w:styleId="Caption1">
    <w:name w:val="Caption1"/>
    <w:basedOn w:val="DefaultParagraphFont"/>
    <w:rsid w:val="00EF0502"/>
  </w:style>
  <w:style w:type="character" w:customStyle="1" w:styleId="source">
    <w:name w:val="source"/>
    <w:basedOn w:val="DefaultParagraphFont"/>
    <w:rsid w:val="00EF0502"/>
  </w:style>
  <w:style w:type="paragraph" w:customStyle="1" w:styleId="muitypography-root-422">
    <w:name w:val="muitypography-root-422"/>
    <w:basedOn w:val="Normal"/>
    <w:rsid w:val="00EF0502"/>
    <w:pPr>
      <w:spacing w:before="100" w:beforeAutospacing="1" w:after="100" w:afterAutospacing="1"/>
    </w:pPr>
    <w:rPr>
      <w:rFonts w:eastAsia="Times New Roman"/>
    </w:rPr>
  </w:style>
  <w:style w:type="character" w:customStyle="1" w:styleId="comment-count">
    <w:name w:val="comment-count"/>
    <w:basedOn w:val="DefaultParagraphFont"/>
    <w:rsid w:val="00EF0502"/>
  </w:style>
  <w:style w:type="character" w:customStyle="1" w:styleId="name">
    <w:name w:val="name"/>
    <w:basedOn w:val="DefaultParagraphFont"/>
    <w:rsid w:val="00EF0502"/>
  </w:style>
  <w:style w:type="character" w:customStyle="1" w:styleId="location">
    <w:name w:val="location"/>
    <w:basedOn w:val="DefaultParagraphFont"/>
    <w:rsid w:val="00EF0502"/>
  </w:style>
  <w:style w:type="character" w:customStyle="1" w:styleId="action">
    <w:name w:val="action"/>
    <w:basedOn w:val="DefaultParagraphFont"/>
    <w:rsid w:val="00EF0502"/>
  </w:style>
  <w:style w:type="character" w:styleId="FootnoteReference">
    <w:name w:val="footnote reference"/>
    <w:uiPriority w:val="99"/>
    <w:rsid w:val="0024288E"/>
    <w:rPr>
      <w:vertAlign w:val="superscript"/>
    </w:rPr>
  </w:style>
  <w:style w:type="paragraph" w:styleId="FootnoteText">
    <w:name w:val="footnote text"/>
    <w:basedOn w:val="Normal"/>
    <w:link w:val="FootnoteTextChar"/>
    <w:uiPriority w:val="99"/>
    <w:rsid w:val="0024288E"/>
    <w:rPr>
      <w:rFonts w:eastAsia="Times New Roman"/>
      <w:sz w:val="22"/>
      <w:szCs w:val="20"/>
      <w:lang w:val="en-US" w:eastAsia="en-US"/>
    </w:rPr>
  </w:style>
  <w:style w:type="character" w:customStyle="1" w:styleId="FootnoteTextChar">
    <w:name w:val="Footnote Text Char"/>
    <w:basedOn w:val="DefaultParagraphFont"/>
    <w:link w:val="FootnoteText"/>
    <w:uiPriority w:val="99"/>
    <w:rsid w:val="0024288E"/>
    <w:rPr>
      <w:rFonts w:ascii="Times New Roman" w:eastAsia="Times New Roman" w:hAnsi="Times New Roman" w:cs="Times New Roman"/>
      <w:szCs w:val="20"/>
      <w:lang w:val="en-US"/>
    </w:rPr>
  </w:style>
  <w:style w:type="character" w:customStyle="1" w:styleId="UnresolvedMention1">
    <w:name w:val="Unresolved Mention1"/>
    <w:basedOn w:val="DefaultParagraphFont"/>
    <w:uiPriority w:val="99"/>
    <w:semiHidden/>
    <w:unhideWhenUsed/>
    <w:rsid w:val="006A5164"/>
    <w:rPr>
      <w:color w:val="605E5C"/>
      <w:shd w:val="clear" w:color="auto" w:fill="E1DFDD"/>
    </w:rPr>
  </w:style>
  <w:style w:type="paragraph" w:styleId="BodyText3">
    <w:name w:val="Body Text 3"/>
    <w:basedOn w:val="Normal"/>
    <w:link w:val="BodyText3Char"/>
    <w:uiPriority w:val="99"/>
    <w:rsid w:val="007722E8"/>
    <w:pPr>
      <w:jc w:val="center"/>
    </w:pPr>
    <w:rPr>
      <w:rFonts w:eastAsia="Times New Roman"/>
      <w:b/>
      <w:bCs/>
      <w:sz w:val="28"/>
      <w:lang w:eastAsia="de-DE"/>
    </w:rPr>
  </w:style>
  <w:style w:type="character" w:customStyle="1" w:styleId="BodyText3Char">
    <w:name w:val="Body Text 3 Char"/>
    <w:basedOn w:val="DefaultParagraphFont"/>
    <w:link w:val="BodyText3"/>
    <w:uiPriority w:val="99"/>
    <w:rsid w:val="007722E8"/>
    <w:rPr>
      <w:rFonts w:ascii="Times New Roman" w:eastAsia="Times New Roman" w:hAnsi="Times New Roman" w:cs="Times New Roman"/>
      <w:b/>
      <w:bCs/>
      <w:sz w:val="28"/>
      <w:szCs w:val="24"/>
      <w:lang w:eastAsia="de-DE"/>
    </w:rPr>
  </w:style>
  <w:style w:type="character" w:customStyle="1" w:styleId="markedcontent">
    <w:name w:val="markedcontent"/>
    <w:basedOn w:val="DefaultParagraphFont"/>
    <w:rsid w:val="007722E8"/>
  </w:style>
  <w:style w:type="character" w:customStyle="1" w:styleId="UnresolvedMention2">
    <w:name w:val="Unresolved Mention2"/>
    <w:basedOn w:val="DefaultParagraphFont"/>
    <w:uiPriority w:val="99"/>
    <w:semiHidden/>
    <w:unhideWhenUsed/>
    <w:rsid w:val="003B0F57"/>
    <w:rPr>
      <w:color w:val="605E5C"/>
      <w:shd w:val="clear" w:color="auto" w:fill="E1DFDD"/>
    </w:rPr>
  </w:style>
  <w:style w:type="character" w:customStyle="1" w:styleId="Heading4Char">
    <w:name w:val="Heading 4 Char"/>
    <w:basedOn w:val="DefaultParagraphFont"/>
    <w:link w:val="Heading4"/>
    <w:uiPriority w:val="9"/>
    <w:rsid w:val="003E4D22"/>
    <w:rPr>
      <w:rFonts w:asciiTheme="majorHAnsi" w:eastAsiaTheme="majorEastAsia" w:hAnsiTheme="majorHAnsi" w:cstheme="majorBidi"/>
      <w:i/>
      <w:iCs/>
      <w:color w:val="2E74B5" w:themeColor="accent1" w:themeShade="BF"/>
      <w:sz w:val="24"/>
      <w:szCs w:val="24"/>
      <w:lang w:eastAsia="en-GB"/>
    </w:rPr>
  </w:style>
  <w:style w:type="paragraph" w:styleId="TOCHeading">
    <w:name w:val="TOC Heading"/>
    <w:basedOn w:val="Heading1"/>
    <w:next w:val="Normal"/>
    <w:uiPriority w:val="39"/>
    <w:unhideWhenUsed/>
    <w:qFormat/>
    <w:rsid w:val="00E1163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E1163B"/>
    <w:pPr>
      <w:spacing w:after="100"/>
    </w:pPr>
  </w:style>
  <w:style w:type="paragraph" w:styleId="BodyText">
    <w:name w:val="Body Text"/>
    <w:basedOn w:val="Normal"/>
    <w:link w:val="BodyTextChar"/>
    <w:uiPriority w:val="99"/>
    <w:semiHidden/>
    <w:unhideWhenUsed/>
    <w:rsid w:val="001C3838"/>
    <w:pPr>
      <w:spacing w:after="120"/>
    </w:pPr>
  </w:style>
  <w:style w:type="character" w:customStyle="1" w:styleId="BodyTextChar">
    <w:name w:val="Body Text Char"/>
    <w:basedOn w:val="DefaultParagraphFont"/>
    <w:link w:val="BodyText"/>
    <w:uiPriority w:val="99"/>
    <w:semiHidden/>
    <w:rsid w:val="001C3838"/>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4386">
      <w:bodyDiv w:val="1"/>
      <w:marLeft w:val="0"/>
      <w:marRight w:val="0"/>
      <w:marTop w:val="0"/>
      <w:marBottom w:val="0"/>
      <w:divBdr>
        <w:top w:val="none" w:sz="0" w:space="0" w:color="auto"/>
        <w:left w:val="none" w:sz="0" w:space="0" w:color="auto"/>
        <w:bottom w:val="none" w:sz="0" w:space="0" w:color="auto"/>
        <w:right w:val="none" w:sz="0" w:space="0" w:color="auto"/>
      </w:divBdr>
    </w:div>
    <w:div w:id="115948530">
      <w:bodyDiv w:val="1"/>
      <w:marLeft w:val="0"/>
      <w:marRight w:val="0"/>
      <w:marTop w:val="0"/>
      <w:marBottom w:val="0"/>
      <w:divBdr>
        <w:top w:val="none" w:sz="0" w:space="0" w:color="auto"/>
        <w:left w:val="none" w:sz="0" w:space="0" w:color="auto"/>
        <w:bottom w:val="none" w:sz="0" w:space="0" w:color="auto"/>
        <w:right w:val="none" w:sz="0" w:space="0" w:color="auto"/>
      </w:divBdr>
    </w:div>
    <w:div w:id="124854396">
      <w:bodyDiv w:val="1"/>
      <w:marLeft w:val="0"/>
      <w:marRight w:val="0"/>
      <w:marTop w:val="0"/>
      <w:marBottom w:val="0"/>
      <w:divBdr>
        <w:top w:val="none" w:sz="0" w:space="0" w:color="auto"/>
        <w:left w:val="none" w:sz="0" w:space="0" w:color="auto"/>
        <w:bottom w:val="none" w:sz="0" w:space="0" w:color="auto"/>
        <w:right w:val="none" w:sz="0" w:space="0" w:color="auto"/>
      </w:divBdr>
      <w:divsChild>
        <w:div w:id="1064336930">
          <w:marLeft w:val="0"/>
          <w:marRight w:val="0"/>
          <w:marTop w:val="0"/>
          <w:marBottom w:val="0"/>
          <w:divBdr>
            <w:top w:val="none" w:sz="0" w:space="0" w:color="auto"/>
            <w:left w:val="none" w:sz="0" w:space="0" w:color="auto"/>
            <w:bottom w:val="none" w:sz="0" w:space="0" w:color="auto"/>
            <w:right w:val="none" w:sz="0" w:space="0" w:color="auto"/>
          </w:divBdr>
          <w:divsChild>
            <w:div w:id="1414472004">
              <w:marLeft w:val="0"/>
              <w:marRight w:val="0"/>
              <w:marTop w:val="0"/>
              <w:marBottom w:val="0"/>
              <w:divBdr>
                <w:top w:val="none" w:sz="0" w:space="0" w:color="auto"/>
                <w:left w:val="none" w:sz="0" w:space="0" w:color="auto"/>
                <w:bottom w:val="none" w:sz="0" w:space="0" w:color="auto"/>
                <w:right w:val="none" w:sz="0" w:space="0" w:color="auto"/>
              </w:divBdr>
              <w:divsChild>
                <w:div w:id="159393190">
                  <w:marLeft w:val="0"/>
                  <w:marRight w:val="0"/>
                  <w:marTop w:val="0"/>
                  <w:marBottom w:val="0"/>
                  <w:divBdr>
                    <w:top w:val="none" w:sz="0" w:space="0" w:color="auto"/>
                    <w:left w:val="none" w:sz="0" w:space="0" w:color="auto"/>
                    <w:bottom w:val="none" w:sz="0" w:space="0" w:color="auto"/>
                    <w:right w:val="none" w:sz="0" w:space="0" w:color="auto"/>
                  </w:divBdr>
                  <w:divsChild>
                    <w:div w:id="1396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6996">
          <w:marLeft w:val="0"/>
          <w:marRight w:val="0"/>
          <w:marTop w:val="0"/>
          <w:marBottom w:val="0"/>
          <w:divBdr>
            <w:top w:val="none" w:sz="0" w:space="0" w:color="auto"/>
            <w:left w:val="none" w:sz="0" w:space="0" w:color="auto"/>
            <w:bottom w:val="none" w:sz="0" w:space="0" w:color="auto"/>
            <w:right w:val="none" w:sz="0" w:space="0" w:color="auto"/>
          </w:divBdr>
          <w:divsChild>
            <w:div w:id="1841852779">
              <w:marLeft w:val="0"/>
              <w:marRight w:val="0"/>
              <w:marTop w:val="0"/>
              <w:marBottom w:val="0"/>
              <w:divBdr>
                <w:top w:val="none" w:sz="0" w:space="0" w:color="auto"/>
                <w:left w:val="none" w:sz="0" w:space="0" w:color="auto"/>
                <w:bottom w:val="none" w:sz="0" w:space="0" w:color="auto"/>
                <w:right w:val="none" w:sz="0" w:space="0" w:color="auto"/>
              </w:divBdr>
              <w:divsChild>
                <w:div w:id="20283083">
                  <w:marLeft w:val="0"/>
                  <w:marRight w:val="0"/>
                  <w:marTop w:val="0"/>
                  <w:marBottom w:val="0"/>
                  <w:divBdr>
                    <w:top w:val="none" w:sz="0" w:space="0" w:color="auto"/>
                    <w:left w:val="none" w:sz="0" w:space="0" w:color="auto"/>
                    <w:bottom w:val="none" w:sz="0" w:space="0" w:color="auto"/>
                    <w:right w:val="none" w:sz="0" w:space="0" w:color="auto"/>
                  </w:divBdr>
                </w:div>
                <w:div w:id="917132667">
                  <w:marLeft w:val="0"/>
                  <w:marRight w:val="0"/>
                  <w:marTop w:val="0"/>
                  <w:marBottom w:val="0"/>
                  <w:divBdr>
                    <w:top w:val="none" w:sz="0" w:space="0" w:color="auto"/>
                    <w:left w:val="none" w:sz="0" w:space="0" w:color="auto"/>
                    <w:bottom w:val="none" w:sz="0" w:space="0" w:color="auto"/>
                    <w:right w:val="none" w:sz="0" w:space="0" w:color="auto"/>
                  </w:divBdr>
                  <w:divsChild>
                    <w:div w:id="38669734">
                      <w:marLeft w:val="0"/>
                      <w:marRight w:val="0"/>
                      <w:marTop w:val="0"/>
                      <w:marBottom w:val="0"/>
                      <w:divBdr>
                        <w:top w:val="none" w:sz="0" w:space="0" w:color="auto"/>
                        <w:left w:val="none" w:sz="0" w:space="0" w:color="auto"/>
                        <w:bottom w:val="none" w:sz="0" w:space="0" w:color="auto"/>
                        <w:right w:val="none" w:sz="0" w:space="0" w:color="auto"/>
                      </w:divBdr>
                      <w:divsChild>
                        <w:div w:id="354962878">
                          <w:marLeft w:val="0"/>
                          <w:marRight w:val="0"/>
                          <w:marTop w:val="0"/>
                          <w:marBottom w:val="0"/>
                          <w:divBdr>
                            <w:top w:val="none" w:sz="0" w:space="0" w:color="auto"/>
                            <w:left w:val="none" w:sz="0" w:space="0" w:color="auto"/>
                            <w:bottom w:val="none" w:sz="0" w:space="0" w:color="auto"/>
                            <w:right w:val="none" w:sz="0" w:space="0" w:color="auto"/>
                          </w:divBdr>
                          <w:divsChild>
                            <w:div w:id="19256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639455">
          <w:marLeft w:val="0"/>
          <w:marRight w:val="0"/>
          <w:marTop w:val="0"/>
          <w:marBottom w:val="0"/>
          <w:divBdr>
            <w:top w:val="none" w:sz="0" w:space="0" w:color="auto"/>
            <w:left w:val="none" w:sz="0" w:space="0" w:color="auto"/>
            <w:bottom w:val="none" w:sz="0" w:space="0" w:color="auto"/>
            <w:right w:val="none" w:sz="0" w:space="0" w:color="auto"/>
          </w:divBdr>
          <w:divsChild>
            <w:div w:id="1743289576">
              <w:marLeft w:val="0"/>
              <w:marRight w:val="0"/>
              <w:marTop w:val="0"/>
              <w:marBottom w:val="0"/>
              <w:divBdr>
                <w:top w:val="none" w:sz="0" w:space="0" w:color="auto"/>
                <w:left w:val="none" w:sz="0" w:space="0" w:color="auto"/>
                <w:bottom w:val="none" w:sz="0" w:space="0" w:color="auto"/>
                <w:right w:val="none" w:sz="0" w:space="0" w:color="auto"/>
              </w:divBdr>
            </w:div>
            <w:div w:id="1378507501">
              <w:marLeft w:val="0"/>
              <w:marRight w:val="0"/>
              <w:marTop w:val="0"/>
              <w:marBottom w:val="0"/>
              <w:divBdr>
                <w:top w:val="none" w:sz="0" w:space="0" w:color="auto"/>
                <w:left w:val="none" w:sz="0" w:space="0" w:color="auto"/>
                <w:bottom w:val="none" w:sz="0" w:space="0" w:color="auto"/>
                <w:right w:val="none" w:sz="0" w:space="0" w:color="auto"/>
              </w:divBdr>
              <w:divsChild>
                <w:div w:id="1525746414">
                  <w:marLeft w:val="0"/>
                  <w:marRight w:val="0"/>
                  <w:marTop w:val="0"/>
                  <w:marBottom w:val="0"/>
                  <w:divBdr>
                    <w:top w:val="none" w:sz="0" w:space="0" w:color="auto"/>
                    <w:left w:val="none" w:sz="0" w:space="0" w:color="auto"/>
                    <w:bottom w:val="none" w:sz="0" w:space="0" w:color="auto"/>
                    <w:right w:val="none" w:sz="0" w:space="0" w:color="auto"/>
                  </w:divBdr>
                  <w:divsChild>
                    <w:div w:id="1948999322">
                      <w:marLeft w:val="0"/>
                      <w:marRight w:val="0"/>
                      <w:marTop w:val="0"/>
                      <w:marBottom w:val="0"/>
                      <w:divBdr>
                        <w:top w:val="none" w:sz="0" w:space="0" w:color="auto"/>
                        <w:left w:val="none" w:sz="0" w:space="0" w:color="auto"/>
                        <w:bottom w:val="none" w:sz="0" w:space="0" w:color="auto"/>
                        <w:right w:val="none" w:sz="0" w:space="0" w:color="auto"/>
                      </w:divBdr>
                      <w:divsChild>
                        <w:div w:id="325716395">
                          <w:marLeft w:val="0"/>
                          <w:marRight w:val="0"/>
                          <w:marTop w:val="0"/>
                          <w:marBottom w:val="0"/>
                          <w:divBdr>
                            <w:top w:val="none" w:sz="0" w:space="0" w:color="auto"/>
                            <w:left w:val="none" w:sz="0" w:space="0" w:color="auto"/>
                            <w:bottom w:val="none" w:sz="0" w:space="0" w:color="auto"/>
                            <w:right w:val="none" w:sz="0" w:space="0" w:color="auto"/>
                          </w:divBdr>
                          <w:divsChild>
                            <w:div w:id="2246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61364">
          <w:marLeft w:val="0"/>
          <w:marRight w:val="0"/>
          <w:marTop w:val="0"/>
          <w:marBottom w:val="0"/>
          <w:divBdr>
            <w:top w:val="none" w:sz="0" w:space="0" w:color="auto"/>
            <w:left w:val="none" w:sz="0" w:space="0" w:color="auto"/>
            <w:bottom w:val="none" w:sz="0" w:space="0" w:color="auto"/>
            <w:right w:val="none" w:sz="0" w:space="0" w:color="auto"/>
          </w:divBdr>
          <w:divsChild>
            <w:div w:id="1227181207">
              <w:marLeft w:val="0"/>
              <w:marRight w:val="0"/>
              <w:marTop w:val="0"/>
              <w:marBottom w:val="0"/>
              <w:divBdr>
                <w:top w:val="none" w:sz="0" w:space="0" w:color="auto"/>
                <w:left w:val="none" w:sz="0" w:space="0" w:color="auto"/>
                <w:bottom w:val="none" w:sz="0" w:space="0" w:color="auto"/>
                <w:right w:val="none" w:sz="0" w:space="0" w:color="auto"/>
              </w:divBdr>
            </w:div>
            <w:div w:id="1082142315">
              <w:marLeft w:val="0"/>
              <w:marRight w:val="0"/>
              <w:marTop w:val="0"/>
              <w:marBottom w:val="0"/>
              <w:divBdr>
                <w:top w:val="none" w:sz="0" w:space="0" w:color="auto"/>
                <w:left w:val="none" w:sz="0" w:space="0" w:color="auto"/>
                <w:bottom w:val="none" w:sz="0" w:space="0" w:color="auto"/>
                <w:right w:val="none" w:sz="0" w:space="0" w:color="auto"/>
              </w:divBdr>
            </w:div>
          </w:divsChild>
        </w:div>
        <w:div w:id="608272213">
          <w:marLeft w:val="0"/>
          <w:marRight w:val="0"/>
          <w:marTop w:val="0"/>
          <w:marBottom w:val="0"/>
          <w:divBdr>
            <w:top w:val="none" w:sz="0" w:space="0" w:color="auto"/>
            <w:left w:val="none" w:sz="0" w:space="0" w:color="auto"/>
            <w:bottom w:val="none" w:sz="0" w:space="0" w:color="auto"/>
            <w:right w:val="none" w:sz="0" w:space="0" w:color="auto"/>
          </w:divBdr>
          <w:divsChild>
            <w:div w:id="806166284">
              <w:marLeft w:val="0"/>
              <w:marRight w:val="0"/>
              <w:marTop w:val="0"/>
              <w:marBottom w:val="0"/>
              <w:divBdr>
                <w:top w:val="none" w:sz="0" w:space="0" w:color="auto"/>
                <w:left w:val="none" w:sz="0" w:space="0" w:color="auto"/>
                <w:bottom w:val="none" w:sz="0" w:space="0" w:color="auto"/>
                <w:right w:val="none" w:sz="0" w:space="0" w:color="auto"/>
              </w:divBdr>
              <w:divsChild>
                <w:div w:id="4374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5245">
          <w:marLeft w:val="0"/>
          <w:marRight w:val="0"/>
          <w:marTop w:val="0"/>
          <w:marBottom w:val="0"/>
          <w:divBdr>
            <w:top w:val="none" w:sz="0" w:space="0" w:color="auto"/>
            <w:left w:val="none" w:sz="0" w:space="0" w:color="auto"/>
            <w:bottom w:val="none" w:sz="0" w:space="0" w:color="auto"/>
            <w:right w:val="none" w:sz="0" w:space="0" w:color="auto"/>
          </w:divBdr>
          <w:divsChild>
            <w:div w:id="643705640">
              <w:marLeft w:val="0"/>
              <w:marRight w:val="0"/>
              <w:marTop w:val="0"/>
              <w:marBottom w:val="0"/>
              <w:divBdr>
                <w:top w:val="none" w:sz="0" w:space="0" w:color="auto"/>
                <w:left w:val="none" w:sz="0" w:space="0" w:color="auto"/>
                <w:bottom w:val="none" w:sz="0" w:space="0" w:color="auto"/>
                <w:right w:val="none" w:sz="0" w:space="0" w:color="auto"/>
              </w:divBdr>
              <w:divsChild>
                <w:div w:id="39014693">
                  <w:marLeft w:val="0"/>
                  <w:marRight w:val="0"/>
                  <w:marTop w:val="0"/>
                  <w:marBottom w:val="0"/>
                  <w:divBdr>
                    <w:top w:val="none" w:sz="0" w:space="0" w:color="auto"/>
                    <w:left w:val="none" w:sz="0" w:space="0" w:color="auto"/>
                    <w:bottom w:val="none" w:sz="0" w:space="0" w:color="auto"/>
                    <w:right w:val="none" w:sz="0" w:space="0" w:color="auto"/>
                  </w:divBdr>
                  <w:divsChild>
                    <w:div w:id="53090806">
                      <w:marLeft w:val="0"/>
                      <w:marRight w:val="0"/>
                      <w:marTop w:val="0"/>
                      <w:marBottom w:val="0"/>
                      <w:divBdr>
                        <w:top w:val="none" w:sz="0" w:space="0" w:color="auto"/>
                        <w:left w:val="none" w:sz="0" w:space="0" w:color="auto"/>
                        <w:bottom w:val="none" w:sz="0" w:space="0" w:color="auto"/>
                        <w:right w:val="none" w:sz="0" w:space="0" w:color="auto"/>
                      </w:divBdr>
                      <w:divsChild>
                        <w:div w:id="360009378">
                          <w:marLeft w:val="0"/>
                          <w:marRight w:val="0"/>
                          <w:marTop w:val="0"/>
                          <w:marBottom w:val="0"/>
                          <w:divBdr>
                            <w:top w:val="none" w:sz="0" w:space="0" w:color="auto"/>
                            <w:left w:val="none" w:sz="0" w:space="0" w:color="auto"/>
                            <w:bottom w:val="none" w:sz="0" w:space="0" w:color="auto"/>
                            <w:right w:val="none" w:sz="0" w:space="0" w:color="auto"/>
                          </w:divBdr>
                        </w:div>
                        <w:div w:id="1211722970">
                          <w:marLeft w:val="0"/>
                          <w:marRight w:val="0"/>
                          <w:marTop w:val="0"/>
                          <w:marBottom w:val="0"/>
                          <w:divBdr>
                            <w:top w:val="none" w:sz="0" w:space="0" w:color="auto"/>
                            <w:left w:val="none" w:sz="0" w:space="0" w:color="auto"/>
                            <w:bottom w:val="none" w:sz="0" w:space="0" w:color="auto"/>
                            <w:right w:val="none" w:sz="0" w:space="0" w:color="auto"/>
                          </w:divBdr>
                        </w:div>
                        <w:div w:id="443422341">
                          <w:marLeft w:val="0"/>
                          <w:marRight w:val="0"/>
                          <w:marTop w:val="0"/>
                          <w:marBottom w:val="0"/>
                          <w:divBdr>
                            <w:top w:val="none" w:sz="0" w:space="0" w:color="auto"/>
                            <w:left w:val="none" w:sz="0" w:space="0" w:color="auto"/>
                            <w:bottom w:val="none" w:sz="0" w:space="0" w:color="auto"/>
                            <w:right w:val="none" w:sz="0" w:space="0" w:color="auto"/>
                          </w:divBdr>
                        </w:div>
                        <w:div w:id="21057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42171">
          <w:marLeft w:val="0"/>
          <w:marRight w:val="0"/>
          <w:marTop w:val="0"/>
          <w:marBottom w:val="0"/>
          <w:divBdr>
            <w:top w:val="none" w:sz="0" w:space="0" w:color="auto"/>
            <w:left w:val="none" w:sz="0" w:space="0" w:color="auto"/>
            <w:bottom w:val="none" w:sz="0" w:space="0" w:color="auto"/>
            <w:right w:val="none" w:sz="0" w:space="0" w:color="auto"/>
          </w:divBdr>
          <w:divsChild>
            <w:div w:id="377434017">
              <w:marLeft w:val="0"/>
              <w:marRight w:val="0"/>
              <w:marTop w:val="0"/>
              <w:marBottom w:val="0"/>
              <w:divBdr>
                <w:top w:val="none" w:sz="0" w:space="0" w:color="auto"/>
                <w:left w:val="none" w:sz="0" w:space="0" w:color="auto"/>
                <w:bottom w:val="none" w:sz="0" w:space="0" w:color="auto"/>
                <w:right w:val="none" w:sz="0" w:space="0" w:color="auto"/>
              </w:divBdr>
              <w:divsChild>
                <w:div w:id="953487713">
                  <w:marLeft w:val="0"/>
                  <w:marRight w:val="0"/>
                  <w:marTop w:val="0"/>
                  <w:marBottom w:val="0"/>
                  <w:divBdr>
                    <w:top w:val="none" w:sz="0" w:space="0" w:color="auto"/>
                    <w:left w:val="none" w:sz="0" w:space="0" w:color="auto"/>
                    <w:bottom w:val="none" w:sz="0" w:space="0" w:color="auto"/>
                    <w:right w:val="none" w:sz="0" w:space="0" w:color="auto"/>
                  </w:divBdr>
                  <w:divsChild>
                    <w:div w:id="458843691">
                      <w:marLeft w:val="0"/>
                      <w:marRight w:val="0"/>
                      <w:marTop w:val="0"/>
                      <w:marBottom w:val="0"/>
                      <w:divBdr>
                        <w:top w:val="none" w:sz="0" w:space="0" w:color="auto"/>
                        <w:left w:val="none" w:sz="0" w:space="0" w:color="auto"/>
                        <w:bottom w:val="none" w:sz="0" w:space="0" w:color="auto"/>
                        <w:right w:val="none" w:sz="0" w:space="0" w:color="auto"/>
                      </w:divBdr>
                    </w:div>
                  </w:divsChild>
                </w:div>
                <w:div w:id="1145438929">
                  <w:marLeft w:val="0"/>
                  <w:marRight w:val="0"/>
                  <w:marTop w:val="0"/>
                  <w:marBottom w:val="0"/>
                  <w:divBdr>
                    <w:top w:val="none" w:sz="0" w:space="0" w:color="auto"/>
                    <w:left w:val="none" w:sz="0" w:space="0" w:color="auto"/>
                    <w:bottom w:val="none" w:sz="0" w:space="0" w:color="auto"/>
                    <w:right w:val="none" w:sz="0" w:space="0" w:color="auto"/>
                  </w:divBdr>
                </w:div>
                <w:div w:id="965621391">
                  <w:marLeft w:val="0"/>
                  <w:marRight w:val="0"/>
                  <w:marTop w:val="0"/>
                  <w:marBottom w:val="0"/>
                  <w:divBdr>
                    <w:top w:val="none" w:sz="0" w:space="0" w:color="auto"/>
                    <w:left w:val="none" w:sz="0" w:space="0" w:color="auto"/>
                    <w:bottom w:val="none" w:sz="0" w:space="0" w:color="auto"/>
                    <w:right w:val="none" w:sz="0" w:space="0" w:color="auto"/>
                  </w:divBdr>
                  <w:divsChild>
                    <w:div w:id="2037540427">
                      <w:marLeft w:val="0"/>
                      <w:marRight w:val="0"/>
                      <w:marTop w:val="0"/>
                      <w:marBottom w:val="0"/>
                      <w:divBdr>
                        <w:top w:val="none" w:sz="0" w:space="0" w:color="auto"/>
                        <w:left w:val="none" w:sz="0" w:space="0" w:color="auto"/>
                        <w:bottom w:val="none" w:sz="0" w:space="0" w:color="auto"/>
                        <w:right w:val="none" w:sz="0" w:space="0" w:color="auto"/>
                      </w:divBdr>
                      <w:divsChild>
                        <w:div w:id="450977575">
                          <w:marLeft w:val="0"/>
                          <w:marRight w:val="0"/>
                          <w:marTop w:val="0"/>
                          <w:marBottom w:val="0"/>
                          <w:divBdr>
                            <w:top w:val="none" w:sz="0" w:space="0" w:color="auto"/>
                            <w:left w:val="none" w:sz="0" w:space="0" w:color="auto"/>
                            <w:bottom w:val="none" w:sz="0" w:space="0" w:color="auto"/>
                            <w:right w:val="none" w:sz="0" w:space="0" w:color="auto"/>
                          </w:divBdr>
                        </w:div>
                      </w:divsChild>
                    </w:div>
                    <w:div w:id="1372880500">
                      <w:marLeft w:val="0"/>
                      <w:marRight w:val="0"/>
                      <w:marTop w:val="0"/>
                      <w:marBottom w:val="0"/>
                      <w:divBdr>
                        <w:top w:val="none" w:sz="0" w:space="0" w:color="auto"/>
                        <w:left w:val="none" w:sz="0" w:space="0" w:color="auto"/>
                        <w:bottom w:val="none" w:sz="0" w:space="0" w:color="auto"/>
                        <w:right w:val="none" w:sz="0" w:space="0" w:color="auto"/>
                      </w:divBdr>
                      <w:divsChild>
                        <w:div w:id="1332025962">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
                          </w:divsChild>
                        </w:div>
                        <w:div w:id="1556236475">
                          <w:marLeft w:val="0"/>
                          <w:marRight w:val="0"/>
                          <w:marTop w:val="0"/>
                          <w:marBottom w:val="0"/>
                          <w:divBdr>
                            <w:top w:val="none" w:sz="0" w:space="0" w:color="auto"/>
                            <w:left w:val="none" w:sz="0" w:space="0" w:color="auto"/>
                            <w:bottom w:val="none" w:sz="0" w:space="0" w:color="auto"/>
                            <w:right w:val="none" w:sz="0" w:space="0" w:color="auto"/>
                          </w:divBdr>
                          <w:divsChild>
                            <w:div w:id="178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2488">
                      <w:marLeft w:val="0"/>
                      <w:marRight w:val="0"/>
                      <w:marTop w:val="0"/>
                      <w:marBottom w:val="0"/>
                      <w:divBdr>
                        <w:top w:val="none" w:sz="0" w:space="0" w:color="auto"/>
                        <w:left w:val="none" w:sz="0" w:space="0" w:color="auto"/>
                        <w:bottom w:val="none" w:sz="0" w:space="0" w:color="auto"/>
                        <w:right w:val="none" w:sz="0" w:space="0" w:color="auto"/>
                      </w:divBdr>
                      <w:divsChild>
                        <w:div w:id="1272784405">
                          <w:marLeft w:val="0"/>
                          <w:marRight w:val="0"/>
                          <w:marTop w:val="0"/>
                          <w:marBottom w:val="0"/>
                          <w:divBdr>
                            <w:top w:val="none" w:sz="0" w:space="0" w:color="auto"/>
                            <w:left w:val="none" w:sz="0" w:space="0" w:color="auto"/>
                            <w:bottom w:val="none" w:sz="0" w:space="0" w:color="auto"/>
                            <w:right w:val="none" w:sz="0" w:space="0" w:color="auto"/>
                          </w:divBdr>
                          <w:divsChild>
                            <w:div w:id="1360545358">
                              <w:marLeft w:val="0"/>
                              <w:marRight w:val="0"/>
                              <w:marTop w:val="0"/>
                              <w:marBottom w:val="0"/>
                              <w:divBdr>
                                <w:top w:val="none" w:sz="0" w:space="0" w:color="auto"/>
                                <w:left w:val="none" w:sz="0" w:space="0" w:color="auto"/>
                                <w:bottom w:val="none" w:sz="0" w:space="0" w:color="auto"/>
                                <w:right w:val="none" w:sz="0" w:space="0" w:color="auto"/>
                              </w:divBdr>
                            </w:div>
                          </w:divsChild>
                        </w:div>
                        <w:div w:id="1079130968">
                          <w:marLeft w:val="0"/>
                          <w:marRight w:val="0"/>
                          <w:marTop w:val="0"/>
                          <w:marBottom w:val="0"/>
                          <w:divBdr>
                            <w:top w:val="none" w:sz="0" w:space="0" w:color="auto"/>
                            <w:left w:val="none" w:sz="0" w:space="0" w:color="auto"/>
                            <w:bottom w:val="none" w:sz="0" w:space="0" w:color="auto"/>
                            <w:right w:val="none" w:sz="0" w:space="0" w:color="auto"/>
                          </w:divBdr>
                          <w:divsChild>
                            <w:div w:id="67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26162">
          <w:marLeft w:val="0"/>
          <w:marRight w:val="0"/>
          <w:marTop w:val="0"/>
          <w:marBottom w:val="0"/>
          <w:divBdr>
            <w:top w:val="none" w:sz="0" w:space="0" w:color="auto"/>
            <w:left w:val="none" w:sz="0" w:space="0" w:color="auto"/>
            <w:bottom w:val="none" w:sz="0" w:space="0" w:color="auto"/>
            <w:right w:val="none" w:sz="0" w:space="0" w:color="auto"/>
          </w:divBdr>
          <w:divsChild>
            <w:div w:id="457647803">
              <w:marLeft w:val="0"/>
              <w:marRight w:val="0"/>
              <w:marTop w:val="0"/>
              <w:marBottom w:val="0"/>
              <w:divBdr>
                <w:top w:val="none" w:sz="0" w:space="0" w:color="auto"/>
                <w:left w:val="none" w:sz="0" w:space="0" w:color="auto"/>
                <w:bottom w:val="none" w:sz="0" w:space="0" w:color="auto"/>
                <w:right w:val="none" w:sz="0" w:space="0" w:color="auto"/>
              </w:divBdr>
              <w:divsChild>
                <w:div w:id="1433478524">
                  <w:marLeft w:val="0"/>
                  <w:marRight w:val="0"/>
                  <w:marTop w:val="0"/>
                  <w:marBottom w:val="0"/>
                  <w:divBdr>
                    <w:top w:val="none" w:sz="0" w:space="0" w:color="auto"/>
                    <w:left w:val="none" w:sz="0" w:space="0" w:color="auto"/>
                    <w:bottom w:val="none" w:sz="0" w:space="0" w:color="auto"/>
                    <w:right w:val="none" w:sz="0" w:space="0" w:color="auto"/>
                  </w:divBdr>
                  <w:divsChild>
                    <w:div w:id="1214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9697">
      <w:bodyDiv w:val="1"/>
      <w:marLeft w:val="0"/>
      <w:marRight w:val="0"/>
      <w:marTop w:val="0"/>
      <w:marBottom w:val="0"/>
      <w:divBdr>
        <w:top w:val="none" w:sz="0" w:space="0" w:color="auto"/>
        <w:left w:val="none" w:sz="0" w:space="0" w:color="auto"/>
        <w:bottom w:val="none" w:sz="0" w:space="0" w:color="auto"/>
        <w:right w:val="none" w:sz="0" w:space="0" w:color="auto"/>
      </w:divBdr>
    </w:div>
    <w:div w:id="447312638">
      <w:bodyDiv w:val="1"/>
      <w:marLeft w:val="0"/>
      <w:marRight w:val="0"/>
      <w:marTop w:val="0"/>
      <w:marBottom w:val="0"/>
      <w:divBdr>
        <w:top w:val="none" w:sz="0" w:space="0" w:color="auto"/>
        <w:left w:val="none" w:sz="0" w:space="0" w:color="auto"/>
        <w:bottom w:val="none" w:sz="0" w:space="0" w:color="auto"/>
        <w:right w:val="none" w:sz="0" w:space="0" w:color="auto"/>
      </w:divBdr>
    </w:div>
    <w:div w:id="478621938">
      <w:bodyDiv w:val="1"/>
      <w:marLeft w:val="0"/>
      <w:marRight w:val="0"/>
      <w:marTop w:val="0"/>
      <w:marBottom w:val="0"/>
      <w:divBdr>
        <w:top w:val="none" w:sz="0" w:space="0" w:color="auto"/>
        <w:left w:val="none" w:sz="0" w:space="0" w:color="auto"/>
        <w:bottom w:val="none" w:sz="0" w:space="0" w:color="auto"/>
        <w:right w:val="none" w:sz="0" w:space="0" w:color="auto"/>
      </w:divBdr>
    </w:div>
    <w:div w:id="541285295">
      <w:bodyDiv w:val="1"/>
      <w:marLeft w:val="0"/>
      <w:marRight w:val="0"/>
      <w:marTop w:val="0"/>
      <w:marBottom w:val="0"/>
      <w:divBdr>
        <w:top w:val="none" w:sz="0" w:space="0" w:color="auto"/>
        <w:left w:val="none" w:sz="0" w:space="0" w:color="auto"/>
        <w:bottom w:val="none" w:sz="0" w:space="0" w:color="auto"/>
        <w:right w:val="none" w:sz="0" w:space="0" w:color="auto"/>
      </w:divBdr>
    </w:div>
    <w:div w:id="717969934">
      <w:bodyDiv w:val="1"/>
      <w:marLeft w:val="0"/>
      <w:marRight w:val="0"/>
      <w:marTop w:val="0"/>
      <w:marBottom w:val="0"/>
      <w:divBdr>
        <w:top w:val="none" w:sz="0" w:space="0" w:color="auto"/>
        <w:left w:val="none" w:sz="0" w:space="0" w:color="auto"/>
        <w:bottom w:val="none" w:sz="0" w:space="0" w:color="auto"/>
        <w:right w:val="none" w:sz="0" w:space="0" w:color="auto"/>
      </w:divBdr>
    </w:div>
    <w:div w:id="750195035">
      <w:bodyDiv w:val="1"/>
      <w:marLeft w:val="0"/>
      <w:marRight w:val="0"/>
      <w:marTop w:val="0"/>
      <w:marBottom w:val="0"/>
      <w:divBdr>
        <w:top w:val="none" w:sz="0" w:space="0" w:color="auto"/>
        <w:left w:val="none" w:sz="0" w:space="0" w:color="auto"/>
        <w:bottom w:val="none" w:sz="0" w:space="0" w:color="auto"/>
        <w:right w:val="none" w:sz="0" w:space="0" w:color="auto"/>
      </w:divBdr>
    </w:div>
    <w:div w:id="808473013">
      <w:bodyDiv w:val="1"/>
      <w:marLeft w:val="0"/>
      <w:marRight w:val="0"/>
      <w:marTop w:val="0"/>
      <w:marBottom w:val="0"/>
      <w:divBdr>
        <w:top w:val="none" w:sz="0" w:space="0" w:color="auto"/>
        <w:left w:val="none" w:sz="0" w:space="0" w:color="auto"/>
        <w:bottom w:val="none" w:sz="0" w:space="0" w:color="auto"/>
        <w:right w:val="none" w:sz="0" w:space="0" w:color="auto"/>
      </w:divBdr>
    </w:div>
    <w:div w:id="948319531">
      <w:bodyDiv w:val="1"/>
      <w:marLeft w:val="0"/>
      <w:marRight w:val="0"/>
      <w:marTop w:val="0"/>
      <w:marBottom w:val="0"/>
      <w:divBdr>
        <w:top w:val="none" w:sz="0" w:space="0" w:color="auto"/>
        <w:left w:val="none" w:sz="0" w:space="0" w:color="auto"/>
        <w:bottom w:val="none" w:sz="0" w:space="0" w:color="auto"/>
        <w:right w:val="none" w:sz="0" w:space="0" w:color="auto"/>
      </w:divBdr>
    </w:div>
    <w:div w:id="1007899465">
      <w:bodyDiv w:val="1"/>
      <w:marLeft w:val="0"/>
      <w:marRight w:val="0"/>
      <w:marTop w:val="0"/>
      <w:marBottom w:val="0"/>
      <w:divBdr>
        <w:top w:val="none" w:sz="0" w:space="0" w:color="auto"/>
        <w:left w:val="none" w:sz="0" w:space="0" w:color="auto"/>
        <w:bottom w:val="none" w:sz="0" w:space="0" w:color="auto"/>
        <w:right w:val="none" w:sz="0" w:space="0" w:color="auto"/>
      </w:divBdr>
    </w:div>
    <w:div w:id="1088624244">
      <w:bodyDiv w:val="1"/>
      <w:marLeft w:val="0"/>
      <w:marRight w:val="0"/>
      <w:marTop w:val="0"/>
      <w:marBottom w:val="0"/>
      <w:divBdr>
        <w:top w:val="none" w:sz="0" w:space="0" w:color="auto"/>
        <w:left w:val="none" w:sz="0" w:space="0" w:color="auto"/>
        <w:bottom w:val="none" w:sz="0" w:space="0" w:color="auto"/>
        <w:right w:val="none" w:sz="0" w:space="0" w:color="auto"/>
      </w:divBdr>
    </w:div>
    <w:div w:id="1124270272">
      <w:bodyDiv w:val="1"/>
      <w:marLeft w:val="0"/>
      <w:marRight w:val="0"/>
      <w:marTop w:val="0"/>
      <w:marBottom w:val="0"/>
      <w:divBdr>
        <w:top w:val="none" w:sz="0" w:space="0" w:color="auto"/>
        <w:left w:val="none" w:sz="0" w:space="0" w:color="auto"/>
        <w:bottom w:val="none" w:sz="0" w:space="0" w:color="auto"/>
        <w:right w:val="none" w:sz="0" w:space="0" w:color="auto"/>
      </w:divBdr>
    </w:div>
    <w:div w:id="1191410356">
      <w:bodyDiv w:val="1"/>
      <w:marLeft w:val="0"/>
      <w:marRight w:val="0"/>
      <w:marTop w:val="0"/>
      <w:marBottom w:val="0"/>
      <w:divBdr>
        <w:top w:val="none" w:sz="0" w:space="0" w:color="auto"/>
        <w:left w:val="none" w:sz="0" w:space="0" w:color="auto"/>
        <w:bottom w:val="none" w:sz="0" w:space="0" w:color="auto"/>
        <w:right w:val="none" w:sz="0" w:space="0" w:color="auto"/>
      </w:divBdr>
    </w:div>
    <w:div w:id="1364942794">
      <w:bodyDiv w:val="1"/>
      <w:marLeft w:val="0"/>
      <w:marRight w:val="0"/>
      <w:marTop w:val="0"/>
      <w:marBottom w:val="0"/>
      <w:divBdr>
        <w:top w:val="none" w:sz="0" w:space="0" w:color="auto"/>
        <w:left w:val="none" w:sz="0" w:space="0" w:color="auto"/>
        <w:bottom w:val="none" w:sz="0" w:space="0" w:color="auto"/>
        <w:right w:val="none" w:sz="0" w:space="0" w:color="auto"/>
      </w:divBdr>
    </w:div>
    <w:div w:id="1375888953">
      <w:bodyDiv w:val="1"/>
      <w:marLeft w:val="0"/>
      <w:marRight w:val="0"/>
      <w:marTop w:val="0"/>
      <w:marBottom w:val="0"/>
      <w:divBdr>
        <w:top w:val="none" w:sz="0" w:space="0" w:color="auto"/>
        <w:left w:val="none" w:sz="0" w:space="0" w:color="auto"/>
        <w:bottom w:val="none" w:sz="0" w:space="0" w:color="auto"/>
        <w:right w:val="none" w:sz="0" w:space="0" w:color="auto"/>
      </w:divBdr>
    </w:div>
    <w:div w:id="1619218910">
      <w:bodyDiv w:val="1"/>
      <w:marLeft w:val="0"/>
      <w:marRight w:val="0"/>
      <w:marTop w:val="0"/>
      <w:marBottom w:val="0"/>
      <w:divBdr>
        <w:top w:val="none" w:sz="0" w:space="0" w:color="auto"/>
        <w:left w:val="none" w:sz="0" w:space="0" w:color="auto"/>
        <w:bottom w:val="none" w:sz="0" w:space="0" w:color="auto"/>
        <w:right w:val="none" w:sz="0" w:space="0" w:color="auto"/>
      </w:divBdr>
    </w:div>
    <w:div w:id="1649673597">
      <w:bodyDiv w:val="1"/>
      <w:marLeft w:val="0"/>
      <w:marRight w:val="0"/>
      <w:marTop w:val="0"/>
      <w:marBottom w:val="0"/>
      <w:divBdr>
        <w:top w:val="none" w:sz="0" w:space="0" w:color="auto"/>
        <w:left w:val="none" w:sz="0" w:space="0" w:color="auto"/>
        <w:bottom w:val="none" w:sz="0" w:space="0" w:color="auto"/>
        <w:right w:val="none" w:sz="0" w:space="0" w:color="auto"/>
      </w:divBdr>
    </w:div>
    <w:div w:id="1886721738">
      <w:bodyDiv w:val="1"/>
      <w:marLeft w:val="0"/>
      <w:marRight w:val="0"/>
      <w:marTop w:val="0"/>
      <w:marBottom w:val="0"/>
      <w:divBdr>
        <w:top w:val="none" w:sz="0" w:space="0" w:color="auto"/>
        <w:left w:val="none" w:sz="0" w:space="0" w:color="auto"/>
        <w:bottom w:val="none" w:sz="0" w:space="0" w:color="auto"/>
        <w:right w:val="none" w:sz="0" w:space="0" w:color="auto"/>
      </w:divBdr>
    </w:div>
    <w:div w:id="1950771223">
      <w:bodyDiv w:val="1"/>
      <w:marLeft w:val="0"/>
      <w:marRight w:val="0"/>
      <w:marTop w:val="0"/>
      <w:marBottom w:val="0"/>
      <w:divBdr>
        <w:top w:val="none" w:sz="0" w:space="0" w:color="auto"/>
        <w:left w:val="none" w:sz="0" w:space="0" w:color="auto"/>
        <w:bottom w:val="none" w:sz="0" w:space="0" w:color="auto"/>
        <w:right w:val="none" w:sz="0" w:space="0" w:color="auto"/>
      </w:divBdr>
    </w:div>
    <w:div w:id="1992713898">
      <w:bodyDiv w:val="1"/>
      <w:marLeft w:val="0"/>
      <w:marRight w:val="0"/>
      <w:marTop w:val="0"/>
      <w:marBottom w:val="0"/>
      <w:divBdr>
        <w:top w:val="none" w:sz="0" w:space="0" w:color="auto"/>
        <w:left w:val="none" w:sz="0" w:space="0" w:color="auto"/>
        <w:bottom w:val="none" w:sz="0" w:space="0" w:color="auto"/>
        <w:right w:val="none" w:sz="0" w:space="0" w:color="auto"/>
      </w:divBdr>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 w:id="2027557046">
      <w:bodyDiv w:val="1"/>
      <w:marLeft w:val="0"/>
      <w:marRight w:val="0"/>
      <w:marTop w:val="0"/>
      <w:marBottom w:val="0"/>
      <w:divBdr>
        <w:top w:val="none" w:sz="0" w:space="0" w:color="auto"/>
        <w:left w:val="none" w:sz="0" w:space="0" w:color="auto"/>
        <w:bottom w:val="none" w:sz="0" w:space="0" w:color="auto"/>
        <w:right w:val="none" w:sz="0" w:space="0" w:color="auto"/>
      </w:divBdr>
    </w:div>
    <w:div w:id="2051496633">
      <w:bodyDiv w:val="1"/>
      <w:marLeft w:val="0"/>
      <w:marRight w:val="0"/>
      <w:marTop w:val="0"/>
      <w:marBottom w:val="0"/>
      <w:divBdr>
        <w:top w:val="none" w:sz="0" w:space="0" w:color="auto"/>
        <w:left w:val="none" w:sz="0" w:space="0" w:color="auto"/>
        <w:bottom w:val="none" w:sz="0" w:space="0" w:color="auto"/>
        <w:right w:val="none" w:sz="0" w:space="0" w:color="auto"/>
      </w:divBdr>
    </w:div>
    <w:div w:id="20854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en/publication/aewa-conservation-guidelines-no-11-guidelines-how-avoid-minimize-or-mitigate-impact" TargetMode="External"/><Relationship Id="rId13" Type="http://schemas.openxmlformats.org/officeDocument/2006/relationships/hyperlink" Target="https://en.wikipedia.org/w/index.php?title=Protocol_on_Strategic_Environmental_Assessment&amp;action=edit&amp;redlink=1" TargetMode="External"/><Relationship Id="rId18" Type="http://schemas.openxmlformats.org/officeDocument/2006/relationships/hyperlink" Target="https://www.unep-aewa.org/en/document/impact-invasive-alien-aquatic-weeds-waterbird-habitats-africa-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nep-aewa.org/en/document/adverse-effects-agrochemicals-migratory-waterbirds-africa-1" TargetMode="External"/><Relationship Id="rId7" Type="http://schemas.openxmlformats.org/officeDocument/2006/relationships/endnotes" Target="endnotes.xml"/><Relationship Id="rId12" Type="http://schemas.openxmlformats.org/officeDocument/2006/relationships/hyperlink" Target="https://www.unep-aewa.org/en/document/addressing-impacts-renewable-energy-deployment-migratory-waterbirds-2" TargetMode="External"/><Relationship Id="rId17" Type="http://schemas.openxmlformats.org/officeDocument/2006/relationships/hyperlink" Target="https://www.unep-aewa.org/en/document/introduced-non-native-waterbird-species-agreement-area-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nep-aewa.org/en/document/priorities-conservation-seabirds-african-eurasian-flyways-1" TargetMode="External"/><Relationship Id="rId20" Type="http://schemas.openxmlformats.org/officeDocument/2006/relationships/hyperlink" Target="https://www.unep-aewa.org/en/document/phasing-out-lead-shot-hunting-wetlands-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en/document/renewable-energy-and-migratory-waterbirds-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ep-aewa.org/en/document/improving-conservation-status-african-eurasian-seabirds-3" TargetMode="External"/><Relationship Id="rId23" Type="http://schemas.openxmlformats.org/officeDocument/2006/relationships/header" Target="header1.xml"/><Relationship Id="rId10" Type="http://schemas.openxmlformats.org/officeDocument/2006/relationships/hyperlink" Target="https://www.unep-aewa.org/en/document/power-lines-and-migratory-waterbirds" TargetMode="External"/><Relationship Id="rId19" Type="http://schemas.openxmlformats.org/officeDocument/2006/relationships/hyperlink" Target="https://www.unep-aewa.org/en/document/phasing-out-lead-shot-hunting-wetlands-2" TargetMode="External"/><Relationship Id="rId4" Type="http://schemas.openxmlformats.org/officeDocument/2006/relationships/settings" Target="settings.xml"/><Relationship Id="rId9" Type="http://schemas.openxmlformats.org/officeDocument/2006/relationships/hyperlink" Target="https://www.unep-aewa.org/en/publication/aewa-conservation-guidelines-no-14-guidelines-how-avoid-or-mitigate-impact-electricity" TargetMode="External"/><Relationship Id="rId14" Type="http://schemas.openxmlformats.org/officeDocument/2006/relationships/hyperlink" Target="https://www.unep-aewa.org/en/publication/aewa-conservation-guidelines-no-6-guidelines-regulating-trade-migratory-waterbirds-ts-no" TargetMode="External"/><Relationship Id="rId22" Type="http://schemas.openxmlformats.org/officeDocument/2006/relationships/hyperlink" Target="https://www.unep-aewa.org/en/document/priorities-conservation-seabirds-african-eurasian-flyways-1"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4E88-51AA-4E27-A1D1-2D14DD86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9521</Words>
  <Characters>54271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Jeannine Dicken</cp:lastModifiedBy>
  <cp:revision>2</cp:revision>
  <cp:lastPrinted>2017-10-13T09:30:00Z</cp:lastPrinted>
  <dcterms:created xsi:type="dcterms:W3CDTF">2022-07-21T14:50:00Z</dcterms:created>
  <dcterms:modified xsi:type="dcterms:W3CDTF">2022-07-21T14:50:00Z</dcterms:modified>
</cp:coreProperties>
</file>