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1D70" w14:textId="77777777" w:rsidR="00E543C6" w:rsidRPr="001B3779" w:rsidRDefault="00E543C6">
      <w:pPr>
        <w:pStyle w:val="Heading1"/>
        <w:spacing w:before="60" w:line="276" w:lineRule="auto"/>
        <w:ind w:left="1002" w:right="1019"/>
        <w:jc w:val="center"/>
        <w:rPr>
          <w:lang w:val="fr-FR"/>
        </w:rPr>
      </w:pPr>
    </w:p>
    <w:p w14:paraId="0439C73F" w14:textId="59C933FB" w:rsidR="00947230" w:rsidRPr="001B3779" w:rsidRDefault="007572A0" w:rsidP="00947230">
      <w:pPr>
        <w:pStyle w:val="Heading1"/>
        <w:spacing w:before="60" w:line="276" w:lineRule="auto"/>
        <w:ind w:left="1002" w:right="1019"/>
        <w:jc w:val="center"/>
        <w:rPr>
          <w:lang w:val="fr-FR"/>
        </w:rPr>
      </w:pPr>
      <w:bookmarkStart w:id="0" w:name="cover_note_doc_16.29"/>
      <w:bookmarkEnd w:id="0"/>
      <w:r w:rsidRPr="001B3779">
        <w:rPr>
          <w:lang w:val="fr-FR"/>
        </w:rPr>
        <w:t>PROJET DE</w:t>
      </w:r>
      <w:r w:rsidR="00947230" w:rsidRPr="001B3779">
        <w:rPr>
          <w:lang w:val="fr-FR"/>
        </w:rPr>
        <w:t xml:space="preserve"> SYNERGIES</w:t>
      </w:r>
      <w:r w:rsidR="000D664A" w:rsidRPr="001B3779">
        <w:rPr>
          <w:lang w:val="fr-FR"/>
        </w:rPr>
        <w:t xml:space="preserve"> AVEC D’AUTRES CADRES EN MATIÈRE DE SURVEILLANCE DES OISEAUX D’EAU</w:t>
      </w:r>
    </w:p>
    <w:p w14:paraId="379D5F54" w14:textId="77777777" w:rsidR="00947230" w:rsidRPr="001B3779" w:rsidRDefault="00947230" w:rsidP="00947230">
      <w:pPr>
        <w:pStyle w:val="BodyText"/>
        <w:spacing w:before="10"/>
        <w:rPr>
          <w:b/>
          <w:sz w:val="27"/>
          <w:lang w:val="fr-FR"/>
        </w:rPr>
      </w:pPr>
    </w:p>
    <w:p w14:paraId="4F1D0506" w14:textId="768F4CCB" w:rsidR="00947230" w:rsidRPr="001B3779" w:rsidRDefault="00D8452B" w:rsidP="00F91162">
      <w:pPr>
        <w:pStyle w:val="BodyText"/>
        <w:spacing w:before="2"/>
        <w:jc w:val="center"/>
        <w:rPr>
          <w:i/>
          <w:lang w:val="fr-FR"/>
        </w:rPr>
      </w:pPr>
      <w:r w:rsidRPr="001B3779">
        <w:rPr>
          <w:i/>
          <w:lang w:val="fr-FR"/>
        </w:rPr>
        <w:t>Préparé par le Comité technique de l’</w:t>
      </w:r>
      <w:r w:rsidR="00F91162" w:rsidRPr="001B3779">
        <w:rPr>
          <w:i/>
          <w:lang w:val="fr-FR"/>
        </w:rPr>
        <w:t>AEWA</w:t>
      </w:r>
      <w:r w:rsidRPr="001B3779">
        <w:rPr>
          <w:i/>
          <w:lang w:val="fr-FR"/>
        </w:rPr>
        <w:t>, en consultation avec les</w:t>
      </w:r>
      <w:r w:rsidR="00F91162" w:rsidRPr="001B3779">
        <w:rPr>
          <w:i/>
          <w:lang w:val="fr-FR"/>
        </w:rPr>
        <w:t xml:space="preserve"> </w:t>
      </w:r>
      <w:r w:rsidRPr="001B3779">
        <w:rPr>
          <w:i/>
          <w:lang w:val="fr-FR"/>
        </w:rPr>
        <w:t>Secrétariats</w:t>
      </w:r>
      <w:r w:rsidR="00F91162" w:rsidRPr="001B3779">
        <w:rPr>
          <w:i/>
          <w:lang w:val="fr-FR"/>
        </w:rPr>
        <w:t xml:space="preserve"> </w:t>
      </w:r>
      <w:r w:rsidRPr="001B3779">
        <w:rPr>
          <w:i/>
          <w:lang w:val="fr-FR"/>
        </w:rPr>
        <w:t>des cadres pertinents</w:t>
      </w:r>
    </w:p>
    <w:p w14:paraId="18F46081" w14:textId="77777777" w:rsidR="00C4129B" w:rsidRPr="001B3779" w:rsidRDefault="00C4129B" w:rsidP="00321F10">
      <w:pPr>
        <w:pStyle w:val="BodyText"/>
        <w:spacing w:before="2" w:after="120"/>
        <w:rPr>
          <w:i/>
          <w:sz w:val="29"/>
          <w:lang w:val="fr-FR"/>
        </w:rPr>
      </w:pPr>
    </w:p>
    <w:p w14:paraId="40A42BDE" w14:textId="77777777" w:rsidR="00947230" w:rsidRPr="001B3779" w:rsidRDefault="00947230" w:rsidP="00DC0558">
      <w:pPr>
        <w:pStyle w:val="Heading1"/>
        <w:ind w:left="180" w:hanging="90"/>
        <w:rPr>
          <w:lang w:val="fr-FR"/>
        </w:rPr>
      </w:pPr>
      <w:r w:rsidRPr="001B3779">
        <w:rPr>
          <w:lang w:val="fr-FR"/>
        </w:rPr>
        <w:t>Introduction</w:t>
      </w:r>
    </w:p>
    <w:p w14:paraId="54115B77" w14:textId="005D2FF2" w:rsidR="00F91162" w:rsidRPr="001B3779" w:rsidRDefault="00017B4D" w:rsidP="00F91162">
      <w:pPr>
        <w:pStyle w:val="BodyText"/>
        <w:spacing w:before="158" w:line="256" w:lineRule="auto"/>
        <w:ind w:left="100" w:right="115"/>
        <w:jc w:val="both"/>
        <w:rPr>
          <w:lang w:val="fr-FR"/>
        </w:rPr>
      </w:pPr>
      <w:r w:rsidRPr="001B3779">
        <w:rPr>
          <w:lang w:val="fr-FR"/>
        </w:rPr>
        <w:t xml:space="preserve">À travers la </w:t>
      </w:r>
      <w:r w:rsidR="00F91162" w:rsidRPr="001B3779">
        <w:rPr>
          <w:lang w:val="fr-FR"/>
        </w:rPr>
        <w:t>R</w:t>
      </w:r>
      <w:r w:rsidRPr="001B3779">
        <w:rPr>
          <w:lang w:val="fr-FR"/>
        </w:rPr>
        <w:t>é</w:t>
      </w:r>
      <w:r w:rsidR="00F91162" w:rsidRPr="001B3779">
        <w:rPr>
          <w:lang w:val="fr-FR"/>
        </w:rPr>
        <w:t>solution 6.3</w:t>
      </w:r>
      <w:r w:rsidRPr="001B3779">
        <w:rPr>
          <w:lang w:val="fr-FR"/>
        </w:rPr>
        <w:t xml:space="preserve">, la </w:t>
      </w:r>
      <w:r w:rsidR="00F91162" w:rsidRPr="001B3779">
        <w:rPr>
          <w:lang w:val="fr-FR"/>
        </w:rPr>
        <w:t xml:space="preserve">MOP </w:t>
      </w:r>
      <w:r w:rsidRPr="001B3779">
        <w:rPr>
          <w:lang w:val="fr-FR"/>
        </w:rPr>
        <w:t xml:space="preserve">a </w:t>
      </w:r>
      <w:r w:rsidR="004E2B4D" w:rsidRPr="001B3779">
        <w:rPr>
          <w:lang w:val="fr-FR"/>
        </w:rPr>
        <w:t>invité</w:t>
      </w:r>
      <w:r w:rsidRPr="001B3779">
        <w:rPr>
          <w:lang w:val="fr-FR"/>
        </w:rPr>
        <w:t xml:space="preserve"> le Comité technique et le</w:t>
      </w:r>
      <w:r w:rsidR="00F91162" w:rsidRPr="001B3779">
        <w:rPr>
          <w:lang w:val="fr-FR"/>
        </w:rPr>
        <w:t xml:space="preserve"> Secr</w:t>
      </w:r>
      <w:r w:rsidRPr="001B3779">
        <w:rPr>
          <w:lang w:val="fr-FR"/>
        </w:rPr>
        <w:t>é</w:t>
      </w:r>
      <w:r w:rsidR="00F91162" w:rsidRPr="001B3779">
        <w:rPr>
          <w:lang w:val="fr-FR"/>
        </w:rPr>
        <w:t xml:space="preserve">tariat </w:t>
      </w:r>
      <w:r w:rsidR="009D4015" w:rsidRPr="001B3779">
        <w:rPr>
          <w:lang w:val="fr-FR"/>
        </w:rPr>
        <w:t>à travailler avec le Groupe d'étude scientifique et technique</w:t>
      </w:r>
      <w:r w:rsidR="00F91162" w:rsidRPr="001B3779">
        <w:rPr>
          <w:lang w:val="fr-FR"/>
        </w:rPr>
        <w:t xml:space="preserve"> Ramsar </w:t>
      </w:r>
      <w:r w:rsidR="009D4015" w:rsidRPr="001B3779">
        <w:rPr>
          <w:lang w:val="fr-FR"/>
        </w:rPr>
        <w:t>et le Secrétariat de la Convention</w:t>
      </w:r>
      <w:r w:rsidR="00F91162" w:rsidRPr="001B3779">
        <w:rPr>
          <w:lang w:val="fr-FR"/>
        </w:rPr>
        <w:t xml:space="preserve"> Ramsar </w:t>
      </w:r>
      <w:r w:rsidR="009D4015" w:rsidRPr="001B3779">
        <w:rPr>
          <w:lang w:val="fr-FR"/>
        </w:rPr>
        <w:t xml:space="preserve">afin d’identifier </w:t>
      </w:r>
      <w:r w:rsidR="003F0E88">
        <w:rPr>
          <w:lang w:val="fr-FR"/>
        </w:rPr>
        <w:t>l</w:t>
      </w:r>
      <w:r w:rsidR="009D4015" w:rsidRPr="001B3779">
        <w:rPr>
          <w:lang w:val="fr-FR"/>
        </w:rPr>
        <w:t>es synergies</w:t>
      </w:r>
      <w:r w:rsidR="00F91162" w:rsidRPr="001B3779">
        <w:rPr>
          <w:lang w:val="fr-FR"/>
        </w:rPr>
        <w:t xml:space="preserve"> possible</w:t>
      </w:r>
      <w:r w:rsidR="009D4015" w:rsidRPr="001B3779">
        <w:rPr>
          <w:lang w:val="fr-FR"/>
        </w:rPr>
        <w:t>s</w:t>
      </w:r>
      <w:r w:rsidR="00F91162" w:rsidRPr="001B3779">
        <w:rPr>
          <w:lang w:val="fr-FR"/>
        </w:rPr>
        <w:t xml:space="preserve"> </w:t>
      </w:r>
      <w:r w:rsidR="009D4015" w:rsidRPr="001B3779">
        <w:rPr>
          <w:lang w:val="fr-FR"/>
        </w:rPr>
        <w:t>en matière</w:t>
      </w:r>
      <w:r w:rsidR="004E2B4D" w:rsidRPr="001B3779">
        <w:rPr>
          <w:lang w:val="fr-FR"/>
        </w:rPr>
        <w:t xml:space="preserve"> de</w:t>
      </w:r>
      <w:r w:rsidR="009D4015" w:rsidRPr="001B3779">
        <w:rPr>
          <w:lang w:val="fr-FR"/>
        </w:rPr>
        <w:t xml:space="preserve"> surveillance des oiseaux d’eau, </w:t>
      </w:r>
      <w:r w:rsidR="001C0165" w:rsidRPr="008604F9">
        <w:rPr>
          <w:lang w:val="fr-FR"/>
        </w:rPr>
        <w:t>en tenant compte des objectifs 11 et 13 du Plan stratégique de</w:t>
      </w:r>
      <w:r w:rsidR="001C0165">
        <w:rPr>
          <w:lang w:val="fr-FR"/>
        </w:rPr>
        <w:t xml:space="preserve"> </w:t>
      </w:r>
      <w:r w:rsidR="001C0165" w:rsidRPr="008604F9">
        <w:rPr>
          <w:lang w:val="fr-FR"/>
        </w:rPr>
        <w:t>Ramsar 2016-2021 et d’éventuels indicateurs nouvellement développés pour l’objectif 5 concernant</w:t>
      </w:r>
      <w:r w:rsidR="001C0165">
        <w:rPr>
          <w:lang w:val="fr-FR"/>
        </w:rPr>
        <w:t xml:space="preserve"> </w:t>
      </w:r>
      <w:r w:rsidR="001C0165" w:rsidRPr="008604F9">
        <w:rPr>
          <w:lang w:val="fr-FR"/>
        </w:rPr>
        <w:t>l’intégration de populations d’oiseaux qui dépendent de zones humides par des sites désignés Ramsar</w:t>
      </w:r>
      <w:r w:rsidR="00F91162" w:rsidRPr="001B3779">
        <w:rPr>
          <w:lang w:val="fr-FR"/>
        </w:rPr>
        <w:t>.</w:t>
      </w:r>
    </w:p>
    <w:p w14:paraId="38EEC184" w14:textId="35C9C55F" w:rsidR="00F91162" w:rsidRPr="001B3779" w:rsidRDefault="00EE08B0" w:rsidP="00F91162">
      <w:pPr>
        <w:pStyle w:val="BodyText"/>
        <w:spacing w:before="158" w:line="256" w:lineRule="auto"/>
        <w:ind w:left="100" w:right="115"/>
        <w:jc w:val="both"/>
        <w:rPr>
          <w:lang w:val="fr-FR"/>
        </w:rPr>
      </w:pPr>
      <w:r w:rsidRPr="001B3779">
        <w:rPr>
          <w:lang w:val="fr-FR"/>
        </w:rPr>
        <w:t>Plus tard, à travers la</w:t>
      </w:r>
      <w:r w:rsidR="00F91162" w:rsidRPr="001B3779">
        <w:rPr>
          <w:lang w:val="fr-FR"/>
        </w:rPr>
        <w:t xml:space="preserve"> R</w:t>
      </w:r>
      <w:r w:rsidRPr="001B3779">
        <w:rPr>
          <w:lang w:val="fr-FR"/>
        </w:rPr>
        <w:t>é</w:t>
      </w:r>
      <w:r w:rsidR="00F91162" w:rsidRPr="001B3779">
        <w:rPr>
          <w:lang w:val="fr-FR"/>
        </w:rPr>
        <w:t>solution 7.7</w:t>
      </w:r>
      <w:r w:rsidRPr="001B3779">
        <w:rPr>
          <w:lang w:val="fr-FR"/>
        </w:rPr>
        <w:t xml:space="preserve">, la </w:t>
      </w:r>
      <w:r w:rsidR="00F91162" w:rsidRPr="001B3779">
        <w:rPr>
          <w:lang w:val="fr-FR"/>
        </w:rPr>
        <w:t xml:space="preserve">MOP </w:t>
      </w:r>
      <w:r w:rsidRPr="001B3779">
        <w:rPr>
          <w:lang w:val="fr-FR"/>
        </w:rPr>
        <w:t xml:space="preserve">a </w:t>
      </w:r>
      <w:r w:rsidR="00F17201" w:rsidRPr="001B3779">
        <w:rPr>
          <w:lang w:val="fr-FR"/>
        </w:rPr>
        <w:t>invité</w:t>
      </w:r>
      <w:r w:rsidRPr="001B3779">
        <w:rPr>
          <w:lang w:val="fr-FR"/>
        </w:rPr>
        <w:t xml:space="preserve"> le Comité technique et le</w:t>
      </w:r>
      <w:r w:rsidR="00F91162" w:rsidRPr="001B3779">
        <w:rPr>
          <w:lang w:val="fr-FR"/>
        </w:rPr>
        <w:t xml:space="preserve"> Secr</w:t>
      </w:r>
      <w:r w:rsidRPr="001B3779">
        <w:rPr>
          <w:lang w:val="fr-FR"/>
        </w:rPr>
        <w:t>é</w:t>
      </w:r>
      <w:r w:rsidR="00F91162" w:rsidRPr="001B3779">
        <w:rPr>
          <w:lang w:val="fr-FR"/>
        </w:rPr>
        <w:t xml:space="preserve">tariat </w:t>
      </w:r>
      <w:r w:rsidRPr="001B3779">
        <w:rPr>
          <w:lang w:val="fr-FR"/>
        </w:rPr>
        <w:t>à travailler avec la Convention</w:t>
      </w:r>
      <w:r w:rsidR="00F91162" w:rsidRPr="001B3779">
        <w:rPr>
          <w:lang w:val="fr-FR"/>
        </w:rPr>
        <w:t xml:space="preserve"> Ramsar </w:t>
      </w:r>
      <w:r w:rsidRPr="001B3779">
        <w:rPr>
          <w:lang w:val="fr-FR"/>
        </w:rPr>
        <w:t>et ses</w:t>
      </w:r>
      <w:r w:rsidR="00F91162" w:rsidRPr="001B3779">
        <w:rPr>
          <w:lang w:val="fr-FR"/>
        </w:rPr>
        <w:t xml:space="preserve"> initiatives</w:t>
      </w:r>
      <w:r w:rsidRPr="001B3779">
        <w:rPr>
          <w:lang w:val="fr-FR"/>
        </w:rPr>
        <w:t xml:space="preserve"> régionales</w:t>
      </w:r>
      <w:r w:rsidR="00F91162" w:rsidRPr="001B3779">
        <w:rPr>
          <w:lang w:val="fr-FR"/>
        </w:rPr>
        <w:t xml:space="preserve">, </w:t>
      </w:r>
      <w:r w:rsidR="00F17201" w:rsidRPr="001B3779">
        <w:rPr>
          <w:lang w:val="fr-FR"/>
        </w:rPr>
        <w:t>la</w:t>
      </w:r>
      <w:r w:rsidR="00F91162" w:rsidRPr="001B3779">
        <w:rPr>
          <w:lang w:val="fr-FR"/>
        </w:rPr>
        <w:t xml:space="preserve"> Commission </w:t>
      </w:r>
      <w:r w:rsidR="00F17201" w:rsidRPr="001B3779">
        <w:rPr>
          <w:lang w:val="fr-FR"/>
        </w:rPr>
        <w:t>européenne, ainsi que</w:t>
      </w:r>
      <w:r w:rsidR="00C23159" w:rsidRPr="001B3779">
        <w:rPr>
          <w:lang w:val="fr-FR"/>
        </w:rPr>
        <w:t xml:space="preserve"> la</w:t>
      </w:r>
      <w:r w:rsidR="00F91162" w:rsidRPr="001B3779">
        <w:rPr>
          <w:lang w:val="fr-FR"/>
        </w:rPr>
        <w:t xml:space="preserve"> CAFF-AMBI, </w:t>
      </w:r>
      <w:r w:rsidR="001B637D" w:rsidRPr="001B3779">
        <w:rPr>
          <w:lang w:val="fr-FR"/>
        </w:rPr>
        <w:t>le Secrétariat commun de la mer des</w:t>
      </w:r>
      <w:r w:rsidR="00F91162" w:rsidRPr="001B3779">
        <w:rPr>
          <w:lang w:val="fr-FR"/>
        </w:rPr>
        <w:t xml:space="preserve"> Wadden (</w:t>
      </w:r>
      <w:r w:rsidR="00AA1ECB" w:rsidRPr="001B3779">
        <w:rPr>
          <w:lang w:val="fr-FR"/>
        </w:rPr>
        <w:t>Initiative Voie de migration de la mer des Wadden</w:t>
      </w:r>
      <w:r w:rsidR="00F91162" w:rsidRPr="001B3779">
        <w:rPr>
          <w:lang w:val="fr-FR"/>
        </w:rPr>
        <w:t xml:space="preserve">), </w:t>
      </w:r>
      <w:r w:rsidR="00BE5374" w:rsidRPr="001B3779">
        <w:rPr>
          <w:lang w:val="fr-FR"/>
        </w:rPr>
        <w:t xml:space="preserve">la Convention </w:t>
      </w:r>
      <w:r w:rsidR="00F91162" w:rsidRPr="001B3779">
        <w:rPr>
          <w:lang w:val="fr-FR"/>
        </w:rPr>
        <w:t xml:space="preserve">OSPAR, HELCOM </w:t>
      </w:r>
      <w:r w:rsidR="009559CD" w:rsidRPr="001B3779">
        <w:rPr>
          <w:lang w:val="fr-FR"/>
        </w:rPr>
        <w:t>et autres AME</w:t>
      </w:r>
      <w:r w:rsidR="00291430" w:rsidRPr="001B3779">
        <w:rPr>
          <w:lang w:val="fr-FR"/>
        </w:rPr>
        <w:t xml:space="preserve"> régionaux pertinents afin d’identifier des synergies</w:t>
      </w:r>
      <w:r w:rsidR="00F91162" w:rsidRPr="001B3779">
        <w:rPr>
          <w:lang w:val="fr-FR"/>
        </w:rPr>
        <w:t xml:space="preserve"> possible</w:t>
      </w:r>
      <w:r w:rsidR="00291430" w:rsidRPr="001B3779">
        <w:rPr>
          <w:lang w:val="fr-FR"/>
        </w:rPr>
        <w:t>s</w:t>
      </w:r>
      <w:r w:rsidR="00F91162" w:rsidRPr="001B3779">
        <w:rPr>
          <w:lang w:val="fr-FR"/>
        </w:rPr>
        <w:t xml:space="preserve"> </w:t>
      </w:r>
      <w:r w:rsidR="00291430" w:rsidRPr="001B3779">
        <w:rPr>
          <w:lang w:val="fr-FR"/>
        </w:rPr>
        <w:t>en matière d’estimations des</w:t>
      </w:r>
      <w:r w:rsidR="00F91162" w:rsidRPr="001B3779">
        <w:rPr>
          <w:lang w:val="fr-FR"/>
        </w:rPr>
        <w:t xml:space="preserve"> population</w:t>
      </w:r>
      <w:r w:rsidR="00291430" w:rsidRPr="001B3779">
        <w:rPr>
          <w:lang w:val="fr-FR"/>
        </w:rPr>
        <w:t>s</w:t>
      </w:r>
      <w:r w:rsidR="00F91162" w:rsidRPr="001B3779">
        <w:rPr>
          <w:lang w:val="fr-FR"/>
        </w:rPr>
        <w:t xml:space="preserve"> </w:t>
      </w:r>
      <w:r w:rsidR="00291430" w:rsidRPr="001B3779">
        <w:rPr>
          <w:lang w:val="fr-FR"/>
        </w:rPr>
        <w:t>d’oiseaux</w:t>
      </w:r>
      <w:r w:rsidR="00095B5C" w:rsidRPr="001B3779">
        <w:rPr>
          <w:lang w:val="fr-FR"/>
        </w:rPr>
        <w:t xml:space="preserve"> d’eau, de surveillance d</w:t>
      </w:r>
      <w:r w:rsidR="0076376C" w:rsidRPr="001B3779">
        <w:rPr>
          <w:lang w:val="fr-FR"/>
        </w:rPr>
        <w:t>es oiseaux d’eau, ainsi que de rapports sur ces derniers.</w:t>
      </w:r>
    </w:p>
    <w:p w14:paraId="3A82C443" w14:textId="6A524270" w:rsidR="00F91162" w:rsidRPr="001B3779" w:rsidRDefault="00AD58FB" w:rsidP="00F91162">
      <w:pPr>
        <w:pStyle w:val="BodyText"/>
        <w:spacing w:before="158" w:line="256" w:lineRule="auto"/>
        <w:ind w:left="100" w:right="115"/>
        <w:jc w:val="both"/>
        <w:rPr>
          <w:lang w:val="fr-FR"/>
        </w:rPr>
      </w:pPr>
      <w:r w:rsidRPr="001B3779">
        <w:rPr>
          <w:lang w:val="fr-FR"/>
        </w:rPr>
        <w:t xml:space="preserve">Pour </w:t>
      </w:r>
      <w:r w:rsidR="00E719CD" w:rsidRPr="001B3779">
        <w:rPr>
          <w:lang w:val="fr-FR"/>
        </w:rPr>
        <w:t>exécuter ces mandats, la tâche</w:t>
      </w:r>
      <w:r w:rsidR="00F91162" w:rsidRPr="001B3779">
        <w:rPr>
          <w:lang w:val="fr-FR"/>
        </w:rPr>
        <w:t xml:space="preserve"> 5.3 </w:t>
      </w:r>
      <w:r w:rsidR="00E719CD" w:rsidRPr="001B3779">
        <w:rPr>
          <w:lang w:val="fr-FR"/>
        </w:rPr>
        <w:t>a été incluse dans le plan de travail</w:t>
      </w:r>
      <w:r w:rsidR="00F91162" w:rsidRPr="001B3779">
        <w:rPr>
          <w:lang w:val="fr-FR"/>
        </w:rPr>
        <w:t xml:space="preserve"> 2019-2021</w:t>
      </w:r>
      <w:r w:rsidR="00E719CD" w:rsidRPr="001B3779">
        <w:rPr>
          <w:lang w:val="fr-FR"/>
        </w:rPr>
        <w:t xml:space="preserve"> du Comité technique (CT)</w:t>
      </w:r>
      <w:r w:rsidR="00F91162" w:rsidRPr="001B3779">
        <w:rPr>
          <w:lang w:val="fr-FR"/>
        </w:rPr>
        <w:t xml:space="preserve">. </w:t>
      </w:r>
      <w:r w:rsidR="00AA3328" w:rsidRPr="001B3779">
        <w:rPr>
          <w:lang w:val="fr-FR"/>
        </w:rPr>
        <w:t>Lors de sa</w:t>
      </w:r>
      <w:r w:rsidR="00F91162" w:rsidRPr="001B3779">
        <w:rPr>
          <w:lang w:val="fr-FR"/>
        </w:rPr>
        <w:t xml:space="preserve"> 15</w:t>
      </w:r>
      <w:r w:rsidR="00AA3328" w:rsidRPr="001B3779">
        <w:rPr>
          <w:vertAlign w:val="superscript"/>
          <w:lang w:val="fr-FR"/>
        </w:rPr>
        <w:t>ème</w:t>
      </w:r>
      <w:r w:rsidR="001D4862" w:rsidRPr="001B3779">
        <w:rPr>
          <w:lang w:val="fr-FR"/>
        </w:rPr>
        <w:t xml:space="preserve"> </w:t>
      </w:r>
      <w:r w:rsidR="00F07DA4" w:rsidRPr="001B3779">
        <w:rPr>
          <w:lang w:val="fr-FR"/>
        </w:rPr>
        <w:t>réunion</w:t>
      </w:r>
      <w:r w:rsidR="00AA3328" w:rsidRPr="001B3779">
        <w:rPr>
          <w:lang w:val="fr-FR"/>
        </w:rPr>
        <w:t xml:space="preserve"> en avril</w:t>
      </w:r>
      <w:r w:rsidR="00F91162" w:rsidRPr="001B3779">
        <w:rPr>
          <w:lang w:val="fr-FR"/>
        </w:rPr>
        <w:t xml:space="preserve"> 2019, </w:t>
      </w:r>
      <w:r w:rsidR="00AA3328" w:rsidRPr="001B3779">
        <w:rPr>
          <w:lang w:val="fr-FR"/>
        </w:rPr>
        <w:t>le CT a convenu d’adopter une approche progressive</w:t>
      </w:r>
      <w:r w:rsidR="00FA504E" w:rsidRPr="001B3779">
        <w:rPr>
          <w:lang w:val="fr-FR"/>
        </w:rPr>
        <w:t xml:space="preserve"> et de commencer par compiler une vue d’ensemble en évaluant l’état des</w:t>
      </w:r>
      <w:r w:rsidR="00F91162" w:rsidRPr="001B3779">
        <w:rPr>
          <w:lang w:val="fr-FR"/>
        </w:rPr>
        <w:t xml:space="preserve"> synergies </w:t>
      </w:r>
      <w:r w:rsidR="00FA504E" w:rsidRPr="001B3779">
        <w:rPr>
          <w:lang w:val="fr-FR"/>
        </w:rPr>
        <w:t>et les</w:t>
      </w:r>
      <w:r w:rsidR="00F91162" w:rsidRPr="001B3779">
        <w:rPr>
          <w:lang w:val="fr-FR"/>
        </w:rPr>
        <w:t xml:space="preserve"> options</w:t>
      </w:r>
      <w:r w:rsidR="00FA504E" w:rsidRPr="001B3779">
        <w:rPr>
          <w:lang w:val="fr-FR"/>
        </w:rPr>
        <w:t xml:space="preserve"> potentielles</w:t>
      </w:r>
      <w:r w:rsidR="00F91162" w:rsidRPr="001B3779">
        <w:rPr>
          <w:lang w:val="fr-FR"/>
        </w:rPr>
        <w:t xml:space="preserve">. </w:t>
      </w:r>
      <w:r w:rsidR="00F07DA4" w:rsidRPr="001B3779">
        <w:rPr>
          <w:lang w:val="fr-FR"/>
        </w:rPr>
        <w:t>Lors de sa</w:t>
      </w:r>
      <w:r w:rsidR="00F91162" w:rsidRPr="001B3779">
        <w:rPr>
          <w:lang w:val="fr-FR"/>
        </w:rPr>
        <w:t xml:space="preserve"> 16</w:t>
      </w:r>
      <w:r w:rsidR="00F07DA4" w:rsidRPr="001B3779">
        <w:rPr>
          <w:vertAlign w:val="superscript"/>
          <w:lang w:val="fr-FR"/>
        </w:rPr>
        <w:t>ème</w:t>
      </w:r>
      <w:r w:rsidR="001D4862" w:rsidRPr="001B3779">
        <w:rPr>
          <w:lang w:val="fr-FR"/>
        </w:rPr>
        <w:t xml:space="preserve"> </w:t>
      </w:r>
      <w:r w:rsidR="00B57AC9" w:rsidRPr="001B3779">
        <w:rPr>
          <w:lang w:val="fr-FR"/>
        </w:rPr>
        <w:t>réunion</w:t>
      </w:r>
      <w:r w:rsidR="00F07DA4" w:rsidRPr="001B3779">
        <w:rPr>
          <w:lang w:val="fr-FR"/>
        </w:rPr>
        <w:t xml:space="preserve"> en janvier</w:t>
      </w:r>
      <w:r w:rsidR="00F91162" w:rsidRPr="001B3779">
        <w:rPr>
          <w:lang w:val="fr-FR"/>
        </w:rPr>
        <w:t xml:space="preserve"> 2021, </w:t>
      </w:r>
      <w:r w:rsidR="00F07DA4" w:rsidRPr="001B3779">
        <w:rPr>
          <w:lang w:val="fr-FR"/>
        </w:rPr>
        <w:t xml:space="preserve">le CT a </w:t>
      </w:r>
      <w:r w:rsidR="00565A7D">
        <w:rPr>
          <w:lang w:val="fr-FR"/>
        </w:rPr>
        <w:t>étudié une évaluation des</w:t>
      </w:r>
      <w:r w:rsidR="00F91162" w:rsidRPr="001B3779">
        <w:rPr>
          <w:lang w:val="fr-FR"/>
        </w:rPr>
        <w:t xml:space="preserve"> synergies</w:t>
      </w:r>
      <w:r w:rsidR="00B57AC9" w:rsidRPr="001B3779">
        <w:rPr>
          <w:lang w:val="fr-FR"/>
        </w:rPr>
        <w:t xml:space="preserve"> existantes</w:t>
      </w:r>
      <w:r w:rsidR="00F91162" w:rsidRPr="001B3779">
        <w:rPr>
          <w:lang w:val="fr-FR"/>
        </w:rPr>
        <w:t xml:space="preserve">. </w:t>
      </w:r>
      <w:r w:rsidR="00097BB9" w:rsidRPr="001B3779">
        <w:rPr>
          <w:lang w:val="fr-FR"/>
        </w:rPr>
        <w:t xml:space="preserve">Sur la base des </w:t>
      </w:r>
      <w:r w:rsidR="004B503A">
        <w:rPr>
          <w:lang w:val="fr-FR"/>
        </w:rPr>
        <w:t>commentaires</w:t>
      </w:r>
      <w:r w:rsidR="00097BB9" w:rsidRPr="001B3779">
        <w:rPr>
          <w:lang w:val="fr-FR"/>
        </w:rPr>
        <w:t xml:space="preserve"> du CT, le</w:t>
      </w:r>
      <w:r w:rsidR="00F91162" w:rsidRPr="001B3779">
        <w:rPr>
          <w:lang w:val="fr-FR"/>
        </w:rPr>
        <w:t xml:space="preserve"> document </w:t>
      </w:r>
      <w:r w:rsidR="00097BB9" w:rsidRPr="001B3779">
        <w:rPr>
          <w:lang w:val="fr-FR"/>
        </w:rPr>
        <w:t>a été révisé et des</w:t>
      </w:r>
      <w:r w:rsidR="00F91162" w:rsidRPr="001B3779">
        <w:rPr>
          <w:lang w:val="fr-FR"/>
        </w:rPr>
        <w:t xml:space="preserve"> options </w:t>
      </w:r>
      <w:r w:rsidR="00097BB9" w:rsidRPr="001B3779">
        <w:rPr>
          <w:lang w:val="fr-FR"/>
        </w:rPr>
        <w:t>potentielles de renforcement des</w:t>
      </w:r>
      <w:r w:rsidR="00F91162" w:rsidRPr="001B3779">
        <w:rPr>
          <w:lang w:val="fr-FR"/>
        </w:rPr>
        <w:t xml:space="preserve"> synergies </w:t>
      </w:r>
      <w:r w:rsidR="00097BB9" w:rsidRPr="001B3779">
        <w:rPr>
          <w:lang w:val="fr-FR"/>
        </w:rPr>
        <w:t>ont été identifiées</w:t>
      </w:r>
      <w:r w:rsidR="00F91162" w:rsidRPr="001B3779">
        <w:rPr>
          <w:lang w:val="fr-FR"/>
        </w:rPr>
        <w:t xml:space="preserve">. </w:t>
      </w:r>
    </w:p>
    <w:p w14:paraId="6AEB8529" w14:textId="38BC8311" w:rsidR="00947230" w:rsidRPr="001B3779" w:rsidRDefault="00FB4603" w:rsidP="00F91162">
      <w:pPr>
        <w:pStyle w:val="BodyText"/>
        <w:spacing w:before="158" w:line="256" w:lineRule="auto"/>
        <w:ind w:left="100" w:right="115"/>
        <w:jc w:val="both"/>
        <w:rPr>
          <w:lang w:val="fr-FR"/>
        </w:rPr>
      </w:pPr>
      <w:r w:rsidRPr="001B3779">
        <w:rPr>
          <w:lang w:val="fr-FR"/>
        </w:rPr>
        <w:t>Lors de sa</w:t>
      </w:r>
      <w:r w:rsidR="00F91162" w:rsidRPr="001B3779">
        <w:rPr>
          <w:lang w:val="fr-FR"/>
        </w:rPr>
        <w:t xml:space="preserve"> 16</w:t>
      </w:r>
      <w:r w:rsidRPr="001B3779">
        <w:rPr>
          <w:vertAlign w:val="superscript"/>
          <w:lang w:val="fr-FR"/>
        </w:rPr>
        <w:t>ème</w:t>
      </w:r>
      <w:r w:rsidR="00ED7342" w:rsidRPr="001B3779">
        <w:rPr>
          <w:lang w:val="fr-FR"/>
        </w:rPr>
        <w:t xml:space="preserve"> </w:t>
      </w:r>
      <w:r w:rsidR="00DE4964" w:rsidRPr="001B3779">
        <w:rPr>
          <w:lang w:val="fr-FR"/>
        </w:rPr>
        <w:t>réunion</w:t>
      </w:r>
      <w:r w:rsidRPr="001B3779">
        <w:rPr>
          <w:lang w:val="fr-FR"/>
        </w:rPr>
        <w:t xml:space="preserve"> en mai</w:t>
      </w:r>
      <w:r w:rsidR="00F91162" w:rsidRPr="001B3779">
        <w:rPr>
          <w:lang w:val="fr-FR"/>
        </w:rPr>
        <w:t xml:space="preserve"> 2021</w:t>
      </w:r>
      <w:r w:rsidRPr="001B3779">
        <w:rPr>
          <w:lang w:val="fr-FR"/>
        </w:rPr>
        <w:t xml:space="preserve">, le Comité permanent a </w:t>
      </w:r>
      <w:r w:rsidR="002E4447" w:rsidRPr="001B3779">
        <w:rPr>
          <w:lang w:val="fr-FR"/>
        </w:rPr>
        <w:t>étudié l’évaluation</w:t>
      </w:r>
      <w:r w:rsidRPr="001B3779">
        <w:rPr>
          <w:lang w:val="fr-FR"/>
        </w:rPr>
        <w:t xml:space="preserve"> </w:t>
      </w:r>
      <w:r w:rsidR="002E4447" w:rsidRPr="001B3779">
        <w:rPr>
          <w:lang w:val="fr-FR"/>
        </w:rPr>
        <w:t xml:space="preserve">et </w:t>
      </w:r>
      <w:r w:rsidR="00DE4964" w:rsidRPr="001B3779">
        <w:rPr>
          <w:lang w:val="fr-FR"/>
        </w:rPr>
        <w:t>a approuvé qu’elle soit envoyée pour</w:t>
      </w:r>
      <w:r w:rsidR="00F91162" w:rsidRPr="001B3779">
        <w:rPr>
          <w:lang w:val="fr-FR"/>
        </w:rPr>
        <w:t xml:space="preserve"> consultation </w:t>
      </w:r>
      <w:r w:rsidR="00DE4964" w:rsidRPr="001B3779">
        <w:rPr>
          <w:lang w:val="fr-FR"/>
        </w:rPr>
        <w:t>aux AME et autres cadres identifiés pour une</w:t>
      </w:r>
      <w:r w:rsidR="00F91162" w:rsidRPr="001B3779">
        <w:rPr>
          <w:lang w:val="fr-FR"/>
        </w:rPr>
        <w:t xml:space="preserve"> coop</w:t>
      </w:r>
      <w:r w:rsidR="00DE4964" w:rsidRPr="001B3779">
        <w:rPr>
          <w:lang w:val="fr-FR"/>
        </w:rPr>
        <w:t>é</w:t>
      </w:r>
      <w:r w:rsidR="00F91162" w:rsidRPr="001B3779">
        <w:rPr>
          <w:lang w:val="fr-FR"/>
        </w:rPr>
        <w:t xml:space="preserve">ration </w:t>
      </w:r>
      <w:r w:rsidR="00DE4964" w:rsidRPr="001B3779">
        <w:rPr>
          <w:lang w:val="fr-FR"/>
        </w:rPr>
        <w:t>en matière de surveillance des oiseaux d’eau</w:t>
      </w:r>
      <w:r w:rsidR="00F91162" w:rsidRPr="001B3779">
        <w:rPr>
          <w:lang w:val="fr-FR"/>
        </w:rPr>
        <w:t xml:space="preserve">. </w:t>
      </w:r>
      <w:r w:rsidR="00AC40B2" w:rsidRPr="001B3779">
        <w:rPr>
          <w:lang w:val="fr-FR"/>
        </w:rPr>
        <w:t xml:space="preserve">Après </w:t>
      </w:r>
      <w:r w:rsidR="00F91162" w:rsidRPr="001B3779">
        <w:rPr>
          <w:lang w:val="fr-FR"/>
        </w:rPr>
        <w:t xml:space="preserve">consultation </w:t>
      </w:r>
      <w:r w:rsidR="00AC40B2" w:rsidRPr="001B3779">
        <w:rPr>
          <w:lang w:val="fr-FR"/>
        </w:rPr>
        <w:t>avec les</w:t>
      </w:r>
      <w:r w:rsidR="00F91162" w:rsidRPr="001B3779">
        <w:rPr>
          <w:lang w:val="fr-FR"/>
        </w:rPr>
        <w:t xml:space="preserve"> Secr</w:t>
      </w:r>
      <w:r w:rsidR="00AC40B2" w:rsidRPr="001B3779">
        <w:rPr>
          <w:lang w:val="fr-FR"/>
        </w:rPr>
        <w:t>é</w:t>
      </w:r>
      <w:r w:rsidR="00F91162" w:rsidRPr="001B3779">
        <w:rPr>
          <w:lang w:val="fr-FR"/>
        </w:rPr>
        <w:t xml:space="preserve">tariats </w:t>
      </w:r>
      <w:r w:rsidR="00AC40B2" w:rsidRPr="001B3779">
        <w:rPr>
          <w:lang w:val="fr-FR"/>
        </w:rPr>
        <w:t xml:space="preserve">des AME </w:t>
      </w:r>
      <w:r w:rsidR="001D4816" w:rsidRPr="001B3779">
        <w:rPr>
          <w:lang w:val="fr-FR"/>
        </w:rPr>
        <w:t>et autres cadres pertinents, ce</w:t>
      </w:r>
      <w:r w:rsidR="00F91162" w:rsidRPr="001B3779">
        <w:rPr>
          <w:lang w:val="fr-FR"/>
        </w:rPr>
        <w:t xml:space="preserve"> document </w:t>
      </w:r>
      <w:r w:rsidR="001D4816" w:rsidRPr="001B3779">
        <w:rPr>
          <w:lang w:val="fr-FR"/>
        </w:rPr>
        <w:t>a été finalisé en juillet</w:t>
      </w:r>
      <w:r w:rsidR="00F91162" w:rsidRPr="001B3779">
        <w:rPr>
          <w:lang w:val="fr-FR"/>
        </w:rPr>
        <w:t xml:space="preserve"> 2021 </w:t>
      </w:r>
      <w:r w:rsidR="001D4816" w:rsidRPr="001B3779">
        <w:rPr>
          <w:lang w:val="fr-FR"/>
        </w:rPr>
        <w:t>sur la base des commentaires reçus</w:t>
      </w:r>
      <w:r w:rsidR="00580DE7" w:rsidRPr="001B3779">
        <w:rPr>
          <w:lang w:val="fr-FR"/>
        </w:rPr>
        <w:t xml:space="preserve"> et a été approuvé pour être soumis à la</w:t>
      </w:r>
      <w:r w:rsidR="001D4862" w:rsidRPr="001B3779">
        <w:rPr>
          <w:lang w:val="fr-FR"/>
        </w:rPr>
        <w:t xml:space="preserve"> MOP8 </w:t>
      </w:r>
      <w:r w:rsidR="00580DE7" w:rsidRPr="001B3779">
        <w:rPr>
          <w:lang w:val="fr-FR"/>
        </w:rPr>
        <w:t>par le Comité permanent lors de sa</w:t>
      </w:r>
      <w:r w:rsidR="001D4862" w:rsidRPr="001B3779">
        <w:rPr>
          <w:lang w:val="fr-FR"/>
        </w:rPr>
        <w:t xml:space="preserve"> 18</w:t>
      </w:r>
      <w:r w:rsidR="00580DE7" w:rsidRPr="001B3779">
        <w:rPr>
          <w:vertAlign w:val="superscript"/>
          <w:lang w:val="fr-FR"/>
        </w:rPr>
        <w:t>ème</w:t>
      </w:r>
      <w:r w:rsidR="001D4862" w:rsidRPr="001B3779">
        <w:rPr>
          <w:lang w:val="fr-FR"/>
        </w:rPr>
        <w:t xml:space="preserve"> </w:t>
      </w:r>
      <w:r w:rsidR="00580DE7" w:rsidRPr="001B3779">
        <w:rPr>
          <w:lang w:val="fr-FR"/>
        </w:rPr>
        <w:t>réunion le 28 juillet</w:t>
      </w:r>
      <w:r w:rsidR="001D4862" w:rsidRPr="001B3779">
        <w:rPr>
          <w:lang w:val="fr-FR"/>
        </w:rPr>
        <w:t xml:space="preserve"> 2021</w:t>
      </w:r>
      <w:r w:rsidR="00F91162" w:rsidRPr="001B3779">
        <w:rPr>
          <w:lang w:val="fr-FR"/>
        </w:rPr>
        <w:t xml:space="preserve">. </w:t>
      </w:r>
      <w:r w:rsidR="00947230" w:rsidRPr="001B3779">
        <w:rPr>
          <w:lang w:val="fr-FR"/>
        </w:rPr>
        <w:t xml:space="preserve"> </w:t>
      </w:r>
    </w:p>
    <w:p w14:paraId="531BE2D1" w14:textId="77777777" w:rsidR="00947230" w:rsidRPr="001B3779" w:rsidRDefault="00947230" w:rsidP="00321F10">
      <w:pPr>
        <w:pStyle w:val="BodyText"/>
        <w:spacing w:after="120"/>
        <w:rPr>
          <w:sz w:val="30"/>
          <w:lang w:val="fr-FR"/>
        </w:rPr>
      </w:pPr>
    </w:p>
    <w:p w14:paraId="6FD95353" w14:textId="57F121D2" w:rsidR="00947230" w:rsidRPr="001B3779" w:rsidRDefault="00947230" w:rsidP="00947230">
      <w:pPr>
        <w:pStyle w:val="Heading1"/>
        <w:spacing w:before="1"/>
        <w:ind w:left="100"/>
        <w:rPr>
          <w:lang w:val="fr-FR"/>
        </w:rPr>
      </w:pPr>
      <w:r w:rsidRPr="001B3779">
        <w:rPr>
          <w:lang w:val="fr-FR"/>
        </w:rPr>
        <w:t xml:space="preserve">Action </w:t>
      </w:r>
      <w:r w:rsidR="00272CC6" w:rsidRPr="001B3779">
        <w:rPr>
          <w:lang w:val="fr-FR"/>
        </w:rPr>
        <w:t>requise de la Réunion des</w:t>
      </w:r>
      <w:r w:rsidR="001D4862" w:rsidRPr="001B3779">
        <w:rPr>
          <w:lang w:val="fr-FR"/>
        </w:rPr>
        <w:t xml:space="preserve"> Parties</w:t>
      </w:r>
    </w:p>
    <w:p w14:paraId="7F5E8A77" w14:textId="5A53DB51" w:rsidR="00947230" w:rsidRPr="001B3779" w:rsidRDefault="00F876C4" w:rsidP="00947230">
      <w:pPr>
        <w:pStyle w:val="BodyText"/>
        <w:spacing w:before="182" w:line="256" w:lineRule="auto"/>
        <w:ind w:left="100" w:right="115"/>
        <w:jc w:val="both"/>
        <w:rPr>
          <w:lang w:val="fr-FR"/>
        </w:rPr>
      </w:pPr>
      <w:r w:rsidRPr="001B3779">
        <w:rPr>
          <w:lang w:val="fr-FR"/>
        </w:rPr>
        <w:t>La Réunion des</w:t>
      </w:r>
      <w:r w:rsidR="001D4862" w:rsidRPr="001B3779">
        <w:rPr>
          <w:lang w:val="fr-FR"/>
        </w:rPr>
        <w:t xml:space="preserve"> Parties </w:t>
      </w:r>
      <w:r w:rsidRPr="001B3779">
        <w:rPr>
          <w:lang w:val="fr-FR"/>
        </w:rPr>
        <w:t>doit évaluer et approuver les synergies</w:t>
      </w:r>
      <w:r w:rsidR="001D4862" w:rsidRPr="001B3779">
        <w:rPr>
          <w:lang w:val="fr-FR"/>
        </w:rPr>
        <w:t xml:space="preserve"> possible</w:t>
      </w:r>
      <w:r w:rsidRPr="001B3779">
        <w:rPr>
          <w:lang w:val="fr-FR"/>
        </w:rPr>
        <w:t>s</w:t>
      </w:r>
      <w:r w:rsidR="001D4862" w:rsidRPr="001B3779">
        <w:rPr>
          <w:lang w:val="fr-FR"/>
        </w:rPr>
        <w:t xml:space="preserve"> </w:t>
      </w:r>
      <w:r w:rsidRPr="001B3779">
        <w:rPr>
          <w:lang w:val="fr-FR"/>
        </w:rPr>
        <w:t>en matière de surveillance des oiseaux d’eau avec d’autres cadres et processus identifiés, et</w:t>
      </w:r>
      <w:r w:rsidR="001D4862" w:rsidRPr="001B3779">
        <w:rPr>
          <w:lang w:val="fr-FR"/>
        </w:rPr>
        <w:t xml:space="preserve"> adopt</w:t>
      </w:r>
      <w:r w:rsidRPr="001B3779">
        <w:rPr>
          <w:lang w:val="fr-FR"/>
        </w:rPr>
        <w:t>er</w:t>
      </w:r>
      <w:r w:rsidR="001D4862" w:rsidRPr="001B3779">
        <w:rPr>
          <w:lang w:val="fr-FR"/>
        </w:rPr>
        <w:t xml:space="preserve"> </w:t>
      </w:r>
      <w:r w:rsidRPr="001B3779">
        <w:rPr>
          <w:lang w:val="fr-FR"/>
        </w:rPr>
        <w:t xml:space="preserve">les recommandations </w:t>
      </w:r>
      <w:r w:rsidR="00EA700D" w:rsidRPr="001B3779">
        <w:rPr>
          <w:lang w:val="fr-FR"/>
        </w:rPr>
        <w:t>pour renforcer ces</w:t>
      </w:r>
      <w:r w:rsidR="001D4862" w:rsidRPr="001B3779">
        <w:rPr>
          <w:lang w:val="fr-FR"/>
        </w:rPr>
        <w:t xml:space="preserve"> synergies</w:t>
      </w:r>
      <w:r w:rsidR="00947230" w:rsidRPr="001B3779">
        <w:rPr>
          <w:lang w:val="fr-FR"/>
        </w:rPr>
        <w:t>.</w:t>
      </w:r>
    </w:p>
    <w:p w14:paraId="5E119421" w14:textId="0D16B20B" w:rsidR="00504BD4" w:rsidRDefault="00504BD4" w:rsidP="00947230">
      <w:pPr>
        <w:pStyle w:val="BodyText"/>
        <w:spacing w:before="182" w:line="256" w:lineRule="auto"/>
        <w:ind w:left="100" w:right="115"/>
        <w:jc w:val="both"/>
        <w:rPr>
          <w:lang w:val="fr-FR"/>
        </w:rPr>
      </w:pPr>
    </w:p>
    <w:p w14:paraId="3AB9190D" w14:textId="6A02E561" w:rsidR="005E52F1" w:rsidRDefault="005E52F1" w:rsidP="00947230">
      <w:pPr>
        <w:pStyle w:val="BodyText"/>
        <w:spacing w:before="182" w:line="256" w:lineRule="auto"/>
        <w:ind w:left="100" w:right="115"/>
        <w:jc w:val="both"/>
        <w:rPr>
          <w:lang w:val="fr-FR"/>
        </w:rPr>
      </w:pPr>
    </w:p>
    <w:p w14:paraId="0C26BC64" w14:textId="45160F5C" w:rsidR="005E52F1" w:rsidRDefault="005E52F1" w:rsidP="00947230">
      <w:pPr>
        <w:pStyle w:val="BodyText"/>
        <w:spacing w:before="182" w:line="256" w:lineRule="auto"/>
        <w:ind w:left="100" w:right="115"/>
        <w:jc w:val="both"/>
        <w:rPr>
          <w:lang w:val="fr-FR"/>
        </w:rPr>
      </w:pPr>
    </w:p>
    <w:p w14:paraId="7A581DC0" w14:textId="217A4D15" w:rsidR="005E52F1" w:rsidRDefault="005E52F1" w:rsidP="00947230">
      <w:pPr>
        <w:pStyle w:val="BodyText"/>
        <w:spacing w:before="182" w:line="256" w:lineRule="auto"/>
        <w:ind w:left="100" w:right="115"/>
        <w:jc w:val="both"/>
        <w:rPr>
          <w:lang w:val="fr-FR"/>
        </w:rPr>
      </w:pPr>
    </w:p>
    <w:p w14:paraId="6BEBDBB1" w14:textId="525816ED" w:rsidR="005E52F1" w:rsidRDefault="005E52F1" w:rsidP="00947230">
      <w:pPr>
        <w:pStyle w:val="BodyText"/>
        <w:spacing w:before="182" w:line="256" w:lineRule="auto"/>
        <w:ind w:left="100" w:right="115"/>
        <w:jc w:val="both"/>
        <w:rPr>
          <w:lang w:val="fr-FR"/>
        </w:rPr>
      </w:pPr>
    </w:p>
    <w:p w14:paraId="1874653B" w14:textId="445C47D3" w:rsidR="005E52F1" w:rsidRDefault="005E52F1" w:rsidP="00947230">
      <w:pPr>
        <w:pStyle w:val="BodyText"/>
        <w:spacing w:before="182" w:line="256" w:lineRule="auto"/>
        <w:ind w:left="100" w:right="115"/>
        <w:jc w:val="both"/>
        <w:rPr>
          <w:lang w:val="fr-FR"/>
        </w:rPr>
      </w:pPr>
    </w:p>
    <w:p w14:paraId="233C36C1" w14:textId="77777777" w:rsidR="005E52F1" w:rsidRPr="001B3779" w:rsidRDefault="005E52F1" w:rsidP="00947230">
      <w:pPr>
        <w:pStyle w:val="BodyText"/>
        <w:spacing w:before="182" w:line="256" w:lineRule="auto"/>
        <w:ind w:left="100" w:right="115"/>
        <w:jc w:val="both"/>
        <w:rPr>
          <w:lang w:val="fr-FR"/>
        </w:rPr>
      </w:pPr>
    </w:p>
    <w:p w14:paraId="62230852" w14:textId="59932DB4" w:rsidR="00664206" w:rsidRPr="001B3779" w:rsidRDefault="00504BD4" w:rsidP="005E52F1">
      <w:pPr>
        <w:pStyle w:val="Heading1"/>
        <w:spacing w:before="60" w:line="276" w:lineRule="auto"/>
        <w:ind w:left="1002" w:right="1019"/>
        <w:jc w:val="center"/>
        <w:rPr>
          <w:lang w:val="fr-FR"/>
        </w:rPr>
      </w:pPr>
      <w:r w:rsidRPr="001B3779">
        <w:rPr>
          <w:lang w:val="fr-FR"/>
        </w:rPr>
        <w:lastRenderedPageBreak/>
        <w:t>PROJET DE SYNERGIES AVEC D’AUTRES CADRES EN MATIÈRE DE SURVEILLANCE DES OISEAUX D’EAU</w:t>
      </w:r>
    </w:p>
    <w:p w14:paraId="75031058" w14:textId="77777777" w:rsidR="00664206" w:rsidRPr="001B3779" w:rsidRDefault="00664206">
      <w:pPr>
        <w:pStyle w:val="BodyText"/>
        <w:spacing w:before="10"/>
        <w:rPr>
          <w:b/>
          <w:sz w:val="27"/>
          <w:lang w:val="fr-FR"/>
        </w:rPr>
      </w:pPr>
    </w:p>
    <w:p w14:paraId="102CAEEE" w14:textId="468CA4E8" w:rsidR="00903F84" w:rsidRPr="001B3779" w:rsidRDefault="00903F84" w:rsidP="00903F84">
      <w:pPr>
        <w:pStyle w:val="BodyText"/>
        <w:spacing w:line="259" w:lineRule="auto"/>
        <w:ind w:left="100" w:right="115"/>
        <w:jc w:val="both"/>
        <w:rPr>
          <w:lang w:val="fr-FR"/>
        </w:rPr>
      </w:pPr>
    </w:p>
    <w:p w14:paraId="52E4DF67" w14:textId="2B48962B" w:rsidR="00664206" w:rsidRPr="001B3779" w:rsidRDefault="00504BD4" w:rsidP="00903F84">
      <w:pPr>
        <w:pStyle w:val="BodyText"/>
        <w:spacing w:line="259" w:lineRule="auto"/>
        <w:ind w:left="100" w:right="115"/>
        <w:jc w:val="both"/>
        <w:rPr>
          <w:b/>
          <w:sz w:val="24"/>
          <w:lang w:val="fr-FR"/>
        </w:rPr>
      </w:pPr>
      <w:r w:rsidRPr="001B3779">
        <w:rPr>
          <w:b/>
          <w:sz w:val="24"/>
          <w:lang w:val="fr-FR"/>
        </w:rPr>
        <w:t>Conte</w:t>
      </w:r>
      <w:r w:rsidR="006E51B1" w:rsidRPr="001B3779">
        <w:rPr>
          <w:b/>
          <w:sz w:val="24"/>
          <w:lang w:val="fr-FR"/>
        </w:rPr>
        <w:t>x</w:t>
      </w:r>
      <w:r w:rsidRPr="001B3779">
        <w:rPr>
          <w:b/>
          <w:sz w:val="24"/>
          <w:lang w:val="fr-FR"/>
        </w:rPr>
        <w:t>te</w:t>
      </w:r>
    </w:p>
    <w:p w14:paraId="315B644F" w14:textId="1FB530B6" w:rsidR="00664206" w:rsidRPr="001B3779" w:rsidRDefault="00192703" w:rsidP="00903F84">
      <w:pPr>
        <w:pStyle w:val="BodyText"/>
        <w:spacing w:before="161"/>
        <w:ind w:left="90"/>
        <w:rPr>
          <w:lang w:val="fr-FR"/>
        </w:rPr>
      </w:pPr>
      <w:r w:rsidRPr="001B3779">
        <w:rPr>
          <w:lang w:val="fr-FR"/>
        </w:rPr>
        <w:t>Le Plan de travail 2019-2021 du Comité technique de l’</w:t>
      </w:r>
      <w:r w:rsidR="003F788D" w:rsidRPr="001B3779">
        <w:rPr>
          <w:lang w:val="fr-FR"/>
        </w:rPr>
        <w:t xml:space="preserve">AEWA </w:t>
      </w:r>
      <w:r w:rsidRPr="001B3779">
        <w:rPr>
          <w:lang w:val="fr-FR"/>
        </w:rPr>
        <w:t>a identifié la tâche suivante</w:t>
      </w:r>
      <w:r w:rsidR="003F788D" w:rsidRPr="001B3779">
        <w:rPr>
          <w:lang w:val="fr-FR"/>
        </w:rPr>
        <w:t xml:space="preserve"> (5.3)</w:t>
      </w:r>
      <w:r w:rsidRPr="001B3779">
        <w:rPr>
          <w:lang w:val="fr-FR"/>
        </w:rPr>
        <w:t> </w:t>
      </w:r>
      <w:r w:rsidR="003F788D" w:rsidRPr="001B3779">
        <w:rPr>
          <w:lang w:val="fr-FR"/>
        </w:rPr>
        <w:t>:</w:t>
      </w:r>
    </w:p>
    <w:p w14:paraId="1A240823" w14:textId="77777777" w:rsidR="00664206" w:rsidRPr="001B3779" w:rsidRDefault="00664206">
      <w:pPr>
        <w:pStyle w:val="BodyText"/>
        <w:rPr>
          <w:lang w:val="fr-FR"/>
        </w:rPr>
      </w:pPr>
    </w:p>
    <w:p w14:paraId="7358ED98" w14:textId="35A2A56C" w:rsidR="00664206" w:rsidRPr="001B3779" w:rsidRDefault="00E40AE4" w:rsidP="00903F84">
      <w:pPr>
        <w:pStyle w:val="BodyText"/>
        <w:ind w:left="90" w:right="736" w:hanging="90"/>
        <w:jc w:val="both"/>
        <w:rPr>
          <w:lang w:val="fr-FR"/>
        </w:rPr>
      </w:pPr>
      <w:r w:rsidRPr="001B3779">
        <w:rPr>
          <w:lang w:val="fr-FR"/>
        </w:rPr>
        <w:t>« </w:t>
      </w:r>
      <w:r w:rsidR="004C1E74" w:rsidRPr="001B3779">
        <w:rPr>
          <w:lang w:val="fr-FR"/>
        </w:rPr>
        <w:t>Travailler avec la Convention Ramsar et ses initiatives régionales, la Commission européenne, ainsi que la CAFF-AMBI, le Secrétariat commun de la mer des Wadden (Initiative Voie de migration de la mer des Wadden), la Convention OSPAR, HELCOM et autres AME régionaux pertinents afin d’identifier des synergies possibles en matière d’estimations des populations d’oiseaux d’eau, de surveillance des oiseaux d’eau, ainsi que de rapports sur ces derniers</w:t>
      </w:r>
      <w:r w:rsidR="003F788D" w:rsidRPr="001B3779">
        <w:rPr>
          <w:lang w:val="fr-FR"/>
        </w:rPr>
        <w:t xml:space="preserve">, </w:t>
      </w:r>
      <w:r w:rsidR="007E6770" w:rsidRPr="001B3779">
        <w:rPr>
          <w:lang w:val="fr-FR"/>
        </w:rPr>
        <w:t xml:space="preserve">y compris dans le contexte des Objectifs 11 et 13 du Plan stratégique Ramsar et </w:t>
      </w:r>
      <w:r w:rsidR="00D324DA" w:rsidRPr="008604F9">
        <w:rPr>
          <w:lang w:val="fr-FR"/>
        </w:rPr>
        <w:t>d’éventuels indicateurs nouvellement développés pour l’objectif 5 concernant</w:t>
      </w:r>
      <w:r w:rsidR="00D324DA">
        <w:rPr>
          <w:lang w:val="fr-FR"/>
        </w:rPr>
        <w:t xml:space="preserve"> </w:t>
      </w:r>
      <w:r w:rsidR="00D324DA" w:rsidRPr="008604F9">
        <w:rPr>
          <w:lang w:val="fr-FR"/>
        </w:rPr>
        <w:t>l’intégration de populations d’oiseaux qui dépendent de zones humides par des sites désignés Ramsar</w:t>
      </w:r>
      <w:r w:rsidR="00D324DA" w:rsidRPr="001B3779">
        <w:rPr>
          <w:lang w:val="fr-FR"/>
        </w:rPr>
        <w:t xml:space="preserve"> </w:t>
      </w:r>
      <w:r w:rsidR="003F788D" w:rsidRPr="001B3779">
        <w:rPr>
          <w:lang w:val="fr-FR"/>
        </w:rPr>
        <w:t>(</w:t>
      </w:r>
      <w:r w:rsidRPr="001B3779">
        <w:rPr>
          <w:lang w:val="fr-FR"/>
        </w:rPr>
        <w:t>Résolutions</w:t>
      </w:r>
      <w:r w:rsidR="003F788D" w:rsidRPr="001B3779">
        <w:rPr>
          <w:lang w:val="fr-FR"/>
        </w:rPr>
        <w:t xml:space="preserve"> 6.3 </w:t>
      </w:r>
      <w:r w:rsidRPr="001B3779">
        <w:rPr>
          <w:lang w:val="fr-FR"/>
        </w:rPr>
        <w:t>et</w:t>
      </w:r>
      <w:r w:rsidR="003F788D" w:rsidRPr="001B3779">
        <w:rPr>
          <w:lang w:val="fr-FR"/>
        </w:rPr>
        <w:t xml:space="preserve"> 7.7)</w:t>
      </w:r>
      <w:r w:rsidR="00865AE2" w:rsidRPr="001B3779">
        <w:rPr>
          <w:rStyle w:val="FootnoteReference"/>
          <w:lang w:val="fr-FR"/>
        </w:rPr>
        <w:footnoteReference w:id="2"/>
      </w:r>
      <w:r w:rsidRPr="001B3779">
        <w:rPr>
          <w:lang w:val="fr-FR"/>
        </w:rPr>
        <w:t> »</w:t>
      </w:r>
      <w:r w:rsidR="003F788D" w:rsidRPr="001B3779">
        <w:rPr>
          <w:lang w:val="fr-FR"/>
        </w:rPr>
        <w:t>.</w:t>
      </w:r>
    </w:p>
    <w:p w14:paraId="359FD9FA" w14:textId="77777777" w:rsidR="00664206" w:rsidRPr="001B3779" w:rsidRDefault="00664206">
      <w:pPr>
        <w:pStyle w:val="BodyText"/>
        <w:spacing w:before="1"/>
        <w:rPr>
          <w:lang w:val="fr-FR"/>
        </w:rPr>
      </w:pPr>
    </w:p>
    <w:p w14:paraId="507A2C1A" w14:textId="0B88C8D6" w:rsidR="00664206" w:rsidRPr="001B3779" w:rsidRDefault="00935C94" w:rsidP="00903F84">
      <w:pPr>
        <w:pStyle w:val="BodyText"/>
        <w:spacing w:line="252" w:lineRule="exact"/>
        <w:ind w:left="90"/>
        <w:jc w:val="both"/>
        <w:rPr>
          <w:lang w:val="fr-FR"/>
        </w:rPr>
      </w:pPr>
      <w:r w:rsidRPr="001B3779">
        <w:rPr>
          <w:lang w:val="fr-FR"/>
        </w:rPr>
        <w:t>Elle prévoit deux étapes </w:t>
      </w:r>
      <w:r w:rsidR="003F788D" w:rsidRPr="001B3779">
        <w:rPr>
          <w:lang w:val="fr-FR"/>
        </w:rPr>
        <w:t>:</w:t>
      </w:r>
    </w:p>
    <w:p w14:paraId="79FACAF1" w14:textId="66CD7653" w:rsidR="00664206" w:rsidRPr="001B3779" w:rsidRDefault="00DF4B25">
      <w:pPr>
        <w:pStyle w:val="ListParagraph"/>
        <w:numPr>
          <w:ilvl w:val="0"/>
          <w:numId w:val="3"/>
        </w:numPr>
        <w:tabs>
          <w:tab w:val="left" w:pos="1441"/>
        </w:tabs>
        <w:spacing w:line="252" w:lineRule="exact"/>
        <w:ind w:hanging="361"/>
        <w:jc w:val="both"/>
        <w:rPr>
          <w:lang w:val="fr-FR"/>
        </w:rPr>
      </w:pPr>
      <w:r w:rsidRPr="001B3779">
        <w:rPr>
          <w:lang w:val="fr-FR"/>
        </w:rPr>
        <w:t>É</w:t>
      </w:r>
      <w:r w:rsidR="00935C94" w:rsidRPr="001B3779">
        <w:rPr>
          <w:lang w:val="fr-FR"/>
        </w:rPr>
        <w:t>valuer l’état des</w:t>
      </w:r>
      <w:r w:rsidR="003F788D" w:rsidRPr="001B3779">
        <w:rPr>
          <w:lang w:val="fr-FR"/>
        </w:rPr>
        <w:t xml:space="preserve"> synergies </w:t>
      </w:r>
      <w:r w:rsidR="00935C94" w:rsidRPr="001B3779">
        <w:rPr>
          <w:lang w:val="fr-FR"/>
        </w:rPr>
        <w:t>et les</w:t>
      </w:r>
      <w:r w:rsidR="003F788D" w:rsidRPr="001B3779">
        <w:rPr>
          <w:spacing w:val="-7"/>
          <w:lang w:val="fr-FR"/>
        </w:rPr>
        <w:t xml:space="preserve"> </w:t>
      </w:r>
      <w:r w:rsidR="003F788D" w:rsidRPr="001B3779">
        <w:rPr>
          <w:lang w:val="fr-FR"/>
        </w:rPr>
        <w:t>options</w:t>
      </w:r>
      <w:r w:rsidR="00935C94" w:rsidRPr="001B3779">
        <w:rPr>
          <w:lang w:val="fr-FR"/>
        </w:rPr>
        <w:t xml:space="preserve"> potentielles </w:t>
      </w:r>
      <w:r w:rsidR="003F788D" w:rsidRPr="001B3779">
        <w:rPr>
          <w:lang w:val="fr-FR"/>
        </w:rPr>
        <w:t>;</w:t>
      </w:r>
    </w:p>
    <w:p w14:paraId="2548762A" w14:textId="65678FB4" w:rsidR="00664206" w:rsidRPr="001B3779" w:rsidRDefault="003F788D">
      <w:pPr>
        <w:pStyle w:val="ListParagraph"/>
        <w:numPr>
          <w:ilvl w:val="0"/>
          <w:numId w:val="3"/>
        </w:numPr>
        <w:tabs>
          <w:tab w:val="left" w:pos="1441"/>
        </w:tabs>
        <w:spacing w:before="1"/>
        <w:ind w:right="736"/>
        <w:jc w:val="both"/>
        <w:rPr>
          <w:lang w:val="fr-FR"/>
        </w:rPr>
      </w:pPr>
      <w:r w:rsidRPr="001B3779">
        <w:rPr>
          <w:lang w:val="fr-FR"/>
        </w:rPr>
        <w:t>Consult</w:t>
      </w:r>
      <w:r w:rsidR="000E7EF7" w:rsidRPr="001B3779">
        <w:rPr>
          <w:lang w:val="fr-FR"/>
        </w:rPr>
        <w:t>er l’é</w:t>
      </w:r>
      <w:r w:rsidR="00386811" w:rsidRPr="001B3779">
        <w:rPr>
          <w:lang w:val="fr-FR"/>
        </w:rPr>
        <w:t xml:space="preserve">valuation de l’état et </w:t>
      </w:r>
      <w:r w:rsidR="00AE4B01">
        <w:rPr>
          <w:lang w:val="fr-FR"/>
        </w:rPr>
        <w:t>d</w:t>
      </w:r>
      <w:r w:rsidR="00386811" w:rsidRPr="001B3779">
        <w:rPr>
          <w:lang w:val="fr-FR"/>
        </w:rPr>
        <w:t xml:space="preserve">es </w:t>
      </w:r>
      <w:r w:rsidRPr="001B3779">
        <w:rPr>
          <w:lang w:val="fr-FR"/>
        </w:rPr>
        <w:t xml:space="preserve">options </w:t>
      </w:r>
      <w:r w:rsidR="00386811" w:rsidRPr="001B3779">
        <w:rPr>
          <w:lang w:val="fr-FR"/>
        </w:rPr>
        <w:t>de</w:t>
      </w:r>
      <w:r w:rsidRPr="001B3779">
        <w:rPr>
          <w:lang w:val="fr-FR"/>
        </w:rPr>
        <w:t xml:space="preserve"> synergies </w:t>
      </w:r>
      <w:r w:rsidR="00386811" w:rsidRPr="001B3779">
        <w:rPr>
          <w:lang w:val="fr-FR"/>
        </w:rPr>
        <w:t>avec les cadres identifiés et</w:t>
      </w:r>
      <w:r w:rsidRPr="001B3779">
        <w:rPr>
          <w:lang w:val="fr-FR"/>
        </w:rPr>
        <w:t xml:space="preserve"> finalise</w:t>
      </w:r>
      <w:r w:rsidR="00386811" w:rsidRPr="001B3779">
        <w:rPr>
          <w:lang w:val="fr-FR"/>
        </w:rPr>
        <w:t>r</w:t>
      </w:r>
      <w:r w:rsidRPr="001B3779">
        <w:rPr>
          <w:lang w:val="fr-FR"/>
        </w:rPr>
        <w:t xml:space="preserve"> </w:t>
      </w:r>
      <w:r w:rsidR="00386811" w:rsidRPr="001B3779">
        <w:rPr>
          <w:lang w:val="fr-FR"/>
        </w:rPr>
        <w:t>le</w:t>
      </w:r>
      <w:r w:rsidRPr="001B3779">
        <w:rPr>
          <w:lang w:val="fr-FR"/>
        </w:rPr>
        <w:t xml:space="preserve"> document </w:t>
      </w:r>
      <w:r w:rsidR="005A53BF" w:rsidRPr="001B3779">
        <w:rPr>
          <w:lang w:val="fr-FR"/>
        </w:rPr>
        <w:t>en tant que projet pour le renforcement des</w:t>
      </w:r>
      <w:r w:rsidRPr="001B3779">
        <w:rPr>
          <w:lang w:val="fr-FR"/>
        </w:rPr>
        <w:t xml:space="preserve"> synergies</w:t>
      </w:r>
      <w:r w:rsidR="005A53BF" w:rsidRPr="001B3779">
        <w:rPr>
          <w:lang w:val="fr-FR"/>
        </w:rPr>
        <w:t xml:space="preserve"> existantes et le développement de nouvelles</w:t>
      </w:r>
      <w:r w:rsidRPr="001B3779">
        <w:rPr>
          <w:lang w:val="fr-FR"/>
        </w:rPr>
        <w:t>.</w:t>
      </w:r>
    </w:p>
    <w:p w14:paraId="1337AF8F" w14:textId="092F69C6" w:rsidR="00F91162" w:rsidRPr="001B3779" w:rsidRDefault="00F91162" w:rsidP="00F91162">
      <w:pPr>
        <w:tabs>
          <w:tab w:val="left" w:pos="1441"/>
        </w:tabs>
        <w:spacing w:before="1"/>
        <w:ind w:right="736"/>
        <w:jc w:val="both"/>
        <w:rPr>
          <w:lang w:val="fr-FR"/>
        </w:rPr>
      </w:pPr>
    </w:p>
    <w:p w14:paraId="7AF97F62" w14:textId="08183BE2" w:rsidR="00F91162" w:rsidRPr="001B3779" w:rsidRDefault="00943B4E" w:rsidP="00F91162">
      <w:pPr>
        <w:tabs>
          <w:tab w:val="left" w:pos="1441"/>
        </w:tabs>
        <w:spacing w:before="1"/>
        <w:ind w:right="736"/>
        <w:jc w:val="both"/>
        <w:rPr>
          <w:lang w:val="fr-FR"/>
        </w:rPr>
      </w:pPr>
      <w:r w:rsidRPr="001B3779">
        <w:rPr>
          <w:lang w:val="fr-FR"/>
        </w:rPr>
        <w:t xml:space="preserve">Les deux étapes ont été mises en œuvres et </w:t>
      </w:r>
      <w:r w:rsidR="00824E77" w:rsidRPr="001B3779">
        <w:rPr>
          <w:lang w:val="fr-FR"/>
        </w:rPr>
        <w:t>l’évaluation et les recommandations qui en découlent sont présentées ci-dessous</w:t>
      </w:r>
      <w:r w:rsidR="001A4DB7" w:rsidRPr="001B3779">
        <w:rPr>
          <w:lang w:val="fr-FR"/>
        </w:rPr>
        <w:t xml:space="preserve">. </w:t>
      </w:r>
    </w:p>
    <w:p w14:paraId="3E187AFA" w14:textId="77777777" w:rsidR="00E543C6" w:rsidRPr="001B3779" w:rsidRDefault="00E543C6">
      <w:pPr>
        <w:pStyle w:val="BodyText"/>
        <w:spacing w:before="10"/>
        <w:rPr>
          <w:szCs w:val="14"/>
          <w:lang w:val="fr-FR"/>
        </w:rPr>
      </w:pPr>
    </w:p>
    <w:p w14:paraId="5497D24E" w14:textId="2162498E" w:rsidR="00664206" w:rsidRPr="001B3779" w:rsidRDefault="00BF4782" w:rsidP="00903F84">
      <w:pPr>
        <w:pStyle w:val="Heading1"/>
        <w:ind w:left="90"/>
        <w:jc w:val="both"/>
        <w:rPr>
          <w:lang w:val="fr-FR"/>
        </w:rPr>
      </w:pPr>
      <w:r w:rsidRPr="001B3779">
        <w:rPr>
          <w:lang w:val="fr-FR"/>
        </w:rPr>
        <w:t>Données sur les oiseaux requises par divers AME</w:t>
      </w:r>
    </w:p>
    <w:p w14:paraId="5F6BE33C" w14:textId="391A74E8" w:rsidR="00664206" w:rsidRPr="001B3779" w:rsidRDefault="003F4DA0" w:rsidP="00903F84">
      <w:pPr>
        <w:pStyle w:val="BodyText"/>
        <w:spacing w:before="161"/>
        <w:ind w:left="90"/>
        <w:jc w:val="both"/>
        <w:rPr>
          <w:lang w:val="fr-FR"/>
        </w:rPr>
      </w:pPr>
      <w:r w:rsidRPr="001B3779">
        <w:rPr>
          <w:lang w:val="fr-FR"/>
        </w:rPr>
        <w:t xml:space="preserve">Le </w:t>
      </w:r>
      <w:r w:rsidR="003F788D" w:rsidRPr="001B3779">
        <w:rPr>
          <w:lang w:val="fr-FR"/>
        </w:rPr>
        <w:t>Table</w:t>
      </w:r>
      <w:r w:rsidRPr="001B3779">
        <w:rPr>
          <w:lang w:val="fr-FR"/>
        </w:rPr>
        <w:t>au</w:t>
      </w:r>
      <w:r w:rsidR="003F788D" w:rsidRPr="001B3779">
        <w:rPr>
          <w:lang w:val="fr-FR"/>
        </w:rPr>
        <w:t xml:space="preserve"> 1 </w:t>
      </w:r>
      <w:r w:rsidRPr="001B3779">
        <w:rPr>
          <w:lang w:val="fr-FR"/>
        </w:rPr>
        <w:t xml:space="preserve">fournit une vue d’ensemble des principaux attributs des oiseaux collectés et rapportés par </w:t>
      </w:r>
      <w:r w:rsidR="00AB7BE1" w:rsidRPr="001B3779">
        <w:rPr>
          <w:lang w:val="fr-FR"/>
        </w:rPr>
        <w:t>les divers AME</w:t>
      </w:r>
      <w:r w:rsidR="003F788D" w:rsidRPr="001B3779">
        <w:rPr>
          <w:lang w:val="fr-FR"/>
        </w:rPr>
        <w:t>.</w:t>
      </w:r>
    </w:p>
    <w:p w14:paraId="48F95A06" w14:textId="77777777" w:rsidR="00664206" w:rsidRPr="001B3779" w:rsidRDefault="00664206">
      <w:pPr>
        <w:pStyle w:val="BodyText"/>
        <w:spacing w:before="10"/>
        <w:rPr>
          <w:sz w:val="23"/>
          <w:lang w:val="fr-FR"/>
        </w:rPr>
      </w:pPr>
    </w:p>
    <w:p w14:paraId="20FF813B" w14:textId="362E205F" w:rsidR="00664206" w:rsidRPr="001B3779" w:rsidRDefault="003F788D" w:rsidP="00903F84">
      <w:pPr>
        <w:pStyle w:val="BodyText"/>
        <w:spacing w:before="1"/>
        <w:ind w:left="90"/>
        <w:jc w:val="both"/>
        <w:rPr>
          <w:lang w:val="fr-FR"/>
        </w:rPr>
      </w:pPr>
      <w:r w:rsidRPr="001B3779">
        <w:rPr>
          <w:b/>
          <w:lang w:val="fr-FR"/>
        </w:rPr>
        <w:t>Table</w:t>
      </w:r>
      <w:r w:rsidR="004869E6" w:rsidRPr="001B3779">
        <w:rPr>
          <w:b/>
          <w:lang w:val="fr-FR"/>
        </w:rPr>
        <w:t>au</w:t>
      </w:r>
      <w:r w:rsidRPr="001B3779">
        <w:rPr>
          <w:b/>
          <w:lang w:val="fr-FR"/>
        </w:rPr>
        <w:t xml:space="preserve"> 1. </w:t>
      </w:r>
      <w:r w:rsidR="004869E6" w:rsidRPr="001B3779">
        <w:rPr>
          <w:lang w:val="fr-FR"/>
        </w:rPr>
        <w:t>Principaux attributs des oiseaux collectés et rapportés par les divers AME</w:t>
      </w:r>
      <w:r w:rsidRPr="001B3779">
        <w:rPr>
          <w:lang w:val="fr-FR"/>
        </w:rPr>
        <w:t>.</w:t>
      </w:r>
    </w:p>
    <w:p w14:paraId="050D813D" w14:textId="77777777" w:rsidR="00664206" w:rsidRPr="001B3779" w:rsidRDefault="00664206">
      <w:pPr>
        <w:pStyle w:val="BodyText"/>
        <w:spacing w:before="1"/>
        <w:rPr>
          <w:lang w:val="fr-FR"/>
        </w:r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9"/>
        <w:gridCol w:w="2256"/>
        <w:gridCol w:w="2259"/>
        <w:gridCol w:w="2257"/>
      </w:tblGrid>
      <w:tr w:rsidR="00664206" w:rsidRPr="005E52F1" w14:paraId="3B4E8269" w14:textId="77777777" w:rsidTr="004C64C1">
        <w:trPr>
          <w:trHeight w:val="661"/>
          <w:tblHeader/>
        </w:trPr>
        <w:tc>
          <w:tcPr>
            <w:tcW w:w="2259" w:type="dxa"/>
          </w:tcPr>
          <w:p w14:paraId="7223BB9A" w14:textId="7B1B0AB8" w:rsidR="00664206" w:rsidRPr="001B3779" w:rsidRDefault="005E6EA7">
            <w:pPr>
              <w:pStyle w:val="TableParagraph"/>
              <w:rPr>
                <w:b/>
                <w:sz w:val="20"/>
                <w:lang w:val="fr-FR"/>
              </w:rPr>
            </w:pPr>
            <w:r w:rsidRPr="001B3779">
              <w:rPr>
                <w:b/>
                <w:sz w:val="20"/>
                <w:lang w:val="fr-FR"/>
              </w:rPr>
              <w:t>AME</w:t>
            </w:r>
            <w:r w:rsidR="003C1D3E" w:rsidRPr="001B3779">
              <w:rPr>
                <w:b/>
                <w:sz w:val="20"/>
                <w:lang w:val="fr-FR"/>
              </w:rPr>
              <w:t xml:space="preserve"> / initiative</w:t>
            </w:r>
          </w:p>
          <w:p w14:paraId="5FE0F6DC" w14:textId="5E7BED8E" w:rsidR="00664206" w:rsidRPr="001B3779" w:rsidRDefault="003F788D">
            <w:pPr>
              <w:pStyle w:val="TableParagraph"/>
              <w:spacing w:before="0"/>
              <w:rPr>
                <w:b/>
                <w:sz w:val="20"/>
                <w:lang w:val="fr-FR"/>
              </w:rPr>
            </w:pPr>
            <w:r w:rsidRPr="001B3779">
              <w:rPr>
                <w:b/>
                <w:sz w:val="20"/>
                <w:lang w:val="fr-FR"/>
              </w:rPr>
              <w:t>(</w:t>
            </w:r>
            <w:r w:rsidR="005E6EA7" w:rsidRPr="001B3779">
              <w:rPr>
                <w:b/>
                <w:sz w:val="20"/>
                <w:lang w:val="fr-FR"/>
              </w:rPr>
              <w:t>Support technique</w:t>
            </w:r>
            <w:r w:rsidRPr="001B3779">
              <w:rPr>
                <w:b/>
                <w:sz w:val="20"/>
                <w:lang w:val="fr-FR"/>
              </w:rPr>
              <w:t>)</w:t>
            </w:r>
          </w:p>
        </w:tc>
        <w:tc>
          <w:tcPr>
            <w:tcW w:w="2256" w:type="dxa"/>
          </w:tcPr>
          <w:p w14:paraId="546B2FC3" w14:textId="18B44C64" w:rsidR="00664206" w:rsidRPr="001B3779" w:rsidRDefault="005E6EA7">
            <w:pPr>
              <w:pStyle w:val="TableParagraph"/>
              <w:rPr>
                <w:b/>
                <w:sz w:val="20"/>
                <w:lang w:val="fr-FR"/>
              </w:rPr>
            </w:pPr>
            <w:r w:rsidRPr="001B3779">
              <w:rPr>
                <w:b/>
                <w:sz w:val="20"/>
                <w:lang w:val="fr-FR"/>
              </w:rPr>
              <w:t>Taille de la p</w:t>
            </w:r>
            <w:r w:rsidR="003F788D" w:rsidRPr="001B3779">
              <w:rPr>
                <w:b/>
                <w:sz w:val="20"/>
                <w:lang w:val="fr-FR"/>
              </w:rPr>
              <w:t>opulation</w:t>
            </w:r>
          </w:p>
        </w:tc>
        <w:tc>
          <w:tcPr>
            <w:tcW w:w="2259" w:type="dxa"/>
          </w:tcPr>
          <w:p w14:paraId="2F141D83" w14:textId="26A6312E" w:rsidR="00664206" w:rsidRPr="001B3779" w:rsidRDefault="005E6EA7">
            <w:pPr>
              <w:pStyle w:val="TableParagraph"/>
              <w:rPr>
                <w:b/>
                <w:sz w:val="20"/>
                <w:lang w:val="fr-FR"/>
              </w:rPr>
            </w:pPr>
            <w:r w:rsidRPr="001B3779">
              <w:rPr>
                <w:b/>
                <w:sz w:val="20"/>
                <w:lang w:val="fr-FR"/>
              </w:rPr>
              <w:t>Tendance de la p</w:t>
            </w:r>
            <w:r w:rsidR="003F788D" w:rsidRPr="001B3779">
              <w:rPr>
                <w:b/>
                <w:sz w:val="20"/>
                <w:lang w:val="fr-FR"/>
              </w:rPr>
              <w:t>opulation</w:t>
            </w:r>
          </w:p>
        </w:tc>
        <w:tc>
          <w:tcPr>
            <w:tcW w:w="2257" w:type="dxa"/>
          </w:tcPr>
          <w:p w14:paraId="31BD03FB" w14:textId="7B9472D1" w:rsidR="00664206" w:rsidRPr="001B3779" w:rsidRDefault="007E20DE">
            <w:pPr>
              <w:pStyle w:val="TableParagraph"/>
              <w:rPr>
                <w:b/>
                <w:sz w:val="20"/>
                <w:lang w:val="fr-FR"/>
              </w:rPr>
            </w:pPr>
            <w:r w:rsidRPr="001B3779">
              <w:rPr>
                <w:b/>
                <w:sz w:val="20"/>
                <w:lang w:val="fr-FR"/>
              </w:rPr>
              <w:t>Nombre d’oiseaux sur les</w:t>
            </w:r>
            <w:r w:rsidR="003F788D" w:rsidRPr="001B3779">
              <w:rPr>
                <w:b/>
                <w:sz w:val="20"/>
                <w:lang w:val="fr-FR"/>
              </w:rPr>
              <w:t xml:space="preserve"> sites</w:t>
            </w:r>
          </w:p>
        </w:tc>
      </w:tr>
      <w:tr w:rsidR="00664206" w:rsidRPr="001B3779" w14:paraId="41F48E49" w14:textId="77777777" w:rsidTr="00CC3100">
        <w:trPr>
          <w:trHeight w:val="5030"/>
        </w:trPr>
        <w:tc>
          <w:tcPr>
            <w:tcW w:w="2259" w:type="dxa"/>
            <w:tcBorders>
              <w:bottom w:val="single" w:sz="8" w:space="0" w:color="000000"/>
            </w:tcBorders>
          </w:tcPr>
          <w:p w14:paraId="4DEDC1E6" w14:textId="77777777" w:rsidR="00664206" w:rsidRPr="001B3779" w:rsidRDefault="003F788D">
            <w:pPr>
              <w:pStyle w:val="TableParagraph"/>
              <w:spacing w:before="98"/>
              <w:rPr>
                <w:sz w:val="20"/>
                <w:lang w:val="fr-FR"/>
              </w:rPr>
            </w:pPr>
            <w:r w:rsidRPr="001B3779">
              <w:rPr>
                <w:sz w:val="20"/>
                <w:lang w:val="fr-FR"/>
              </w:rPr>
              <w:t>AEWA</w:t>
            </w:r>
          </w:p>
          <w:p w14:paraId="7457DB1E" w14:textId="77777777" w:rsidR="004C64C1" w:rsidRPr="001B3779" w:rsidRDefault="004C64C1">
            <w:pPr>
              <w:pStyle w:val="TableParagraph"/>
              <w:spacing w:before="0"/>
              <w:rPr>
                <w:sz w:val="20"/>
                <w:lang w:val="fr-FR"/>
              </w:rPr>
            </w:pPr>
          </w:p>
          <w:p w14:paraId="3568224A" w14:textId="0CB77032" w:rsidR="00664206" w:rsidRPr="001B3779" w:rsidRDefault="003F788D">
            <w:pPr>
              <w:pStyle w:val="TableParagraph"/>
              <w:spacing w:before="0"/>
              <w:rPr>
                <w:sz w:val="20"/>
                <w:lang w:val="fr-FR"/>
              </w:rPr>
            </w:pPr>
            <w:r w:rsidRPr="001B3779">
              <w:rPr>
                <w:sz w:val="20"/>
                <w:lang w:val="fr-FR"/>
              </w:rPr>
              <w:t>(</w:t>
            </w:r>
            <w:proofErr w:type="spellStart"/>
            <w:r w:rsidRPr="001B3779">
              <w:rPr>
                <w:sz w:val="20"/>
                <w:lang w:val="fr-FR"/>
              </w:rPr>
              <w:t>Wetlands</w:t>
            </w:r>
            <w:proofErr w:type="spellEnd"/>
            <w:r w:rsidRPr="001B3779">
              <w:rPr>
                <w:sz w:val="20"/>
                <w:lang w:val="fr-FR"/>
              </w:rPr>
              <w:t xml:space="preserve"> International)</w:t>
            </w:r>
          </w:p>
        </w:tc>
        <w:tc>
          <w:tcPr>
            <w:tcW w:w="2256" w:type="dxa"/>
            <w:tcBorders>
              <w:bottom w:val="single" w:sz="8" w:space="0" w:color="000000"/>
            </w:tcBorders>
          </w:tcPr>
          <w:p w14:paraId="76F84566" w14:textId="021016CF" w:rsidR="00664206" w:rsidRPr="001B3779" w:rsidRDefault="003F788D">
            <w:pPr>
              <w:pStyle w:val="TableParagraph"/>
              <w:spacing w:before="98"/>
              <w:ind w:right="110"/>
              <w:rPr>
                <w:sz w:val="20"/>
                <w:lang w:val="fr-FR"/>
              </w:rPr>
            </w:pPr>
            <w:r w:rsidRPr="001B3779">
              <w:rPr>
                <w:sz w:val="20"/>
                <w:lang w:val="fr-FR"/>
              </w:rPr>
              <w:t xml:space="preserve">Classification </w:t>
            </w:r>
            <w:r w:rsidR="000303CC" w:rsidRPr="001B3779">
              <w:rPr>
                <w:sz w:val="20"/>
                <w:lang w:val="fr-FR"/>
              </w:rPr>
              <w:t>dans le</w:t>
            </w:r>
            <w:r w:rsidRPr="001B3779">
              <w:rPr>
                <w:sz w:val="20"/>
                <w:lang w:val="fr-FR"/>
              </w:rPr>
              <w:t xml:space="preserve"> Table</w:t>
            </w:r>
            <w:r w:rsidR="000303CC" w:rsidRPr="001B3779">
              <w:rPr>
                <w:sz w:val="20"/>
                <w:lang w:val="fr-FR"/>
              </w:rPr>
              <w:t>au</w:t>
            </w:r>
            <w:r w:rsidRPr="001B3779">
              <w:rPr>
                <w:sz w:val="20"/>
                <w:lang w:val="fr-FR"/>
              </w:rPr>
              <w:t xml:space="preserve"> 1 </w:t>
            </w:r>
            <w:r w:rsidR="000303CC" w:rsidRPr="001B3779">
              <w:rPr>
                <w:sz w:val="20"/>
                <w:lang w:val="fr-FR"/>
              </w:rPr>
              <w:t>de l’</w:t>
            </w:r>
            <w:r w:rsidRPr="001B3779">
              <w:rPr>
                <w:sz w:val="20"/>
                <w:lang w:val="fr-FR"/>
              </w:rPr>
              <w:t>Annex</w:t>
            </w:r>
            <w:r w:rsidR="000303CC" w:rsidRPr="001B3779">
              <w:rPr>
                <w:sz w:val="20"/>
                <w:lang w:val="fr-FR"/>
              </w:rPr>
              <w:t>e</w:t>
            </w:r>
            <w:r w:rsidRPr="001B3779">
              <w:rPr>
                <w:sz w:val="20"/>
                <w:lang w:val="fr-FR"/>
              </w:rPr>
              <w:t xml:space="preserve"> 3 </w:t>
            </w:r>
            <w:r w:rsidR="000303CC" w:rsidRPr="001B3779">
              <w:rPr>
                <w:sz w:val="20"/>
                <w:lang w:val="fr-FR"/>
              </w:rPr>
              <w:t>de l’Accord</w:t>
            </w:r>
          </w:p>
          <w:p w14:paraId="2D8B5610" w14:textId="77777777" w:rsidR="00664206" w:rsidRPr="001B3779" w:rsidRDefault="00664206">
            <w:pPr>
              <w:pStyle w:val="TableParagraph"/>
              <w:spacing w:before="2"/>
              <w:ind w:left="0"/>
              <w:rPr>
                <w:sz w:val="20"/>
                <w:lang w:val="fr-FR"/>
              </w:rPr>
            </w:pPr>
          </w:p>
          <w:p w14:paraId="55716EF7" w14:textId="2DE65FD8" w:rsidR="00664206" w:rsidRPr="001B3779" w:rsidRDefault="000303CC">
            <w:pPr>
              <w:pStyle w:val="TableParagraph"/>
              <w:spacing w:before="0"/>
              <w:ind w:right="510"/>
              <w:rPr>
                <w:sz w:val="20"/>
                <w:lang w:val="fr-FR"/>
              </w:rPr>
            </w:pPr>
            <w:r w:rsidRPr="001B3779">
              <w:rPr>
                <w:sz w:val="20"/>
                <w:lang w:val="fr-FR"/>
              </w:rPr>
              <w:t>Mécanisme </w:t>
            </w:r>
            <w:r w:rsidR="003F788D" w:rsidRPr="001B3779">
              <w:rPr>
                <w:sz w:val="20"/>
                <w:lang w:val="fr-FR"/>
              </w:rPr>
              <w:t xml:space="preserve">: </w:t>
            </w:r>
            <w:r w:rsidR="005D7A11" w:rsidRPr="001B3779">
              <w:rPr>
                <w:sz w:val="20"/>
                <w:lang w:val="fr-FR"/>
              </w:rPr>
              <w:t>Rapport sur l’état de conservation</w:t>
            </w:r>
          </w:p>
          <w:p w14:paraId="7BBADAAF" w14:textId="77777777" w:rsidR="00664206" w:rsidRPr="001B3779" w:rsidRDefault="00664206">
            <w:pPr>
              <w:pStyle w:val="TableParagraph"/>
              <w:spacing w:before="0"/>
              <w:ind w:left="0"/>
              <w:rPr>
                <w:sz w:val="20"/>
                <w:lang w:val="fr-FR"/>
              </w:rPr>
            </w:pPr>
          </w:p>
          <w:p w14:paraId="4A646D6D" w14:textId="79F7BC94" w:rsidR="00664206" w:rsidRPr="001B3779" w:rsidRDefault="003F788D">
            <w:pPr>
              <w:pStyle w:val="TableParagraph"/>
              <w:spacing w:before="0"/>
              <w:rPr>
                <w:sz w:val="20"/>
                <w:lang w:val="fr-FR"/>
              </w:rPr>
            </w:pPr>
            <w:r w:rsidRPr="001B3779">
              <w:rPr>
                <w:sz w:val="20"/>
                <w:lang w:val="fr-FR"/>
              </w:rPr>
              <w:t>Sources</w:t>
            </w:r>
            <w:r w:rsidR="005D7A11" w:rsidRPr="001B3779">
              <w:rPr>
                <w:sz w:val="20"/>
                <w:lang w:val="fr-FR"/>
              </w:rPr>
              <w:t> </w:t>
            </w:r>
            <w:r w:rsidRPr="001B3779">
              <w:rPr>
                <w:sz w:val="20"/>
                <w:lang w:val="fr-FR"/>
              </w:rPr>
              <w:t>:</w:t>
            </w:r>
          </w:p>
          <w:p w14:paraId="09C6C033" w14:textId="77777777" w:rsidR="00664206" w:rsidRPr="001B3779" w:rsidRDefault="003F788D">
            <w:pPr>
              <w:pStyle w:val="TableParagraph"/>
              <w:spacing w:before="0"/>
              <w:rPr>
                <w:sz w:val="20"/>
                <w:lang w:val="fr-FR"/>
              </w:rPr>
            </w:pPr>
            <w:r w:rsidRPr="001B3779">
              <w:rPr>
                <w:sz w:val="20"/>
                <w:lang w:val="fr-FR"/>
              </w:rPr>
              <w:t>IWC</w:t>
            </w:r>
          </w:p>
          <w:p w14:paraId="28C81096" w14:textId="33B85F70" w:rsidR="00664206" w:rsidRPr="001B3779" w:rsidRDefault="00830485">
            <w:pPr>
              <w:pStyle w:val="TableParagraph"/>
              <w:spacing w:before="1"/>
              <w:ind w:right="249"/>
              <w:rPr>
                <w:sz w:val="20"/>
                <w:lang w:val="fr-FR"/>
              </w:rPr>
            </w:pPr>
            <w:r w:rsidRPr="001B3779">
              <w:rPr>
                <w:sz w:val="20"/>
                <w:lang w:val="fr-FR"/>
              </w:rPr>
              <w:t xml:space="preserve">Évaluations régionales </w:t>
            </w:r>
            <w:r w:rsidR="003F788D" w:rsidRPr="001B3779">
              <w:rPr>
                <w:sz w:val="20"/>
                <w:lang w:val="fr-FR"/>
              </w:rPr>
              <w:t>(</w:t>
            </w:r>
            <w:r w:rsidRPr="001B3779">
              <w:rPr>
                <w:sz w:val="20"/>
                <w:lang w:val="fr-FR"/>
              </w:rPr>
              <w:t>par ex.</w:t>
            </w:r>
            <w:r w:rsidR="003F788D" w:rsidRPr="001B3779">
              <w:rPr>
                <w:sz w:val="20"/>
                <w:lang w:val="fr-FR"/>
              </w:rPr>
              <w:t xml:space="preserve"> </w:t>
            </w:r>
            <w:r w:rsidR="005E4AD3" w:rsidRPr="001B3779">
              <w:rPr>
                <w:sz w:val="20"/>
                <w:lang w:val="fr-FR"/>
              </w:rPr>
              <w:t xml:space="preserve">rapport </w:t>
            </w:r>
            <w:r w:rsidR="005E4AD3">
              <w:rPr>
                <w:sz w:val="20"/>
                <w:lang w:val="fr-FR"/>
              </w:rPr>
              <w:t>prévu par l’</w:t>
            </w:r>
            <w:r w:rsidR="003F788D" w:rsidRPr="001B3779">
              <w:rPr>
                <w:sz w:val="20"/>
                <w:lang w:val="fr-FR"/>
              </w:rPr>
              <w:t xml:space="preserve">Art. 12 </w:t>
            </w:r>
            <w:r w:rsidR="00FA5EAD" w:rsidRPr="001B3779">
              <w:rPr>
                <w:sz w:val="20"/>
                <w:lang w:val="fr-FR"/>
              </w:rPr>
              <w:t>de l’UE</w:t>
            </w:r>
            <w:r w:rsidR="003F788D" w:rsidRPr="001B3779">
              <w:rPr>
                <w:sz w:val="20"/>
                <w:lang w:val="fr-FR"/>
              </w:rPr>
              <w:t xml:space="preserve">, </w:t>
            </w:r>
            <w:r w:rsidR="00B01AEB" w:rsidRPr="001B3779">
              <w:rPr>
                <w:sz w:val="20"/>
                <w:lang w:val="fr-FR"/>
              </w:rPr>
              <w:t xml:space="preserve">Liste rouge </w:t>
            </w:r>
            <w:r w:rsidR="00ED5188">
              <w:rPr>
                <w:sz w:val="20"/>
                <w:lang w:val="fr-FR"/>
              </w:rPr>
              <w:t xml:space="preserve">européenne </w:t>
            </w:r>
            <w:r w:rsidR="00B01AEB" w:rsidRPr="001B3779">
              <w:rPr>
                <w:sz w:val="20"/>
                <w:lang w:val="fr-FR"/>
              </w:rPr>
              <w:t>des oiseaux</w:t>
            </w:r>
            <w:r w:rsidR="003F788D" w:rsidRPr="001B3779">
              <w:rPr>
                <w:sz w:val="20"/>
                <w:lang w:val="fr-FR"/>
              </w:rPr>
              <w:t>, HELCOM, OSPAR)</w:t>
            </w:r>
          </w:p>
          <w:p w14:paraId="1E311CD7" w14:textId="77777777" w:rsidR="00664206" w:rsidRPr="001B3779" w:rsidRDefault="003F788D">
            <w:pPr>
              <w:pStyle w:val="TableParagraph"/>
              <w:spacing w:before="0" w:line="230" w:lineRule="exact"/>
              <w:rPr>
                <w:sz w:val="20"/>
                <w:lang w:val="fr-FR"/>
              </w:rPr>
            </w:pPr>
            <w:r w:rsidRPr="001B3779">
              <w:rPr>
                <w:sz w:val="20"/>
                <w:lang w:val="fr-FR"/>
              </w:rPr>
              <w:t>EBCC PECBMS</w:t>
            </w:r>
          </w:p>
          <w:p w14:paraId="6D588BDA" w14:textId="514CC100" w:rsidR="00CC3100" w:rsidRPr="001B3779" w:rsidRDefault="00312BBC" w:rsidP="00CC3100">
            <w:pPr>
              <w:pStyle w:val="TableParagraph"/>
              <w:ind w:right="310"/>
              <w:rPr>
                <w:sz w:val="20"/>
                <w:lang w:val="fr-FR"/>
              </w:rPr>
            </w:pPr>
            <w:r w:rsidRPr="001B3779">
              <w:rPr>
                <w:sz w:val="20"/>
                <w:lang w:val="fr-FR"/>
              </w:rPr>
              <w:t>Rapports commandés</w:t>
            </w:r>
            <w:r w:rsidR="003F788D" w:rsidRPr="001B3779">
              <w:rPr>
                <w:sz w:val="20"/>
                <w:lang w:val="fr-FR"/>
              </w:rPr>
              <w:t xml:space="preserve"> </w:t>
            </w:r>
            <w:r w:rsidR="00AD2697" w:rsidRPr="001B3779">
              <w:rPr>
                <w:sz w:val="20"/>
                <w:lang w:val="fr-FR"/>
              </w:rPr>
              <w:t>Analyse documentaire</w:t>
            </w:r>
            <w:r w:rsidR="003F788D" w:rsidRPr="001B3779">
              <w:rPr>
                <w:sz w:val="20"/>
                <w:lang w:val="fr-FR"/>
              </w:rPr>
              <w:t xml:space="preserve"> </w:t>
            </w:r>
            <w:r w:rsidR="00AD2697" w:rsidRPr="001B3779">
              <w:rPr>
                <w:sz w:val="20"/>
                <w:lang w:val="fr-FR"/>
              </w:rPr>
              <w:t>Rapports nationaux des</w:t>
            </w:r>
            <w:r w:rsidR="003F788D" w:rsidRPr="001B3779">
              <w:rPr>
                <w:sz w:val="20"/>
                <w:lang w:val="fr-FR"/>
              </w:rPr>
              <w:t xml:space="preserve"> Parties</w:t>
            </w:r>
            <w:r w:rsidR="00AD2697" w:rsidRPr="001B3779">
              <w:rPr>
                <w:sz w:val="20"/>
                <w:lang w:val="fr-FR"/>
              </w:rPr>
              <w:t xml:space="preserve"> contractantes</w:t>
            </w:r>
            <w:r w:rsidR="003F788D" w:rsidRPr="001B3779">
              <w:rPr>
                <w:sz w:val="20"/>
                <w:lang w:val="fr-FR"/>
              </w:rPr>
              <w:t xml:space="preserve"> (</w:t>
            </w:r>
            <w:r w:rsidR="00AD2697" w:rsidRPr="001B3779">
              <w:rPr>
                <w:sz w:val="20"/>
                <w:lang w:val="fr-FR"/>
              </w:rPr>
              <w:t>tous les</w:t>
            </w:r>
            <w:r w:rsidR="003F788D" w:rsidRPr="001B3779">
              <w:rPr>
                <w:sz w:val="20"/>
                <w:lang w:val="fr-FR"/>
              </w:rPr>
              <w:t xml:space="preserve"> 6 </w:t>
            </w:r>
            <w:r w:rsidR="00AD2697" w:rsidRPr="001B3779">
              <w:rPr>
                <w:sz w:val="20"/>
                <w:lang w:val="fr-FR"/>
              </w:rPr>
              <w:t>ans,</w:t>
            </w:r>
            <w:r w:rsidR="00CC3100" w:rsidRPr="001B3779">
              <w:rPr>
                <w:sz w:val="20"/>
                <w:lang w:val="fr-FR"/>
              </w:rPr>
              <w:t xml:space="preserve"> </w:t>
            </w:r>
            <w:r w:rsidR="004F52B2">
              <w:rPr>
                <w:sz w:val="20"/>
                <w:lang w:val="fr-FR"/>
              </w:rPr>
              <w:t>alignés avec le</w:t>
            </w:r>
            <w:r w:rsidR="0027510C">
              <w:rPr>
                <w:sz w:val="20"/>
                <w:lang w:val="fr-FR"/>
              </w:rPr>
              <w:t>s rapports prévus par</w:t>
            </w:r>
            <w:r w:rsidR="000960C6" w:rsidRPr="001B3779">
              <w:rPr>
                <w:sz w:val="20"/>
                <w:lang w:val="fr-FR"/>
              </w:rPr>
              <w:t xml:space="preserve"> </w:t>
            </w:r>
            <w:r w:rsidR="000960C6" w:rsidRPr="001B3779">
              <w:rPr>
                <w:sz w:val="20"/>
                <w:lang w:val="fr-FR"/>
              </w:rPr>
              <w:lastRenderedPageBreak/>
              <w:t>l’</w:t>
            </w:r>
            <w:r w:rsidR="00CC3100" w:rsidRPr="001B3779">
              <w:rPr>
                <w:sz w:val="20"/>
                <w:lang w:val="fr-FR"/>
              </w:rPr>
              <w:t xml:space="preserve">Article 12 </w:t>
            </w:r>
            <w:r w:rsidR="000960C6" w:rsidRPr="001B3779">
              <w:rPr>
                <w:sz w:val="20"/>
                <w:lang w:val="fr-FR"/>
              </w:rPr>
              <w:t xml:space="preserve">de la Directive </w:t>
            </w:r>
            <w:r w:rsidR="0027510C">
              <w:rPr>
                <w:sz w:val="20"/>
                <w:lang w:val="fr-FR"/>
              </w:rPr>
              <w:t xml:space="preserve">Oiseaux </w:t>
            </w:r>
            <w:r w:rsidR="000960C6" w:rsidRPr="001B3779">
              <w:rPr>
                <w:sz w:val="20"/>
                <w:lang w:val="fr-FR"/>
              </w:rPr>
              <w:t>de l’UE</w:t>
            </w:r>
            <w:r w:rsidR="00CC3100" w:rsidRPr="001B3779">
              <w:rPr>
                <w:sz w:val="20"/>
                <w:lang w:val="fr-FR"/>
              </w:rPr>
              <w:t>)</w:t>
            </w:r>
          </w:p>
          <w:p w14:paraId="78FA0F7F" w14:textId="452390BE" w:rsidR="00CC3100" w:rsidRPr="001B3779" w:rsidRDefault="000960C6" w:rsidP="00CC3100">
            <w:pPr>
              <w:pStyle w:val="TableParagraph"/>
              <w:ind w:right="310"/>
              <w:rPr>
                <w:sz w:val="20"/>
                <w:lang w:val="fr-FR"/>
              </w:rPr>
            </w:pPr>
            <w:r w:rsidRPr="001B3779">
              <w:rPr>
                <w:sz w:val="20"/>
                <w:lang w:val="fr-FR"/>
              </w:rPr>
              <w:t>Fréquence </w:t>
            </w:r>
            <w:r w:rsidR="00CC3100" w:rsidRPr="001B3779">
              <w:rPr>
                <w:sz w:val="20"/>
                <w:lang w:val="fr-FR"/>
              </w:rPr>
              <w:t xml:space="preserve">: </w:t>
            </w:r>
            <w:r w:rsidRPr="001B3779">
              <w:rPr>
                <w:sz w:val="20"/>
                <w:lang w:val="fr-FR"/>
              </w:rPr>
              <w:t>tous les</w:t>
            </w:r>
            <w:r w:rsidR="00CC3100" w:rsidRPr="001B3779">
              <w:rPr>
                <w:sz w:val="20"/>
                <w:lang w:val="fr-FR"/>
              </w:rPr>
              <w:t xml:space="preserve"> 3 </w:t>
            </w:r>
            <w:r w:rsidRPr="001B3779">
              <w:rPr>
                <w:sz w:val="20"/>
                <w:lang w:val="fr-FR"/>
              </w:rPr>
              <w:t>ans</w:t>
            </w:r>
          </w:p>
          <w:p w14:paraId="2C316B28" w14:textId="77777777" w:rsidR="00CC3100" w:rsidRPr="001B3779" w:rsidRDefault="00CC3100" w:rsidP="00CC3100">
            <w:pPr>
              <w:pStyle w:val="TableParagraph"/>
              <w:ind w:right="310"/>
              <w:rPr>
                <w:sz w:val="20"/>
                <w:lang w:val="fr-FR"/>
              </w:rPr>
            </w:pPr>
          </w:p>
          <w:p w14:paraId="7EE8A648" w14:textId="5AFA4063" w:rsidR="00CC3100" w:rsidRPr="001B3779" w:rsidRDefault="00260F2E" w:rsidP="00CC3100">
            <w:pPr>
              <w:pStyle w:val="TableParagraph"/>
              <w:ind w:right="310"/>
              <w:rPr>
                <w:sz w:val="20"/>
                <w:lang w:val="fr-FR"/>
              </w:rPr>
            </w:pPr>
            <w:r w:rsidRPr="001B3779">
              <w:rPr>
                <w:sz w:val="20"/>
                <w:lang w:val="fr-FR"/>
              </w:rPr>
              <w:t>Niveau et portée taxonomiques </w:t>
            </w:r>
            <w:r w:rsidR="00CC3100" w:rsidRPr="001B3779">
              <w:rPr>
                <w:sz w:val="20"/>
                <w:lang w:val="fr-FR"/>
              </w:rPr>
              <w:t>:</w:t>
            </w:r>
          </w:p>
          <w:p w14:paraId="5D2C2F7B" w14:textId="279CF0EF" w:rsidR="00664206" w:rsidRPr="001B3779" w:rsidRDefault="00CC3100" w:rsidP="00CC3100">
            <w:pPr>
              <w:pStyle w:val="TableParagraph"/>
              <w:spacing w:before="0"/>
              <w:ind w:right="310"/>
              <w:rPr>
                <w:sz w:val="20"/>
                <w:lang w:val="fr-FR"/>
              </w:rPr>
            </w:pPr>
            <w:r w:rsidRPr="001B3779">
              <w:rPr>
                <w:sz w:val="20"/>
                <w:lang w:val="fr-FR"/>
              </w:rPr>
              <w:t xml:space="preserve">Populations </w:t>
            </w:r>
            <w:r w:rsidR="00260F2E" w:rsidRPr="001B3779">
              <w:rPr>
                <w:sz w:val="20"/>
                <w:lang w:val="fr-FR"/>
              </w:rPr>
              <w:t>inscrites au</w:t>
            </w:r>
            <w:r w:rsidRPr="001B3779">
              <w:rPr>
                <w:sz w:val="20"/>
                <w:lang w:val="fr-FR"/>
              </w:rPr>
              <w:t xml:space="preserve"> Table</w:t>
            </w:r>
            <w:r w:rsidR="00260F2E" w:rsidRPr="001B3779">
              <w:rPr>
                <w:sz w:val="20"/>
                <w:lang w:val="fr-FR"/>
              </w:rPr>
              <w:t>au</w:t>
            </w:r>
            <w:r w:rsidRPr="001B3779">
              <w:rPr>
                <w:sz w:val="20"/>
                <w:lang w:val="fr-FR"/>
              </w:rPr>
              <w:t xml:space="preserve"> 1 (</w:t>
            </w:r>
            <w:r w:rsidR="00260F2E" w:rsidRPr="001B3779">
              <w:rPr>
                <w:sz w:val="20"/>
                <w:lang w:val="fr-FR"/>
              </w:rPr>
              <w:t xml:space="preserve">oiseaux </w:t>
            </w:r>
            <w:r w:rsidR="006220B6" w:rsidRPr="001B3779">
              <w:rPr>
                <w:sz w:val="20"/>
                <w:lang w:val="fr-FR"/>
              </w:rPr>
              <w:t>d’eau et oiseaux marins migrateurs) et oiseaux d’eau non-indigènes</w:t>
            </w:r>
          </w:p>
        </w:tc>
        <w:tc>
          <w:tcPr>
            <w:tcW w:w="2259" w:type="dxa"/>
            <w:tcBorders>
              <w:bottom w:val="single" w:sz="8" w:space="0" w:color="000000"/>
            </w:tcBorders>
          </w:tcPr>
          <w:p w14:paraId="0326778D" w14:textId="48A9F520" w:rsidR="00664206" w:rsidRPr="001B3779" w:rsidRDefault="003F788D">
            <w:pPr>
              <w:pStyle w:val="TableParagraph"/>
              <w:spacing w:before="98"/>
              <w:ind w:right="113"/>
              <w:rPr>
                <w:sz w:val="20"/>
                <w:lang w:val="fr-FR"/>
              </w:rPr>
            </w:pPr>
            <w:r w:rsidRPr="001B3779">
              <w:rPr>
                <w:sz w:val="20"/>
                <w:lang w:val="fr-FR"/>
              </w:rPr>
              <w:lastRenderedPageBreak/>
              <w:t xml:space="preserve">Classification </w:t>
            </w:r>
            <w:r w:rsidR="00EB1FE8" w:rsidRPr="001B3779">
              <w:rPr>
                <w:sz w:val="20"/>
                <w:lang w:val="fr-FR"/>
              </w:rPr>
              <w:t>dans le</w:t>
            </w:r>
            <w:r w:rsidRPr="001B3779">
              <w:rPr>
                <w:sz w:val="20"/>
                <w:lang w:val="fr-FR"/>
              </w:rPr>
              <w:t xml:space="preserve"> Table</w:t>
            </w:r>
            <w:r w:rsidR="00EB1FE8" w:rsidRPr="001B3779">
              <w:rPr>
                <w:sz w:val="20"/>
                <w:lang w:val="fr-FR"/>
              </w:rPr>
              <w:t>au</w:t>
            </w:r>
            <w:r w:rsidRPr="001B3779">
              <w:rPr>
                <w:sz w:val="20"/>
                <w:lang w:val="fr-FR"/>
              </w:rPr>
              <w:t xml:space="preserve"> 1 </w:t>
            </w:r>
            <w:r w:rsidR="00EB1FE8" w:rsidRPr="001B3779">
              <w:rPr>
                <w:sz w:val="20"/>
                <w:lang w:val="fr-FR"/>
              </w:rPr>
              <w:t>de l’</w:t>
            </w:r>
            <w:r w:rsidRPr="001B3779">
              <w:rPr>
                <w:sz w:val="20"/>
                <w:lang w:val="fr-FR"/>
              </w:rPr>
              <w:t>Annex</w:t>
            </w:r>
            <w:r w:rsidR="00EB1FE8" w:rsidRPr="001B3779">
              <w:rPr>
                <w:sz w:val="20"/>
                <w:lang w:val="fr-FR"/>
              </w:rPr>
              <w:t>e</w:t>
            </w:r>
            <w:r w:rsidRPr="001B3779">
              <w:rPr>
                <w:sz w:val="20"/>
                <w:lang w:val="fr-FR"/>
              </w:rPr>
              <w:t xml:space="preserve"> 3 </w:t>
            </w:r>
            <w:r w:rsidR="00EB1FE8" w:rsidRPr="001B3779">
              <w:rPr>
                <w:sz w:val="20"/>
                <w:lang w:val="fr-FR"/>
              </w:rPr>
              <w:t>de l’Accord</w:t>
            </w:r>
          </w:p>
          <w:p w14:paraId="75C504FB" w14:textId="77777777" w:rsidR="00664206" w:rsidRPr="001B3779" w:rsidRDefault="00664206">
            <w:pPr>
              <w:pStyle w:val="TableParagraph"/>
              <w:spacing w:before="2"/>
              <w:ind w:left="0"/>
              <w:rPr>
                <w:sz w:val="20"/>
                <w:lang w:val="fr-FR"/>
              </w:rPr>
            </w:pPr>
          </w:p>
          <w:p w14:paraId="0BBC4FCF" w14:textId="77777777" w:rsidR="00CD6DDA" w:rsidRDefault="003F788D">
            <w:pPr>
              <w:pStyle w:val="TableParagraph"/>
              <w:spacing w:before="0"/>
              <w:ind w:right="102"/>
              <w:rPr>
                <w:sz w:val="20"/>
                <w:lang w:val="fr-FR"/>
              </w:rPr>
            </w:pPr>
            <w:r w:rsidRPr="001B3779">
              <w:rPr>
                <w:sz w:val="20"/>
                <w:lang w:val="fr-FR"/>
              </w:rPr>
              <w:t>Plan</w:t>
            </w:r>
            <w:r w:rsidR="00EB1FE8" w:rsidRPr="001B3779">
              <w:rPr>
                <w:sz w:val="20"/>
                <w:lang w:val="fr-FR"/>
              </w:rPr>
              <w:t xml:space="preserve"> stratégique</w:t>
            </w:r>
            <w:r w:rsidRPr="001B3779">
              <w:rPr>
                <w:sz w:val="20"/>
                <w:lang w:val="fr-FR"/>
              </w:rPr>
              <w:t xml:space="preserve"> 2019-2027 </w:t>
            </w:r>
          </w:p>
          <w:p w14:paraId="225D0A32" w14:textId="056195CB" w:rsidR="00664206" w:rsidRPr="001B3779" w:rsidRDefault="00EB1FE8">
            <w:pPr>
              <w:pStyle w:val="TableParagraph"/>
              <w:spacing w:before="0"/>
              <w:ind w:right="102"/>
              <w:rPr>
                <w:sz w:val="20"/>
                <w:lang w:val="fr-FR"/>
              </w:rPr>
            </w:pPr>
            <w:r w:rsidRPr="001B3779">
              <w:rPr>
                <w:sz w:val="20"/>
                <w:lang w:val="fr-FR"/>
              </w:rPr>
              <w:t>Indicateurs liés aux objectifs</w:t>
            </w:r>
          </w:p>
          <w:p w14:paraId="665CF80E" w14:textId="77777777" w:rsidR="00664206" w:rsidRPr="001B3779" w:rsidRDefault="00664206">
            <w:pPr>
              <w:pStyle w:val="TableParagraph"/>
              <w:spacing w:before="11"/>
              <w:ind w:left="0"/>
              <w:rPr>
                <w:sz w:val="19"/>
                <w:lang w:val="fr-FR"/>
              </w:rPr>
            </w:pPr>
          </w:p>
          <w:p w14:paraId="17A50D66" w14:textId="74C309C1" w:rsidR="00664206" w:rsidRPr="001B3779" w:rsidRDefault="00EB1FE8">
            <w:pPr>
              <w:pStyle w:val="TableParagraph"/>
              <w:spacing w:before="0"/>
              <w:ind w:right="513"/>
              <w:rPr>
                <w:sz w:val="20"/>
                <w:lang w:val="fr-FR"/>
              </w:rPr>
            </w:pPr>
            <w:r w:rsidRPr="001B3779">
              <w:rPr>
                <w:sz w:val="20"/>
                <w:lang w:val="fr-FR"/>
              </w:rPr>
              <w:t>Mécanisme </w:t>
            </w:r>
            <w:r w:rsidR="003F788D" w:rsidRPr="001B3779">
              <w:rPr>
                <w:sz w:val="20"/>
                <w:lang w:val="fr-FR"/>
              </w:rPr>
              <w:t xml:space="preserve">: </w:t>
            </w:r>
            <w:r w:rsidRPr="001B3779">
              <w:rPr>
                <w:sz w:val="20"/>
                <w:lang w:val="fr-FR"/>
              </w:rPr>
              <w:t>Rapport sur l’état de conservation</w:t>
            </w:r>
          </w:p>
          <w:p w14:paraId="31FFD381" w14:textId="77777777" w:rsidR="00664206" w:rsidRPr="001B3779" w:rsidRDefault="00664206">
            <w:pPr>
              <w:pStyle w:val="TableParagraph"/>
              <w:spacing w:before="10"/>
              <w:ind w:left="0"/>
              <w:rPr>
                <w:sz w:val="19"/>
                <w:lang w:val="fr-FR"/>
              </w:rPr>
            </w:pPr>
          </w:p>
          <w:p w14:paraId="3E61C059" w14:textId="795A32A9" w:rsidR="00664206" w:rsidRPr="001B3779" w:rsidRDefault="003F788D">
            <w:pPr>
              <w:pStyle w:val="TableParagraph"/>
              <w:spacing w:before="1"/>
              <w:rPr>
                <w:sz w:val="20"/>
                <w:lang w:val="fr-FR"/>
              </w:rPr>
            </w:pPr>
            <w:r w:rsidRPr="001B3779">
              <w:rPr>
                <w:sz w:val="20"/>
                <w:lang w:val="fr-FR"/>
              </w:rPr>
              <w:t>Sources</w:t>
            </w:r>
            <w:r w:rsidR="00EB1FE8" w:rsidRPr="001B3779">
              <w:rPr>
                <w:sz w:val="20"/>
                <w:lang w:val="fr-FR"/>
              </w:rPr>
              <w:t> </w:t>
            </w:r>
            <w:r w:rsidRPr="001B3779">
              <w:rPr>
                <w:sz w:val="20"/>
                <w:lang w:val="fr-FR"/>
              </w:rPr>
              <w:t>:</w:t>
            </w:r>
          </w:p>
          <w:p w14:paraId="471CF0EC" w14:textId="67FB1BC8" w:rsidR="00664206" w:rsidRPr="001B3779" w:rsidRDefault="00EB1FE8">
            <w:pPr>
              <w:pStyle w:val="TableParagraph"/>
              <w:spacing w:before="0"/>
              <w:ind w:right="269"/>
              <w:rPr>
                <w:sz w:val="20"/>
                <w:lang w:val="fr-FR"/>
              </w:rPr>
            </w:pPr>
            <w:r w:rsidRPr="001B3779">
              <w:rPr>
                <w:sz w:val="20"/>
                <w:lang w:val="fr-FR"/>
              </w:rPr>
              <w:t>Pareil que pour la taille de la</w:t>
            </w:r>
            <w:r w:rsidR="003F788D" w:rsidRPr="001B3779">
              <w:rPr>
                <w:sz w:val="20"/>
                <w:lang w:val="fr-FR"/>
              </w:rPr>
              <w:t xml:space="preserve"> population </w:t>
            </w:r>
          </w:p>
          <w:p w14:paraId="75A224E3" w14:textId="77777777" w:rsidR="009D6E77" w:rsidRPr="001B3779" w:rsidRDefault="00EB1FE8" w:rsidP="00CC3100">
            <w:pPr>
              <w:pStyle w:val="TableParagraph"/>
              <w:spacing w:before="1"/>
              <w:ind w:right="286"/>
              <w:rPr>
                <w:sz w:val="20"/>
                <w:lang w:val="fr-FR"/>
              </w:rPr>
            </w:pPr>
            <w:r w:rsidRPr="001B3779">
              <w:rPr>
                <w:sz w:val="20"/>
                <w:lang w:val="fr-FR"/>
              </w:rPr>
              <w:t xml:space="preserve">Analyse </w:t>
            </w:r>
            <w:r w:rsidR="009D6E77" w:rsidRPr="001B3779">
              <w:rPr>
                <w:sz w:val="20"/>
                <w:lang w:val="fr-FR"/>
              </w:rPr>
              <w:t>des tendances au niveau de la voie de migration des données de l’</w:t>
            </w:r>
            <w:r w:rsidR="003F788D" w:rsidRPr="001B3779">
              <w:rPr>
                <w:sz w:val="20"/>
                <w:lang w:val="fr-FR"/>
              </w:rPr>
              <w:t xml:space="preserve">IWC </w:t>
            </w:r>
          </w:p>
          <w:p w14:paraId="12379981" w14:textId="2F3D062A" w:rsidR="00CC3100" w:rsidRPr="001B3779" w:rsidRDefault="009D6E77" w:rsidP="00CC3100">
            <w:pPr>
              <w:pStyle w:val="TableParagraph"/>
              <w:spacing w:before="1"/>
              <w:ind w:right="286"/>
              <w:rPr>
                <w:sz w:val="20"/>
                <w:lang w:val="fr-FR"/>
              </w:rPr>
            </w:pPr>
            <w:r w:rsidRPr="001B3779">
              <w:rPr>
                <w:sz w:val="20"/>
                <w:lang w:val="fr-FR"/>
              </w:rPr>
              <w:t>Rapports nationaux des</w:t>
            </w:r>
            <w:r w:rsidR="003F788D" w:rsidRPr="001B3779">
              <w:rPr>
                <w:sz w:val="20"/>
                <w:lang w:val="fr-FR"/>
              </w:rPr>
              <w:t xml:space="preserve"> Parties</w:t>
            </w:r>
            <w:r w:rsidRPr="001B3779">
              <w:rPr>
                <w:sz w:val="20"/>
                <w:lang w:val="fr-FR"/>
              </w:rPr>
              <w:t xml:space="preserve"> contractantes</w:t>
            </w:r>
            <w:r w:rsidR="003F788D" w:rsidRPr="001B3779">
              <w:rPr>
                <w:sz w:val="20"/>
                <w:lang w:val="fr-FR"/>
              </w:rPr>
              <w:t xml:space="preserve"> (</w:t>
            </w:r>
            <w:r w:rsidRPr="001B3779">
              <w:rPr>
                <w:sz w:val="20"/>
                <w:lang w:val="fr-FR"/>
              </w:rPr>
              <w:t xml:space="preserve">tous les 6 ans, </w:t>
            </w:r>
            <w:r w:rsidR="0002512A">
              <w:rPr>
                <w:sz w:val="20"/>
                <w:lang w:val="fr-FR"/>
              </w:rPr>
              <w:t xml:space="preserve">alignés avec les </w:t>
            </w:r>
            <w:r w:rsidR="0002512A">
              <w:rPr>
                <w:sz w:val="20"/>
                <w:lang w:val="fr-FR"/>
              </w:rPr>
              <w:lastRenderedPageBreak/>
              <w:t>rapports prévus par</w:t>
            </w:r>
            <w:r w:rsidR="0002512A" w:rsidRPr="001B3779">
              <w:rPr>
                <w:sz w:val="20"/>
                <w:lang w:val="fr-FR"/>
              </w:rPr>
              <w:t xml:space="preserve"> l’Article 12 de la Directive </w:t>
            </w:r>
            <w:r w:rsidR="0002512A">
              <w:rPr>
                <w:sz w:val="20"/>
                <w:lang w:val="fr-FR"/>
              </w:rPr>
              <w:t xml:space="preserve">Oiseaux </w:t>
            </w:r>
            <w:r w:rsidR="0002512A" w:rsidRPr="001B3779">
              <w:rPr>
                <w:sz w:val="20"/>
                <w:lang w:val="fr-FR"/>
              </w:rPr>
              <w:t>de l’UE</w:t>
            </w:r>
            <w:r w:rsidR="00CC3100" w:rsidRPr="001B3779">
              <w:rPr>
                <w:sz w:val="20"/>
                <w:lang w:val="fr-FR"/>
              </w:rPr>
              <w:t>)</w:t>
            </w:r>
          </w:p>
          <w:p w14:paraId="7A08A607" w14:textId="77777777" w:rsidR="00CC3100" w:rsidRPr="001B3779" w:rsidRDefault="00CC3100" w:rsidP="00CC3100">
            <w:pPr>
              <w:pStyle w:val="TableParagraph"/>
              <w:spacing w:before="1"/>
              <w:ind w:right="286"/>
              <w:rPr>
                <w:sz w:val="20"/>
                <w:lang w:val="fr-FR"/>
              </w:rPr>
            </w:pPr>
          </w:p>
          <w:p w14:paraId="38D65547" w14:textId="3AE523EE" w:rsidR="00CC3100" w:rsidRPr="001B3779" w:rsidRDefault="009D6E77" w:rsidP="00CC3100">
            <w:pPr>
              <w:pStyle w:val="TableParagraph"/>
              <w:spacing w:before="1"/>
              <w:ind w:right="286"/>
              <w:rPr>
                <w:sz w:val="20"/>
                <w:lang w:val="fr-FR"/>
              </w:rPr>
            </w:pPr>
            <w:r w:rsidRPr="001B3779">
              <w:rPr>
                <w:sz w:val="20"/>
                <w:lang w:val="fr-FR"/>
              </w:rPr>
              <w:t>Fréquence </w:t>
            </w:r>
            <w:r w:rsidR="00CC3100" w:rsidRPr="001B3779">
              <w:rPr>
                <w:sz w:val="20"/>
                <w:lang w:val="fr-FR"/>
              </w:rPr>
              <w:t xml:space="preserve">: 3 </w:t>
            </w:r>
            <w:r w:rsidR="00602BA8" w:rsidRPr="001B3779">
              <w:rPr>
                <w:sz w:val="20"/>
                <w:lang w:val="fr-FR"/>
              </w:rPr>
              <w:t>ans</w:t>
            </w:r>
          </w:p>
          <w:p w14:paraId="11924CA7" w14:textId="42DCD016" w:rsidR="00CC3100" w:rsidRPr="001B3779" w:rsidRDefault="00602BA8" w:rsidP="00CC3100">
            <w:pPr>
              <w:pStyle w:val="TableParagraph"/>
              <w:spacing w:before="1"/>
              <w:ind w:right="286"/>
              <w:rPr>
                <w:sz w:val="20"/>
                <w:lang w:val="fr-FR"/>
              </w:rPr>
            </w:pPr>
            <w:r w:rsidRPr="001B3779">
              <w:rPr>
                <w:sz w:val="20"/>
                <w:lang w:val="fr-FR"/>
              </w:rPr>
              <w:t>Niveau et portée taxonomiques </w:t>
            </w:r>
            <w:r w:rsidR="00CC3100" w:rsidRPr="001B3779">
              <w:rPr>
                <w:sz w:val="20"/>
                <w:lang w:val="fr-FR"/>
              </w:rPr>
              <w:t>:</w:t>
            </w:r>
          </w:p>
          <w:p w14:paraId="34935D90" w14:textId="535B4A99" w:rsidR="00CC3100" w:rsidRPr="001B3779" w:rsidRDefault="00CC3100" w:rsidP="00CC3100">
            <w:pPr>
              <w:pStyle w:val="TableParagraph"/>
              <w:spacing w:before="1"/>
              <w:ind w:right="286"/>
              <w:rPr>
                <w:sz w:val="20"/>
                <w:lang w:val="fr-FR"/>
              </w:rPr>
            </w:pPr>
            <w:r w:rsidRPr="001B3779">
              <w:rPr>
                <w:sz w:val="20"/>
                <w:lang w:val="fr-FR"/>
              </w:rPr>
              <w:t xml:space="preserve">Populations </w:t>
            </w:r>
            <w:r w:rsidR="00602BA8" w:rsidRPr="001B3779">
              <w:rPr>
                <w:sz w:val="20"/>
                <w:lang w:val="fr-FR"/>
              </w:rPr>
              <w:t>inscrites au</w:t>
            </w:r>
            <w:r w:rsidRPr="001B3779">
              <w:rPr>
                <w:sz w:val="20"/>
                <w:lang w:val="fr-FR"/>
              </w:rPr>
              <w:t xml:space="preserve"> Table</w:t>
            </w:r>
            <w:r w:rsidR="00602BA8" w:rsidRPr="001B3779">
              <w:rPr>
                <w:sz w:val="20"/>
                <w:lang w:val="fr-FR"/>
              </w:rPr>
              <w:t>au</w:t>
            </w:r>
            <w:r w:rsidRPr="001B3779">
              <w:rPr>
                <w:sz w:val="20"/>
                <w:lang w:val="fr-FR"/>
              </w:rPr>
              <w:t xml:space="preserve"> 1 (</w:t>
            </w:r>
            <w:r w:rsidR="00602BA8" w:rsidRPr="001B3779">
              <w:rPr>
                <w:sz w:val="20"/>
                <w:lang w:val="fr-FR"/>
              </w:rPr>
              <w:t>oiseaux d’eau et oiseaux marins migrateurs) et oiseaux d’eau non-indigènes</w:t>
            </w:r>
          </w:p>
          <w:p w14:paraId="14792E50" w14:textId="77777777" w:rsidR="00CC3100" w:rsidRPr="001B3779" w:rsidRDefault="00CC3100" w:rsidP="00CC3100">
            <w:pPr>
              <w:pStyle w:val="TableParagraph"/>
              <w:spacing w:before="1"/>
              <w:ind w:right="286"/>
              <w:rPr>
                <w:sz w:val="20"/>
                <w:lang w:val="fr-FR"/>
              </w:rPr>
            </w:pPr>
          </w:p>
          <w:p w14:paraId="3C53585D" w14:textId="0D88C883" w:rsidR="00664206" w:rsidRPr="001B3779" w:rsidRDefault="00602BA8" w:rsidP="00CC3100">
            <w:pPr>
              <w:pStyle w:val="TableParagraph"/>
              <w:spacing w:before="1"/>
              <w:ind w:right="286"/>
              <w:rPr>
                <w:sz w:val="20"/>
                <w:lang w:val="fr-FR"/>
              </w:rPr>
            </w:pPr>
            <w:r w:rsidRPr="001B3779">
              <w:rPr>
                <w:sz w:val="20"/>
                <w:lang w:val="fr-FR"/>
              </w:rPr>
              <w:t>Les plans d’</w:t>
            </w:r>
            <w:r w:rsidR="00CC3100" w:rsidRPr="001B3779">
              <w:rPr>
                <w:sz w:val="20"/>
                <w:lang w:val="fr-FR"/>
              </w:rPr>
              <w:t xml:space="preserve">action </w:t>
            </w:r>
            <w:r w:rsidRPr="001B3779">
              <w:rPr>
                <w:sz w:val="20"/>
                <w:lang w:val="fr-FR"/>
              </w:rPr>
              <w:t>et de gestion par espèce incluent également des paramètres démographiques à surveiller</w:t>
            </w:r>
          </w:p>
        </w:tc>
        <w:tc>
          <w:tcPr>
            <w:tcW w:w="2257" w:type="dxa"/>
            <w:tcBorders>
              <w:bottom w:val="single" w:sz="8" w:space="0" w:color="000000"/>
            </w:tcBorders>
          </w:tcPr>
          <w:p w14:paraId="7A9F6E7C" w14:textId="3A454592" w:rsidR="00664206" w:rsidRPr="001B3779" w:rsidRDefault="003F788D" w:rsidP="00DC0C67">
            <w:pPr>
              <w:pStyle w:val="TableParagraph"/>
              <w:spacing w:before="98"/>
              <w:ind w:right="161"/>
              <w:jc w:val="both"/>
              <w:rPr>
                <w:sz w:val="20"/>
                <w:lang w:val="fr-FR"/>
              </w:rPr>
            </w:pPr>
            <w:r w:rsidRPr="001B3779">
              <w:rPr>
                <w:sz w:val="20"/>
                <w:lang w:val="fr-FR"/>
              </w:rPr>
              <w:lastRenderedPageBreak/>
              <w:t xml:space="preserve">Nomination </w:t>
            </w:r>
            <w:r w:rsidR="00E31CD3" w:rsidRPr="001B3779">
              <w:rPr>
                <w:sz w:val="20"/>
                <w:lang w:val="fr-FR"/>
              </w:rPr>
              <w:t>d’ici 2021 de</w:t>
            </w:r>
            <w:r w:rsidR="00E91BEB" w:rsidRPr="001B3779">
              <w:rPr>
                <w:sz w:val="20"/>
                <w:lang w:val="fr-FR"/>
              </w:rPr>
              <w:t xml:space="preserve"> sites du </w:t>
            </w:r>
            <w:r w:rsidR="00532934" w:rsidRPr="001B3779">
              <w:rPr>
                <w:sz w:val="20"/>
                <w:lang w:val="fr-FR"/>
              </w:rPr>
              <w:t>réseau</w:t>
            </w:r>
            <w:r w:rsidR="00E91BEB" w:rsidRPr="001B3779">
              <w:rPr>
                <w:sz w:val="20"/>
                <w:lang w:val="fr-FR"/>
              </w:rPr>
              <w:t xml:space="preserve"> des voies de migration de l’</w:t>
            </w:r>
            <w:r w:rsidRPr="001B3779">
              <w:rPr>
                <w:sz w:val="20"/>
                <w:lang w:val="fr-FR"/>
              </w:rPr>
              <w:t>AEWA</w:t>
            </w:r>
            <w:r w:rsidR="00E91BEB" w:rsidRPr="001B3779">
              <w:rPr>
                <w:sz w:val="20"/>
                <w:lang w:val="fr-FR"/>
              </w:rPr>
              <w:t xml:space="preserve"> conformément à l’Objectif</w:t>
            </w:r>
            <w:r w:rsidRPr="001B3779">
              <w:rPr>
                <w:sz w:val="20"/>
                <w:lang w:val="fr-FR"/>
              </w:rPr>
              <w:t xml:space="preserve"> 3.1 </w:t>
            </w:r>
            <w:r w:rsidR="00E91BEB" w:rsidRPr="001B3779">
              <w:rPr>
                <w:sz w:val="20"/>
                <w:lang w:val="fr-FR"/>
              </w:rPr>
              <w:t>du Plan stratégique d</w:t>
            </w:r>
            <w:r w:rsidR="00DC0C67" w:rsidRPr="001B3779">
              <w:rPr>
                <w:sz w:val="20"/>
                <w:lang w:val="fr-FR"/>
              </w:rPr>
              <w:t>e l’</w:t>
            </w:r>
            <w:r w:rsidRPr="001B3779">
              <w:rPr>
                <w:sz w:val="20"/>
                <w:lang w:val="fr-FR"/>
              </w:rPr>
              <w:t>AEWA 2019-2027</w:t>
            </w:r>
            <w:r w:rsidR="00532934" w:rsidRPr="001B3779">
              <w:rPr>
                <w:sz w:val="20"/>
                <w:lang w:val="fr-FR"/>
              </w:rPr>
              <w:t xml:space="preserve">, </w:t>
            </w:r>
            <w:r w:rsidR="00DC0C67" w:rsidRPr="001B3779">
              <w:rPr>
                <w:sz w:val="20"/>
                <w:lang w:val="fr-FR"/>
              </w:rPr>
              <w:t xml:space="preserve">mis à jour </w:t>
            </w:r>
            <w:proofErr w:type="gramStart"/>
            <w:r w:rsidR="00DC0C67" w:rsidRPr="001B3779">
              <w:rPr>
                <w:sz w:val="20"/>
                <w:lang w:val="fr-FR"/>
              </w:rPr>
              <w:t>d’ici la</w:t>
            </w:r>
            <w:proofErr w:type="gramEnd"/>
            <w:r w:rsidRPr="001B3779">
              <w:rPr>
                <w:sz w:val="20"/>
                <w:lang w:val="fr-FR"/>
              </w:rPr>
              <w:t xml:space="preserve"> MOP10 (2027) </w:t>
            </w:r>
            <w:r w:rsidR="00DC0C67" w:rsidRPr="001B3779">
              <w:rPr>
                <w:sz w:val="20"/>
                <w:lang w:val="fr-FR"/>
              </w:rPr>
              <w:t>et pour chaque</w:t>
            </w:r>
            <w:r w:rsidRPr="001B3779">
              <w:rPr>
                <w:sz w:val="20"/>
                <w:lang w:val="fr-FR"/>
              </w:rPr>
              <w:t xml:space="preserve"> MOP </w:t>
            </w:r>
            <w:r w:rsidR="00DC0C67" w:rsidRPr="001B3779">
              <w:rPr>
                <w:sz w:val="20"/>
                <w:lang w:val="fr-FR"/>
              </w:rPr>
              <w:t>après</w:t>
            </w:r>
          </w:p>
          <w:p w14:paraId="515E804F" w14:textId="77777777" w:rsidR="00664206" w:rsidRPr="001B3779" w:rsidRDefault="00664206">
            <w:pPr>
              <w:pStyle w:val="TableParagraph"/>
              <w:spacing w:before="2"/>
              <w:ind w:left="0"/>
              <w:rPr>
                <w:sz w:val="20"/>
                <w:lang w:val="fr-FR"/>
              </w:rPr>
            </w:pPr>
          </w:p>
          <w:p w14:paraId="316D3AE1" w14:textId="2DD306A9" w:rsidR="00664206" w:rsidRPr="001B3779" w:rsidRDefault="000E5B99">
            <w:pPr>
              <w:pStyle w:val="TableParagraph"/>
              <w:spacing w:before="0"/>
              <w:ind w:right="245"/>
              <w:rPr>
                <w:sz w:val="20"/>
                <w:lang w:val="fr-FR"/>
              </w:rPr>
            </w:pPr>
            <w:r w:rsidRPr="001B3779">
              <w:rPr>
                <w:sz w:val="20"/>
                <w:lang w:val="fr-FR"/>
              </w:rPr>
              <w:t>Surveillance des sites du réseau de voies migration de l’</w:t>
            </w:r>
            <w:r w:rsidR="003F788D" w:rsidRPr="001B3779">
              <w:rPr>
                <w:sz w:val="20"/>
                <w:lang w:val="fr-FR"/>
              </w:rPr>
              <w:t xml:space="preserve">AEWA </w:t>
            </w:r>
            <w:r w:rsidRPr="001B3779">
              <w:rPr>
                <w:sz w:val="20"/>
                <w:lang w:val="fr-FR"/>
              </w:rPr>
              <w:t>conformément à l’Objectif</w:t>
            </w:r>
            <w:r w:rsidR="003F788D" w:rsidRPr="001B3779">
              <w:rPr>
                <w:sz w:val="20"/>
                <w:lang w:val="fr-FR"/>
              </w:rPr>
              <w:t xml:space="preserve"> 3.2 </w:t>
            </w:r>
            <w:r w:rsidRPr="001B3779">
              <w:rPr>
                <w:sz w:val="20"/>
                <w:lang w:val="fr-FR"/>
              </w:rPr>
              <w:t>du Plan stratégique de l’</w:t>
            </w:r>
            <w:r w:rsidR="003F788D" w:rsidRPr="001B3779">
              <w:rPr>
                <w:sz w:val="20"/>
                <w:lang w:val="fr-FR"/>
              </w:rPr>
              <w:t xml:space="preserve">AEWA 2019-2027 </w:t>
            </w:r>
            <w:r w:rsidRPr="001B3779">
              <w:rPr>
                <w:sz w:val="20"/>
                <w:lang w:val="fr-FR"/>
              </w:rPr>
              <w:t>d’ici la</w:t>
            </w:r>
          </w:p>
          <w:p w14:paraId="46789DF5" w14:textId="77777777" w:rsidR="00664206" w:rsidRPr="001B3779" w:rsidRDefault="003F788D">
            <w:pPr>
              <w:pStyle w:val="TableParagraph"/>
              <w:spacing w:before="0" w:line="230" w:lineRule="exact"/>
              <w:rPr>
                <w:sz w:val="20"/>
                <w:lang w:val="fr-FR"/>
              </w:rPr>
            </w:pPr>
            <w:r w:rsidRPr="001B3779">
              <w:rPr>
                <w:sz w:val="20"/>
                <w:lang w:val="fr-FR"/>
              </w:rPr>
              <w:t>MOP9 (2024)</w:t>
            </w:r>
          </w:p>
          <w:p w14:paraId="1C50A024" w14:textId="77777777" w:rsidR="00664206" w:rsidRPr="001B3779" w:rsidRDefault="00664206">
            <w:pPr>
              <w:pStyle w:val="TableParagraph"/>
              <w:spacing w:before="1"/>
              <w:ind w:left="0"/>
              <w:rPr>
                <w:sz w:val="20"/>
                <w:lang w:val="fr-FR"/>
              </w:rPr>
            </w:pPr>
          </w:p>
          <w:p w14:paraId="5C1C3A47" w14:textId="5D154D1B" w:rsidR="00664206" w:rsidRPr="001B3779" w:rsidRDefault="003F788D">
            <w:pPr>
              <w:pStyle w:val="TableParagraph"/>
              <w:spacing w:before="0"/>
              <w:ind w:right="578"/>
              <w:rPr>
                <w:sz w:val="20"/>
                <w:lang w:val="fr-FR"/>
              </w:rPr>
            </w:pPr>
            <w:r w:rsidRPr="001B3779">
              <w:rPr>
                <w:sz w:val="20"/>
                <w:lang w:val="fr-FR"/>
              </w:rPr>
              <w:t>Sources</w:t>
            </w:r>
            <w:r w:rsidR="000E5B99" w:rsidRPr="001B3779">
              <w:rPr>
                <w:sz w:val="20"/>
                <w:lang w:val="fr-FR"/>
              </w:rPr>
              <w:t> </w:t>
            </w:r>
            <w:r w:rsidRPr="001B3779">
              <w:rPr>
                <w:sz w:val="20"/>
                <w:lang w:val="fr-FR"/>
              </w:rPr>
              <w:t>: Parties</w:t>
            </w:r>
            <w:r w:rsidR="000E5B99" w:rsidRPr="001B3779">
              <w:rPr>
                <w:sz w:val="20"/>
                <w:lang w:val="fr-FR"/>
              </w:rPr>
              <w:t xml:space="preserve"> contractantes</w:t>
            </w:r>
          </w:p>
        </w:tc>
      </w:tr>
      <w:tr w:rsidR="00664206" w:rsidRPr="005E52F1" w14:paraId="63EE8438" w14:textId="77777777" w:rsidTr="00152562">
        <w:trPr>
          <w:trHeight w:val="790"/>
        </w:trPr>
        <w:tc>
          <w:tcPr>
            <w:tcW w:w="2259" w:type="dxa"/>
            <w:tcBorders>
              <w:top w:val="single" w:sz="8" w:space="0" w:color="000000"/>
              <w:left w:val="single" w:sz="8" w:space="0" w:color="000000"/>
              <w:bottom w:val="single" w:sz="8" w:space="0" w:color="000000"/>
              <w:right w:val="single" w:sz="8" w:space="0" w:color="000000"/>
            </w:tcBorders>
          </w:tcPr>
          <w:p w14:paraId="18B740BA" w14:textId="77777777" w:rsidR="00664206" w:rsidRPr="001B3779" w:rsidRDefault="003F788D">
            <w:pPr>
              <w:pStyle w:val="TableParagraph"/>
              <w:rPr>
                <w:sz w:val="20"/>
                <w:lang w:val="fr-FR"/>
              </w:rPr>
            </w:pPr>
            <w:r w:rsidRPr="001B3779">
              <w:rPr>
                <w:sz w:val="20"/>
                <w:lang w:val="fr-FR"/>
              </w:rPr>
              <w:t>Ramsar</w:t>
            </w:r>
          </w:p>
          <w:p w14:paraId="493AD9A4" w14:textId="77777777" w:rsidR="00664206" w:rsidRPr="001B3779" w:rsidRDefault="00664206">
            <w:pPr>
              <w:pStyle w:val="TableParagraph"/>
              <w:spacing w:before="0"/>
              <w:ind w:left="0"/>
              <w:rPr>
                <w:sz w:val="20"/>
                <w:lang w:val="fr-FR"/>
              </w:rPr>
            </w:pPr>
          </w:p>
          <w:p w14:paraId="71BC39A6" w14:textId="77777777" w:rsidR="00664206" w:rsidRPr="001B3779" w:rsidRDefault="003F788D">
            <w:pPr>
              <w:pStyle w:val="TableParagraph"/>
              <w:spacing w:before="0"/>
              <w:rPr>
                <w:sz w:val="20"/>
                <w:lang w:val="fr-FR"/>
              </w:rPr>
            </w:pPr>
            <w:r w:rsidRPr="001B3779">
              <w:rPr>
                <w:sz w:val="20"/>
                <w:lang w:val="fr-FR"/>
              </w:rPr>
              <w:t>(</w:t>
            </w:r>
            <w:proofErr w:type="spellStart"/>
            <w:r w:rsidRPr="001B3779">
              <w:rPr>
                <w:sz w:val="20"/>
                <w:lang w:val="fr-FR"/>
              </w:rPr>
              <w:t>Wetlands</w:t>
            </w:r>
            <w:proofErr w:type="spellEnd"/>
            <w:r w:rsidRPr="001B3779">
              <w:rPr>
                <w:sz w:val="20"/>
                <w:lang w:val="fr-FR"/>
              </w:rPr>
              <w:t xml:space="preserve"> International)</w:t>
            </w:r>
          </w:p>
        </w:tc>
        <w:tc>
          <w:tcPr>
            <w:tcW w:w="2256" w:type="dxa"/>
            <w:tcBorders>
              <w:top w:val="single" w:sz="8" w:space="0" w:color="000000"/>
              <w:left w:val="single" w:sz="8" w:space="0" w:color="000000"/>
              <w:bottom w:val="single" w:sz="8" w:space="0" w:color="000000"/>
              <w:right w:val="single" w:sz="8" w:space="0" w:color="000000"/>
            </w:tcBorders>
          </w:tcPr>
          <w:p w14:paraId="5CFC83AC" w14:textId="195DD0ED" w:rsidR="00664206" w:rsidRPr="001B3779" w:rsidRDefault="00565B4A">
            <w:pPr>
              <w:pStyle w:val="TableParagraph"/>
              <w:rPr>
                <w:sz w:val="20"/>
                <w:lang w:val="fr-FR"/>
              </w:rPr>
            </w:pPr>
            <w:r w:rsidRPr="001B3779">
              <w:rPr>
                <w:sz w:val="20"/>
                <w:lang w:val="fr-FR"/>
              </w:rPr>
              <w:t>Critère</w:t>
            </w:r>
            <w:r w:rsidR="003F788D" w:rsidRPr="001B3779">
              <w:rPr>
                <w:sz w:val="20"/>
                <w:lang w:val="fr-FR"/>
              </w:rPr>
              <w:t xml:space="preserve"> 6</w:t>
            </w:r>
          </w:p>
          <w:p w14:paraId="5E544CC0" w14:textId="77777777" w:rsidR="00664206" w:rsidRPr="001B3779" w:rsidRDefault="00664206">
            <w:pPr>
              <w:pStyle w:val="TableParagraph"/>
              <w:spacing w:before="0"/>
              <w:ind w:left="0"/>
              <w:rPr>
                <w:sz w:val="20"/>
                <w:lang w:val="fr-FR"/>
              </w:rPr>
            </w:pPr>
          </w:p>
          <w:p w14:paraId="0DDED526" w14:textId="78AA6590" w:rsidR="00664206" w:rsidRPr="001B3779" w:rsidRDefault="00565B4A">
            <w:pPr>
              <w:pStyle w:val="TableParagraph"/>
              <w:spacing w:before="0"/>
              <w:rPr>
                <w:sz w:val="20"/>
                <w:lang w:val="fr-FR"/>
              </w:rPr>
            </w:pPr>
            <w:r w:rsidRPr="001B3779">
              <w:rPr>
                <w:sz w:val="20"/>
                <w:lang w:val="fr-FR"/>
              </w:rPr>
              <w:t>Mécanisme </w:t>
            </w:r>
            <w:r w:rsidR="003F788D" w:rsidRPr="001B3779">
              <w:rPr>
                <w:sz w:val="20"/>
                <w:lang w:val="fr-FR"/>
              </w:rPr>
              <w:t xml:space="preserve">: </w:t>
            </w:r>
            <w:r w:rsidRPr="001B3779">
              <w:rPr>
                <w:sz w:val="20"/>
                <w:lang w:val="fr-FR"/>
              </w:rPr>
              <w:t>Estimations des populations d’oiseau d’eau</w:t>
            </w:r>
          </w:p>
          <w:p w14:paraId="7EF77E72" w14:textId="77777777" w:rsidR="00152562" w:rsidRPr="001B3779" w:rsidRDefault="00152562">
            <w:pPr>
              <w:pStyle w:val="TableParagraph"/>
              <w:spacing w:before="0"/>
              <w:rPr>
                <w:sz w:val="20"/>
                <w:lang w:val="fr-FR"/>
              </w:rPr>
            </w:pPr>
          </w:p>
          <w:p w14:paraId="57562C8A" w14:textId="44908C28" w:rsidR="00152562" w:rsidRPr="001B3779" w:rsidRDefault="00565B4A">
            <w:pPr>
              <w:pStyle w:val="TableParagraph"/>
              <w:spacing w:before="0"/>
              <w:rPr>
                <w:sz w:val="20"/>
                <w:lang w:val="fr-FR"/>
              </w:rPr>
            </w:pPr>
            <w:r w:rsidRPr="001B3779">
              <w:rPr>
                <w:sz w:val="20"/>
                <w:lang w:val="fr-FR"/>
              </w:rPr>
              <w:t>Fréquence </w:t>
            </w:r>
            <w:r w:rsidR="00F93AB8" w:rsidRPr="001B3779">
              <w:rPr>
                <w:sz w:val="20"/>
                <w:lang w:val="fr-FR"/>
              </w:rPr>
              <w:t xml:space="preserve">: </w:t>
            </w:r>
            <w:r w:rsidR="003A6609" w:rsidRPr="001B3779">
              <w:rPr>
                <w:sz w:val="20"/>
                <w:lang w:val="fr-FR"/>
              </w:rPr>
              <w:t>selon le Résolution VI.9 de</w:t>
            </w:r>
            <w:r w:rsidR="008066EA" w:rsidRPr="001B3779">
              <w:rPr>
                <w:sz w:val="20"/>
                <w:lang w:val="fr-FR"/>
              </w:rPr>
              <w:t xml:space="preserve"> </w:t>
            </w:r>
            <w:r w:rsidR="003A6609" w:rsidRPr="001B3779">
              <w:rPr>
                <w:sz w:val="20"/>
                <w:lang w:val="fr-FR"/>
              </w:rPr>
              <w:t>la Convention</w:t>
            </w:r>
            <w:r w:rsidR="001C51F1" w:rsidRPr="001B3779">
              <w:rPr>
                <w:sz w:val="20"/>
                <w:lang w:val="fr-FR"/>
              </w:rPr>
              <w:t xml:space="preserve"> Ramsar, </w:t>
            </w:r>
            <w:r w:rsidR="003A6609" w:rsidRPr="001B3779">
              <w:rPr>
                <w:sz w:val="20"/>
                <w:lang w:val="fr-FR"/>
              </w:rPr>
              <w:t>les seuils d’</w:t>
            </w:r>
            <w:r w:rsidR="001C51F1" w:rsidRPr="001B3779">
              <w:rPr>
                <w:sz w:val="20"/>
                <w:lang w:val="fr-FR"/>
              </w:rPr>
              <w:t>1</w:t>
            </w:r>
            <w:r w:rsidR="003A6609" w:rsidRPr="001B3779">
              <w:rPr>
                <w:sz w:val="20"/>
                <w:lang w:val="fr-FR"/>
              </w:rPr>
              <w:t> </w:t>
            </w:r>
            <w:r w:rsidR="001C51F1" w:rsidRPr="001B3779">
              <w:rPr>
                <w:sz w:val="20"/>
                <w:lang w:val="fr-FR"/>
              </w:rPr>
              <w:t xml:space="preserve">% </w:t>
            </w:r>
            <w:r w:rsidR="003A6609" w:rsidRPr="001B3779">
              <w:rPr>
                <w:sz w:val="20"/>
                <w:lang w:val="fr-FR"/>
              </w:rPr>
              <w:t>doivent être mis à jour tous les</w:t>
            </w:r>
            <w:r w:rsidR="00152562" w:rsidRPr="001B3779">
              <w:rPr>
                <w:sz w:val="20"/>
                <w:lang w:val="fr-FR"/>
              </w:rPr>
              <w:t xml:space="preserve"> 9</w:t>
            </w:r>
            <w:r w:rsidR="00E82267" w:rsidRPr="001B3779">
              <w:rPr>
                <w:sz w:val="20"/>
                <w:lang w:val="fr-FR"/>
              </w:rPr>
              <w:t xml:space="preserve"> ans</w:t>
            </w:r>
            <w:r w:rsidR="003A6609" w:rsidRPr="001B3779">
              <w:rPr>
                <w:sz w:val="20"/>
                <w:lang w:val="fr-FR"/>
              </w:rPr>
              <w:t xml:space="preserve">, </w:t>
            </w:r>
            <w:r w:rsidR="00000585" w:rsidRPr="001B3779">
              <w:rPr>
                <w:sz w:val="20"/>
                <w:lang w:val="fr-FR"/>
              </w:rPr>
              <w:t>sauf s’il y a un changement significatif des chiffres</w:t>
            </w:r>
            <w:r w:rsidR="00F93AB8" w:rsidRPr="001B3779">
              <w:rPr>
                <w:sz w:val="20"/>
                <w:lang w:val="fr-FR"/>
              </w:rPr>
              <w:t>.</w:t>
            </w:r>
          </w:p>
          <w:p w14:paraId="798E0B16" w14:textId="77777777" w:rsidR="00152562" w:rsidRPr="001B3779" w:rsidRDefault="00152562">
            <w:pPr>
              <w:pStyle w:val="TableParagraph"/>
              <w:spacing w:before="0"/>
              <w:rPr>
                <w:sz w:val="20"/>
                <w:lang w:val="fr-FR"/>
              </w:rPr>
            </w:pPr>
          </w:p>
          <w:p w14:paraId="631157D6" w14:textId="60DF9E1D" w:rsidR="00152562" w:rsidRPr="001B3779" w:rsidRDefault="00E82267">
            <w:pPr>
              <w:pStyle w:val="TableParagraph"/>
              <w:spacing w:before="0"/>
              <w:rPr>
                <w:sz w:val="20"/>
                <w:lang w:val="fr-FR"/>
              </w:rPr>
            </w:pPr>
            <w:r w:rsidRPr="001B3779">
              <w:rPr>
                <w:sz w:val="20"/>
                <w:lang w:val="fr-FR"/>
              </w:rPr>
              <w:t>Niveau et portée taxonomiques </w:t>
            </w:r>
            <w:r w:rsidR="00152562" w:rsidRPr="001B3779">
              <w:rPr>
                <w:sz w:val="20"/>
                <w:lang w:val="fr-FR"/>
              </w:rPr>
              <w:t xml:space="preserve">: </w:t>
            </w:r>
            <w:r w:rsidRPr="001B3779">
              <w:rPr>
                <w:sz w:val="20"/>
                <w:lang w:val="fr-FR"/>
              </w:rPr>
              <w:t>toutes les</w:t>
            </w:r>
            <w:r w:rsidR="00152562" w:rsidRPr="001B3779">
              <w:rPr>
                <w:sz w:val="20"/>
                <w:lang w:val="fr-FR"/>
              </w:rPr>
              <w:t xml:space="preserve"> populations</w:t>
            </w:r>
            <w:r w:rsidRPr="001B3779">
              <w:rPr>
                <w:sz w:val="20"/>
                <w:lang w:val="fr-FR"/>
              </w:rPr>
              <w:t xml:space="preserve"> d’oiseaux d’eau</w:t>
            </w:r>
          </w:p>
        </w:tc>
        <w:tc>
          <w:tcPr>
            <w:tcW w:w="2259" w:type="dxa"/>
            <w:tcBorders>
              <w:top w:val="single" w:sz="8" w:space="0" w:color="000000"/>
              <w:left w:val="single" w:sz="8" w:space="0" w:color="000000"/>
              <w:bottom w:val="single" w:sz="8" w:space="0" w:color="000000"/>
              <w:right w:val="single" w:sz="8" w:space="0" w:color="000000"/>
            </w:tcBorders>
          </w:tcPr>
          <w:p w14:paraId="25B5C237" w14:textId="71538DF0" w:rsidR="00664206" w:rsidRPr="001B3779" w:rsidRDefault="00B13D3A">
            <w:pPr>
              <w:pStyle w:val="TableParagraph"/>
              <w:spacing w:before="5" w:line="228" w:lineRule="exact"/>
              <w:ind w:right="113"/>
              <w:rPr>
                <w:sz w:val="20"/>
                <w:lang w:val="fr-FR"/>
              </w:rPr>
            </w:pPr>
            <w:r w:rsidRPr="001B3779">
              <w:rPr>
                <w:sz w:val="20"/>
                <w:lang w:val="fr-FR"/>
              </w:rPr>
              <w:t>Pas encore utilisée, bien qu’un ensemble d’indicateurs des tendances pourrait s’avérer pertinent afin d’évaluer la Plan stratégique</w:t>
            </w:r>
            <w:r w:rsidR="003F788D" w:rsidRPr="001B3779">
              <w:rPr>
                <w:sz w:val="20"/>
                <w:lang w:val="fr-FR"/>
              </w:rPr>
              <w:t xml:space="preserve"> Ramsar</w:t>
            </w:r>
          </w:p>
        </w:tc>
        <w:tc>
          <w:tcPr>
            <w:tcW w:w="2257" w:type="dxa"/>
            <w:tcBorders>
              <w:top w:val="single" w:sz="8" w:space="0" w:color="000000"/>
              <w:left w:val="single" w:sz="8" w:space="0" w:color="000000"/>
              <w:bottom w:val="single" w:sz="8" w:space="0" w:color="000000"/>
              <w:right w:val="single" w:sz="8" w:space="0" w:color="000000"/>
            </w:tcBorders>
          </w:tcPr>
          <w:p w14:paraId="48E879FE" w14:textId="4102A78E" w:rsidR="00664206" w:rsidRPr="001B3779" w:rsidRDefault="00E91BBB">
            <w:pPr>
              <w:pStyle w:val="TableParagraph"/>
              <w:rPr>
                <w:sz w:val="20"/>
                <w:lang w:val="fr-FR"/>
              </w:rPr>
            </w:pPr>
            <w:r w:rsidRPr="001B3779">
              <w:rPr>
                <w:sz w:val="20"/>
                <w:lang w:val="fr-FR"/>
              </w:rPr>
              <w:t xml:space="preserve">Critères </w:t>
            </w:r>
            <w:r w:rsidR="003F788D" w:rsidRPr="001B3779">
              <w:rPr>
                <w:sz w:val="20"/>
                <w:lang w:val="fr-FR"/>
              </w:rPr>
              <w:t>Ramsar 4, 5 &amp; 6</w:t>
            </w:r>
          </w:p>
          <w:p w14:paraId="199CE017" w14:textId="77777777" w:rsidR="00664206" w:rsidRPr="001B3779" w:rsidRDefault="00664206">
            <w:pPr>
              <w:pStyle w:val="TableParagraph"/>
              <w:spacing w:before="0"/>
              <w:ind w:left="0"/>
              <w:rPr>
                <w:sz w:val="20"/>
                <w:lang w:val="fr-FR"/>
              </w:rPr>
            </w:pPr>
          </w:p>
          <w:p w14:paraId="324D8B87" w14:textId="47ECD424" w:rsidR="00664206" w:rsidRPr="001B3779" w:rsidRDefault="000934FB">
            <w:pPr>
              <w:pStyle w:val="TableParagraph"/>
              <w:spacing w:before="0"/>
              <w:ind w:right="173"/>
              <w:rPr>
                <w:sz w:val="20"/>
                <w:lang w:val="fr-FR"/>
              </w:rPr>
            </w:pPr>
            <w:r w:rsidRPr="001B3779">
              <w:rPr>
                <w:sz w:val="20"/>
                <w:lang w:val="fr-FR"/>
              </w:rPr>
              <w:t xml:space="preserve">Les fiches d’information </w:t>
            </w:r>
            <w:r w:rsidR="003F788D" w:rsidRPr="001B3779">
              <w:rPr>
                <w:sz w:val="20"/>
                <w:lang w:val="fr-FR"/>
              </w:rPr>
              <w:t xml:space="preserve">Ramsar </w:t>
            </w:r>
            <w:r w:rsidRPr="001B3779">
              <w:rPr>
                <w:sz w:val="20"/>
                <w:lang w:val="fr-FR"/>
              </w:rPr>
              <w:t>doivent être mises à jour</w:t>
            </w:r>
          </w:p>
        </w:tc>
      </w:tr>
      <w:tr w:rsidR="00664206" w:rsidRPr="005E52F1" w14:paraId="7CC53827" w14:textId="77777777" w:rsidTr="00CC3100">
        <w:trPr>
          <w:trHeight w:val="564"/>
        </w:trPr>
        <w:tc>
          <w:tcPr>
            <w:tcW w:w="2259" w:type="dxa"/>
            <w:tcBorders>
              <w:top w:val="single" w:sz="8" w:space="0" w:color="000000"/>
              <w:bottom w:val="nil"/>
            </w:tcBorders>
          </w:tcPr>
          <w:p w14:paraId="411E95F6" w14:textId="095B4568" w:rsidR="00664206" w:rsidRPr="001B3779" w:rsidRDefault="00FE7554">
            <w:pPr>
              <w:pStyle w:val="TableParagraph"/>
              <w:spacing w:before="98"/>
              <w:rPr>
                <w:sz w:val="20"/>
                <w:lang w:val="fr-FR"/>
              </w:rPr>
            </w:pPr>
            <w:r w:rsidRPr="001B3779">
              <w:rPr>
                <w:sz w:val="20"/>
                <w:lang w:val="fr-FR"/>
              </w:rPr>
              <w:t>Directive Oiseaux de l’UE</w:t>
            </w:r>
          </w:p>
        </w:tc>
        <w:tc>
          <w:tcPr>
            <w:tcW w:w="2256" w:type="dxa"/>
            <w:tcBorders>
              <w:top w:val="single" w:sz="8" w:space="0" w:color="000000"/>
              <w:bottom w:val="nil"/>
            </w:tcBorders>
          </w:tcPr>
          <w:p w14:paraId="4D6BD0A3" w14:textId="7C6A5231" w:rsidR="00664206" w:rsidRPr="001B3779" w:rsidRDefault="00A67CAE">
            <w:pPr>
              <w:pStyle w:val="TableParagraph"/>
              <w:spacing w:before="98" w:line="230" w:lineRule="atLeast"/>
              <w:ind w:right="211"/>
              <w:rPr>
                <w:sz w:val="20"/>
                <w:lang w:val="fr-FR"/>
              </w:rPr>
            </w:pPr>
            <w:r>
              <w:rPr>
                <w:sz w:val="20"/>
                <w:lang w:val="fr-FR"/>
              </w:rPr>
              <w:t>P</w:t>
            </w:r>
            <w:r w:rsidR="006E0815" w:rsidRPr="001B3779">
              <w:rPr>
                <w:sz w:val="20"/>
                <w:lang w:val="fr-FR"/>
              </w:rPr>
              <w:t xml:space="preserve">rocessus de compte-rendu </w:t>
            </w:r>
            <w:r>
              <w:rPr>
                <w:sz w:val="20"/>
                <w:lang w:val="fr-FR"/>
              </w:rPr>
              <w:t>prévu par l’</w:t>
            </w:r>
            <w:r w:rsidR="003F788D" w:rsidRPr="001B3779">
              <w:rPr>
                <w:sz w:val="20"/>
                <w:lang w:val="fr-FR"/>
              </w:rPr>
              <w:t xml:space="preserve">Article 12 </w:t>
            </w:r>
            <w:r w:rsidR="00FE7554" w:rsidRPr="001B3779">
              <w:rPr>
                <w:sz w:val="20"/>
                <w:lang w:val="fr-FR"/>
              </w:rPr>
              <w:t>de l’UE</w:t>
            </w:r>
          </w:p>
        </w:tc>
        <w:tc>
          <w:tcPr>
            <w:tcW w:w="2259" w:type="dxa"/>
            <w:tcBorders>
              <w:top w:val="single" w:sz="8" w:space="0" w:color="000000"/>
              <w:bottom w:val="nil"/>
            </w:tcBorders>
          </w:tcPr>
          <w:p w14:paraId="3C2FE7FD" w14:textId="71F7B005" w:rsidR="00664206" w:rsidRPr="001B3779" w:rsidRDefault="007E3FD7">
            <w:pPr>
              <w:pStyle w:val="TableParagraph"/>
              <w:spacing w:before="98" w:line="230" w:lineRule="atLeast"/>
              <w:ind w:right="214"/>
              <w:rPr>
                <w:sz w:val="20"/>
                <w:lang w:val="fr-FR"/>
              </w:rPr>
            </w:pPr>
            <w:r>
              <w:rPr>
                <w:sz w:val="20"/>
                <w:lang w:val="fr-FR"/>
              </w:rPr>
              <w:t>P</w:t>
            </w:r>
            <w:r w:rsidRPr="001B3779">
              <w:rPr>
                <w:sz w:val="20"/>
                <w:lang w:val="fr-FR"/>
              </w:rPr>
              <w:t xml:space="preserve">rocessus de compte-rendu </w:t>
            </w:r>
            <w:r>
              <w:rPr>
                <w:sz w:val="20"/>
                <w:lang w:val="fr-FR"/>
              </w:rPr>
              <w:t>prévu par l’</w:t>
            </w:r>
            <w:r w:rsidRPr="001B3779">
              <w:rPr>
                <w:sz w:val="20"/>
                <w:lang w:val="fr-FR"/>
              </w:rPr>
              <w:t>Article 12 de l’UE</w:t>
            </w:r>
          </w:p>
        </w:tc>
        <w:tc>
          <w:tcPr>
            <w:tcW w:w="2257" w:type="dxa"/>
            <w:tcBorders>
              <w:top w:val="single" w:sz="8" w:space="0" w:color="000000"/>
              <w:bottom w:val="nil"/>
            </w:tcBorders>
          </w:tcPr>
          <w:p w14:paraId="14E3A888" w14:textId="5CD5D391" w:rsidR="00664206" w:rsidRPr="001B3779" w:rsidRDefault="003F788D">
            <w:pPr>
              <w:pStyle w:val="TableParagraph"/>
              <w:spacing w:before="98" w:line="230" w:lineRule="atLeast"/>
              <w:ind w:right="450"/>
              <w:rPr>
                <w:sz w:val="20"/>
                <w:lang w:val="fr-FR"/>
              </w:rPr>
            </w:pPr>
            <w:r w:rsidRPr="001B3779">
              <w:rPr>
                <w:sz w:val="20"/>
                <w:lang w:val="fr-FR"/>
              </w:rPr>
              <w:t xml:space="preserve">Nomination </w:t>
            </w:r>
            <w:r w:rsidR="00C73BD3" w:rsidRPr="001B3779">
              <w:rPr>
                <w:sz w:val="20"/>
                <w:lang w:val="fr-FR"/>
              </w:rPr>
              <w:t>de ZPS conformément à l’</w:t>
            </w:r>
            <w:r w:rsidRPr="001B3779">
              <w:rPr>
                <w:sz w:val="20"/>
                <w:lang w:val="fr-FR"/>
              </w:rPr>
              <w:t>Article 4</w:t>
            </w:r>
          </w:p>
        </w:tc>
      </w:tr>
      <w:tr w:rsidR="00664206" w:rsidRPr="005E52F1" w14:paraId="6F5FB5EC" w14:textId="77777777">
        <w:trPr>
          <w:trHeight w:val="919"/>
        </w:trPr>
        <w:tc>
          <w:tcPr>
            <w:tcW w:w="2259" w:type="dxa"/>
            <w:tcBorders>
              <w:top w:val="nil"/>
              <w:bottom w:val="nil"/>
            </w:tcBorders>
          </w:tcPr>
          <w:p w14:paraId="35082CB3" w14:textId="64FE3722" w:rsidR="00664206" w:rsidRPr="001B3779" w:rsidRDefault="003F788D">
            <w:pPr>
              <w:pStyle w:val="TableParagraph"/>
              <w:spacing w:before="0"/>
              <w:ind w:right="104"/>
              <w:rPr>
                <w:sz w:val="20"/>
                <w:lang w:val="fr-FR"/>
              </w:rPr>
            </w:pPr>
            <w:r w:rsidRPr="001B3779">
              <w:rPr>
                <w:sz w:val="20"/>
                <w:lang w:val="fr-FR"/>
              </w:rPr>
              <w:t>(</w:t>
            </w:r>
            <w:r w:rsidR="00FE7554" w:rsidRPr="001B3779">
              <w:rPr>
                <w:sz w:val="20"/>
                <w:lang w:val="fr-FR"/>
              </w:rPr>
              <w:t>Agence européenne de l’environnement</w:t>
            </w:r>
            <w:r w:rsidRPr="001B3779">
              <w:rPr>
                <w:sz w:val="20"/>
                <w:lang w:val="fr-FR"/>
              </w:rPr>
              <w:t xml:space="preserve"> &amp; </w:t>
            </w:r>
            <w:proofErr w:type="spellStart"/>
            <w:r w:rsidRPr="001B3779">
              <w:rPr>
                <w:sz w:val="20"/>
                <w:lang w:val="fr-FR"/>
              </w:rPr>
              <w:t>BirdLife</w:t>
            </w:r>
            <w:proofErr w:type="spellEnd"/>
            <w:r w:rsidRPr="001B3779">
              <w:rPr>
                <w:spacing w:val="-15"/>
                <w:sz w:val="20"/>
                <w:lang w:val="fr-FR"/>
              </w:rPr>
              <w:t xml:space="preserve"> </w:t>
            </w:r>
            <w:r w:rsidRPr="001B3779">
              <w:rPr>
                <w:sz w:val="20"/>
                <w:lang w:val="fr-FR"/>
              </w:rPr>
              <w:t>International)</w:t>
            </w:r>
          </w:p>
        </w:tc>
        <w:tc>
          <w:tcPr>
            <w:tcW w:w="2256" w:type="dxa"/>
            <w:tcBorders>
              <w:top w:val="nil"/>
              <w:bottom w:val="nil"/>
            </w:tcBorders>
          </w:tcPr>
          <w:p w14:paraId="15A7A4AC" w14:textId="77777777" w:rsidR="00664206" w:rsidRPr="001B3779" w:rsidRDefault="00664206">
            <w:pPr>
              <w:pStyle w:val="TableParagraph"/>
              <w:spacing w:before="7"/>
              <w:ind w:left="0"/>
              <w:rPr>
                <w:sz w:val="19"/>
                <w:lang w:val="fr-FR"/>
              </w:rPr>
            </w:pPr>
          </w:p>
          <w:p w14:paraId="51455FEC" w14:textId="77777777" w:rsidR="00664206" w:rsidRPr="001B3779" w:rsidRDefault="00E12069">
            <w:pPr>
              <w:pStyle w:val="TableParagraph"/>
              <w:spacing w:before="0"/>
              <w:ind w:right="94"/>
              <w:rPr>
                <w:sz w:val="20"/>
                <w:lang w:val="fr-FR"/>
              </w:rPr>
            </w:pPr>
            <w:r w:rsidRPr="001B3779">
              <w:rPr>
                <w:sz w:val="20"/>
                <w:lang w:val="fr-FR"/>
              </w:rPr>
              <w:t>Indicateurs relatifs à la stratégie de l’UE en matière de biodiversité</w:t>
            </w:r>
          </w:p>
          <w:p w14:paraId="5B652590" w14:textId="732443AE" w:rsidR="00E12069" w:rsidRPr="001B3779" w:rsidRDefault="00E12069">
            <w:pPr>
              <w:pStyle w:val="TableParagraph"/>
              <w:spacing w:before="0"/>
              <w:ind w:right="94"/>
              <w:rPr>
                <w:sz w:val="20"/>
                <w:lang w:val="fr-FR"/>
              </w:rPr>
            </w:pPr>
          </w:p>
        </w:tc>
        <w:tc>
          <w:tcPr>
            <w:tcW w:w="2259" w:type="dxa"/>
            <w:tcBorders>
              <w:top w:val="nil"/>
              <w:bottom w:val="nil"/>
            </w:tcBorders>
          </w:tcPr>
          <w:p w14:paraId="525EDF4D" w14:textId="77777777" w:rsidR="00664206" w:rsidRPr="001B3779" w:rsidRDefault="00664206">
            <w:pPr>
              <w:pStyle w:val="TableParagraph"/>
              <w:spacing w:before="7"/>
              <w:ind w:left="0"/>
              <w:rPr>
                <w:sz w:val="19"/>
                <w:lang w:val="fr-FR"/>
              </w:rPr>
            </w:pPr>
          </w:p>
          <w:p w14:paraId="6A7C62BE" w14:textId="77777777" w:rsidR="00C32124" w:rsidRPr="001B3779" w:rsidRDefault="00C32124" w:rsidP="00C32124">
            <w:pPr>
              <w:pStyle w:val="TableParagraph"/>
              <w:spacing w:before="0"/>
              <w:ind w:right="94"/>
              <w:rPr>
                <w:sz w:val="20"/>
                <w:lang w:val="fr-FR"/>
              </w:rPr>
            </w:pPr>
            <w:r w:rsidRPr="001B3779">
              <w:rPr>
                <w:sz w:val="20"/>
                <w:lang w:val="fr-FR"/>
              </w:rPr>
              <w:t>Indicateurs relatifs à la stratégie de l’UE en matière de biodiversité</w:t>
            </w:r>
          </w:p>
          <w:p w14:paraId="1CA96C95" w14:textId="5141F5B8" w:rsidR="00664206" w:rsidRPr="001B3779" w:rsidRDefault="00664206">
            <w:pPr>
              <w:pStyle w:val="TableParagraph"/>
              <w:spacing w:before="0"/>
              <w:ind w:right="97"/>
              <w:rPr>
                <w:sz w:val="20"/>
                <w:lang w:val="fr-FR"/>
              </w:rPr>
            </w:pPr>
          </w:p>
        </w:tc>
        <w:tc>
          <w:tcPr>
            <w:tcW w:w="2257" w:type="dxa"/>
            <w:tcBorders>
              <w:top w:val="nil"/>
              <w:bottom w:val="nil"/>
            </w:tcBorders>
          </w:tcPr>
          <w:p w14:paraId="2AB76147" w14:textId="77777777" w:rsidR="00664206" w:rsidRPr="001B3779" w:rsidRDefault="00664206">
            <w:pPr>
              <w:pStyle w:val="TableParagraph"/>
              <w:spacing w:before="7"/>
              <w:ind w:left="0"/>
              <w:rPr>
                <w:sz w:val="19"/>
                <w:lang w:val="fr-FR"/>
              </w:rPr>
            </w:pPr>
          </w:p>
          <w:p w14:paraId="3932DD47" w14:textId="72B902A7" w:rsidR="00664206" w:rsidRPr="001B3779" w:rsidRDefault="00EF1E86" w:rsidP="009B23C6">
            <w:pPr>
              <w:pStyle w:val="TableParagraph"/>
              <w:spacing w:before="0"/>
              <w:rPr>
                <w:sz w:val="20"/>
                <w:lang w:val="fr-FR"/>
              </w:rPr>
            </w:pPr>
            <w:r w:rsidRPr="001B3779">
              <w:rPr>
                <w:sz w:val="20"/>
                <w:lang w:val="fr-FR"/>
              </w:rPr>
              <w:t xml:space="preserve">Mise à jour </w:t>
            </w:r>
            <w:r w:rsidR="009B23C6" w:rsidRPr="001B3779">
              <w:rPr>
                <w:sz w:val="20"/>
                <w:lang w:val="fr-FR"/>
              </w:rPr>
              <w:t>du formulaire standard des données</w:t>
            </w:r>
            <w:r w:rsidR="003F788D" w:rsidRPr="001B3779">
              <w:rPr>
                <w:sz w:val="20"/>
                <w:lang w:val="fr-FR"/>
              </w:rPr>
              <w:t xml:space="preserve"> Natura 2000</w:t>
            </w:r>
            <w:r w:rsidR="009B23C6" w:rsidRPr="001B3779">
              <w:rPr>
                <w:sz w:val="20"/>
                <w:lang w:val="fr-FR"/>
              </w:rPr>
              <w:t xml:space="preserve"> (aucune fréquence établie</w:t>
            </w:r>
            <w:r w:rsidR="003F788D" w:rsidRPr="001B3779">
              <w:rPr>
                <w:sz w:val="20"/>
                <w:lang w:val="fr-FR"/>
              </w:rPr>
              <w:t>)</w:t>
            </w:r>
          </w:p>
        </w:tc>
      </w:tr>
      <w:tr w:rsidR="00664206" w:rsidRPr="005E52F1" w14:paraId="43B15E50" w14:textId="77777777">
        <w:trPr>
          <w:trHeight w:val="2646"/>
        </w:trPr>
        <w:tc>
          <w:tcPr>
            <w:tcW w:w="2259" w:type="dxa"/>
            <w:tcBorders>
              <w:top w:val="nil"/>
              <w:bottom w:val="nil"/>
            </w:tcBorders>
          </w:tcPr>
          <w:p w14:paraId="45D3035D" w14:textId="77777777" w:rsidR="00664206" w:rsidRPr="001B3779" w:rsidRDefault="00664206">
            <w:pPr>
              <w:pStyle w:val="TableParagraph"/>
              <w:spacing w:before="0"/>
              <w:ind w:left="0"/>
              <w:rPr>
                <w:sz w:val="18"/>
                <w:lang w:val="fr-FR"/>
              </w:rPr>
            </w:pPr>
          </w:p>
        </w:tc>
        <w:tc>
          <w:tcPr>
            <w:tcW w:w="2256" w:type="dxa"/>
            <w:tcBorders>
              <w:top w:val="nil"/>
              <w:bottom w:val="nil"/>
            </w:tcBorders>
          </w:tcPr>
          <w:p w14:paraId="4B34DE87" w14:textId="1E12658A" w:rsidR="00664206" w:rsidRPr="001B3779" w:rsidRDefault="003F788D">
            <w:pPr>
              <w:pStyle w:val="TableParagraph"/>
              <w:spacing w:before="0" w:line="226" w:lineRule="exact"/>
              <w:rPr>
                <w:sz w:val="20"/>
                <w:lang w:val="fr-FR"/>
              </w:rPr>
            </w:pPr>
            <w:r w:rsidRPr="001B3779">
              <w:rPr>
                <w:sz w:val="20"/>
                <w:lang w:val="fr-FR"/>
              </w:rPr>
              <w:t>Source</w:t>
            </w:r>
            <w:r w:rsidR="00923D6C" w:rsidRPr="001B3779">
              <w:rPr>
                <w:sz w:val="20"/>
                <w:lang w:val="fr-FR"/>
              </w:rPr>
              <w:t> </w:t>
            </w:r>
            <w:r w:rsidRPr="001B3779">
              <w:rPr>
                <w:sz w:val="20"/>
                <w:lang w:val="fr-FR"/>
              </w:rPr>
              <w:t>:</w:t>
            </w:r>
          </w:p>
          <w:p w14:paraId="4649AF6B" w14:textId="6B813A83" w:rsidR="00664206" w:rsidRPr="001B3779" w:rsidRDefault="00923D6C">
            <w:pPr>
              <w:pStyle w:val="TableParagraph"/>
              <w:spacing w:before="0"/>
              <w:ind w:right="327"/>
              <w:rPr>
                <w:sz w:val="20"/>
                <w:lang w:val="fr-FR"/>
              </w:rPr>
            </w:pPr>
            <w:r w:rsidRPr="001B3779">
              <w:rPr>
                <w:sz w:val="20"/>
                <w:lang w:val="fr-FR"/>
              </w:rPr>
              <w:t xml:space="preserve">Rapports des États membres </w:t>
            </w:r>
          </w:p>
          <w:p w14:paraId="13DB7590" w14:textId="522B433E" w:rsidR="00664206" w:rsidRPr="001B3779" w:rsidRDefault="00923D6C">
            <w:pPr>
              <w:pStyle w:val="TableParagraph"/>
              <w:spacing w:before="1"/>
              <w:rPr>
                <w:sz w:val="20"/>
                <w:lang w:val="fr-FR"/>
              </w:rPr>
            </w:pPr>
            <w:r w:rsidRPr="001B3779">
              <w:rPr>
                <w:sz w:val="20"/>
                <w:lang w:val="fr-FR"/>
              </w:rPr>
              <w:t>Fréquence </w:t>
            </w:r>
            <w:r w:rsidR="003F788D" w:rsidRPr="001B3779">
              <w:rPr>
                <w:sz w:val="20"/>
                <w:lang w:val="fr-FR"/>
              </w:rPr>
              <w:t xml:space="preserve">: 6 </w:t>
            </w:r>
            <w:r w:rsidRPr="001B3779">
              <w:rPr>
                <w:sz w:val="20"/>
                <w:lang w:val="fr-FR"/>
              </w:rPr>
              <w:t>ans</w:t>
            </w:r>
          </w:p>
          <w:p w14:paraId="6539D90C" w14:textId="77777777" w:rsidR="00664206" w:rsidRPr="001B3779" w:rsidRDefault="00664206">
            <w:pPr>
              <w:pStyle w:val="TableParagraph"/>
              <w:spacing w:before="10"/>
              <w:ind w:left="0"/>
              <w:rPr>
                <w:sz w:val="19"/>
                <w:lang w:val="fr-FR"/>
              </w:rPr>
            </w:pPr>
          </w:p>
          <w:p w14:paraId="774882FD" w14:textId="090321DD" w:rsidR="00664206" w:rsidRPr="001B3779" w:rsidRDefault="00923D6C">
            <w:pPr>
              <w:pStyle w:val="TableParagraph"/>
              <w:spacing w:before="0"/>
              <w:ind w:right="349"/>
              <w:rPr>
                <w:sz w:val="20"/>
                <w:lang w:val="fr-FR"/>
              </w:rPr>
            </w:pPr>
            <w:r w:rsidRPr="001B3779">
              <w:rPr>
                <w:sz w:val="20"/>
                <w:lang w:val="fr-FR"/>
              </w:rPr>
              <w:t>Niveau et portée taxonomiques </w:t>
            </w:r>
            <w:r w:rsidR="003F788D" w:rsidRPr="001B3779">
              <w:rPr>
                <w:sz w:val="20"/>
                <w:lang w:val="fr-FR"/>
              </w:rPr>
              <w:t xml:space="preserve">: </w:t>
            </w:r>
            <w:r w:rsidRPr="001B3779">
              <w:rPr>
                <w:sz w:val="20"/>
                <w:lang w:val="fr-FR"/>
              </w:rPr>
              <w:t>toute espèce d’oiseau</w:t>
            </w:r>
            <w:r w:rsidR="00572F33" w:rsidRPr="001B3779">
              <w:rPr>
                <w:sz w:val="20"/>
                <w:lang w:val="fr-FR"/>
              </w:rPr>
              <w:t xml:space="preserve"> présente </w:t>
            </w:r>
            <w:r w:rsidR="004A6BF5" w:rsidRPr="001B3779">
              <w:rPr>
                <w:sz w:val="20"/>
                <w:lang w:val="fr-FR"/>
              </w:rPr>
              <w:t>à l’état naturel</w:t>
            </w:r>
          </w:p>
        </w:tc>
        <w:tc>
          <w:tcPr>
            <w:tcW w:w="2259" w:type="dxa"/>
            <w:tcBorders>
              <w:top w:val="nil"/>
              <w:bottom w:val="nil"/>
            </w:tcBorders>
          </w:tcPr>
          <w:p w14:paraId="33D617C0" w14:textId="353D10CD" w:rsidR="00664206" w:rsidRPr="001B3779" w:rsidRDefault="00C32124">
            <w:pPr>
              <w:pStyle w:val="TableParagraph"/>
              <w:spacing w:before="0"/>
              <w:ind w:right="78"/>
              <w:rPr>
                <w:sz w:val="20"/>
                <w:lang w:val="fr-FR"/>
              </w:rPr>
            </w:pPr>
            <w:r w:rsidRPr="001B3779">
              <w:rPr>
                <w:sz w:val="20"/>
                <w:lang w:val="fr-FR"/>
              </w:rPr>
              <w:t>Il est à noter que l’UE ne dispose pas d’indicateurs en matière d</w:t>
            </w:r>
            <w:r w:rsidR="00CC3CE2" w:rsidRPr="001B3779">
              <w:rPr>
                <w:sz w:val="20"/>
                <w:lang w:val="fr-FR"/>
              </w:rPr>
              <w:t>’oiseaux des</w:t>
            </w:r>
            <w:r w:rsidRPr="001B3779">
              <w:rPr>
                <w:sz w:val="20"/>
                <w:lang w:val="fr-FR"/>
              </w:rPr>
              <w:t xml:space="preserve"> zones humides, côtières ou marine</w:t>
            </w:r>
            <w:r w:rsidR="00CC3CE2" w:rsidRPr="001B3779">
              <w:rPr>
                <w:sz w:val="20"/>
                <w:lang w:val="fr-FR"/>
              </w:rPr>
              <w:t xml:space="preserve">s, </w:t>
            </w:r>
            <w:proofErr w:type="gramStart"/>
            <w:r w:rsidR="00CC3CE2" w:rsidRPr="001B3779">
              <w:rPr>
                <w:sz w:val="20"/>
                <w:lang w:val="fr-FR"/>
              </w:rPr>
              <w:t xml:space="preserve">comme </w:t>
            </w:r>
            <w:r w:rsidR="00AE4279" w:rsidRPr="001B3779">
              <w:rPr>
                <w:sz w:val="20"/>
                <w:lang w:val="fr-FR"/>
              </w:rPr>
              <w:t>par exemple</w:t>
            </w:r>
            <w:proofErr w:type="gramEnd"/>
            <w:r w:rsidR="00B70118" w:rsidRPr="001B3779">
              <w:rPr>
                <w:sz w:val="20"/>
                <w:lang w:val="fr-FR"/>
              </w:rPr>
              <w:t xml:space="preserve"> l’indice des oiseaux</w:t>
            </w:r>
            <w:r w:rsidR="00EB52E6" w:rsidRPr="001B3779">
              <w:rPr>
                <w:sz w:val="20"/>
                <w:lang w:val="fr-FR"/>
              </w:rPr>
              <w:t xml:space="preserve"> des terres agricoles</w:t>
            </w:r>
            <w:r w:rsidR="007F4A4C" w:rsidRPr="001B3779">
              <w:rPr>
                <w:sz w:val="20"/>
                <w:lang w:val="fr-FR"/>
              </w:rPr>
              <w:t xml:space="preserve"> et des forêts</w:t>
            </w:r>
            <w:r w:rsidR="003F788D" w:rsidRPr="001B3779">
              <w:rPr>
                <w:sz w:val="20"/>
                <w:lang w:val="fr-FR"/>
              </w:rPr>
              <w:t>.</w:t>
            </w:r>
          </w:p>
          <w:p w14:paraId="3759F3B2" w14:textId="77777777" w:rsidR="00664206" w:rsidRPr="001B3779" w:rsidRDefault="00664206">
            <w:pPr>
              <w:pStyle w:val="TableParagraph"/>
              <w:spacing w:before="7"/>
              <w:ind w:left="0"/>
              <w:rPr>
                <w:sz w:val="19"/>
                <w:lang w:val="fr-FR"/>
              </w:rPr>
            </w:pPr>
          </w:p>
          <w:p w14:paraId="10E6D06E" w14:textId="7C31F445" w:rsidR="00664206" w:rsidRPr="001B3779" w:rsidRDefault="003F788D">
            <w:pPr>
              <w:pStyle w:val="TableParagraph"/>
              <w:spacing w:before="0"/>
              <w:rPr>
                <w:sz w:val="20"/>
                <w:lang w:val="fr-FR"/>
              </w:rPr>
            </w:pPr>
            <w:r w:rsidRPr="001B3779">
              <w:rPr>
                <w:sz w:val="20"/>
                <w:lang w:val="fr-FR"/>
              </w:rPr>
              <w:t>Source</w:t>
            </w:r>
            <w:r w:rsidR="005323D3" w:rsidRPr="001B3779">
              <w:rPr>
                <w:sz w:val="20"/>
                <w:lang w:val="fr-FR"/>
              </w:rPr>
              <w:t> </w:t>
            </w:r>
            <w:r w:rsidRPr="001B3779">
              <w:rPr>
                <w:sz w:val="20"/>
                <w:lang w:val="fr-FR"/>
              </w:rPr>
              <w:t>:</w:t>
            </w:r>
          </w:p>
          <w:p w14:paraId="4E63B83C" w14:textId="77777777" w:rsidR="005323D3" w:rsidRPr="001B3779" w:rsidRDefault="005323D3" w:rsidP="005323D3">
            <w:pPr>
              <w:pStyle w:val="TableParagraph"/>
              <w:spacing w:before="0"/>
              <w:ind w:right="327"/>
              <w:rPr>
                <w:sz w:val="20"/>
                <w:lang w:val="fr-FR"/>
              </w:rPr>
            </w:pPr>
            <w:r w:rsidRPr="001B3779">
              <w:rPr>
                <w:sz w:val="20"/>
                <w:lang w:val="fr-FR"/>
              </w:rPr>
              <w:t xml:space="preserve">Rapports des États membres </w:t>
            </w:r>
          </w:p>
          <w:p w14:paraId="25BD45E6" w14:textId="3F7E2797" w:rsidR="00664206" w:rsidRPr="001B3779" w:rsidRDefault="005323D3">
            <w:pPr>
              <w:pStyle w:val="TableParagraph"/>
              <w:spacing w:before="1"/>
              <w:rPr>
                <w:sz w:val="20"/>
                <w:lang w:val="fr-FR"/>
              </w:rPr>
            </w:pPr>
            <w:r w:rsidRPr="001B3779">
              <w:rPr>
                <w:sz w:val="20"/>
                <w:lang w:val="fr-FR"/>
              </w:rPr>
              <w:lastRenderedPageBreak/>
              <w:t>Fréquence </w:t>
            </w:r>
            <w:r w:rsidR="003F788D" w:rsidRPr="001B3779">
              <w:rPr>
                <w:sz w:val="20"/>
                <w:lang w:val="fr-FR"/>
              </w:rPr>
              <w:t xml:space="preserve">: 6 </w:t>
            </w:r>
            <w:r w:rsidRPr="001B3779">
              <w:rPr>
                <w:sz w:val="20"/>
                <w:lang w:val="fr-FR"/>
              </w:rPr>
              <w:t>ans</w:t>
            </w:r>
          </w:p>
        </w:tc>
        <w:tc>
          <w:tcPr>
            <w:tcW w:w="2257" w:type="dxa"/>
            <w:tcBorders>
              <w:top w:val="nil"/>
              <w:bottom w:val="nil"/>
            </w:tcBorders>
          </w:tcPr>
          <w:p w14:paraId="692F3F07" w14:textId="77777777" w:rsidR="00664206" w:rsidRPr="001B3779" w:rsidRDefault="00664206">
            <w:pPr>
              <w:pStyle w:val="TableParagraph"/>
              <w:spacing w:before="7"/>
              <w:ind w:left="0"/>
              <w:rPr>
                <w:sz w:val="19"/>
                <w:lang w:val="fr-FR"/>
              </w:rPr>
            </w:pPr>
          </w:p>
          <w:p w14:paraId="5491E268" w14:textId="3DD2AA69" w:rsidR="00664206" w:rsidRPr="001B3779" w:rsidRDefault="00AC2E45">
            <w:pPr>
              <w:pStyle w:val="TableParagraph"/>
              <w:spacing w:before="0"/>
              <w:ind w:right="361"/>
              <w:rPr>
                <w:sz w:val="20"/>
                <w:lang w:val="fr-FR"/>
              </w:rPr>
            </w:pPr>
            <w:r w:rsidRPr="001B3779">
              <w:rPr>
                <w:sz w:val="20"/>
                <w:lang w:val="fr-FR"/>
              </w:rPr>
              <w:t xml:space="preserve">Mise à jour </w:t>
            </w:r>
            <w:r w:rsidR="00B2261F">
              <w:rPr>
                <w:sz w:val="20"/>
                <w:lang w:val="fr-FR"/>
              </w:rPr>
              <w:t>des totaux</w:t>
            </w:r>
            <w:r w:rsidRPr="001B3779">
              <w:rPr>
                <w:sz w:val="20"/>
                <w:lang w:val="fr-FR"/>
              </w:rPr>
              <w:t xml:space="preserve"> et tendances des ZPS</w:t>
            </w:r>
            <w:r w:rsidRPr="001B3779">
              <w:rPr>
                <w:spacing w:val="-8"/>
                <w:sz w:val="20"/>
                <w:lang w:val="fr-FR"/>
              </w:rPr>
              <w:t xml:space="preserve">, dans le cadre du processus de </w:t>
            </w:r>
            <w:r w:rsidR="00FE0CC7">
              <w:rPr>
                <w:spacing w:val="-8"/>
                <w:sz w:val="20"/>
                <w:lang w:val="fr-FR"/>
              </w:rPr>
              <w:t>rapport prévu par</w:t>
            </w:r>
            <w:r w:rsidRPr="001B3779">
              <w:rPr>
                <w:spacing w:val="-8"/>
                <w:sz w:val="20"/>
                <w:lang w:val="fr-FR"/>
              </w:rPr>
              <w:t xml:space="preserve"> l’</w:t>
            </w:r>
            <w:r w:rsidR="003F788D" w:rsidRPr="001B3779">
              <w:rPr>
                <w:sz w:val="20"/>
                <w:lang w:val="fr-FR"/>
              </w:rPr>
              <w:t>Article 12</w:t>
            </w:r>
          </w:p>
          <w:p w14:paraId="7BA79B13" w14:textId="77777777" w:rsidR="00664206" w:rsidRPr="001B3779" w:rsidRDefault="00664206">
            <w:pPr>
              <w:pStyle w:val="TableParagraph"/>
              <w:spacing w:before="0"/>
              <w:ind w:left="0"/>
              <w:rPr>
                <w:sz w:val="20"/>
                <w:lang w:val="fr-FR"/>
              </w:rPr>
            </w:pPr>
          </w:p>
          <w:p w14:paraId="67F52C4C" w14:textId="3A0530EF" w:rsidR="00664206" w:rsidRPr="001B3779" w:rsidRDefault="005323D3">
            <w:pPr>
              <w:pStyle w:val="TableParagraph"/>
              <w:spacing w:before="0"/>
              <w:ind w:right="443"/>
              <w:rPr>
                <w:sz w:val="20"/>
                <w:lang w:val="fr-FR"/>
              </w:rPr>
            </w:pPr>
            <w:r w:rsidRPr="001B3779">
              <w:rPr>
                <w:sz w:val="20"/>
                <w:lang w:val="fr-FR"/>
              </w:rPr>
              <w:t>Niveau et portée taxonomiques :</w:t>
            </w:r>
            <w:r w:rsidR="003F788D" w:rsidRPr="001B3779">
              <w:rPr>
                <w:sz w:val="20"/>
                <w:lang w:val="fr-FR"/>
              </w:rPr>
              <w:t xml:space="preserve"> </w:t>
            </w:r>
            <w:r w:rsidR="00D05FC0">
              <w:rPr>
                <w:sz w:val="20"/>
                <w:lang w:val="fr-FR"/>
              </w:rPr>
              <w:t>e</w:t>
            </w:r>
            <w:r w:rsidR="00DB1272" w:rsidRPr="001B3779">
              <w:rPr>
                <w:sz w:val="20"/>
                <w:lang w:val="fr-FR"/>
              </w:rPr>
              <w:t>spèces déclenchant la désignation de ZPS</w:t>
            </w:r>
          </w:p>
        </w:tc>
      </w:tr>
      <w:tr w:rsidR="00664206" w:rsidRPr="005E52F1" w14:paraId="12512E71" w14:textId="77777777" w:rsidTr="00CC3100">
        <w:trPr>
          <w:trHeight w:val="440"/>
        </w:trPr>
        <w:tc>
          <w:tcPr>
            <w:tcW w:w="2259" w:type="dxa"/>
            <w:tcBorders>
              <w:top w:val="nil"/>
              <w:bottom w:val="single" w:sz="8" w:space="0" w:color="000000"/>
            </w:tcBorders>
          </w:tcPr>
          <w:p w14:paraId="067C02D3" w14:textId="77777777" w:rsidR="00664206" w:rsidRPr="001B3779" w:rsidRDefault="00664206">
            <w:pPr>
              <w:pStyle w:val="TableParagraph"/>
              <w:spacing w:before="0"/>
              <w:ind w:left="0"/>
              <w:rPr>
                <w:sz w:val="18"/>
                <w:lang w:val="fr-FR"/>
              </w:rPr>
            </w:pPr>
          </w:p>
        </w:tc>
        <w:tc>
          <w:tcPr>
            <w:tcW w:w="2256" w:type="dxa"/>
            <w:tcBorders>
              <w:top w:val="nil"/>
              <w:bottom w:val="single" w:sz="8" w:space="0" w:color="000000"/>
            </w:tcBorders>
          </w:tcPr>
          <w:p w14:paraId="5E85115F" w14:textId="77777777" w:rsidR="00664206" w:rsidRPr="001B3779" w:rsidRDefault="00664206">
            <w:pPr>
              <w:pStyle w:val="TableParagraph"/>
              <w:spacing w:before="0"/>
              <w:ind w:left="0"/>
              <w:rPr>
                <w:sz w:val="18"/>
                <w:lang w:val="fr-FR"/>
              </w:rPr>
            </w:pPr>
          </w:p>
        </w:tc>
        <w:tc>
          <w:tcPr>
            <w:tcW w:w="2259" w:type="dxa"/>
            <w:tcBorders>
              <w:top w:val="nil"/>
              <w:bottom w:val="single" w:sz="8" w:space="0" w:color="000000"/>
            </w:tcBorders>
          </w:tcPr>
          <w:p w14:paraId="31F8569C" w14:textId="2CCC4E72" w:rsidR="00664206" w:rsidRPr="001B3779" w:rsidRDefault="005323D3">
            <w:pPr>
              <w:pStyle w:val="TableParagraph"/>
              <w:spacing w:before="109"/>
              <w:rPr>
                <w:sz w:val="20"/>
                <w:lang w:val="fr-FR"/>
              </w:rPr>
            </w:pPr>
            <w:r w:rsidRPr="001B3779">
              <w:rPr>
                <w:sz w:val="20"/>
                <w:lang w:val="fr-FR"/>
              </w:rPr>
              <w:t>Niveau et portée taxonomiques :</w:t>
            </w:r>
            <w:r w:rsidR="003C19C1" w:rsidRPr="001B3779">
              <w:rPr>
                <w:sz w:val="20"/>
                <w:lang w:val="fr-FR"/>
              </w:rPr>
              <w:t xml:space="preserve"> </w:t>
            </w:r>
            <w:r w:rsidRPr="001B3779">
              <w:rPr>
                <w:sz w:val="20"/>
                <w:lang w:val="fr-FR"/>
              </w:rPr>
              <w:t>toute espèce d’oiseau présente à l’état naturel</w:t>
            </w:r>
            <w:r w:rsidR="003C19C1" w:rsidRPr="001B3779">
              <w:rPr>
                <w:sz w:val="20"/>
                <w:lang w:val="fr-FR"/>
              </w:rPr>
              <w:t>.</w:t>
            </w:r>
            <w:r w:rsidRPr="001B3779">
              <w:rPr>
                <w:sz w:val="20"/>
                <w:lang w:val="fr-FR"/>
              </w:rPr>
              <w:t xml:space="preserve"> Le processus de l’UE</w:t>
            </w:r>
            <w:r w:rsidR="00B46992" w:rsidRPr="001B3779">
              <w:rPr>
                <w:sz w:val="20"/>
                <w:lang w:val="fr-FR"/>
              </w:rPr>
              <w:t xml:space="preserve"> ne regarde pas seulement les </w:t>
            </w:r>
            <w:r w:rsidR="00E61AD1">
              <w:rPr>
                <w:sz w:val="20"/>
                <w:lang w:val="fr-FR"/>
              </w:rPr>
              <w:t>tendances relatives au nombre d’oiseaux</w:t>
            </w:r>
            <w:r w:rsidR="00B46992" w:rsidRPr="001B3779">
              <w:rPr>
                <w:sz w:val="20"/>
                <w:lang w:val="fr-FR"/>
              </w:rPr>
              <w:t>, mais également</w:t>
            </w:r>
            <w:r w:rsidR="00B33963">
              <w:rPr>
                <w:sz w:val="20"/>
                <w:lang w:val="fr-FR"/>
              </w:rPr>
              <w:t xml:space="preserve"> celles relatives à</w:t>
            </w:r>
            <w:r w:rsidR="00CD3502" w:rsidRPr="001B3779">
              <w:rPr>
                <w:sz w:val="20"/>
                <w:lang w:val="fr-FR"/>
              </w:rPr>
              <w:t xml:space="preserve"> l’étendue de</w:t>
            </w:r>
            <w:r w:rsidR="00B33963">
              <w:rPr>
                <w:sz w:val="20"/>
                <w:lang w:val="fr-FR"/>
              </w:rPr>
              <w:t xml:space="preserve">s </w:t>
            </w:r>
            <w:r w:rsidR="00CD3502" w:rsidRPr="001B3779">
              <w:rPr>
                <w:sz w:val="20"/>
                <w:lang w:val="fr-FR"/>
              </w:rPr>
              <w:t>aire</w:t>
            </w:r>
            <w:r w:rsidR="00B33963">
              <w:rPr>
                <w:sz w:val="20"/>
                <w:lang w:val="fr-FR"/>
              </w:rPr>
              <w:t>s</w:t>
            </w:r>
            <w:r w:rsidR="00CD3502" w:rsidRPr="001B3779">
              <w:rPr>
                <w:sz w:val="20"/>
                <w:lang w:val="fr-FR"/>
              </w:rPr>
              <w:t xml:space="preserve"> de répartition</w:t>
            </w:r>
          </w:p>
        </w:tc>
        <w:tc>
          <w:tcPr>
            <w:tcW w:w="2257" w:type="dxa"/>
            <w:tcBorders>
              <w:top w:val="nil"/>
              <w:bottom w:val="single" w:sz="8" w:space="0" w:color="000000"/>
            </w:tcBorders>
          </w:tcPr>
          <w:p w14:paraId="1F1F6422" w14:textId="77777777" w:rsidR="00664206" w:rsidRPr="001B3779" w:rsidRDefault="00664206">
            <w:pPr>
              <w:pStyle w:val="TableParagraph"/>
              <w:spacing w:before="0"/>
              <w:ind w:left="0"/>
              <w:rPr>
                <w:sz w:val="18"/>
                <w:lang w:val="fr-FR"/>
              </w:rPr>
            </w:pPr>
          </w:p>
        </w:tc>
      </w:tr>
      <w:tr w:rsidR="00920245" w:rsidRPr="005E52F1" w14:paraId="536D8164" w14:textId="77777777" w:rsidTr="00CC3100">
        <w:trPr>
          <w:trHeight w:val="440"/>
        </w:trPr>
        <w:tc>
          <w:tcPr>
            <w:tcW w:w="2259" w:type="dxa"/>
            <w:tcBorders>
              <w:top w:val="single" w:sz="8" w:space="0" w:color="000000"/>
              <w:left w:val="single" w:sz="8" w:space="0" w:color="000000"/>
              <w:bottom w:val="single" w:sz="8" w:space="0" w:color="000000"/>
              <w:right w:val="single" w:sz="8" w:space="0" w:color="000000"/>
            </w:tcBorders>
          </w:tcPr>
          <w:p w14:paraId="2AD3AE94" w14:textId="48C410AE" w:rsidR="00FF6875" w:rsidRPr="001B3779" w:rsidRDefault="00DB08EC" w:rsidP="00FF6875">
            <w:pPr>
              <w:pStyle w:val="TableParagraph"/>
              <w:ind w:right="402"/>
              <w:rPr>
                <w:sz w:val="20"/>
                <w:lang w:val="fr-FR"/>
              </w:rPr>
            </w:pPr>
            <w:r w:rsidRPr="001B3779">
              <w:rPr>
                <w:sz w:val="20"/>
                <w:lang w:val="fr-FR"/>
              </w:rPr>
              <w:t>Directive-cadre de l’UE «stratégie pour le milieu marin»</w:t>
            </w:r>
            <w:r w:rsidR="00FF6875" w:rsidRPr="001B3779">
              <w:rPr>
                <w:sz w:val="20"/>
                <w:lang w:val="fr-FR"/>
              </w:rPr>
              <w:t xml:space="preserve"> (MSFD)</w:t>
            </w:r>
          </w:p>
          <w:p w14:paraId="15DD1D63" w14:textId="77777777" w:rsidR="00FF6875" w:rsidRPr="001B3779" w:rsidRDefault="00FF6875" w:rsidP="00FF6875">
            <w:pPr>
              <w:pStyle w:val="TableParagraph"/>
              <w:spacing w:before="11"/>
              <w:ind w:left="0"/>
              <w:rPr>
                <w:sz w:val="19"/>
                <w:lang w:val="fr-FR"/>
              </w:rPr>
            </w:pPr>
          </w:p>
          <w:p w14:paraId="6B6BE3F5" w14:textId="7445BCA3" w:rsidR="00920245" w:rsidRPr="001B3779" w:rsidRDefault="00FF6875" w:rsidP="00FF6875">
            <w:pPr>
              <w:pStyle w:val="TableParagraph"/>
              <w:spacing w:before="0"/>
              <w:ind w:left="50"/>
              <w:rPr>
                <w:sz w:val="18"/>
                <w:lang w:val="fr-FR"/>
              </w:rPr>
            </w:pPr>
            <w:r w:rsidRPr="001B3779">
              <w:rPr>
                <w:sz w:val="20"/>
                <w:lang w:val="fr-FR"/>
              </w:rPr>
              <w:t>(</w:t>
            </w:r>
            <w:r w:rsidR="00662AA2" w:rsidRPr="001B3779">
              <w:rPr>
                <w:sz w:val="20"/>
                <w:lang w:val="fr-FR"/>
              </w:rPr>
              <w:t>Coordonné</w:t>
            </w:r>
            <w:r w:rsidR="00BD2CFC" w:rsidRPr="001B3779">
              <w:rPr>
                <w:sz w:val="20"/>
                <w:lang w:val="fr-FR"/>
              </w:rPr>
              <w:t xml:space="preserve"> par des Convent</w:t>
            </w:r>
            <w:r w:rsidR="00662AA2" w:rsidRPr="001B3779">
              <w:rPr>
                <w:sz w:val="20"/>
                <w:lang w:val="fr-FR"/>
              </w:rPr>
              <w:t>ions marines régionales, par ex.</w:t>
            </w:r>
            <w:r w:rsidRPr="001B3779">
              <w:rPr>
                <w:sz w:val="20"/>
                <w:lang w:val="fr-FR"/>
              </w:rPr>
              <w:t xml:space="preserve"> OSPAR, HELCOM)</w:t>
            </w:r>
          </w:p>
        </w:tc>
        <w:tc>
          <w:tcPr>
            <w:tcW w:w="2256" w:type="dxa"/>
            <w:tcBorders>
              <w:top w:val="single" w:sz="8" w:space="0" w:color="000000"/>
              <w:left w:val="single" w:sz="8" w:space="0" w:color="000000"/>
              <w:bottom w:val="single" w:sz="8" w:space="0" w:color="000000"/>
              <w:right w:val="single" w:sz="8" w:space="0" w:color="000000"/>
            </w:tcBorders>
          </w:tcPr>
          <w:p w14:paraId="2AF9B016" w14:textId="1523B82E" w:rsidR="00FF6875" w:rsidRPr="001B3779" w:rsidRDefault="00FC48D4" w:rsidP="00FF6875">
            <w:pPr>
              <w:pStyle w:val="TableParagraph"/>
              <w:ind w:right="249"/>
              <w:rPr>
                <w:sz w:val="20"/>
                <w:lang w:val="fr-FR"/>
              </w:rPr>
            </w:pPr>
            <w:r>
              <w:rPr>
                <w:sz w:val="20"/>
                <w:lang w:val="fr-FR"/>
              </w:rPr>
              <w:t>Processus d’évaluation et de rapport prévu par l’</w:t>
            </w:r>
            <w:r w:rsidR="003E481B" w:rsidRPr="001B3779">
              <w:rPr>
                <w:sz w:val="20"/>
                <w:lang w:val="fr-FR"/>
              </w:rPr>
              <w:t>Article 8</w:t>
            </w:r>
            <w:r w:rsidR="00A200CB" w:rsidRPr="001B3779">
              <w:rPr>
                <w:sz w:val="20"/>
                <w:lang w:val="fr-FR"/>
              </w:rPr>
              <w:t xml:space="preserve"> de</w:t>
            </w:r>
            <w:r w:rsidR="00F00E7F" w:rsidRPr="001B3779">
              <w:rPr>
                <w:sz w:val="20"/>
                <w:lang w:val="fr-FR"/>
              </w:rPr>
              <w:t xml:space="preserve"> la</w:t>
            </w:r>
            <w:r w:rsidR="00FF6875" w:rsidRPr="001B3779">
              <w:rPr>
                <w:sz w:val="20"/>
                <w:lang w:val="fr-FR"/>
              </w:rPr>
              <w:t xml:space="preserve"> MSFD </w:t>
            </w:r>
            <w:r w:rsidR="00F00E7F" w:rsidRPr="001B3779">
              <w:rPr>
                <w:sz w:val="20"/>
                <w:lang w:val="fr-FR"/>
              </w:rPr>
              <w:t xml:space="preserve">de l’UE </w:t>
            </w:r>
            <w:r w:rsidR="00293B15" w:rsidRPr="001B3779">
              <w:rPr>
                <w:sz w:val="20"/>
                <w:lang w:val="fr-FR"/>
              </w:rPr>
              <w:t>(</w:t>
            </w:r>
            <w:r w:rsidR="00163391" w:rsidRPr="001B3779">
              <w:rPr>
                <w:sz w:val="20"/>
                <w:lang w:val="fr-FR"/>
              </w:rPr>
              <w:t>spécifié dans la décision</w:t>
            </w:r>
            <w:r w:rsidR="00A200CB" w:rsidRPr="001B3779">
              <w:rPr>
                <w:sz w:val="20"/>
                <w:lang w:val="fr-FR"/>
              </w:rPr>
              <w:t xml:space="preserve"> de la Commission EU</w:t>
            </w:r>
            <w:r w:rsidR="00163391" w:rsidRPr="001B3779">
              <w:rPr>
                <w:sz w:val="20"/>
                <w:lang w:val="fr-FR"/>
              </w:rPr>
              <w:t xml:space="preserve"> </w:t>
            </w:r>
            <w:r w:rsidR="00FF6875" w:rsidRPr="001B3779">
              <w:rPr>
                <w:sz w:val="20"/>
                <w:lang w:val="fr-FR"/>
              </w:rPr>
              <w:t>2017/848)</w:t>
            </w:r>
          </w:p>
          <w:p w14:paraId="47E4F2D7" w14:textId="77777777" w:rsidR="00FF6875" w:rsidRPr="001B3779" w:rsidRDefault="00FF6875" w:rsidP="00FF6875">
            <w:pPr>
              <w:pStyle w:val="TableParagraph"/>
              <w:spacing w:before="0"/>
              <w:ind w:left="0"/>
              <w:rPr>
                <w:sz w:val="20"/>
                <w:lang w:val="fr-FR"/>
              </w:rPr>
            </w:pPr>
          </w:p>
          <w:p w14:paraId="3544FA72" w14:textId="6BE41609" w:rsidR="00FF6875" w:rsidRPr="001B3779" w:rsidRDefault="00A43DAF" w:rsidP="00FF6875">
            <w:pPr>
              <w:pStyle w:val="TableParagraph"/>
              <w:spacing w:before="0"/>
              <w:ind w:right="171"/>
              <w:rPr>
                <w:sz w:val="20"/>
                <w:lang w:val="fr-FR"/>
              </w:rPr>
            </w:pPr>
            <w:r w:rsidRPr="001B3779">
              <w:rPr>
                <w:sz w:val="20"/>
                <w:lang w:val="fr-FR"/>
              </w:rPr>
              <w:t>Environnement adéquat</w:t>
            </w:r>
            <w:r w:rsidR="00FF6875" w:rsidRPr="001B3779">
              <w:rPr>
                <w:sz w:val="20"/>
                <w:lang w:val="fr-FR"/>
              </w:rPr>
              <w:t xml:space="preserve"> </w:t>
            </w:r>
            <w:r w:rsidRPr="001B3779">
              <w:rPr>
                <w:sz w:val="20"/>
                <w:lang w:val="fr-FR"/>
              </w:rPr>
              <w:t>État des group</w:t>
            </w:r>
            <w:r w:rsidR="00010A15" w:rsidRPr="001B3779">
              <w:rPr>
                <w:sz w:val="20"/>
                <w:lang w:val="fr-FR"/>
              </w:rPr>
              <w:t>e</w:t>
            </w:r>
            <w:r w:rsidRPr="001B3779">
              <w:rPr>
                <w:sz w:val="20"/>
                <w:lang w:val="fr-FR"/>
              </w:rPr>
              <w:t>s d’espèces d’oiseaux mari</w:t>
            </w:r>
            <w:r w:rsidR="00291772" w:rsidRPr="001B3779">
              <w:rPr>
                <w:sz w:val="20"/>
                <w:lang w:val="fr-FR"/>
              </w:rPr>
              <w:t>n</w:t>
            </w:r>
            <w:r w:rsidRPr="001B3779">
              <w:rPr>
                <w:sz w:val="20"/>
                <w:lang w:val="fr-FR"/>
              </w:rPr>
              <w:t xml:space="preserve">s, </w:t>
            </w:r>
            <w:r w:rsidR="00291772" w:rsidRPr="001B3779">
              <w:rPr>
                <w:sz w:val="20"/>
                <w:lang w:val="fr-FR"/>
              </w:rPr>
              <w:t xml:space="preserve">sur la base d’évaluations </w:t>
            </w:r>
            <w:r w:rsidR="009E44E3" w:rsidRPr="001B3779">
              <w:rPr>
                <w:sz w:val="20"/>
                <w:lang w:val="fr-FR"/>
              </w:rPr>
              <w:t>de l’état de chaque espèce</w:t>
            </w:r>
            <w:r w:rsidR="00FF6875" w:rsidRPr="001B3779">
              <w:rPr>
                <w:sz w:val="20"/>
                <w:lang w:val="fr-FR"/>
              </w:rPr>
              <w:t>.</w:t>
            </w:r>
          </w:p>
          <w:p w14:paraId="3248C72C" w14:textId="10F4B09B" w:rsidR="00FF6875" w:rsidRPr="001B3779" w:rsidRDefault="006364EA" w:rsidP="00FF6875">
            <w:pPr>
              <w:pStyle w:val="TableParagraph"/>
              <w:spacing w:before="0"/>
              <w:ind w:right="70"/>
              <w:rPr>
                <w:sz w:val="20"/>
                <w:lang w:val="fr-FR"/>
              </w:rPr>
            </w:pPr>
            <w:r w:rsidRPr="001B3779">
              <w:rPr>
                <w:sz w:val="20"/>
                <w:lang w:val="fr-FR"/>
              </w:rPr>
              <w:t>L’</w:t>
            </w:r>
            <w:r w:rsidR="008C78F2">
              <w:rPr>
                <w:sz w:val="20"/>
                <w:lang w:val="fr-FR"/>
              </w:rPr>
              <w:t>état d</w:t>
            </w:r>
            <w:r w:rsidR="004A7CA0">
              <w:rPr>
                <w:sz w:val="20"/>
                <w:lang w:val="fr-FR"/>
              </w:rPr>
              <w:t xml:space="preserve">’une </w:t>
            </w:r>
            <w:r w:rsidRPr="001B3779">
              <w:rPr>
                <w:sz w:val="20"/>
                <w:lang w:val="fr-FR"/>
              </w:rPr>
              <w:t xml:space="preserve">espèce est évalué </w:t>
            </w:r>
            <w:r w:rsidR="004C18FA" w:rsidRPr="001B3779">
              <w:rPr>
                <w:sz w:val="20"/>
                <w:lang w:val="fr-FR"/>
              </w:rPr>
              <w:t xml:space="preserve">à l’aide de deux critères principaux : </w:t>
            </w:r>
            <w:r w:rsidR="00C940BB" w:rsidRPr="001B3779">
              <w:rPr>
                <w:sz w:val="20"/>
                <w:lang w:val="fr-FR"/>
              </w:rPr>
              <w:t xml:space="preserve">les tendances en matière d’abondance et la mortalité due aux prises accessoires, et jusqu’à trois critères secondaires : </w:t>
            </w:r>
            <w:r w:rsidR="00D47531" w:rsidRPr="001B3779">
              <w:rPr>
                <w:sz w:val="20"/>
                <w:lang w:val="fr-FR"/>
              </w:rPr>
              <w:t>caractéristiques démographiques, répartition et</w:t>
            </w:r>
            <w:r w:rsidR="00FF6875" w:rsidRPr="001B3779">
              <w:rPr>
                <w:sz w:val="20"/>
                <w:lang w:val="fr-FR"/>
              </w:rPr>
              <w:t xml:space="preserve"> habitat </w:t>
            </w:r>
            <w:r w:rsidR="00D47531" w:rsidRPr="001B3779">
              <w:rPr>
                <w:sz w:val="20"/>
                <w:lang w:val="fr-FR"/>
              </w:rPr>
              <w:t>de l’espèce</w:t>
            </w:r>
            <w:r w:rsidR="00FF6875" w:rsidRPr="001B3779">
              <w:rPr>
                <w:sz w:val="20"/>
                <w:lang w:val="fr-FR"/>
              </w:rPr>
              <w:t>.</w:t>
            </w:r>
          </w:p>
          <w:p w14:paraId="2D0DC212" w14:textId="30C745A3" w:rsidR="00FF6875" w:rsidRPr="001B3779" w:rsidRDefault="00DE56EE" w:rsidP="00FF6875">
            <w:pPr>
              <w:pStyle w:val="TableParagraph"/>
              <w:spacing w:before="2"/>
              <w:ind w:right="77"/>
              <w:rPr>
                <w:sz w:val="20"/>
                <w:lang w:val="fr-FR"/>
              </w:rPr>
            </w:pPr>
            <w:r w:rsidRPr="001B3779">
              <w:rPr>
                <w:sz w:val="20"/>
                <w:lang w:val="fr-FR"/>
              </w:rPr>
              <w:t xml:space="preserve">Chaque critère est évalué à partir de valeurs </w:t>
            </w:r>
            <w:r w:rsidR="002B1DE7" w:rsidRPr="001B3779">
              <w:rPr>
                <w:sz w:val="20"/>
                <w:lang w:val="fr-FR"/>
              </w:rPr>
              <w:t xml:space="preserve">de </w:t>
            </w:r>
            <w:r w:rsidRPr="001B3779">
              <w:rPr>
                <w:sz w:val="20"/>
                <w:lang w:val="fr-FR"/>
              </w:rPr>
              <w:t>seuil</w:t>
            </w:r>
            <w:r w:rsidR="00FF6875" w:rsidRPr="001B3779">
              <w:rPr>
                <w:sz w:val="20"/>
                <w:lang w:val="fr-FR"/>
              </w:rPr>
              <w:t xml:space="preserve">. </w:t>
            </w:r>
            <w:r w:rsidR="002B1DE7" w:rsidRPr="001B3779">
              <w:rPr>
                <w:sz w:val="20"/>
                <w:lang w:val="fr-FR"/>
              </w:rPr>
              <w:t>Toutes les méthodes d’évaluation (y compris les seuils) doivent être</w:t>
            </w:r>
            <w:r w:rsidR="007D3839" w:rsidRPr="001B3779">
              <w:rPr>
                <w:sz w:val="20"/>
                <w:lang w:val="fr-FR"/>
              </w:rPr>
              <w:t xml:space="preserve"> convenues au niveau régional</w:t>
            </w:r>
            <w:r w:rsidR="00FF6875" w:rsidRPr="001B3779">
              <w:rPr>
                <w:sz w:val="20"/>
                <w:lang w:val="fr-FR"/>
              </w:rPr>
              <w:t>.</w:t>
            </w:r>
          </w:p>
          <w:p w14:paraId="03DAF346" w14:textId="77777777" w:rsidR="00FF6875" w:rsidRPr="001B3779" w:rsidRDefault="00FF6875" w:rsidP="00FF6875">
            <w:pPr>
              <w:pStyle w:val="TableParagraph"/>
              <w:spacing w:before="9"/>
              <w:ind w:left="0"/>
              <w:rPr>
                <w:sz w:val="19"/>
                <w:lang w:val="fr-FR"/>
              </w:rPr>
            </w:pPr>
          </w:p>
          <w:p w14:paraId="01B389E4" w14:textId="6E2E81E0" w:rsidR="00FF6875" w:rsidRPr="001B3779" w:rsidRDefault="00FF6875" w:rsidP="00FF6875">
            <w:pPr>
              <w:pStyle w:val="TableParagraph"/>
              <w:spacing w:before="0"/>
              <w:rPr>
                <w:sz w:val="20"/>
                <w:lang w:val="fr-FR"/>
              </w:rPr>
            </w:pPr>
            <w:r w:rsidRPr="001B3779">
              <w:rPr>
                <w:sz w:val="20"/>
                <w:lang w:val="fr-FR"/>
              </w:rPr>
              <w:t>Source</w:t>
            </w:r>
            <w:r w:rsidR="00091CE0" w:rsidRPr="001B3779">
              <w:rPr>
                <w:sz w:val="20"/>
                <w:lang w:val="fr-FR"/>
              </w:rPr>
              <w:t> </w:t>
            </w:r>
            <w:r w:rsidRPr="001B3779">
              <w:rPr>
                <w:sz w:val="20"/>
                <w:lang w:val="fr-FR"/>
              </w:rPr>
              <w:t>:</w:t>
            </w:r>
          </w:p>
          <w:p w14:paraId="5FBDB1EA" w14:textId="4712C74D" w:rsidR="00FF6875" w:rsidRPr="001B3779" w:rsidRDefault="00910125" w:rsidP="00FF6875">
            <w:pPr>
              <w:pStyle w:val="TableParagraph"/>
              <w:spacing w:before="1"/>
              <w:ind w:right="327"/>
              <w:rPr>
                <w:sz w:val="20"/>
                <w:lang w:val="fr-FR"/>
              </w:rPr>
            </w:pPr>
            <w:r w:rsidRPr="001B3779">
              <w:rPr>
                <w:sz w:val="20"/>
                <w:lang w:val="fr-FR"/>
              </w:rPr>
              <w:t>Rapports des États membres</w:t>
            </w:r>
          </w:p>
          <w:p w14:paraId="0B5F3FCC" w14:textId="2C9C24CA" w:rsidR="00FF6875" w:rsidRPr="001B3779" w:rsidRDefault="00910125" w:rsidP="00FF6875">
            <w:pPr>
              <w:pStyle w:val="TableParagraph"/>
              <w:spacing w:before="1"/>
              <w:rPr>
                <w:sz w:val="20"/>
                <w:lang w:val="fr-FR"/>
              </w:rPr>
            </w:pPr>
            <w:r w:rsidRPr="001B3779">
              <w:rPr>
                <w:sz w:val="20"/>
                <w:lang w:val="fr-FR"/>
              </w:rPr>
              <w:lastRenderedPageBreak/>
              <w:t>Fréquence </w:t>
            </w:r>
            <w:r w:rsidR="00FF6875" w:rsidRPr="001B3779">
              <w:rPr>
                <w:sz w:val="20"/>
                <w:lang w:val="fr-FR"/>
              </w:rPr>
              <w:t xml:space="preserve">: 6 </w:t>
            </w:r>
            <w:r w:rsidRPr="001B3779">
              <w:rPr>
                <w:sz w:val="20"/>
                <w:lang w:val="fr-FR"/>
              </w:rPr>
              <w:t>ans</w:t>
            </w:r>
          </w:p>
          <w:p w14:paraId="601F1ACC" w14:textId="3E1274D3" w:rsidR="00FF6875" w:rsidRPr="001B3779" w:rsidRDefault="00FF6875" w:rsidP="00FF6875">
            <w:pPr>
              <w:pStyle w:val="TableParagraph"/>
              <w:spacing w:before="1"/>
              <w:rPr>
                <w:sz w:val="20"/>
                <w:lang w:val="fr-FR"/>
              </w:rPr>
            </w:pPr>
            <w:r w:rsidRPr="001B3779">
              <w:rPr>
                <w:sz w:val="20"/>
                <w:lang w:val="fr-FR"/>
              </w:rPr>
              <w:t>(</w:t>
            </w:r>
            <w:proofErr w:type="gramStart"/>
            <w:r w:rsidR="00910125" w:rsidRPr="001B3779">
              <w:rPr>
                <w:sz w:val="20"/>
                <w:lang w:val="fr-FR"/>
              </w:rPr>
              <w:t>début</w:t>
            </w:r>
            <w:proofErr w:type="gramEnd"/>
            <w:r w:rsidR="00910125" w:rsidRPr="001B3779">
              <w:rPr>
                <w:sz w:val="20"/>
                <w:lang w:val="fr-FR"/>
              </w:rPr>
              <w:t xml:space="preserve"> en</w:t>
            </w:r>
            <w:r w:rsidRPr="001B3779">
              <w:rPr>
                <w:sz w:val="20"/>
                <w:lang w:val="fr-FR"/>
              </w:rPr>
              <w:t xml:space="preserve"> 2012)</w:t>
            </w:r>
          </w:p>
          <w:p w14:paraId="2453EBF6" w14:textId="77777777" w:rsidR="00FF6875" w:rsidRPr="001B3779" w:rsidRDefault="00FF6875" w:rsidP="00FF6875">
            <w:pPr>
              <w:pStyle w:val="TableParagraph"/>
              <w:spacing w:before="9"/>
              <w:ind w:left="0"/>
              <w:rPr>
                <w:sz w:val="19"/>
                <w:lang w:val="fr-FR"/>
              </w:rPr>
            </w:pPr>
          </w:p>
          <w:p w14:paraId="42900CC4" w14:textId="3A63C309" w:rsidR="00FF6875" w:rsidRPr="001B3779" w:rsidRDefault="005323D3" w:rsidP="00FF6875">
            <w:pPr>
              <w:pStyle w:val="TableParagraph"/>
              <w:spacing w:before="1"/>
              <w:ind w:right="128"/>
              <w:rPr>
                <w:sz w:val="20"/>
                <w:lang w:val="fr-FR"/>
              </w:rPr>
            </w:pPr>
            <w:r w:rsidRPr="001B3779">
              <w:rPr>
                <w:sz w:val="20"/>
                <w:lang w:val="fr-FR"/>
              </w:rPr>
              <w:t>Niveau et portée taxonomiques :</w:t>
            </w:r>
            <w:r w:rsidR="00FF6875" w:rsidRPr="001B3779">
              <w:rPr>
                <w:sz w:val="20"/>
                <w:lang w:val="fr-FR"/>
              </w:rPr>
              <w:t xml:space="preserve"> </w:t>
            </w:r>
            <w:r w:rsidR="00910125" w:rsidRPr="001B3779">
              <w:rPr>
                <w:sz w:val="20"/>
                <w:lang w:val="fr-FR"/>
              </w:rPr>
              <w:t>espèces des groupes su</w:t>
            </w:r>
            <w:r w:rsidR="002355B9" w:rsidRPr="001B3779">
              <w:rPr>
                <w:sz w:val="20"/>
                <w:lang w:val="fr-FR"/>
              </w:rPr>
              <w:t>i</w:t>
            </w:r>
            <w:r w:rsidR="00910125" w:rsidRPr="001B3779">
              <w:rPr>
                <w:sz w:val="20"/>
                <w:lang w:val="fr-FR"/>
              </w:rPr>
              <w:t xml:space="preserve">vants </w:t>
            </w:r>
            <w:r w:rsidR="001F3EE1" w:rsidRPr="001B3779">
              <w:rPr>
                <w:sz w:val="20"/>
                <w:lang w:val="fr-FR"/>
              </w:rPr>
              <w:t>–</w:t>
            </w:r>
            <w:r w:rsidR="00910125" w:rsidRPr="001B3779">
              <w:rPr>
                <w:sz w:val="20"/>
                <w:lang w:val="fr-FR"/>
              </w:rPr>
              <w:t xml:space="preserve"> </w:t>
            </w:r>
            <w:r w:rsidR="001F3EE1" w:rsidRPr="001B3779">
              <w:rPr>
                <w:sz w:val="20"/>
                <w:lang w:val="fr-FR"/>
              </w:rPr>
              <w:t xml:space="preserve">brouteurs, </w:t>
            </w:r>
            <w:r w:rsidR="0050599B" w:rsidRPr="001B3779">
              <w:rPr>
                <w:sz w:val="20"/>
                <w:lang w:val="fr-FR"/>
              </w:rPr>
              <w:t xml:space="preserve">échassiers, </w:t>
            </w:r>
            <w:r w:rsidR="000F0597" w:rsidRPr="001B3779">
              <w:rPr>
                <w:sz w:val="20"/>
                <w:lang w:val="fr-FR"/>
              </w:rPr>
              <w:t>animaux se nourrissant</w:t>
            </w:r>
            <w:r w:rsidR="000A411D" w:rsidRPr="001B3779">
              <w:rPr>
                <w:sz w:val="20"/>
                <w:lang w:val="fr-FR"/>
              </w:rPr>
              <w:t xml:space="preserve"> en surface, </w:t>
            </w:r>
            <w:r w:rsidR="006D22BB" w:rsidRPr="001B3779">
              <w:rPr>
                <w:sz w:val="20"/>
                <w:lang w:val="fr-FR"/>
              </w:rPr>
              <w:t>dans les environnements pélagiques</w:t>
            </w:r>
            <w:r w:rsidR="00D35D59" w:rsidRPr="001B3779">
              <w:rPr>
                <w:sz w:val="20"/>
                <w:lang w:val="fr-FR"/>
              </w:rPr>
              <w:t xml:space="preserve"> et benthiques</w:t>
            </w:r>
          </w:p>
          <w:p w14:paraId="2B469139" w14:textId="77777777" w:rsidR="00FF6875" w:rsidRPr="001B3779" w:rsidRDefault="00FF6875" w:rsidP="00FF6875">
            <w:pPr>
              <w:pStyle w:val="TableParagraph"/>
              <w:spacing w:before="0"/>
              <w:ind w:left="0"/>
              <w:rPr>
                <w:sz w:val="20"/>
                <w:lang w:val="fr-FR"/>
              </w:rPr>
            </w:pPr>
          </w:p>
          <w:p w14:paraId="25150F7D" w14:textId="7758A8ED" w:rsidR="00920245" w:rsidRPr="001B3779" w:rsidRDefault="00BF470F" w:rsidP="00FF6875">
            <w:pPr>
              <w:pStyle w:val="TableParagraph"/>
              <w:spacing w:before="0"/>
              <w:ind w:left="40"/>
              <w:rPr>
                <w:sz w:val="18"/>
                <w:lang w:val="fr-FR"/>
              </w:rPr>
            </w:pPr>
            <w:r w:rsidRPr="001B3779">
              <w:rPr>
                <w:sz w:val="20"/>
                <w:lang w:val="fr-FR"/>
              </w:rPr>
              <w:t>Échelle </w:t>
            </w:r>
            <w:r w:rsidR="00FF6875" w:rsidRPr="001B3779">
              <w:rPr>
                <w:sz w:val="20"/>
                <w:lang w:val="fr-FR"/>
              </w:rPr>
              <w:t xml:space="preserve">: </w:t>
            </w:r>
            <w:r w:rsidR="0010401F" w:rsidRPr="001B3779">
              <w:rPr>
                <w:sz w:val="20"/>
                <w:lang w:val="fr-FR"/>
              </w:rPr>
              <w:t>« Pertinent du point de vue écologique » (sous-régions ou sous-divisions d</w:t>
            </w:r>
            <w:r w:rsidR="00B16F5B">
              <w:rPr>
                <w:sz w:val="20"/>
                <w:lang w:val="fr-FR"/>
              </w:rPr>
              <w:t>ans</w:t>
            </w:r>
            <w:r w:rsidR="0010401F" w:rsidRPr="001B3779">
              <w:rPr>
                <w:sz w:val="20"/>
                <w:lang w:val="fr-FR"/>
              </w:rPr>
              <w:t xml:space="preserve"> chaque</w:t>
            </w:r>
            <w:r w:rsidR="00FF6875" w:rsidRPr="001B3779">
              <w:rPr>
                <w:sz w:val="20"/>
                <w:lang w:val="fr-FR"/>
              </w:rPr>
              <w:t xml:space="preserve"> R</w:t>
            </w:r>
            <w:r w:rsidR="0010401F" w:rsidRPr="001B3779">
              <w:rPr>
                <w:sz w:val="20"/>
                <w:lang w:val="fr-FR"/>
              </w:rPr>
              <w:t>é</w:t>
            </w:r>
            <w:r w:rsidR="00FF6875" w:rsidRPr="001B3779">
              <w:rPr>
                <w:sz w:val="20"/>
                <w:lang w:val="fr-FR"/>
              </w:rPr>
              <w:t>gion</w:t>
            </w:r>
            <w:r w:rsidR="0010401F" w:rsidRPr="001B3779">
              <w:rPr>
                <w:sz w:val="20"/>
                <w:lang w:val="fr-FR"/>
              </w:rPr>
              <w:t xml:space="preserve"> marine de l’UE</w:t>
            </w:r>
            <w:r w:rsidR="00FF6875" w:rsidRPr="001B3779">
              <w:rPr>
                <w:sz w:val="20"/>
                <w:lang w:val="fr-FR"/>
              </w:rPr>
              <w:t>)</w:t>
            </w:r>
          </w:p>
        </w:tc>
        <w:tc>
          <w:tcPr>
            <w:tcW w:w="2259" w:type="dxa"/>
            <w:tcBorders>
              <w:top w:val="single" w:sz="8" w:space="0" w:color="000000"/>
              <w:left w:val="single" w:sz="8" w:space="0" w:color="000000"/>
              <w:bottom w:val="single" w:sz="8" w:space="0" w:color="000000"/>
              <w:right w:val="single" w:sz="8" w:space="0" w:color="000000"/>
            </w:tcBorders>
          </w:tcPr>
          <w:p w14:paraId="54AB5EB5" w14:textId="159FE464" w:rsidR="00FF6875" w:rsidRPr="001B3779" w:rsidRDefault="00314B29" w:rsidP="00FF6875">
            <w:pPr>
              <w:pStyle w:val="TableParagraph"/>
              <w:ind w:right="269"/>
              <w:rPr>
                <w:sz w:val="20"/>
                <w:lang w:val="fr-FR"/>
              </w:rPr>
            </w:pPr>
            <w:r w:rsidRPr="001B3779">
              <w:rPr>
                <w:sz w:val="20"/>
                <w:lang w:val="fr-FR"/>
              </w:rPr>
              <w:lastRenderedPageBreak/>
              <w:t>Article 8 de la MSFD de l’UE sur le processus d’évaluation et de compte-rendu (spécifié dans la décision de la Commission EU 2017/848</w:t>
            </w:r>
            <w:r w:rsidR="00FF6875" w:rsidRPr="001B3779">
              <w:rPr>
                <w:sz w:val="20"/>
                <w:lang w:val="fr-FR"/>
              </w:rPr>
              <w:t>)</w:t>
            </w:r>
          </w:p>
          <w:p w14:paraId="4D5D2330" w14:textId="77777777" w:rsidR="00FF6875" w:rsidRPr="001B3779" w:rsidRDefault="00FF6875" w:rsidP="00FF6875">
            <w:pPr>
              <w:pStyle w:val="TableParagraph"/>
              <w:spacing w:before="0"/>
              <w:ind w:left="0"/>
              <w:rPr>
                <w:sz w:val="20"/>
                <w:lang w:val="fr-FR"/>
              </w:rPr>
            </w:pPr>
          </w:p>
          <w:p w14:paraId="091BD5B0" w14:textId="5E8CFC1F" w:rsidR="00FF6875" w:rsidRPr="001B3779" w:rsidRDefault="00314B29" w:rsidP="00FF6875">
            <w:pPr>
              <w:pStyle w:val="TableParagraph"/>
              <w:spacing w:before="0"/>
              <w:ind w:right="122"/>
              <w:rPr>
                <w:sz w:val="20"/>
                <w:lang w:val="fr-FR"/>
              </w:rPr>
            </w:pPr>
            <w:r w:rsidRPr="001B3779">
              <w:rPr>
                <w:sz w:val="20"/>
                <w:lang w:val="fr-FR"/>
              </w:rPr>
              <w:t>Évaluation de</w:t>
            </w:r>
            <w:r w:rsidR="005C2618" w:rsidRPr="001B3779">
              <w:rPr>
                <w:sz w:val="20"/>
                <w:lang w:val="fr-FR"/>
              </w:rPr>
              <w:t xml:space="preserve">s tendances en matière d’abondance à l’aide du critère principal suivant : </w:t>
            </w:r>
            <w:r w:rsidR="00013754" w:rsidRPr="001B3779">
              <w:rPr>
                <w:sz w:val="20"/>
                <w:lang w:val="fr-FR"/>
              </w:rPr>
              <w:t>« </w:t>
            </w:r>
            <w:r w:rsidR="005C2618" w:rsidRPr="001B3779">
              <w:rPr>
                <w:sz w:val="20"/>
                <w:lang w:val="fr-FR"/>
              </w:rPr>
              <w:t>L’abondance de la</w:t>
            </w:r>
            <w:r w:rsidR="00FF6875" w:rsidRPr="001B3779">
              <w:rPr>
                <w:sz w:val="20"/>
                <w:lang w:val="fr-FR"/>
              </w:rPr>
              <w:t xml:space="preserve"> population </w:t>
            </w:r>
            <w:r w:rsidR="005C2618" w:rsidRPr="001B3779">
              <w:rPr>
                <w:sz w:val="20"/>
                <w:lang w:val="fr-FR"/>
              </w:rPr>
              <w:t xml:space="preserve">n’est pas affectée </w:t>
            </w:r>
            <w:r w:rsidR="006A6AF9" w:rsidRPr="001B3779">
              <w:rPr>
                <w:sz w:val="20"/>
                <w:lang w:val="fr-FR"/>
              </w:rPr>
              <w:t xml:space="preserve">négativement du fait de pressions anthropiques, </w:t>
            </w:r>
            <w:proofErr w:type="gramStart"/>
            <w:r w:rsidR="006A6AF9" w:rsidRPr="001B3779">
              <w:rPr>
                <w:sz w:val="20"/>
                <w:lang w:val="fr-FR"/>
              </w:rPr>
              <w:t>de manière à</w:t>
            </w:r>
            <w:r w:rsidR="00013754" w:rsidRPr="001B3779">
              <w:rPr>
                <w:sz w:val="20"/>
                <w:lang w:val="fr-FR"/>
              </w:rPr>
              <w:t xml:space="preserve"> ce</w:t>
            </w:r>
            <w:proofErr w:type="gramEnd"/>
            <w:r w:rsidR="00013754" w:rsidRPr="001B3779">
              <w:rPr>
                <w:sz w:val="20"/>
                <w:lang w:val="fr-FR"/>
              </w:rPr>
              <w:t xml:space="preserve"> que sa viabilité sur le long terme </w:t>
            </w:r>
            <w:r w:rsidR="006E5262" w:rsidRPr="001B3779">
              <w:rPr>
                <w:sz w:val="20"/>
                <w:lang w:val="fr-FR"/>
              </w:rPr>
              <w:t>soit</w:t>
            </w:r>
            <w:r w:rsidR="00013754" w:rsidRPr="001B3779">
              <w:rPr>
                <w:sz w:val="20"/>
                <w:lang w:val="fr-FR"/>
              </w:rPr>
              <w:t xml:space="preserve"> garantie</w:t>
            </w:r>
            <w:r w:rsidR="00FF6875" w:rsidRPr="001B3779">
              <w:rPr>
                <w:sz w:val="20"/>
                <w:lang w:val="fr-FR"/>
              </w:rPr>
              <w:t>.</w:t>
            </w:r>
            <w:r w:rsidR="00013754" w:rsidRPr="001B3779">
              <w:rPr>
                <w:sz w:val="20"/>
                <w:lang w:val="fr-FR"/>
              </w:rPr>
              <w:t> »</w:t>
            </w:r>
          </w:p>
          <w:p w14:paraId="0BE16DF9" w14:textId="77777777" w:rsidR="00FF6875" w:rsidRPr="001B3779" w:rsidRDefault="00FF6875" w:rsidP="00FF6875">
            <w:pPr>
              <w:pStyle w:val="TableParagraph"/>
              <w:spacing w:before="0"/>
              <w:ind w:left="0"/>
              <w:rPr>
                <w:sz w:val="20"/>
                <w:lang w:val="fr-FR"/>
              </w:rPr>
            </w:pPr>
          </w:p>
          <w:p w14:paraId="6244A34D" w14:textId="6656A56E" w:rsidR="00FF6875" w:rsidRPr="001B3779" w:rsidRDefault="00622D06" w:rsidP="00FF6875">
            <w:pPr>
              <w:pStyle w:val="TableParagraph"/>
              <w:spacing w:before="1"/>
              <w:ind w:right="395"/>
              <w:rPr>
                <w:sz w:val="20"/>
                <w:lang w:val="fr-FR"/>
              </w:rPr>
            </w:pPr>
            <w:r w:rsidRPr="001B3779">
              <w:rPr>
                <w:sz w:val="20"/>
                <w:lang w:val="fr-FR"/>
              </w:rPr>
              <w:t>Des seuils sont établis pour chaque espèce</w:t>
            </w:r>
            <w:r w:rsidR="00FF6875" w:rsidRPr="001B3779">
              <w:rPr>
                <w:sz w:val="20"/>
                <w:lang w:val="fr-FR"/>
              </w:rPr>
              <w:t>.</w:t>
            </w:r>
          </w:p>
          <w:p w14:paraId="7E39A380" w14:textId="2B052627" w:rsidR="00FF6875" w:rsidRPr="001B3779" w:rsidRDefault="00622D06" w:rsidP="00FF6875">
            <w:pPr>
              <w:pStyle w:val="TableParagraph"/>
              <w:spacing w:before="0"/>
              <w:ind w:right="319"/>
              <w:rPr>
                <w:sz w:val="20"/>
                <w:lang w:val="fr-FR"/>
              </w:rPr>
            </w:pPr>
            <w:r w:rsidRPr="001B3779">
              <w:rPr>
                <w:sz w:val="20"/>
                <w:lang w:val="fr-FR"/>
              </w:rPr>
              <w:t>Les évaluations de l’abondance</w:t>
            </w:r>
            <w:r w:rsidR="006E481D" w:rsidRPr="001B3779">
              <w:rPr>
                <w:sz w:val="20"/>
                <w:lang w:val="fr-FR"/>
              </w:rPr>
              <w:t xml:space="preserve"> sont prises en compte dans les évaluations de l’état des espèces</w:t>
            </w:r>
            <w:r w:rsidR="00FF6875" w:rsidRPr="001B3779">
              <w:rPr>
                <w:sz w:val="20"/>
                <w:lang w:val="fr-FR"/>
              </w:rPr>
              <w:t>.</w:t>
            </w:r>
          </w:p>
          <w:p w14:paraId="0442603D" w14:textId="77777777" w:rsidR="00FF6875" w:rsidRPr="001B3779" w:rsidRDefault="00FF6875" w:rsidP="00FF6875">
            <w:pPr>
              <w:pStyle w:val="TableParagraph"/>
              <w:spacing w:before="0"/>
              <w:ind w:left="0"/>
              <w:rPr>
                <w:sz w:val="20"/>
                <w:lang w:val="fr-FR"/>
              </w:rPr>
            </w:pPr>
          </w:p>
          <w:p w14:paraId="0172A5A8" w14:textId="4F648CE5" w:rsidR="00FF6875" w:rsidRPr="001B3779" w:rsidRDefault="00FF6875" w:rsidP="00FF6875">
            <w:pPr>
              <w:pStyle w:val="TableParagraph"/>
              <w:spacing w:before="0"/>
              <w:rPr>
                <w:sz w:val="20"/>
                <w:lang w:val="fr-FR"/>
              </w:rPr>
            </w:pPr>
            <w:r w:rsidRPr="001B3779">
              <w:rPr>
                <w:sz w:val="20"/>
                <w:lang w:val="fr-FR"/>
              </w:rPr>
              <w:t>Source</w:t>
            </w:r>
            <w:r w:rsidR="002355B9" w:rsidRPr="001B3779">
              <w:rPr>
                <w:sz w:val="20"/>
                <w:lang w:val="fr-FR"/>
              </w:rPr>
              <w:t> </w:t>
            </w:r>
            <w:r w:rsidRPr="001B3779">
              <w:rPr>
                <w:sz w:val="20"/>
                <w:lang w:val="fr-FR"/>
              </w:rPr>
              <w:t>:</w:t>
            </w:r>
          </w:p>
          <w:p w14:paraId="10E0D2AA" w14:textId="77777777" w:rsidR="002355B9" w:rsidRPr="001B3779" w:rsidRDefault="002355B9" w:rsidP="002355B9">
            <w:pPr>
              <w:pStyle w:val="TableParagraph"/>
              <w:spacing w:before="1"/>
              <w:ind w:right="327"/>
              <w:rPr>
                <w:sz w:val="20"/>
                <w:lang w:val="fr-FR"/>
              </w:rPr>
            </w:pPr>
            <w:r w:rsidRPr="001B3779">
              <w:rPr>
                <w:sz w:val="20"/>
                <w:lang w:val="fr-FR"/>
              </w:rPr>
              <w:t>Rapports des États membres</w:t>
            </w:r>
          </w:p>
          <w:p w14:paraId="1BFE78BC" w14:textId="77777777" w:rsidR="002355B9" w:rsidRPr="001B3779" w:rsidRDefault="002355B9" w:rsidP="002355B9">
            <w:pPr>
              <w:pStyle w:val="TableParagraph"/>
              <w:spacing w:before="1"/>
              <w:rPr>
                <w:sz w:val="20"/>
                <w:lang w:val="fr-FR"/>
              </w:rPr>
            </w:pPr>
            <w:r w:rsidRPr="001B3779">
              <w:rPr>
                <w:sz w:val="20"/>
                <w:lang w:val="fr-FR"/>
              </w:rPr>
              <w:t>Fréquence : 6 ans</w:t>
            </w:r>
          </w:p>
          <w:p w14:paraId="64B0049F" w14:textId="0C6A87E3" w:rsidR="00FF6875" w:rsidRPr="001B3779" w:rsidRDefault="002355B9" w:rsidP="002355B9">
            <w:pPr>
              <w:pStyle w:val="TableParagraph"/>
              <w:spacing w:before="1"/>
              <w:rPr>
                <w:sz w:val="20"/>
                <w:lang w:val="fr-FR"/>
              </w:rPr>
            </w:pPr>
            <w:r w:rsidRPr="001B3779">
              <w:rPr>
                <w:sz w:val="20"/>
                <w:lang w:val="fr-FR"/>
              </w:rPr>
              <w:t>(</w:t>
            </w:r>
            <w:proofErr w:type="gramStart"/>
            <w:r w:rsidRPr="001B3779">
              <w:rPr>
                <w:sz w:val="20"/>
                <w:lang w:val="fr-FR"/>
              </w:rPr>
              <w:t>début</w:t>
            </w:r>
            <w:proofErr w:type="gramEnd"/>
            <w:r w:rsidRPr="001B3779">
              <w:rPr>
                <w:sz w:val="20"/>
                <w:lang w:val="fr-FR"/>
              </w:rPr>
              <w:t xml:space="preserve"> en 2012</w:t>
            </w:r>
            <w:r w:rsidR="00FF6875" w:rsidRPr="001B3779">
              <w:rPr>
                <w:sz w:val="20"/>
                <w:lang w:val="fr-FR"/>
              </w:rPr>
              <w:t>)</w:t>
            </w:r>
          </w:p>
          <w:p w14:paraId="4FAE2366" w14:textId="77777777" w:rsidR="00FF6875" w:rsidRPr="001B3779" w:rsidRDefault="00FF6875" w:rsidP="00FF6875">
            <w:pPr>
              <w:pStyle w:val="TableParagraph"/>
              <w:spacing w:before="1"/>
              <w:ind w:left="0"/>
              <w:rPr>
                <w:sz w:val="20"/>
                <w:lang w:val="fr-FR"/>
              </w:rPr>
            </w:pPr>
          </w:p>
          <w:p w14:paraId="17AF1D5F" w14:textId="203E0E02" w:rsidR="002355B9" w:rsidRPr="001B3779" w:rsidRDefault="002355B9" w:rsidP="002355B9">
            <w:pPr>
              <w:pStyle w:val="TableParagraph"/>
              <w:spacing w:before="1"/>
              <w:ind w:right="128"/>
              <w:rPr>
                <w:sz w:val="20"/>
                <w:lang w:val="fr-FR"/>
              </w:rPr>
            </w:pPr>
            <w:r w:rsidRPr="001B3779">
              <w:rPr>
                <w:sz w:val="20"/>
                <w:lang w:val="fr-FR"/>
              </w:rPr>
              <w:t xml:space="preserve">Niveau et portée </w:t>
            </w:r>
            <w:r w:rsidRPr="001B3779">
              <w:rPr>
                <w:sz w:val="20"/>
                <w:lang w:val="fr-FR"/>
              </w:rPr>
              <w:lastRenderedPageBreak/>
              <w:t>taxonomiques : espèces des groupes suivants – brouteurs, échassiers, animaux se nourrissant en surface, dans les environnements pélagiques et benthiques</w:t>
            </w:r>
          </w:p>
          <w:p w14:paraId="3406802E" w14:textId="77777777" w:rsidR="002355B9" w:rsidRPr="001B3779" w:rsidRDefault="002355B9" w:rsidP="002355B9">
            <w:pPr>
              <w:pStyle w:val="TableParagraph"/>
              <w:spacing w:before="0"/>
              <w:ind w:left="0"/>
              <w:rPr>
                <w:sz w:val="20"/>
                <w:lang w:val="fr-FR"/>
              </w:rPr>
            </w:pPr>
          </w:p>
          <w:p w14:paraId="33FFEE06" w14:textId="7870472A" w:rsidR="00920245" w:rsidRPr="001B3779" w:rsidRDefault="002355B9" w:rsidP="002355B9">
            <w:pPr>
              <w:pStyle w:val="TableParagraph"/>
              <w:spacing w:before="109"/>
              <w:rPr>
                <w:sz w:val="20"/>
                <w:lang w:val="fr-FR"/>
              </w:rPr>
            </w:pPr>
            <w:r w:rsidRPr="001B3779">
              <w:rPr>
                <w:sz w:val="20"/>
                <w:lang w:val="fr-FR"/>
              </w:rPr>
              <w:t>Échelle : « Pertinent du point de vue écologique » (sous-régions ou sous-divisions de chaque Région marine de l’UE</w:t>
            </w:r>
            <w:r w:rsidR="00FF6875" w:rsidRPr="001B3779">
              <w:rPr>
                <w:sz w:val="20"/>
                <w:lang w:val="fr-FR"/>
              </w:rPr>
              <w:t>)</w:t>
            </w:r>
          </w:p>
        </w:tc>
        <w:tc>
          <w:tcPr>
            <w:tcW w:w="2257" w:type="dxa"/>
            <w:tcBorders>
              <w:top w:val="single" w:sz="8" w:space="0" w:color="000000"/>
              <w:left w:val="single" w:sz="8" w:space="0" w:color="000000"/>
              <w:bottom w:val="single" w:sz="8" w:space="0" w:color="000000"/>
              <w:right w:val="single" w:sz="8" w:space="0" w:color="000000"/>
            </w:tcBorders>
          </w:tcPr>
          <w:p w14:paraId="7C5B3E2F" w14:textId="6B038F35" w:rsidR="00FF6875" w:rsidRPr="001B3779" w:rsidRDefault="00DD3337" w:rsidP="00FF6875">
            <w:pPr>
              <w:pStyle w:val="TableParagraph"/>
              <w:spacing w:before="0"/>
              <w:ind w:left="120"/>
              <w:rPr>
                <w:sz w:val="18"/>
                <w:lang w:val="fr-FR"/>
              </w:rPr>
            </w:pPr>
            <w:r w:rsidRPr="001B3779">
              <w:rPr>
                <w:sz w:val="20"/>
                <w:lang w:val="fr-FR"/>
              </w:rPr>
              <w:lastRenderedPageBreak/>
              <w:t xml:space="preserve">Aucun </w:t>
            </w:r>
            <w:r w:rsidR="00FF6875" w:rsidRPr="001B3779">
              <w:rPr>
                <w:sz w:val="20"/>
                <w:lang w:val="fr-FR"/>
              </w:rPr>
              <w:t>protocol</w:t>
            </w:r>
            <w:r w:rsidRPr="001B3779">
              <w:rPr>
                <w:sz w:val="20"/>
                <w:lang w:val="fr-FR"/>
              </w:rPr>
              <w:t>e spécifique de surveillance des sites</w:t>
            </w:r>
          </w:p>
        </w:tc>
      </w:tr>
      <w:tr w:rsidR="001B6957" w:rsidRPr="005E52F1" w14:paraId="4D782948" w14:textId="77777777" w:rsidTr="00CC3100">
        <w:trPr>
          <w:trHeight w:val="661"/>
        </w:trPr>
        <w:tc>
          <w:tcPr>
            <w:tcW w:w="2259" w:type="dxa"/>
            <w:tcBorders>
              <w:top w:val="single" w:sz="8" w:space="0" w:color="000000"/>
            </w:tcBorders>
          </w:tcPr>
          <w:p w14:paraId="1D222CB3" w14:textId="2067CE41" w:rsidR="001B6957" w:rsidRPr="001B3779" w:rsidRDefault="001B6957" w:rsidP="001B6957">
            <w:pPr>
              <w:pStyle w:val="TableParagraph"/>
              <w:rPr>
                <w:sz w:val="20"/>
                <w:lang w:val="fr-FR"/>
              </w:rPr>
            </w:pPr>
            <w:r w:rsidRPr="001B3779">
              <w:rPr>
                <w:sz w:val="20"/>
                <w:lang w:val="fr-FR"/>
              </w:rPr>
              <w:t xml:space="preserve">OSPAR </w:t>
            </w:r>
            <w:r w:rsidRPr="001B3779">
              <w:rPr>
                <w:w w:val="95"/>
                <w:sz w:val="20"/>
                <w:lang w:val="fr-FR"/>
              </w:rPr>
              <w:t>(</w:t>
            </w:r>
            <w:r w:rsidR="00F350CD" w:rsidRPr="001B3779">
              <w:rPr>
                <w:lang w:val="fr-FR"/>
              </w:rPr>
              <w:t>G</w:t>
            </w:r>
            <w:r w:rsidR="00F350CD" w:rsidRPr="001B3779">
              <w:rPr>
                <w:w w:val="95"/>
                <w:sz w:val="20"/>
                <w:lang w:val="fr-FR"/>
              </w:rPr>
              <w:t>roupe de travail conjoint sur les oiseaux marins</w:t>
            </w:r>
            <w:r w:rsidR="00F350CD">
              <w:rPr>
                <w:w w:val="95"/>
                <w:sz w:val="20"/>
                <w:lang w:val="fr-FR"/>
              </w:rPr>
              <w:t xml:space="preserve"> du </w:t>
            </w:r>
            <w:r w:rsidR="00942E32" w:rsidRPr="001B3779">
              <w:rPr>
                <w:w w:val="95"/>
                <w:sz w:val="20"/>
                <w:lang w:val="fr-FR"/>
              </w:rPr>
              <w:t>CIEM</w:t>
            </w:r>
            <w:r w:rsidRPr="001B3779">
              <w:rPr>
                <w:w w:val="95"/>
                <w:sz w:val="20"/>
                <w:lang w:val="fr-FR"/>
              </w:rPr>
              <w:t>/OSPAR/HELCOM, JWGBIRD)</w:t>
            </w:r>
          </w:p>
        </w:tc>
        <w:tc>
          <w:tcPr>
            <w:tcW w:w="2256" w:type="dxa"/>
            <w:tcBorders>
              <w:top w:val="single" w:sz="8" w:space="0" w:color="000000"/>
            </w:tcBorders>
          </w:tcPr>
          <w:p w14:paraId="761A28BE" w14:textId="59A8826B" w:rsidR="001B6957" w:rsidRPr="001B3779" w:rsidRDefault="00B723E5" w:rsidP="001B6957">
            <w:pPr>
              <w:pStyle w:val="TableParagraph"/>
              <w:ind w:right="90"/>
              <w:rPr>
                <w:sz w:val="20"/>
                <w:lang w:val="fr-FR"/>
              </w:rPr>
            </w:pPr>
            <w:r w:rsidRPr="001B3779">
              <w:rPr>
                <w:sz w:val="20"/>
                <w:lang w:val="fr-FR"/>
              </w:rPr>
              <w:t>Mène des évaluations de l’état des espèces d’oiseaux marins</w:t>
            </w:r>
            <w:r w:rsidR="00232CF8" w:rsidRPr="001B3779">
              <w:rPr>
                <w:sz w:val="20"/>
                <w:lang w:val="fr-FR"/>
              </w:rPr>
              <w:t xml:space="preserve"> sur la base d’évaluations individuelles de l’état des espèces</w:t>
            </w:r>
            <w:r w:rsidR="001B6957" w:rsidRPr="001B3779">
              <w:rPr>
                <w:sz w:val="20"/>
                <w:lang w:val="fr-FR"/>
              </w:rPr>
              <w:t xml:space="preserve">. </w:t>
            </w:r>
            <w:r w:rsidR="00B02643" w:rsidRPr="001B3779">
              <w:rPr>
                <w:sz w:val="20"/>
                <w:lang w:val="fr-FR"/>
              </w:rPr>
              <w:t xml:space="preserve">Celles-ci doivent </w:t>
            </w:r>
            <w:r w:rsidR="00702864" w:rsidRPr="001B3779">
              <w:rPr>
                <w:sz w:val="20"/>
                <w:lang w:val="fr-FR"/>
              </w:rPr>
              <w:t xml:space="preserve">être prises en compte dans les </w:t>
            </w:r>
            <w:r w:rsidR="0069242F">
              <w:rPr>
                <w:sz w:val="20"/>
                <w:lang w:val="fr-FR"/>
              </w:rPr>
              <w:t>rapports</w:t>
            </w:r>
            <w:r w:rsidR="00702864" w:rsidRPr="001B3779">
              <w:rPr>
                <w:sz w:val="20"/>
                <w:lang w:val="fr-FR"/>
              </w:rPr>
              <w:t xml:space="preserve"> </w:t>
            </w:r>
            <w:r w:rsidR="0069242F">
              <w:rPr>
                <w:sz w:val="20"/>
                <w:lang w:val="fr-FR"/>
              </w:rPr>
              <w:t>prévus par</w:t>
            </w:r>
            <w:r w:rsidR="00702864" w:rsidRPr="001B3779">
              <w:rPr>
                <w:sz w:val="20"/>
                <w:lang w:val="fr-FR"/>
              </w:rPr>
              <w:t xml:space="preserve"> l’Art 8 de la</w:t>
            </w:r>
            <w:r w:rsidR="001B6957" w:rsidRPr="001B3779">
              <w:rPr>
                <w:sz w:val="20"/>
                <w:lang w:val="fr-FR"/>
              </w:rPr>
              <w:t xml:space="preserve"> MSFD </w:t>
            </w:r>
            <w:r w:rsidR="00702864" w:rsidRPr="001B3779">
              <w:rPr>
                <w:sz w:val="20"/>
                <w:lang w:val="fr-FR"/>
              </w:rPr>
              <w:t xml:space="preserve">par </w:t>
            </w:r>
            <w:r w:rsidR="00A5223F">
              <w:rPr>
                <w:sz w:val="20"/>
                <w:lang w:val="fr-FR"/>
              </w:rPr>
              <w:t>les</w:t>
            </w:r>
            <w:r w:rsidR="00702864" w:rsidRPr="001B3779">
              <w:rPr>
                <w:sz w:val="20"/>
                <w:lang w:val="fr-FR"/>
              </w:rPr>
              <w:t xml:space="preserve"> État</w:t>
            </w:r>
            <w:r w:rsidR="00A5223F">
              <w:rPr>
                <w:sz w:val="20"/>
                <w:lang w:val="fr-FR"/>
              </w:rPr>
              <w:t>s</w:t>
            </w:r>
            <w:r w:rsidR="00702864" w:rsidRPr="001B3779">
              <w:rPr>
                <w:sz w:val="20"/>
                <w:lang w:val="fr-FR"/>
              </w:rPr>
              <w:t xml:space="preserve"> membre</w:t>
            </w:r>
            <w:r w:rsidR="00A5223F">
              <w:rPr>
                <w:sz w:val="20"/>
                <w:lang w:val="fr-FR"/>
              </w:rPr>
              <w:t>s</w:t>
            </w:r>
            <w:r w:rsidR="00702864" w:rsidRPr="001B3779">
              <w:rPr>
                <w:sz w:val="20"/>
                <w:lang w:val="fr-FR"/>
              </w:rPr>
              <w:t xml:space="preserve"> de l’UE (voir ci-dessus)</w:t>
            </w:r>
          </w:p>
          <w:p w14:paraId="6499FA7B" w14:textId="324046E2" w:rsidR="001B6957" w:rsidRPr="001B3779" w:rsidRDefault="0049667F" w:rsidP="001B6957">
            <w:pPr>
              <w:pStyle w:val="TableParagraph"/>
              <w:spacing w:before="1"/>
              <w:rPr>
                <w:sz w:val="20"/>
                <w:lang w:val="fr-FR"/>
              </w:rPr>
            </w:pPr>
            <w:r w:rsidRPr="001B3779">
              <w:rPr>
                <w:sz w:val="20"/>
                <w:lang w:val="fr-FR"/>
              </w:rPr>
              <w:t>L’état des espèces est évalué à l’aide des Indicateurs communs d’</w:t>
            </w:r>
            <w:r w:rsidR="001B6957" w:rsidRPr="001B3779">
              <w:rPr>
                <w:sz w:val="20"/>
                <w:lang w:val="fr-FR"/>
              </w:rPr>
              <w:t xml:space="preserve">OSPAR, </w:t>
            </w:r>
            <w:r w:rsidRPr="001B3779">
              <w:rPr>
                <w:sz w:val="20"/>
                <w:lang w:val="fr-FR"/>
              </w:rPr>
              <w:t>é</w:t>
            </w:r>
            <w:r w:rsidR="001B6957" w:rsidRPr="001B3779">
              <w:rPr>
                <w:sz w:val="20"/>
                <w:lang w:val="fr-FR"/>
              </w:rPr>
              <w:t>quivalent</w:t>
            </w:r>
            <w:r w:rsidRPr="001B3779">
              <w:rPr>
                <w:sz w:val="20"/>
                <w:lang w:val="fr-FR"/>
              </w:rPr>
              <w:t>s</w:t>
            </w:r>
            <w:r w:rsidR="001B6957" w:rsidRPr="001B3779">
              <w:rPr>
                <w:sz w:val="20"/>
                <w:lang w:val="fr-FR"/>
              </w:rPr>
              <w:t xml:space="preserve"> </w:t>
            </w:r>
            <w:r w:rsidR="00DB0BAC" w:rsidRPr="001B3779">
              <w:rPr>
                <w:sz w:val="20"/>
                <w:lang w:val="fr-FR"/>
              </w:rPr>
              <w:t>aux critères de BEE de la</w:t>
            </w:r>
            <w:r w:rsidR="001B6957" w:rsidRPr="001B3779">
              <w:rPr>
                <w:sz w:val="20"/>
                <w:lang w:val="fr-FR"/>
              </w:rPr>
              <w:t xml:space="preserve"> MSFD.</w:t>
            </w:r>
          </w:p>
          <w:p w14:paraId="022B2B76" w14:textId="774959DB" w:rsidR="001B6957" w:rsidRPr="001B3779" w:rsidRDefault="00B3683B" w:rsidP="001B6957">
            <w:pPr>
              <w:pStyle w:val="TableParagraph"/>
              <w:spacing w:before="0"/>
              <w:ind w:right="238"/>
              <w:rPr>
                <w:sz w:val="20"/>
                <w:lang w:val="fr-FR"/>
              </w:rPr>
            </w:pPr>
            <w:r w:rsidRPr="001B3779">
              <w:rPr>
                <w:sz w:val="20"/>
                <w:lang w:val="fr-FR"/>
              </w:rPr>
              <w:t>Chaque critère est évalué à partir de valeurs de seuil</w:t>
            </w:r>
            <w:r w:rsidR="0084664C" w:rsidRPr="001B3779">
              <w:rPr>
                <w:sz w:val="20"/>
                <w:lang w:val="fr-FR"/>
              </w:rPr>
              <w:t xml:space="preserve"> convenues</w:t>
            </w:r>
            <w:r w:rsidR="001B6957" w:rsidRPr="001B3779">
              <w:rPr>
                <w:sz w:val="20"/>
                <w:lang w:val="fr-FR"/>
              </w:rPr>
              <w:t>.</w:t>
            </w:r>
          </w:p>
          <w:p w14:paraId="4D2EFB20" w14:textId="77777777" w:rsidR="001B6957" w:rsidRPr="001B3779" w:rsidRDefault="001B6957" w:rsidP="001B6957">
            <w:pPr>
              <w:pStyle w:val="TableParagraph"/>
              <w:spacing w:before="10"/>
              <w:ind w:left="0"/>
              <w:rPr>
                <w:sz w:val="19"/>
                <w:lang w:val="fr-FR"/>
              </w:rPr>
            </w:pPr>
          </w:p>
          <w:p w14:paraId="1E64C961" w14:textId="75C61A93" w:rsidR="001B6957" w:rsidRPr="001B3779" w:rsidRDefault="001B6957" w:rsidP="001B6957">
            <w:pPr>
              <w:pStyle w:val="TableParagraph"/>
              <w:spacing w:before="0"/>
              <w:ind w:right="89"/>
              <w:rPr>
                <w:sz w:val="20"/>
                <w:lang w:val="fr-FR"/>
              </w:rPr>
            </w:pPr>
            <w:r w:rsidRPr="001B3779">
              <w:rPr>
                <w:sz w:val="20"/>
                <w:lang w:val="fr-FR"/>
              </w:rPr>
              <w:t>Source</w:t>
            </w:r>
            <w:r w:rsidR="00181701" w:rsidRPr="001B3779">
              <w:rPr>
                <w:sz w:val="20"/>
                <w:lang w:val="fr-FR"/>
              </w:rPr>
              <w:t> </w:t>
            </w:r>
            <w:r w:rsidRPr="001B3779">
              <w:rPr>
                <w:sz w:val="20"/>
                <w:lang w:val="fr-FR"/>
              </w:rPr>
              <w:t>:</w:t>
            </w:r>
            <w:r w:rsidR="00181701" w:rsidRPr="001B3779">
              <w:rPr>
                <w:sz w:val="20"/>
                <w:lang w:val="fr-FR"/>
              </w:rPr>
              <w:t xml:space="preserve"> Portail d’évaluation de l’</w:t>
            </w:r>
            <w:r w:rsidRPr="001B3779">
              <w:rPr>
                <w:sz w:val="20"/>
                <w:lang w:val="fr-FR"/>
              </w:rPr>
              <w:t xml:space="preserve">OSPAR </w:t>
            </w:r>
            <w:hyperlink r:id="rId8">
              <w:r w:rsidRPr="001B3779">
                <w:rPr>
                  <w:color w:val="0000FF"/>
                  <w:sz w:val="20"/>
                  <w:u w:val="single" w:color="0000FF"/>
                  <w:lang w:val="fr-FR"/>
                </w:rPr>
                <w:t>https://oap.ospar.org/en/o</w:t>
              </w:r>
            </w:hyperlink>
            <w:r w:rsidRPr="001B3779">
              <w:rPr>
                <w:color w:val="0000FF"/>
                <w:sz w:val="20"/>
                <w:lang w:val="fr-FR"/>
              </w:rPr>
              <w:t xml:space="preserve"> </w:t>
            </w:r>
            <w:hyperlink r:id="rId9">
              <w:proofErr w:type="spellStart"/>
              <w:r w:rsidRPr="001B3779">
                <w:rPr>
                  <w:color w:val="0000FF"/>
                  <w:sz w:val="20"/>
                  <w:u w:val="single" w:color="0000FF"/>
                  <w:lang w:val="fr-FR"/>
                </w:rPr>
                <w:t>spar-assessments</w:t>
              </w:r>
              <w:proofErr w:type="spellEnd"/>
              <w:r w:rsidRPr="001B3779">
                <w:rPr>
                  <w:color w:val="0000FF"/>
                  <w:sz w:val="20"/>
                  <w:u w:val="single" w:color="0000FF"/>
                  <w:lang w:val="fr-FR"/>
                </w:rPr>
                <w:t>/</w:t>
              </w:r>
            </w:hyperlink>
            <w:r w:rsidRPr="001B3779">
              <w:rPr>
                <w:color w:val="0000FF"/>
                <w:sz w:val="20"/>
                <w:lang w:val="fr-FR"/>
              </w:rPr>
              <w:t xml:space="preserve"> </w:t>
            </w:r>
            <w:r w:rsidR="00AE6A21" w:rsidRPr="001B3779">
              <w:rPr>
                <w:sz w:val="20"/>
                <w:lang w:val="fr-FR"/>
              </w:rPr>
              <w:t>Fréquence </w:t>
            </w:r>
            <w:r w:rsidRPr="001B3779">
              <w:rPr>
                <w:sz w:val="20"/>
                <w:lang w:val="fr-FR"/>
              </w:rPr>
              <w:t xml:space="preserve">: </w:t>
            </w:r>
            <w:r w:rsidR="00AE6A21" w:rsidRPr="001B3779">
              <w:rPr>
                <w:sz w:val="20"/>
                <w:lang w:val="fr-FR"/>
              </w:rPr>
              <w:t>auparavant</w:t>
            </w:r>
            <w:r w:rsidRPr="001B3779">
              <w:rPr>
                <w:sz w:val="20"/>
                <w:lang w:val="fr-FR"/>
              </w:rPr>
              <w:t xml:space="preserve"> 10 </w:t>
            </w:r>
            <w:r w:rsidR="00AE6A21" w:rsidRPr="001B3779">
              <w:rPr>
                <w:sz w:val="20"/>
                <w:lang w:val="fr-FR"/>
              </w:rPr>
              <w:t>ans</w:t>
            </w:r>
            <w:r w:rsidRPr="001B3779">
              <w:rPr>
                <w:sz w:val="20"/>
                <w:lang w:val="fr-FR"/>
              </w:rPr>
              <w:t xml:space="preserve">, </w:t>
            </w:r>
            <w:r w:rsidR="00AE6A21" w:rsidRPr="001B3779">
              <w:rPr>
                <w:sz w:val="20"/>
                <w:lang w:val="fr-FR"/>
              </w:rPr>
              <w:t>mais cela a changé pour</w:t>
            </w:r>
            <w:r w:rsidRPr="001B3779">
              <w:rPr>
                <w:sz w:val="20"/>
                <w:lang w:val="fr-FR"/>
              </w:rPr>
              <w:t xml:space="preserve"> 6 </w:t>
            </w:r>
            <w:r w:rsidR="00AE6A21" w:rsidRPr="001B3779">
              <w:rPr>
                <w:sz w:val="20"/>
                <w:lang w:val="fr-FR"/>
              </w:rPr>
              <w:t>ans, afin de s’aligner sur la</w:t>
            </w:r>
            <w:r w:rsidRPr="001B3779">
              <w:rPr>
                <w:sz w:val="20"/>
                <w:lang w:val="fr-FR"/>
              </w:rPr>
              <w:t xml:space="preserve"> MSFD</w:t>
            </w:r>
            <w:r w:rsidR="00AE6A21" w:rsidRPr="001B3779">
              <w:rPr>
                <w:sz w:val="20"/>
                <w:lang w:val="fr-FR"/>
              </w:rPr>
              <w:t> </w:t>
            </w:r>
            <w:r w:rsidRPr="001B3779">
              <w:rPr>
                <w:sz w:val="20"/>
                <w:lang w:val="fr-FR"/>
              </w:rPr>
              <w:t>: 2000, 2010,</w:t>
            </w:r>
          </w:p>
          <w:p w14:paraId="1B8E550C" w14:textId="77777777" w:rsidR="001B6957" w:rsidRPr="001B3779" w:rsidRDefault="001B6957" w:rsidP="001B6957">
            <w:pPr>
              <w:pStyle w:val="TableParagraph"/>
              <w:spacing w:before="2"/>
              <w:rPr>
                <w:sz w:val="20"/>
                <w:lang w:val="fr-FR"/>
              </w:rPr>
            </w:pPr>
            <w:r w:rsidRPr="001B3779">
              <w:rPr>
                <w:sz w:val="20"/>
                <w:lang w:val="fr-FR"/>
              </w:rPr>
              <w:t>2017, 2023</w:t>
            </w:r>
          </w:p>
          <w:p w14:paraId="3E6179C9" w14:textId="77777777" w:rsidR="001B6957" w:rsidRPr="001B3779" w:rsidRDefault="001B6957" w:rsidP="001B6957">
            <w:pPr>
              <w:pStyle w:val="TableParagraph"/>
              <w:spacing w:before="0"/>
              <w:ind w:left="0"/>
              <w:rPr>
                <w:sz w:val="20"/>
                <w:lang w:val="fr-FR"/>
              </w:rPr>
            </w:pPr>
          </w:p>
          <w:p w14:paraId="3C89F859" w14:textId="3107967E" w:rsidR="001B6957" w:rsidRPr="001B3779" w:rsidRDefault="005323D3" w:rsidP="001B6957">
            <w:pPr>
              <w:pStyle w:val="TableParagraph"/>
              <w:spacing w:before="0"/>
              <w:ind w:right="95"/>
              <w:rPr>
                <w:sz w:val="20"/>
                <w:lang w:val="fr-FR"/>
              </w:rPr>
            </w:pPr>
            <w:r w:rsidRPr="001B3779">
              <w:rPr>
                <w:sz w:val="20"/>
                <w:lang w:val="fr-FR"/>
              </w:rPr>
              <w:t>Niveau et portée taxonomiques :</w:t>
            </w:r>
            <w:r w:rsidR="001B6957" w:rsidRPr="001B3779">
              <w:rPr>
                <w:sz w:val="20"/>
                <w:lang w:val="fr-FR"/>
              </w:rPr>
              <w:t xml:space="preserve"> </w:t>
            </w:r>
            <w:r w:rsidR="00731F49" w:rsidRPr="001B3779">
              <w:rPr>
                <w:sz w:val="20"/>
                <w:lang w:val="fr-FR"/>
              </w:rPr>
              <w:t>espèces des group</w:t>
            </w:r>
            <w:r w:rsidR="006D7619" w:rsidRPr="001B3779">
              <w:rPr>
                <w:sz w:val="20"/>
                <w:lang w:val="fr-FR"/>
              </w:rPr>
              <w:t>e</w:t>
            </w:r>
            <w:r w:rsidR="00731F49" w:rsidRPr="001B3779">
              <w:rPr>
                <w:sz w:val="20"/>
                <w:lang w:val="fr-FR"/>
              </w:rPr>
              <w:t>s BEE suivants de la</w:t>
            </w:r>
            <w:r w:rsidR="001B6957" w:rsidRPr="001B3779">
              <w:rPr>
                <w:sz w:val="20"/>
                <w:lang w:val="fr-FR"/>
              </w:rPr>
              <w:t xml:space="preserve"> MSFD– </w:t>
            </w:r>
            <w:r w:rsidR="00731F49" w:rsidRPr="001B3779">
              <w:rPr>
                <w:sz w:val="20"/>
                <w:lang w:val="fr-FR"/>
              </w:rPr>
              <w:t>brouteurs, échassiers, animaux se nourrissant en surface, dans les environnements pélagiques et benthiques</w:t>
            </w:r>
          </w:p>
          <w:p w14:paraId="1409507E" w14:textId="77777777" w:rsidR="001B6957" w:rsidRPr="001B3779" w:rsidRDefault="001B6957" w:rsidP="001B6957">
            <w:pPr>
              <w:pStyle w:val="TableParagraph"/>
              <w:spacing w:before="10"/>
              <w:ind w:left="0"/>
              <w:rPr>
                <w:sz w:val="19"/>
                <w:lang w:val="fr-FR"/>
              </w:rPr>
            </w:pPr>
          </w:p>
          <w:p w14:paraId="431991B7" w14:textId="61D5D4DD" w:rsidR="001B6957" w:rsidRPr="001B3779" w:rsidRDefault="00731F49" w:rsidP="001B6957">
            <w:pPr>
              <w:pStyle w:val="TableParagraph"/>
              <w:ind w:right="327"/>
              <w:rPr>
                <w:sz w:val="20"/>
                <w:lang w:val="fr-FR"/>
              </w:rPr>
            </w:pPr>
            <w:r w:rsidRPr="001B3779">
              <w:rPr>
                <w:sz w:val="20"/>
                <w:lang w:val="fr-FR"/>
              </w:rPr>
              <w:t>Échelle </w:t>
            </w:r>
            <w:r w:rsidR="001B6957" w:rsidRPr="001B3779">
              <w:rPr>
                <w:sz w:val="20"/>
                <w:lang w:val="fr-FR"/>
              </w:rPr>
              <w:t>:</w:t>
            </w:r>
            <w:r w:rsidR="00BF3432" w:rsidRPr="001B3779">
              <w:rPr>
                <w:sz w:val="20"/>
                <w:lang w:val="fr-FR"/>
              </w:rPr>
              <w:t xml:space="preserve"> Régions de l’</w:t>
            </w:r>
            <w:r w:rsidR="001B6957" w:rsidRPr="001B3779">
              <w:rPr>
                <w:sz w:val="20"/>
                <w:lang w:val="fr-FR"/>
              </w:rPr>
              <w:t>OSPAR (</w:t>
            </w:r>
            <w:r w:rsidR="00BF3432" w:rsidRPr="001B3779">
              <w:rPr>
                <w:sz w:val="20"/>
                <w:lang w:val="fr-FR"/>
              </w:rPr>
              <w:t>é</w:t>
            </w:r>
            <w:r w:rsidR="001B6957" w:rsidRPr="001B3779">
              <w:rPr>
                <w:sz w:val="20"/>
                <w:lang w:val="fr-FR"/>
              </w:rPr>
              <w:t xml:space="preserve">quivalent </w:t>
            </w:r>
            <w:r w:rsidR="00BF3432" w:rsidRPr="001B3779">
              <w:rPr>
                <w:sz w:val="20"/>
                <w:lang w:val="fr-FR"/>
              </w:rPr>
              <w:t>des sous-régions</w:t>
            </w:r>
            <w:r w:rsidR="00F77354" w:rsidRPr="001B3779">
              <w:rPr>
                <w:sz w:val="20"/>
                <w:lang w:val="fr-FR"/>
              </w:rPr>
              <w:t xml:space="preserve"> de l’UE</w:t>
            </w:r>
            <w:r w:rsidR="00BF3432" w:rsidRPr="001B3779">
              <w:rPr>
                <w:sz w:val="20"/>
                <w:lang w:val="fr-FR"/>
              </w:rPr>
              <w:t xml:space="preserve"> </w:t>
            </w:r>
            <w:r w:rsidR="00F77354" w:rsidRPr="001B3779">
              <w:rPr>
                <w:sz w:val="20"/>
                <w:lang w:val="fr-FR"/>
              </w:rPr>
              <w:t>du nord-est et de l’Atlantique</w:t>
            </w:r>
            <w:r w:rsidR="001B6957" w:rsidRPr="001B3779">
              <w:rPr>
                <w:sz w:val="20"/>
                <w:lang w:val="fr-FR"/>
              </w:rPr>
              <w:t>)</w:t>
            </w:r>
          </w:p>
        </w:tc>
        <w:tc>
          <w:tcPr>
            <w:tcW w:w="2259" w:type="dxa"/>
            <w:tcBorders>
              <w:top w:val="single" w:sz="8" w:space="0" w:color="000000"/>
            </w:tcBorders>
          </w:tcPr>
          <w:p w14:paraId="5D5BD748" w14:textId="77777777" w:rsidR="00C42181" w:rsidRPr="001B3779" w:rsidRDefault="00C42181" w:rsidP="001B6957">
            <w:pPr>
              <w:pStyle w:val="TableParagraph"/>
              <w:spacing w:before="0"/>
              <w:ind w:right="124"/>
              <w:rPr>
                <w:sz w:val="20"/>
                <w:lang w:val="fr-FR"/>
              </w:rPr>
            </w:pPr>
            <w:r w:rsidRPr="001B3779">
              <w:rPr>
                <w:sz w:val="20"/>
                <w:lang w:val="fr-FR"/>
              </w:rPr>
              <w:lastRenderedPageBreak/>
              <w:t>Indicateur commun sur l’abondance des oiseaux marins</w:t>
            </w:r>
            <w:r w:rsidR="001B6957" w:rsidRPr="001B3779">
              <w:rPr>
                <w:sz w:val="20"/>
                <w:lang w:val="fr-FR"/>
              </w:rPr>
              <w:t xml:space="preserve"> </w:t>
            </w:r>
          </w:p>
          <w:p w14:paraId="74C01AD2" w14:textId="3A7ACA93" w:rsidR="001B6957" w:rsidRPr="001B3779" w:rsidRDefault="003E38F1" w:rsidP="001B6957">
            <w:pPr>
              <w:pStyle w:val="TableParagraph"/>
              <w:spacing w:before="0"/>
              <w:ind w:right="124"/>
              <w:rPr>
                <w:sz w:val="20"/>
                <w:lang w:val="fr-FR"/>
              </w:rPr>
            </w:pPr>
            <w:r w:rsidRPr="001B3779">
              <w:rPr>
                <w:sz w:val="20"/>
                <w:lang w:val="fr-FR"/>
              </w:rPr>
              <w:t>Les tendances en matière d’abondance conce</w:t>
            </w:r>
            <w:r w:rsidR="008B1009" w:rsidRPr="001B3779">
              <w:rPr>
                <w:sz w:val="20"/>
                <w:lang w:val="fr-FR"/>
              </w:rPr>
              <w:t xml:space="preserve">rnant la reproduction et la non-reproduction sont évaluées à l’aide de </w:t>
            </w:r>
            <w:r w:rsidR="001B4863">
              <w:rPr>
                <w:sz w:val="20"/>
                <w:lang w:val="fr-FR"/>
              </w:rPr>
              <w:t>seuils</w:t>
            </w:r>
            <w:r w:rsidR="005B0EFB">
              <w:rPr>
                <w:sz w:val="20"/>
                <w:lang w:val="fr-FR"/>
              </w:rPr>
              <w:t xml:space="preserve"> établis</w:t>
            </w:r>
            <w:r w:rsidR="008B1009" w:rsidRPr="001B3779">
              <w:rPr>
                <w:sz w:val="20"/>
                <w:lang w:val="fr-FR"/>
              </w:rPr>
              <w:t xml:space="preserve"> pour chaque espèce</w:t>
            </w:r>
            <w:r w:rsidR="001B6957" w:rsidRPr="001B3779">
              <w:rPr>
                <w:sz w:val="20"/>
                <w:lang w:val="fr-FR"/>
              </w:rPr>
              <w:t xml:space="preserve"> (</w:t>
            </w:r>
            <w:r w:rsidR="008B1009" w:rsidRPr="001B3779">
              <w:rPr>
                <w:sz w:val="20"/>
                <w:lang w:val="fr-FR"/>
              </w:rPr>
              <w:t>équivalent</w:t>
            </w:r>
            <w:r w:rsidR="001B6957" w:rsidRPr="001B3779">
              <w:rPr>
                <w:sz w:val="20"/>
                <w:lang w:val="fr-FR"/>
              </w:rPr>
              <w:t xml:space="preserve"> </w:t>
            </w:r>
            <w:r w:rsidR="008B1009" w:rsidRPr="001B3779">
              <w:rPr>
                <w:sz w:val="20"/>
                <w:lang w:val="fr-FR"/>
              </w:rPr>
              <w:t>à l’évaluation de la</w:t>
            </w:r>
            <w:r w:rsidR="001B6957" w:rsidRPr="001B3779">
              <w:rPr>
                <w:sz w:val="20"/>
                <w:lang w:val="fr-FR"/>
              </w:rPr>
              <w:t xml:space="preserve"> MSFD</w:t>
            </w:r>
            <w:r w:rsidR="008B1009" w:rsidRPr="001B3779">
              <w:rPr>
                <w:sz w:val="20"/>
                <w:lang w:val="fr-FR"/>
              </w:rPr>
              <w:t xml:space="preserve"> – voir ci-dessus</w:t>
            </w:r>
            <w:r w:rsidR="001B6957" w:rsidRPr="001B3779">
              <w:rPr>
                <w:sz w:val="20"/>
                <w:lang w:val="fr-FR"/>
              </w:rPr>
              <w:t>)</w:t>
            </w:r>
          </w:p>
          <w:p w14:paraId="08D1E39A" w14:textId="77777777" w:rsidR="001B6957" w:rsidRPr="001B3779" w:rsidRDefault="001B6957" w:rsidP="001B6957">
            <w:pPr>
              <w:pStyle w:val="TableParagraph"/>
              <w:spacing w:before="1"/>
              <w:ind w:left="0"/>
              <w:rPr>
                <w:sz w:val="20"/>
                <w:lang w:val="fr-FR"/>
              </w:rPr>
            </w:pPr>
          </w:p>
          <w:p w14:paraId="7715416A" w14:textId="6C166CD1" w:rsidR="001B6957" w:rsidRPr="001B3779" w:rsidRDefault="001B6957" w:rsidP="001B6957">
            <w:pPr>
              <w:pStyle w:val="TableParagraph"/>
              <w:spacing w:before="0"/>
              <w:ind w:right="92"/>
              <w:rPr>
                <w:sz w:val="20"/>
                <w:lang w:val="fr-FR"/>
              </w:rPr>
            </w:pPr>
            <w:r w:rsidRPr="001B3779">
              <w:rPr>
                <w:sz w:val="20"/>
                <w:lang w:val="fr-FR"/>
              </w:rPr>
              <w:t>Source</w:t>
            </w:r>
            <w:r w:rsidR="005E298E" w:rsidRPr="001B3779">
              <w:rPr>
                <w:sz w:val="20"/>
                <w:lang w:val="fr-FR"/>
              </w:rPr>
              <w:t> </w:t>
            </w:r>
            <w:r w:rsidRPr="001B3779">
              <w:rPr>
                <w:sz w:val="20"/>
                <w:lang w:val="fr-FR"/>
              </w:rPr>
              <w:t xml:space="preserve">: </w:t>
            </w:r>
            <w:r w:rsidR="005E298E" w:rsidRPr="001B3779">
              <w:rPr>
                <w:sz w:val="20"/>
                <w:lang w:val="fr-FR"/>
              </w:rPr>
              <w:t>Portail d’évaluation de l’</w:t>
            </w:r>
            <w:r w:rsidRPr="001B3779">
              <w:rPr>
                <w:sz w:val="20"/>
                <w:lang w:val="fr-FR"/>
              </w:rPr>
              <w:t xml:space="preserve">OSPAR </w:t>
            </w:r>
            <w:hyperlink r:id="rId10">
              <w:r w:rsidRPr="001B3779">
                <w:rPr>
                  <w:color w:val="0000FF"/>
                  <w:sz w:val="20"/>
                  <w:u w:val="single" w:color="0000FF"/>
                  <w:lang w:val="fr-FR"/>
                </w:rPr>
                <w:t>https://oap.ospar.org/en/o</w:t>
              </w:r>
            </w:hyperlink>
            <w:r w:rsidRPr="001B3779">
              <w:rPr>
                <w:color w:val="0000FF"/>
                <w:sz w:val="20"/>
                <w:lang w:val="fr-FR"/>
              </w:rPr>
              <w:t xml:space="preserve"> </w:t>
            </w:r>
            <w:hyperlink r:id="rId11">
              <w:proofErr w:type="spellStart"/>
              <w:r w:rsidRPr="001B3779">
                <w:rPr>
                  <w:color w:val="0000FF"/>
                  <w:sz w:val="20"/>
                  <w:u w:val="single" w:color="0000FF"/>
                  <w:lang w:val="fr-FR"/>
                </w:rPr>
                <w:t>spar</w:t>
              </w:r>
              <w:proofErr w:type="spellEnd"/>
              <w:r w:rsidRPr="001B3779">
                <w:rPr>
                  <w:color w:val="0000FF"/>
                  <w:sz w:val="20"/>
                  <w:u w:val="single" w:color="0000FF"/>
                  <w:lang w:val="fr-FR"/>
                </w:rPr>
                <w:t>-</w:t>
              </w:r>
            </w:hyperlink>
            <w:r w:rsidRPr="001B3779">
              <w:rPr>
                <w:color w:val="0000FF"/>
                <w:sz w:val="20"/>
                <w:lang w:val="fr-FR"/>
              </w:rPr>
              <w:t xml:space="preserve"> </w:t>
            </w:r>
            <w:hyperlink r:id="rId12">
              <w:proofErr w:type="spellStart"/>
              <w:r w:rsidRPr="001B3779">
                <w:rPr>
                  <w:color w:val="0000FF"/>
                  <w:sz w:val="20"/>
                  <w:u w:val="single" w:color="0000FF"/>
                  <w:lang w:val="fr-FR"/>
                </w:rPr>
                <w:t>assessments</w:t>
              </w:r>
              <w:proofErr w:type="spellEnd"/>
              <w:r w:rsidRPr="001B3779">
                <w:rPr>
                  <w:color w:val="0000FF"/>
                  <w:sz w:val="20"/>
                  <w:u w:val="single" w:color="0000FF"/>
                  <w:lang w:val="fr-FR"/>
                </w:rPr>
                <w:t>/</w:t>
              </w:r>
              <w:proofErr w:type="spellStart"/>
              <w:r w:rsidRPr="001B3779">
                <w:rPr>
                  <w:color w:val="0000FF"/>
                  <w:sz w:val="20"/>
                  <w:u w:val="single" w:color="0000FF"/>
                  <w:lang w:val="fr-FR"/>
                </w:rPr>
                <w:t>intermediate</w:t>
              </w:r>
              <w:proofErr w:type="spellEnd"/>
            </w:hyperlink>
          </w:p>
          <w:p w14:paraId="057B81BD" w14:textId="77777777" w:rsidR="001B6957" w:rsidRPr="001B3779" w:rsidRDefault="003620A1" w:rsidP="001B6957">
            <w:pPr>
              <w:pStyle w:val="TableParagraph"/>
              <w:spacing w:before="0"/>
              <w:ind w:right="157"/>
              <w:rPr>
                <w:sz w:val="20"/>
                <w:lang w:val="fr-FR"/>
              </w:rPr>
            </w:pPr>
            <w:hyperlink r:id="rId13">
              <w:r w:rsidR="001B6957" w:rsidRPr="001B3779">
                <w:rPr>
                  <w:color w:val="0000FF"/>
                  <w:sz w:val="20"/>
                  <w:u w:val="single" w:color="0000FF"/>
                  <w:lang w:val="fr-FR"/>
                </w:rPr>
                <w:t>-</w:t>
              </w:r>
              <w:proofErr w:type="spellStart"/>
              <w:r w:rsidR="001B6957" w:rsidRPr="001B3779">
                <w:rPr>
                  <w:color w:val="0000FF"/>
                  <w:sz w:val="20"/>
                  <w:u w:val="single" w:color="0000FF"/>
                  <w:lang w:val="fr-FR"/>
                </w:rPr>
                <w:t>assessment</w:t>
              </w:r>
              <w:proofErr w:type="spellEnd"/>
              <w:r w:rsidR="001B6957" w:rsidRPr="001B3779">
                <w:rPr>
                  <w:color w:val="0000FF"/>
                  <w:sz w:val="20"/>
                  <w:u w:val="single" w:color="0000FF"/>
                  <w:lang w:val="fr-FR"/>
                </w:rPr>
                <w:t>-</w:t>
              </w:r>
            </w:hyperlink>
            <w:r w:rsidR="001B6957" w:rsidRPr="001B3779">
              <w:rPr>
                <w:color w:val="0000FF"/>
                <w:sz w:val="20"/>
                <w:lang w:val="fr-FR"/>
              </w:rPr>
              <w:t xml:space="preserve"> </w:t>
            </w:r>
            <w:hyperlink r:id="rId14">
              <w:r w:rsidR="001B6957" w:rsidRPr="001B3779">
                <w:rPr>
                  <w:color w:val="0000FF"/>
                  <w:sz w:val="20"/>
                  <w:u w:val="single" w:color="0000FF"/>
                  <w:lang w:val="fr-FR"/>
                </w:rPr>
                <w:t>2017/</w:t>
              </w:r>
              <w:proofErr w:type="spellStart"/>
              <w:r w:rsidR="001B6957" w:rsidRPr="001B3779">
                <w:rPr>
                  <w:color w:val="0000FF"/>
                  <w:sz w:val="20"/>
                  <w:u w:val="single" w:color="0000FF"/>
                  <w:lang w:val="fr-FR"/>
                </w:rPr>
                <w:t>biodiversity</w:t>
              </w:r>
              <w:proofErr w:type="spellEnd"/>
              <w:r w:rsidR="001B6957" w:rsidRPr="001B3779">
                <w:rPr>
                  <w:color w:val="0000FF"/>
                  <w:sz w:val="20"/>
                  <w:u w:val="single" w:color="0000FF"/>
                  <w:lang w:val="fr-FR"/>
                </w:rPr>
                <w:t>-</w:t>
              </w:r>
            </w:hyperlink>
            <w:r w:rsidR="001B6957" w:rsidRPr="001B3779">
              <w:rPr>
                <w:color w:val="0000FF"/>
                <w:sz w:val="20"/>
                <w:lang w:val="fr-FR"/>
              </w:rPr>
              <w:t xml:space="preserve"> </w:t>
            </w:r>
            <w:hyperlink r:id="rId15">
              <w:proofErr w:type="spellStart"/>
              <w:r w:rsidR="001B6957" w:rsidRPr="001B3779">
                <w:rPr>
                  <w:color w:val="0000FF"/>
                  <w:sz w:val="20"/>
                  <w:u w:val="single" w:color="0000FF"/>
                  <w:lang w:val="fr-FR"/>
                </w:rPr>
                <w:t>status</w:t>
              </w:r>
              <w:proofErr w:type="spellEnd"/>
              <w:r w:rsidR="001B6957" w:rsidRPr="001B3779">
                <w:rPr>
                  <w:color w:val="0000FF"/>
                  <w:sz w:val="20"/>
                  <w:u w:val="single" w:color="0000FF"/>
                  <w:lang w:val="fr-FR"/>
                </w:rPr>
                <w:t>/marine-</w:t>
              </w:r>
              <w:proofErr w:type="spellStart"/>
              <w:r w:rsidR="001B6957" w:rsidRPr="001B3779">
                <w:rPr>
                  <w:color w:val="0000FF"/>
                  <w:sz w:val="20"/>
                  <w:u w:val="single" w:color="0000FF"/>
                  <w:lang w:val="fr-FR"/>
                </w:rPr>
                <w:t>birds</w:t>
              </w:r>
              <w:proofErr w:type="spellEnd"/>
              <w:r w:rsidR="001B6957" w:rsidRPr="001B3779">
                <w:rPr>
                  <w:color w:val="0000FF"/>
                  <w:sz w:val="20"/>
                  <w:u w:val="single" w:color="0000FF"/>
                  <w:lang w:val="fr-FR"/>
                </w:rPr>
                <w:t>/</w:t>
              </w:r>
              <w:proofErr w:type="spellStart"/>
              <w:r w:rsidR="001B6957" w:rsidRPr="001B3779">
                <w:rPr>
                  <w:color w:val="0000FF"/>
                  <w:sz w:val="20"/>
                  <w:u w:val="single" w:color="0000FF"/>
                  <w:lang w:val="fr-FR"/>
                </w:rPr>
                <w:t>bird</w:t>
              </w:r>
              <w:proofErr w:type="spellEnd"/>
              <w:r w:rsidR="001B6957" w:rsidRPr="001B3779">
                <w:rPr>
                  <w:color w:val="0000FF"/>
                  <w:sz w:val="20"/>
                  <w:u w:val="single" w:color="0000FF"/>
                  <w:lang w:val="fr-FR"/>
                </w:rPr>
                <w:t>-</w:t>
              </w:r>
            </w:hyperlink>
            <w:r w:rsidR="001B6957" w:rsidRPr="001B3779">
              <w:rPr>
                <w:color w:val="0000FF"/>
                <w:sz w:val="20"/>
                <w:lang w:val="fr-FR"/>
              </w:rPr>
              <w:t xml:space="preserve"> </w:t>
            </w:r>
            <w:hyperlink r:id="rId16">
              <w:proofErr w:type="spellStart"/>
              <w:r w:rsidR="001B6957" w:rsidRPr="001B3779">
                <w:rPr>
                  <w:color w:val="0000FF"/>
                  <w:sz w:val="20"/>
                  <w:u w:val="single" w:color="0000FF"/>
                  <w:lang w:val="fr-FR"/>
                </w:rPr>
                <w:t>abundance</w:t>
              </w:r>
              <w:proofErr w:type="spellEnd"/>
              <w:r w:rsidR="001B6957" w:rsidRPr="001B3779">
                <w:rPr>
                  <w:color w:val="0000FF"/>
                  <w:sz w:val="20"/>
                  <w:u w:val="single" w:color="0000FF"/>
                  <w:lang w:val="fr-FR"/>
                </w:rPr>
                <w:t>/</w:t>
              </w:r>
            </w:hyperlink>
          </w:p>
          <w:p w14:paraId="6E2CD772" w14:textId="1FA62732" w:rsidR="001B6957" w:rsidRPr="001B3779" w:rsidRDefault="009E47A2" w:rsidP="001B6957">
            <w:pPr>
              <w:pStyle w:val="TableParagraph"/>
              <w:spacing w:before="0"/>
              <w:ind w:right="152"/>
              <w:rPr>
                <w:sz w:val="20"/>
                <w:lang w:val="fr-FR"/>
              </w:rPr>
            </w:pPr>
            <w:r w:rsidRPr="001B3779">
              <w:rPr>
                <w:sz w:val="20"/>
                <w:lang w:val="fr-FR"/>
              </w:rPr>
              <w:t>Fréquence </w:t>
            </w:r>
            <w:r w:rsidR="001B6957" w:rsidRPr="001B3779">
              <w:rPr>
                <w:sz w:val="20"/>
                <w:lang w:val="fr-FR"/>
              </w:rPr>
              <w:t xml:space="preserve">: 6 </w:t>
            </w:r>
            <w:r w:rsidRPr="001B3779">
              <w:rPr>
                <w:sz w:val="20"/>
                <w:lang w:val="fr-FR"/>
              </w:rPr>
              <w:t>an</w:t>
            </w:r>
            <w:r w:rsidR="001B6957" w:rsidRPr="001B3779">
              <w:rPr>
                <w:sz w:val="20"/>
                <w:lang w:val="fr-FR"/>
              </w:rPr>
              <w:t>s (</w:t>
            </w:r>
            <w:r w:rsidR="001A0986" w:rsidRPr="001B3779">
              <w:rPr>
                <w:sz w:val="20"/>
                <w:lang w:val="fr-FR"/>
              </w:rPr>
              <w:t xml:space="preserve">première utilisation de l’indicateur en </w:t>
            </w:r>
            <w:r w:rsidR="001B6957" w:rsidRPr="001B3779">
              <w:rPr>
                <w:sz w:val="20"/>
                <w:lang w:val="fr-FR"/>
              </w:rPr>
              <w:t>2017)</w:t>
            </w:r>
          </w:p>
          <w:p w14:paraId="49521B90" w14:textId="77777777" w:rsidR="001B6957" w:rsidRPr="001B3779" w:rsidRDefault="001B6957" w:rsidP="001B6957">
            <w:pPr>
              <w:pStyle w:val="TableParagraph"/>
              <w:spacing w:before="10"/>
              <w:ind w:left="0"/>
              <w:rPr>
                <w:sz w:val="19"/>
                <w:lang w:val="fr-FR"/>
              </w:rPr>
            </w:pPr>
          </w:p>
          <w:p w14:paraId="6DF8338F" w14:textId="0B2522D6" w:rsidR="001B6957" w:rsidRPr="001B3779" w:rsidRDefault="005323D3" w:rsidP="001B6957">
            <w:pPr>
              <w:pStyle w:val="TableParagraph"/>
              <w:spacing w:before="0"/>
              <w:ind w:right="98"/>
              <w:rPr>
                <w:sz w:val="20"/>
                <w:lang w:val="fr-FR"/>
              </w:rPr>
            </w:pPr>
            <w:r w:rsidRPr="001B3779">
              <w:rPr>
                <w:sz w:val="20"/>
                <w:lang w:val="fr-FR"/>
              </w:rPr>
              <w:t>Niveau et portée taxonomiques :</w:t>
            </w:r>
            <w:r w:rsidR="001B6957" w:rsidRPr="001B3779">
              <w:rPr>
                <w:sz w:val="20"/>
                <w:lang w:val="fr-FR"/>
              </w:rPr>
              <w:t xml:space="preserve"> </w:t>
            </w:r>
            <w:r w:rsidR="006D7619" w:rsidRPr="001B3779">
              <w:rPr>
                <w:sz w:val="20"/>
                <w:lang w:val="fr-FR"/>
              </w:rPr>
              <w:t>espèces des groupes BEE suivants de la MSFD – brouteurs, échassiers, animaux se nourrissant en surface, dans les environnements pélagiques et benthiques</w:t>
            </w:r>
          </w:p>
          <w:p w14:paraId="65DEE364" w14:textId="77777777" w:rsidR="001B6957" w:rsidRPr="001B3779" w:rsidRDefault="001B6957" w:rsidP="001B6957">
            <w:pPr>
              <w:pStyle w:val="TableParagraph"/>
              <w:spacing w:before="1"/>
              <w:ind w:left="0"/>
              <w:rPr>
                <w:sz w:val="20"/>
                <w:lang w:val="fr-FR"/>
              </w:rPr>
            </w:pPr>
          </w:p>
          <w:p w14:paraId="46F7E648" w14:textId="1735DC21" w:rsidR="001B6957" w:rsidRPr="001B3779" w:rsidRDefault="00B10F06" w:rsidP="001B6957">
            <w:pPr>
              <w:pStyle w:val="TableParagraph"/>
              <w:ind w:right="286"/>
              <w:rPr>
                <w:sz w:val="20"/>
                <w:lang w:val="fr-FR"/>
              </w:rPr>
            </w:pPr>
            <w:r w:rsidRPr="001B3779">
              <w:rPr>
                <w:sz w:val="20"/>
                <w:lang w:val="fr-FR"/>
              </w:rPr>
              <w:t>Échelle</w:t>
            </w:r>
            <w:r w:rsidR="001B6957" w:rsidRPr="001B3779">
              <w:rPr>
                <w:sz w:val="20"/>
                <w:lang w:val="fr-FR"/>
              </w:rPr>
              <w:t xml:space="preserve">: </w:t>
            </w:r>
            <w:r w:rsidRPr="001B3779">
              <w:rPr>
                <w:sz w:val="20"/>
                <w:lang w:val="fr-FR"/>
              </w:rPr>
              <w:t>Régions de l’</w:t>
            </w:r>
            <w:r w:rsidR="001B6957" w:rsidRPr="001B3779">
              <w:rPr>
                <w:sz w:val="20"/>
                <w:lang w:val="fr-FR"/>
              </w:rPr>
              <w:t xml:space="preserve">OSPAR </w:t>
            </w:r>
            <w:r w:rsidRPr="001B3779">
              <w:rPr>
                <w:sz w:val="20"/>
                <w:lang w:val="fr-FR"/>
              </w:rPr>
              <w:t>et sous-divisions de</w:t>
            </w:r>
            <w:r w:rsidR="006E300D" w:rsidRPr="001B3779">
              <w:rPr>
                <w:sz w:val="20"/>
                <w:lang w:val="fr-FR"/>
              </w:rPr>
              <w:t>s</w:t>
            </w:r>
            <w:r w:rsidRPr="001B3779">
              <w:rPr>
                <w:sz w:val="20"/>
                <w:lang w:val="fr-FR"/>
              </w:rPr>
              <w:t xml:space="preserve"> eaux de l’Arctique et </w:t>
            </w:r>
            <w:r w:rsidR="00465CD8" w:rsidRPr="001B3779">
              <w:rPr>
                <w:sz w:val="20"/>
                <w:lang w:val="fr-FR"/>
              </w:rPr>
              <w:t>la mer du Nord au sens large</w:t>
            </w:r>
          </w:p>
        </w:tc>
        <w:tc>
          <w:tcPr>
            <w:tcW w:w="2257" w:type="dxa"/>
            <w:tcBorders>
              <w:top w:val="single" w:sz="8" w:space="0" w:color="000000"/>
            </w:tcBorders>
          </w:tcPr>
          <w:p w14:paraId="7F92CEE3" w14:textId="0E805CCF" w:rsidR="001B6957" w:rsidRPr="001B3779" w:rsidRDefault="006E300D" w:rsidP="001B6957">
            <w:pPr>
              <w:pStyle w:val="TableParagraph"/>
              <w:ind w:right="93"/>
              <w:rPr>
                <w:sz w:val="20"/>
                <w:lang w:val="fr-FR"/>
              </w:rPr>
            </w:pPr>
            <w:r w:rsidRPr="001B3779">
              <w:rPr>
                <w:sz w:val="20"/>
                <w:lang w:val="fr-FR"/>
              </w:rPr>
              <w:t>Soumis</w:t>
            </w:r>
            <w:r w:rsidR="008F260A" w:rsidRPr="001B3779">
              <w:rPr>
                <w:sz w:val="20"/>
                <w:lang w:val="fr-FR"/>
              </w:rPr>
              <w:t xml:space="preserve"> à la base de données des oiseaux marins de l’</w:t>
            </w:r>
            <w:r w:rsidR="001B6957" w:rsidRPr="001B3779">
              <w:rPr>
                <w:sz w:val="20"/>
                <w:lang w:val="fr-FR"/>
              </w:rPr>
              <w:t>OSPAR</w:t>
            </w:r>
            <w:r w:rsidR="005459EB" w:rsidRPr="001B3779">
              <w:rPr>
                <w:sz w:val="20"/>
                <w:lang w:val="fr-FR"/>
              </w:rPr>
              <w:t xml:space="preserve">, </w:t>
            </w:r>
            <w:r w:rsidR="00FF31CD">
              <w:rPr>
                <w:sz w:val="20"/>
                <w:lang w:val="fr-FR"/>
              </w:rPr>
              <w:t>hébergé</w:t>
            </w:r>
            <w:r w:rsidR="008D1CAC">
              <w:rPr>
                <w:sz w:val="20"/>
                <w:lang w:val="fr-FR"/>
              </w:rPr>
              <w:t>e</w:t>
            </w:r>
            <w:r w:rsidR="005459EB" w:rsidRPr="001B3779">
              <w:rPr>
                <w:sz w:val="20"/>
                <w:lang w:val="fr-FR"/>
              </w:rPr>
              <w:t xml:space="preserve"> par </w:t>
            </w:r>
            <w:r w:rsidR="00915146">
              <w:rPr>
                <w:sz w:val="20"/>
                <w:lang w:val="fr-FR"/>
              </w:rPr>
              <w:t>le CIEM</w:t>
            </w:r>
            <w:r w:rsidR="001B6957" w:rsidRPr="001B3779">
              <w:rPr>
                <w:sz w:val="20"/>
                <w:lang w:val="fr-FR"/>
              </w:rPr>
              <w:t xml:space="preserve"> </w:t>
            </w:r>
            <w:r w:rsidR="005459EB" w:rsidRPr="001B3779">
              <w:rPr>
                <w:sz w:val="20"/>
                <w:lang w:val="fr-FR"/>
              </w:rPr>
              <w:t>à</w:t>
            </w:r>
            <w:r w:rsidR="001B6957" w:rsidRPr="001B3779">
              <w:rPr>
                <w:sz w:val="20"/>
                <w:lang w:val="fr-FR"/>
              </w:rPr>
              <w:t xml:space="preserve"> </w:t>
            </w:r>
            <w:hyperlink r:id="rId17">
              <w:r w:rsidR="001B6957" w:rsidRPr="001B3779">
                <w:rPr>
                  <w:color w:val="0000FF"/>
                  <w:w w:val="95"/>
                  <w:sz w:val="20"/>
                  <w:u w:val="single" w:color="0000FF"/>
                  <w:lang w:val="fr-FR"/>
                </w:rPr>
                <w:t>https://www.ices.dk/data/</w:t>
              </w:r>
            </w:hyperlink>
            <w:r w:rsidR="001B6957" w:rsidRPr="001B3779">
              <w:rPr>
                <w:color w:val="0000FF"/>
                <w:w w:val="95"/>
                <w:sz w:val="20"/>
                <w:lang w:val="fr-FR"/>
              </w:rPr>
              <w:t xml:space="preserve"> </w:t>
            </w:r>
            <w:hyperlink r:id="rId18">
              <w:r w:rsidR="001B6957" w:rsidRPr="001B3779">
                <w:rPr>
                  <w:color w:val="0000FF"/>
                  <w:sz w:val="20"/>
                  <w:u w:val="single" w:color="0000FF"/>
                  <w:lang w:val="fr-FR"/>
                </w:rPr>
                <w:t>data-</w:t>
              </w:r>
            </w:hyperlink>
            <w:r w:rsidR="001B6957" w:rsidRPr="001B3779">
              <w:rPr>
                <w:color w:val="0000FF"/>
                <w:sz w:val="20"/>
                <w:lang w:val="fr-FR"/>
              </w:rPr>
              <w:t xml:space="preserve"> </w:t>
            </w:r>
            <w:hyperlink r:id="rId19">
              <w:proofErr w:type="spellStart"/>
              <w:r w:rsidR="001B6957" w:rsidRPr="001B3779">
                <w:rPr>
                  <w:color w:val="0000FF"/>
                  <w:sz w:val="20"/>
                  <w:u w:val="single" w:color="0000FF"/>
                  <w:lang w:val="fr-FR"/>
                </w:rPr>
                <w:t>portals</w:t>
              </w:r>
              <w:proofErr w:type="spellEnd"/>
              <w:r w:rsidR="001B6957" w:rsidRPr="001B3779">
                <w:rPr>
                  <w:color w:val="0000FF"/>
                  <w:sz w:val="20"/>
                  <w:u w:val="single" w:color="0000FF"/>
                  <w:lang w:val="fr-FR"/>
                </w:rPr>
                <w:t>/Pages/</w:t>
              </w:r>
              <w:proofErr w:type="spellStart"/>
              <w:r w:rsidR="001B6957" w:rsidRPr="001B3779">
                <w:rPr>
                  <w:color w:val="0000FF"/>
                  <w:sz w:val="20"/>
                  <w:u w:val="single" w:color="0000FF"/>
                  <w:lang w:val="fr-FR"/>
                </w:rPr>
                <w:t>Biodiversit</w:t>
              </w:r>
              <w:proofErr w:type="spellEnd"/>
            </w:hyperlink>
            <w:r w:rsidR="001B6957" w:rsidRPr="001B3779">
              <w:rPr>
                <w:color w:val="0000FF"/>
                <w:sz w:val="20"/>
                <w:lang w:val="fr-FR"/>
              </w:rPr>
              <w:t xml:space="preserve"> </w:t>
            </w:r>
            <w:hyperlink r:id="rId20">
              <w:r w:rsidR="001B6957" w:rsidRPr="001B3779">
                <w:rPr>
                  <w:color w:val="0000FF"/>
                  <w:sz w:val="20"/>
                  <w:u w:val="single" w:color="0000FF"/>
                  <w:lang w:val="fr-FR"/>
                </w:rPr>
                <w:t>y.aspx</w:t>
              </w:r>
            </w:hyperlink>
          </w:p>
          <w:p w14:paraId="3E17DDF7" w14:textId="77777777" w:rsidR="001B6957" w:rsidRPr="001B3779" w:rsidRDefault="001B6957" w:rsidP="001B6957">
            <w:pPr>
              <w:pStyle w:val="TableParagraph"/>
              <w:spacing w:before="0"/>
              <w:ind w:left="0"/>
              <w:rPr>
                <w:sz w:val="20"/>
                <w:lang w:val="fr-FR"/>
              </w:rPr>
            </w:pPr>
          </w:p>
          <w:p w14:paraId="2F4A38F7" w14:textId="4C3662EA" w:rsidR="001B6957" w:rsidRPr="001B3779" w:rsidRDefault="004607F8" w:rsidP="001B6957">
            <w:pPr>
              <w:pStyle w:val="TableParagraph"/>
              <w:ind w:right="90"/>
              <w:rPr>
                <w:sz w:val="20"/>
                <w:lang w:val="fr-FR"/>
              </w:rPr>
            </w:pPr>
            <w:r w:rsidRPr="001B3779">
              <w:rPr>
                <w:sz w:val="20"/>
                <w:lang w:val="fr-FR"/>
              </w:rPr>
              <w:t>É</w:t>
            </w:r>
            <w:r w:rsidR="005459EB" w:rsidRPr="001B3779">
              <w:rPr>
                <w:sz w:val="20"/>
                <w:lang w:val="fr-FR"/>
              </w:rPr>
              <w:t xml:space="preserve">valuation </w:t>
            </w:r>
            <w:r w:rsidR="00A37AAF" w:rsidRPr="001B3779">
              <w:rPr>
                <w:sz w:val="20"/>
                <w:lang w:val="fr-FR"/>
              </w:rPr>
              <w:t>standard et méthodes de surveillance publiées</w:t>
            </w:r>
            <w:r w:rsidR="00C155A8" w:rsidRPr="001B3779">
              <w:rPr>
                <w:sz w:val="20"/>
                <w:lang w:val="fr-FR"/>
              </w:rPr>
              <w:t xml:space="preserve"> en tant que</w:t>
            </w:r>
            <w:r w:rsidR="001B6957" w:rsidRPr="001B3779">
              <w:rPr>
                <w:sz w:val="20"/>
                <w:lang w:val="fr-FR"/>
              </w:rPr>
              <w:t xml:space="preserve"> </w:t>
            </w:r>
            <w:r w:rsidR="00FC119C" w:rsidRPr="001B3779">
              <w:rPr>
                <w:sz w:val="20"/>
                <w:lang w:val="fr-FR"/>
              </w:rPr>
              <w:t xml:space="preserve">Directive du Programme Coordonné de surveillance continue de l’environnement </w:t>
            </w:r>
            <w:r w:rsidR="001B6957" w:rsidRPr="001B3779">
              <w:rPr>
                <w:sz w:val="20"/>
                <w:lang w:val="fr-FR"/>
              </w:rPr>
              <w:t xml:space="preserve">(CEMP) </w:t>
            </w:r>
            <w:hyperlink r:id="rId21">
              <w:r w:rsidR="001B6957" w:rsidRPr="001B3779">
                <w:rPr>
                  <w:color w:val="0000FF"/>
                  <w:w w:val="95"/>
                  <w:sz w:val="20"/>
                  <w:u w:val="single" w:color="0000FF"/>
                  <w:lang w:val="fr-FR"/>
                </w:rPr>
                <w:t>https://www.ospar.org/do</w:t>
              </w:r>
            </w:hyperlink>
            <w:r w:rsidR="001B6957" w:rsidRPr="001B3779">
              <w:rPr>
                <w:color w:val="0000FF"/>
                <w:w w:val="95"/>
                <w:sz w:val="20"/>
                <w:lang w:val="fr-FR"/>
              </w:rPr>
              <w:t xml:space="preserve"> </w:t>
            </w:r>
            <w:hyperlink r:id="rId22">
              <w:proofErr w:type="spellStart"/>
              <w:r w:rsidR="001B6957" w:rsidRPr="001B3779">
                <w:rPr>
                  <w:color w:val="0000FF"/>
                  <w:sz w:val="20"/>
                  <w:u w:val="single" w:color="0000FF"/>
                  <w:lang w:val="fr-FR"/>
                </w:rPr>
                <w:t>cuments?v</w:t>
              </w:r>
              <w:proofErr w:type="spellEnd"/>
              <w:r w:rsidR="001B6957" w:rsidRPr="001B3779">
                <w:rPr>
                  <w:color w:val="0000FF"/>
                  <w:sz w:val="20"/>
                  <w:u w:val="single" w:color="0000FF"/>
                  <w:lang w:val="fr-FR"/>
                </w:rPr>
                <w:t>=38978</w:t>
              </w:r>
            </w:hyperlink>
          </w:p>
        </w:tc>
      </w:tr>
      <w:tr w:rsidR="001B6957" w:rsidRPr="005E52F1" w14:paraId="57F15DAD" w14:textId="77777777">
        <w:trPr>
          <w:trHeight w:val="1580"/>
        </w:trPr>
        <w:tc>
          <w:tcPr>
            <w:tcW w:w="2259" w:type="dxa"/>
          </w:tcPr>
          <w:p w14:paraId="602E1569" w14:textId="2274C11B" w:rsidR="001B6957" w:rsidRPr="001B3779" w:rsidRDefault="001B6957" w:rsidP="001B6957">
            <w:pPr>
              <w:pStyle w:val="TableParagraph"/>
              <w:spacing w:before="0"/>
              <w:ind w:right="224"/>
              <w:rPr>
                <w:sz w:val="20"/>
                <w:lang w:val="fr-FR"/>
              </w:rPr>
            </w:pPr>
            <w:r w:rsidRPr="001B3779">
              <w:rPr>
                <w:sz w:val="20"/>
                <w:lang w:val="fr-FR"/>
              </w:rPr>
              <w:t xml:space="preserve">HELCOM </w:t>
            </w:r>
            <w:r w:rsidRPr="001B3779">
              <w:rPr>
                <w:w w:val="95"/>
                <w:sz w:val="20"/>
                <w:lang w:val="fr-FR"/>
              </w:rPr>
              <w:t>(</w:t>
            </w:r>
            <w:r w:rsidR="00F350CD" w:rsidRPr="001B3779">
              <w:rPr>
                <w:w w:val="95"/>
                <w:sz w:val="20"/>
                <w:lang w:val="fr-FR"/>
              </w:rPr>
              <w:t>Groupe de travail conjoint sur les oiseaux marins</w:t>
            </w:r>
            <w:r w:rsidR="00F350CD">
              <w:rPr>
                <w:w w:val="95"/>
                <w:sz w:val="20"/>
                <w:lang w:val="fr-FR"/>
              </w:rPr>
              <w:t xml:space="preserve"> du </w:t>
            </w:r>
            <w:r w:rsidR="00F40B5E" w:rsidRPr="001B3779">
              <w:rPr>
                <w:w w:val="95"/>
                <w:sz w:val="20"/>
                <w:lang w:val="fr-FR"/>
              </w:rPr>
              <w:t>CIEM/OSPAR/HELCOM, JWGBIRD</w:t>
            </w:r>
            <w:r w:rsidRPr="001B3779">
              <w:rPr>
                <w:sz w:val="20"/>
                <w:lang w:val="fr-FR"/>
              </w:rPr>
              <w:t>)</w:t>
            </w:r>
          </w:p>
        </w:tc>
        <w:tc>
          <w:tcPr>
            <w:tcW w:w="2256" w:type="dxa"/>
          </w:tcPr>
          <w:p w14:paraId="27857CC8" w14:textId="28860787" w:rsidR="00394DA0" w:rsidRPr="001B3779" w:rsidRDefault="00C65C71" w:rsidP="00733951">
            <w:pPr>
              <w:pStyle w:val="TableParagraph"/>
              <w:ind w:left="0"/>
              <w:rPr>
                <w:lang w:val="fr-FR"/>
              </w:rPr>
            </w:pPr>
            <w:r w:rsidRPr="001B3779">
              <w:rPr>
                <w:sz w:val="20"/>
                <w:lang w:val="fr-FR"/>
              </w:rPr>
              <w:t>Les principaux indicateurs d’</w:t>
            </w:r>
            <w:r w:rsidR="00872EFC" w:rsidRPr="001B3779">
              <w:rPr>
                <w:sz w:val="20"/>
                <w:lang w:val="fr-FR"/>
              </w:rPr>
              <w:t xml:space="preserve">HELCOM </w:t>
            </w:r>
            <w:r w:rsidRPr="001B3779">
              <w:rPr>
                <w:sz w:val="20"/>
                <w:lang w:val="fr-FR"/>
              </w:rPr>
              <w:t>en matière d’abondance</w:t>
            </w:r>
            <w:r w:rsidR="006B06F4" w:rsidRPr="001B3779">
              <w:rPr>
                <w:sz w:val="20"/>
                <w:lang w:val="fr-FR"/>
              </w:rPr>
              <w:t xml:space="preserve"> des oiseaux d’eau pendant la saison d’hivernage et penda</w:t>
            </w:r>
            <w:r w:rsidR="0080549A" w:rsidRPr="001B3779">
              <w:rPr>
                <w:sz w:val="20"/>
                <w:lang w:val="fr-FR"/>
              </w:rPr>
              <w:t>nt la saison de reproduction sont évalués à l’aide d’un seuil établi individuellement pour chaque espèce</w:t>
            </w:r>
            <w:r w:rsidR="00872EFC" w:rsidRPr="001B3779">
              <w:rPr>
                <w:lang w:val="fr-FR"/>
              </w:rPr>
              <w:t xml:space="preserve">. </w:t>
            </w:r>
            <w:r w:rsidR="00394DA0" w:rsidRPr="001B3779">
              <w:rPr>
                <w:lang w:val="fr-FR"/>
              </w:rPr>
              <w:t xml:space="preserve"> </w:t>
            </w:r>
            <w:r w:rsidR="002B64B6" w:rsidRPr="001B3779">
              <w:rPr>
                <w:lang w:val="fr-FR"/>
              </w:rPr>
              <w:t xml:space="preserve">L’approche utilisée pour définir un bon état a été développée par </w:t>
            </w:r>
            <w:r w:rsidR="0053643D" w:rsidRPr="001B3779">
              <w:rPr>
                <w:lang w:val="fr-FR"/>
              </w:rPr>
              <w:t xml:space="preserve">le </w:t>
            </w:r>
            <w:r w:rsidR="00082F58" w:rsidRPr="001B3779">
              <w:rPr>
                <w:lang w:val="fr-FR"/>
              </w:rPr>
              <w:t>Groupe de correspondance intersession de l’</w:t>
            </w:r>
            <w:r w:rsidR="00394DA0" w:rsidRPr="001B3779">
              <w:rPr>
                <w:lang w:val="fr-FR"/>
              </w:rPr>
              <w:t xml:space="preserve">OSPAR </w:t>
            </w:r>
            <w:r w:rsidR="00082F58" w:rsidRPr="001B3779">
              <w:rPr>
                <w:lang w:val="fr-FR"/>
              </w:rPr>
              <w:t xml:space="preserve">sur la coordination </w:t>
            </w:r>
            <w:r w:rsidR="0022359B" w:rsidRPr="001B3779">
              <w:rPr>
                <w:lang w:val="fr-FR"/>
              </w:rPr>
              <w:t>des évaluations et de la surveillance de la biodiversité</w:t>
            </w:r>
            <w:r w:rsidR="00394DA0" w:rsidRPr="001B3779">
              <w:rPr>
                <w:lang w:val="fr-FR"/>
              </w:rPr>
              <w:t xml:space="preserve"> (ICG-COBAM MSFD) </w:t>
            </w:r>
            <w:r w:rsidR="0022359B" w:rsidRPr="001B3779">
              <w:rPr>
                <w:lang w:val="fr-FR"/>
              </w:rPr>
              <w:t>et utilisée</w:t>
            </w:r>
            <w:r w:rsidR="0074505A" w:rsidRPr="001B3779">
              <w:rPr>
                <w:lang w:val="fr-FR"/>
              </w:rPr>
              <w:t xml:space="preserve"> dans l’indicateur de l’</w:t>
            </w:r>
            <w:r w:rsidR="00394DA0" w:rsidRPr="001B3779">
              <w:rPr>
                <w:lang w:val="fr-FR"/>
              </w:rPr>
              <w:t xml:space="preserve">OSPAR </w:t>
            </w:r>
            <w:r w:rsidR="0074505A" w:rsidRPr="001B3779">
              <w:rPr>
                <w:lang w:val="fr-FR"/>
              </w:rPr>
              <w:t>« Abondance des oiseaux marins »</w:t>
            </w:r>
            <w:r w:rsidR="00394DA0" w:rsidRPr="001B3779">
              <w:rPr>
                <w:lang w:val="fr-FR"/>
              </w:rPr>
              <w:t xml:space="preserve"> (</w:t>
            </w:r>
            <w:r w:rsidR="005723FA" w:rsidRPr="001B3779">
              <w:rPr>
                <w:lang w:val="fr-FR"/>
              </w:rPr>
              <w:t>CIEM</w:t>
            </w:r>
            <w:r w:rsidR="00394DA0" w:rsidRPr="001B3779">
              <w:rPr>
                <w:lang w:val="fr-FR"/>
              </w:rPr>
              <w:t xml:space="preserve"> 2013, OSPAR 2017).</w:t>
            </w:r>
          </w:p>
          <w:p w14:paraId="347A70A3" w14:textId="4710C2C6" w:rsidR="00872EFC" w:rsidRPr="001B3779" w:rsidRDefault="00872EFC" w:rsidP="001B6957">
            <w:pPr>
              <w:pStyle w:val="TableParagraph"/>
              <w:rPr>
                <w:sz w:val="20"/>
                <w:lang w:val="fr-FR"/>
              </w:rPr>
            </w:pPr>
          </w:p>
          <w:p w14:paraId="5BFFC947" w14:textId="437BA7E3" w:rsidR="002155CC" w:rsidRPr="001B3779" w:rsidRDefault="00981ACA" w:rsidP="00872EFC">
            <w:pPr>
              <w:pStyle w:val="TableParagraph"/>
              <w:ind w:left="0"/>
              <w:rPr>
                <w:szCs w:val="24"/>
                <w:lang w:val="fr-FR"/>
              </w:rPr>
            </w:pPr>
            <w:r w:rsidRPr="001B3779">
              <w:rPr>
                <w:szCs w:val="24"/>
                <w:lang w:val="fr-FR"/>
              </w:rPr>
              <w:t>Évaluation de l’état menée tous les 6 ans pour chaque espèce</w:t>
            </w:r>
            <w:r w:rsidR="00872EFC" w:rsidRPr="001B3779">
              <w:rPr>
                <w:szCs w:val="24"/>
                <w:lang w:val="fr-FR"/>
              </w:rPr>
              <w:t>.</w:t>
            </w:r>
          </w:p>
          <w:p w14:paraId="304584FE" w14:textId="77777777" w:rsidR="006B7124" w:rsidRPr="001B3779" w:rsidRDefault="006B7124" w:rsidP="00733951">
            <w:pPr>
              <w:pStyle w:val="TableParagraph"/>
              <w:ind w:left="0"/>
              <w:rPr>
                <w:lang w:val="fr-FR"/>
              </w:rPr>
            </w:pPr>
          </w:p>
          <w:p w14:paraId="761FAD5F" w14:textId="113041FC" w:rsidR="006B7124" w:rsidRPr="001B3779" w:rsidRDefault="005323D3" w:rsidP="006B7124">
            <w:pPr>
              <w:pStyle w:val="TableParagraph"/>
              <w:spacing w:before="0"/>
              <w:ind w:left="0" w:right="95"/>
              <w:rPr>
                <w:szCs w:val="24"/>
                <w:lang w:val="fr-FR"/>
              </w:rPr>
            </w:pPr>
            <w:r w:rsidRPr="001B3779">
              <w:rPr>
                <w:szCs w:val="24"/>
                <w:lang w:val="fr-FR"/>
              </w:rPr>
              <w:t>Niveau et portée taxonomiques :</w:t>
            </w:r>
            <w:r w:rsidR="006B7124" w:rsidRPr="001B3779">
              <w:rPr>
                <w:szCs w:val="24"/>
                <w:lang w:val="fr-FR"/>
              </w:rPr>
              <w:t xml:space="preserve"> </w:t>
            </w:r>
            <w:r w:rsidR="007B31D5" w:rsidRPr="001B3779">
              <w:rPr>
                <w:szCs w:val="24"/>
                <w:lang w:val="fr-FR"/>
              </w:rPr>
              <w:t>espèces des groupes BEE suivants de la MSFD– brouteurs, échassiers, animaux se nourrissant en surface, dans les environnements pélagiques et benthiques</w:t>
            </w:r>
          </w:p>
          <w:p w14:paraId="62F85434" w14:textId="6686A305" w:rsidR="001B6957" w:rsidRPr="001B3779" w:rsidRDefault="007B31D5" w:rsidP="004504C2">
            <w:pPr>
              <w:pStyle w:val="TableParagraph"/>
              <w:ind w:left="0"/>
              <w:rPr>
                <w:sz w:val="20"/>
                <w:lang w:val="fr-FR"/>
              </w:rPr>
            </w:pPr>
            <w:r w:rsidRPr="001B3779">
              <w:rPr>
                <w:lang w:val="fr-FR"/>
              </w:rPr>
              <w:t>Échelle </w:t>
            </w:r>
            <w:r w:rsidR="002155CC" w:rsidRPr="001B3779">
              <w:rPr>
                <w:lang w:val="fr-FR"/>
              </w:rPr>
              <w:t xml:space="preserve">:  </w:t>
            </w:r>
            <w:r w:rsidRPr="001B3779">
              <w:rPr>
                <w:lang w:val="fr-FR"/>
              </w:rPr>
              <w:t>Zones côtières de tous les pays bordant la mer Baltique</w:t>
            </w:r>
            <w:r w:rsidR="007E43BD" w:rsidRPr="001B3779">
              <w:rPr>
                <w:lang w:val="fr-FR"/>
              </w:rPr>
              <w:t>.</w:t>
            </w:r>
          </w:p>
        </w:tc>
        <w:tc>
          <w:tcPr>
            <w:tcW w:w="2259" w:type="dxa"/>
          </w:tcPr>
          <w:p w14:paraId="4463306F" w14:textId="13C851B0" w:rsidR="001B6957" w:rsidRPr="001B3779" w:rsidRDefault="00F45051" w:rsidP="001B6957">
            <w:pPr>
              <w:pStyle w:val="TableParagraph"/>
              <w:rPr>
                <w:lang w:val="fr-FR"/>
              </w:rPr>
            </w:pPr>
            <w:r w:rsidRPr="001B3779">
              <w:rPr>
                <w:sz w:val="20"/>
                <w:lang w:val="fr-FR"/>
              </w:rPr>
              <w:t>Les p</w:t>
            </w:r>
            <w:r w:rsidR="00BB052E" w:rsidRPr="001B3779">
              <w:rPr>
                <w:sz w:val="20"/>
                <w:lang w:val="fr-FR"/>
              </w:rPr>
              <w:t>rincipaux indicateurs d’</w:t>
            </w:r>
            <w:r w:rsidR="005C5C9C" w:rsidRPr="001B3779">
              <w:rPr>
                <w:sz w:val="20"/>
                <w:lang w:val="fr-FR"/>
              </w:rPr>
              <w:t xml:space="preserve">HELCOM </w:t>
            </w:r>
            <w:r w:rsidR="00BB052E" w:rsidRPr="001B3779">
              <w:rPr>
                <w:sz w:val="20"/>
                <w:lang w:val="fr-FR"/>
              </w:rPr>
              <w:t>en matière d’abondance des oiseaux d’eau pendant la saison d’hivernage</w:t>
            </w:r>
            <w:r w:rsidR="000A2EBA" w:rsidRPr="001B3779">
              <w:rPr>
                <w:sz w:val="20"/>
                <w:lang w:val="fr-FR"/>
              </w:rPr>
              <w:t xml:space="preserve"> et la saison de reproduction</w:t>
            </w:r>
            <w:r w:rsidR="00C67387" w:rsidRPr="001B3779">
              <w:rPr>
                <w:sz w:val="20"/>
                <w:lang w:val="fr-FR"/>
              </w:rPr>
              <w:t xml:space="preserve"> sont comparés à un niveau de référence passé concernant les </w:t>
            </w:r>
            <w:r w:rsidR="00B1568D" w:rsidRPr="001B3779">
              <w:rPr>
                <w:sz w:val="20"/>
                <w:lang w:val="fr-FR"/>
              </w:rPr>
              <w:t>tendances matière d’abondance des oiseaux d’eau</w:t>
            </w:r>
            <w:r w:rsidR="00872EFC" w:rsidRPr="001B3779">
              <w:rPr>
                <w:lang w:val="fr-FR"/>
              </w:rPr>
              <w:t>.</w:t>
            </w:r>
          </w:p>
          <w:p w14:paraId="119BB7C5" w14:textId="77777777" w:rsidR="00872EFC" w:rsidRPr="001B3779" w:rsidRDefault="00872EFC" w:rsidP="001B6957">
            <w:pPr>
              <w:pStyle w:val="TableParagraph"/>
              <w:rPr>
                <w:sz w:val="20"/>
                <w:lang w:val="fr-FR"/>
              </w:rPr>
            </w:pPr>
          </w:p>
          <w:p w14:paraId="1DE5B4DE" w14:textId="7D7DAE47" w:rsidR="00872EFC" w:rsidRPr="001B3779" w:rsidRDefault="005323D3" w:rsidP="00872EFC">
            <w:pPr>
              <w:pStyle w:val="TableParagraph"/>
              <w:spacing w:before="0"/>
              <w:ind w:left="0" w:right="95"/>
              <w:rPr>
                <w:szCs w:val="24"/>
                <w:lang w:val="fr-FR"/>
              </w:rPr>
            </w:pPr>
            <w:r w:rsidRPr="001B3779">
              <w:rPr>
                <w:szCs w:val="24"/>
                <w:lang w:val="fr-FR"/>
              </w:rPr>
              <w:t>Niveau et portée taxonomiques :</w:t>
            </w:r>
            <w:r w:rsidR="00872EFC" w:rsidRPr="001B3779">
              <w:rPr>
                <w:szCs w:val="24"/>
                <w:lang w:val="fr-FR"/>
              </w:rPr>
              <w:t xml:space="preserve"> </w:t>
            </w:r>
            <w:r w:rsidR="006003CF" w:rsidRPr="001B3779">
              <w:rPr>
                <w:szCs w:val="24"/>
                <w:lang w:val="fr-FR"/>
              </w:rPr>
              <w:t>espèces des groupes BEE suivants de la MSFD – brouteurs, échassiers, animaux se nourrissant en surface, dans les environnements pélagiques et benthiques</w:t>
            </w:r>
          </w:p>
          <w:p w14:paraId="79B5E10E" w14:textId="77777777" w:rsidR="00872EFC" w:rsidRPr="001B3779" w:rsidRDefault="00872EFC" w:rsidP="001B6957">
            <w:pPr>
              <w:pStyle w:val="TableParagraph"/>
              <w:rPr>
                <w:sz w:val="20"/>
                <w:lang w:val="fr-FR"/>
              </w:rPr>
            </w:pPr>
          </w:p>
          <w:p w14:paraId="5187C6DA" w14:textId="67D669D2" w:rsidR="00394DA0" w:rsidRPr="001B3779" w:rsidRDefault="006003CF" w:rsidP="00394DA0">
            <w:pPr>
              <w:pStyle w:val="TableParagraph"/>
              <w:ind w:left="0"/>
              <w:rPr>
                <w:szCs w:val="24"/>
                <w:lang w:val="fr-FR"/>
              </w:rPr>
            </w:pPr>
            <w:r w:rsidRPr="001B3779">
              <w:rPr>
                <w:szCs w:val="24"/>
                <w:lang w:val="fr-FR"/>
              </w:rPr>
              <w:t>Évaluation de l’état menée tous les 6 ans pour chaque espèce</w:t>
            </w:r>
            <w:r w:rsidR="00394DA0" w:rsidRPr="001B3779">
              <w:rPr>
                <w:szCs w:val="24"/>
                <w:lang w:val="fr-FR"/>
              </w:rPr>
              <w:t>.</w:t>
            </w:r>
          </w:p>
          <w:p w14:paraId="6391094D" w14:textId="77777777" w:rsidR="00394DA0" w:rsidRPr="001B3779" w:rsidRDefault="00394DA0" w:rsidP="001B6957">
            <w:pPr>
              <w:pStyle w:val="TableParagraph"/>
              <w:rPr>
                <w:sz w:val="20"/>
                <w:lang w:val="fr-FR"/>
              </w:rPr>
            </w:pPr>
          </w:p>
          <w:p w14:paraId="4E1EB04E" w14:textId="07638BB6" w:rsidR="00394DA0" w:rsidRPr="001B3779" w:rsidRDefault="005323D3" w:rsidP="00394DA0">
            <w:pPr>
              <w:pStyle w:val="TableParagraph"/>
              <w:spacing w:before="0"/>
              <w:ind w:left="0" w:right="95"/>
              <w:rPr>
                <w:szCs w:val="24"/>
                <w:lang w:val="fr-FR"/>
              </w:rPr>
            </w:pPr>
            <w:r w:rsidRPr="001B3779">
              <w:rPr>
                <w:szCs w:val="24"/>
                <w:lang w:val="fr-FR"/>
              </w:rPr>
              <w:t>Niveau et portée taxonomiques :</w:t>
            </w:r>
            <w:r w:rsidR="00394DA0" w:rsidRPr="001B3779">
              <w:rPr>
                <w:szCs w:val="24"/>
                <w:lang w:val="fr-FR"/>
              </w:rPr>
              <w:t xml:space="preserve"> </w:t>
            </w:r>
            <w:r w:rsidR="006003CF" w:rsidRPr="001B3779">
              <w:rPr>
                <w:szCs w:val="24"/>
                <w:lang w:val="fr-FR"/>
              </w:rPr>
              <w:t>espèces des groupes BEE suivants de la MSFD – brouteurs, échassiers, animaux se nourrissant en surface, dans les environnements pélagiques et benthiques</w:t>
            </w:r>
          </w:p>
          <w:p w14:paraId="6BC340C7" w14:textId="12057235" w:rsidR="001B6957" w:rsidRPr="001B3779" w:rsidRDefault="006003CF" w:rsidP="004504C2">
            <w:pPr>
              <w:pStyle w:val="TableParagraph"/>
              <w:ind w:left="0"/>
              <w:rPr>
                <w:sz w:val="20"/>
                <w:lang w:val="fr-FR"/>
              </w:rPr>
            </w:pPr>
            <w:r w:rsidRPr="001B3779">
              <w:rPr>
                <w:lang w:val="fr-FR"/>
              </w:rPr>
              <w:t>Échelle :  Zones côtières de tous les pays bordant la mer Baltique</w:t>
            </w:r>
            <w:r w:rsidR="007E43BD" w:rsidRPr="001B3779">
              <w:rPr>
                <w:lang w:val="fr-FR"/>
              </w:rPr>
              <w:t>.</w:t>
            </w:r>
          </w:p>
        </w:tc>
        <w:tc>
          <w:tcPr>
            <w:tcW w:w="2257" w:type="dxa"/>
          </w:tcPr>
          <w:p w14:paraId="79780FBA" w14:textId="79F04679" w:rsidR="001B6957" w:rsidRPr="001B3779" w:rsidRDefault="00B42F8C" w:rsidP="001B6957">
            <w:pPr>
              <w:pStyle w:val="TableParagraph"/>
              <w:ind w:right="511"/>
              <w:rPr>
                <w:sz w:val="20"/>
                <w:lang w:val="fr-FR"/>
              </w:rPr>
            </w:pPr>
            <w:r w:rsidRPr="001B3779">
              <w:rPr>
                <w:sz w:val="20"/>
                <w:lang w:val="fr-FR"/>
              </w:rPr>
              <w:t>Les données sur la surveillance des sites sont</w:t>
            </w:r>
            <w:r w:rsidR="00A57590" w:rsidRPr="001B3779">
              <w:rPr>
                <w:sz w:val="20"/>
                <w:lang w:val="fr-FR"/>
              </w:rPr>
              <w:t xml:space="preserve"> collectées au niveau national et rentrées dans la base de données d’</w:t>
            </w:r>
            <w:r w:rsidR="003D330B" w:rsidRPr="001B3779">
              <w:rPr>
                <w:sz w:val="20"/>
                <w:lang w:val="fr-FR"/>
              </w:rPr>
              <w:t xml:space="preserve">HELCOM </w:t>
            </w:r>
            <w:r w:rsidR="00A57590" w:rsidRPr="001B3779">
              <w:rPr>
                <w:sz w:val="20"/>
                <w:lang w:val="fr-FR"/>
              </w:rPr>
              <w:t>relative à la biodiversité</w:t>
            </w:r>
            <w:r w:rsidR="0069475A" w:rsidRPr="001B3779">
              <w:rPr>
                <w:sz w:val="20"/>
                <w:lang w:val="fr-FR"/>
              </w:rPr>
              <w:t>.</w:t>
            </w:r>
          </w:p>
          <w:p w14:paraId="3B522040" w14:textId="77777777" w:rsidR="003D330B" w:rsidRPr="001B3779" w:rsidRDefault="003D330B" w:rsidP="0069475A">
            <w:pPr>
              <w:pStyle w:val="TableParagraph"/>
              <w:ind w:left="0" w:right="511"/>
              <w:rPr>
                <w:sz w:val="20"/>
                <w:lang w:val="fr-FR"/>
              </w:rPr>
            </w:pPr>
          </w:p>
          <w:p w14:paraId="3C991618" w14:textId="684021F2" w:rsidR="001B6957" w:rsidRPr="001B3779" w:rsidRDefault="00EB197F" w:rsidP="001B6957">
            <w:pPr>
              <w:pStyle w:val="TableParagraph"/>
              <w:ind w:right="511"/>
              <w:rPr>
                <w:sz w:val="20"/>
                <w:lang w:val="fr-FR"/>
              </w:rPr>
            </w:pPr>
            <w:r w:rsidRPr="001B3779">
              <w:rPr>
                <w:sz w:val="20"/>
                <w:lang w:val="fr-FR"/>
              </w:rPr>
              <w:t xml:space="preserve">Surveillance menée </w:t>
            </w:r>
            <w:r w:rsidR="00D147ED" w:rsidRPr="001B3779">
              <w:rPr>
                <w:sz w:val="20"/>
                <w:lang w:val="fr-FR"/>
              </w:rPr>
              <w:t>conformément au Manuel relatif à la surveillance d’</w:t>
            </w:r>
            <w:r w:rsidR="003E1E04" w:rsidRPr="001B3779">
              <w:rPr>
                <w:lang w:val="fr-FR"/>
              </w:rPr>
              <w:t xml:space="preserve">HELCOM </w:t>
            </w:r>
            <w:r w:rsidR="00D147ED" w:rsidRPr="001B3779">
              <w:rPr>
                <w:lang w:val="fr-FR"/>
              </w:rPr>
              <w:t>dans le sous</w:t>
            </w:r>
            <w:r w:rsidR="003E1E04" w:rsidRPr="001B3779">
              <w:rPr>
                <w:lang w:val="fr-FR"/>
              </w:rPr>
              <w:t>-programme</w:t>
            </w:r>
            <w:r w:rsidR="004452E5" w:rsidRPr="001B3779">
              <w:rPr>
                <w:lang w:val="fr-FR"/>
              </w:rPr>
              <w:t>.</w:t>
            </w:r>
          </w:p>
        </w:tc>
      </w:tr>
      <w:tr w:rsidR="001B6957" w:rsidRPr="001B3779" w14:paraId="45DEEAB2" w14:textId="77777777">
        <w:trPr>
          <w:trHeight w:val="1900"/>
        </w:trPr>
        <w:tc>
          <w:tcPr>
            <w:tcW w:w="2259" w:type="dxa"/>
          </w:tcPr>
          <w:p w14:paraId="61A39036" w14:textId="77777777" w:rsidR="001B6957" w:rsidRPr="001B3779" w:rsidRDefault="001B6957" w:rsidP="001B6957">
            <w:pPr>
              <w:pStyle w:val="TableParagraph"/>
              <w:rPr>
                <w:sz w:val="20"/>
                <w:lang w:val="fr-FR"/>
              </w:rPr>
            </w:pPr>
            <w:r w:rsidRPr="001B3779">
              <w:rPr>
                <w:sz w:val="20"/>
                <w:lang w:val="fr-FR"/>
              </w:rPr>
              <w:lastRenderedPageBreak/>
              <w:t>CAFF</w:t>
            </w:r>
          </w:p>
        </w:tc>
        <w:tc>
          <w:tcPr>
            <w:tcW w:w="2256" w:type="dxa"/>
          </w:tcPr>
          <w:p w14:paraId="5AE043B4" w14:textId="5228C587" w:rsidR="001B6957" w:rsidRPr="001B3779" w:rsidRDefault="00163C54" w:rsidP="001B6957">
            <w:pPr>
              <w:pStyle w:val="TableParagraph"/>
              <w:ind w:right="222"/>
              <w:rPr>
                <w:sz w:val="20"/>
                <w:lang w:val="fr-FR"/>
              </w:rPr>
            </w:pPr>
            <w:r w:rsidRPr="001B3779">
              <w:rPr>
                <w:sz w:val="20"/>
                <w:lang w:val="fr-FR"/>
              </w:rPr>
              <w:t>Rappor</w:t>
            </w:r>
            <w:r w:rsidR="00B6104F" w:rsidRPr="001B3779">
              <w:rPr>
                <w:sz w:val="20"/>
                <w:lang w:val="fr-FR"/>
              </w:rPr>
              <w:t>t</w:t>
            </w:r>
            <w:r w:rsidRPr="001B3779">
              <w:rPr>
                <w:sz w:val="20"/>
                <w:lang w:val="fr-FR"/>
              </w:rPr>
              <w:t xml:space="preserve">s du Groupe </w:t>
            </w:r>
            <w:proofErr w:type="spellStart"/>
            <w:r w:rsidR="003B460E" w:rsidRPr="001B3779">
              <w:rPr>
                <w:sz w:val="20"/>
                <w:lang w:val="fr-FR"/>
              </w:rPr>
              <w:t>C</w:t>
            </w:r>
            <w:r w:rsidR="001B6957" w:rsidRPr="001B3779">
              <w:rPr>
                <w:sz w:val="20"/>
                <w:lang w:val="fr-FR"/>
              </w:rPr>
              <w:t>Bird</w:t>
            </w:r>
            <w:proofErr w:type="spellEnd"/>
            <w:r w:rsidR="001B6957" w:rsidRPr="001B3779">
              <w:rPr>
                <w:sz w:val="20"/>
                <w:lang w:val="fr-FR"/>
              </w:rPr>
              <w:t xml:space="preserve"> </w:t>
            </w:r>
            <w:r w:rsidRPr="001B3779">
              <w:rPr>
                <w:sz w:val="20"/>
                <w:lang w:val="fr-FR"/>
              </w:rPr>
              <w:t>pour l’</w:t>
            </w:r>
            <w:r w:rsidR="001B6957" w:rsidRPr="001B3779">
              <w:rPr>
                <w:sz w:val="20"/>
                <w:lang w:val="fr-FR"/>
              </w:rPr>
              <w:t xml:space="preserve">AEWA </w:t>
            </w:r>
            <w:r w:rsidRPr="001B3779">
              <w:rPr>
                <w:sz w:val="20"/>
                <w:lang w:val="fr-FR"/>
              </w:rPr>
              <w:t>e</w:t>
            </w:r>
            <w:r w:rsidR="001B6957" w:rsidRPr="001B3779">
              <w:rPr>
                <w:sz w:val="20"/>
                <w:lang w:val="fr-FR"/>
              </w:rPr>
              <w:t xml:space="preserve">n 2012 </w:t>
            </w:r>
            <w:r w:rsidRPr="001B3779">
              <w:rPr>
                <w:sz w:val="20"/>
                <w:lang w:val="fr-FR"/>
              </w:rPr>
              <w:t>et</w:t>
            </w:r>
            <w:r w:rsidR="001B6957" w:rsidRPr="001B3779">
              <w:rPr>
                <w:sz w:val="20"/>
                <w:lang w:val="fr-FR"/>
              </w:rPr>
              <w:t xml:space="preserve"> 2015</w:t>
            </w:r>
            <w:r w:rsidR="001B6957" w:rsidRPr="001B3779">
              <w:rPr>
                <w:rStyle w:val="FootnoteReference"/>
                <w:sz w:val="20"/>
                <w:lang w:val="fr-FR"/>
              </w:rPr>
              <w:footnoteReference w:id="3"/>
            </w:r>
            <w:r w:rsidR="002046C1" w:rsidRPr="001B3779">
              <w:rPr>
                <w:sz w:val="20"/>
                <w:lang w:val="fr-FR"/>
              </w:rPr>
              <w:t xml:space="preserve"> </w:t>
            </w:r>
            <w:r w:rsidR="00CB5564" w:rsidRPr="001B3779">
              <w:rPr>
                <w:sz w:val="20"/>
                <w:lang w:val="fr-FR"/>
              </w:rPr>
              <w:t>et divers rapports pour les espèces clés</w:t>
            </w:r>
            <w:r w:rsidR="002046C1" w:rsidRPr="001B3779">
              <w:rPr>
                <w:sz w:val="20"/>
                <w:lang w:val="fr-FR"/>
              </w:rPr>
              <w:t>.</w:t>
            </w:r>
          </w:p>
          <w:p w14:paraId="6892334B" w14:textId="77777777" w:rsidR="001B6957" w:rsidRPr="001B3779" w:rsidRDefault="001B6957" w:rsidP="001B6957">
            <w:pPr>
              <w:pStyle w:val="TableParagraph"/>
              <w:spacing w:before="0"/>
              <w:ind w:left="0"/>
              <w:rPr>
                <w:lang w:val="fr-FR"/>
              </w:rPr>
            </w:pPr>
          </w:p>
          <w:p w14:paraId="4745B051" w14:textId="609494EE" w:rsidR="002E431D" w:rsidRPr="001B3779" w:rsidRDefault="005617AD" w:rsidP="001B6957">
            <w:pPr>
              <w:pStyle w:val="TableParagraph"/>
              <w:spacing w:before="134" w:line="242" w:lineRule="auto"/>
              <w:ind w:right="166"/>
              <w:rPr>
                <w:sz w:val="20"/>
                <w:lang w:val="fr-FR"/>
              </w:rPr>
            </w:pPr>
            <w:r w:rsidRPr="001B3779">
              <w:rPr>
                <w:sz w:val="20"/>
                <w:lang w:val="fr-FR"/>
              </w:rPr>
              <w:t>Le</w:t>
            </w:r>
            <w:r w:rsidRPr="001B3779">
              <w:rPr>
                <w:lang w:val="fr-FR"/>
              </w:rPr>
              <w:t xml:space="preserve"> </w:t>
            </w:r>
            <w:r w:rsidRPr="001B3779">
              <w:rPr>
                <w:sz w:val="20"/>
                <w:lang w:val="fr-FR"/>
              </w:rPr>
              <w:t>Programme de surveillance de la biodiversité circumpolaire</w:t>
            </w:r>
            <w:r w:rsidR="001B6957" w:rsidRPr="001B3779">
              <w:rPr>
                <w:sz w:val="20"/>
                <w:lang w:val="fr-FR"/>
              </w:rPr>
              <w:t xml:space="preserve"> (CBMP)</w:t>
            </w:r>
            <w:r w:rsidR="003B460E" w:rsidRPr="001B3779">
              <w:rPr>
                <w:sz w:val="20"/>
                <w:lang w:val="fr-FR"/>
              </w:rPr>
              <w:t xml:space="preserve"> (</w:t>
            </w:r>
            <w:r w:rsidRPr="001B3779">
              <w:rPr>
                <w:sz w:val="20"/>
                <w:lang w:val="fr-FR"/>
              </w:rPr>
              <w:t>dont</w:t>
            </w:r>
            <w:r w:rsidR="003B460E" w:rsidRPr="001B3779">
              <w:rPr>
                <w:sz w:val="20"/>
                <w:lang w:val="fr-FR"/>
              </w:rPr>
              <w:t xml:space="preserve"> </w:t>
            </w:r>
            <w:proofErr w:type="spellStart"/>
            <w:r w:rsidR="003B460E" w:rsidRPr="001B3779">
              <w:rPr>
                <w:sz w:val="20"/>
                <w:lang w:val="fr-FR"/>
              </w:rPr>
              <w:t>CBird</w:t>
            </w:r>
            <w:proofErr w:type="spellEnd"/>
            <w:r w:rsidR="003B460E" w:rsidRPr="001B3779">
              <w:rPr>
                <w:sz w:val="20"/>
                <w:lang w:val="fr-FR"/>
              </w:rPr>
              <w:t xml:space="preserve"> </w:t>
            </w:r>
            <w:r w:rsidRPr="001B3779">
              <w:rPr>
                <w:sz w:val="20"/>
                <w:lang w:val="fr-FR"/>
              </w:rPr>
              <w:t>fait partie</w:t>
            </w:r>
            <w:r w:rsidR="003B460E" w:rsidRPr="001B3779">
              <w:rPr>
                <w:sz w:val="20"/>
                <w:lang w:val="fr-FR"/>
              </w:rPr>
              <w:t>)</w:t>
            </w:r>
            <w:r w:rsidR="00EF05F3" w:rsidRPr="001B3779">
              <w:rPr>
                <w:sz w:val="20"/>
                <w:lang w:val="fr-FR"/>
              </w:rPr>
              <w:t xml:space="preserve">. </w:t>
            </w:r>
            <w:r w:rsidR="008971A0" w:rsidRPr="001B3779">
              <w:rPr>
                <w:sz w:val="20"/>
                <w:lang w:val="fr-FR"/>
              </w:rPr>
              <w:t>Surveillance des Composants essentiels</w:t>
            </w:r>
            <w:r w:rsidR="00FB741B" w:rsidRPr="001B3779">
              <w:rPr>
                <w:sz w:val="20"/>
                <w:lang w:val="fr-FR"/>
              </w:rPr>
              <w:t xml:space="preserve"> de l’écosystème</w:t>
            </w:r>
            <w:r w:rsidR="00EF05F3" w:rsidRPr="001B3779">
              <w:rPr>
                <w:sz w:val="20"/>
                <w:lang w:val="fr-FR"/>
              </w:rPr>
              <w:t xml:space="preserve"> (FEC)</w:t>
            </w:r>
            <w:r w:rsidR="00FB741B" w:rsidRPr="001B3779">
              <w:rPr>
                <w:sz w:val="20"/>
                <w:lang w:val="fr-FR"/>
              </w:rPr>
              <w:t xml:space="preserve">, y </w:t>
            </w:r>
            <w:r w:rsidR="003B31C8" w:rsidRPr="001B3779">
              <w:rPr>
                <w:sz w:val="20"/>
                <w:lang w:val="fr-FR"/>
              </w:rPr>
              <w:t>compris les attributs essentiels et recommandés</w:t>
            </w:r>
            <w:r w:rsidR="002E431D" w:rsidRPr="001B3779">
              <w:rPr>
                <w:sz w:val="20"/>
                <w:lang w:val="fr-FR"/>
              </w:rPr>
              <w:t xml:space="preserve">. </w:t>
            </w:r>
          </w:p>
          <w:p w14:paraId="632646F1" w14:textId="39151A66" w:rsidR="002E431D" w:rsidRPr="001B3779" w:rsidRDefault="002E431D" w:rsidP="001B6957">
            <w:pPr>
              <w:pStyle w:val="TableParagraph"/>
              <w:spacing w:before="134" w:line="242" w:lineRule="auto"/>
              <w:ind w:right="166"/>
              <w:rPr>
                <w:sz w:val="20"/>
                <w:lang w:val="fr-FR"/>
              </w:rPr>
            </w:pPr>
            <w:r w:rsidRPr="001B3779">
              <w:rPr>
                <w:sz w:val="20"/>
                <w:lang w:val="fr-FR"/>
              </w:rPr>
              <w:t xml:space="preserve">CBMP </w:t>
            </w:r>
            <w:r w:rsidR="00A24988">
              <w:rPr>
                <w:sz w:val="20"/>
                <w:lang w:val="fr-FR"/>
              </w:rPr>
              <w:t>M</w:t>
            </w:r>
            <w:r w:rsidR="00973508" w:rsidRPr="001B3779">
              <w:rPr>
                <w:sz w:val="20"/>
                <w:lang w:val="fr-FR"/>
              </w:rPr>
              <w:t>arin </w:t>
            </w:r>
            <w:r w:rsidR="00EF05F3" w:rsidRPr="001B3779">
              <w:rPr>
                <w:sz w:val="20"/>
                <w:lang w:val="fr-FR"/>
              </w:rPr>
              <w:t xml:space="preserve">: </w:t>
            </w:r>
            <w:r w:rsidR="007825A2" w:rsidRPr="001B3779">
              <w:rPr>
                <w:sz w:val="20"/>
                <w:lang w:val="fr-FR"/>
              </w:rPr>
              <w:t xml:space="preserve">les FEC des oiseaux marins incluent </w:t>
            </w:r>
            <w:r w:rsidR="005C6A2B" w:rsidRPr="001B3779">
              <w:rPr>
                <w:sz w:val="20"/>
                <w:lang w:val="fr-FR"/>
              </w:rPr>
              <w:t>d</w:t>
            </w:r>
            <w:r w:rsidR="007825A2" w:rsidRPr="001B3779">
              <w:rPr>
                <w:sz w:val="20"/>
                <w:lang w:val="fr-FR"/>
              </w:rPr>
              <w:t>es</w:t>
            </w:r>
            <w:r w:rsidR="00EF05F3" w:rsidRPr="001B3779">
              <w:rPr>
                <w:sz w:val="20"/>
                <w:lang w:val="fr-FR"/>
              </w:rPr>
              <w:t xml:space="preserve"> omnivores (</w:t>
            </w:r>
            <w:r w:rsidR="005B5746" w:rsidRPr="001B3779">
              <w:rPr>
                <w:sz w:val="20"/>
                <w:lang w:val="fr-FR"/>
              </w:rPr>
              <w:t>goéland bourgmestre</w:t>
            </w:r>
            <w:r w:rsidR="00EF05F3" w:rsidRPr="001B3779">
              <w:rPr>
                <w:sz w:val="20"/>
                <w:lang w:val="fr-FR"/>
              </w:rPr>
              <w:t xml:space="preserve">, </w:t>
            </w:r>
            <w:r w:rsidR="00CE7DEE" w:rsidRPr="001B3779">
              <w:rPr>
                <w:sz w:val="20"/>
                <w:lang w:val="fr-FR"/>
              </w:rPr>
              <w:t>mouette blanche</w:t>
            </w:r>
            <w:r w:rsidR="00EF05F3" w:rsidRPr="001B3779">
              <w:rPr>
                <w:sz w:val="20"/>
                <w:lang w:val="fr-FR"/>
              </w:rPr>
              <w:t xml:space="preserve">), </w:t>
            </w:r>
            <w:r w:rsidR="005C6A2B" w:rsidRPr="001B3779">
              <w:rPr>
                <w:sz w:val="20"/>
                <w:lang w:val="fr-FR"/>
              </w:rPr>
              <w:t>d</w:t>
            </w:r>
            <w:r w:rsidR="004A0E87" w:rsidRPr="001B3779">
              <w:rPr>
                <w:sz w:val="20"/>
                <w:lang w:val="fr-FR"/>
              </w:rPr>
              <w:t>es plan</w:t>
            </w:r>
            <w:r w:rsidR="006826A1" w:rsidRPr="001B3779">
              <w:rPr>
                <w:sz w:val="20"/>
                <w:lang w:val="fr-FR"/>
              </w:rPr>
              <w:t>c</w:t>
            </w:r>
            <w:r w:rsidR="004A0E87" w:rsidRPr="001B3779">
              <w:rPr>
                <w:sz w:val="20"/>
                <w:lang w:val="fr-FR"/>
              </w:rPr>
              <w:t>tonivores plongeurs</w:t>
            </w:r>
            <w:r w:rsidR="00EF05F3" w:rsidRPr="001B3779">
              <w:rPr>
                <w:sz w:val="20"/>
                <w:lang w:val="fr-FR"/>
              </w:rPr>
              <w:t xml:space="preserve"> (</w:t>
            </w:r>
            <w:r w:rsidR="006D512A" w:rsidRPr="001B3779">
              <w:rPr>
                <w:sz w:val="20"/>
                <w:lang w:val="fr-FR"/>
              </w:rPr>
              <w:t>starique minuscule</w:t>
            </w:r>
            <w:r w:rsidR="00EF05F3" w:rsidRPr="001B3779">
              <w:rPr>
                <w:sz w:val="20"/>
                <w:lang w:val="fr-FR"/>
              </w:rPr>
              <w:t xml:space="preserve">, </w:t>
            </w:r>
            <w:r w:rsidR="00EE0BD2" w:rsidRPr="001B3779">
              <w:rPr>
                <w:sz w:val="20"/>
                <w:lang w:val="fr-FR"/>
              </w:rPr>
              <w:t>mergule nain</w:t>
            </w:r>
            <w:r w:rsidR="00EF05F3" w:rsidRPr="001B3779">
              <w:rPr>
                <w:sz w:val="20"/>
                <w:lang w:val="fr-FR"/>
              </w:rPr>
              <w:t xml:space="preserve">), </w:t>
            </w:r>
            <w:r w:rsidR="005C6A2B" w:rsidRPr="001B3779">
              <w:rPr>
                <w:sz w:val="20"/>
                <w:lang w:val="fr-FR"/>
              </w:rPr>
              <w:t>d</w:t>
            </w:r>
            <w:r w:rsidR="00805334" w:rsidRPr="001B3779">
              <w:rPr>
                <w:sz w:val="20"/>
                <w:lang w:val="fr-FR"/>
              </w:rPr>
              <w:t>es piscivores plongeurs</w:t>
            </w:r>
            <w:r w:rsidR="00EF05F3" w:rsidRPr="001B3779">
              <w:rPr>
                <w:sz w:val="20"/>
                <w:lang w:val="fr-FR"/>
              </w:rPr>
              <w:t xml:space="preserve"> (</w:t>
            </w:r>
            <w:r w:rsidR="00330C5C" w:rsidRPr="001B3779">
              <w:rPr>
                <w:sz w:val="20"/>
                <w:lang w:val="fr-FR"/>
              </w:rPr>
              <w:t xml:space="preserve">guillemot </w:t>
            </w:r>
            <w:proofErr w:type="spellStart"/>
            <w:r w:rsidR="00330C5C" w:rsidRPr="001B3779">
              <w:rPr>
                <w:sz w:val="20"/>
                <w:lang w:val="fr-FR"/>
              </w:rPr>
              <w:t>marmette</w:t>
            </w:r>
            <w:proofErr w:type="spellEnd"/>
            <w:r w:rsidR="00EF05F3" w:rsidRPr="001B3779">
              <w:rPr>
                <w:sz w:val="20"/>
                <w:lang w:val="fr-FR"/>
              </w:rPr>
              <w:t xml:space="preserve">, </w:t>
            </w:r>
            <w:r w:rsidR="00883EF5" w:rsidRPr="001B3779">
              <w:rPr>
                <w:sz w:val="20"/>
                <w:lang w:val="fr-FR"/>
              </w:rPr>
              <w:t xml:space="preserve">guillemot de </w:t>
            </w:r>
            <w:proofErr w:type="spellStart"/>
            <w:r w:rsidR="00883EF5" w:rsidRPr="001B3779">
              <w:rPr>
                <w:sz w:val="20"/>
                <w:lang w:val="fr-FR"/>
              </w:rPr>
              <w:t>Brünnich</w:t>
            </w:r>
            <w:proofErr w:type="spellEnd"/>
            <w:r w:rsidR="00EF05F3" w:rsidRPr="001B3779">
              <w:rPr>
                <w:sz w:val="20"/>
                <w:lang w:val="fr-FR"/>
              </w:rPr>
              <w:t xml:space="preserve">), </w:t>
            </w:r>
            <w:r w:rsidR="005C6A2B" w:rsidRPr="001B3779">
              <w:rPr>
                <w:sz w:val="20"/>
                <w:lang w:val="fr-FR"/>
              </w:rPr>
              <w:t>d</w:t>
            </w:r>
            <w:r w:rsidR="008939C6" w:rsidRPr="001B3779">
              <w:rPr>
                <w:sz w:val="20"/>
                <w:lang w:val="fr-FR"/>
              </w:rPr>
              <w:t xml:space="preserve">es piscivores de </w:t>
            </w:r>
            <w:r w:rsidR="00EF05F3" w:rsidRPr="001B3779">
              <w:rPr>
                <w:sz w:val="20"/>
                <w:lang w:val="fr-FR"/>
              </w:rPr>
              <w:t>surface (</w:t>
            </w:r>
            <w:r w:rsidR="00414108" w:rsidRPr="001B3779">
              <w:rPr>
                <w:sz w:val="20"/>
                <w:lang w:val="fr-FR"/>
              </w:rPr>
              <w:t>m</w:t>
            </w:r>
            <w:r w:rsidR="00407461" w:rsidRPr="001B3779">
              <w:rPr>
                <w:sz w:val="20"/>
                <w:lang w:val="fr-FR"/>
              </w:rPr>
              <w:t>ouette tridactyle</w:t>
            </w:r>
            <w:r w:rsidR="00EF05F3" w:rsidRPr="001B3779">
              <w:rPr>
                <w:sz w:val="20"/>
                <w:lang w:val="fr-FR"/>
              </w:rPr>
              <w:t xml:space="preserve">), </w:t>
            </w:r>
            <w:r w:rsidR="005C6A2B" w:rsidRPr="001B3779">
              <w:rPr>
                <w:sz w:val="20"/>
                <w:lang w:val="fr-FR"/>
              </w:rPr>
              <w:t>d</w:t>
            </w:r>
            <w:r w:rsidR="00B54446" w:rsidRPr="001B3779">
              <w:rPr>
                <w:sz w:val="20"/>
                <w:lang w:val="fr-FR"/>
              </w:rPr>
              <w:t xml:space="preserve">es </w:t>
            </w:r>
            <w:proofErr w:type="spellStart"/>
            <w:r w:rsidR="00EF05F3" w:rsidRPr="001B3779">
              <w:rPr>
                <w:sz w:val="20"/>
                <w:lang w:val="fr-FR"/>
              </w:rPr>
              <w:t>benthivore</w:t>
            </w:r>
            <w:r w:rsidR="00B54446" w:rsidRPr="001B3779">
              <w:rPr>
                <w:sz w:val="20"/>
                <w:lang w:val="fr-FR"/>
              </w:rPr>
              <w:t>s</w:t>
            </w:r>
            <w:proofErr w:type="spellEnd"/>
            <w:r w:rsidR="00EF05F3" w:rsidRPr="001B3779">
              <w:rPr>
                <w:sz w:val="20"/>
                <w:lang w:val="fr-FR"/>
              </w:rPr>
              <w:t xml:space="preserve"> (eider</w:t>
            </w:r>
            <w:r w:rsidR="00695DC5" w:rsidRPr="001B3779">
              <w:rPr>
                <w:sz w:val="20"/>
                <w:lang w:val="fr-FR"/>
              </w:rPr>
              <w:t xml:space="preserve"> à duvet</w:t>
            </w:r>
            <w:r w:rsidR="00EF05F3" w:rsidRPr="001B3779">
              <w:rPr>
                <w:sz w:val="20"/>
                <w:lang w:val="fr-FR"/>
              </w:rPr>
              <w:t>)</w:t>
            </w:r>
            <w:r w:rsidR="00B822FC" w:rsidRPr="001B3779">
              <w:rPr>
                <w:sz w:val="20"/>
                <w:lang w:val="fr-FR"/>
              </w:rPr>
              <w:t xml:space="preserve">, </w:t>
            </w:r>
            <w:r w:rsidR="00235ADD" w:rsidRPr="001B3779">
              <w:rPr>
                <w:sz w:val="20"/>
                <w:lang w:val="fr-FR"/>
              </w:rPr>
              <w:t>et l’ajout récent</w:t>
            </w:r>
            <w:r w:rsidR="00EA1F49" w:rsidRPr="001B3779">
              <w:rPr>
                <w:sz w:val="20"/>
                <w:lang w:val="fr-FR"/>
              </w:rPr>
              <w:t xml:space="preserve"> du fulmar boréal et</w:t>
            </w:r>
            <w:r w:rsidR="000965B3" w:rsidRPr="001B3779">
              <w:rPr>
                <w:sz w:val="20"/>
                <w:lang w:val="fr-FR"/>
              </w:rPr>
              <w:t xml:space="preserve"> de l’océanite cul-blanc</w:t>
            </w:r>
            <w:r w:rsidR="00B822FC" w:rsidRPr="001B3779">
              <w:rPr>
                <w:sz w:val="20"/>
                <w:lang w:val="fr-FR"/>
              </w:rPr>
              <w:t>.</w:t>
            </w:r>
          </w:p>
          <w:p w14:paraId="7619EFDA" w14:textId="4BCA9075" w:rsidR="001B6957" w:rsidRPr="001B3779" w:rsidRDefault="002E431D" w:rsidP="001B6957">
            <w:pPr>
              <w:pStyle w:val="TableParagraph"/>
              <w:spacing w:before="134" w:line="242" w:lineRule="auto"/>
              <w:ind w:right="166"/>
              <w:rPr>
                <w:sz w:val="20"/>
                <w:lang w:val="fr-FR"/>
              </w:rPr>
            </w:pPr>
            <w:r w:rsidRPr="001B3779">
              <w:rPr>
                <w:sz w:val="20"/>
                <w:lang w:val="fr-FR"/>
              </w:rPr>
              <w:t xml:space="preserve">CBMP </w:t>
            </w:r>
            <w:r w:rsidR="0053013A" w:rsidRPr="001B3779">
              <w:rPr>
                <w:sz w:val="20"/>
                <w:lang w:val="fr-FR"/>
              </w:rPr>
              <w:t>Terrestre </w:t>
            </w:r>
            <w:r w:rsidRPr="001B3779">
              <w:rPr>
                <w:sz w:val="20"/>
                <w:lang w:val="fr-FR"/>
              </w:rPr>
              <w:t>:</w:t>
            </w:r>
            <w:r w:rsidR="00EF05F3" w:rsidRPr="001B3779">
              <w:rPr>
                <w:sz w:val="20"/>
                <w:lang w:val="fr-FR"/>
              </w:rPr>
              <w:t xml:space="preserve"> </w:t>
            </w:r>
            <w:r w:rsidR="0053013A" w:rsidRPr="001B3779">
              <w:rPr>
                <w:sz w:val="20"/>
                <w:lang w:val="fr-FR"/>
              </w:rPr>
              <w:t>les</w:t>
            </w:r>
            <w:r w:rsidR="00EF05F3" w:rsidRPr="001B3779">
              <w:rPr>
                <w:sz w:val="20"/>
                <w:lang w:val="fr-FR"/>
              </w:rPr>
              <w:t xml:space="preserve"> FEC </w:t>
            </w:r>
            <w:r w:rsidR="0053013A" w:rsidRPr="001B3779">
              <w:rPr>
                <w:sz w:val="20"/>
                <w:lang w:val="fr-FR"/>
              </w:rPr>
              <w:t>des oiseaux inclue</w:t>
            </w:r>
            <w:r w:rsidR="005C6A2B" w:rsidRPr="001B3779">
              <w:rPr>
                <w:sz w:val="20"/>
                <w:lang w:val="fr-FR"/>
              </w:rPr>
              <w:t>n</w:t>
            </w:r>
            <w:r w:rsidR="0053013A" w:rsidRPr="001B3779">
              <w:rPr>
                <w:sz w:val="20"/>
                <w:lang w:val="fr-FR"/>
              </w:rPr>
              <w:t xml:space="preserve">t </w:t>
            </w:r>
            <w:r w:rsidR="005C6A2B" w:rsidRPr="001B3779">
              <w:rPr>
                <w:sz w:val="20"/>
                <w:lang w:val="fr-FR"/>
              </w:rPr>
              <w:t>des</w:t>
            </w:r>
            <w:r w:rsidRPr="001B3779">
              <w:rPr>
                <w:sz w:val="20"/>
                <w:lang w:val="fr-FR"/>
              </w:rPr>
              <w:t xml:space="preserve"> </w:t>
            </w:r>
            <w:r w:rsidR="00EF05F3" w:rsidRPr="001B3779">
              <w:rPr>
                <w:sz w:val="20"/>
                <w:lang w:val="fr-FR"/>
              </w:rPr>
              <w:t>herbivores (</w:t>
            </w:r>
            <w:r w:rsidR="00612C11" w:rsidRPr="001B3779">
              <w:rPr>
                <w:sz w:val="20"/>
                <w:lang w:val="fr-FR"/>
              </w:rPr>
              <w:t>lagopède alpin</w:t>
            </w:r>
            <w:r w:rsidR="00EF05F3" w:rsidRPr="001B3779">
              <w:rPr>
                <w:sz w:val="20"/>
                <w:lang w:val="fr-FR"/>
              </w:rPr>
              <w:t xml:space="preserve">, </w:t>
            </w:r>
            <w:r w:rsidR="000E13E1" w:rsidRPr="001B3779">
              <w:rPr>
                <w:sz w:val="20"/>
                <w:lang w:val="fr-FR"/>
              </w:rPr>
              <w:t>oies</w:t>
            </w:r>
            <w:r w:rsidR="00EF05F3" w:rsidRPr="001B3779">
              <w:rPr>
                <w:sz w:val="20"/>
                <w:lang w:val="fr-FR"/>
              </w:rPr>
              <w:t xml:space="preserve">), </w:t>
            </w:r>
            <w:r w:rsidR="005D78D7" w:rsidRPr="001B3779">
              <w:rPr>
                <w:sz w:val="20"/>
                <w:lang w:val="fr-FR"/>
              </w:rPr>
              <w:t xml:space="preserve">des </w:t>
            </w:r>
            <w:r w:rsidRPr="001B3779">
              <w:rPr>
                <w:sz w:val="20"/>
                <w:lang w:val="fr-FR"/>
              </w:rPr>
              <w:t>insectivores</w:t>
            </w:r>
            <w:r w:rsidR="00EF05F3" w:rsidRPr="001B3779">
              <w:rPr>
                <w:sz w:val="20"/>
                <w:lang w:val="fr-FR"/>
              </w:rPr>
              <w:t xml:space="preserve"> (</w:t>
            </w:r>
            <w:r w:rsidR="00C82AD9" w:rsidRPr="001B3779">
              <w:rPr>
                <w:sz w:val="20"/>
                <w:lang w:val="fr-FR"/>
              </w:rPr>
              <w:t>échassiers</w:t>
            </w:r>
            <w:r w:rsidR="00EF05F3" w:rsidRPr="001B3779">
              <w:rPr>
                <w:sz w:val="20"/>
                <w:lang w:val="fr-FR"/>
              </w:rPr>
              <w:t>, pass</w:t>
            </w:r>
            <w:r w:rsidR="00C625F5" w:rsidRPr="001B3779">
              <w:rPr>
                <w:sz w:val="20"/>
                <w:lang w:val="fr-FR"/>
              </w:rPr>
              <w:t>é</w:t>
            </w:r>
            <w:r w:rsidR="00EF05F3" w:rsidRPr="001B3779">
              <w:rPr>
                <w:sz w:val="20"/>
                <w:lang w:val="fr-FR"/>
              </w:rPr>
              <w:t>ri</w:t>
            </w:r>
            <w:r w:rsidR="00C625F5" w:rsidRPr="001B3779">
              <w:rPr>
                <w:sz w:val="20"/>
                <w:lang w:val="fr-FR"/>
              </w:rPr>
              <w:t>formes</w:t>
            </w:r>
            <w:r w:rsidR="00EF05F3" w:rsidRPr="001B3779">
              <w:rPr>
                <w:sz w:val="20"/>
                <w:lang w:val="fr-FR"/>
              </w:rPr>
              <w:t>)</w:t>
            </w:r>
            <w:r w:rsidRPr="001B3779">
              <w:rPr>
                <w:sz w:val="20"/>
                <w:lang w:val="fr-FR"/>
              </w:rPr>
              <w:t xml:space="preserve">, </w:t>
            </w:r>
            <w:r w:rsidR="007E6F0B">
              <w:rPr>
                <w:sz w:val="20"/>
                <w:lang w:val="fr-FR"/>
              </w:rPr>
              <w:t xml:space="preserve">des </w:t>
            </w:r>
            <w:r w:rsidRPr="001B3779">
              <w:rPr>
                <w:sz w:val="20"/>
                <w:lang w:val="fr-FR"/>
              </w:rPr>
              <w:t>carnivores</w:t>
            </w:r>
            <w:r w:rsidR="00EF05F3" w:rsidRPr="001B3779">
              <w:rPr>
                <w:sz w:val="20"/>
                <w:lang w:val="fr-FR"/>
              </w:rPr>
              <w:t xml:space="preserve"> (fa</w:t>
            </w:r>
            <w:r w:rsidR="00C625F5" w:rsidRPr="001B3779">
              <w:rPr>
                <w:sz w:val="20"/>
                <w:lang w:val="fr-FR"/>
              </w:rPr>
              <w:t>u</w:t>
            </w:r>
            <w:r w:rsidR="00EF05F3" w:rsidRPr="001B3779">
              <w:rPr>
                <w:sz w:val="20"/>
                <w:lang w:val="fr-FR"/>
              </w:rPr>
              <w:t xml:space="preserve">cons, </w:t>
            </w:r>
            <w:r w:rsidR="00C625F5" w:rsidRPr="001B3779">
              <w:rPr>
                <w:sz w:val="20"/>
                <w:lang w:val="fr-FR"/>
              </w:rPr>
              <w:t>strigiformes</w:t>
            </w:r>
            <w:r w:rsidR="00EF05F3" w:rsidRPr="001B3779">
              <w:rPr>
                <w:sz w:val="20"/>
                <w:lang w:val="fr-FR"/>
              </w:rPr>
              <w:t xml:space="preserve">, </w:t>
            </w:r>
            <w:r w:rsidR="00D80E66" w:rsidRPr="001B3779">
              <w:rPr>
                <w:sz w:val="20"/>
                <w:lang w:val="fr-FR"/>
              </w:rPr>
              <w:t>buses</w:t>
            </w:r>
            <w:r w:rsidR="00EF05F3" w:rsidRPr="001B3779">
              <w:rPr>
                <w:sz w:val="20"/>
                <w:lang w:val="fr-FR"/>
              </w:rPr>
              <w:t xml:space="preserve">, </w:t>
            </w:r>
            <w:r w:rsidR="00652622" w:rsidRPr="001B3779">
              <w:rPr>
                <w:sz w:val="20"/>
                <w:lang w:val="fr-FR"/>
              </w:rPr>
              <w:t>labbes</w:t>
            </w:r>
            <w:r w:rsidR="00EF05F3" w:rsidRPr="001B3779">
              <w:rPr>
                <w:sz w:val="20"/>
                <w:lang w:val="fr-FR"/>
              </w:rPr>
              <w:t>)</w:t>
            </w:r>
            <w:r w:rsidRPr="001B3779">
              <w:rPr>
                <w:sz w:val="20"/>
                <w:lang w:val="fr-FR"/>
              </w:rPr>
              <w:t>,</w:t>
            </w:r>
            <w:r w:rsidR="00CA5518" w:rsidRPr="001B3779">
              <w:rPr>
                <w:sz w:val="20"/>
                <w:lang w:val="fr-FR"/>
              </w:rPr>
              <w:t xml:space="preserve"> des</w:t>
            </w:r>
            <w:r w:rsidRPr="001B3779">
              <w:rPr>
                <w:sz w:val="20"/>
                <w:lang w:val="fr-FR"/>
              </w:rPr>
              <w:t xml:space="preserve"> omnivores</w:t>
            </w:r>
            <w:r w:rsidR="00EF05F3" w:rsidRPr="001B3779">
              <w:rPr>
                <w:sz w:val="20"/>
                <w:lang w:val="fr-FR"/>
              </w:rPr>
              <w:t xml:space="preserve"> (</w:t>
            </w:r>
            <w:r w:rsidR="00CA5518" w:rsidRPr="001B3779">
              <w:rPr>
                <w:sz w:val="20"/>
                <w:lang w:val="fr-FR"/>
              </w:rPr>
              <w:t>grues</w:t>
            </w:r>
            <w:r w:rsidR="00EF05F3" w:rsidRPr="001B3779">
              <w:rPr>
                <w:sz w:val="20"/>
                <w:lang w:val="fr-FR"/>
              </w:rPr>
              <w:t xml:space="preserve">, </w:t>
            </w:r>
            <w:r w:rsidR="00CA5518" w:rsidRPr="001B3779">
              <w:rPr>
                <w:sz w:val="20"/>
                <w:lang w:val="fr-FR"/>
              </w:rPr>
              <w:t>canards</w:t>
            </w:r>
            <w:r w:rsidR="00EF05F3" w:rsidRPr="001B3779">
              <w:rPr>
                <w:sz w:val="20"/>
                <w:lang w:val="fr-FR"/>
              </w:rPr>
              <w:t xml:space="preserve">, </w:t>
            </w:r>
            <w:r w:rsidR="00CA5518" w:rsidRPr="001B3779">
              <w:rPr>
                <w:sz w:val="20"/>
                <w:lang w:val="fr-FR"/>
              </w:rPr>
              <w:t>corbeaux</w:t>
            </w:r>
            <w:r w:rsidR="00EF05F3" w:rsidRPr="001B3779">
              <w:rPr>
                <w:sz w:val="20"/>
                <w:lang w:val="fr-FR"/>
              </w:rPr>
              <w:t xml:space="preserve">). </w:t>
            </w:r>
            <w:r w:rsidR="000C57DD" w:rsidRPr="001B3779">
              <w:rPr>
                <w:sz w:val="20"/>
                <w:lang w:val="fr-FR"/>
              </w:rPr>
              <w:t>Divers</w:t>
            </w:r>
            <w:r w:rsidR="00EF05F3" w:rsidRPr="001B3779">
              <w:rPr>
                <w:sz w:val="20"/>
                <w:lang w:val="fr-FR"/>
              </w:rPr>
              <w:t xml:space="preserve"> attributs (</w:t>
            </w:r>
            <w:r w:rsidRPr="001B3779">
              <w:rPr>
                <w:sz w:val="20"/>
                <w:lang w:val="fr-FR"/>
              </w:rPr>
              <w:t>ab</w:t>
            </w:r>
            <w:r w:rsidR="000C57DD" w:rsidRPr="001B3779">
              <w:rPr>
                <w:sz w:val="20"/>
                <w:lang w:val="fr-FR"/>
              </w:rPr>
              <w:t>o</w:t>
            </w:r>
            <w:r w:rsidRPr="001B3779">
              <w:rPr>
                <w:sz w:val="20"/>
                <w:lang w:val="fr-FR"/>
              </w:rPr>
              <w:t xml:space="preserve">ndance, </w:t>
            </w:r>
            <w:r w:rsidR="000C57DD" w:rsidRPr="001B3779">
              <w:rPr>
                <w:sz w:val="20"/>
                <w:lang w:val="fr-FR"/>
              </w:rPr>
              <w:t>démographie</w:t>
            </w:r>
            <w:r w:rsidR="00EF05F3" w:rsidRPr="001B3779">
              <w:rPr>
                <w:sz w:val="20"/>
                <w:lang w:val="fr-FR"/>
              </w:rPr>
              <w:t>, ph</w:t>
            </w:r>
            <w:r w:rsidR="00F82375" w:rsidRPr="001B3779">
              <w:rPr>
                <w:sz w:val="20"/>
                <w:lang w:val="fr-FR"/>
              </w:rPr>
              <w:t>é</w:t>
            </w:r>
            <w:r w:rsidR="00EF05F3" w:rsidRPr="001B3779">
              <w:rPr>
                <w:sz w:val="20"/>
                <w:lang w:val="fr-FR"/>
              </w:rPr>
              <w:t>nolog</w:t>
            </w:r>
            <w:r w:rsidR="00F82375" w:rsidRPr="001B3779">
              <w:rPr>
                <w:sz w:val="20"/>
                <w:lang w:val="fr-FR"/>
              </w:rPr>
              <w:t>ie</w:t>
            </w:r>
            <w:r w:rsidR="00EF05F3" w:rsidRPr="001B3779">
              <w:rPr>
                <w:sz w:val="20"/>
                <w:lang w:val="fr-FR"/>
              </w:rPr>
              <w:t>, diversit</w:t>
            </w:r>
            <w:r w:rsidR="00F82375" w:rsidRPr="001B3779">
              <w:rPr>
                <w:sz w:val="20"/>
                <w:lang w:val="fr-FR"/>
              </w:rPr>
              <w:t>é</w:t>
            </w:r>
            <w:r w:rsidR="00EF05F3" w:rsidRPr="001B3779">
              <w:rPr>
                <w:sz w:val="20"/>
                <w:lang w:val="fr-FR"/>
              </w:rPr>
              <w:t xml:space="preserve">, </w:t>
            </w:r>
            <w:r w:rsidR="00F82375" w:rsidRPr="001B3779">
              <w:rPr>
                <w:sz w:val="20"/>
                <w:lang w:val="fr-FR"/>
              </w:rPr>
              <w:t>santé</w:t>
            </w:r>
            <w:r w:rsidR="00EF05F3" w:rsidRPr="001B3779">
              <w:rPr>
                <w:sz w:val="20"/>
                <w:lang w:val="fr-FR"/>
              </w:rPr>
              <w:t>, cycles</w:t>
            </w:r>
            <w:r w:rsidR="00926A11" w:rsidRPr="001B3779">
              <w:rPr>
                <w:sz w:val="20"/>
                <w:lang w:val="fr-FR"/>
              </w:rPr>
              <w:t xml:space="preserve"> temporels de répartition</w:t>
            </w:r>
            <w:r w:rsidR="00EF05F3" w:rsidRPr="001B3779">
              <w:rPr>
                <w:sz w:val="20"/>
                <w:lang w:val="fr-FR"/>
              </w:rPr>
              <w:t xml:space="preserve">) </w:t>
            </w:r>
            <w:r w:rsidR="00926A11" w:rsidRPr="001B3779">
              <w:rPr>
                <w:sz w:val="20"/>
                <w:lang w:val="fr-FR"/>
              </w:rPr>
              <w:t>sont notés comme essentiels</w:t>
            </w:r>
            <w:r w:rsidR="00794336" w:rsidRPr="001B3779">
              <w:rPr>
                <w:sz w:val="20"/>
                <w:lang w:val="fr-FR"/>
              </w:rPr>
              <w:t xml:space="preserve"> ou recommandés pour la surveillance de divers</w:t>
            </w:r>
            <w:r w:rsidR="00027F84" w:rsidRPr="001B3779">
              <w:rPr>
                <w:sz w:val="20"/>
                <w:lang w:val="fr-FR"/>
              </w:rPr>
              <w:t xml:space="preserve"> FEC</w:t>
            </w:r>
            <w:r w:rsidR="00EF05F3" w:rsidRPr="001B3779">
              <w:rPr>
                <w:sz w:val="20"/>
                <w:lang w:val="fr-FR"/>
              </w:rPr>
              <w:t xml:space="preserve"> (</w:t>
            </w:r>
            <w:r w:rsidR="00794336" w:rsidRPr="001B3779">
              <w:rPr>
                <w:sz w:val="20"/>
                <w:lang w:val="fr-FR"/>
              </w:rPr>
              <w:t>pour plus de</w:t>
            </w:r>
            <w:r w:rsidR="00027F84" w:rsidRPr="001B3779">
              <w:rPr>
                <w:sz w:val="20"/>
                <w:lang w:val="fr-FR"/>
              </w:rPr>
              <w:t xml:space="preserve"> </w:t>
            </w:r>
            <w:r w:rsidR="00027F84" w:rsidRPr="001B3779">
              <w:rPr>
                <w:sz w:val="20"/>
                <w:lang w:val="fr-FR"/>
              </w:rPr>
              <w:lastRenderedPageBreak/>
              <w:t>d</w:t>
            </w:r>
            <w:r w:rsidR="00794336" w:rsidRPr="001B3779">
              <w:rPr>
                <w:sz w:val="20"/>
                <w:lang w:val="fr-FR"/>
              </w:rPr>
              <w:t>é</w:t>
            </w:r>
            <w:r w:rsidR="00027F84" w:rsidRPr="001B3779">
              <w:rPr>
                <w:sz w:val="20"/>
                <w:lang w:val="fr-FR"/>
              </w:rPr>
              <w:t>tails</w:t>
            </w:r>
            <w:r w:rsidR="00794336" w:rsidRPr="001B3779">
              <w:rPr>
                <w:sz w:val="20"/>
                <w:lang w:val="fr-FR"/>
              </w:rPr>
              <w:t>, voir</w:t>
            </w:r>
            <w:r w:rsidR="00EF05F3" w:rsidRPr="001B3779">
              <w:rPr>
                <w:sz w:val="20"/>
                <w:lang w:val="fr-FR"/>
              </w:rPr>
              <w:t xml:space="preserve"> page 61 </w:t>
            </w:r>
            <w:r w:rsidR="00794336" w:rsidRPr="001B3779">
              <w:rPr>
                <w:sz w:val="20"/>
                <w:lang w:val="fr-FR"/>
              </w:rPr>
              <w:t>du rapport</w:t>
            </w:r>
            <w:r w:rsidR="00EF05F3" w:rsidRPr="001B3779">
              <w:rPr>
                <w:sz w:val="20"/>
                <w:lang w:val="fr-FR"/>
              </w:rPr>
              <w:t xml:space="preserve"> START, </w:t>
            </w:r>
            <w:r w:rsidR="00794336" w:rsidRPr="001B3779">
              <w:rPr>
                <w:sz w:val="20"/>
                <w:lang w:val="fr-FR"/>
              </w:rPr>
              <w:t>lien ci-dessous</w:t>
            </w:r>
            <w:r w:rsidR="00EF05F3" w:rsidRPr="001B3779">
              <w:rPr>
                <w:sz w:val="20"/>
                <w:lang w:val="fr-FR"/>
              </w:rPr>
              <w:t>).</w:t>
            </w:r>
          </w:p>
          <w:p w14:paraId="303ADC3C" w14:textId="77777777" w:rsidR="00EF05F3" w:rsidRPr="001B3779" w:rsidRDefault="00EF05F3" w:rsidP="001B6957">
            <w:pPr>
              <w:pStyle w:val="TableParagraph"/>
              <w:spacing w:before="134" w:line="242" w:lineRule="auto"/>
              <w:ind w:right="166"/>
              <w:rPr>
                <w:sz w:val="20"/>
                <w:lang w:val="fr-FR"/>
              </w:rPr>
            </w:pPr>
          </w:p>
          <w:p w14:paraId="75633C8D" w14:textId="2537329B" w:rsidR="00EF05F3" w:rsidRPr="003F0E88" w:rsidRDefault="00191ED4" w:rsidP="001B6957">
            <w:pPr>
              <w:pStyle w:val="TableParagraph"/>
              <w:spacing w:before="134" w:line="242" w:lineRule="auto"/>
              <w:ind w:right="166"/>
              <w:rPr>
                <w:sz w:val="20"/>
              </w:rPr>
            </w:pPr>
            <w:proofErr w:type="spellStart"/>
            <w:r w:rsidRPr="003F0E88">
              <w:rPr>
                <w:sz w:val="20"/>
              </w:rPr>
              <w:t>Voir</w:t>
            </w:r>
            <w:proofErr w:type="spellEnd"/>
            <w:r w:rsidRPr="003F0E88">
              <w:rPr>
                <w:sz w:val="20"/>
              </w:rPr>
              <w:t xml:space="preserve"> </w:t>
            </w:r>
            <w:proofErr w:type="spellStart"/>
            <w:r w:rsidRPr="003F0E88">
              <w:rPr>
                <w:sz w:val="20"/>
              </w:rPr>
              <w:t>davantage</w:t>
            </w:r>
            <w:proofErr w:type="spellEnd"/>
            <w:r w:rsidRPr="003F0E88">
              <w:rPr>
                <w:sz w:val="20"/>
              </w:rPr>
              <w:t xml:space="preserve"> de </w:t>
            </w:r>
            <w:proofErr w:type="gramStart"/>
            <w:r w:rsidRPr="003F0E88">
              <w:rPr>
                <w:sz w:val="20"/>
              </w:rPr>
              <w:t>rapports </w:t>
            </w:r>
            <w:r w:rsidR="00EF05F3" w:rsidRPr="003F0E88">
              <w:rPr>
                <w:sz w:val="20"/>
              </w:rPr>
              <w:t>:</w:t>
            </w:r>
            <w:proofErr w:type="gramEnd"/>
          </w:p>
          <w:p w14:paraId="2CA529E7" w14:textId="71540CE9" w:rsidR="00AD33D4" w:rsidRPr="003F0E88" w:rsidRDefault="003620A1" w:rsidP="00AD33D4">
            <w:pPr>
              <w:pStyle w:val="TableParagraph"/>
              <w:spacing w:before="134" w:line="242" w:lineRule="auto"/>
              <w:ind w:right="166"/>
              <w:rPr>
                <w:sz w:val="20"/>
              </w:rPr>
            </w:pPr>
            <w:hyperlink r:id="rId23" w:history="1">
              <w:r w:rsidR="00AD33D4" w:rsidRPr="003F0E88">
                <w:rPr>
                  <w:rStyle w:val="Hyperlink"/>
                  <w:sz w:val="20"/>
                </w:rPr>
                <w:t>State of the Arctic Marine Biodiversity Report (SAMBR, 2017) Seabirds chapter</w:t>
              </w:r>
            </w:hyperlink>
            <w:r w:rsidR="00AD33D4" w:rsidRPr="003F0E88">
              <w:rPr>
                <w:sz w:val="20"/>
              </w:rPr>
              <w:t xml:space="preserve">, </w:t>
            </w:r>
            <w:r w:rsidR="004112AC" w:rsidRPr="003F0E88">
              <w:rPr>
                <w:sz w:val="20"/>
              </w:rPr>
              <w:t>et</w:t>
            </w:r>
            <w:r w:rsidR="00AD33D4" w:rsidRPr="003F0E88">
              <w:rPr>
                <w:sz w:val="20"/>
              </w:rPr>
              <w:t xml:space="preserve"> </w:t>
            </w:r>
            <w:hyperlink r:id="rId24" w:history="1">
              <w:r w:rsidR="00AD33D4" w:rsidRPr="003F0E88">
                <w:rPr>
                  <w:rStyle w:val="Hyperlink"/>
                  <w:sz w:val="20"/>
                </w:rPr>
                <w:t>2021 seabird update</w:t>
              </w:r>
            </w:hyperlink>
          </w:p>
          <w:p w14:paraId="57455BC8" w14:textId="77777777" w:rsidR="00AD33D4" w:rsidRPr="003F0E88" w:rsidRDefault="003620A1" w:rsidP="00AD33D4">
            <w:pPr>
              <w:pStyle w:val="TableParagraph"/>
              <w:spacing w:before="134" w:line="242" w:lineRule="auto"/>
              <w:ind w:right="166"/>
              <w:rPr>
                <w:sz w:val="20"/>
              </w:rPr>
            </w:pPr>
            <w:hyperlink r:id="rId25" w:history="1">
              <w:r w:rsidR="00AD33D4" w:rsidRPr="003F0E88">
                <w:rPr>
                  <w:rStyle w:val="Hyperlink"/>
                  <w:sz w:val="20"/>
                </w:rPr>
                <w:t>State of the Arctic Terrestrial Biodiversity Report (START, 2021) Birds chapter</w:t>
              </w:r>
            </w:hyperlink>
          </w:p>
          <w:p w14:paraId="1ADEF1D5" w14:textId="77777777" w:rsidR="00AD33D4" w:rsidRPr="003F0E88" w:rsidRDefault="003620A1" w:rsidP="00AD33D4">
            <w:pPr>
              <w:pStyle w:val="TableParagraph"/>
              <w:spacing w:before="134" w:line="242" w:lineRule="auto"/>
              <w:ind w:right="166"/>
              <w:rPr>
                <w:sz w:val="20"/>
              </w:rPr>
            </w:pPr>
            <w:hyperlink r:id="rId26" w:history="1">
              <w:r w:rsidR="00AD33D4" w:rsidRPr="003F0E88">
                <w:rPr>
                  <w:rStyle w:val="Hyperlink"/>
                  <w:sz w:val="20"/>
                </w:rPr>
                <w:t>Global Goose Audit (2018)</w:t>
              </w:r>
            </w:hyperlink>
          </w:p>
          <w:p w14:paraId="75F03A9D" w14:textId="77777777" w:rsidR="00AD33D4" w:rsidRPr="003F0E88" w:rsidRDefault="003620A1" w:rsidP="00AD33D4">
            <w:pPr>
              <w:pStyle w:val="TableParagraph"/>
              <w:spacing w:before="134" w:line="242" w:lineRule="auto"/>
              <w:ind w:right="166"/>
              <w:rPr>
                <w:sz w:val="20"/>
              </w:rPr>
            </w:pPr>
            <w:hyperlink r:id="rId27" w:history="1">
              <w:r w:rsidR="00AD33D4" w:rsidRPr="003F0E88">
                <w:rPr>
                  <w:rStyle w:val="Hyperlink"/>
                  <w:sz w:val="20"/>
                </w:rPr>
                <w:t>Arctic Species Trend Index: migratory birds index</w:t>
              </w:r>
            </w:hyperlink>
            <w:r w:rsidR="00AD33D4" w:rsidRPr="003F0E88">
              <w:rPr>
                <w:sz w:val="20"/>
              </w:rPr>
              <w:t xml:space="preserve"> (2015)</w:t>
            </w:r>
          </w:p>
          <w:p w14:paraId="065330AF" w14:textId="77777777" w:rsidR="002C6401" w:rsidRPr="001B3779" w:rsidRDefault="001923D7" w:rsidP="001923D7">
            <w:pPr>
              <w:pStyle w:val="TableParagraph"/>
              <w:spacing w:before="134" w:line="242" w:lineRule="auto"/>
              <w:ind w:right="166"/>
              <w:rPr>
                <w:sz w:val="20"/>
                <w:lang w:val="fr-FR"/>
              </w:rPr>
            </w:pPr>
            <w:r w:rsidRPr="001B3779">
              <w:rPr>
                <w:sz w:val="20"/>
                <w:lang w:val="fr-FR"/>
              </w:rPr>
              <w:t xml:space="preserve">Initiative en faveur des oiseaux migrateurs de l'Arctique </w:t>
            </w:r>
            <w:r w:rsidR="00AD33D4" w:rsidRPr="001B3779">
              <w:rPr>
                <w:sz w:val="20"/>
                <w:lang w:val="fr-FR"/>
              </w:rPr>
              <w:t>(AMBI)</w:t>
            </w:r>
          </w:p>
          <w:p w14:paraId="1B5C275C" w14:textId="796196DB" w:rsidR="00AD33D4" w:rsidRPr="001B3779" w:rsidRDefault="002C6401" w:rsidP="001923D7">
            <w:pPr>
              <w:pStyle w:val="TableParagraph"/>
              <w:spacing w:before="134" w:line="242" w:lineRule="auto"/>
              <w:ind w:right="166"/>
              <w:rPr>
                <w:sz w:val="20"/>
                <w:lang w:val="fr-FR"/>
              </w:rPr>
            </w:pPr>
            <w:r w:rsidRPr="001B3779">
              <w:rPr>
                <w:sz w:val="20"/>
                <w:lang w:val="fr-FR"/>
              </w:rPr>
              <w:t>Voie de migration d’Afrique</w:t>
            </w:r>
            <w:r w:rsidR="00D4066A">
              <w:rPr>
                <w:sz w:val="20"/>
                <w:lang w:val="fr-FR"/>
              </w:rPr>
              <w:t>-</w:t>
            </w:r>
            <w:r w:rsidRPr="001B3779">
              <w:rPr>
                <w:sz w:val="20"/>
                <w:lang w:val="fr-FR"/>
              </w:rPr>
              <w:t>Eurasie</w:t>
            </w:r>
            <w:r w:rsidR="00FF315A" w:rsidRPr="001B3779">
              <w:rPr>
                <w:sz w:val="20"/>
                <w:lang w:val="fr-FR"/>
              </w:rPr>
              <w:t xml:space="preserve"> </w:t>
            </w:r>
            <w:r w:rsidR="00AD33D4" w:rsidRPr="001B3779">
              <w:rPr>
                <w:sz w:val="20"/>
                <w:lang w:val="fr-FR"/>
              </w:rPr>
              <w:t>(</w:t>
            </w:r>
            <w:r w:rsidR="00FF315A" w:rsidRPr="001B3779">
              <w:rPr>
                <w:sz w:val="20"/>
                <w:lang w:val="fr-FR"/>
              </w:rPr>
              <w:t>projet de rapport sur l’état et les tendances</w:t>
            </w:r>
            <w:r w:rsidR="00F3295A" w:rsidRPr="001B3779">
              <w:rPr>
                <w:sz w:val="20"/>
                <w:lang w:val="fr-FR"/>
              </w:rPr>
              <w:t xml:space="preserve"> </w:t>
            </w:r>
            <w:r w:rsidR="002E13CC">
              <w:rPr>
                <w:sz w:val="20"/>
                <w:lang w:val="fr-FR"/>
              </w:rPr>
              <w:t>dans</w:t>
            </w:r>
            <w:r w:rsidR="00724702" w:rsidRPr="001B3779">
              <w:rPr>
                <w:sz w:val="20"/>
                <w:lang w:val="fr-FR"/>
              </w:rPr>
              <w:t xml:space="preserve"> l’ouest de l’Arctique </w:t>
            </w:r>
            <w:r w:rsidR="00311404" w:rsidRPr="001B3779">
              <w:rPr>
                <w:sz w:val="20"/>
                <w:lang w:val="fr-FR"/>
              </w:rPr>
              <w:t>russe</w:t>
            </w:r>
            <w:r w:rsidR="00AD33D4" w:rsidRPr="001B3779">
              <w:rPr>
                <w:sz w:val="20"/>
                <w:lang w:val="fr-FR"/>
              </w:rPr>
              <w:t>)</w:t>
            </w:r>
          </w:p>
          <w:p w14:paraId="0D5D1869" w14:textId="77777777" w:rsidR="00961DA1" w:rsidRPr="001B3779" w:rsidRDefault="00961DA1" w:rsidP="00C322E9">
            <w:pPr>
              <w:pStyle w:val="TableParagraph"/>
              <w:spacing w:before="134" w:line="242" w:lineRule="auto"/>
              <w:ind w:right="166"/>
              <w:rPr>
                <w:sz w:val="20"/>
                <w:lang w:val="fr-FR"/>
              </w:rPr>
            </w:pPr>
          </w:p>
          <w:p w14:paraId="5A7BC596" w14:textId="72770443" w:rsidR="009C1306" w:rsidRPr="001B3779" w:rsidRDefault="009C1306" w:rsidP="009C1306">
            <w:pPr>
              <w:pStyle w:val="TableParagraph"/>
              <w:spacing w:before="0"/>
              <w:rPr>
                <w:sz w:val="20"/>
                <w:lang w:val="fr-FR"/>
              </w:rPr>
            </w:pPr>
            <w:r w:rsidRPr="001B3779">
              <w:rPr>
                <w:sz w:val="20"/>
                <w:lang w:val="fr-FR"/>
              </w:rPr>
              <w:t>Source</w:t>
            </w:r>
            <w:r w:rsidR="00BC704C" w:rsidRPr="001B3779">
              <w:rPr>
                <w:sz w:val="20"/>
                <w:lang w:val="fr-FR"/>
              </w:rPr>
              <w:t> </w:t>
            </w:r>
            <w:r w:rsidRPr="001B3779">
              <w:rPr>
                <w:sz w:val="20"/>
                <w:lang w:val="fr-FR"/>
              </w:rPr>
              <w:t>:</w:t>
            </w:r>
          </w:p>
          <w:p w14:paraId="5957DF09" w14:textId="533FEBE6" w:rsidR="009C1306" w:rsidRPr="001B3779" w:rsidRDefault="009C1306" w:rsidP="009C1306">
            <w:pPr>
              <w:pStyle w:val="TableParagraph"/>
              <w:spacing w:before="1"/>
              <w:ind w:right="327"/>
              <w:rPr>
                <w:sz w:val="20"/>
                <w:lang w:val="fr-FR"/>
              </w:rPr>
            </w:pPr>
            <w:r w:rsidRPr="001B3779">
              <w:rPr>
                <w:sz w:val="20"/>
                <w:lang w:val="fr-FR"/>
              </w:rPr>
              <w:t xml:space="preserve">Contributions </w:t>
            </w:r>
            <w:r w:rsidR="00BC704C" w:rsidRPr="001B3779">
              <w:rPr>
                <w:sz w:val="20"/>
                <w:lang w:val="fr-FR"/>
              </w:rPr>
              <w:t>des États de l’Arctique, de</w:t>
            </w:r>
            <w:r w:rsidRPr="001B3779">
              <w:rPr>
                <w:sz w:val="20"/>
                <w:lang w:val="fr-FR"/>
              </w:rPr>
              <w:t xml:space="preserve"> </w:t>
            </w:r>
            <w:r w:rsidR="00BC704C" w:rsidRPr="001B3779">
              <w:rPr>
                <w:sz w:val="20"/>
                <w:lang w:val="fr-FR"/>
              </w:rPr>
              <w:t>p</w:t>
            </w:r>
            <w:r w:rsidRPr="001B3779">
              <w:rPr>
                <w:sz w:val="20"/>
                <w:lang w:val="fr-FR"/>
              </w:rPr>
              <w:t>articipants</w:t>
            </w:r>
            <w:r w:rsidR="00BC704C" w:rsidRPr="001B3779">
              <w:rPr>
                <w:sz w:val="20"/>
                <w:lang w:val="fr-FR"/>
              </w:rPr>
              <w:t xml:space="preserve"> permanents</w:t>
            </w:r>
            <w:r w:rsidR="00EF05F3" w:rsidRPr="001B3779">
              <w:rPr>
                <w:sz w:val="20"/>
                <w:lang w:val="fr-FR"/>
              </w:rPr>
              <w:t xml:space="preserve">, </w:t>
            </w:r>
            <w:r w:rsidR="00BC704C" w:rsidRPr="001B3779">
              <w:rPr>
                <w:sz w:val="20"/>
                <w:lang w:val="fr-FR"/>
              </w:rPr>
              <w:t>d’États et d’organisations observateurs</w:t>
            </w:r>
          </w:p>
          <w:p w14:paraId="4BC6BB75" w14:textId="65000145" w:rsidR="001B6957" w:rsidRPr="001B3779" w:rsidRDefault="001B6957" w:rsidP="001B6957">
            <w:pPr>
              <w:pStyle w:val="TableParagraph"/>
              <w:spacing w:before="134" w:line="242" w:lineRule="auto"/>
              <w:ind w:right="166"/>
              <w:rPr>
                <w:sz w:val="20"/>
                <w:lang w:val="fr-FR"/>
              </w:rPr>
            </w:pPr>
          </w:p>
        </w:tc>
        <w:tc>
          <w:tcPr>
            <w:tcW w:w="2259" w:type="dxa"/>
          </w:tcPr>
          <w:p w14:paraId="221250F8" w14:textId="410F1D2C" w:rsidR="001B6957" w:rsidRPr="001B3779" w:rsidRDefault="00765016" w:rsidP="001B6957">
            <w:pPr>
              <w:pStyle w:val="TableParagraph"/>
              <w:ind w:right="74"/>
              <w:rPr>
                <w:sz w:val="20"/>
                <w:lang w:val="fr-FR"/>
              </w:rPr>
            </w:pPr>
            <w:r w:rsidRPr="001B3779">
              <w:rPr>
                <w:sz w:val="20"/>
                <w:lang w:val="fr-FR"/>
              </w:rPr>
              <w:lastRenderedPageBreak/>
              <w:t xml:space="preserve">Rapports du Groupe </w:t>
            </w:r>
            <w:proofErr w:type="spellStart"/>
            <w:r w:rsidRPr="001B3779">
              <w:rPr>
                <w:sz w:val="20"/>
                <w:lang w:val="fr-FR"/>
              </w:rPr>
              <w:t>CBird</w:t>
            </w:r>
            <w:proofErr w:type="spellEnd"/>
            <w:r w:rsidRPr="001B3779">
              <w:rPr>
                <w:sz w:val="20"/>
                <w:lang w:val="fr-FR"/>
              </w:rPr>
              <w:t xml:space="preserve"> pour l’AEWA en 2012 et 2015</w:t>
            </w:r>
          </w:p>
          <w:p w14:paraId="33B90F4A" w14:textId="39F13A9C" w:rsidR="001B6957" w:rsidRPr="001B3779" w:rsidRDefault="001B6957" w:rsidP="001B6957">
            <w:pPr>
              <w:pStyle w:val="TableParagraph"/>
              <w:spacing w:before="0"/>
              <w:ind w:left="0"/>
              <w:rPr>
                <w:lang w:val="fr-FR"/>
              </w:rPr>
            </w:pPr>
          </w:p>
          <w:p w14:paraId="76624DDB" w14:textId="2E6748B9" w:rsidR="008879FC" w:rsidRPr="001B3779" w:rsidRDefault="008879FC" w:rsidP="001B6957">
            <w:pPr>
              <w:pStyle w:val="TableParagraph"/>
              <w:spacing w:before="0"/>
              <w:ind w:left="0"/>
              <w:rPr>
                <w:lang w:val="fr-FR"/>
              </w:rPr>
            </w:pPr>
          </w:p>
          <w:p w14:paraId="4B5DADB5" w14:textId="77777777" w:rsidR="004504C2" w:rsidRPr="001B3779" w:rsidRDefault="004504C2" w:rsidP="001B6957">
            <w:pPr>
              <w:pStyle w:val="TableParagraph"/>
              <w:spacing w:before="0"/>
              <w:ind w:left="0"/>
              <w:rPr>
                <w:lang w:val="fr-FR"/>
              </w:rPr>
            </w:pPr>
          </w:p>
          <w:p w14:paraId="70589030" w14:textId="0A59DB27" w:rsidR="001B6957" w:rsidRPr="001B3779" w:rsidRDefault="00DE1247" w:rsidP="001B6957">
            <w:pPr>
              <w:pStyle w:val="TableParagraph"/>
              <w:spacing w:before="134" w:line="242" w:lineRule="auto"/>
              <w:ind w:right="169"/>
              <w:rPr>
                <w:sz w:val="20"/>
                <w:lang w:val="fr-FR"/>
              </w:rPr>
            </w:pPr>
            <w:r w:rsidRPr="001B3779">
              <w:rPr>
                <w:sz w:val="20"/>
                <w:lang w:val="fr-FR"/>
              </w:rPr>
              <w:t>Le</w:t>
            </w:r>
            <w:r w:rsidRPr="001B3779">
              <w:rPr>
                <w:lang w:val="fr-FR"/>
              </w:rPr>
              <w:t xml:space="preserve"> </w:t>
            </w:r>
            <w:r w:rsidRPr="001B3779">
              <w:rPr>
                <w:sz w:val="20"/>
                <w:lang w:val="fr-FR"/>
              </w:rPr>
              <w:t xml:space="preserve">Programme de surveillance de la biodiversité circumpolaire </w:t>
            </w:r>
            <w:r w:rsidR="001B6957" w:rsidRPr="001B3779">
              <w:rPr>
                <w:sz w:val="20"/>
                <w:lang w:val="fr-FR"/>
              </w:rPr>
              <w:t>(CBMP)</w:t>
            </w:r>
            <w:r w:rsidR="00C322E9" w:rsidRPr="001B3779">
              <w:rPr>
                <w:sz w:val="20"/>
                <w:lang w:val="fr-FR"/>
              </w:rPr>
              <w:t xml:space="preserve"> (</w:t>
            </w:r>
            <w:r w:rsidRPr="001B3779">
              <w:rPr>
                <w:sz w:val="20"/>
                <w:lang w:val="fr-FR"/>
              </w:rPr>
              <w:t>voir colonne précédente</w:t>
            </w:r>
            <w:r w:rsidR="00C322E9" w:rsidRPr="001B3779">
              <w:rPr>
                <w:sz w:val="20"/>
                <w:lang w:val="fr-FR"/>
              </w:rPr>
              <w:t>)</w:t>
            </w:r>
            <w:r w:rsidR="00B822FC" w:rsidRPr="001B3779">
              <w:rPr>
                <w:sz w:val="20"/>
                <w:lang w:val="fr-FR"/>
              </w:rPr>
              <w:t>.</w:t>
            </w:r>
          </w:p>
          <w:p w14:paraId="679C38C5" w14:textId="77777777" w:rsidR="00B822FC" w:rsidRPr="001B3779" w:rsidRDefault="00B822FC" w:rsidP="001B6957">
            <w:pPr>
              <w:pStyle w:val="TableParagraph"/>
              <w:spacing w:before="134" w:line="242" w:lineRule="auto"/>
              <w:ind w:right="169"/>
              <w:rPr>
                <w:sz w:val="20"/>
                <w:lang w:val="fr-FR"/>
              </w:rPr>
            </w:pPr>
          </w:p>
          <w:p w14:paraId="5D8C5183" w14:textId="073C9F35" w:rsidR="001B6957" w:rsidRPr="001B3779" w:rsidRDefault="00B822FC" w:rsidP="001B6957">
            <w:pPr>
              <w:pStyle w:val="TableParagraph"/>
              <w:spacing w:before="134" w:line="242" w:lineRule="auto"/>
              <w:ind w:right="169"/>
              <w:rPr>
                <w:sz w:val="20"/>
                <w:lang w:val="fr-FR"/>
              </w:rPr>
            </w:pPr>
            <w:r w:rsidRPr="001B3779">
              <w:rPr>
                <w:sz w:val="20"/>
                <w:lang w:val="fr-FR"/>
              </w:rPr>
              <w:t>Archive</w:t>
            </w:r>
            <w:r w:rsidR="005928AE" w:rsidRPr="001B3779">
              <w:rPr>
                <w:sz w:val="20"/>
                <w:lang w:val="fr-FR"/>
              </w:rPr>
              <w:t xml:space="preserve"> </w:t>
            </w:r>
            <w:r w:rsidR="005C3CD8" w:rsidRPr="001B3779">
              <w:rPr>
                <w:sz w:val="20"/>
                <w:lang w:val="fr-FR"/>
              </w:rPr>
              <w:t>nationale sur les oiseaux marins de l’Arctique</w:t>
            </w:r>
          </w:p>
        </w:tc>
        <w:tc>
          <w:tcPr>
            <w:tcW w:w="2257" w:type="dxa"/>
          </w:tcPr>
          <w:p w14:paraId="047FAE3B" w14:textId="57CCC8FF" w:rsidR="001B6957" w:rsidRPr="001B3779" w:rsidRDefault="00A93552" w:rsidP="001B6957">
            <w:pPr>
              <w:pStyle w:val="TableParagraph"/>
              <w:ind w:right="511"/>
              <w:rPr>
                <w:sz w:val="20"/>
                <w:lang w:val="fr-FR"/>
              </w:rPr>
            </w:pPr>
            <w:r w:rsidRPr="001B3779">
              <w:rPr>
                <w:sz w:val="20"/>
                <w:lang w:val="fr-FR"/>
              </w:rPr>
              <w:t xml:space="preserve">Divers cadres/plans de surveillance pertinents </w:t>
            </w:r>
            <w:r w:rsidR="00C24E01" w:rsidRPr="001B3779">
              <w:rPr>
                <w:sz w:val="20"/>
                <w:lang w:val="fr-FR"/>
              </w:rPr>
              <w:t>pour les oiseaux d’eau ont été développés, dont </w:t>
            </w:r>
            <w:r w:rsidR="003B460E" w:rsidRPr="001B3779">
              <w:rPr>
                <w:sz w:val="20"/>
                <w:lang w:val="fr-FR"/>
              </w:rPr>
              <w:t>:</w:t>
            </w:r>
          </w:p>
          <w:p w14:paraId="7811D1D3" w14:textId="347ECD6C" w:rsidR="003B460E" w:rsidRPr="001B3779" w:rsidRDefault="003B460E" w:rsidP="00F36631">
            <w:pPr>
              <w:pStyle w:val="TableParagraph"/>
              <w:ind w:right="511"/>
              <w:rPr>
                <w:sz w:val="20"/>
                <w:lang w:val="fr-FR"/>
              </w:rPr>
            </w:pPr>
            <w:r w:rsidRPr="001B3779">
              <w:rPr>
                <w:sz w:val="20"/>
                <w:lang w:val="fr-FR"/>
              </w:rPr>
              <w:t xml:space="preserve"> (</w:t>
            </w:r>
            <w:proofErr w:type="gramStart"/>
            <w:r w:rsidR="00C24E01" w:rsidRPr="001B3779">
              <w:rPr>
                <w:sz w:val="20"/>
                <w:lang w:val="fr-FR"/>
              </w:rPr>
              <w:t>oiseaux</w:t>
            </w:r>
            <w:proofErr w:type="gramEnd"/>
            <w:r w:rsidR="00C24E01" w:rsidRPr="001B3779">
              <w:rPr>
                <w:sz w:val="20"/>
                <w:lang w:val="fr-FR"/>
              </w:rPr>
              <w:t xml:space="preserve"> marins</w:t>
            </w:r>
            <w:r w:rsidRPr="001B3779">
              <w:rPr>
                <w:sz w:val="20"/>
                <w:lang w:val="fr-FR"/>
              </w:rPr>
              <w:t>)</w:t>
            </w:r>
            <w:r w:rsidR="00027F84" w:rsidRPr="001B3779">
              <w:rPr>
                <w:sz w:val="20"/>
                <w:lang w:val="fr-FR"/>
              </w:rPr>
              <w:t xml:space="preserve">, </w:t>
            </w:r>
            <w:r w:rsidR="009E4318" w:rsidRPr="001B3779">
              <w:rPr>
                <w:sz w:val="20"/>
                <w:lang w:val="fr-FR"/>
              </w:rPr>
              <w:t>mises à jour dans le rapport</w:t>
            </w:r>
            <w:r w:rsidR="00027F84" w:rsidRPr="001B3779">
              <w:rPr>
                <w:sz w:val="20"/>
                <w:lang w:val="fr-FR"/>
              </w:rPr>
              <w:t xml:space="preserve"> SAMBR</w:t>
            </w:r>
            <w:r w:rsidR="0036774A" w:rsidRPr="001B3779">
              <w:rPr>
                <w:sz w:val="20"/>
                <w:lang w:val="fr-FR"/>
              </w:rPr>
              <w:t>.</w:t>
            </w:r>
            <w:r w:rsidR="00027F84" w:rsidRPr="001B3779">
              <w:rPr>
                <w:sz w:val="20"/>
                <w:lang w:val="fr-FR"/>
              </w:rPr>
              <w:t xml:space="preserve"> </w:t>
            </w:r>
          </w:p>
          <w:p w14:paraId="2B7D6751" w14:textId="1165933E" w:rsidR="003B460E" w:rsidRPr="001B3779" w:rsidRDefault="00131B16" w:rsidP="00F36631">
            <w:pPr>
              <w:pStyle w:val="TableParagraph"/>
              <w:ind w:right="511"/>
              <w:rPr>
                <w:sz w:val="20"/>
                <w:lang w:val="fr-FR"/>
              </w:rPr>
            </w:pPr>
            <w:r w:rsidRPr="001B3779">
              <w:rPr>
                <w:sz w:val="20"/>
                <w:lang w:val="fr-FR"/>
              </w:rPr>
              <w:t>Plan de surveillance des</w:t>
            </w:r>
            <w:r w:rsidRPr="001B3779">
              <w:rPr>
                <w:lang w:val="fr-FR"/>
              </w:rPr>
              <w:t xml:space="preserve"> </w:t>
            </w:r>
            <w:r w:rsidRPr="001B3779">
              <w:rPr>
                <w:sz w:val="20"/>
                <w:lang w:val="fr-FR"/>
              </w:rPr>
              <w:t>oiseaux marins circumpolaires</w:t>
            </w:r>
          </w:p>
          <w:p w14:paraId="2C8E1AE5" w14:textId="64484421" w:rsidR="003B460E" w:rsidRPr="001B3779" w:rsidRDefault="003B460E" w:rsidP="001B6957">
            <w:pPr>
              <w:pStyle w:val="TableParagraph"/>
              <w:ind w:right="511"/>
              <w:rPr>
                <w:sz w:val="20"/>
                <w:lang w:val="fr-FR"/>
              </w:rPr>
            </w:pPr>
            <w:r w:rsidRPr="001B3779">
              <w:rPr>
                <w:sz w:val="20"/>
                <w:lang w:val="fr-FR"/>
              </w:rPr>
              <w:t xml:space="preserve"> (</w:t>
            </w:r>
            <w:proofErr w:type="gramStart"/>
            <w:r w:rsidR="009B3D8F" w:rsidRPr="001B3779">
              <w:rPr>
                <w:sz w:val="20"/>
                <w:lang w:val="fr-FR"/>
              </w:rPr>
              <w:t>oiseaux</w:t>
            </w:r>
            <w:proofErr w:type="gramEnd"/>
            <w:r w:rsidR="009B3D8F" w:rsidRPr="001B3779">
              <w:rPr>
                <w:sz w:val="20"/>
                <w:lang w:val="fr-FR"/>
              </w:rPr>
              <w:t xml:space="preserve"> se reproduisant dans la toundra</w:t>
            </w:r>
            <w:r w:rsidRPr="001B3779">
              <w:rPr>
                <w:sz w:val="20"/>
                <w:lang w:val="fr-FR"/>
              </w:rPr>
              <w:t>)</w:t>
            </w:r>
            <w:r w:rsidR="00027F84" w:rsidRPr="001B3779">
              <w:rPr>
                <w:sz w:val="20"/>
                <w:lang w:val="fr-FR"/>
              </w:rPr>
              <w:t xml:space="preserve">, </w:t>
            </w:r>
            <w:r w:rsidR="009B3D8F" w:rsidRPr="001B3779">
              <w:rPr>
                <w:sz w:val="20"/>
                <w:lang w:val="fr-FR"/>
              </w:rPr>
              <w:t>mises à jours dans le rapport</w:t>
            </w:r>
            <w:r w:rsidR="00027F84" w:rsidRPr="001B3779">
              <w:rPr>
                <w:sz w:val="20"/>
                <w:lang w:val="fr-FR"/>
              </w:rPr>
              <w:t xml:space="preserve"> START</w:t>
            </w:r>
          </w:p>
          <w:p w14:paraId="4BE383A7" w14:textId="77777777" w:rsidR="00F36631" w:rsidRPr="001B3779" w:rsidRDefault="00F36631" w:rsidP="001B6957">
            <w:pPr>
              <w:pStyle w:val="TableParagraph"/>
              <w:ind w:right="511"/>
              <w:rPr>
                <w:sz w:val="20"/>
                <w:lang w:val="fr-FR"/>
              </w:rPr>
            </w:pPr>
          </w:p>
          <w:p w14:paraId="6B20014E" w14:textId="55689839" w:rsidR="001B6957" w:rsidRPr="001B3779" w:rsidRDefault="00142750" w:rsidP="001B6957">
            <w:pPr>
              <w:pStyle w:val="TableParagraph"/>
              <w:ind w:right="511"/>
              <w:rPr>
                <w:sz w:val="20"/>
                <w:lang w:val="fr-FR"/>
              </w:rPr>
            </w:pPr>
            <w:r w:rsidRPr="001B3779">
              <w:rPr>
                <w:sz w:val="20"/>
                <w:lang w:val="fr-FR"/>
              </w:rPr>
              <w:t>Données disponibles sur</w:t>
            </w:r>
            <w:r w:rsidR="0036774A" w:rsidRPr="001B3779">
              <w:rPr>
                <w:sz w:val="20"/>
                <w:lang w:val="fr-FR"/>
              </w:rPr>
              <w:t xml:space="preserve">  </w:t>
            </w:r>
          </w:p>
        </w:tc>
      </w:tr>
      <w:tr w:rsidR="00664206" w:rsidRPr="005E52F1" w14:paraId="7CB4E227" w14:textId="77777777">
        <w:trPr>
          <w:trHeight w:val="661"/>
        </w:trPr>
        <w:tc>
          <w:tcPr>
            <w:tcW w:w="2259" w:type="dxa"/>
          </w:tcPr>
          <w:p w14:paraId="3B3665E9" w14:textId="548065E2" w:rsidR="00664206" w:rsidRPr="001B3779" w:rsidRDefault="00F33243">
            <w:pPr>
              <w:pStyle w:val="TableParagraph"/>
              <w:ind w:right="319"/>
              <w:rPr>
                <w:bCs/>
                <w:sz w:val="20"/>
                <w:lang w:val="fr-FR"/>
              </w:rPr>
            </w:pPr>
            <w:r w:rsidRPr="001B3779">
              <w:rPr>
                <w:bCs/>
                <w:sz w:val="20"/>
                <w:lang w:val="fr-FR"/>
              </w:rPr>
              <w:t>Coop</w:t>
            </w:r>
            <w:r w:rsidR="0070328F" w:rsidRPr="001B3779">
              <w:rPr>
                <w:bCs/>
                <w:sz w:val="20"/>
                <w:lang w:val="fr-FR"/>
              </w:rPr>
              <w:t>é</w:t>
            </w:r>
            <w:r w:rsidRPr="001B3779">
              <w:rPr>
                <w:bCs/>
                <w:sz w:val="20"/>
                <w:lang w:val="fr-FR"/>
              </w:rPr>
              <w:t>ration</w:t>
            </w:r>
            <w:r w:rsidR="0070328F" w:rsidRPr="001B3779">
              <w:rPr>
                <w:bCs/>
                <w:sz w:val="20"/>
                <w:lang w:val="fr-FR"/>
              </w:rPr>
              <w:t xml:space="preserve"> trilatérale la mer des Wadden</w:t>
            </w:r>
          </w:p>
        </w:tc>
        <w:tc>
          <w:tcPr>
            <w:tcW w:w="2256" w:type="dxa"/>
          </w:tcPr>
          <w:p w14:paraId="2F03476C" w14:textId="7A06061D" w:rsidR="00664206" w:rsidRPr="001B3779" w:rsidRDefault="005E7135">
            <w:pPr>
              <w:pStyle w:val="TableParagraph"/>
              <w:ind w:right="249"/>
              <w:rPr>
                <w:sz w:val="20"/>
                <w:lang w:val="fr-FR"/>
              </w:rPr>
            </w:pPr>
            <w:r w:rsidRPr="001B3779">
              <w:rPr>
                <w:b/>
                <w:bCs/>
                <w:sz w:val="20"/>
                <w:lang w:val="fr-FR"/>
              </w:rPr>
              <w:t xml:space="preserve">Mer des </w:t>
            </w:r>
            <w:r w:rsidR="008879FC" w:rsidRPr="001B3779">
              <w:rPr>
                <w:b/>
                <w:bCs/>
                <w:sz w:val="20"/>
                <w:lang w:val="fr-FR"/>
              </w:rPr>
              <w:t>Wadden</w:t>
            </w:r>
            <w:r w:rsidRPr="001B3779">
              <w:rPr>
                <w:b/>
                <w:bCs/>
                <w:sz w:val="20"/>
                <w:lang w:val="fr-FR"/>
              </w:rPr>
              <w:t> </w:t>
            </w:r>
            <w:r w:rsidR="008879FC" w:rsidRPr="001B3779">
              <w:rPr>
                <w:b/>
                <w:bCs/>
                <w:sz w:val="20"/>
                <w:lang w:val="fr-FR"/>
              </w:rPr>
              <w:t>:</w:t>
            </w:r>
            <w:r w:rsidR="008879FC" w:rsidRPr="001B3779">
              <w:rPr>
                <w:sz w:val="20"/>
                <w:lang w:val="fr-FR"/>
              </w:rPr>
              <w:br/>
            </w:r>
            <w:r w:rsidRPr="001B3779">
              <w:rPr>
                <w:sz w:val="20"/>
                <w:lang w:val="fr-FR"/>
              </w:rPr>
              <w:t>Cela concerne uniquement une partie des</w:t>
            </w:r>
            <w:r w:rsidR="003F788D" w:rsidRPr="001B3779">
              <w:rPr>
                <w:sz w:val="20"/>
                <w:lang w:val="fr-FR"/>
              </w:rPr>
              <w:t xml:space="preserve"> populations</w:t>
            </w:r>
            <w:r w:rsidRPr="001B3779">
              <w:rPr>
                <w:sz w:val="20"/>
                <w:lang w:val="fr-FR"/>
              </w:rPr>
              <w:t xml:space="preserve"> de la voie de migration</w:t>
            </w:r>
          </w:p>
          <w:p w14:paraId="30F073B0" w14:textId="22A82089" w:rsidR="008879FC" w:rsidRPr="001B3779" w:rsidRDefault="00154007" w:rsidP="008879FC">
            <w:pPr>
              <w:pStyle w:val="TableParagraph"/>
              <w:ind w:right="249"/>
              <w:rPr>
                <w:sz w:val="20"/>
                <w:lang w:val="fr-FR"/>
              </w:rPr>
            </w:pPr>
            <w:r w:rsidRPr="001B3779">
              <w:rPr>
                <w:b/>
                <w:bCs/>
                <w:sz w:val="20"/>
                <w:lang w:val="fr-FR"/>
              </w:rPr>
              <w:t>Voie de migration de l’Atlantique Est </w:t>
            </w:r>
            <w:r w:rsidR="008879FC" w:rsidRPr="001B3779">
              <w:rPr>
                <w:b/>
                <w:bCs/>
                <w:sz w:val="20"/>
                <w:lang w:val="fr-FR"/>
              </w:rPr>
              <w:t>:</w:t>
            </w:r>
            <w:r w:rsidR="008879FC" w:rsidRPr="001B3779">
              <w:rPr>
                <w:b/>
                <w:bCs/>
                <w:sz w:val="20"/>
                <w:lang w:val="fr-FR"/>
              </w:rPr>
              <w:br/>
            </w:r>
            <w:r w:rsidR="000C6CA2" w:rsidRPr="001B3779">
              <w:rPr>
                <w:sz w:val="20"/>
                <w:lang w:val="fr-FR"/>
              </w:rPr>
              <w:t>R</w:t>
            </w:r>
            <w:r w:rsidR="001821B8" w:rsidRPr="001B3779">
              <w:rPr>
                <w:sz w:val="20"/>
                <w:lang w:val="fr-FR"/>
              </w:rPr>
              <w:t>ecensement total</w:t>
            </w:r>
            <w:r w:rsidR="00A8300C" w:rsidRPr="001B3779">
              <w:rPr>
                <w:sz w:val="20"/>
                <w:lang w:val="fr-FR"/>
              </w:rPr>
              <w:t xml:space="preserve"> le long de la voie de migration tous les 3 ans</w:t>
            </w:r>
            <w:r w:rsidR="008879FC" w:rsidRPr="001B3779">
              <w:rPr>
                <w:sz w:val="20"/>
                <w:lang w:val="fr-FR"/>
              </w:rPr>
              <w:t>.</w:t>
            </w:r>
          </w:p>
        </w:tc>
        <w:tc>
          <w:tcPr>
            <w:tcW w:w="2259" w:type="dxa"/>
          </w:tcPr>
          <w:p w14:paraId="148E72C2" w14:textId="15EC5807" w:rsidR="00664206" w:rsidRPr="001B3779" w:rsidRDefault="008847A9">
            <w:pPr>
              <w:pStyle w:val="TableParagraph"/>
              <w:ind w:right="252"/>
              <w:rPr>
                <w:sz w:val="20"/>
                <w:lang w:val="fr-FR"/>
              </w:rPr>
            </w:pPr>
            <w:r w:rsidRPr="001B3779">
              <w:rPr>
                <w:b/>
                <w:bCs/>
                <w:sz w:val="20"/>
                <w:lang w:val="fr-FR"/>
              </w:rPr>
              <w:t>Mer des Wadden </w:t>
            </w:r>
            <w:r w:rsidR="008879FC" w:rsidRPr="001B3779">
              <w:rPr>
                <w:b/>
                <w:bCs/>
                <w:sz w:val="20"/>
                <w:lang w:val="fr-FR"/>
              </w:rPr>
              <w:t>:</w:t>
            </w:r>
            <w:r w:rsidR="008879FC" w:rsidRPr="001B3779">
              <w:rPr>
                <w:b/>
                <w:bCs/>
                <w:sz w:val="20"/>
                <w:lang w:val="fr-FR"/>
              </w:rPr>
              <w:br/>
            </w:r>
            <w:r w:rsidR="00053B26" w:rsidRPr="001B3779">
              <w:rPr>
                <w:sz w:val="20"/>
                <w:lang w:val="fr-FR"/>
              </w:rPr>
              <w:t>Cela concerne uniquement une partie des populations de la voie de migration</w:t>
            </w:r>
          </w:p>
          <w:p w14:paraId="1392EAD3" w14:textId="39CAC6C8" w:rsidR="008879FC" w:rsidRPr="001B3779" w:rsidRDefault="008847A9">
            <w:pPr>
              <w:pStyle w:val="TableParagraph"/>
              <w:ind w:right="252"/>
              <w:rPr>
                <w:sz w:val="20"/>
                <w:lang w:val="fr-FR"/>
              </w:rPr>
            </w:pPr>
            <w:r w:rsidRPr="001B3779">
              <w:rPr>
                <w:b/>
                <w:bCs/>
                <w:sz w:val="20"/>
                <w:lang w:val="fr-FR"/>
              </w:rPr>
              <w:t>Voie de migration de l’Atlantique Est </w:t>
            </w:r>
            <w:r w:rsidR="008879FC" w:rsidRPr="001B3779">
              <w:rPr>
                <w:b/>
                <w:bCs/>
                <w:sz w:val="20"/>
                <w:lang w:val="fr-FR"/>
              </w:rPr>
              <w:t>:</w:t>
            </w:r>
            <w:r w:rsidR="008879FC" w:rsidRPr="001B3779">
              <w:rPr>
                <w:b/>
                <w:bCs/>
                <w:sz w:val="20"/>
                <w:lang w:val="fr-FR"/>
              </w:rPr>
              <w:br/>
            </w:r>
            <w:r w:rsidR="000C6CA2" w:rsidRPr="001B3779">
              <w:rPr>
                <w:sz w:val="20"/>
                <w:lang w:val="fr-FR"/>
              </w:rPr>
              <w:t>A</w:t>
            </w:r>
            <w:r w:rsidR="00071E92" w:rsidRPr="001B3779">
              <w:rPr>
                <w:sz w:val="20"/>
                <w:lang w:val="fr-FR"/>
              </w:rPr>
              <w:t>nalyse des tendances tous les 3 ans</w:t>
            </w:r>
          </w:p>
        </w:tc>
        <w:tc>
          <w:tcPr>
            <w:tcW w:w="2257" w:type="dxa"/>
          </w:tcPr>
          <w:p w14:paraId="2B009512" w14:textId="35F271E1" w:rsidR="00664206" w:rsidRPr="001B3779" w:rsidRDefault="008847A9">
            <w:pPr>
              <w:pStyle w:val="TableParagraph"/>
              <w:ind w:right="84"/>
              <w:rPr>
                <w:sz w:val="20"/>
                <w:lang w:val="fr-FR"/>
              </w:rPr>
            </w:pPr>
            <w:r w:rsidRPr="001B3779">
              <w:rPr>
                <w:b/>
                <w:bCs/>
                <w:sz w:val="20"/>
                <w:lang w:val="fr-FR"/>
              </w:rPr>
              <w:t>Mer des Wadden </w:t>
            </w:r>
            <w:r w:rsidR="008879FC" w:rsidRPr="001B3779">
              <w:rPr>
                <w:b/>
                <w:bCs/>
                <w:sz w:val="20"/>
                <w:lang w:val="fr-FR"/>
              </w:rPr>
              <w:t>:</w:t>
            </w:r>
            <w:r w:rsidR="008879FC" w:rsidRPr="001B3779">
              <w:rPr>
                <w:sz w:val="20"/>
                <w:lang w:val="fr-FR"/>
              </w:rPr>
              <w:br/>
            </w:r>
            <w:r w:rsidR="007714DD" w:rsidRPr="001B3779">
              <w:rPr>
                <w:sz w:val="20"/>
                <w:lang w:val="fr-FR"/>
              </w:rPr>
              <w:t xml:space="preserve">Il s’agit plutôt d’une </w:t>
            </w:r>
            <w:r w:rsidR="00DA1DCE" w:rsidRPr="001B3779">
              <w:rPr>
                <w:sz w:val="20"/>
                <w:lang w:val="fr-FR"/>
              </w:rPr>
              <w:t>surveillance</w:t>
            </w:r>
            <w:r w:rsidR="00B64BC8" w:rsidRPr="001B3779">
              <w:rPr>
                <w:sz w:val="20"/>
                <w:lang w:val="fr-FR"/>
              </w:rPr>
              <w:t xml:space="preserve"> des grands sites</w:t>
            </w:r>
          </w:p>
          <w:p w14:paraId="064769DC" w14:textId="2DFD9BC4" w:rsidR="008879FC" w:rsidRPr="001B3779" w:rsidRDefault="008847A9">
            <w:pPr>
              <w:pStyle w:val="TableParagraph"/>
              <w:ind w:right="84"/>
              <w:rPr>
                <w:sz w:val="20"/>
                <w:lang w:val="fr-FR"/>
              </w:rPr>
            </w:pPr>
            <w:r w:rsidRPr="001B3779">
              <w:rPr>
                <w:b/>
                <w:bCs/>
                <w:sz w:val="20"/>
                <w:lang w:val="fr-FR"/>
              </w:rPr>
              <w:t>Voie de migration de l’Atlantique Est </w:t>
            </w:r>
            <w:r w:rsidR="008879FC" w:rsidRPr="001B3779">
              <w:rPr>
                <w:b/>
                <w:bCs/>
                <w:sz w:val="20"/>
                <w:lang w:val="fr-FR"/>
              </w:rPr>
              <w:t>:</w:t>
            </w:r>
            <w:r w:rsidR="008879FC" w:rsidRPr="001B3779">
              <w:rPr>
                <w:b/>
                <w:bCs/>
                <w:sz w:val="20"/>
                <w:lang w:val="fr-FR"/>
              </w:rPr>
              <w:br/>
            </w:r>
            <w:r w:rsidR="000C6CA2" w:rsidRPr="001B3779">
              <w:rPr>
                <w:sz w:val="20"/>
                <w:lang w:val="fr-FR"/>
              </w:rPr>
              <w:t>Surveillance des</w:t>
            </w:r>
            <w:r w:rsidR="008879FC" w:rsidRPr="001B3779">
              <w:rPr>
                <w:sz w:val="20"/>
                <w:lang w:val="fr-FR"/>
              </w:rPr>
              <w:t xml:space="preserve"> sites </w:t>
            </w:r>
            <w:r w:rsidR="000C6CA2" w:rsidRPr="001B3779">
              <w:rPr>
                <w:sz w:val="20"/>
                <w:lang w:val="fr-FR"/>
              </w:rPr>
              <w:t>clés le long de la voie de migration, y compris des</w:t>
            </w:r>
            <w:r w:rsidR="008879FC" w:rsidRPr="001B3779">
              <w:rPr>
                <w:sz w:val="20"/>
                <w:lang w:val="fr-FR"/>
              </w:rPr>
              <w:t xml:space="preserve"> impacts</w:t>
            </w:r>
            <w:r w:rsidR="000C6CA2" w:rsidRPr="001B3779">
              <w:rPr>
                <w:sz w:val="20"/>
                <w:lang w:val="fr-FR"/>
              </w:rPr>
              <w:t xml:space="preserve"> humains</w:t>
            </w:r>
          </w:p>
        </w:tc>
      </w:tr>
      <w:tr w:rsidR="008D0E5E" w:rsidRPr="001B3779" w14:paraId="2F180C77" w14:textId="77777777">
        <w:trPr>
          <w:trHeight w:val="333"/>
        </w:trPr>
        <w:tc>
          <w:tcPr>
            <w:tcW w:w="2259" w:type="dxa"/>
            <w:tcBorders>
              <w:bottom w:val="nil"/>
            </w:tcBorders>
          </w:tcPr>
          <w:p w14:paraId="4254EC14" w14:textId="147D085A" w:rsidR="008D0E5E" w:rsidRPr="00732102" w:rsidRDefault="008D0E5E" w:rsidP="008D0E5E">
            <w:pPr>
              <w:pStyle w:val="TableParagraph"/>
              <w:spacing w:before="98" w:line="215" w:lineRule="exact"/>
              <w:rPr>
                <w:sz w:val="20"/>
                <w:lang w:val="fr-FR"/>
              </w:rPr>
            </w:pPr>
            <w:r w:rsidRPr="001B3779">
              <w:rPr>
                <w:sz w:val="20"/>
                <w:lang w:val="fr-FR"/>
              </w:rPr>
              <w:t>Liste rouge des oiseaux de l’UICN</w:t>
            </w:r>
            <w:r w:rsidR="00732102">
              <w:rPr>
                <w:sz w:val="20"/>
                <w:lang w:val="fr-FR"/>
              </w:rPr>
              <w:t xml:space="preserve"> </w:t>
            </w:r>
            <w:r w:rsidR="00732102" w:rsidRPr="00732102">
              <w:rPr>
                <w:sz w:val="20"/>
                <w:lang w:val="fr-FR"/>
              </w:rPr>
              <w:t>(</w:t>
            </w:r>
            <w:proofErr w:type="spellStart"/>
            <w:r w:rsidR="00732102" w:rsidRPr="00732102">
              <w:rPr>
                <w:sz w:val="20"/>
                <w:lang w:val="fr-FR"/>
              </w:rPr>
              <w:t>BirdLife</w:t>
            </w:r>
            <w:proofErr w:type="spellEnd"/>
            <w:r w:rsidR="00732102" w:rsidRPr="00732102">
              <w:rPr>
                <w:sz w:val="20"/>
                <w:lang w:val="fr-FR"/>
              </w:rPr>
              <w:t xml:space="preserve"> International)</w:t>
            </w:r>
          </w:p>
        </w:tc>
        <w:tc>
          <w:tcPr>
            <w:tcW w:w="2256" w:type="dxa"/>
            <w:tcBorders>
              <w:bottom w:val="nil"/>
            </w:tcBorders>
          </w:tcPr>
          <w:p w14:paraId="4EF1831F" w14:textId="7EFF58FD" w:rsidR="008D0E5E" w:rsidRPr="001B3779" w:rsidRDefault="008D0E5E" w:rsidP="008D0E5E">
            <w:pPr>
              <w:pStyle w:val="TableParagraph"/>
              <w:spacing w:before="98" w:line="215" w:lineRule="exact"/>
              <w:rPr>
                <w:sz w:val="20"/>
                <w:lang w:val="fr-FR"/>
              </w:rPr>
            </w:pPr>
            <w:r w:rsidRPr="001B3779">
              <w:rPr>
                <w:sz w:val="20"/>
                <w:lang w:val="fr-FR"/>
              </w:rPr>
              <w:t>Elle s’appuie en partie sur les estimations des populations d'oiseaux d'eau pour l'AEWA et</w:t>
            </w:r>
          </w:p>
        </w:tc>
        <w:tc>
          <w:tcPr>
            <w:tcW w:w="2259" w:type="dxa"/>
            <w:tcBorders>
              <w:bottom w:val="nil"/>
            </w:tcBorders>
          </w:tcPr>
          <w:p w14:paraId="22401D85" w14:textId="5CF627CD" w:rsidR="008D0E5E" w:rsidRPr="001B3779" w:rsidRDefault="008D0E5E" w:rsidP="008D0E5E">
            <w:pPr>
              <w:pStyle w:val="TableParagraph"/>
              <w:spacing w:before="98" w:line="215" w:lineRule="exact"/>
              <w:rPr>
                <w:sz w:val="20"/>
                <w:lang w:val="fr-FR"/>
              </w:rPr>
            </w:pPr>
            <w:r w:rsidRPr="001B3779">
              <w:rPr>
                <w:sz w:val="20"/>
                <w:lang w:val="fr-FR"/>
              </w:rPr>
              <w:t>Elle s’appuie en partie sur les estimations des populations d'oiseaux d'eau pour l' AEWA et</w:t>
            </w:r>
          </w:p>
        </w:tc>
        <w:tc>
          <w:tcPr>
            <w:tcW w:w="2257" w:type="dxa"/>
            <w:tcBorders>
              <w:bottom w:val="nil"/>
            </w:tcBorders>
          </w:tcPr>
          <w:p w14:paraId="10B94851" w14:textId="1EBB2035" w:rsidR="008D0E5E" w:rsidRPr="001B3779" w:rsidRDefault="008D0E5E" w:rsidP="008D0E5E">
            <w:pPr>
              <w:pStyle w:val="TableParagraph"/>
              <w:spacing w:before="98" w:line="215" w:lineRule="exact"/>
              <w:rPr>
                <w:sz w:val="20"/>
                <w:lang w:val="fr-FR"/>
              </w:rPr>
            </w:pPr>
            <w:r w:rsidRPr="001B3779">
              <w:rPr>
                <w:sz w:val="20"/>
                <w:lang w:val="fr-FR"/>
              </w:rPr>
              <w:t>Non applicable</w:t>
            </w:r>
          </w:p>
        </w:tc>
      </w:tr>
      <w:tr w:rsidR="008D0E5E" w:rsidRPr="001B3779" w14:paraId="19F22E3F" w14:textId="77777777">
        <w:trPr>
          <w:trHeight w:val="230"/>
        </w:trPr>
        <w:tc>
          <w:tcPr>
            <w:tcW w:w="2259" w:type="dxa"/>
            <w:tcBorders>
              <w:top w:val="nil"/>
              <w:bottom w:val="nil"/>
            </w:tcBorders>
          </w:tcPr>
          <w:p w14:paraId="05351E2B" w14:textId="77777777" w:rsidR="008D0E5E" w:rsidRPr="001B3779" w:rsidRDefault="008D0E5E" w:rsidP="008D0E5E">
            <w:pPr>
              <w:pStyle w:val="TableParagraph"/>
              <w:spacing w:before="0"/>
              <w:ind w:left="0"/>
              <w:rPr>
                <w:sz w:val="16"/>
                <w:lang w:val="fr-FR"/>
              </w:rPr>
            </w:pPr>
          </w:p>
        </w:tc>
        <w:tc>
          <w:tcPr>
            <w:tcW w:w="2256" w:type="dxa"/>
            <w:tcBorders>
              <w:top w:val="nil"/>
              <w:bottom w:val="nil"/>
            </w:tcBorders>
          </w:tcPr>
          <w:p w14:paraId="61D30061" w14:textId="77C27E34" w:rsidR="008D0E5E" w:rsidRPr="001B3779" w:rsidRDefault="008D0E5E" w:rsidP="008D0E5E">
            <w:pPr>
              <w:pStyle w:val="TableParagraph"/>
              <w:spacing w:before="0" w:line="211" w:lineRule="exact"/>
              <w:rPr>
                <w:sz w:val="20"/>
                <w:lang w:val="fr-FR"/>
              </w:rPr>
            </w:pPr>
            <w:r w:rsidRPr="001B3779">
              <w:rPr>
                <w:sz w:val="20"/>
                <w:lang w:val="fr-FR"/>
              </w:rPr>
              <w:t xml:space="preserve">Ramsar, mais elle les </w:t>
            </w:r>
          </w:p>
        </w:tc>
        <w:tc>
          <w:tcPr>
            <w:tcW w:w="2259" w:type="dxa"/>
            <w:tcBorders>
              <w:top w:val="nil"/>
              <w:bottom w:val="nil"/>
            </w:tcBorders>
          </w:tcPr>
          <w:p w14:paraId="76C2823F" w14:textId="43DEE9C4" w:rsidR="008D0E5E" w:rsidRPr="001B3779" w:rsidRDefault="008D0E5E" w:rsidP="008D0E5E">
            <w:pPr>
              <w:pStyle w:val="TableParagraph"/>
              <w:spacing w:before="0" w:line="211" w:lineRule="exact"/>
              <w:rPr>
                <w:sz w:val="20"/>
                <w:lang w:val="fr-FR"/>
              </w:rPr>
            </w:pPr>
            <w:r w:rsidRPr="001B3779">
              <w:rPr>
                <w:sz w:val="20"/>
                <w:lang w:val="fr-FR"/>
              </w:rPr>
              <w:t xml:space="preserve">Ramsar, mais elle les </w:t>
            </w:r>
          </w:p>
        </w:tc>
        <w:tc>
          <w:tcPr>
            <w:tcW w:w="2257" w:type="dxa"/>
            <w:tcBorders>
              <w:top w:val="nil"/>
              <w:bottom w:val="nil"/>
            </w:tcBorders>
          </w:tcPr>
          <w:p w14:paraId="1F0B9224" w14:textId="77777777" w:rsidR="008D0E5E" w:rsidRPr="001B3779" w:rsidRDefault="008D0E5E" w:rsidP="008D0E5E">
            <w:pPr>
              <w:pStyle w:val="TableParagraph"/>
              <w:spacing w:before="0"/>
              <w:ind w:left="0"/>
              <w:rPr>
                <w:sz w:val="16"/>
                <w:lang w:val="fr-FR"/>
              </w:rPr>
            </w:pPr>
          </w:p>
        </w:tc>
      </w:tr>
      <w:tr w:rsidR="008D0E5E" w:rsidRPr="001B3779" w14:paraId="4B0169C3" w14:textId="77777777">
        <w:trPr>
          <w:trHeight w:val="230"/>
        </w:trPr>
        <w:tc>
          <w:tcPr>
            <w:tcW w:w="2259" w:type="dxa"/>
            <w:tcBorders>
              <w:top w:val="nil"/>
              <w:bottom w:val="nil"/>
            </w:tcBorders>
          </w:tcPr>
          <w:p w14:paraId="7AE4DF14" w14:textId="77777777" w:rsidR="008D0E5E" w:rsidRPr="001B3779" w:rsidRDefault="008D0E5E" w:rsidP="008D0E5E">
            <w:pPr>
              <w:pStyle w:val="TableParagraph"/>
              <w:spacing w:before="0"/>
              <w:ind w:left="0"/>
              <w:rPr>
                <w:sz w:val="16"/>
                <w:lang w:val="fr-FR"/>
              </w:rPr>
            </w:pPr>
          </w:p>
        </w:tc>
        <w:tc>
          <w:tcPr>
            <w:tcW w:w="2256" w:type="dxa"/>
            <w:tcBorders>
              <w:top w:val="nil"/>
              <w:bottom w:val="nil"/>
            </w:tcBorders>
          </w:tcPr>
          <w:p w14:paraId="394F0B4F" w14:textId="7D2C9310" w:rsidR="008D0E5E" w:rsidRPr="001B3779" w:rsidRDefault="008D0E5E" w:rsidP="008D0E5E">
            <w:pPr>
              <w:pStyle w:val="TableParagraph"/>
              <w:spacing w:before="0" w:line="210" w:lineRule="exact"/>
              <w:rPr>
                <w:sz w:val="20"/>
                <w:lang w:val="fr-FR"/>
              </w:rPr>
            </w:pPr>
            <w:proofErr w:type="gramStart"/>
            <w:r w:rsidRPr="001B3779">
              <w:rPr>
                <w:sz w:val="20"/>
                <w:lang w:val="fr-FR"/>
              </w:rPr>
              <w:t>nourrit</w:t>
            </w:r>
            <w:proofErr w:type="gramEnd"/>
            <w:r w:rsidRPr="001B3779">
              <w:rPr>
                <w:sz w:val="20"/>
                <w:lang w:val="fr-FR"/>
              </w:rPr>
              <w:t xml:space="preserve"> également, en</w:t>
            </w:r>
          </w:p>
        </w:tc>
        <w:tc>
          <w:tcPr>
            <w:tcW w:w="2259" w:type="dxa"/>
            <w:tcBorders>
              <w:top w:val="nil"/>
              <w:bottom w:val="nil"/>
            </w:tcBorders>
          </w:tcPr>
          <w:p w14:paraId="2871B815" w14:textId="731E440F" w:rsidR="008D0E5E" w:rsidRPr="001B3779" w:rsidRDefault="008D0E5E" w:rsidP="008D0E5E">
            <w:pPr>
              <w:pStyle w:val="TableParagraph"/>
              <w:spacing w:before="0" w:line="210" w:lineRule="exact"/>
              <w:rPr>
                <w:sz w:val="20"/>
                <w:lang w:val="fr-FR"/>
              </w:rPr>
            </w:pPr>
            <w:proofErr w:type="gramStart"/>
            <w:r w:rsidRPr="001B3779">
              <w:rPr>
                <w:sz w:val="20"/>
                <w:lang w:val="fr-FR"/>
              </w:rPr>
              <w:t>nourrit</w:t>
            </w:r>
            <w:proofErr w:type="gramEnd"/>
            <w:r w:rsidRPr="001B3779">
              <w:rPr>
                <w:sz w:val="20"/>
                <w:lang w:val="fr-FR"/>
              </w:rPr>
              <w:t xml:space="preserve"> également, en</w:t>
            </w:r>
          </w:p>
        </w:tc>
        <w:tc>
          <w:tcPr>
            <w:tcW w:w="2257" w:type="dxa"/>
            <w:tcBorders>
              <w:top w:val="nil"/>
              <w:bottom w:val="nil"/>
            </w:tcBorders>
          </w:tcPr>
          <w:p w14:paraId="2DAFC410" w14:textId="77777777" w:rsidR="008D0E5E" w:rsidRPr="001B3779" w:rsidRDefault="008D0E5E" w:rsidP="008D0E5E">
            <w:pPr>
              <w:pStyle w:val="TableParagraph"/>
              <w:spacing w:before="0"/>
              <w:ind w:left="0"/>
              <w:rPr>
                <w:sz w:val="16"/>
                <w:lang w:val="fr-FR"/>
              </w:rPr>
            </w:pPr>
          </w:p>
        </w:tc>
      </w:tr>
      <w:tr w:rsidR="008D0E5E" w:rsidRPr="001B3779" w14:paraId="0C6A2AF7" w14:textId="77777777">
        <w:trPr>
          <w:trHeight w:val="229"/>
        </w:trPr>
        <w:tc>
          <w:tcPr>
            <w:tcW w:w="2259" w:type="dxa"/>
            <w:tcBorders>
              <w:top w:val="nil"/>
              <w:bottom w:val="nil"/>
            </w:tcBorders>
          </w:tcPr>
          <w:p w14:paraId="1043306A" w14:textId="77777777" w:rsidR="008D0E5E" w:rsidRPr="001B3779" w:rsidRDefault="008D0E5E" w:rsidP="008D0E5E">
            <w:pPr>
              <w:pStyle w:val="TableParagraph"/>
              <w:spacing w:before="0"/>
              <w:ind w:left="0"/>
              <w:rPr>
                <w:sz w:val="16"/>
                <w:lang w:val="fr-FR"/>
              </w:rPr>
            </w:pPr>
          </w:p>
        </w:tc>
        <w:tc>
          <w:tcPr>
            <w:tcW w:w="2256" w:type="dxa"/>
            <w:tcBorders>
              <w:top w:val="nil"/>
              <w:bottom w:val="nil"/>
            </w:tcBorders>
          </w:tcPr>
          <w:p w14:paraId="7CA50C6D" w14:textId="1664035F" w:rsidR="008D0E5E" w:rsidRPr="001B3779" w:rsidRDefault="008D0E5E" w:rsidP="008D0E5E">
            <w:pPr>
              <w:pStyle w:val="TableParagraph"/>
              <w:spacing w:before="0" w:line="209" w:lineRule="exact"/>
              <w:rPr>
                <w:sz w:val="20"/>
                <w:lang w:val="fr-FR"/>
              </w:rPr>
            </w:pPr>
            <w:proofErr w:type="gramStart"/>
            <w:r w:rsidRPr="001B3779">
              <w:rPr>
                <w:sz w:val="20"/>
                <w:lang w:val="fr-FR"/>
              </w:rPr>
              <w:t>particulier</w:t>
            </w:r>
            <w:proofErr w:type="gramEnd"/>
            <w:r w:rsidRPr="001B3779">
              <w:rPr>
                <w:sz w:val="20"/>
                <w:lang w:val="fr-FR"/>
              </w:rPr>
              <w:t xml:space="preserve"> concernant les</w:t>
            </w:r>
          </w:p>
        </w:tc>
        <w:tc>
          <w:tcPr>
            <w:tcW w:w="2259" w:type="dxa"/>
            <w:tcBorders>
              <w:top w:val="nil"/>
              <w:bottom w:val="nil"/>
            </w:tcBorders>
          </w:tcPr>
          <w:p w14:paraId="62DA9B18" w14:textId="2863320A" w:rsidR="008D0E5E" w:rsidRPr="001B3779" w:rsidRDefault="008D0E5E" w:rsidP="008D0E5E">
            <w:pPr>
              <w:pStyle w:val="TableParagraph"/>
              <w:spacing w:before="0" w:line="209" w:lineRule="exact"/>
              <w:rPr>
                <w:sz w:val="20"/>
                <w:lang w:val="fr-FR"/>
              </w:rPr>
            </w:pPr>
            <w:proofErr w:type="gramStart"/>
            <w:r w:rsidRPr="001B3779">
              <w:rPr>
                <w:sz w:val="20"/>
                <w:lang w:val="fr-FR"/>
              </w:rPr>
              <w:t>particulier</w:t>
            </w:r>
            <w:proofErr w:type="gramEnd"/>
            <w:r w:rsidRPr="001B3779">
              <w:rPr>
                <w:sz w:val="20"/>
                <w:lang w:val="fr-FR"/>
              </w:rPr>
              <w:t xml:space="preserve"> concernant les</w:t>
            </w:r>
          </w:p>
        </w:tc>
        <w:tc>
          <w:tcPr>
            <w:tcW w:w="2257" w:type="dxa"/>
            <w:tcBorders>
              <w:top w:val="nil"/>
              <w:bottom w:val="nil"/>
            </w:tcBorders>
          </w:tcPr>
          <w:p w14:paraId="777CDE54" w14:textId="77777777" w:rsidR="008D0E5E" w:rsidRPr="001B3779" w:rsidRDefault="008D0E5E" w:rsidP="008D0E5E">
            <w:pPr>
              <w:pStyle w:val="TableParagraph"/>
              <w:spacing w:before="0"/>
              <w:ind w:left="0"/>
              <w:rPr>
                <w:sz w:val="16"/>
                <w:lang w:val="fr-FR"/>
              </w:rPr>
            </w:pPr>
          </w:p>
        </w:tc>
      </w:tr>
      <w:tr w:rsidR="008D0E5E" w:rsidRPr="001B3779" w14:paraId="63F30942" w14:textId="77777777">
        <w:trPr>
          <w:trHeight w:val="324"/>
        </w:trPr>
        <w:tc>
          <w:tcPr>
            <w:tcW w:w="2259" w:type="dxa"/>
            <w:tcBorders>
              <w:top w:val="nil"/>
            </w:tcBorders>
          </w:tcPr>
          <w:p w14:paraId="5FFEEF50" w14:textId="77777777" w:rsidR="008D0E5E" w:rsidRPr="001B3779" w:rsidRDefault="008D0E5E" w:rsidP="008D0E5E">
            <w:pPr>
              <w:pStyle w:val="TableParagraph"/>
              <w:spacing w:before="0"/>
              <w:ind w:left="0"/>
              <w:rPr>
                <w:lang w:val="fr-FR"/>
              </w:rPr>
            </w:pPr>
          </w:p>
        </w:tc>
        <w:tc>
          <w:tcPr>
            <w:tcW w:w="2256" w:type="dxa"/>
            <w:tcBorders>
              <w:top w:val="nil"/>
            </w:tcBorders>
          </w:tcPr>
          <w:p w14:paraId="522FC8FF" w14:textId="1EA561E2" w:rsidR="008D0E5E" w:rsidRPr="001B3779" w:rsidRDefault="008D0E5E" w:rsidP="008D0E5E">
            <w:pPr>
              <w:pStyle w:val="TableParagraph"/>
              <w:spacing w:before="0" w:line="224" w:lineRule="exact"/>
              <w:rPr>
                <w:sz w:val="20"/>
                <w:lang w:val="fr-FR"/>
              </w:rPr>
            </w:pPr>
            <w:proofErr w:type="gramStart"/>
            <w:r w:rsidRPr="001B3779">
              <w:rPr>
                <w:sz w:val="20"/>
                <w:lang w:val="fr-FR"/>
              </w:rPr>
              <w:t>espèces</w:t>
            </w:r>
            <w:proofErr w:type="gramEnd"/>
            <w:r w:rsidRPr="001B3779">
              <w:rPr>
                <w:sz w:val="20"/>
                <w:lang w:val="fr-FR"/>
              </w:rPr>
              <w:t xml:space="preserve"> menacées</w:t>
            </w:r>
          </w:p>
        </w:tc>
        <w:tc>
          <w:tcPr>
            <w:tcW w:w="2259" w:type="dxa"/>
            <w:tcBorders>
              <w:top w:val="nil"/>
            </w:tcBorders>
          </w:tcPr>
          <w:p w14:paraId="0E3EBEEC" w14:textId="4E46A26D" w:rsidR="008D0E5E" w:rsidRPr="001B3779" w:rsidRDefault="008D0E5E" w:rsidP="008D0E5E">
            <w:pPr>
              <w:pStyle w:val="TableParagraph"/>
              <w:spacing w:before="0" w:line="224" w:lineRule="exact"/>
              <w:rPr>
                <w:sz w:val="20"/>
                <w:lang w:val="fr-FR"/>
              </w:rPr>
            </w:pPr>
            <w:proofErr w:type="gramStart"/>
            <w:r w:rsidRPr="001B3779">
              <w:rPr>
                <w:sz w:val="20"/>
                <w:lang w:val="fr-FR"/>
              </w:rPr>
              <w:t>espèces</w:t>
            </w:r>
            <w:proofErr w:type="gramEnd"/>
            <w:r w:rsidRPr="001B3779">
              <w:rPr>
                <w:sz w:val="20"/>
                <w:lang w:val="fr-FR"/>
              </w:rPr>
              <w:t xml:space="preserve"> menacées</w:t>
            </w:r>
          </w:p>
        </w:tc>
        <w:tc>
          <w:tcPr>
            <w:tcW w:w="2257" w:type="dxa"/>
            <w:tcBorders>
              <w:top w:val="nil"/>
            </w:tcBorders>
          </w:tcPr>
          <w:p w14:paraId="182F26DF" w14:textId="77777777" w:rsidR="008D0E5E" w:rsidRPr="001B3779" w:rsidRDefault="008D0E5E" w:rsidP="008D0E5E">
            <w:pPr>
              <w:pStyle w:val="TableParagraph"/>
              <w:spacing w:before="0"/>
              <w:ind w:left="0"/>
              <w:rPr>
                <w:lang w:val="fr-FR"/>
              </w:rPr>
            </w:pPr>
          </w:p>
        </w:tc>
      </w:tr>
    </w:tbl>
    <w:p w14:paraId="58234B5F" w14:textId="2AD44BF9" w:rsidR="001B6957" w:rsidRPr="001B3779" w:rsidRDefault="001B6957">
      <w:pPr>
        <w:pStyle w:val="BodyText"/>
        <w:spacing w:before="6"/>
        <w:rPr>
          <w:sz w:val="27"/>
          <w:lang w:val="fr-FR"/>
        </w:rPr>
      </w:pPr>
    </w:p>
    <w:p w14:paraId="2D7365A0" w14:textId="1A10243D" w:rsidR="00FF6875" w:rsidRPr="001B3779" w:rsidRDefault="00FF6875">
      <w:pPr>
        <w:pStyle w:val="BodyText"/>
        <w:spacing w:before="6"/>
        <w:rPr>
          <w:sz w:val="27"/>
          <w:lang w:val="fr-FR"/>
        </w:rPr>
      </w:pPr>
    </w:p>
    <w:p w14:paraId="784B0928" w14:textId="77777777" w:rsidR="00C4129B" w:rsidRPr="001B3779" w:rsidRDefault="00C4129B">
      <w:pPr>
        <w:pStyle w:val="BodyText"/>
        <w:spacing w:before="6"/>
        <w:rPr>
          <w:sz w:val="27"/>
          <w:lang w:val="fr-FR"/>
        </w:rPr>
      </w:pPr>
    </w:p>
    <w:p w14:paraId="740A5A08" w14:textId="4174FB2D" w:rsidR="00664206" w:rsidRPr="001B3779" w:rsidRDefault="00445D90">
      <w:pPr>
        <w:pStyle w:val="Heading1"/>
        <w:spacing w:before="90"/>
        <w:rPr>
          <w:lang w:val="fr-FR"/>
        </w:rPr>
      </w:pPr>
      <w:r w:rsidRPr="001B3779">
        <w:rPr>
          <w:lang w:val="fr-FR"/>
        </w:rPr>
        <w:t>Collecte et évaluation des données</w:t>
      </w:r>
    </w:p>
    <w:p w14:paraId="4C2CCFFA" w14:textId="68F9A3DB" w:rsidR="00664206" w:rsidRPr="001B3779" w:rsidRDefault="00B1605D" w:rsidP="006C2A38">
      <w:pPr>
        <w:pStyle w:val="BodyText"/>
        <w:spacing w:before="160"/>
        <w:ind w:left="720"/>
        <w:jc w:val="both"/>
        <w:rPr>
          <w:lang w:val="fr-FR"/>
        </w:rPr>
      </w:pPr>
      <w:r w:rsidRPr="001B3779">
        <w:rPr>
          <w:lang w:val="fr-FR"/>
        </w:rPr>
        <w:t xml:space="preserve">Toutes les évaluations des AME sont des utilisatrices secondaires </w:t>
      </w:r>
      <w:r w:rsidR="007C0A30" w:rsidRPr="001B3779">
        <w:rPr>
          <w:lang w:val="fr-FR"/>
        </w:rPr>
        <w:t>des programmes de surveillance coordonnées au niveau national</w:t>
      </w:r>
      <w:r w:rsidR="003F788D" w:rsidRPr="001B3779">
        <w:rPr>
          <w:lang w:val="fr-FR"/>
        </w:rPr>
        <w:t>.</w:t>
      </w:r>
    </w:p>
    <w:p w14:paraId="6E339963" w14:textId="77777777" w:rsidR="00664206" w:rsidRPr="001B3779" w:rsidRDefault="00664206" w:rsidP="006C2A38">
      <w:pPr>
        <w:pStyle w:val="BodyText"/>
        <w:jc w:val="both"/>
        <w:rPr>
          <w:lang w:val="fr-FR"/>
        </w:rPr>
      </w:pPr>
    </w:p>
    <w:p w14:paraId="4C905690" w14:textId="0A6F1B3C" w:rsidR="00664206" w:rsidRPr="001B3779" w:rsidRDefault="00B27DFC" w:rsidP="006C2A38">
      <w:pPr>
        <w:pStyle w:val="BodyText"/>
        <w:ind w:left="720" w:right="738"/>
        <w:jc w:val="both"/>
        <w:rPr>
          <w:lang w:val="fr-FR"/>
        </w:rPr>
      </w:pPr>
      <w:r w:rsidRPr="001B3779">
        <w:rPr>
          <w:lang w:val="fr-FR"/>
        </w:rPr>
        <w:t>Les données issues de programmes de surveillance au niveau</w:t>
      </w:r>
      <w:r w:rsidR="003F788D" w:rsidRPr="001B3779">
        <w:rPr>
          <w:lang w:val="fr-FR"/>
        </w:rPr>
        <w:t xml:space="preserve"> national </w:t>
      </w:r>
      <w:r w:rsidRPr="001B3779">
        <w:rPr>
          <w:lang w:val="fr-FR"/>
        </w:rPr>
        <w:t>sont agrégées au niveau</w:t>
      </w:r>
      <w:r w:rsidR="003F788D" w:rsidRPr="001B3779">
        <w:rPr>
          <w:lang w:val="fr-FR"/>
        </w:rPr>
        <w:t xml:space="preserve"> international </w:t>
      </w:r>
      <w:r w:rsidRPr="001B3779">
        <w:rPr>
          <w:lang w:val="fr-FR"/>
        </w:rPr>
        <w:t xml:space="preserve">par </w:t>
      </w:r>
      <w:r w:rsidR="00DC312D" w:rsidRPr="001B3779">
        <w:rPr>
          <w:lang w:val="fr-FR"/>
        </w:rPr>
        <w:t>diverses</w:t>
      </w:r>
      <w:r w:rsidR="003F788D" w:rsidRPr="001B3779">
        <w:rPr>
          <w:lang w:val="fr-FR"/>
        </w:rPr>
        <w:t xml:space="preserve"> organisations</w:t>
      </w:r>
      <w:r w:rsidR="00DC312D" w:rsidRPr="001B3779">
        <w:rPr>
          <w:lang w:val="fr-FR"/>
        </w:rPr>
        <w:t xml:space="preserve"> expertes</w:t>
      </w:r>
      <w:r w:rsidR="003F788D" w:rsidRPr="001B3779">
        <w:rPr>
          <w:lang w:val="fr-FR"/>
        </w:rPr>
        <w:t xml:space="preserve"> </w:t>
      </w:r>
      <w:r w:rsidR="00DC312D" w:rsidRPr="001B3779">
        <w:rPr>
          <w:lang w:val="fr-FR"/>
        </w:rPr>
        <w:t>apportant un soutien technique aux AME</w:t>
      </w:r>
      <w:r w:rsidR="003F788D" w:rsidRPr="001B3779">
        <w:rPr>
          <w:lang w:val="fr-FR"/>
        </w:rPr>
        <w:t xml:space="preserve"> (</w:t>
      </w:r>
      <w:r w:rsidR="00D552D9" w:rsidRPr="001B3779">
        <w:rPr>
          <w:lang w:val="fr-FR"/>
        </w:rPr>
        <w:t>par ex.</w:t>
      </w:r>
      <w:r w:rsidR="003F788D" w:rsidRPr="001B3779">
        <w:rPr>
          <w:lang w:val="fr-FR"/>
        </w:rPr>
        <w:t xml:space="preserve"> </w:t>
      </w:r>
      <w:proofErr w:type="spellStart"/>
      <w:r w:rsidR="003F788D" w:rsidRPr="001B3779">
        <w:rPr>
          <w:lang w:val="fr-FR"/>
        </w:rPr>
        <w:t>Wetlands</w:t>
      </w:r>
      <w:proofErr w:type="spellEnd"/>
      <w:r w:rsidR="003F788D" w:rsidRPr="001B3779">
        <w:rPr>
          <w:lang w:val="fr-FR"/>
        </w:rPr>
        <w:t xml:space="preserve"> International, </w:t>
      </w:r>
      <w:proofErr w:type="spellStart"/>
      <w:r w:rsidR="003F788D" w:rsidRPr="001B3779">
        <w:rPr>
          <w:lang w:val="fr-FR"/>
        </w:rPr>
        <w:t>BirdLife</w:t>
      </w:r>
      <w:proofErr w:type="spellEnd"/>
      <w:r w:rsidR="003F788D" w:rsidRPr="001B3779">
        <w:rPr>
          <w:lang w:val="fr-FR"/>
        </w:rPr>
        <w:t xml:space="preserve"> International, </w:t>
      </w:r>
      <w:r w:rsidR="00BD59A7" w:rsidRPr="001B3779">
        <w:rPr>
          <w:lang w:val="fr-FR"/>
        </w:rPr>
        <w:t>AEE</w:t>
      </w:r>
      <w:r w:rsidR="003F788D" w:rsidRPr="001B3779">
        <w:rPr>
          <w:lang w:val="fr-FR"/>
        </w:rPr>
        <w:t xml:space="preserve">, </w:t>
      </w:r>
      <w:r w:rsidR="00680D01">
        <w:rPr>
          <w:lang w:val="fr-FR"/>
        </w:rPr>
        <w:t>G</w:t>
      </w:r>
      <w:r w:rsidR="00376874" w:rsidRPr="001B3779">
        <w:rPr>
          <w:lang w:val="fr-FR"/>
        </w:rPr>
        <w:t xml:space="preserve">roupe de travail conjoint du </w:t>
      </w:r>
      <w:r w:rsidR="00BC2D69" w:rsidRPr="001B3779">
        <w:rPr>
          <w:lang w:val="fr-FR"/>
        </w:rPr>
        <w:t>CIEM</w:t>
      </w:r>
      <w:r w:rsidR="003F788D" w:rsidRPr="001B3779">
        <w:rPr>
          <w:lang w:val="fr-FR"/>
        </w:rPr>
        <w:t xml:space="preserve">/OSPAR/HELCOM </w:t>
      </w:r>
      <w:r w:rsidR="00376874" w:rsidRPr="001B3779">
        <w:rPr>
          <w:lang w:val="fr-FR"/>
        </w:rPr>
        <w:t>sur les oiseaux marins</w:t>
      </w:r>
      <w:r w:rsidR="003F788D" w:rsidRPr="001B3779">
        <w:rPr>
          <w:lang w:val="fr-FR"/>
        </w:rPr>
        <w:t xml:space="preserve">, </w:t>
      </w:r>
      <w:r w:rsidR="007F266B">
        <w:rPr>
          <w:lang w:val="fr-FR"/>
        </w:rPr>
        <w:t>c’est-à-dire</w:t>
      </w:r>
      <w:r w:rsidR="003F788D" w:rsidRPr="001B3779">
        <w:rPr>
          <w:lang w:val="fr-FR"/>
        </w:rPr>
        <w:t xml:space="preserve"> JWGBIRD, </w:t>
      </w:r>
      <w:proofErr w:type="spellStart"/>
      <w:r w:rsidR="003F788D" w:rsidRPr="001B3779">
        <w:rPr>
          <w:lang w:val="fr-FR"/>
        </w:rPr>
        <w:t>Sovon</w:t>
      </w:r>
      <w:proofErr w:type="spellEnd"/>
      <w:r w:rsidR="003F788D" w:rsidRPr="001B3779">
        <w:rPr>
          <w:lang w:val="fr-FR"/>
        </w:rPr>
        <w:t xml:space="preserve">) </w:t>
      </w:r>
      <w:r w:rsidR="00FA41CC" w:rsidRPr="001B3779">
        <w:rPr>
          <w:lang w:val="fr-FR"/>
        </w:rPr>
        <w:t>et cela va de simples agrégations des chi</w:t>
      </w:r>
      <w:r w:rsidR="00262B19" w:rsidRPr="001B3779">
        <w:rPr>
          <w:lang w:val="fr-FR"/>
        </w:rPr>
        <w:t>ffres transmis</w:t>
      </w:r>
      <w:r w:rsidR="005A3B40" w:rsidRPr="001B3779">
        <w:rPr>
          <w:lang w:val="fr-FR"/>
        </w:rPr>
        <w:t xml:space="preserve"> (par ex. dans le cadre du processus de rapport </w:t>
      </w:r>
      <w:r w:rsidR="00161B3D">
        <w:rPr>
          <w:lang w:val="fr-FR"/>
        </w:rPr>
        <w:t>prévu par</w:t>
      </w:r>
      <w:r w:rsidR="005A3B40" w:rsidRPr="001B3779">
        <w:rPr>
          <w:lang w:val="fr-FR"/>
        </w:rPr>
        <w:t xml:space="preserve"> l’</w:t>
      </w:r>
      <w:r w:rsidR="003F788D" w:rsidRPr="001B3779">
        <w:rPr>
          <w:lang w:val="fr-FR"/>
        </w:rPr>
        <w:t xml:space="preserve">Article 12 </w:t>
      </w:r>
      <w:r w:rsidR="005A3B40" w:rsidRPr="001B3779">
        <w:rPr>
          <w:lang w:val="fr-FR"/>
        </w:rPr>
        <w:t>de l’UE</w:t>
      </w:r>
      <w:r w:rsidR="003F788D" w:rsidRPr="001B3779">
        <w:rPr>
          <w:lang w:val="fr-FR"/>
        </w:rPr>
        <w:t xml:space="preserve">) </w:t>
      </w:r>
      <w:r w:rsidR="009A653D" w:rsidRPr="001B3779">
        <w:rPr>
          <w:lang w:val="fr-FR"/>
        </w:rPr>
        <w:t>à des</w:t>
      </w:r>
      <w:r w:rsidR="003F788D" w:rsidRPr="001B3779">
        <w:rPr>
          <w:lang w:val="fr-FR"/>
        </w:rPr>
        <w:t xml:space="preserve"> analyses</w:t>
      </w:r>
      <w:r w:rsidR="009A653D" w:rsidRPr="001B3779">
        <w:rPr>
          <w:lang w:val="fr-FR"/>
        </w:rPr>
        <w:t xml:space="preserve"> des tendances</w:t>
      </w:r>
      <w:r w:rsidR="00587B63" w:rsidRPr="001B3779">
        <w:rPr>
          <w:lang w:val="fr-FR"/>
        </w:rPr>
        <w:t xml:space="preserve"> combinées supranationales</w:t>
      </w:r>
      <w:r w:rsidR="003F788D" w:rsidRPr="001B3779">
        <w:rPr>
          <w:lang w:val="fr-FR"/>
        </w:rPr>
        <w:t xml:space="preserve"> (</w:t>
      </w:r>
      <w:r w:rsidR="00997702" w:rsidRPr="001B3779">
        <w:rPr>
          <w:lang w:val="fr-FR"/>
        </w:rPr>
        <w:t>par ex.</w:t>
      </w:r>
      <w:r w:rsidR="003F788D" w:rsidRPr="001B3779">
        <w:rPr>
          <w:lang w:val="fr-FR"/>
        </w:rPr>
        <w:t xml:space="preserve"> IWC, PECBMS, HELCOM, OSPAR, </w:t>
      </w:r>
      <w:r w:rsidR="00870BA8" w:rsidRPr="001B3779">
        <w:rPr>
          <w:lang w:val="fr-FR"/>
        </w:rPr>
        <w:t>mer des Wadden</w:t>
      </w:r>
      <w:r w:rsidR="003F788D" w:rsidRPr="001B3779">
        <w:rPr>
          <w:lang w:val="fr-FR"/>
        </w:rPr>
        <w:t>).</w:t>
      </w:r>
    </w:p>
    <w:p w14:paraId="5855A5DB" w14:textId="77777777" w:rsidR="00664206" w:rsidRPr="001B3779" w:rsidRDefault="00664206" w:rsidP="006C2A38">
      <w:pPr>
        <w:pStyle w:val="BodyText"/>
        <w:spacing w:before="1"/>
        <w:jc w:val="both"/>
        <w:rPr>
          <w:lang w:val="fr-FR"/>
        </w:rPr>
      </w:pPr>
    </w:p>
    <w:p w14:paraId="68C8B0B3" w14:textId="00370CBE" w:rsidR="00664206" w:rsidRPr="001B3779" w:rsidRDefault="00F713DA" w:rsidP="006C2A38">
      <w:pPr>
        <w:pStyle w:val="BodyText"/>
        <w:ind w:left="720" w:right="631"/>
        <w:jc w:val="both"/>
        <w:rPr>
          <w:lang w:val="fr-FR"/>
        </w:rPr>
      </w:pPr>
      <w:r w:rsidRPr="001B3779">
        <w:rPr>
          <w:lang w:val="fr-FR"/>
        </w:rPr>
        <w:t xml:space="preserve">Les niveaux géographiques </w:t>
      </w:r>
      <w:r w:rsidR="0034088F" w:rsidRPr="001B3779">
        <w:rPr>
          <w:lang w:val="fr-FR"/>
        </w:rPr>
        <w:t>diffèrent</w:t>
      </w:r>
      <w:r w:rsidRPr="001B3779">
        <w:rPr>
          <w:lang w:val="fr-FR"/>
        </w:rPr>
        <w:t xml:space="preserve"> généralement (</w:t>
      </w:r>
      <w:r w:rsidR="00CA6574" w:rsidRPr="001B3779">
        <w:rPr>
          <w:lang w:val="fr-FR"/>
        </w:rPr>
        <w:t xml:space="preserve">par ex. </w:t>
      </w:r>
      <w:r w:rsidR="00107743" w:rsidRPr="001B3779">
        <w:rPr>
          <w:lang w:val="fr-FR"/>
        </w:rPr>
        <w:t xml:space="preserve">totalité de l’aire de </w:t>
      </w:r>
      <w:r w:rsidR="00EB3F25" w:rsidRPr="001B3779">
        <w:rPr>
          <w:lang w:val="fr-FR"/>
        </w:rPr>
        <w:t>répartition</w:t>
      </w:r>
      <w:r w:rsidR="00107743" w:rsidRPr="001B3779">
        <w:rPr>
          <w:lang w:val="fr-FR"/>
        </w:rPr>
        <w:t xml:space="preserve"> d’une espèce ou</w:t>
      </w:r>
      <w:r w:rsidR="003F788D" w:rsidRPr="001B3779">
        <w:rPr>
          <w:lang w:val="fr-FR"/>
        </w:rPr>
        <w:t xml:space="preserve"> population, Europe, U</w:t>
      </w:r>
      <w:r w:rsidR="00107743" w:rsidRPr="001B3779">
        <w:rPr>
          <w:lang w:val="fr-FR"/>
        </w:rPr>
        <w:t>E</w:t>
      </w:r>
      <w:r w:rsidR="003F788D" w:rsidRPr="001B3779">
        <w:rPr>
          <w:lang w:val="fr-FR"/>
        </w:rPr>
        <w:t xml:space="preserve">, OSPAR, </w:t>
      </w:r>
      <w:r w:rsidR="00107743" w:rsidRPr="001B3779">
        <w:rPr>
          <w:lang w:val="fr-FR"/>
        </w:rPr>
        <w:t>régions ou sous-régions d’</w:t>
      </w:r>
      <w:r w:rsidR="003F788D" w:rsidRPr="001B3779">
        <w:rPr>
          <w:lang w:val="fr-FR"/>
        </w:rPr>
        <w:t xml:space="preserve">HELCOM) </w:t>
      </w:r>
      <w:r w:rsidR="00107743" w:rsidRPr="001B3779">
        <w:rPr>
          <w:lang w:val="fr-FR"/>
        </w:rPr>
        <w:t>selon les besoins spécifiques de l’AME</w:t>
      </w:r>
      <w:r w:rsidR="003F788D" w:rsidRPr="001B3779">
        <w:rPr>
          <w:lang w:val="fr-FR"/>
        </w:rPr>
        <w:t>.</w:t>
      </w:r>
    </w:p>
    <w:p w14:paraId="762FC3AD" w14:textId="77777777" w:rsidR="00664206" w:rsidRPr="001B3779" w:rsidRDefault="00664206" w:rsidP="006C2A38">
      <w:pPr>
        <w:pStyle w:val="BodyText"/>
        <w:spacing w:before="11"/>
        <w:jc w:val="both"/>
        <w:rPr>
          <w:sz w:val="21"/>
          <w:lang w:val="fr-FR"/>
        </w:rPr>
      </w:pPr>
    </w:p>
    <w:p w14:paraId="2172BF55" w14:textId="3F8B150B" w:rsidR="00664206" w:rsidRPr="001B3779" w:rsidRDefault="006B1831" w:rsidP="006C2A38">
      <w:pPr>
        <w:pStyle w:val="BodyText"/>
        <w:ind w:left="720" w:right="738"/>
        <w:jc w:val="both"/>
        <w:rPr>
          <w:lang w:val="fr-FR"/>
        </w:rPr>
      </w:pPr>
      <w:r w:rsidRPr="001B3779">
        <w:rPr>
          <w:lang w:val="fr-FR"/>
        </w:rPr>
        <w:t>Généralement, les critères d’évaluation</w:t>
      </w:r>
      <w:r w:rsidR="00930965" w:rsidRPr="001B3779">
        <w:rPr>
          <w:lang w:val="fr-FR"/>
        </w:rPr>
        <w:t xml:space="preserve"> </w:t>
      </w:r>
      <w:r w:rsidR="00A318D7" w:rsidRPr="001B3779">
        <w:rPr>
          <w:lang w:val="fr-FR"/>
        </w:rPr>
        <w:t>diffèrent</w:t>
      </w:r>
      <w:r w:rsidR="00930965" w:rsidRPr="001B3779">
        <w:rPr>
          <w:lang w:val="fr-FR"/>
        </w:rPr>
        <w:t xml:space="preserve"> </w:t>
      </w:r>
      <w:r w:rsidR="00930965" w:rsidRPr="001B3779">
        <w:rPr>
          <w:spacing w:val="-12"/>
          <w:lang w:val="fr-FR"/>
        </w:rPr>
        <w:t xml:space="preserve">également, reflétant les accords spécifiques </w:t>
      </w:r>
      <w:r w:rsidR="00A318D7" w:rsidRPr="001B3779">
        <w:rPr>
          <w:spacing w:val="-12"/>
          <w:lang w:val="fr-FR"/>
        </w:rPr>
        <w:t>au sein des groupes d’experts de l’AME respectif</w:t>
      </w:r>
      <w:r w:rsidR="003F788D" w:rsidRPr="001B3779">
        <w:rPr>
          <w:lang w:val="fr-FR"/>
        </w:rPr>
        <w:t>.</w:t>
      </w:r>
      <w:r w:rsidR="003F788D" w:rsidRPr="001B3779">
        <w:rPr>
          <w:spacing w:val="-15"/>
          <w:lang w:val="fr-FR"/>
        </w:rPr>
        <w:t xml:space="preserve"> </w:t>
      </w:r>
      <w:r w:rsidR="007E4099" w:rsidRPr="001B3779">
        <w:rPr>
          <w:lang w:val="fr-FR"/>
        </w:rPr>
        <w:t xml:space="preserve">Ces différences reflètent en partie les différents contextes juridiques de l’AME, les </w:t>
      </w:r>
      <w:r w:rsidR="00395A64" w:rsidRPr="001B3779">
        <w:rPr>
          <w:lang w:val="fr-FR"/>
        </w:rPr>
        <w:t xml:space="preserve">objectifs politiques et les préférences </w:t>
      </w:r>
      <w:r w:rsidR="00FF2984" w:rsidRPr="001B3779">
        <w:rPr>
          <w:lang w:val="fr-FR"/>
        </w:rPr>
        <w:t>diverse</w:t>
      </w:r>
      <w:r w:rsidR="00721109" w:rsidRPr="001B3779">
        <w:rPr>
          <w:lang w:val="fr-FR"/>
        </w:rPr>
        <w:t>s</w:t>
      </w:r>
      <w:r w:rsidR="00FF2984" w:rsidRPr="001B3779">
        <w:rPr>
          <w:lang w:val="fr-FR"/>
        </w:rPr>
        <w:t xml:space="preserve">, </w:t>
      </w:r>
      <w:proofErr w:type="gramStart"/>
      <w:r w:rsidR="00FF2984" w:rsidRPr="001B3779">
        <w:rPr>
          <w:lang w:val="fr-FR"/>
        </w:rPr>
        <w:t>comme par exemple</w:t>
      </w:r>
      <w:proofErr w:type="gramEnd"/>
      <w:r w:rsidR="00FF2984" w:rsidRPr="001B3779">
        <w:rPr>
          <w:lang w:val="fr-FR"/>
        </w:rPr>
        <w:t xml:space="preserve"> la manière dont les tendances doivent être évaluées</w:t>
      </w:r>
      <w:r w:rsidR="003F788D" w:rsidRPr="001B3779">
        <w:rPr>
          <w:lang w:val="fr-FR"/>
        </w:rPr>
        <w:t>.</w:t>
      </w:r>
    </w:p>
    <w:p w14:paraId="4A22E08B" w14:textId="77777777" w:rsidR="00664206" w:rsidRPr="001B3779" w:rsidRDefault="00664206">
      <w:pPr>
        <w:pStyle w:val="BodyText"/>
        <w:spacing w:before="10"/>
        <w:rPr>
          <w:sz w:val="34"/>
          <w:lang w:val="fr-FR"/>
        </w:rPr>
      </w:pPr>
    </w:p>
    <w:p w14:paraId="370D04F8" w14:textId="1503753C" w:rsidR="00664206" w:rsidRPr="001B3779" w:rsidRDefault="003F788D">
      <w:pPr>
        <w:pStyle w:val="Heading1"/>
        <w:jc w:val="both"/>
        <w:rPr>
          <w:lang w:val="fr-FR"/>
        </w:rPr>
      </w:pPr>
      <w:r w:rsidRPr="001B3779">
        <w:rPr>
          <w:lang w:val="fr-FR"/>
        </w:rPr>
        <w:t xml:space="preserve">Synergies </w:t>
      </w:r>
      <w:r w:rsidR="00EA7FAF" w:rsidRPr="001B3779">
        <w:rPr>
          <w:lang w:val="fr-FR"/>
        </w:rPr>
        <w:t>déjà en place</w:t>
      </w:r>
    </w:p>
    <w:p w14:paraId="09847B15" w14:textId="1848CE9D" w:rsidR="00664206" w:rsidRPr="001B3779" w:rsidRDefault="0022352F">
      <w:pPr>
        <w:pStyle w:val="Heading2"/>
        <w:spacing w:before="161"/>
        <w:ind w:right="733"/>
        <w:rPr>
          <w:sz w:val="22"/>
          <w:szCs w:val="22"/>
          <w:lang w:val="fr-FR"/>
        </w:rPr>
      </w:pPr>
      <w:r w:rsidRPr="001B3779">
        <w:rPr>
          <w:sz w:val="22"/>
          <w:szCs w:val="22"/>
          <w:lang w:val="fr-FR"/>
        </w:rPr>
        <w:t xml:space="preserve">En </w:t>
      </w:r>
      <w:r w:rsidR="00C777D7" w:rsidRPr="001B3779">
        <w:rPr>
          <w:sz w:val="22"/>
          <w:szCs w:val="22"/>
          <w:lang w:val="fr-FR"/>
        </w:rPr>
        <w:t>général</w:t>
      </w:r>
      <w:r w:rsidRPr="001B3779">
        <w:rPr>
          <w:sz w:val="22"/>
          <w:szCs w:val="22"/>
          <w:lang w:val="fr-FR"/>
        </w:rPr>
        <w:t xml:space="preserve">, les évaluations avec une </w:t>
      </w:r>
      <w:r w:rsidR="00C777D7" w:rsidRPr="001B3779">
        <w:rPr>
          <w:sz w:val="22"/>
          <w:szCs w:val="22"/>
          <w:lang w:val="fr-FR"/>
        </w:rPr>
        <w:t>échelle</w:t>
      </w:r>
      <w:r w:rsidRPr="001B3779">
        <w:rPr>
          <w:sz w:val="22"/>
          <w:szCs w:val="22"/>
          <w:lang w:val="fr-FR"/>
        </w:rPr>
        <w:t xml:space="preserve"> géographique plus large s’appuient sur les résultats d’autres éva</w:t>
      </w:r>
      <w:r w:rsidR="00C777D7" w:rsidRPr="001B3779">
        <w:rPr>
          <w:sz w:val="22"/>
          <w:szCs w:val="22"/>
          <w:lang w:val="fr-FR"/>
        </w:rPr>
        <w:t>luations au sein de leur zone géographique</w:t>
      </w:r>
      <w:r w:rsidR="003F788D" w:rsidRPr="001B3779">
        <w:rPr>
          <w:sz w:val="22"/>
          <w:szCs w:val="22"/>
          <w:lang w:val="fr-FR"/>
        </w:rPr>
        <w:t>.</w:t>
      </w:r>
      <w:r w:rsidR="003F788D" w:rsidRPr="001B3779">
        <w:rPr>
          <w:spacing w:val="-4"/>
          <w:sz w:val="22"/>
          <w:szCs w:val="22"/>
          <w:lang w:val="fr-FR"/>
        </w:rPr>
        <w:t xml:space="preserve"> </w:t>
      </w:r>
      <w:r w:rsidR="00C777D7" w:rsidRPr="001B3779">
        <w:rPr>
          <w:sz w:val="22"/>
          <w:szCs w:val="22"/>
          <w:lang w:val="fr-FR"/>
        </w:rPr>
        <w:t>Par ex</w:t>
      </w:r>
      <w:r w:rsidR="007E419C" w:rsidRPr="001B3779">
        <w:rPr>
          <w:sz w:val="22"/>
          <w:szCs w:val="22"/>
          <w:lang w:val="fr-FR"/>
        </w:rPr>
        <w:t>emple</w:t>
      </w:r>
      <w:r w:rsidR="00C777D7" w:rsidRPr="001B3779">
        <w:rPr>
          <w:sz w:val="22"/>
          <w:szCs w:val="22"/>
          <w:lang w:val="fr-FR"/>
        </w:rPr>
        <w:t xml:space="preserve">, </w:t>
      </w:r>
      <w:r w:rsidR="00D01E83" w:rsidRPr="001B3779">
        <w:rPr>
          <w:sz w:val="22"/>
          <w:szCs w:val="22"/>
          <w:lang w:val="fr-FR"/>
        </w:rPr>
        <w:t>les seuils d’</w:t>
      </w:r>
      <w:r w:rsidR="003F788D" w:rsidRPr="001B3779">
        <w:rPr>
          <w:sz w:val="22"/>
          <w:szCs w:val="22"/>
          <w:lang w:val="fr-FR"/>
        </w:rPr>
        <w:t>1</w:t>
      </w:r>
      <w:r w:rsidR="00D01E83" w:rsidRPr="001B3779">
        <w:rPr>
          <w:sz w:val="22"/>
          <w:szCs w:val="22"/>
          <w:lang w:val="fr-FR"/>
        </w:rPr>
        <w:t> </w:t>
      </w:r>
      <w:r w:rsidR="003F788D" w:rsidRPr="001B3779">
        <w:rPr>
          <w:sz w:val="22"/>
          <w:szCs w:val="22"/>
          <w:lang w:val="fr-FR"/>
        </w:rPr>
        <w:t>%</w:t>
      </w:r>
      <w:r w:rsidR="003F788D" w:rsidRPr="001B3779">
        <w:rPr>
          <w:spacing w:val="-5"/>
          <w:sz w:val="22"/>
          <w:szCs w:val="22"/>
          <w:lang w:val="fr-FR"/>
        </w:rPr>
        <w:t xml:space="preserve"> </w:t>
      </w:r>
      <w:r w:rsidR="00D01E83" w:rsidRPr="001B3779">
        <w:rPr>
          <w:sz w:val="22"/>
          <w:szCs w:val="22"/>
          <w:lang w:val="fr-FR"/>
        </w:rPr>
        <w:t>dans le cadre du critère 6 de</w:t>
      </w:r>
      <w:r w:rsidR="003F788D" w:rsidRPr="001B3779">
        <w:rPr>
          <w:spacing w:val="-1"/>
          <w:sz w:val="22"/>
          <w:szCs w:val="22"/>
          <w:lang w:val="fr-FR"/>
        </w:rPr>
        <w:t xml:space="preserve"> </w:t>
      </w:r>
      <w:r w:rsidR="003F788D" w:rsidRPr="001B3779">
        <w:rPr>
          <w:sz w:val="22"/>
          <w:szCs w:val="22"/>
          <w:lang w:val="fr-FR"/>
        </w:rPr>
        <w:t>Ramsar</w:t>
      </w:r>
      <w:r w:rsidR="003F788D" w:rsidRPr="001B3779">
        <w:rPr>
          <w:spacing w:val="-4"/>
          <w:sz w:val="22"/>
          <w:szCs w:val="22"/>
          <w:lang w:val="fr-FR"/>
        </w:rPr>
        <w:t xml:space="preserve"> </w:t>
      </w:r>
      <w:r w:rsidR="00830C4B" w:rsidRPr="001B3779">
        <w:rPr>
          <w:sz w:val="22"/>
          <w:szCs w:val="22"/>
          <w:lang w:val="fr-FR"/>
        </w:rPr>
        <w:t>sont à présents établis à l’aide des</w:t>
      </w:r>
      <w:r w:rsidR="003F788D" w:rsidRPr="001B3779">
        <w:rPr>
          <w:sz w:val="22"/>
          <w:szCs w:val="22"/>
          <w:lang w:val="fr-FR"/>
        </w:rPr>
        <w:t xml:space="preserve"> information</w:t>
      </w:r>
      <w:r w:rsidR="00830C4B" w:rsidRPr="001B3779">
        <w:rPr>
          <w:sz w:val="22"/>
          <w:szCs w:val="22"/>
          <w:lang w:val="fr-FR"/>
        </w:rPr>
        <w:t>s</w:t>
      </w:r>
      <w:r w:rsidR="003F788D" w:rsidRPr="001B3779">
        <w:rPr>
          <w:sz w:val="22"/>
          <w:szCs w:val="22"/>
          <w:lang w:val="fr-FR"/>
        </w:rPr>
        <w:t xml:space="preserve"> </w:t>
      </w:r>
      <w:r w:rsidR="00830C4B" w:rsidRPr="001B3779">
        <w:rPr>
          <w:sz w:val="22"/>
          <w:szCs w:val="22"/>
          <w:lang w:val="fr-FR"/>
        </w:rPr>
        <w:t>collectées et évaluées pour le Rapport sur l’état de conservation de l’</w:t>
      </w:r>
      <w:r w:rsidR="003F788D" w:rsidRPr="001B3779">
        <w:rPr>
          <w:sz w:val="22"/>
          <w:szCs w:val="22"/>
          <w:lang w:val="fr-FR"/>
        </w:rPr>
        <w:t xml:space="preserve">AEWA. </w:t>
      </w:r>
      <w:r w:rsidR="007A0A18" w:rsidRPr="001B3779">
        <w:rPr>
          <w:sz w:val="22"/>
          <w:szCs w:val="22"/>
          <w:lang w:val="fr-FR"/>
        </w:rPr>
        <w:t xml:space="preserve">De </w:t>
      </w:r>
      <w:r w:rsidR="00871B7F" w:rsidRPr="001B3779">
        <w:rPr>
          <w:sz w:val="22"/>
          <w:szCs w:val="22"/>
          <w:lang w:val="fr-FR"/>
        </w:rPr>
        <w:t>son</w:t>
      </w:r>
      <w:r w:rsidR="007A0A18" w:rsidRPr="001B3779">
        <w:rPr>
          <w:sz w:val="22"/>
          <w:szCs w:val="22"/>
          <w:lang w:val="fr-FR"/>
        </w:rPr>
        <w:t xml:space="preserve"> côté, le</w:t>
      </w:r>
      <w:r w:rsidR="003F788D" w:rsidRPr="001B3779">
        <w:rPr>
          <w:sz w:val="22"/>
          <w:szCs w:val="22"/>
          <w:lang w:val="fr-FR"/>
        </w:rPr>
        <w:t xml:space="preserve"> </w:t>
      </w:r>
      <w:r w:rsidR="007A0A18" w:rsidRPr="001B3779">
        <w:rPr>
          <w:sz w:val="22"/>
          <w:szCs w:val="22"/>
          <w:lang w:val="fr-FR"/>
        </w:rPr>
        <w:t>Rapport sur l’état de conservation de l’</w:t>
      </w:r>
      <w:r w:rsidR="003F788D" w:rsidRPr="001B3779">
        <w:rPr>
          <w:sz w:val="22"/>
          <w:szCs w:val="22"/>
          <w:lang w:val="fr-FR"/>
        </w:rPr>
        <w:t xml:space="preserve">AEWA </w:t>
      </w:r>
      <w:r w:rsidR="007A0A18" w:rsidRPr="001B3779">
        <w:rPr>
          <w:sz w:val="22"/>
          <w:szCs w:val="22"/>
          <w:lang w:val="fr-FR"/>
        </w:rPr>
        <w:t>s’appuie</w:t>
      </w:r>
      <w:r w:rsidR="00E352C0" w:rsidRPr="001B3779">
        <w:rPr>
          <w:sz w:val="22"/>
          <w:szCs w:val="22"/>
          <w:lang w:val="fr-FR"/>
        </w:rPr>
        <w:t xml:space="preserve"> grandement sur les estimations de</w:t>
      </w:r>
      <w:r w:rsidR="003F788D" w:rsidRPr="001B3779">
        <w:rPr>
          <w:sz w:val="22"/>
          <w:szCs w:val="22"/>
          <w:lang w:val="fr-FR"/>
        </w:rPr>
        <w:t xml:space="preserve"> population </w:t>
      </w:r>
      <w:r w:rsidR="00E352C0" w:rsidRPr="001B3779">
        <w:rPr>
          <w:sz w:val="22"/>
          <w:szCs w:val="22"/>
          <w:lang w:val="fr-FR"/>
        </w:rPr>
        <w:t>collectées pour la</w:t>
      </w:r>
      <w:r w:rsidR="003F788D" w:rsidRPr="001B3779">
        <w:rPr>
          <w:sz w:val="22"/>
          <w:szCs w:val="22"/>
          <w:lang w:val="fr-FR"/>
        </w:rPr>
        <w:t xml:space="preserve"> List</w:t>
      </w:r>
      <w:r w:rsidR="00E352C0" w:rsidRPr="001B3779">
        <w:rPr>
          <w:sz w:val="22"/>
          <w:szCs w:val="22"/>
          <w:lang w:val="fr-FR"/>
        </w:rPr>
        <w:t>e</w:t>
      </w:r>
      <w:r w:rsidR="003F788D" w:rsidRPr="001B3779">
        <w:rPr>
          <w:sz w:val="22"/>
          <w:szCs w:val="22"/>
          <w:lang w:val="fr-FR"/>
        </w:rPr>
        <w:t xml:space="preserve"> </w:t>
      </w:r>
      <w:r w:rsidR="00E352C0" w:rsidRPr="001B3779">
        <w:rPr>
          <w:sz w:val="22"/>
          <w:szCs w:val="22"/>
          <w:lang w:val="fr-FR"/>
        </w:rPr>
        <w:t>rouge européenne des oiseaux et les processus</w:t>
      </w:r>
      <w:r w:rsidR="00871B7F" w:rsidRPr="001B3779">
        <w:rPr>
          <w:sz w:val="22"/>
          <w:szCs w:val="22"/>
          <w:lang w:val="fr-FR"/>
        </w:rPr>
        <w:t xml:space="preserve"> </w:t>
      </w:r>
      <w:r w:rsidR="00AD4AAF">
        <w:rPr>
          <w:sz w:val="22"/>
          <w:szCs w:val="22"/>
          <w:lang w:val="fr-FR"/>
        </w:rPr>
        <w:t>prévus par</w:t>
      </w:r>
      <w:r w:rsidR="00871B7F" w:rsidRPr="001B3779">
        <w:rPr>
          <w:sz w:val="22"/>
          <w:szCs w:val="22"/>
          <w:lang w:val="fr-FR"/>
        </w:rPr>
        <w:t xml:space="preserve"> l’Article 12 de la </w:t>
      </w:r>
      <w:r w:rsidR="003F788D" w:rsidRPr="001B3779">
        <w:rPr>
          <w:sz w:val="22"/>
          <w:szCs w:val="22"/>
          <w:lang w:val="fr-FR"/>
        </w:rPr>
        <w:t xml:space="preserve">Directive </w:t>
      </w:r>
      <w:r w:rsidR="00871B7F" w:rsidRPr="001B3779">
        <w:rPr>
          <w:sz w:val="22"/>
          <w:szCs w:val="22"/>
          <w:lang w:val="fr-FR"/>
        </w:rPr>
        <w:t>Oiseaux de l’UE</w:t>
      </w:r>
      <w:r w:rsidR="003F788D" w:rsidRPr="001B3779">
        <w:rPr>
          <w:sz w:val="22"/>
          <w:szCs w:val="22"/>
          <w:lang w:val="fr-FR"/>
        </w:rPr>
        <w:t xml:space="preserve">. </w:t>
      </w:r>
      <w:r w:rsidR="00316180" w:rsidRPr="001B3779">
        <w:rPr>
          <w:sz w:val="22"/>
          <w:szCs w:val="22"/>
          <w:lang w:val="fr-FR"/>
        </w:rPr>
        <w:t>Les données côtières et</w:t>
      </w:r>
      <w:r w:rsidR="003F788D" w:rsidRPr="001B3779">
        <w:rPr>
          <w:sz w:val="22"/>
          <w:szCs w:val="22"/>
          <w:lang w:val="fr-FR"/>
        </w:rPr>
        <w:t xml:space="preserve"> marine</w:t>
      </w:r>
      <w:r w:rsidR="00316180" w:rsidRPr="001B3779">
        <w:rPr>
          <w:sz w:val="22"/>
          <w:szCs w:val="22"/>
          <w:lang w:val="fr-FR"/>
        </w:rPr>
        <w:t>s</w:t>
      </w:r>
      <w:r w:rsidR="003F788D" w:rsidRPr="001B3779">
        <w:rPr>
          <w:sz w:val="22"/>
          <w:szCs w:val="22"/>
          <w:lang w:val="fr-FR"/>
        </w:rPr>
        <w:t xml:space="preserve"> </w:t>
      </w:r>
      <w:r w:rsidR="00316180" w:rsidRPr="001B3779">
        <w:rPr>
          <w:sz w:val="22"/>
          <w:szCs w:val="22"/>
          <w:lang w:val="fr-FR"/>
        </w:rPr>
        <w:t xml:space="preserve">collectées </w:t>
      </w:r>
      <w:r w:rsidR="00D27810" w:rsidRPr="001B3779">
        <w:rPr>
          <w:sz w:val="22"/>
          <w:szCs w:val="22"/>
          <w:lang w:val="fr-FR"/>
        </w:rPr>
        <w:t>aux fins de la</w:t>
      </w:r>
      <w:r w:rsidR="003F788D" w:rsidRPr="001B3779">
        <w:rPr>
          <w:sz w:val="22"/>
          <w:szCs w:val="22"/>
          <w:lang w:val="fr-FR"/>
        </w:rPr>
        <w:t xml:space="preserve"> Directive </w:t>
      </w:r>
      <w:r w:rsidR="00D27810" w:rsidRPr="001B3779">
        <w:rPr>
          <w:sz w:val="22"/>
          <w:szCs w:val="22"/>
          <w:lang w:val="fr-FR"/>
        </w:rPr>
        <w:t>Oiseaux sont également utilisées dans les</w:t>
      </w:r>
      <w:r w:rsidR="003F788D" w:rsidRPr="001B3779">
        <w:rPr>
          <w:sz w:val="22"/>
          <w:szCs w:val="22"/>
          <w:lang w:val="fr-FR"/>
        </w:rPr>
        <w:t xml:space="preserve"> analyses </w:t>
      </w:r>
      <w:r w:rsidR="00D27810" w:rsidRPr="001B3779">
        <w:rPr>
          <w:sz w:val="22"/>
          <w:szCs w:val="22"/>
          <w:lang w:val="fr-FR"/>
        </w:rPr>
        <w:t>de tendances et les évaluations de l’état des espèces menées</w:t>
      </w:r>
      <w:r w:rsidR="00B07F7B" w:rsidRPr="001B3779">
        <w:rPr>
          <w:sz w:val="22"/>
          <w:szCs w:val="22"/>
          <w:lang w:val="fr-FR"/>
        </w:rPr>
        <w:t xml:space="preserve"> dans le cadre des évaluations</w:t>
      </w:r>
      <w:r w:rsidR="002174B4" w:rsidRPr="001B3779">
        <w:rPr>
          <w:sz w:val="22"/>
          <w:szCs w:val="22"/>
          <w:lang w:val="fr-FR"/>
        </w:rPr>
        <w:t xml:space="preserve"> des mers régionales</w:t>
      </w:r>
      <w:r w:rsidR="00485A5A" w:rsidRPr="001B3779">
        <w:rPr>
          <w:sz w:val="22"/>
          <w:szCs w:val="22"/>
          <w:lang w:val="fr-FR"/>
        </w:rPr>
        <w:t xml:space="preserve"> d’</w:t>
      </w:r>
      <w:r w:rsidR="003F788D" w:rsidRPr="001B3779">
        <w:rPr>
          <w:sz w:val="22"/>
          <w:szCs w:val="22"/>
          <w:lang w:val="fr-FR"/>
        </w:rPr>
        <w:t xml:space="preserve">HELCOM </w:t>
      </w:r>
      <w:r w:rsidR="00485A5A" w:rsidRPr="001B3779">
        <w:rPr>
          <w:sz w:val="22"/>
          <w:szCs w:val="22"/>
          <w:lang w:val="fr-FR"/>
        </w:rPr>
        <w:t>et</w:t>
      </w:r>
      <w:r w:rsidR="003F788D" w:rsidRPr="001B3779">
        <w:rPr>
          <w:sz w:val="22"/>
          <w:szCs w:val="22"/>
          <w:lang w:val="fr-FR"/>
        </w:rPr>
        <w:t xml:space="preserve"> OSPAR. </w:t>
      </w:r>
      <w:r w:rsidR="00B26689" w:rsidRPr="001B3779">
        <w:rPr>
          <w:sz w:val="22"/>
          <w:szCs w:val="22"/>
          <w:lang w:val="fr-FR"/>
        </w:rPr>
        <w:t>Les évaluations d’</w:t>
      </w:r>
      <w:r w:rsidR="003F788D" w:rsidRPr="001B3779">
        <w:rPr>
          <w:sz w:val="22"/>
          <w:szCs w:val="22"/>
          <w:lang w:val="fr-FR"/>
        </w:rPr>
        <w:t xml:space="preserve">HELCOM </w:t>
      </w:r>
      <w:r w:rsidR="00B26689" w:rsidRPr="001B3779">
        <w:rPr>
          <w:sz w:val="22"/>
          <w:szCs w:val="22"/>
          <w:lang w:val="fr-FR"/>
        </w:rPr>
        <w:t>et</w:t>
      </w:r>
      <w:r w:rsidR="003F788D" w:rsidRPr="001B3779">
        <w:rPr>
          <w:sz w:val="22"/>
          <w:szCs w:val="22"/>
          <w:lang w:val="fr-FR"/>
        </w:rPr>
        <w:t xml:space="preserve"> OSPAR </w:t>
      </w:r>
      <w:r w:rsidR="00B26689" w:rsidRPr="001B3779">
        <w:rPr>
          <w:sz w:val="22"/>
          <w:szCs w:val="22"/>
          <w:lang w:val="fr-FR"/>
        </w:rPr>
        <w:t>sont conçues spécifiquement</w:t>
      </w:r>
      <w:r w:rsidR="007017D1" w:rsidRPr="001B3779">
        <w:rPr>
          <w:sz w:val="22"/>
          <w:szCs w:val="22"/>
          <w:lang w:val="fr-FR"/>
        </w:rPr>
        <w:t xml:space="preserve"> pour être utilisées p</w:t>
      </w:r>
      <w:r w:rsidR="007C617C" w:rsidRPr="001B3779">
        <w:rPr>
          <w:sz w:val="22"/>
          <w:szCs w:val="22"/>
          <w:lang w:val="fr-FR"/>
        </w:rPr>
        <w:t>a</w:t>
      </w:r>
      <w:r w:rsidR="007017D1" w:rsidRPr="001B3779">
        <w:rPr>
          <w:sz w:val="22"/>
          <w:szCs w:val="22"/>
          <w:lang w:val="fr-FR"/>
        </w:rPr>
        <w:t xml:space="preserve">r les États membres de l’UE dans leurs rapports sur </w:t>
      </w:r>
      <w:r w:rsidR="00694BB2" w:rsidRPr="001B3779">
        <w:rPr>
          <w:sz w:val="22"/>
          <w:szCs w:val="22"/>
          <w:lang w:val="fr-FR"/>
        </w:rPr>
        <w:t>le bon état écologique des oiseaux marins</w:t>
      </w:r>
      <w:r w:rsidR="00DB1B2F" w:rsidRPr="001B3779">
        <w:rPr>
          <w:sz w:val="22"/>
          <w:szCs w:val="22"/>
          <w:lang w:val="fr-FR"/>
        </w:rPr>
        <w:t>, dans le cadre de</w:t>
      </w:r>
      <w:r w:rsidR="007C617C" w:rsidRPr="001B3779">
        <w:rPr>
          <w:sz w:val="22"/>
          <w:szCs w:val="22"/>
          <w:lang w:val="fr-FR"/>
        </w:rPr>
        <w:t xml:space="preserve"> la</w:t>
      </w:r>
      <w:r w:rsidR="007C617C" w:rsidRPr="001B3779">
        <w:rPr>
          <w:lang w:val="fr-FR"/>
        </w:rPr>
        <w:t xml:space="preserve"> </w:t>
      </w:r>
      <w:r w:rsidR="007C617C" w:rsidRPr="001B3779">
        <w:rPr>
          <w:sz w:val="22"/>
          <w:szCs w:val="22"/>
          <w:lang w:val="fr-FR"/>
        </w:rPr>
        <w:t>Directive-cadre de l’UE « stratégie pour le milieu marin »</w:t>
      </w:r>
      <w:r w:rsidR="003F788D" w:rsidRPr="001B3779">
        <w:rPr>
          <w:sz w:val="22"/>
          <w:szCs w:val="22"/>
          <w:lang w:val="fr-FR"/>
        </w:rPr>
        <w:t xml:space="preserve"> (MSFD). </w:t>
      </w:r>
      <w:r w:rsidR="00C83C4D" w:rsidRPr="001B3779">
        <w:rPr>
          <w:sz w:val="22"/>
          <w:szCs w:val="22"/>
          <w:lang w:val="fr-FR"/>
        </w:rPr>
        <w:t>Les évaluations d’</w:t>
      </w:r>
      <w:r w:rsidR="003F788D" w:rsidRPr="001B3779">
        <w:rPr>
          <w:sz w:val="22"/>
          <w:szCs w:val="22"/>
          <w:lang w:val="fr-FR"/>
        </w:rPr>
        <w:t>HELCOM, OSPAR</w:t>
      </w:r>
      <w:r w:rsidR="00C83C4D" w:rsidRPr="001B3779">
        <w:rPr>
          <w:sz w:val="22"/>
          <w:szCs w:val="22"/>
          <w:lang w:val="fr-FR"/>
        </w:rPr>
        <w:t xml:space="preserve"> et</w:t>
      </w:r>
      <w:r w:rsidR="003F788D" w:rsidRPr="001B3779">
        <w:rPr>
          <w:sz w:val="22"/>
          <w:szCs w:val="22"/>
          <w:lang w:val="fr-FR"/>
        </w:rPr>
        <w:t xml:space="preserve"> MSFD </w:t>
      </w:r>
      <w:r w:rsidR="00C83C4D" w:rsidRPr="001B3779">
        <w:rPr>
          <w:sz w:val="22"/>
          <w:szCs w:val="22"/>
          <w:lang w:val="fr-FR"/>
        </w:rPr>
        <w:t xml:space="preserve">sont menées à une </w:t>
      </w:r>
      <w:r w:rsidR="00505BA2" w:rsidRPr="001B3779">
        <w:rPr>
          <w:sz w:val="22"/>
          <w:szCs w:val="22"/>
          <w:lang w:val="fr-FR"/>
        </w:rPr>
        <w:t>« échelle</w:t>
      </w:r>
      <w:r w:rsidR="00936450" w:rsidRPr="001B3779">
        <w:rPr>
          <w:sz w:val="22"/>
          <w:szCs w:val="22"/>
          <w:lang w:val="fr-FR"/>
        </w:rPr>
        <w:t xml:space="preserve"> pertinente sur le plan écologique</w:t>
      </w:r>
      <w:r w:rsidR="00505BA2" w:rsidRPr="001B3779">
        <w:rPr>
          <w:sz w:val="22"/>
          <w:szCs w:val="22"/>
          <w:lang w:val="fr-FR"/>
        </w:rPr>
        <w:t> »</w:t>
      </w:r>
      <w:r w:rsidR="005C258B" w:rsidRPr="001B3779">
        <w:rPr>
          <w:sz w:val="22"/>
          <w:szCs w:val="22"/>
          <w:lang w:val="fr-FR"/>
        </w:rPr>
        <w:t xml:space="preserve"> (plus grande que les eaux</w:t>
      </w:r>
      <w:r w:rsidR="003F788D" w:rsidRPr="001B3779">
        <w:rPr>
          <w:sz w:val="22"/>
          <w:szCs w:val="22"/>
          <w:lang w:val="fr-FR"/>
        </w:rPr>
        <w:t xml:space="preserve"> national</w:t>
      </w:r>
      <w:r w:rsidR="005C258B" w:rsidRPr="001B3779">
        <w:rPr>
          <w:sz w:val="22"/>
          <w:szCs w:val="22"/>
          <w:lang w:val="fr-FR"/>
        </w:rPr>
        <w:t>es</w:t>
      </w:r>
      <w:r w:rsidR="003F788D" w:rsidRPr="001B3779">
        <w:rPr>
          <w:sz w:val="22"/>
          <w:szCs w:val="22"/>
          <w:lang w:val="fr-FR"/>
        </w:rPr>
        <w:t xml:space="preserve">) </w:t>
      </w:r>
      <w:r w:rsidR="005C258B" w:rsidRPr="001B3779">
        <w:rPr>
          <w:sz w:val="22"/>
          <w:szCs w:val="22"/>
          <w:lang w:val="fr-FR"/>
        </w:rPr>
        <w:t>et sont ainsi facilement transmissibles au processus d’évaluation de la Voie de migration de l’Atlantique Est</w:t>
      </w:r>
      <w:r w:rsidR="002779E3" w:rsidRPr="001B3779">
        <w:rPr>
          <w:sz w:val="22"/>
          <w:szCs w:val="22"/>
          <w:lang w:val="fr-FR"/>
        </w:rPr>
        <w:t xml:space="preserve">, </w:t>
      </w:r>
      <w:r w:rsidR="00A72FBF" w:rsidRPr="001B3779">
        <w:rPr>
          <w:sz w:val="22"/>
          <w:szCs w:val="22"/>
          <w:lang w:val="fr-FR"/>
        </w:rPr>
        <w:t xml:space="preserve">dans le cadre </w:t>
      </w:r>
      <w:r w:rsidR="002779E3" w:rsidRPr="001B3779">
        <w:rPr>
          <w:sz w:val="22"/>
          <w:szCs w:val="22"/>
          <w:lang w:val="fr-FR"/>
        </w:rPr>
        <w:t xml:space="preserve">de </w:t>
      </w:r>
      <w:r w:rsidR="00505BA2" w:rsidRPr="001B3779">
        <w:rPr>
          <w:sz w:val="22"/>
          <w:szCs w:val="22"/>
          <w:lang w:val="fr-FR"/>
        </w:rPr>
        <w:t>l’Initiative Voie de migration de la mer des Wadden</w:t>
      </w:r>
      <w:r w:rsidR="003F788D" w:rsidRPr="001B3779">
        <w:rPr>
          <w:sz w:val="22"/>
          <w:szCs w:val="22"/>
          <w:lang w:val="fr-FR"/>
        </w:rPr>
        <w:t>.</w:t>
      </w:r>
    </w:p>
    <w:p w14:paraId="3A729811" w14:textId="77777777" w:rsidR="00664206" w:rsidRPr="001B3779" w:rsidRDefault="00664206">
      <w:pPr>
        <w:pStyle w:val="BodyText"/>
        <w:rPr>
          <w:szCs w:val="20"/>
          <w:lang w:val="fr-FR"/>
        </w:rPr>
      </w:pPr>
    </w:p>
    <w:p w14:paraId="257EB752" w14:textId="7CEBEC84" w:rsidR="00664206" w:rsidRPr="001B3779" w:rsidRDefault="000E2851" w:rsidP="00267723">
      <w:pPr>
        <w:pStyle w:val="BodyText"/>
        <w:ind w:left="720" w:right="735"/>
        <w:jc w:val="both"/>
        <w:rPr>
          <w:lang w:val="fr-FR"/>
        </w:rPr>
      </w:pPr>
      <w:r w:rsidRPr="001B3779">
        <w:rPr>
          <w:lang w:val="fr-FR"/>
        </w:rPr>
        <w:t>L’</w:t>
      </w:r>
      <w:r w:rsidR="003F788D" w:rsidRPr="001B3779">
        <w:rPr>
          <w:lang w:val="fr-FR"/>
        </w:rPr>
        <w:t xml:space="preserve">AEWA </w:t>
      </w:r>
      <w:r w:rsidRPr="001B3779">
        <w:rPr>
          <w:lang w:val="fr-FR"/>
        </w:rPr>
        <w:t>a déjà amélioré</w:t>
      </w:r>
      <w:r w:rsidR="000A5058" w:rsidRPr="001B3779">
        <w:rPr>
          <w:lang w:val="fr-FR"/>
        </w:rPr>
        <w:t xml:space="preserve"> les</w:t>
      </w:r>
      <w:r w:rsidR="003F788D" w:rsidRPr="001B3779">
        <w:rPr>
          <w:lang w:val="fr-FR"/>
        </w:rPr>
        <w:t xml:space="preserve"> synergies </w:t>
      </w:r>
      <w:r w:rsidR="000A5058" w:rsidRPr="001B3779">
        <w:rPr>
          <w:lang w:val="fr-FR"/>
        </w:rPr>
        <w:t xml:space="preserve">avec le processus de rapport </w:t>
      </w:r>
      <w:r w:rsidR="00F17860">
        <w:rPr>
          <w:lang w:val="fr-FR"/>
        </w:rPr>
        <w:t>prévu par</w:t>
      </w:r>
      <w:r w:rsidR="000A5058" w:rsidRPr="001B3779">
        <w:rPr>
          <w:lang w:val="fr-FR"/>
        </w:rPr>
        <w:t xml:space="preserve"> l’</w:t>
      </w:r>
      <w:r w:rsidR="003F788D" w:rsidRPr="001B3779">
        <w:rPr>
          <w:lang w:val="fr-FR"/>
        </w:rPr>
        <w:t xml:space="preserve">Article 12 </w:t>
      </w:r>
      <w:r w:rsidR="000A5058" w:rsidRPr="001B3779">
        <w:rPr>
          <w:lang w:val="fr-FR"/>
        </w:rPr>
        <w:t xml:space="preserve">de l’UE, en </w:t>
      </w:r>
      <w:r w:rsidR="00952499" w:rsidRPr="001B3779">
        <w:rPr>
          <w:lang w:val="fr-FR"/>
        </w:rPr>
        <w:t>harmonisant le calendrier, les données nécessaires et les directives de ses rapports</w:t>
      </w:r>
      <w:r w:rsidR="003F788D" w:rsidRPr="001B3779">
        <w:rPr>
          <w:spacing w:val="-5"/>
          <w:lang w:val="fr-FR"/>
        </w:rPr>
        <w:t xml:space="preserve"> </w:t>
      </w:r>
      <w:r w:rsidR="00952499" w:rsidRPr="001B3779">
        <w:rPr>
          <w:lang w:val="fr-FR"/>
        </w:rPr>
        <w:t>nationaux</w:t>
      </w:r>
      <w:r w:rsidR="00267723" w:rsidRPr="001B3779">
        <w:rPr>
          <w:lang w:val="fr-FR"/>
        </w:rPr>
        <w:t xml:space="preserve"> sur les tailles et tendances des populations avec ceux de l’UE</w:t>
      </w:r>
      <w:r w:rsidR="003F788D" w:rsidRPr="001B3779">
        <w:rPr>
          <w:lang w:val="fr-FR"/>
        </w:rPr>
        <w:t xml:space="preserve">. </w:t>
      </w:r>
      <w:r w:rsidR="00497430" w:rsidRPr="001B3779">
        <w:rPr>
          <w:lang w:val="fr-FR"/>
        </w:rPr>
        <w:t xml:space="preserve">De cette manière, </w:t>
      </w:r>
      <w:r w:rsidR="00D14B50" w:rsidRPr="001B3779">
        <w:rPr>
          <w:lang w:val="fr-FR"/>
        </w:rPr>
        <w:t>les rapports</w:t>
      </w:r>
      <w:r w:rsidR="00497430" w:rsidRPr="001B3779">
        <w:rPr>
          <w:lang w:val="fr-FR"/>
        </w:rPr>
        <w:t xml:space="preserve"> des États </w:t>
      </w:r>
      <w:r w:rsidR="00412985" w:rsidRPr="001B3779">
        <w:rPr>
          <w:lang w:val="fr-FR"/>
        </w:rPr>
        <w:t>membres</w:t>
      </w:r>
      <w:r w:rsidR="00497430" w:rsidRPr="001B3779">
        <w:rPr>
          <w:lang w:val="fr-FR"/>
        </w:rPr>
        <w:t xml:space="preserve"> de l’UE</w:t>
      </w:r>
      <w:r w:rsidR="00AE038E" w:rsidRPr="001B3779">
        <w:rPr>
          <w:lang w:val="fr-FR"/>
        </w:rPr>
        <w:t xml:space="preserve"> pour le processus de l’</w:t>
      </w:r>
      <w:r w:rsidR="003F788D" w:rsidRPr="001B3779">
        <w:rPr>
          <w:lang w:val="fr-FR"/>
        </w:rPr>
        <w:t xml:space="preserve">Article 12 </w:t>
      </w:r>
      <w:r w:rsidR="00AE038E" w:rsidRPr="001B3779">
        <w:rPr>
          <w:lang w:val="fr-FR"/>
        </w:rPr>
        <w:t>peuvent être directement utilisés pour le processus</w:t>
      </w:r>
      <w:r w:rsidR="00925749">
        <w:rPr>
          <w:lang w:val="fr-FR"/>
        </w:rPr>
        <w:t xml:space="preserve"> d’évaluation</w:t>
      </w:r>
      <w:r w:rsidR="00AE038E" w:rsidRPr="001B3779">
        <w:rPr>
          <w:lang w:val="fr-FR"/>
        </w:rPr>
        <w:t xml:space="preserve"> de l’</w:t>
      </w:r>
      <w:r w:rsidR="003F788D" w:rsidRPr="001B3779">
        <w:rPr>
          <w:lang w:val="fr-FR"/>
        </w:rPr>
        <w:t>AEWA</w:t>
      </w:r>
      <w:r w:rsidR="00AE038E" w:rsidRPr="001B3779">
        <w:rPr>
          <w:lang w:val="fr-FR"/>
        </w:rPr>
        <w:t xml:space="preserve">, et </w:t>
      </w:r>
      <w:r w:rsidR="00AB08AE" w:rsidRPr="001B3779">
        <w:rPr>
          <w:lang w:val="fr-FR"/>
        </w:rPr>
        <w:t>ce dernier</w:t>
      </w:r>
      <w:r w:rsidR="00412985" w:rsidRPr="001B3779">
        <w:rPr>
          <w:lang w:val="fr-FR"/>
        </w:rPr>
        <w:t xml:space="preserve"> complète la portée géographique de l’évaluation de l’UE en l’étendant à toute l’aire de répartition de la</w:t>
      </w:r>
      <w:r w:rsidR="003F788D" w:rsidRPr="001B3779">
        <w:rPr>
          <w:lang w:val="fr-FR"/>
        </w:rPr>
        <w:t xml:space="preserve"> population.</w:t>
      </w:r>
    </w:p>
    <w:p w14:paraId="094B7B57" w14:textId="77777777" w:rsidR="00664206" w:rsidRPr="001B3779" w:rsidRDefault="00664206">
      <w:pPr>
        <w:pStyle w:val="BodyText"/>
        <w:rPr>
          <w:sz w:val="24"/>
          <w:lang w:val="fr-FR"/>
        </w:rPr>
      </w:pPr>
    </w:p>
    <w:p w14:paraId="2FC77513" w14:textId="31686F3F" w:rsidR="00664206" w:rsidRPr="001B3779" w:rsidRDefault="00251D83">
      <w:pPr>
        <w:pStyle w:val="Heading2"/>
        <w:rPr>
          <w:lang w:val="fr-FR"/>
        </w:rPr>
      </w:pPr>
      <w:r w:rsidRPr="001B3779">
        <w:rPr>
          <w:lang w:val="fr-FR"/>
        </w:rPr>
        <w:t>Une vue d’ensemble des</w:t>
      </w:r>
      <w:r w:rsidR="003F788D" w:rsidRPr="001B3779">
        <w:rPr>
          <w:lang w:val="fr-FR"/>
        </w:rPr>
        <w:t xml:space="preserve"> synergies </w:t>
      </w:r>
      <w:r w:rsidRPr="001B3779">
        <w:rPr>
          <w:lang w:val="fr-FR"/>
        </w:rPr>
        <w:t xml:space="preserve">existantes est fournie dans le </w:t>
      </w:r>
      <w:r w:rsidR="003F788D" w:rsidRPr="001B3779">
        <w:rPr>
          <w:lang w:val="fr-FR"/>
        </w:rPr>
        <w:t>Table</w:t>
      </w:r>
      <w:r w:rsidRPr="001B3779">
        <w:rPr>
          <w:lang w:val="fr-FR"/>
        </w:rPr>
        <w:t>au</w:t>
      </w:r>
      <w:r w:rsidR="003F788D" w:rsidRPr="001B3779">
        <w:rPr>
          <w:lang w:val="fr-FR"/>
        </w:rPr>
        <w:t xml:space="preserve"> 2.</w:t>
      </w:r>
    </w:p>
    <w:p w14:paraId="11E323C9" w14:textId="77777777" w:rsidR="00664206" w:rsidRPr="001B3779" w:rsidRDefault="00664206">
      <w:pPr>
        <w:pStyle w:val="BodyText"/>
        <w:spacing w:before="11"/>
        <w:rPr>
          <w:sz w:val="23"/>
          <w:lang w:val="fr-FR"/>
        </w:rPr>
      </w:pPr>
    </w:p>
    <w:p w14:paraId="51E08D3E" w14:textId="344CBCA1" w:rsidR="00664206" w:rsidRPr="001B3779" w:rsidRDefault="003F788D">
      <w:pPr>
        <w:pStyle w:val="BodyText"/>
        <w:ind w:left="720" w:right="742"/>
        <w:jc w:val="both"/>
        <w:rPr>
          <w:lang w:val="fr-FR"/>
        </w:rPr>
      </w:pPr>
      <w:r w:rsidRPr="001B3779">
        <w:rPr>
          <w:b/>
          <w:lang w:val="fr-FR"/>
        </w:rPr>
        <w:t>Table</w:t>
      </w:r>
      <w:r w:rsidR="006F0406" w:rsidRPr="001B3779">
        <w:rPr>
          <w:b/>
          <w:lang w:val="fr-FR"/>
        </w:rPr>
        <w:t>au</w:t>
      </w:r>
      <w:r w:rsidRPr="001B3779">
        <w:rPr>
          <w:b/>
          <w:lang w:val="fr-FR"/>
        </w:rPr>
        <w:t xml:space="preserve"> 2. </w:t>
      </w:r>
      <w:r w:rsidR="00BB1473" w:rsidRPr="001B3779">
        <w:rPr>
          <w:lang w:val="fr-FR"/>
        </w:rPr>
        <w:t>Sy</w:t>
      </w:r>
      <w:r w:rsidRPr="001B3779">
        <w:rPr>
          <w:lang w:val="fr-FR"/>
        </w:rPr>
        <w:t>nergies</w:t>
      </w:r>
      <w:r w:rsidR="006F0406" w:rsidRPr="001B3779">
        <w:rPr>
          <w:lang w:val="fr-FR"/>
        </w:rPr>
        <w:t xml:space="preserve"> existantes</w:t>
      </w:r>
      <w:r w:rsidRPr="001B3779">
        <w:rPr>
          <w:lang w:val="fr-FR"/>
        </w:rPr>
        <w:t xml:space="preserve">. </w:t>
      </w:r>
      <w:r w:rsidR="00BB1473" w:rsidRPr="001B3779">
        <w:rPr>
          <w:lang w:val="fr-FR"/>
        </w:rPr>
        <w:t xml:space="preserve">Les cellules décrivent comment un processus </w:t>
      </w:r>
      <w:r w:rsidR="00965421" w:rsidRPr="001B3779">
        <w:rPr>
          <w:lang w:val="fr-FR"/>
        </w:rPr>
        <w:t>d’une colonne contribue à un autre processus d’une ligne</w:t>
      </w:r>
      <w:r w:rsidRPr="001B3779">
        <w:rPr>
          <w:lang w:val="fr-FR"/>
        </w:rPr>
        <w:t>.</w:t>
      </w:r>
    </w:p>
    <w:p w14:paraId="2E975858" w14:textId="77777777" w:rsidR="00664206" w:rsidRPr="001B3779" w:rsidRDefault="00664206">
      <w:pPr>
        <w:pStyle w:val="BodyText"/>
        <w:spacing w:before="1"/>
        <w:rPr>
          <w:lang w:val="fr-FR"/>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8"/>
        <w:gridCol w:w="970"/>
        <w:gridCol w:w="971"/>
        <w:gridCol w:w="973"/>
        <w:gridCol w:w="1201"/>
        <w:gridCol w:w="1201"/>
        <w:gridCol w:w="992"/>
        <w:gridCol w:w="853"/>
        <w:gridCol w:w="838"/>
        <w:gridCol w:w="970"/>
      </w:tblGrid>
      <w:tr w:rsidR="00664206" w:rsidRPr="001B3779" w14:paraId="5303AC70" w14:textId="77777777" w:rsidTr="001D4862">
        <w:trPr>
          <w:trHeight w:val="892"/>
          <w:tblHeader/>
        </w:trPr>
        <w:tc>
          <w:tcPr>
            <w:tcW w:w="1268" w:type="dxa"/>
          </w:tcPr>
          <w:p w14:paraId="7F24F31E" w14:textId="77777777" w:rsidR="00664206" w:rsidRPr="001B3779" w:rsidRDefault="00664206">
            <w:pPr>
              <w:pStyle w:val="TableParagraph"/>
              <w:spacing w:before="0"/>
              <w:ind w:left="0"/>
              <w:rPr>
                <w:sz w:val="20"/>
                <w:lang w:val="fr-FR"/>
              </w:rPr>
            </w:pPr>
          </w:p>
        </w:tc>
        <w:tc>
          <w:tcPr>
            <w:tcW w:w="970" w:type="dxa"/>
          </w:tcPr>
          <w:p w14:paraId="478FCD38" w14:textId="77777777" w:rsidR="00664206" w:rsidRPr="001B3779" w:rsidRDefault="003F788D">
            <w:pPr>
              <w:pStyle w:val="TableParagraph"/>
              <w:ind w:left="0" w:right="231"/>
              <w:jc w:val="right"/>
              <w:rPr>
                <w:b/>
                <w:sz w:val="20"/>
                <w:lang w:val="fr-FR"/>
              </w:rPr>
            </w:pPr>
            <w:r w:rsidRPr="001B3779">
              <w:rPr>
                <w:b/>
                <w:sz w:val="20"/>
                <w:lang w:val="fr-FR"/>
              </w:rPr>
              <w:t>AEWA</w:t>
            </w:r>
          </w:p>
        </w:tc>
        <w:tc>
          <w:tcPr>
            <w:tcW w:w="971" w:type="dxa"/>
          </w:tcPr>
          <w:p w14:paraId="72C0B8FA" w14:textId="77777777" w:rsidR="00664206" w:rsidRPr="001B3779" w:rsidRDefault="003F788D">
            <w:pPr>
              <w:pStyle w:val="TableParagraph"/>
              <w:ind w:left="78" w:right="154"/>
              <w:jc w:val="center"/>
              <w:rPr>
                <w:b/>
                <w:sz w:val="20"/>
                <w:lang w:val="fr-FR"/>
              </w:rPr>
            </w:pPr>
            <w:r w:rsidRPr="001B3779">
              <w:rPr>
                <w:b/>
                <w:sz w:val="20"/>
                <w:lang w:val="fr-FR"/>
              </w:rPr>
              <w:t>Ramsar</w:t>
            </w:r>
          </w:p>
        </w:tc>
        <w:tc>
          <w:tcPr>
            <w:tcW w:w="973" w:type="dxa"/>
          </w:tcPr>
          <w:p w14:paraId="668554A4" w14:textId="50710A71" w:rsidR="00664206" w:rsidRPr="001B3779" w:rsidRDefault="00FB02C1">
            <w:pPr>
              <w:pStyle w:val="TableParagraph"/>
              <w:ind w:left="98" w:right="96"/>
              <w:rPr>
                <w:b/>
                <w:sz w:val="20"/>
                <w:lang w:val="fr-FR"/>
              </w:rPr>
            </w:pPr>
            <w:r w:rsidRPr="001B3779">
              <w:rPr>
                <w:b/>
                <w:sz w:val="20"/>
                <w:lang w:val="fr-FR"/>
              </w:rPr>
              <w:t xml:space="preserve">Art. 12 de la </w:t>
            </w:r>
            <w:r w:rsidR="003F788D" w:rsidRPr="001B3779">
              <w:rPr>
                <w:b/>
                <w:sz w:val="20"/>
                <w:lang w:val="fr-FR"/>
              </w:rPr>
              <w:t>Directive</w:t>
            </w:r>
            <w:r w:rsidRPr="001B3779">
              <w:rPr>
                <w:b/>
                <w:sz w:val="20"/>
                <w:lang w:val="fr-FR"/>
              </w:rPr>
              <w:t xml:space="preserve"> Oiseaux</w:t>
            </w:r>
          </w:p>
        </w:tc>
        <w:tc>
          <w:tcPr>
            <w:tcW w:w="1201" w:type="dxa"/>
          </w:tcPr>
          <w:p w14:paraId="240D014E" w14:textId="276992C7" w:rsidR="00664206" w:rsidRPr="001B3779" w:rsidRDefault="00FB02C1">
            <w:pPr>
              <w:pStyle w:val="TableParagraph"/>
              <w:ind w:left="95" w:right="89"/>
              <w:rPr>
                <w:b/>
                <w:sz w:val="20"/>
                <w:lang w:val="fr-FR"/>
              </w:rPr>
            </w:pPr>
            <w:r w:rsidRPr="001B3779">
              <w:rPr>
                <w:b/>
                <w:sz w:val="20"/>
                <w:lang w:val="fr-FR"/>
              </w:rPr>
              <w:t xml:space="preserve">Art 8 </w:t>
            </w:r>
            <w:r w:rsidR="006B312B" w:rsidRPr="001B3779">
              <w:rPr>
                <w:b/>
                <w:sz w:val="20"/>
                <w:lang w:val="fr-FR"/>
              </w:rPr>
              <w:t xml:space="preserve">de la </w:t>
            </w:r>
            <w:r w:rsidR="003F788D" w:rsidRPr="001B3779">
              <w:rPr>
                <w:b/>
                <w:sz w:val="20"/>
                <w:lang w:val="fr-FR"/>
              </w:rPr>
              <w:t xml:space="preserve">MSFD </w:t>
            </w:r>
          </w:p>
        </w:tc>
        <w:tc>
          <w:tcPr>
            <w:tcW w:w="1201" w:type="dxa"/>
          </w:tcPr>
          <w:p w14:paraId="21F7CC21" w14:textId="77777777" w:rsidR="00664206" w:rsidRPr="001B3779" w:rsidRDefault="003F788D">
            <w:pPr>
              <w:pStyle w:val="TableParagraph"/>
              <w:ind w:left="73" w:right="152"/>
              <w:jc w:val="center"/>
              <w:rPr>
                <w:b/>
                <w:sz w:val="20"/>
                <w:lang w:val="fr-FR"/>
              </w:rPr>
            </w:pPr>
            <w:r w:rsidRPr="001B3779">
              <w:rPr>
                <w:b/>
                <w:sz w:val="20"/>
                <w:lang w:val="fr-FR"/>
              </w:rPr>
              <w:t>HELCOM</w:t>
            </w:r>
          </w:p>
        </w:tc>
        <w:tc>
          <w:tcPr>
            <w:tcW w:w="992" w:type="dxa"/>
          </w:tcPr>
          <w:p w14:paraId="3A5EC9B5" w14:textId="77777777" w:rsidR="00664206" w:rsidRPr="001B3779" w:rsidRDefault="003F788D">
            <w:pPr>
              <w:pStyle w:val="TableParagraph"/>
              <w:ind w:left="74" w:right="180"/>
              <w:jc w:val="center"/>
              <w:rPr>
                <w:b/>
                <w:sz w:val="20"/>
                <w:lang w:val="fr-FR"/>
              </w:rPr>
            </w:pPr>
            <w:r w:rsidRPr="001B3779">
              <w:rPr>
                <w:b/>
                <w:sz w:val="20"/>
                <w:lang w:val="fr-FR"/>
              </w:rPr>
              <w:t>OSPAR</w:t>
            </w:r>
          </w:p>
        </w:tc>
        <w:tc>
          <w:tcPr>
            <w:tcW w:w="853" w:type="dxa"/>
          </w:tcPr>
          <w:p w14:paraId="616CF5AD" w14:textId="77777777" w:rsidR="00664206" w:rsidRPr="001B3779" w:rsidRDefault="003F788D">
            <w:pPr>
              <w:pStyle w:val="TableParagraph"/>
              <w:ind w:left="2" w:right="115"/>
              <w:jc w:val="center"/>
              <w:rPr>
                <w:b/>
                <w:sz w:val="20"/>
                <w:lang w:val="fr-FR"/>
              </w:rPr>
            </w:pPr>
            <w:r w:rsidRPr="001B3779">
              <w:rPr>
                <w:b/>
                <w:sz w:val="20"/>
                <w:lang w:val="fr-FR"/>
              </w:rPr>
              <w:t>CAFF</w:t>
            </w:r>
          </w:p>
        </w:tc>
        <w:tc>
          <w:tcPr>
            <w:tcW w:w="838" w:type="dxa"/>
          </w:tcPr>
          <w:p w14:paraId="2C19CE48" w14:textId="77777777" w:rsidR="00664206" w:rsidRPr="001B3779" w:rsidRDefault="003F788D">
            <w:pPr>
              <w:pStyle w:val="TableParagraph"/>
              <w:ind w:left="0" w:right="214"/>
              <w:jc w:val="right"/>
              <w:rPr>
                <w:b/>
                <w:sz w:val="20"/>
                <w:lang w:val="fr-FR"/>
              </w:rPr>
            </w:pPr>
            <w:r w:rsidRPr="001B3779">
              <w:rPr>
                <w:b/>
                <w:w w:val="95"/>
                <w:sz w:val="20"/>
                <w:lang w:val="fr-FR"/>
              </w:rPr>
              <w:t>WSFI</w:t>
            </w:r>
          </w:p>
        </w:tc>
        <w:tc>
          <w:tcPr>
            <w:tcW w:w="970" w:type="dxa"/>
          </w:tcPr>
          <w:p w14:paraId="750B713A" w14:textId="5E2EF1EF" w:rsidR="00664206" w:rsidRPr="001B3779" w:rsidRDefault="00550635">
            <w:pPr>
              <w:pStyle w:val="TableParagraph"/>
              <w:ind w:left="44" w:right="81"/>
              <w:jc w:val="center"/>
              <w:rPr>
                <w:b/>
                <w:sz w:val="20"/>
                <w:lang w:val="fr-FR"/>
              </w:rPr>
            </w:pPr>
            <w:r w:rsidRPr="001B3779">
              <w:rPr>
                <w:b/>
                <w:sz w:val="20"/>
                <w:lang w:val="fr-FR"/>
              </w:rPr>
              <w:t>L</w:t>
            </w:r>
            <w:r w:rsidR="003F788D" w:rsidRPr="001B3779">
              <w:rPr>
                <w:b/>
                <w:sz w:val="20"/>
                <w:lang w:val="fr-FR"/>
              </w:rPr>
              <w:t>ist</w:t>
            </w:r>
            <w:r w:rsidRPr="001B3779">
              <w:rPr>
                <w:b/>
                <w:sz w:val="20"/>
                <w:lang w:val="fr-FR"/>
              </w:rPr>
              <w:t>e rouge</w:t>
            </w:r>
          </w:p>
        </w:tc>
      </w:tr>
      <w:tr w:rsidR="00664206" w:rsidRPr="005E52F1" w14:paraId="0C2264F8" w14:textId="77777777">
        <w:trPr>
          <w:trHeight w:val="1347"/>
        </w:trPr>
        <w:tc>
          <w:tcPr>
            <w:tcW w:w="1268" w:type="dxa"/>
          </w:tcPr>
          <w:p w14:paraId="4EFB33F5" w14:textId="77777777" w:rsidR="00664206" w:rsidRPr="001B3779" w:rsidRDefault="003F788D">
            <w:pPr>
              <w:pStyle w:val="TableParagraph"/>
              <w:spacing w:before="98"/>
              <w:rPr>
                <w:b/>
                <w:sz w:val="20"/>
                <w:lang w:val="fr-FR"/>
              </w:rPr>
            </w:pPr>
            <w:r w:rsidRPr="001B3779">
              <w:rPr>
                <w:b/>
                <w:sz w:val="20"/>
                <w:lang w:val="fr-FR"/>
              </w:rPr>
              <w:t>AEWA</w:t>
            </w:r>
          </w:p>
        </w:tc>
        <w:tc>
          <w:tcPr>
            <w:tcW w:w="970" w:type="dxa"/>
          </w:tcPr>
          <w:p w14:paraId="16050DBB" w14:textId="77777777" w:rsidR="00664206" w:rsidRPr="001B3779" w:rsidRDefault="003F788D">
            <w:pPr>
              <w:pStyle w:val="TableParagraph"/>
              <w:spacing w:before="98"/>
              <w:ind w:left="12"/>
              <w:jc w:val="center"/>
              <w:rPr>
                <w:sz w:val="20"/>
                <w:lang w:val="fr-FR"/>
              </w:rPr>
            </w:pPr>
            <w:proofErr w:type="gramStart"/>
            <w:r w:rsidRPr="001B3779">
              <w:rPr>
                <w:w w:val="99"/>
                <w:sz w:val="20"/>
                <w:lang w:val="fr-FR"/>
              </w:rPr>
              <w:t>x</w:t>
            </w:r>
            <w:proofErr w:type="gramEnd"/>
          </w:p>
        </w:tc>
        <w:tc>
          <w:tcPr>
            <w:tcW w:w="971" w:type="dxa"/>
          </w:tcPr>
          <w:p w14:paraId="5AEC7C99" w14:textId="6793A54F" w:rsidR="00664206" w:rsidRPr="001B3779" w:rsidRDefault="00777BE4">
            <w:pPr>
              <w:pStyle w:val="TableParagraph"/>
              <w:spacing w:before="102" w:line="235" w:lineRule="auto"/>
              <w:ind w:left="399" w:right="65" w:hanging="279"/>
              <w:rPr>
                <w:sz w:val="13"/>
                <w:lang w:val="fr-FR"/>
              </w:rPr>
            </w:pPr>
            <w:r w:rsidRPr="001B3779">
              <w:rPr>
                <w:w w:val="95"/>
                <w:sz w:val="20"/>
                <w:lang w:val="fr-FR"/>
              </w:rPr>
              <w:t>Critère</w:t>
            </w:r>
            <w:r w:rsidR="003F788D" w:rsidRPr="001B3779">
              <w:rPr>
                <w:w w:val="95"/>
                <w:sz w:val="20"/>
                <w:lang w:val="fr-FR"/>
              </w:rPr>
              <w:t xml:space="preserve"> </w:t>
            </w:r>
            <w:r w:rsidR="003F788D" w:rsidRPr="001B3779">
              <w:rPr>
                <w:position w:val="-6"/>
                <w:sz w:val="20"/>
                <w:lang w:val="fr-FR"/>
              </w:rPr>
              <w:t>6</w:t>
            </w:r>
            <w:r w:rsidR="008B0F33" w:rsidRPr="001B3779">
              <w:rPr>
                <w:rStyle w:val="FootnoteReference"/>
                <w:position w:val="-6"/>
                <w:sz w:val="20"/>
                <w:lang w:val="fr-FR"/>
              </w:rPr>
              <w:footnoteReference w:id="4"/>
            </w:r>
          </w:p>
        </w:tc>
        <w:tc>
          <w:tcPr>
            <w:tcW w:w="973" w:type="dxa"/>
          </w:tcPr>
          <w:p w14:paraId="3D74E63B" w14:textId="07D3C2C0" w:rsidR="00664206" w:rsidRPr="001B3779" w:rsidRDefault="00777BE4">
            <w:pPr>
              <w:pStyle w:val="TableParagraph"/>
              <w:spacing w:before="98"/>
              <w:ind w:left="238" w:right="96" w:hanging="111"/>
              <w:rPr>
                <w:sz w:val="20"/>
                <w:lang w:val="fr-FR"/>
              </w:rPr>
            </w:pPr>
            <w:r w:rsidRPr="001B3779">
              <w:rPr>
                <w:w w:val="95"/>
                <w:sz w:val="20"/>
                <w:lang w:val="fr-FR"/>
              </w:rPr>
              <w:t xml:space="preserve">Tendances </w:t>
            </w:r>
            <w:r w:rsidR="001961E6" w:rsidRPr="001B3779">
              <w:rPr>
                <w:w w:val="95"/>
                <w:sz w:val="20"/>
                <w:lang w:val="fr-FR"/>
              </w:rPr>
              <w:t>des oiseaux</w:t>
            </w:r>
            <w:r w:rsidR="00986861">
              <w:rPr>
                <w:w w:val="95"/>
                <w:sz w:val="20"/>
                <w:lang w:val="fr-FR"/>
              </w:rPr>
              <w:t xml:space="preserve"> hivernants</w:t>
            </w:r>
          </w:p>
        </w:tc>
        <w:tc>
          <w:tcPr>
            <w:tcW w:w="1201" w:type="dxa"/>
          </w:tcPr>
          <w:p w14:paraId="48B12772" w14:textId="77777777" w:rsidR="00664206" w:rsidRPr="001B3779" w:rsidRDefault="003F788D">
            <w:pPr>
              <w:pStyle w:val="TableParagraph"/>
              <w:spacing w:before="98"/>
              <w:ind w:left="75" w:right="66"/>
              <w:jc w:val="center"/>
              <w:rPr>
                <w:sz w:val="20"/>
                <w:lang w:val="fr-FR"/>
              </w:rPr>
            </w:pPr>
            <w:proofErr w:type="spellStart"/>
            <w:r w:rsidRPr="001B3779">
              <w:rPr>
                <w:sz w:val="20"/>
                <w:lang w:val="fr-FR"/>
              </w:rPr>
              <w:t>n.a</w:t>
            </w:r>
            <w:proofErr w:type="spellEnd"/>
            <w:r w:rsidRPr="001B3779">
              <w:rPr>
                <w:sz w:val="20"/>
                <w:lang w:val="fr-FR"/>
              </w:rPr>
              <w:t>.</w:t>
            </w:r>
          </w:p>
        </w:tc>
        <w:tc>
          <w:tcPr>
            <w:tcW w:w="1201" w:type="dxa"/>
          </w:tcPr>
          <w:p w14:paraId="4F431B3A" w14:textId="77777777" w:rsidR="00664206" w:rsidRPr="001B3779" w:rsidRDefault="003F788D">
            <w:pPr>
              <w:pStyle w:val="TableParagraph"/>
              <w:spacing w:before="98"/>
              <w:ind w:left="75" w:right="67"/>
              <w:jc w:val="center"/>
              <w:rPr>
                <w:sz w:val="20"/>
                <w:lang w:val="fr-FR"/>
              </w:rPr>
            </w:pPr>
            <w:proofErr w:type="spellStart"/>
            <w:r w:rsidRPr="001B3779">
              <w:rPr>
                <w:sz w:val="20"/>
                <w:lang w:val="fr-FR"/>
              </w:rPr>
              <w:t>n.a</w:t>
            </w:r>
            <w:proofErr w:type="spellEnd"/>
            <w:r w:rsidRPr="001B3779">
              <w:rPr>
                <w:sz w:val="20"/>
                <w:lang w:val="fr-FR"/>
              </w:rPr>
              <w:t>.</w:t>
            </w:r>
          </w:p>
        </w:tc>
        <w:tc>
          <w:tcPr>
            <w:tcW w:w="992" w:type="dxa"/>
          </w:tcPr>
          <w:p w14:paraId="5C785F9A" w14:textId="77777777" w:rsidR="00664206" w:rsidRPr="001B3779" w:rsidRDefault="003F788D">
            <w:pPr>
              <w:pStyle w:val="TableParagraph"/>
              <w:spacing w:before="98"/>
              <w:ind w:left="74" w:right="66"/>
              <w:jc w:val="center"/>
              <w:rPr>
                <w:sz w:val="20"/>
                <w:lang w:val="fr-FR"/>
              </w:rPr>
            </w:pPr>
            <w:proofErr w:type="spellStart"/>
            <w:r w:rsidRPr="001B3779">
              <w:rPr>
                <w:sz w:val="20"/>
                <w:lang w:val="fr-FR"/>
              </w:rPr>
              <w:t>n.a</w:t>
            </w:r>
            <w:proofErr w:type="spellEnd"/>
            <w:r w:rsidRPr="001B3779">
              <w:rPr>
                <w:sz w:val="20"/>
                <w:lang w:val="fr-FR"/>
              </w:rPr>
              <w:t>.</w:t>
            </w:r>
          </w:p>
        </w:tc>
        <w:tc>
          <w:tcPr>
            <w:tcW w:w="853" w:type="dxa"/>
          </w:tcPr>
          <w:p w14:paraId="10F8877E" w14:textId="51D24E9B" w:rsidR="00664206" w:rsidRPr="001B3779" w:rsidRDefault="00932B70">
            <w:pPr>
              <w:pStyle w:val="TableParagraph"/>
              <w:spacing w:before="98"/>
              <w:ind w:left="132" w:right="108" w:hanging="20"/>
              <w:jc w:val="both"/>
              <w:rPr>
                <w:sz w:val="20"/>
                <w:lang w:val="fr-FR"/>
              </w:rPr>
            </w:pPr>
            <w:r w:rsidRPr="001B3779">
              <w:rPr>
                <w:w w:val="95"/>
                <w:sz w:val="20"/>
                <w:lang w:val="fr-FR"/>
              </w:rPr>
              <w:t>Tendances des oiseaux</w:t>
            </w:r>
            <w:r>
              <w:rPr>
                <w:w w:val="95"/>
                <w:sz w:val="20"/>
                <w:lang w:val="fr-FR"/>
              </w:rPr>
              <w:t xml:space="preserve"> hivernants</w:t>
            </w:r>
          </w:p>
        </w:tc>
        <w:tc>
          <w:tcPr>
            <w:tcW w:w="838" w:type="dxa"/>
          </w:tcPr>
          <w:p w14:paraId="29729982" w14:textId="69AB4052" w:rsidR="00664206" w:rsidRPr="001B3779" w:rsidRDefault="003F788D">
            <w:pPr>
              <w:pStyle w:val="TableParagraph"/>
              <w:spacing w:before="98"/>
              <w:ind w:left="0" w:right="259"/>
              <w:jc w:val="right"/>
              <w:rPr>
                <w:sz w:val="20"/>
                <w:lang w:val="fr-FR"/>
              </w:rPr>
            </w:pPr>
            <w:proofErr w:type="spellStart"/>
            <w:r w:rsidRPr="001B3779">
              <w:rPr>
                <w:w w:val="95"/>
                <w:sz w:val="20"/>
                <w:lang w:val="fr-FR"/>
              </w:rPr>
              <w:t>n.a</w:t>
            </w:r>
            <w:proofErr w:type="spellEnd"/>
            <w:r w:rsidRPr="001B3779">
              <w:rPr>
                <w:w w:val="95"/>
                <w:sz w:val="20"/>
                <w:lang w:val="fr-FR"/>
              </w:rPr>
              <w:t>.</w:t>
            </w:r>
            <w:r w:rsidR="008879FC" w:rsidRPr="001B3779">
              <w:rPr>
                <w:w w:val="95"/>
                <w:sz w:val="20"/>
                <w:lang w:val="fr-FR"/>
              </w:rPr>
              <w:t xml:space="preserve">   </w:t>
            </w:r>
          </w:p>
        </w:tc>
        <w:tc>
          <w:tcPr>
            <w:tcW w:w="970" w:type="dxa"/>
          </w:tcPr>
          <w:p w14:paraId="2C77D490" w14:textId="69455045" w:rsidR="00664206" w:rsidRPr="001B3779" w:rsidRDefault="00FD0183">
            <w:pPr>
              <w:pStyle w:val="TableParagraph"/>
              <w:spacing w:before="98"/>
              <w:ind w:left="109" w:right="107" w:firstLine="4"/>
              <w:jc w:val="center"/>
              <w:rPr>
                <w:sz w:val="20"/>
                <w:lang w:val="fr-FR"/>
              </w:rPr>
            </w:pPr>
            <w:r w:rsidRPr="001B3779">
              <w:rPr>
                <w:sz w:val="20"/>
                <w:lang w:val="fr-FR"/>
              </w:rPr>
              <w:t>Contribution à l’évaluation de la</w:t>
            </w:r>
            <w:r w:rsidR="003F788D" w:rsidRPr="001B3779">
              <w:rPr>
                <w:sz w:val="20"/>
                <w:lang w:val="fr-FR"/>
              </w:rPr>
              <w:t xml:space="preserve"> List</w:t>
            </w:r>
            <w:r w:rsidRPr="001B3779">
              <w:rPr>
                <w:sz w:val="20"/>
                <w:lang w:val="fr-FR"/>
              </w:rPr>
              <w:t>e</w:t>
            </w:r>
            <w:r w:rsidR="003F788D" w:rsidRPr="001B3779">
              <w:rPr>
                <w:sz w:val="20"/>
                <w:lang w:val="fr-FR"/>
              </w:rPr>
              <w:t xml:space="preserve"> </w:t>
            </w:r>
            <w:r w:rsidRPr="001B3779">
              <w:rPr>
                <w:w w:val="95"/>
                <w:sz w:val="20"/>
                <w:lang w:val="fr-FR"/>
              </w:rPr>
              <w:t>rouge</w:t>
            </w:r>
          </w:p>
        </w:tc>
      </w:tr>
      <w:tr w:rsidR="00664206" w:rsidRPr="001B3779" w14:paraId="3895E026" w14:textId="77777777">
        <w:trPr>
          <w:trHeight w:val="661"/>
        </w:trPr>
        <w:tc>
          <w:tcPr>
            <w:tcW w:w="1268" w:type="dxa"/>
          </w:tcPr>
          <w:p w14:paraId="1E882A9B" w14:textId="77777777" w:rsidR="00664206" w:rsidRPr="001B3779" w:rsidRDefault="003F788D">
            <w:pPr>
              <w:pStyle w:val="TableParagraph"/>
              <w:rPr>
                <w:b/>
                <w:sz w:val="20"/>
                <w:lang w:val="fr-FR"/>
              </w:rPr>
            </w:pPr>
            <w:r w:rsidRPr="001B3779">
              <w:rPr>
                <w:b/>
                <w:sz w:val="20"/>
                <w:lang w:val="fr-FR"/>
              </w:rPr>
              <w:t>Ramsar</w:t>
            </w:r>
          </w:p>
        </w:tc>
        <w:tc>
          <w:tcPr>
            <w:tcW w:w="970" w:type="dxa"/>
          </w:tcPr>
          <w:p w14:paraId="68D72BBC" w14:textId="77777777" w:rsidR="00664206" w:rsidRPr="001B3779" w:rsidRDefault="003F788D">
            <w:pPr>
              <w:pStyle w:val="TableParagraph"/>
              <w:ind w:left="72" w:right="58"/>
              <w:jc w:val="center"/>
              <w:rPr>
                <w:sz w:val="20"/>
                <w:lang w:val="fr-FR"/>
              </w:rPr>
            </w:pPr>
            <w:proofErr w:type="spellStart"/>
            <w:r w:rsidRPr="001B3779">
              <w:rPr>
                <w:sz w:val="20"/>
                <w:lang w:val="fr-FR"/>
              </w:rPr>
              <w:t>n.a</w:t>
            </w:r>
            <w:proofErr w:type="spellEnd"/>
            <w:r w:rsidRPr="001B3779">
              <w:rPr>
                <w:sz w:val="20"/>
                <w:lang w:val="fr-FR"/>
              </w:rPr>
              <w:t>.</w:t>
            </w:r>
          </w:p>
        </w:tc>
        <w:tc>
          <w:tcPr>
            <w:tcW w:w="971" w:type="dxa"/>
          </w:tcPr>
          <w:p w14:paraId="21B5CAAD" w14:textId="77777777" w:rsidR="00664206" w:rsidRPr="001B3779" w:rsidRDefault="003F788D">
            <w:pPr>
              <w:pStyle w:val="TableParagraph"/>
              <w:ind w:left="10"/>
              <w:jc w:val="center"/>
              <w:rPr>
                <w:sz w:val="20"/>
                <w:lang w:val="fr-FR"/>
              </w:rPr>
            </w:pPr>
            <w:proofErr w:type="gramStart"/>
            <w:r w:rsidRPr="001B3779">
              <w:rPr>
                <w:w w:val="99"/>
                <w:sz w:val="20"/>
                <w:lang w:val="fr-FR"/>
              </w:rPr>
              <w:t>x</w:t>
            </w:r>
            <w:proofErr w:type="gramEnd"/>
          </w:p>
        </w:tc>
        <w:tc>
          <w:tcPr>
            <w:tcW w:w="973" w:type="dxa"/>
          </w:tcPr>
          <w:p w14:paraId="562D2098" w14:textId="67F23C3F" w:rsidR="00664206" w:rsidRPr="001B3779" w:rsidRDefault="00126365">
            <w:pPr>
              <w:pStyle w:val="TableParagraph"/>
              <w:ind w:left="199" w:right="167" w:firstLine="50"/>
              <w:rPr>
                <w:sz w:val="20"/>
                <w:lang w:val="fr-FR"/>
              </w:rPr>
            </w:pPr>
            <w:r w:rsidRPr="001B3779">
              <w:rPr>
                <w:sz w:val="20"/>
                <w:lang w:val="fr-FR"/>
              </w:rPr>
              <w:t>Critères de l’</w:t>
            </w:r>
            <w:r w:rsidR="003F788D" w:rsidRPr="001B3779">
              <w:rPr>
                <w:sz w:val="20"/>
                <w:lang w:val="fr-FR"/>
              </w:rPr>
              <w:t>Art. 4</w:t>
            </w:r>
          </w:p>
        </w:tc>
        <w:tc>
          <w:tcPr>
            <w:tcW w:w="1201" w:type="dxa"/>
          </w:tcPr>
          <w:p w14:paraId="1C484794" w14:textId="77777777" w:rsidR="00664206" w:rsidRPr="001B3779" w:rsidRDefault="003F788D">
            <w:pPr>
              <w:pStyle w:val="TableParagraph"/>
              <w:ind w:left="75" w:right="66"/>
              <w:jc w:val="center"/>
              <w:rPr>
                <w:sz w:val="20"/>
                <w:lang w:val="fr-FR"/>
              </w:rPr>
            </w:pPr>
            <w:proofErr w:type="spellStart"/>
            <w:r w:rsidRPr="001B3779">
              <w:rPr>
                <w:sz w:val="20"/>
                <w:lang w:val="fr-FR"/>
              </w:rPr>
              <w:t>n.a</w:t>
            </w:r>
            <w:proofErr w:type="spellEnd"/>
            <w:r w:rsidRPr="001B3779">
              <w:rPr>
                <w:sz w:val="20"/>
                <w:lang w:val="fr-FR"/>
              </w:rPr>
              <w:t>.</w:t>
            </w:r>
          </w:p>
        </w:tc>
        <w:tc>
          <w:tcPr>
            <w:tcW w:w="1201" w:type="dxa"/>
          </w:tcPr>
          <w:p w14:paraId="1BEEC2DF" w14:textId="38DD618E" w:rsidR="00664206" w:rsidRPr="001B3779" w:rsidRDefault="002D5D78">
            <w:pPr>
              <w:pStyle w:val="TableParagraph"/>
              <w:ind w:left="366" w:right="89" w:hanging="192"/>
              <w:rPr>
                <w:sz w:val="20"/>
                <w:lang w:val="fr-FR"/>
              </w:rPr>
            </w:pPr>
            <w:r w:rsidRPr="001B3779">
              <w:rPr>
                <w:w w:val="95"/>
                <w:sz w:val="20"/>
                <w:lang w:val="fr-FR"/>
              </w:rPr>
              <w:t>ZPS d’</w:t>
            </w:r>
            <w:r w:rsidR="003F788D" w:rsidRPr="001B3779">
              <w:rPr>
                <w:w w:val="95"/>
                <w:sz w:val="20"/>
                <w:lang w:val="fr-FR"/>
              </w:rPr>
              <w:t>HELCOM</w:t>
            </w:r>
            <w:r w:rsidRPr="001B3779">
              <w:rPr>
                <w:sz w:val="20"/>
                <w:lang w:val="fr-FR"/>
              </w:rPr>
              <w:t> </w:t>
            </w:r>
            <w:r w:rsidR="003F788D" w:rsidRPr="001B3779">
              <w:rPr>
                <w:sz w:val="20"/>
                <w:lang w:val="fr-FR"/>
              </w:rPr>
              <w:t>?</w:t>
            </w:r>
          </w:p>
        </w:tc>
        <w:tc>
          <w:tcPr>
            <w:tcW w:w="992" w:type="dxa"/>
          </w:tcPr>
          <w:p w14:paraId="31B6B124" w14:textId="77777777" w:rsidR="00664206" w:rsidRPr="001B3779" w:rsidRDefault="003F788D">
            <w:pPr>
              <w:pStyle w:val="TableParagraph"/>
              <w:ind w:left="74" w:right="66"/>
              <w:jc w:val="center"/>
              <w:rPr>
                <w:sz w:val="20"/>
                <w:lang w:val="fr-FR"/>
              </w:rPr>
            </w:pPr>
            <w:proofErr w:type="spellStart"/>
            <w:r w:rsidRPr="001B3779">
              <w:rPr>
                <w:sz w:val="20"/>
                <w:lang w:val="fr-FR"/>
              </w:rPr>
              <w:t>n.a</w:t>
            </w:r>
            <w:proofErr w:type="spellEnd"/>
            <w:r w:rsidRPr="001B3779">
              <w:rPr>
                <w:sz w:val="20"/>
                <w:lang w:val="fr-FR"/>
              </w:rPr>
              <w:t>.</w:t>
            </w:r>
          </w:p>
        </w:tc>
        <w:tc>
          <w:tcPr>
            <w:tcW w:w="853" w:type="dxa"/>
          </w:tcPr>
          <w:p w14:paraId="48B67A89" w14:textId="77777777" w:rsidR="00664206" w:rsidRPr="001B3779" w:rsidRDefault="003F788D">
            <w:pPr>
              <w:pStyle w:val="TableParagraph"/>
              <w:ind w:left="73" w:right="70"/>
              <w:jc w:val="center"/>
              <w:rPr>
                <w:sz w:val="20"/>
                <w:lang w:val="fr-FR"/>
              </w:rPr>
            </w:pPr>
            <w:proofErr w:type="spellStart"/>
            <w:r w:rsidRPr="001B3779">
              <w:rPr>
                <w:sz w:val="20"/>
                <w:lang w:val="fr-FR"/>
              </w:rPr>
              <w:t>n.a</w:t>
            </w:r>
            <w:proofErr w:type="spellEnd"/>
            <w:r w:rsidRPr="001B3779">
              <w:rPr>
                <w:sz w:val="20"/>
                <w:lang w:val="fr-FR"/>
              </w:rPr>
              <w:t>.</w:t>
            </w:r>
          </w:p>
        </w:tc>
        <w:tc>
          <w:tcPr>
            <w:tcW w:w="838" w:type="dxa"/>
          </w:tcPr>
          <w:p w14:paraId="1B87A60D" w14:textId="77777777" w:rsidR="00664206" w:rsidRPr="001B3779" w:rsidRDefault="003F788D">
            <w:pPr>
              <w:pStyle w:val="TableParagraph"/>
              <w:ind w:left="0" w:right="259"/>
              <w:jc w:val="right"/>
              <w:rPr>
                <w:sz w:val="20"/>
                <w:lang w:val="fr-FR"/>
              </w:rPr>
            </w:pPr>
            <w:proofErr w:type="spellStart"/>
            <w:r w:rsidRPr="001B3779">
              <w:rPr>
                <w:w w:val="95"/>
                <w:sz w:val="20"/>
                <w:lang w:val="fr-FR"/>
              </w:rPr>
              <w:t>n.a</w:t>
            </w:r>
            <w:proofErr w:type="spellEnd"/>
            <w:r w:rsidRPr="001B3779">
              <w:rPr>
                <w:w w:val="95"/>
                <w:sz w:val="20"/>
                <w:lang w:val="fr-FR"/>
              </w:rPr>
              <w:t>.</w:t>
            </w:r>
          </w:p>
        </w:tc>
        <w:tc>
          <w:tcPr>
            <w:tcW w:w="970" w:type="dxa"/>
          </w:tcPr>
          <w:p w14:paraId="3DF9F0C1" w14:textId="77777777" w:rsidR="00664206" w:rsidRPr="001B3779" w:rsidRDefault="003F788D">
            <w:pPr>
              <w:pStyle w:val="TableParagraph"/>
              <w:ind w:left="72" w:right="69"/>
              <w:jc w:val="center"/>
              <w:rPr>
                <w:sz w:val="20"/>
                <w:lang w:val="fr-FR"/>
              </w:rPr>
            </w:pPr>
            <w:proofErr w:type="spellStart"/>
            <w:r w:rsidRPr="001B3779">
              <w:rPr>
                <w:sz w:val="20"/>
                <w:lang w:val="fr-FR"/>
              </w:rPr>
              <w:t>n.a</w:t>
            </w:r>
            <w:proofErr w:type="spellEnd"/>
            <w:r w:rsidRPr="001B3779">
              <w:rPr>
                <w:sz w:val="20"/>
                <w:lang w:val="fr-FR"/>
              </w:rPr>
              <w:t>.</w:t>
            </w:r>
          </w:p>
        </w:tc>
      </w:tr>
      <w:tr w:rsidR="00664206" w:rsidRPr="005E52F1" w14:paraId="6365816C" w14:textId="77777777">
        <w:trPr>
          <w:trHeight w:val="1348"/>
        </w:trPr>
        <w:tc>
          <w:tcPr>
            <w:tcW w:w="1268" w:type="dxa"/>
          </w:tcPr>
          <w:p w14:paraId="68C4E8F2" w14:textId="4BA521F7" w:rsidR="00664206" w:rsidRPr="001B3779" w:rsidRDefault="006B5526">
            <w:pPr>
              <w:pStyle w:val="TableParagraph"/>
              <w:spacing w:before="98"/>
              <w:ind w:right="350"/>
              <w:rPr>
                <w:b/>
                <w:sz w:val="20"/>
                <w:lang w:val="fr-FR"/>
              </w:rPr>
            </w:pPr>
            <w:r w:rsidRPr="001B3779">
              <w:rPr>
                <w:b/>
                <w:sz w:val="20"/>
                <w:lang w:val="fr-FR"/>
              </w:rPr>
              <w:t>Art. 12 de la Directive Oiseaux</w:t>
            </w:r>
          </w:p>
        </w:tc>
        <w:tc>
          <w:tcPr>
            <w:tcW w:w="970" w:type="dxa"/>
          </w:tcPr>
          <w:p w14:paraId="65296F44" w14:textId="4E4C2FE6" w:rsidR="00664206" w:rsidRPr="001B3779" w:rsidRDefault="00E33375">
            <w:pPr>
              <w:pStyle w:val="TableParagraph"/>
              <w:spacing w:before="98"/>
              <w:ind w:right="81"/>
              <w:jc w:val="center"/>
              <w:rPr>
                <w:sz w:val="20"/>
                <w:lang w:val="fr-FR"/>
              </w:rPr>
            </w:pPr>
            <w:r w:rsidRPr="001B3779">
              <w:rPr>
                <w:sz w:val="20"/>
                <w:lang w:val="fr-FR"/>
              </w:rPr>
              <w:t>Tailles des p</w:t>
            </w:r>
            <w:r w:rsidR="003F788D" w:rsidRPr="001B3779">
              <w:rPr>
                <w:sz w:val="20"/>
                <w:lang w:val="fr-FR"/>
              </w:rPr>
              <w:t>opulation</w:t>
            </w:r>
            <w:r w:rsidRPr="001B3779">
              <w:rPr>
                <w:sz w:val="20"/>
                <w:lang w:val="fr-FR"/>
              </w:rPr>
              <w:t>s</w:t>
            </w:r>
            <w:r w:rsidR="003F788D" w:rsidRPr="001B3779">
              <w:rPr>
                <w:sz w:val="20"/>
                <w:lang w:val="fr-FR"/>
              </w:rPr>
              <w:t xml:space="preserve"> </w:t>
            </w:r>
            <w:r w:rsidRPr="001B3779">
              <w:rPr>
                <w:sz w:val="20"/>
                <w:lang w:val="fr-FR"/>
              </w:rPr>
              <w:t xml:space="preserve">Tendances relatives </w:t>
            </w:r>
            <w:r w:rsidR="00F41A45">
              <w:rPr>
                <w:sz w:val="20"/>
                <w:lang w:val="fr-FR"/>
              </w:rPr>
              <w:t>aux</w:t>
            </w:r>
            <w:r w:rsidRPr="001B3779">
              <w:rPr>
                <w:sz w:val="20"/>
                <w:lang w:val="fr-FR"/>
              </w:rPr>
              <w:t xml:space="preserve"> oiseaux</w:t>
            </w:r>
            <w:r w:rsidR="00F41A45">
              <w:rPr>
                <w:sz w:val="20"/>
                <w:lang w:val="fr-FR"/>
              </w:rPr>
              <w:t xml:space="preserve"> reproducteurs</w:t>
            </w:r>
          </w:p>
        </w:tc>
        <w:tc>
          <w:tcPr>
            <w:tcW w:w="971" w:type="dxa"/>
          </w:tcPr>
          <w:p w14:paraId="019E7E5D" w14:textId="076BBD61" w:rsidR="00664206" w:rsidRPr="001B3779" w:rsidRDefault="00E33375">
            <w:pPr>
              <w:pStyle w:val="TableParagraph"/>
              <w:spacing w:before="98"/>
              <w:ind w:left="430" w:right="65" w:hanging="310"/>
              <w:rPr>
                <w:sz w:val="20"/>
                <w:lang w:val="fr-FR"/>
              </w:rPr>
            </w:pPr>
            <w:r w:rsidRPr="001B3779">
              <w:rPr>
                <w:w w:val="95"/>
                <w:sz w:val="20"/>
                <w:lang w:val="fr-FR"/>
              </w:rPr>
              <w:t>Critère</w:t>
            </w:r>
            <w:r w:rsidR="003F788D" w:rsidRPr="001B3779">
              <w:rPr>
                <w:w w:val="95"/>
                <w:sz w:val="20"/>
                <w:lang w:val="fr-FR"/>
              </w:rPr>
              <w:t xml:space="preserve"> </w:t>
            </w:r>
            <w:r w:rsidR="003F788D" w:rsidRPr="001B3779">
              <w:rPr>
                <w:sz w:val="20"/>
                <w:lang w:val="fr-FR"/>
              </w:rPr>
              <w:t>6</w:t>
            </w:r>
          </w:p>
        </w:tc>
        <w:tc>
          <w:tcPr>
            <w:tcW w:w="973" w:type="dxa"/>
          </w:tcPr>
          <w:p w14:paraId="38627686" w14:textId="77777777" w:rsidR="00664206" w:rsidRPr="001B3779" w:rsidRDefault="003F788D">
            <w:pPr>
              <w:pStyle w:val="TableParagraph"/>
              <w:spacing w:before="98"/>
              <w:ind w:left="11"/>
              <w:jc w:val="center"/>
              <w:rPr>
                <w:sz w:val="20"/>
                <w:lang w:val="fr-FR"/>
              </w:rPr>
            </w:pPr>
            <w:proofErr w:type="gramStart"/>
            <w:r w:rsidRPr="001B3779">
              <w:rPr>
                <w:w w:val="99"/>
                <w:sz w:val="20"/>
                <w:lang w:val="fr-FR"/>
              </w:rPr>
              <w:t>x</w:t>
            </w:r>
            <w:proofErr w:type="gramEnd"/>
          </w:p>
        </w:tc>
        <w:tc>
          <w:tcPr>
            <w:tcW w:w="1201" w:type="dxa"/>
          </w:tcPr>
          <w:p w14:paraId="3469CA20" w14:textId="19B01537" w:rsidR="00664206" w:rsidRPr="001B3779" w:rsidRDefault="00E33375">
            <w:pPr>
              <w:pStyle w:val="TableParagraph"/>
              <w:spacing w:before="98"/>
              <w:ind w:left="159" w:right="151"/>
              <w:jc w:val="center"/>
              <w:rPr>
                <w:sz w:val="20"/>
                <w:lang w:val="fr-FR"/>
              </w:rPr>
            </w:pPr>
            <w:r w:rsidRPr="001B3779">
              <w:rPr>
                <w:w w:val="95"/>
                <w:sz w:val="20"/>
                <w:lang w:val="fr-FR"/>
              </w:rPr>
              <w:t>Taille des p</w:t>
            </w:r>
            <w:r w:rsidR="003F788D" w:rsidRPr="001B3779">
              <w:rPr>
                <w:w w:val="95"/>
                <w:sz w:val="20"/>
                <w:lang w:val="fr-FR"/>
              </w:rPr>
              <w:t>opulation</w:t>
            </w:r>
            <w:r w:rsidRPr="001B3779">
              <w:rPr>
                <w:w w:val="95"/>
                <w:sz w:val="20"/>
                <w:lang w:val="fr-FR"/>
              </w:rPr>
              <w:t>s</w:t>
            </w:r>
            <w:r w:rsidR="003F788D" w:rsidRPr="001B3779">
              <w:rPr>
                <w:w w:val="95"/>
                <w:sz w:val="20"/>
                <w:lang w:val="fr-FR"/>
              </w:rPr>
              <w:t xml:space="preserve"> </w:t>
            </w:r>
            <w:r w:rsidRPr="001B3779">
              <w:rPr>
                <w:sz w:val="20"/>
                <w:lang w:val="fr-FR"/>
              </w:rPr>
              <w:t>et tendances des oiseaux marins</w:t>
            </w:r>
          </w:p>
        </w:tc>
        <w:tc>
          <w:tcPr>
            <w:tcW w:w="1201" w:type="dxa"/>
          </w:tcPr>
          <w:p w14:paraId="597BEB97" w14:textId="729FF3C6" w:rsidR="00664206" w:rsidRPr="001B3779" w:rsidRDefault="00E33375">
            <w:pPr>
              <w:pStyle w:val="TableParagraph"/>
              <w:spacing w:before="98"/>
              <w:ind w:left="159" w:right="152"/>
              <w:jc w:val="center"/>
              <w:rPr>
                <w:sz w:val="20"/>
                <w:lang w:val="fr-FR"/>
              </w:rPr>
            </w:pPr>
            <w:r w:rsidRPr="001B3779">
              <w:rPr>
                <w:w w:val="95"/>
                <w:sz w:val="20"/>
                <w:lang w:val="fr-FR"/>
              </w:rPr>
              <w:t xml:space="preserve">Taille des populations </w:t>
            </w:r>
            <w:r w:rsidRPr="001B3779">
              <w:rPr>
                <w:sz w:val="20"/>
                <w:lang w:val="fr-FR"/>
              </w:rPr>
              <w:t>et tendances des oiseaux marins</w:t>
            </w:r>
          </w:p>
        </w:tc>
        <w:tc>
          <w:tcPr>
            <w:tcW w:w="992" w:type="dxa"/>
          </w:tcPr>
          <w:p w14:paraId="0209E204" w14:textId="2E8DB9C3" w:rsidR="00664206" w:rsidRPr="001B3779" w:rsidRDefault="00E33375">
            <w:pPr>
              <w:pStyle w:val="TableParagraph"/>
              <w:spacing w:before="98"/>
              <w:ind w:left="106" w:right="98"/>
              <w:jc w:val="center"/>
              <w:rPr>
                <w:sz w:val="20"/>
                <w:lang w:val="fr-FR"/>
              </w:rPr>
            </w:pPr>
            <w:r w:rsidRPr="001B3779">
              <w:rPr>
                <w:w w:val="95"/>
                <w:sz w:val="20"/>
                <w:lang w:val="fr-FR"/>
              </w:rPr>
              <w:t xml:space="preserve">Taille des populations </w:t>
            </w:r>
            <w:r w:rsidRPr="001B3779">
              <w:rPr>
                <w:sz w:val="20"/>
                <w:lang w:val="fr-FR"/>
              </w:rPr>
              <w:t>et tendances des oiseaux marins</w:t>
            </w:r>
          </w:p>
        </w:tc>
        <w:tc>
          <w:tcPr>
            <w:tcW w:w="853" w:type="dxa"/>
          </w:tcPr>
          <w:p w14:paraId="503064FB" w14:textId="77777777" w:rsidR="00664206" w:rsidRPr="001B3779" w:rsidRDefault="003F788D">
            <w:pPr>
              <w:pStyle w:val="TableParagraph"/>
              <w:spacing w:before="98"/>
              <w:ind w:left="73" w:right="70"/>
              <w:jc w:val="center"/>
              <w:rPr>
                <w:sz w:val="20"/>
                <w:lang w:val="fr-FR"/>
              </w:rPr>
            </w:pPr>
            <w:proofErr w:type="spellStart"/>
            <w:r w:rsidRPr="001B3779">
              <w:rPr>
                <w:sz w:val="20"/>
                <w:lang w:val="fr-FR"/>
              </w:rPr>
              <w:t>n.a</w:t>
            </w:r>
            <w:proofErr w:type="spellEnd"/>
            <w:r w:rsidRPr="001B3779">
              <w:rPr>
                <w:sz w:val="20"/>
                <w:lang w:val="fr-FR"/>
              </w:rPr>
              <w:t>.</w:t>
            </w:r>
          </w:p>
        </w:tc>
        <w:tc>
          <w:tcPr>
            <w:tcW w:w="838" w:type="dxa"/>
          </w:tcPr>
          <w:p w14:paraId="6B9ECD7F" w14:textId="4EE9003B" w:rsidR="00664206" w:rsidRPr="001B3779" w:rsidRDefault="00E33375">
            <w:pPr>
              <w:pStyle w:val="TableParagraph"/>
              <w:spacing w:before="98"/>
              <w:ind w:left="104" w:right="100"/>
              <w:jc w:val="center"/>
              <w:rPr>
                <w:sz w:val="20"/>
                <w:lang w:val="fr-FR"/>
              </w:rPr>
            </w:pPr>
            <w:r w:rsidRPr="001B3779">
              <w:rPr>
                <w:w w:val="95"/>
                <w:sz w:val="20"/>
                <w:lang w:val="fr-FR"/>
              </w:rPr>
              <w:t>Taille des populations</w:t>
            </w:r>
          </w:p>
        </w:tc>
        <w:tc>
          <w:tcPr>
            <w:tcW w:w="970" w:type="dxa"/>
          </w:tcPr>
          <w:p w14:paraId="463E6996" w14:textId="2A9E26D1" w:rsidR="00664206" w:rsidRPr="001B3779" w:rsidRDefault="00E33375">
            <w:pPr>
              <w:pStyle w:val="TableParagraph"/>
              <w:spacing w:before="98"/>
              <w:ind w:left="109" w:right="107" w:firstLine="4"/>
              <w:jc w:val="center"/>
              <w:rPr>
                <w:sz w:val="20"/>
                <w:lang w:val="fr-FR"/>
              </w:rPr>
            </w:pPr>
            <w:r w:rsidRPr="001B3779">
              <w:rPr>
                <w:sz w:val="20"/>
                <w:lang w:val="fr-FR"/>
              </w:rPr>
              <w:t xml:space="preserve">Contribution à l’évaluation de la Liste </w:t>
            </w:r>
            <w:r w:rsidRPr="001B3779">
              <w:rPr>
                <w:w w:val="95"/>
                <w:sz w:val="20"/>
                <w:lang w:val="fr-FR"/>
              </w:rPr>
              <w:t>rouge</w:t>
            </w:r>
          </w:p>
        </w:tc>
      </w:tr>
      <w:tr w:rsidR="00664206" w:rsidRPr="001B3779" w14:paraId="4E0B3673" w14:textId="77777777">
        <w:trPr>
          <w:trHeight w:val="1350"/>
        </w:trPr>
        <w:tc>
          <w:tcPr>
            <w:tcW w:w="1268" w:type="dxa"/>
          </w:tcPr>
          <w:p w14:paraId="4822F595" w14:textId="05C297B3" w:rsidR="00664206" w:rsidRPr="001B3779" w:rsidRDefault="006B5526">
            <w:pPr>
              <w:pStyle w:val="TableParagraph"/>
              <w:ind w:right="151"/>
              <w:rPr>
                <w:b/>
                <w:sz w:val="20"/>
                <w:lang w:val="fr-FR"/>
              </w:rPr>
            </w:pPr>
            <w:r w:rsidRPr="001B3779">
              <w:rPr>
                <w:b/>
                <w:sz w:val="20"/>
                <w:lang w:val="fr-FR"/>
              </w:rPr>
              <w:t>Art 8 de la MSFD</w:t>
            </w:r>
          </w:p>
        </w:tc>
        <w:tc>
          <w:tcPr>
            <w:tcW w:w="970" w:type="dxa"/>
          </w:tcPr>
          <w:p w14:paraId="00343DCF" w14:textId="53E2F357" w:rsidR="00664206" w:rsidRPr="001B3779" w:rsidRDefault="00FF3596">
            <w:pPr>
              <w:pStyle w:val="TableParagraph"/>
              <w:ind w:left="104" w:right="88" w:hanging="1"/>
              <w:jc w:val="center"/>
              <w:rPr>
                <w:sz w:val="20"/>
                <w:lang w:val="fr-FR"/>
              </w:rPr>
            </w:pPr>
            <w:r w:rsidRPr="001B3779">
              <w:rPr>
                <w:sz w:val="20"/>
                <w:lang w:val="fr-FR"/>
              </w:rPr>
              <w:t>« État de c</w:t>
            </w:r>
            <w:r w:rsidR="003F788D" w:rsidRPr="001B3779">
              <w:rPr>
                <w:sz w:val="20"/>
                <w:lang w:val="fr-FR"/>
              </w:rPr>
              <w:t>onserv</w:t>
            </w:r>
            <w:r w:rsidR="00F424E9" w:rsidRPr="001B3779">
              <w:rPr>
                <w:sz w:val="20"/>
                <w:lang w:val="fr-FR"/>
              </w:rPr>
              <w:t>a</w:t>
            </w:r>
            <w:r w:rsidR="003F788D" w:rsidRPr="001B3779">
              <w:rPr>
                <w:sz w:val="20"/>
                <w:lang w:val="fr-FR"/>
              </w:rPr>
              <w:t xml:space="preserve">tion </w:t>
            </w:r>
            <w:r w:rsidRPr="001B3779">
              <w:rPr>
                <w:sz w:val="20"/>
                <w:lang w:val="fr-FR"/>
              </w:rPr>
              <w:t>favorable</w:t>
            </w:r>
            <w:r w:rsidR="00F424E9" w:rsidRPr="001B3779">
              <w:rPr>
                <w:sz w:val="20"/>
                <w:lang w:val="fr-FR"/>
              </w:rPr>
              <w:t> »</w:t>
            </w:r>
          </w:p>
        </w:tc>
        <w:tc>
          <w:tcPr>
            <w:tcW w:w="971" w:type="dxa"/>
          </w:tcPr>
          <w:p w14:paraId="6F33D828" w14:textId="77777777" w:rsidR="00664206" w:rsidRPr="001B3779" w:rsidRDefault="003F788D">
            <w:pPr>
              <w:pStyle w:val="TableParagraph"/>
              <w:ind w:left="78" w:right="66"/>
              <w:jc w:val="center"/>
              <w:rPr>
                <w:sz w:val="20"/>
                <w:lang w:val="fr-FR"/>
              </w:rPr>
            </w:pPr>
            <w:proofErr w:type="spellStart"/>
            <w:r w:rsidRPr="001B3779">
              <w:rPr>
                <w:sz w:val="20"/>
                <w:lang w:val="fr-FR"/>
              </w:rPr>
              <w:t>n.a</w:t>
            </w:r>
            <w:proofErr w:type="spellEnd"/>
            <w:r w:rsidRPr="001B3779">
              <w:rPr>
                <w:sz w:val="20"/>
                <w:lang w:val="fr-FR"/>
              </w:rPr>
              <w:t>.</w:t>
            </w:r>
          </w:p>
        </w:tc>
        <w:tc>
          <w:tcPr>
            <w:tcW w:w="973" w:type="dxa"/>
          </w:tcPr>
          <w:p w14:paraId="32F86BF2" w14:textId="77777777" w:rsidR="00664206" w:rsidRPr="001B3779" w:rsidRDefault="003F788D">
            <w:pPr>
              <w:pStyle w:val="TableParagraph"/>
              <w:ind w:left="318" w:right="305"/>
              <w:jc w:val="center"/>
              <w:rPr>
                <w:sz w:val="20"/>
                <w:lang w:val="fr-FR"/>
              </w:rPr>
            </w:pPr>
            <w:proofErr w:type="spellStart"/>
            <w:r w:rsidRPr="001B3779">
              <w:rPr>
                <w:sz w:val="20"/>
                <w:lang w:val="fr-FR"/>
              </w:rPr>
              <w:t>n.a</w:t>
            </w:r>
            <w:proofErr w:type="spellEnd"/>
            <w:r w:rsidRPr="001B3779">
              <w:rPr>
                <w:sz w:val="20"/>
                <w:lang w:val="fr-FR"/>
              </w:rPr>
              <w:t>.</w:t>
            </w:r>
          </w:p>
        </w:tc>
        <w:tc>
          <w:tcPr>
            <w:tcW w:w="1201" w:type="dxa"/>
          </w:tcPr>
          <w:p w14:paraId="7F51FD0D" w14:textId="77777777" w:rsidR="00664206" w:rsidRPr="001B3779" w:rsidRDefault="003F788D">
            <w:pPr>
              <w:pStyle w:val="TableParagraph"/>
              <w:ind w:left="7"/>
              <w:jc w:val="center"/>
              <w:rPr>
                <w:sz w:val="20"/>
                <w:lang w:val="fr-FR"/>
              </w:rPr>
            </w:pPr>
            <w:proofErr w:type="gramStart"/>
            <w:r w:rsidRPr="001B3779">
              <w:rPr>
                <w:w w:val="99"/>
                <w:sz w:val="20"/>
                <w:lang w:val="fr-FR"/>
              </w:rPr>
              <w:t>x</w:t>
            </w:r>
            <w:proofErr w:type="gramEnd"/>
          </w:p>
        </w:tc>
        <w:tc>
          <w:tcPr>
            <w:tcW w:w="1201" w:type="dxa"/>
          </w:tcPr>
          <w:p w14:paraId="0765C946" w14:textId="77777777" w:rsidR="00664206" w:rsidRPr="001B3779" w:rsidRDefault="003F788D">
            <w:pPr>
              <w:pStyle w:val="TableParagraph"/>
              <w:ind w:left="75" w:right="67"/>
              <w:jc w:val="center"/>
              <w:rPr>
                <w:sz w:val="20"/>
                <w:lang w:val="fr-FR"/>
              </w:rPr>
            </w:pPr>
            <w:proofErr w:type="spellStart"/>
            <w:r w:rsidRPr="001B3779">
              <w:rPr>
                <w:sz w:val="20"/>
                <w:lang w:val="fr-FR"/>
              </w:rPr>
              <w:t>n.a</w:t>
            </w:r>
            <w:proofErr w:type="spellEnd"/>
            <w:r w:rsidRPr="001B3779">
              <w:rPr>
                <w:sz w:val="20"/>
                <w:lang w:val="fr-FR"/>
              </w:rPr>
              <w:t>.</w:t>
            </w:r>
          </w:p>
        </w:tc>
        <w:tc>
          <w:tcPr>
            <w:tcW w:w="992" w:type="dxa"/>
          </w:tcPr>
          <w:p w14:paraId="66E7251F" w14:textId="77777777" w:rsidR="00664206" w:rsidRPr="001B3779" w:rsidRDefault="003F788D">
            <w:pPr>
              <w:pStyle w:val="TableParagraph"/>
              <w:ind w:left="74" w:right="66"/>
              <w:jc w:val="center"/>
              <w:rPr>
                <w:sz w:val="20"/>
                <w:lang w:val="fr-FR"/>
              </w:rPr>
            </w:pPr>
            <w:proofErr w:type="spellStart"/>
            <w:r w:rsidRPr="001B3779">
              <w:rPr>
                <w:sz w:val="20"/>
                <w:lang w:val="fr-FR"/>
              </w:rPr>
              <w:t>n.a</w:t>
            </w:r>
            <w:proofErr w:type="spellEnd"/>
            <w:r w:rsidRPr="001B3779">
              <w:rPr>
                <w:sz w:val="20"/>
                <w:lang w:val="fr-FR"/>
              </w:rPr>
              <w:t>.</w:t>
            </w:r>
          </w:p>
        </w:tc>
        <w:tc>
          <w:tcPr>
            <w:tcW w:w="853" w:type="dxa"/>
          </w:tcPr>
          <w:p w14:paraId="4C87F3EC" w14:textId="77777777" w:rsidR="00664206" w:rsidRPr="001B3779" w:rsidRDefault="003F788D">
            <w:pPr>
              <w:pStyle w:val="TableParagraph"/>
              <w:ind w:left="73" w:right="70"/>
              <w:jc w:val="center"/>
              <w:rPr>
                <w:sz w:val="20"/>
                <w:lang w:val="fr-FR"/>
              </w:rPr>
            </w:pPr>
            <w:proofErr w:type="spellStart"/>
            <w:r w:rsidRPr="001B3779">
              <w:rPr>
                <w:sz w:val="20"/>
                <w:lang w:val="fr-FR"/>
              </w:rPr>
              <w:t>n.a</w:t>
            </w:r>
            <w:proofErr w:type="spellEnd"/>
            <w:r w:rsidRPr="001B3779">
              <w:rPr>
                <w:sz w:val="20"/>
                <w:lang w:val="fr-FR"/>
              </w:rPr>
              <w:t>.</w:t>
            </w:r>
          </w:p>
        </w:tc>
        <w:tc>
          <w:tcPr>
            <w:tcW w:w="838" w:type="dxa"/>
          </w:tcPr>
          <w:p w14:paraId="16A58086" w14:textId="77777777" w:rsidR="00664206" w:rsidRPr="001B3779" w:rsidRDefault="003F788D">
            <w:pPr>
              <w:pStyle w:val="TableParagraph"/>
              <w:ind w:left="0" w:right="259"/>
              <w:jc w:val="right"/>
              <w:rPr>
                <w:sz w:val="20"/>
                <w:lang w:val="fr-FR"/>
              </w:rPr>
            </w:pPr>
            <w:proofErr w:type="spellStart"/>
            <w:r w:rsidRPr="001B3779">
              <w:rPr>
                <w:w w:val="95"/>
                <w:sz w:val="20"/>
                <w:lang w:val="fr-FR"/>
              </w:rPr>
              <w:t>n.a</w:t>
            </w:r>
            <w:proofErr w:type="spellEnd"/>
            <w:r w:rsidRPr="001B3779">
              <w:rPr>
                <w:w w:val="95"/>
                <w:sz w:val="20"/>
                <w:lang w:val="fr-FR"/>
              </w:rPr>
              <w:t>.</w:t>
            </w:r>
          </w:p>
        </w:tc>
        <w:tc>
          <w:tcPr>
            <w:tcW w:w="970" w:type="dxa"/>
          </w:tcPr>
          <w:p w14:paraId="66405BB6" w14:textId="77777777" w:rsidR="00664206" w:rsidRPr="001B3779" w:rsidRDefault="003F788D">
            <w:pPr>
              <w:pStyle w:val="TableParagraph"/>
              <w:ind w:left="72" w:right="69"/>
              <w:jc w:val="center"/>
              <w:rPr>
                <w:sz w:val="20"/>
                <w:lang w:val="fr-FR"/>
              </w:rPr>
            </w:pPr>
            <w:proofErr w:type="spellStart"/>
            <w:r w:rsidRPr="001B3779">
              <w:rPr>
                <w:sz w:val="20"/>
                <w:lang w:val="fr-FR"/>
              </w:rPr>
              <w:t>n.a</w:t>
            </w:r>
            <w:proofErr w:type="spellEnd"/>
            <w:r w:rsidRPr="001B3779">
              <w:rPr>
                <w:sz w:val="20"/>
                <w:lang w:val="fr-FR"/>
              </w:rPr>
              <w:t>.</w:t>
            </w:r>
          </w:p>
        </w:tc>
      </w:tr>
      <w:tr w:rsidR="00664206" w:rsidRPr="001B3779" w14:paraId="42F94609" w14:textId="77777777">
        <w:trPr>
          <w:trHeight w:val="661"/>
        </w:trPr>
        <w:tc>
          <w:tcPr>
            <w:tcW w:w="1268" w:type="dxa"/>
          </w:tcPr>
          <w:p w14:paraId="1F34B1BF" w14:textId="77777777" w:rsidR="00664206" w:rsidRPr="001B3779" w:rsidRDefault="003F788D">
            <w:pPr>
              <w:pStyle w:val="TableParagraph"/>
              <w:rPr>
                <w:b/>
                <w:sz w:val="20"/>
                <w:lang w:val="fr-FR"/>
              </w:rPr>
            </w:pPr>
            <w:r w:rsidRPr="001B3779">
              <w:rPr>
                <w:b/>
                <w:sz w:val="20"/>
                <w:lang w:val="fr-FR"/>
              </w:rPr>
              <w:t>HELCOM</w:t>
            </w:r>
          </w:p>
        </w:tc>
        <w:tc>
          <w:tcPr>
            <w:tcW w:w="970" w:type="dxa"/>
          </w:tcPr>
          <w:p w14:paraId="4393A94E" w14:textId="6258CFED" w:rsidR="00664206" w:rsidRPr="001B3779" w:rsidRDefault="00C07AAB">
            <w:pPr>
              <w:pStyle w:val="TableParagraph"/>
              <w:ind w:left="0" w:right="185"/>
              <w:jc w:val="right"/>
              <w:rPr>
                <w:sz w:val="20"/>
                <w:lang w:val="fr-FR"/>
              </w:rPr>
            </w:pPr>
            <w:r w:rsidRPr="001B3779">
              <w:rPr>
                <w:w w:val="95"/>
                <w:sz w:val="20"/>
                <w:lang w:val="fr-FR"/>
              </w:rPr>
              <w:t>Tendances</w:t>
            </w:r>
          </w:p>
        </w:tc>
        <w:tc>
          <w:tcPr>
            <w:tcW w:w="971" w:type="dxa"/>
          </w:tcPr>
          <w:p w14:paraId="12D2E2AA" w14:textId="77777777" w:rsidR="00664206" w:rsidRPr="001B3779" w:rsidRDefault="003F788D">
            <w:pPr>
              <w:pStyle w:val="TableParagraph"/>
              <w:ind w:left="78" w:right="66"/>
              <w:jc w:val="center"/>
              <w:rPr>
                <w:sz w:val="20"/>
                <w:lang w:val="fr-FR"/>
              </w:rPr>
            </w:pPr>
            <w:proofErr w:type="spellStart"/>
            <w:r w:rsidRPr="001B3779">
              <w:rPr>
                <w:sz w:val="20"/>
                <w:lang w:val="fr-FR"/>
              </w:rPr>
              <w:t>n.a</w:t>
            </w:r>
            <w:proofErr w:type="spellEnd"/>
            <w:r w:rsidRPr="001B3779">
              <w:rPr>
                <w:sz w:val="20"/>
                <w:lang w:val="fr-FR"/>
              </w:rPr>
              <w:t>.</w:t>
            </w:r>
          </w:p>
        </w:tc>
        <w:tc>
          <w:tcPr>
            <w:tcW w:w="973" w:type="dxa"/>
          </w:tcPr>
          <w:p w14:paraId="3F4E589E" w14:textId="77777777" w:rsidR="00664206" w:rsidRPr="001B3779" w:rsidRDefault="003F788D">
            <w:pPr>
              <w:pStyle w:val="TableParagraph"/>
              <w:ind w:left="318" w:right="305"/>
              <w:jc w:val="center"/>
              <w:rPr>
                <w:sz w:val="20"/>
                <w:lang w:val="fr-FR"/>
              </w:rPr>
            </w:pPr>
            <w:proofErr w:type="spellStart"/>
            <w:r w:rsidRPr="001B3779">
              <w:rPr>
                <w:sz w:val="20"/>
                <w:lang w:val="fr-FR"/>
              </w:rPr>
              <w:t>n.a</w:t>
            </w:r>
            <w:proofErr w:type="spellEnd"/>
            <w:r w:rsidRPr="001B3779">
              <w:rPr>
                <w:sz w:val="20"/>
                <w:lang w:val="fr-FR"/>
              </w:rPr>
              <w:t>.</w:t>
            </w:r>
          </w:p>
        </w:tc>
        <w:tc>
          <w:tcPr>
            <w:tcW w:w="1201" w:type="dxa"/>
          </w:tcPr>
          <w:p w14:paraId="3BAA7C77" w14:textId="26BD8204" w:rsidR="00664206" w:rsidRPr="001B3779" w:rsidRDefault="006F5DDE" w:rsidP="00141152">
            <w:pPr>
              <w:pStyle w:val="TableParagraph"/>
              <w:spacing w:before="98"/>
              <w:ind w:left="159" w:right="151"/>
              <w:jc w:val="center"/>
              <w:rPr>
                <w:sz w:val="20"/>
                <w:lang w:val="fr-FR"/>
              </w:rPr>
            </w:pPr>
            <w:r w:rsidRPr="001B3779">
              <w:rPr>
                <w:w w:val="95"/>
                <w:sz w:val="20"/>
                <w:lang w:val="fr-FR"/>
              </w:rPr>
              <w:t xml:space="preserve">Tendances </w:t>
            </w:r>
            <w:r w:rsidR="003F788D" w:rsidRPr="001B3779">
              <w:rPr>
                <w:w w:val="95"/>
                <w:sz w:val="20"/>
                <w:lang w:val="fr-FR"/>
              </w:rPr>
              <w:t>&amp; “FCS”</w:t>
            </w:r>
          </w:p>
        </w:tc>
        <w:tc>
          <w:tcPr>
            <w:tcW w:w="1201" w:type="dxa"/>
          </w:tcPr>
          <w:p w14:paraId="1675BD9F" w14:textId="77777777" w:rsidR="00664206" w:rsidRPr="001B3779" w:rsidRDefault="003F788D">
            <w:pPr>
              <w:pStyle w:val="TableParagraph"/>
              <w:ind w:left="5"/>
              <w:jc w:val="center"/>
              <w:rPr>
                <w:sz w:val="20"/>
                <w:lang w:val="fr-FR"/>
              </w:rPr>
            </w:pPr>
            <w:proofErr w:type="gramStart"/>
            <w:r w:rsidRPr="001B3779">
              <w:rPr>
                <w:w w:val="99"/>
                <w:sz w:val="20"/>
                <w:lang w:val="fr-FR"/>
              </w:rPr>
              <w:t>x</w:t>
            </w:r>
            <w:proofErr w:type="gramEnd"/>
          </w:p>
        </w:tc>
        <w:tc>
          <w:tcPr>
            <w:tcW w:w="992" w:type="dxa"/>
          </w:tcPr>
          <w:p w14:paraId="3DF82ED0" w14:textId="77777777" w:rsidR="00664206" w:rsidRPr="001B3779" w:rsidRDefault="003F788D">
            <w:pPr>
              <w:pStyle w:val="TableParagraph"/>
              <w:ind w:left="74" w:right="66"/>
              <w:jc w:val="center"/>
              <w:rPr>
                <w:sz w:val="20"/>
                <w:lang w:val="fr-FR"/>
              </w:rPr>
            </w:pPr>
            <w:proofErr w:type="spellStart"/>
            <w:r w:rsidRPr="001B3779">
              <w:rPr>
                <w:sz w:val="20"/>
                <w:lang w:val="fr-FR"/>
              </w:rPr>
              <w:t>n.a</w:t>
            </w:r>
            <w:proofErr w:type="spellEnd"/>
            <w:r w:rsidRPr="001B3779">
              <w:rPr>
                <w:sz w:val="20"/>
                <w:lang w:val="fr-FR"/>
              </w:rPr>
              <w:t>.</w:t>
            </w:r>
          </w:p>
        </w:tc>
        <w:tc>
          <w:tcPr>
            <w:tcW w:w="853" w:type="dxa"/>
          </w:tcPr>
          <w:p w14:paraId="7528C849" w14:textId="77777777" w:rsidR="00664206" w:rsidRPr="001B3779" w:rsidRDefault="003F788D">
            <w:pPr>
              <w:pStyle w:val="TableParagraph"/>
              <w:ind w:left="73" w:right="70"/>
              <w:jc w:val="center"/>
              <w:rPr>
                <w:sz w:val="20"/>
                <w:lang w:val="fr-FR"/>
              </w:rPr>
            </w:pPr>
            <w:proofErr w:type="spellStart"/>
            <w:r w:rsidRPr="001B3779">
              <w:rPr>
                <w:sz w:val="20"/>
                <w:lang w:val="fr-FR"/>
              </w:rPr>
              <w:t>n.a</w:t>
            </w:r>
            <w:proofErr w:type="spellEnd"/>
            <w:r w:rsidRPr="001B3779">
              <w:rPr>
                <w:sz w:val="20"/>
                <w:lang w:val="fr-FR"/>
              </w:rPr>
              <w:t>.</w:t>
            </w:r>
          </w:p>
        </w:tc>
        <w:tc>
          <w:tcPr>
            <w:tcW w:w="838" w:type="dxa"/>
          </w:tcPr>
          <w:p w14:paraId="5152E117" w14:textId="6324C827" w:rsidR="00664206" w:rsidRPr="001B3779" w:rsidRDefault="006F5DDE">
            <w:pPr>
              <w:pStyle w:val="TableParagraph"/>
              <w:spacing w:before="0"/>
              <w:ind w:left="2"/>
              <w:jc w:val="center"/>
              <w:rPr>
                <w:sz w:val="20"/>
                <w:lang w:val="fr-FR"/>
              </w:rPr>
            </w:pPr>
            <w:r w:rsidRPr="001B3779">
              <w:rPr>
                <w:w w:val="95"/>
                <w:sz w:val="20"/>
                <w:lang w:val="fr-FR"/>
              </w:rPr>
              <w:t>Tendances</w:t>
            </w:r>
            <w:r w:rsidR="003F788D" w:rsidRPr="001B3779">
              <w:rPr>
                <w:w w:val="99"/>
                <w:sz w:val="20"/>
                <w:lang w:val="fr-FR"/>
              </w:rPr>
              <w:t>?</w:t>
            </w:r>
          </w:p>
        </w:tc>
        <w:tc>
          <w:tcPr>
            <w:tcW w:w="970" w:type="dxa"/>
          </w:tcPr>
          <w:p w14:paraId="7391FF3A" w14:textId="77777777" w:rsidR="00664206" w:rsidRPr="001B3779" w:rsidRDefault="003F788D">
            <w:pPr>
              <w:pStyle w:val="TableParagraph"/>
              <w:ind w:left="72" w:right="69"/>
              <w:jc w:val="center"/>
              <w:rPr>
                <w:sz w:val="20"/>
                <w:lang w:val="fr-FR"/>
              </w:rPr>
            </w:pPr>
            <w:proofErr w:type="spellStart"/>
            <w:r w:rsidRPr="001B3779">
              <w:rPr>
                <w:sz w:val="20"/>
                <w:lang w:val="fr-FR"/>
              </w:rPr>
              <w:t>n.a</w:t>
            </w:r>
            <w:proofErr w:type="spellEnd"/>
            <w:r w:rsidRPr="001B3779">
              <w:rPr>
                <w:sz w:val="20"/>
                <w:lang w:val="fr-FR"/>
              </w:rPr>
              <w:t>.</w:t>
            </w:r>
          </w:p>
        </w:tc>
      </w:tr>
      <w:tr w:rsidR="00664206" w:rsidRPr="001B3779" w14:paraId="5CE8CB9A" w14:textId="77777777">
        <w:trPr>
          <w:trHeight w:val="659"/>
        </w:trPr>
        <w:tc>
          <w:tcPr>
            <w:tcW w:w="1268" w:type="dxa"/>
          </w:tcPr>
          <w:p w14:paraId="7000ABBF" w14:textId="77777777" w:rsidR="00664206" w:rsidRPr="001B3779" w:rsidRDefault="003F788D">
            <w:pPr>
              <w:pStyle w:val="TableParagraph"/>
              <w:spacing w:before="98"/>
              <w:rPr>
                <w:b/>
                <w:sz w:val="20"/>
                <w:lang w:val="fr-FR"/>
              </w:rPr>
            </w:pPr>
            <w:r w:rsidRPr="001B3779">
              <w:rPr>
                <w:b/>
                <w:sz w:val="20"/>
                <w:lang w:val="fr-FR"/>
              </w:rPr>
              <w:t>OSPAR</w:t>
            </w:r>
          </w:p>
        </w:tc>
        <w:tc>
          <w:tcPr>
            <w:tcW w:w="970" w:type="dxa"/>
          </w:tcPr>
          <w:p w14:paraId="64C9AE7A" w14:textId="1EEE9E19" w:rsidR="00664206" w:rsidRPr="001B3779" w:rsidRDefault="00C07AAB">
            <w:pPr>
              <w:pStyle w:val="TableParagraph"/>
              <w:spacing w:before="98"/>
              <w:ind w:left="0" w:right="185"/>
              <w:jc w:val="right"/>
              <w:rPr>
                <w:sz w:val="20"/>
                <w:lang w:val="fr-FR"/>
              </w:rPr>
            </w:pPr>
            <w:r w:rsidRPr="001B3779">
              <w:rPr>
                <w:w w:val="95"/>
                <w:sz w:val="20"/>
                <w:lang w:val="fr-FR"/>
              </w:rPr>
              <w:t>Tendances</w:t>
            </w:r>
          </w:p>
        </w:tc>
        <w:tc>
          <w:tcPr>
            <w:tcW w:w="971" w:type="dxa"/>
          </w:tcPr>
          <w:p w14:paraId="28377456" w14:textId="77777777" w:rsidR="00664206" w:rsidRPr="001B3779" w:rsidRDefault="003F788D">
            <w:pPr>
              <w:pStyle w:val="TableParagraph"/>
              <w:spacing w:before="98"/>
              <w:ind w:left="78" w:right="66"/>
              <w:jc w:val="center"/>
              <w:rPr>
                <w:sz w:val="20"/>
                <w:lang w:val="fr-FR"/>
              </w:rPr>
            </w:pPr>
            <w:proofErr w:type="spellStart"/>
            <w:r w:rsidRPr="001B3779">
              <w:rPr>
                <w:sz w:val="20"/>
                <w:lang w:val="fr-FR"/>
              </w:rPr>
              <w:t>n.a</w:t>
            </w:r>
            <w:proofErr w:type="spellEnd"/>
            <w:r w:rsidRPr="001B3779">
              <w:rPr>
                <w:sz w:val="20"/>
                <w:lang w:val="fr-FR"/>
              </w:rPr>
              <w:t>.</w:t>
            </w:r>
          </w:p>
        </w:tc>
        <w:tc>
          <w:tcPr>
            <w:tcW w:w="973" w:type="dxa"/>
          </w:tcPr>
          <w:p w14:paraId="7276BDF0" w14:textId="77777777" w:rsidR="00664206" w:rsidRPr="001B3779" w:rsidRDefault="003F788D">
            <w:pPr>
              <w:pStyle w:val="TableParagraph"/>
              <w:spacing w:before="98"/>
              <w:ind w:left="318" w:right="305"/>
              <w:jc w:val="center"/>
              <w:rPr>
                <w:sz w:val="20"/>
                <w:lang w:val="fr-FR"/>
              </w:rPr>
            </w:pPr>
            <w:proofErr w:type="spellStart"/>
            <w:r w:rsidRPr="001B3779">
              <w:rPr>
                <w:sz w:val="20"/>
                <w:lang w:val="fr-FR"/>
              </w:rPr>
              <w:t>n.a</w:t>
            </w:r>
            <w:proofErr w:type="spellEnd"/>
            <w:r w:rsidRPr="001B3779">
              <w:rPr>
                <w:sz w:val="20"/>
                <w:lang w:val="fr-FR"/>
              </w:rPr>
              <w:t>.</w:t>
            </w:r>
          </w:p>
        </w:tc>
        <w:tc>
          <w:tcPr>
            <w:tcW w:w="1201" w:type="dxa"/>
          </w:tcPr>
          <w:p w14:paraId="506190F4" w14:textId="516CEDD2" w:rsidR="00664206" w:rsidRPr="001B3779" w:rsidRDefault="006F5DDE" w:rsidP="00141152">
            <w:pPr>
              <w:pStyle w:val="TableParagraph"/>
              <w:spacing w:before="98"/>
              <w:ind w:left="159" w:right="151"/>
              <w:jc w:val="center"/>
              <w:rPr>
                <w:sz w:val="20"/>
                <w:lang w:val="fr-FR"/>
              </w:rPr>
            </w:pPr>
            <w:r w:rsidRPr="001B3779">
              <w:rPr>
                <w:w w:val="95"/>
                <w:sz w:val="20"/>
                <w:lang w:val="fr-FR"/>
              </w:rPr>
              <w:t xml:space="preserve">Tendances </w:t>
            </w:r>
            <w:r w:rsidR="003F788D" w:rsidRPr="001B3779">
              <w:rPr>
                <w:w w:val="95"/>
                <w:sz w:val="20"/>
                <w:lang w:val="fr-FR"/>
              </w:rPr>
              <w:t>&amp; “FCS”</w:t>
            </w:r>
          </w:p>
        </w:tc>
        <w:tc>
          <w:tcPr>
            <w:tcW w:w="1201" w:type="dxa"/>
          </w:tcPr>
          <w:p w14:paraId="4A02C8B7" w14:textId="77777777" w:rsidR="00664206" w:rsidRPr="001B3779" w:rsidRDefault="003F788D">
            <w:pPr>
              <w:pStyle w:val="TableParagraph"/>
              <w:spacing w:before="98"/>
              <w:ind w:left="75" w:right="67"/>
              <w:jc w:val="center"/>
              <w:rPr>
                <w:sz w:val="20"/>
                <w:lang w:val="fr-FR"/>
              </w:rPr>
            </w:pPr>
            <w:proofErr w:type="spellStart"/>
            <w:r w:rsidRPr="001B3779">
              <w:rPr>
                <w:sz w:val="20"/>
                <w:lang w:val="fr-FR"/>
              </w:rPr>
              <w:t>n.a</w:t>
            </w:r>
            <w:proofErr w:type="spellEnd"/>
            <w:r w:rsidRPr="001B3779">
              <w:rPr>
                <w:sz w:val="20"/>
                <w:lang w:val="fr-FR"/>
              </w:rPr>
              <w:t>.</w:t>
            </w:r>
          </w:p>
        </w:tc>
        <w:tc>
          <w:tcPr>
            <w:tcW w:w="992" w:type="dxa"/>
          </w:tcPr>
          <w:p w14:paraId="67DAF9C8" w14:textId="77777777" w:rsidR="00664206" w:rsidRPr="001B3779" w:rsidRDefault="003F788D">
            <w:pPr>
              <w:pStyle w:val="TableParagraph"/>
              <w:spacing w:before="98"/>
              <w:ind w:left="6"/>
              <w:jc w:val="center"/>
              <w:rPr>
                <w:sz w:val="20"/>
                <w:lang w:val="fr-FR"/>
              </w:rPr>
            </w:pPr>
            <w:proofErr w:type="gramStart"/>
            <w:r w:rsidRPr="001B3779">
              <w:rPr>
                <w:w w:val="99"/>
                <w:sz w:val="20"/>
                <w:lang w:val="fr-FR"/>
              </w:rPr>
              <w:t>x</w:t>
            </w:r>
            <w:proofErr w:type="gramEnd"/>
          </w:p>
        </w:tc>
        <w:tc>
          <w:tcPr>
            <w:tcW w:w="853" w:type="dxa"/>
          </w:tcPr>
          <w:p w14:paraId="56AD5DAC" w14:textId="6FB885CB" w:rsidR="00664206" w:rsidRPr="001B3779" w:rsidRDefault="006F5DDE">
            <w:pPr>
              <w:pStyle w:val="TableParagraph"/>
              <w:spacing w:before="98"/>
              <w:ind w:left="73" w:right="67"/>
              <w:jc w:val="center"/>
              <w:rPr>
                <w:sz w:val="20"/>
                <w:lang w:val="fr-FR"/>
              </w:rPr>
            </w:pPr>
            <w:r w:rsidRPr="001B3779">
              <w:rPr>
                <w:w w:val="95"/>
                <w:sz w:val="20"/>
                <w:lang w:val="fr-FR"/>
              </w:rPr>
              <w:t>Tendances</w:t>
            </w:r>
          </w:p>
        </w:tc>
        <w:tc>
          <w:tcPr>
            <w:tcW w:w="838" w:type="dxa"/>
          </w:tcPr>
          <w:p w14:paraId="25D5E23A" w14:textId="0CEB7476" w:rsidR="00664206" w:rsidRPr="001B3779" w:rsidRDefault="006F5DDE">
            <w:pPr>
              <w:pStyle w:val="TableParagraph"/>
              <w:spacing w:before="1"/>
              <w:ind w:left="2"/>
              <w:jc w:val="center"/>
              <w:rPr>
                <w:sz w:val="20"/>
                <w:lang w:val="fr-FR"/>
              </w:rPr>
            </w:pPr>
            <w:r w:rsidRPr="001B3779">
              <w:rPr>
                <w:w w:val="95"/>
                <w:sz w:val="20"/>
                <w:lang w:val="fr-FR"/>
              </w:rPr>
              <w:t>Tendances</w:t>
            </w:r>
            <w:r w:rsidR="003F788D" w:rsidRPr="001B3779">
              <w:rPr>
                <w:w w:val="99"/>
                <w:sz w:val="20"/>
                <w:lang w:val="fr-FR"/>
              </w:rPr>
              <w:t>?</w:t>
            </w:r>
          </w:p>
        </w:tc>
        <w:tc>
          <w:tcPr>
            <w:tcW w:w="970" w:type="dxa"/>
          </w:tcPr>
          <w:p w14:paraId="1954951A" w14:textId="77777777" w:rsidR="00664206" w:rsidRPr="001B3779" w:rsidRDefault="003F788D">
            <w:pPr>
              <w:pStyle w:val="TableParagraph"/>
              <w:spacing w:before="98"/>
              <w:ind w:left="72" w:right="69"/>
              <w:jc w:val="center"/>
              <w:rPr>
                <w:sz w:val="20"/>
                <w:lang w:val="fr-FR"/>
              </w:rPr>
            </w:pPr>
            <w:proofErr w:type="spellStart"/>
            <w:r w:rsidRPr="001B3779">
              <w:rPr>
                <w:sz w:val="20"/>
                <w:lang w:val="fr-FR"/>
              </w:rPr>
              <w:t>n.a</w:t>
            </w:r>
            <w:proofErr w:type="spellEnd"/>
            <w:r w:rsidRPr="001B3779">
              <w:rPr>
                <w:sz w:val="20"/>
                <w:lang w:val="fr-FR"/>
              </w:rPr>
              <w:t>.</w:t>
            </w:r>
          </w:p>
        </w:tc>
      </w:tr>
      <w:tr w:rsidR="00664206" w:rsidRPr="001B3779" w14:paraId="11A56D57" w14:textId="77777777">
        <w:trPr>
          <w:trHeight w:val="429"/>
        </w:trPr>
        <w:tc>
          <w:tcPr>
            <w:tcW w:w="1268" w:type="dxa"/>
          </w:tcPr>
          <w:p w14:paraId="69D7C5E2" w14:textId="77777777" w:rsidR="00664206" w:rsidRPr="001B3779" w:rsidRDefault="003F788D">
            <w:pPr>
              <w:pStyle w:val="TableParagraph"/>
              <w:rPr>
                <w:b/>
                <w:sz w:val="20"/>
                <w:lang w:val="fr-FR"/>
              </w:rPr>
            </w:pPr>
            <w:r w:rsidRPr="001B3779">
              <w:rPr>
                <w:b/>
                <w:sz w:val="20"/>
                <w:lang w:val="fr-FR"/>
              </w:rPr>
              <w:t>CAFF</w:t>
            </w:r>
          </w:p>
        </w:tc>
        <w:tc>
          <w:tcPr>
            <w:tcW w:w="970" w:type="dxa"/>
          </w:tcPr>
          <w:p w14:paraId="15CF615F" w14:textId="03B2334B" w:rsidR="00664206" w:rsidRPr="001B3779" w:rsidRDefault="00EF498D">
            <w:pPr>
              <w:pStyle w:val="TableParagraph"/>
              <w:ind w:left="0" w:right="185"/>
              <w:jc w:val="right"/>
              <w:rPr>
                <w:sz w:val="20"/>
                <w:lang w:val="fr-FR"/>
              </w:rPr>
            </w:pPr>
            <w:r w:rsidRPr="001B3779">
              <w:rPr>
                <w:w w:val="95"/>
                <w:sz w:val="20"/>
                <w:lang w:val="fr-FR"/>
              </w:rPr>
              <w:t>Tendances</w:t>
            </w:r>
          </w:p>
        </w:tc>
        <w:tc>
          <w:tcPr>
            <w:tcW w:w="971" w:type="dxa"/>
          </w:tcPr>
          <w:p w14:paraId="4FD72D10" w14:textId="77777777" w:rsidR="00664206" w:rsidRPr="001B3779" w:rsidRDefault="003F788D">
            <w:pPr>
              <w:pStyle w:val="TableParagraph"/>
              <w:ind w:left="78" w:right="66"/>
              <w:jc w:val="center"/>
              <w:rPr>
                <w:sz w:val="20"/>
                <w:lang w:val="fr-FR"/>
              </w:rPr>
            </w:pPr>
            <w:proofErr w:type="spellStart"/>
            <w:r w:rsidRPr="001B3779">
              <w:rPr>
                <w:sz w:val="20"/>
                <w:lang w:val="fr-FR"/>
              </w:rPr>
              <w:t>n.a</w:t>
            </w:r>
            <w:proofErr w:type="spellEnd"/>
            <w:r w:rsidRPr="001B3779">
              <w:rPr>
                <w:sz w:val="20"/>
                <w:lang w:val="fr-FR"/>
              </w:rPr>
              <w:t>.</w:t>
            </w:r>
          </w:p>
        </w:tc>
        <w:tc>
          <w:tcPr>
            <w:tcW w:w="973" w:type="dxa"/>
          </w:tcPr>
          <w:p w14:paraId="0CE89775" w14:textId="77777777" w:rsidR="00664206" w:rsidRPr="001B3779" w:rsidRDefault="003F788D">
            <w:pPr>
              <w:pStyle w:val="TableParagraph"/>
              <w:ind w:left="318" w:right="305"/>
              <w:jc w:val="center"/>
              <w:rPr>
                <w:sz w:val="20"/>
                <w:lang w:val="fr-FR"/>
              </w:rPr>
            </w:pPr>
            <w:proofErr w:type="spellStart"/>
            <w:r w:rsidRPr="001B3779">
              <w:rPr>
                <w:sz w:val="20"/>
                <w:lang w:val="fr-FR"/>
              </w:rPr>
              <w:t>n.a</w:t>
            </w:r>
            <w:proofErr w:type="spellEnd"/>
            <w:r w:rsidRPr="001B3779">
              <w:rPr>
                <w:sz w:val="20"/>
                <w:lang w:val="fr-FR"/>
              </w:rPr>
              <w:t>.</w:t>
            </w:r>
          </w:p>
        </w:tc>
        <w:tc>
          <w:tcPr>
            <w:tcW w:w="1201" w:type="dxa"/>
          </w:tcPr>
          <w:p w14:paraId="52071269" w14:textId="77777777" w:rsidR="00664206" w:rsidRPr="001B3779" w:rsidRDefault="003F788D">
            <w:pPr>
              <w:pStyle w:val="TableParagraph"/>
              <w:ind w:left="75" w:right="66"/>
              <w:jc w:val="center"/>
              <w:rPr>
                <w:sz w:val="20"/>
                <w:lang w:val="fr-FR"/>
              </w:rPr>
            </w:pPr>
            <w:proofErr w:type="spellStart"/>
            <w:r w:rsidRPr="001B3779">
              <w:rPr>
                <w:sz w:val="20"/>
                <w:lang w:val="fr-FR"/>
              </w:rPr>
              <w:t>n.a</w:t>
            </w:r>
            <w:proofErr w:type="spellEnd"/>
            <w:r w:rsidRPr="001B3779">
              <w:rPr>
                <w:sz w:val="20"/>
                <w:lang w:val="fr-FR"/>
              </w:rPr>
              <w:t>.</w:t>
            </w:r>
          </w:p>
        </w:tc>
        <w:tc>
          <w:tcPr>
            <w:tcW w:w="1201" w:type="dxa"/>
          </w:tcPr>
          <w:p w14:paraId="745A14BE" w14:textId="77777777" w:rsidR="00664206" w:rsidRPr="001B3779" w:rsidRDefault="003F788D">
            <w:pPr>
              <w:pStyle w:val="TableParagraph"/>
              <w:ind w:left="75" w:right="67"/>
              <w:jc w:val="center"/>
              <w:rPr>
                <w:sz w:val="20"/>
                <w:lang w:val="fr-FR"/>
              </w:rPr>
            </w:pPr>
            <w:proofErr w:type="spellStart"/>
            <w:r w:rsidRPr="001B3779">
              <w:rPr>
                <w:sz w:val="20"/>
                <w:lang w:val="fr-FR"/>
              </w:rPr>
              <w:t>n.a</w:t>
            </w:r>
            <w:proofErr w:type="spellEnd"/>
            <w:r w:rsidRPr="001B3779">
              <w:rPr>
                <w:sz w:val="20"/>
                <w:lang w:val="fr-FR"/>
              </w:rPr>
              <w:t>.</w:t>
            </w:r>
          </w:p>
        </w:tc>
        <w:tc>
          <w:tcPr>
            <w:tcW w:w="992" w:type="dxa"/>
          </w:tcPr>
          <w:p w14:paraId="3EDAAB9E" w14:textId="77777777" w:rsidR="00664206" w:rsidRPr="001B3779" w:rsidRDefault="003F788D">
            <w:pPr>
              <w:pStyle w:val="TableParagraph"/>
              <w:ind w:left="74" w:right="66"/>
              <w:jc w:val="center"/>
              <w:rPr>
                <w:sz w:val="20"/>
                <w:lang w:val="fr-FR"/>
              </w:rPr>
            </w:pPr>
            <w:proofErr w:type="spellStart"/>
            <w:r w:rsidRPr="001B3779">
              <w:rPr>
                <w:sz w:val="20"/>
                <w:lang w:val="fr-FR"/>
              </w:rPr>
              <w:t>n.a</w:t>
            </w:r>
            <w:proofErr w:type="spellEnd"/>
            <w:r w:rsidRPr="001B3779">
              <w:rPr>
                <w:sz w:val="20"/>
                <w:lang w:val="fr-FR"/>
              </w:rPr>
              <w:t>.</w:t>
            </w:r>
          </w:p>
        </w:tc>
        <w:tc>
          <w:tcPr>
            <w:tcW w:w="853" w:type="dxa"/>
          </w:tcPr>
          <w:p w14:paraId="65F6AA22" w14:textId="77777777" w:rsidR="00664206" w:rsidRPr="001B3779" w:rsidRDefault="003F788D">
            <w:pPr>
              <w:pStyle w:val="TableParagraph"/>
              <w:ind w:left="1"/>
              <w:jc w:val="center"/>
              <w:rPr>
                <w:sz w:val="20"/>
                <w:lang w:val="fr-FR"/>
              </w:rPr>
            </w:pPr>
            <w:proofErr w:type="gramStart"/>
            <w:r w:rsidRPr="001B3779">
              <w:rPr>
                <w:w w:val="99"/>
                <w:sz w:val="20"/>
                <w:lang w:val="fr-FR"/>
              </w:rPr>
              <w:t>x</w:t>
            </w:r>
            <w:proofErr w:type="gramEnd"/>
          </w:p>
        </w:tc>
        <w:tc>
          <w:tcPr>
            <w:tcW w:w="838" w:type="dxa"/>
          </w:tcPr>
          <w:p w14:paraId="42E9BD1B" w14:textId="77777777" w:rsidR="00664206" w:rsidRPr="001B3779" w:rsidRDefault="003F788D">
            <w:pPr>
              <w:pStyle w:val="TableParagraph"/>
              <w:ind w:left="0" w:right="259"/>
              <w:jc w:val="right"/>
              <w:rPr>
                <w:sz w:val="20"/>
                <w:lang w:val="fr-FR"/>
              </w:rPr>
            </w:pPr>
            <w:proofErr w:type="spellStart"/>
            <w:r w:rsidRPr="001B3779">
              <w:rPr>
                <w:w w:val="95"/>
                <w:sz w:val="20"/>
                <w:lang w:val="fr-FR"/>
              </w:rPr>
              <w:t>n.a</w:t>
            </w:r>
            <w:proofErr w:type="spellEnd"/>
            <w:r w:rsidRPr="001B3779">
              <w:rPr>
                <w:w w:val="95"/>
                <w:sz w:val="20"/>
                <w:lang w:val="fr-FR"/>
              </w:rPr>
              <w:t>.</w:t>
            </w:r>
          </w:p>
        </w:tc>
        <w:tc>
          <w:tcPr>
            <w:tcW w:w="970" w:type="dxa"/>
          </w:tcPr>
          <w:p w14:paraId="1C089E16" w14:textId="77777777" w:rsidR="00664206" w:rsidRPr="001B3779" w:rsidRDefault="003F788D">
            <w:pPr>
              <w:pStyle w:val="TableParagraph"/>
              <w:ind w:left="72" w:right="69"/>
              <w:jc w:val="center"/>
              <w:rPr>
                <w:sz w:val="20"/>
                <w:lang w:val="fr-FR"/>
              </w:rPr>
            </w:pPr>
            <w:proofErr w:type="spellStart"/>
            <w:r w:rsidRPr="001B3779">
              <w:rPr>
                <w:sz w:val="20"/>
                <w:lang w:val="fr-FR"/>
              </w:rPr>
              <w:t>n.a</w:t>
            </w:r>
            <w:proofErr w:type="spellEnd"/>
            <w:r w:rsidRPr="001B3779">
              <w:rPr>
                <w:sz w:val="20"/>
                <w:lang w:val="fr-FR"/>
              </w:rPr>
              <w:t>.</w:t>
            </w:r>
          </w:p>
        </w:tc>
      </w:tr>
      <w:tr w:rsidR="006A2854" w:rsidRPr="005E52F1" w14:paraId="4385BC49" w14:textId="77777777">
        <w:trPr>
          <w:trHeight w:val="1350"/>
        </w:trPr>
        <w:tc>
          <w:tcPr>
            <w:tcW w:w="1268" w:type="dxa"/>
          </w:tcPr>
          <w:p w14:paraId="126050B1" w14:textId="7C94517E" w:rsidR="006A2854" w:rsidRPr="001B3779" w:rsidRDefault="00816647" w:rsidP="006A2854">
            <w:pPr>
              <w:pStyle w:val="TableParagraph"/>
              <w:rPr>
                <w:b/>
                <w:sz w:val="20"/>
                <w:lang w:val="fr-FR"/>
              </w:rPr>
            </w:pPr>
            <w:r w:rsidRPr="001B3779">
              <w:rPr>
                <w:b/>
                <w:sz w:val="20"/>
                <w:lang w:val="fr-FR"/>
              </w:rPr>
              <w:t>Coopération trilatérale de la mer des Wadden</w:t>
            </w:r>
          </w:p>
        </w:tc>
        <w:tc>
          <w:tcPr>
            <w:tcW w:w="970" w:type="dxa"/>
          </w:tcPr>
          <w:p w14:paraId="14043E9D" w14:textId="34D52C39" w:rsidR="006A2854" w:rsidRPr="001B3779" w:rsidRDefault="00EF498D" w:rsidP="006A2854">
            <w:pPr>
              <w:pStyle w:val="TableParagraph"/>
              <w:ind w:left="205" w:right="64" w:hanging="106"/>
              <w:rPr>
                <w:sz w:val="20"/>
                <w:lang w:val="fr-FR"/>
              </w:rPr>
            </w:pPr>
            <w:r w:rsidRPr="001B3779">
              <w:rPr>
                <w:sz w:val="20"/>
                <w:lang w:val="fr-FR"/>
              </w:rPr>
              <w:t>Tailles des populations Tendances</w:t>
            </w:r>
          </w:p>
        </w:tc>
        <w:tc>
          <w:tcPr>
            <w:tcW w:w="971" w:type="dxa"/>
          </w:tcPr>
          <w:p w14:paraId="01E2DC3D" w14:textId="7B6F4184" w:rsidR="006A2854" w:rsidRPr="001B3779" w:rsidRDefault="00EF498D" w:rsidP="006A2854">
            <w:pPr>
              <w:pStyle w:val="TableParagraph"/>
              <w:ind w:left="430" w:right="65" w:hanging="310"/>
              <w:rPr>
                <w:sz w:val="20"/>
                <w:lang w:val="fr-FR"/>
              </w:rPr>
            </w:pPr>
            <w:r w:rsidRPr="001B3779">
              <w:rPr>
                <w:w w:val="95"/>
                <w:sz w:val="20"/>
                <w:lang w:val="fr-FR"/>
              </w:rPr>
              <w:t>Critère</w:t>
            </w:r>
            <w:r w:rsidR="006A2854" w:rsidRPr="001B3779">
              <w:rPr>
                <w:w w:val="95"/>
                <w:sz w:val="20"/>
                <w:lang w:val="fr-FR"/>
              </w:rPr>
              <w:t xml:space="preserve"> </w:t>
            </w:r>
            <w:r w:rsidR="006A2854" w:rsidRPr="001B3779">
              <w:rPr>
                <w:sz w:val="20"/>
                <w:lang w:val="fr-FR"/>
              </w:rPr>
              <w:t>6</w:t>
            </w:r>
          </w:p>
        </w:tc>
        <w:tc>
          <w:tcPr>
            <w:tcW w:w="973" w:type="dxa"/>
          </w:tcPr>
          <w:p w14:paraId="7727C368" w14:textId="15141019" w:rsidR="006A2854" w:rsidRPr="001B3779" w:rsidRDefault="00EF498D" w:rsidP="00141152">
            <w:pPr>
              <w:pStyle w:val="TableParagraph"/>
              <w:ind w:left="50" w:right="64"/>
              <w:rPr>
                <w:sz w:val="20"/>
                <w:lang w:val="fr-FR"/>
              </w:rPr>
            </w:pPr>
            <w:r w:rsidRPr="001B3779">
              <w:rPr>
                <w:sz w:val="20"/>
                <w:lang w:val="fr-FR"/>
              </w:rPr>
              <w:t xml:space="preserve">Contribution aux tailles et </w:t>
            </w:r>
            <w:r w:rsidR="003F4931" w:rsidRPr="001B3779">
              <w:rPr>
                <w:sz w:val="20"/>
                <w:lang w:val="fr-FR"/>
              </w:rPr>
              <w:t>tendances des</w:t>
            </w:r>
            <w:r w:rsidR="006A2854" w:rsidRPr="001B3779">
              <w:rPr>
                <w:sz w:val="20"/>
                <w:lang w:val="fr-FR"/>
              </w:rPr>
              <w:t xml:space="preserve"> population</w:t>
            </w:r>
            <w:r w:rsidR="003F4931" w:rsidRPr="001B3779">
              <w:rPr>
                <w:sz w:val="20"/>
                <w:lang w:val="fr-FR"/>
              </w:rPr>
              <w:t>s</w:t>
            </w:r>
          </w:p>
        </w:tc>
        <w:tc>
          <w:tcPr>
            <w:tcW w:w="1201" w:type="dxa"/>
          </w:tcPr>
          <w:p w14:paraId="4B807647" w14:textId="125A00DA" w:rsidR="006A2854" w:rsidRPr="001B3779" w:rsidRDefault="007E2725" w:rsidP="006A2854">
            <w:pPr>
              <w:pStyle w:val="TableParagraph"/>
              <w:ind w:left="75" w:right="66"/>
              <w:jc w:val="center"/>
              <w:rPr>
                <w:sz w:val="20"/>
                <w:lang w:val="fr-FR"/>
              </w:rPr>
            </w:pPr>
            <w:r w:rsidRPr="001B3779">
              <w:rPr>
                <w:sz w:val="20"/>
                <w:lang w:val="fr-FR"/>
              </w:rPr>
              <w:t>Contribution aux tendances</w:t>
            </w:r>
            <w:r w:rsidR="006A2854" w:rsidRPr="001B3779">
              <w:rPr>
                <w:sz w:val="20"/>
                <w:lang w:val="fr-FR"/>
              </w:rPr>
              <w:t xml:space="preserve"> &amp; “FCS”</w:t>
            </w:r>
          </w:p>
        </w:tc>
        <w:tc>
          <w:tcPr>
            <w:tcW w:w="1201" w:type="dxa"/>
          </w:tcPr>
          <w:p w14:paraId="1A465830" w14:textId="77777777" w:rsidR="006A2854" w:rsidRPr="001B3779" w:rsidRDefault="006A2854" w:rsidP="006A2854">
            <w:pPr>
              <w:pStyle w:val="TableParagraph"/>
              <w:ind w:left="75" w:right="67"/>
              <w:jc w:val="center"/>
              <w:rPr>
                <w:sz w:val="20"/>
                <w:lang w:val="fr-FR"/>
              </w:rPr>
            </w:pPr>
            <w:proofErr w:type="spellStart"/>
            <w:r w:rsidRPr="001B3779">
              <w:rPr>
                <w:sz w:val="20"/>
                <w:lang w:val="fr-FR"/>
              </w:rPr>
              <w:t>n.a</w:t>
            </w:r>
            <w:proofErr w:type="spellEnd"/>
            <w:r w:rsidRPr="001B3779">
              <w:rPr>
                <w:sz w:val="20"/>
                <w:lang w:val="fr-FR"/>
              </w:rPr>
              <w:t>.</w:t>
            </w:r>
          </w:p>
        </w:tc>
        <w:tc>
          <w:tcPr>
            <w:tcW w:w="992" w:type="dxa"/>
          </w:tcPr>
          <w:p w14:paraId="17B1ED7A" w14:textId="7708E31D" w:rsidR="006A2854" w:rsidRPr="001B3779" w:rsidRDefault="007E2725" w:rsidP="006A2854">
            <w:pPr>
              <w:pStyle w:val="TableParagraph"/>
              <w:ind w:left="74" w:right="66"/>
              <w:jc w:val="center"/>
              <w:rPr>
                <w:sz w:val="20"/>
                <w:lang w:val="fr-FR"/>
              </w:rPr>
            </w:pPr>
            <w:r w:rsidRPr="001B3779">
              <w:rPr>
                <w:sz w:val="20"/>
                <w:lang w:val="fr-FR"/>
              </w:rPr>
              <w:t xml:space="preserve">Contribution aux tendances </w:t>
            </w:r>
            <w:r w:rsidR="006A2854" w:rsidRPr="001B3779">
              <w:rPr>
                <w:sz w:val="20"/>
                <w:lang w:val="fr-FR"/>
              </w:rPr>
              <w:t>&amp; “FCS”</w:t>
            </w:r>
          </w:p>
        </w:tc>
        <w:tc>
          <w:tcPr>
            <w:tcW w:w="853" w:type="dxa"/>
          </w:tcPr>
          <w:p w14:paraId="1FF0121A" w14:textId="77777777" w:rsidR="006A2854" w:rsidRPr="001B3779" w:rsidRDefault="006A2854" w:rsidP="006A2854">
            <w:pPr>
              <w:pStyle w:val="TableParagraph"/>
              <w:ind w:left="73" w:right="70"/>
              <w:jc w:val="center"/>
              <w:rPr>
                <w:sz w:val="20"/>
                <w:lang w:val="fr-FR"/>
              </w:rPr>
            </w:pPr>
            <w:proofErr w:type="spellStart"/>
            <w:r w:rsidRPr="001B3779">
              <w:rPr>
                <w:sz w:val="20"/>
                <w:lang w:val="fr-FR"/>
              </w:rPr>
              <w:t>n.a</w:t>
            </w:r>
            <w:proofErr w:type="spellEnd"/>
            <w:r w:rsidRPr="001B3779">
              <w:rPr>
                <w:sz w:val="20"/>
                <w:lang w:val="fr-FR"/>
              </w:rPr>
              <w:t>.</w:t>
            </w:r>
          </w:p>
        </w:tc>
        <w:tc>
          <w:tcPr>
            <w:tcW w:w="838" w:type="dxa"/>
          </w:tcPr>
          <w:p w14:paraId="57F32C70" w14:textId="77777777" w:rsidR="006A2854" w:rsidRPr="001B3779" w:rsidRDefault="006A2854" w:rsidP="006A2854">
            <w:pPr>
              <w:pStyle w:val="TableParagraph"/>
              <w:ind w:left="4"/>
              <w:jc w:val="center"/>
              <w:rPr>
                <w:sz w:val="20"/>
                <w:lang w:val="fr-FR"/>
              </w:rPr>
            </w:pPr>
            <w:proofErr w:type="gramStart"/>
            <w:r w:rsidRPr="001B3779">
              <w:rPr>
                <w:w w:val="99"/>
                <w:sz w:val="20"/>
                <w:lang w:val="fr-FR"/>
              </w:rPr>
              <w:t>x</w:t>
            </w:r>
            <w:proofErr w:type="gramEnd"/>
          </w:p>
        </w:tc>
        <w:tc>
          <w:tcPr>
            <w:tcW w:w="970" w:type="dxa"/>
          </w:tcPr>
          <w:p w14:paraId="26FC98FC" w14:textId="6C1DCBFC" w:rsidR="006A2854" w:rsidRPr="001B3779" w:rsidRDefault="001D1A59" w:rsidP="006A2854">
            <w:pPr>
              <w:pStyle w:val="TableParagraph"/>
              <w:ind w:left="109" w:right="107" w:firstLine="4"/>
              <w:jc w:val="center"/>
              <w:rPr>
                <w:sz w:val="20"/>
                <w:lang w:val="fr-FR"/>
              </w:rPr>
            </w:pPr>
            <w:r w:rsidRPr="001B3779">
              <w:rPr>
                <w:sz w:val="20"/>
                <w:lang w:val="fr-FR"/>
              </w:rPr>
              <w:t xml:space="preserve">Contribution à l’évaluation de la Liste </w:t>
            </w:r>
            <w:r w:rsidRPr="001B3779">
              <w:rPr>
                <w:w w:val="95"/>
                <w:sz w:val="20"/>
                <w:lang w:val="fr-FR"/>
              </w:rPr>
              <w:t>rouge</w:t>
            </w:r>
          </w:p>
        </w:tc>
      </w:tr>
      <w:tr w:rsidR="006A2854" w:rsidRPr="001B3779" w14:paraId="20A1FA44" w14:textId="77777777">
        <w:trPr>
          <w:trHeight w:val="1811"/>
        </w:trPr>
        <w:tc>
          <w:tcPr>
            <w:tcW w:w="1268" w:type="dxa"/>
          </w:tcPr>
          <w:p w14:paraId="7C9513F5" w14:textId="5CA7648B" w:rsidR="006A2854" w:rsidRPr="001B3779" w:rsidRDefault="006A2854" w:rsidP="006A2854">
            <w:pPr>
              <w:pStyle w:val="TableParagraph"/>
              <w:rPr>
                <w:b/>
                <w:sz w:val="20"/>
                <w:lang w:val="fr-FR"/>
              </w:rPr>
            </w:pPr>
            <w:r w:rsidRPr="001B3779">
              <w:rPr>
                <w:b/>
                <w:sz w:val="20"/>
                <w:lang w:val="fr-FR"/>
              </w:rPr>
              <w:t>List</w:t>
            </w:r>
            <w:r w:rsidR="00816647" w:rsidRPr="001B3779">
              <w:rPr>
                <w:b/>
                <w:sz w:val="20"/>
                <w:lang w:val="fr-FR"/>
              </w:rPr>
              <w:t>e rouge de l’UICN</w:t>
            </w:r>
          </w:p>
        </w:tc>
        <w:tc>
          <w:tcPr>
            <w:tcW w:w="970" w:type="dxa"/>
          </w:tcPr>
          <w:p w14:paraId="7E2B9D3B" w14:textId="128E85F4" w:rsidR="006A2854" w:rsidRPr="001B3779" w:rsidRDefault="006C00BB" w:rsidP="006A2854">
            <w:pPr>
              <w:pStyle w:val="TableParagraph"/>
              <w:ind w:left="109" w:right="97" w:firstLine="3"/>
              <w:jc w:val="center"/>
              <w:rPr>
                <w:sz w:val="20"/>
                <w:lang w:val="fr-FR"/>
              </w:rPr>
            </w:pPr>
            <w:r w:rsidRPr="001B3779">
              <w:rPr>
                <w:sz w:val="20"/>
                <w:lang w:val="fr-FR"/>
              </w:rPr>
              <w:t xml:space="preserve">Classification du </w:t>
            </w:r>
            <w:r w:rsidR="006A2854" w:rsidRPr="001B3779">
              <w:rPr>
                <w:sz w:val="20"/>
                <w:lang w:val="fr-FR"/>
              </w:rPr>
              <w:t>Table</w:t>
            </w:r>
            <w:r w:rsidRPr="001B3779">
              <w:rPr>
                <w:sz w:val="20"/>
                <w:lang w:val="fr-FR"/>
              </w:rPr>
              <w:t>au</w:t>
            </w:r>
            <w:r w:rsidR="006A2854" w:rsidRPr="001B3779">
              <w:rPr>
                <w:sz w:val="20"/>
                <w:lang w:val="fr-FR"/>
              </w:rPr>
              <w:t xml:space="preserve"> 1 (Col</w:t>
            </w:r>
            <w:r w:rsidRPr="001B3779">
              <w:rPr>
                <w:sz w:val="20"/>
                <w:lang w:val="fr-FR"/>
              </w:rPr>
              <w:t>onne</w:t>
            </w:r>
            <w:r w:rsidR="006A2854" w:rsidRPr="001B3779">
              <w:rPr>
                <w:sz w:val="20"/>
                <w:lang w:val="fr-FR"/>
              </w:rPr>
              <w:t xml:space="preserve"> A, cat</w:t>
            </w:r>
            <w:r w:rsidRPr="001B3779">
              <w:rPr>
                <w:sz w:val="20"/>
                <w:lang w:val="fr-FR"/>
              </w:rPr>
              <w:t>.</w:t>
            </w:r>
            <w:r w:rsidR="006A2854" w:rsidRPr="001B3779">
              <w:rPr>
                <w:sz w:val="20"/>
                <w:lang w:val="fr-FR"/>
              </w:rPr>
              <w:t xml:space="preserve"> 1b)</w:t>
            </w:r>
          </w:p>
        </w:tc>
        <w:tc>
          <w:tcPr>
            <w:tcW w:w="971" w:type="dxa"/>
          </w:tcPr>
          <w:p w14:paraId="6A3BCAC1" w14:textId="0E4C7570" w:rsidR="006A2854" w:rsidRPr="001B3779" w:rsidRDefault="006C00BB" w:rsidP="006A2854">
            <w:pPr>
              <w:pStyle w:val="TableParagraph"/>
              <w:ind w:left="430" w:right="65" w:hanging="310"/>
              <w:rPr>
                <w:sz w:val="20"/>
                <w:lang w:val="fr-FR"/>
              </w:rPr>
            </w:pPr>
            <w:r w:rsidRPr="001B3779">
              <w:rPr>
                <w:w w:val="95"/>
                <w:sz w:val="20"/>
                <w:lang w:val="fr-FR"/>
              </w:rPr>
              <w:t>Critère</w:t>
            </w:r>
            <w:r w:rsidR="006A2854" w:rsidRPr="001B3779">
              <w:rPr>
                <w:w w:val="95"/>
                <w:sz w:val="20"/>
                <w:lang w:val="fr-FR"/>
              </w:rPr>
              <w:t xml:space="preserve"> </w:t>
            </w:r>
            <w:r w:rsidR="006A2854" w:rsidRPr="001B3779">
              <w:rPr>
                <w:sz w:val="20"/>
                <w:lang w:val="fr-FR"/>
              </w:rPr>
              <w:t>2</w:t>
            </w:r>
          </w:p>
        </w:tc>
        <w:tc>
          <w:tcPr>
            <w:tcW w:w="973" w:type="dxa"/>
          </w:tcPr>
          <w:p w14:paraId="12DE44BA" w14:textId="77777777" w:rsidR="006A2854" w:rsidRPr="001B3779" w:rsidRDefault="006A2854" w:rsidP="006A2854">
            <w:pPr>
              <w:pStyle w:val="TableParagraph"/>
              <w:ind w:left="318" w:right="305"/>
              <w:jc w:val="center"/>
              <w:rPr>
                <w:sz w:val="20"/>
                <w:lang w:val="fr-FR"/>
              </w:rPr>
            </w:pPr>
            <w:proofErr w:type="spellStart"/>
            <w:r w:rsidRPr="001B3779">
              <w:rPr>
                <w:sz w:val="20"/>
                <w:lang w:val="fr-FR"/>
              </w:rPr>
              <w:t>n.a</w:t>
            </w:r>
            <w:proofErr w:type="spellEnd"/>
            <w:r w:rsidRPr="001B3779">
              <w:rPr>
                <w:sz w:val="20"/>
                <w:lang w:val="fr-FR"/>
              </w:rPr>
              <w:t>.</w:t>
            </w:r>
          </w:p>
        </w:tc>
        <w:tc>
          <w:tcPr>
            <w:tcW w:w="1201" w:type="dxa"/>
          </w:tcPr>
          <w:p w14:paraId="73FF5BA6" w14:textId="151A7B87" w:rsidR="006A2854" w:rsidRPr="001B3779" w:rsidRDefault="00290333" w:rsidP="006A2854">
            <w:pPr>
              <w:pStyle w:val="TableParagraph"/>
              <w:ind w:left="107" w:right="94" w:hanging="3"/>
              <w:jc w:val="center"/>
              <w:rPr>
                <w:sz w:val="20"/>
                <w:lang w:val="fr-FR"/>
              </w:rPr>
            </w:pPr>
            <w:r w:rsidRPr="001B3779">
              <w:rPr>
                <w:sz w:val="20"/>
                <w:lang w:val="fr-FR"/>
              </w:rPr>
              <w:t>Dans la Méditerranée et la mer Noire </w:t>
            </w:r>
            <w:r w:rsidR="006A2854" w:rsidRPr="001B3779">
              <w:rPr>
                <w:sz w:val="20"/>
                <w:lang w:val="fr-FR"/>
              </w:rPr>
              <w:t xml:space="preserve">: proportion </w:t>
            </w:r>
            <w:r w:rsidRPr="001B3779">
              <w:rPr>
                <w:sz w:val="20"/>
                <w:lang w:val="fr-FR"/>
              </w:rPr>
              <w:t>d’espèces de la</w:t>
            </w:r>
            <w:r w:rsidR="006A2854" w:rsidRPr="001B3779">
              <w:rPr>
                <w:sz w:val="20"/>
                <w:lang w:val="fr-FR"/>
              </w:rPr>
              <w:t xml:space="preserve"> List</w:t>
            </w:r>
            <w:r w:rsidRPr="001B3779">
              <w:rPr>
                <w:sz w:val="20"/>
                <w:lang w:val="fr-FR"/>
              </w:rPr>
              <w:t>e</w:t>
            </w:r>
            <w:r w:rsidR="006A2854" w:rsidRPr="001B3779">
              <w:rPr>
                <w:sz w:val="20"/>
                <w:lang w:val="fr-FR"/>
              </w:rPr>
              <w:t xml:space="preserve"> </w:t>
            </w:r>
            <w:r w:rsidRPr="001B3779">
              <w:rPr>
                <w:sz w:val="20"/>
                <w:lang w:val="fr-FR"/>
              </w:rPr>
              <w:t>rouge</w:t>
            </w:r>
          </w:p>
        </w:tc>
        <w:tc>
          <w:tcPr>
            <w:tcW w:w="1201" w:type="dxa"/>
          </w:tcPr>
          <w:p w14:paraId="266BE578" w14:textId="77777777" w:rsidR="006A2854" w:rsidRPr="001B3779" w:rsidRDefault="006A2854" w:rsidP="006A2854">
            <w:pPr>
              <w:pStyle w:val="TableParagraph"/>
              <w:ind w:left="75" w:right="67"/>
              <w:jc w:val="center"/>
              <w:rPr>
                <w:sz w:val="20"/>
                <w:lang w:val="fr-FR"/>
              </w:rPr>
            </w:pPr>
            <w:proofErr w:type="spellStart"/>
            <w:r w:rsidRPr="001B3779">
              <w:rPr>
                <w:sz w:val="20"/>
                <w:lang w:val="fr-FR"/>
              </w:rPr>
              <w:t>n.a</w:t>
            </w:r>
            <w:proofErr w:type="spellEnd"/>
            <w:r w:rsidRPr="001B3779">
              <w:rPr>
                <w:sz w:val="20"/>
                <w:lang w:val="fr-FR"/>
              </w:rPr>
              <w:t>.</w:t>
            </w:r>
          </w:p>
        </w:tc>
        <w:tc>
          <w:tcPr>
            <w:tcW w:w="992" w:type="dxa"/>
          </w:tcPr>
          <w:p w14:paraId="144EF14E" w14:textId="77777777" w:rsidR="006A2854" w:rsidRPr="001B3779" w:rsidRDefault="006A2854" w:rsidP="006A2854">
            <w:pPr>
              <w:pStyle w:val="TableParagraph"/>
              <w:ind w:left="74" w:right="66"/>
              <w:jc w:val="center"/>
              <w:rPr>
                <w:sz w:val="20"/>
                <w:lang w:val="fr-FR"/>
              </w:rPr>
            </w:pPr>
            <w:proofErr w:type="spellStart"/>
            <w:r w:rsidRPr="001B3779">
              <w:rPr>
                <w:sz w:val="20"/>
                <w:lang w:val="fr-FR"/>
              </w:rPr>
              <w:t>n.a</w:t>
            </w:r>
            <w:proofErr w:type="spellEnd"/>
            <w:r w:rsidRPr="001B3779">
              <w:rPr>
                <w:sz w:val="20"/>
                <w:lang w:val="fr-FR"/>
              </w:rPr>
              <w:t>.</w:t>
            </w:r>
          </w:p>
        </w:tc>
        <w:tc>
          <w:tcPr>
            <w:tcW w:w="853" w:type="dxa"/>
          </w:tcPr>
          <w:p w14:paraId="338C0678" w14:textId="77777777" w:rsidR="006A2854" w:rsidRPr="001B3779" w:rsidRDefault="006A2854" w:rsidP="006A2854">
            <w:pPr>
              <w:pStyle w:val="TableParagraph"/>
              <w:ind w:left="73" w:right="70"/>
              <w:jc w:val="center"/>
              <w:rPr>
                <w:sz w:val="20"/>
                <w:lang w:val="fr-FR"/>
              </w:rPr>
            </w:pPr>
            <w:proofErr w:type="spellStart"/>
            <w:r w:rsidRPr="001B3779">
              <w:rPr>
                <w:sz w:val="20"/>
                <w:lang w:val="fr-FR"/>
              </w:rPr>
              <w:t>n.a</w:t>
            </w:r>
            <w:proofErr w:type="spellEnd"/>
            <w:r w:rsidRPr="001B3779">
              <w:rPr>
                <w:sz w:val="20"/>
                <w:lang w:val="fr-FR"/>
              </w:rPr>
              <w:t>.</w:t>
            </w:r>
          </w:p>
        </w:tc>
        <w:tc>
          <w:tcPr>
            <w:tcW w:w="838" w:type="dxa"/>
          </w:tcPr>
          <w:p w14:paraId="1DE0E7DD" w14:textId="77777777" w:rsidR="006A2854" w:rsidRPr="001B3779" w:rsidRDefault="006A2854" w:rsidP="006A2854">
            <w:pPr>
              <w:pStyle w:val="TableParagraph"/>
              <w:ind w:left="0" w:right="259"/>
              <w:jc w:val="right"/>
              <w:rPr>
                <w:sz w:val="20"/>
                <w:lang w:val="fr-FR"/>
              </w:rPr>
            </w:pPr>
            <w:proofErr w:type="spellStart"/>
            <w:r w:rsidRPr="001B3779">
              <w:rPr>
                <w:w w:val="95"/>
                <w:sz w:val="20"/>
                <w:lang w:val="fr-FR"/>
              </w:rPr>
              <w:t>n.a</w:t>
            </w:r>
            <w:proofErr w:type="spellEnd"/>
            <w:r w:rsidRPr="001B3779">
              <w:rPr>
                <w:w w:val="95"/>
                <w:sz w:val="20"/>
                <w:lang w:val="fr-FR"/>
              </w:rPr>
              <w:t>.</w:t>
            </w:r>
          </w:p>
        </w:tc>
        <w:tc>
          <w:tcPr>
            <w:tcW w:w="970" w:type="dxa"/>
          </w:tcPr>
          <w:p w14:paraId="582BBA96" w14:textId="77777777" w:rsidR="006A2854" w:rsidRPr="001B3779" w:rsidRDefault="006A2854" w:rsidP="006A2854">
            <w:pPr>
              <w:pStyle w:val="TableParagraph"/>
              <w:ind w:left="1"/>
              <w:jc w:val="center"/>
              <w:rPr>
                <w:sz w:val="20"/>
                <w:lang w:val="fr-FR"/>
              </w:rPr>
            </w:pPr>
            <w:proofErr w:type="gramStart"/>
            <w:r w:rsidRPr="001B3779">
              <w:rPr>
                <w:w w:val="99"/>
                <w:sz w:val="20"/>
                <w:lang w:val="fr-FR"/>
              </w:rPr>
              <w:t>x</w:t>
            </w:r>
            <w:proofErr w:type="gramEnd"/>
          </w:p>
        </w:tc>
      </w:tr>
    </w:tbl>
    <w:p w14:paraId="010ABA27" w14:textId="77777777" w:rsidR="00664206" w:rsidRPr="001B3779" w:rsidRDefault="00664206">
      <w:pPr>
        <w:pStyle w:val="BodyText"/>
        <w:rPr>
          <w:sz w:val="20"/>
          <w:lang w:val="fr-FR"/>
        </w:rPr>
      </w:pPr>
    </w:p>
    <w:p w14:paraId="57255EFE" w14:textId="0C1A1AFB" w:rsidR="00664206" w:rsidRPr="001B3779" w:rsidRDefault="004A5A2F">
      <w:pPr>
        <w:pStyle w:val="Heading1"/>
        <w:spacing w:before="66"/>
        <w:rPr>
          <w:lang w:val="fr-FR"/>
        </w:rPr>
      </w:pPr>
      <w:r w:rsidRPr="001B3779">
        <w:rPr>
          <w:lang w:val="fr-FR"/>
        </w:rPr>
        <w:t>Autres possibilités d’améliorer les</w:t>
      </w:r>
      <w:r w:rsidR="003F788D" w:rsidRPr="001B3779">
        <w:rPr>
          <w:lang w:val="fr-FR"/>
        </w:rPr>
        <w:t xml:space="preserve"> synergies</w:t>
      </w:r>
    </w:p>
    <w:p w14:paraId="4FBA2DC9" w14:textId="723AA33A" w:rsidR="00664206" w:rsidRPr="001B3779" w:rsidRDefault="00620620">
      <w:pPr>
        <w:pStyle w:val="BodyText"/>
        <w:spacing w:before="160"/>
        <w:ind w:left="720"/>
        <w:rPr>
          <w:lang w:val="fr-FR"/>
        </w:rPr>
      </w:pPr>
      <w:r w:rsidRPr="001B3779">
        <w:rPr>
          <w:lang w:val="fr-FR"/>
        </w:rPr>
        <w:t>Les d</w:t>
      </w:r>
      <w:r w:rsidR="00CA2A77" w:rsidRPr="001B3779">
        <w:rPr>
          <w:lang w:val="fr-FR"/>
        </w:rPr>
        <w:t>omaines potentiels</w:t>
      </w:r>
      <w:r w:rsidR="003F788D" w:rsidRPr="001B3779">
        <w:rPr>
          <w:lang w:val="fr-FR"/>
        </w:rPr>
        <w:t xml:space="preserve"> </w:t>
      </w:r>
      <w:r w:rsidRPr="001B3779">
        <w:rPr>
          <w:lang w:val="fr-FR"/>
        </w:rPr>
        <w:t xml:space="preserve">pour des </w:t>
      </w:r>
      <w:r w:rsidR="003F788D" w:rsidRPr="001B3779">
        <w:rPr>
          <w:lang w:val="fr-FR"/>
        </w:rPr>
        <w:t xml:space="preserve">synergies </w:t>
      </w:r>
      <w:r w:rsidRPr="001B3779">
        <w:rPr>
          <w:lang w:val="fr-FR"/>
        </w:rPr>
        <w:t>incluent </w:t>
      </w:r>
      <w:r w:rsidR="003F788D" w:rsidRPr="001B3779">
        <w:rPr>
          <w:lang w:val="fr-FR"/>
        </w:rPr>
        <w:t>:</w:t>
      </w:r>
    </w:p>
    <w:p w14:paraId="347B46FF" w14:textId="598F376B" w:rsidR="00664206" w:rsidRPr="001B3779" w:rsidRDefault="00620620">
      <w:pPr>
        <w:pStyle w:val="ListParagraph"/>
        <w:numPr>
          <w:ilvl w:val="0"/>
          <w:numId w:val="2"/>
        </w:numPr>
        <w:tabs>
          <w:tab w:val="left" w:pos="1440"/>
          <w:tab w:val="left" w:pos="1441"/>
        </w:tabs>
        <w:spacing w:before="2"/>
        <w:ind w:hanging="361"/>
        <w:rPr>
          <w:lang w:val="fr-FR"/>
        </w:rPr>
      </w:pPr>
      <w:r w:rsidRPr="001B3779">
        <w:rPr>
          <w:lang w:val="fr-FR"/>
        </w:rPr>
        <w:t>Flux d</w:t>
      </w:r>
      <w:r w:rsidR="004B573F" w:rsidRPr="001B3779">
        <w:rPr>
          <w:lang w:val="fr-FR"/>
        </w:rPr>
        <w:t>e</w:t>
      </w:r>
      <w:r w:rsidRPr="001B3779">
        <w:rPr>
          <w:lang w:val="fr-FR"/>
        </w:rPr>
        <w:t xml:space="preserve"> données du niveau</w:t>
      </w:r>
      <w:r w:rsidR="003F788D" w:rsidRPr="001B3779">
        <w:rPr>
          <w:lang w:val="fr-FR"/>
        </w:rPr>
        <w:t xml:space="preserve"> national </w:t>
      </w:r>
      <w:r w:rsidRPr="001B3779">
        <w:rPr>
          <w:lang w:val="fr-FR"/>
        </w:rPr>
        <w:t>au niveau</w:t>
      </w:r>
      <w:r w:rsidR="003F788D" w:rsidRPr="001B3779">
        <w:rPr>
          <w:lang w:val="fr-FR"/>
        </w:rPr>
        <w:t xml:space="preserve"> international</w:t>
      </w:r>
      <w:r w:rsidRPr="001B3779">
        <w:rPr>
          <w:lang w:val="fr-FR"/>
        </w:rPr>
        <w:t> </w:t>
      </w:r>
      <w:r w:rsidR="003F788D" w:rsidRPr="001B3779">
        <w:rPr>
          <w:lang w:val="fr-FR"/>
        </w:rPr>
        <w:t>;</w:t>
      </w:r>
    </w:p>
    <w:p w14:paraId="785F6958" w14:textId="314F636B" w:rsidR="00664206" w:rsidRPr="001B3779" w:rsidRDefault="00CB5EBD">
      <w:pPr>
        <w:pStyle w:val="ListParagraph"/>
        <w:numPr>
          <w:ilvl w:val="0"/>
          <w:numId w:val="2"/>
        </w:numPr>
        <w:tabs>
          <w:tab w:val="left" w:pos="1440"/>
          <w:tab w:val="left" w:pos="1441"/>
        </w:tabs>
        <w:spacing w:before="36"/>
        <w:ind w:hanging="361"/>
        <w:rPr>
          <w:lang w:val="fr-FR"/>
        </w:rPr>
      </w:pPr>
      <w:r w:rsidRPr="001B3779">
        <w:rPr>
          <w:spacing w:val="-1"/>
          <w:lang w:val="fr-FR"/>
        </w:rPr>
        <w:t>Calendrier des</w:t>
      </w:r>
      <w:r w:rsidR="003F788D" w:rsidRPr="001B3779">
        <w:rPr>
          <w:spacing w:val="-1"/>
          <w:lang w:val="fr-FR"/>
        </w:rPr>
        <w:t xml:space="preserve"> </w:t>
      </w:r>
      <w:r w:rsidR="003F788D" w:rsidRPr="001B3779">
        <w:rPr>
          <w:lang w:val="fr-FR"/>
        </w:rPr>
        <w:t>analyses</w:t>
      </w:r>
      <w:r w:rsidRPr="001B3779">
        <w:rPr>
          <w:lang w:val="fr-FR"/>
        </w:rPr>
        <w:t> </w:t>
      </w:r>
      <w:r w:rsidR="003F788D" w:rsidRPr="001B3779">
        <w:rPr>
          <w:lang w:val="fr-FR"/>
        </w:rPr>
        <w:t>;</w:t>
      </w:r>
    </w:p>
    <w:p w14:paraId="7F594475" w14:textId="3E8B75D8" w:rsidR="00664206" w:rsidRPr="001B3779" w:rsidRDefault="00DF14EF">
      <w:pPr>
        <w:pStyle w:val="ListParagraph"/>
        <w:numPr>
          <w:ilvl w:val="0"/>
          <w:numId w:val="2"/>
        </w:numPr>
        <w:tabs>
          <w:tab w:val="left" w:pos="1440"/>
          <w:tab w:val="left" w:pos="1441"/>
        </w:tabs>
        <w:spacing w:before="37"/>
        <w:ind w:hanging="361"/>
        <w:rPr>
          <w:lang w:val="fr-FR"/>
        </w:rPr>
      </w:pPr>
      <w:r w:rsidRPr="001B3779">
        <w:rPr>
          <w:lang w:val="fr-FR"/>
        </w:rPr>
        <w:t>Calendrier des études</w:t>
      </w:r>
      <w:r w:rsidR="003F788D" w:rsidRPr="001B3779">
        <w:rPr>
          <w:lang w:val="fr-FR"/>
        </w:rPr>
        <w:t xml:space="preserve"> international</w:t>
      </w:r>
      <w:r w:rsidRPr="001B3779">
        <w:rPr>
          <w:lang w:val="fr-FR"/>
        </w:rPr>
        <w:t>es</w:t>
      </w:r>
      <w:r w:rsidR="003F788D" w:rsidRPr="001B3779">
        <w:rPr>
          <w:lang w:val="fr-FR"/>
        </w:rPr>
        <w:t>.</w:t>
      </w:r>
    </w:p>
    <w:p w14:paraId="1F57AAE1" w14:textId="77777777" w:rsidR="00664206" w:rsidRPr="001B3779" w:rsidRDefault="00664206">
      <w:pPr>
        <w:pStyle w:val="BodyText"/>
        <w:spacing w:before="6"/>
        <w:rPr>
          <w:sz w:val="32"/>
          <w:lang w:val="fr-FR"/>
        </w:rPr>
      </w:pPr>
    </w:p>
    <w:p w14:paraId="0143481E" w14:textId="7AE8835B" w:rsidR="00664206" w:rsidRPr="001B3779" w:rsidRDefault="004B573F">
      <w:pPr>
        <w:pStyle w:val="Heading1"/>
        <w:spacing w:before="1"/>
        <w:rPr>
          <w:lang w:val="fr-FR"/>
        </w:rPr>
      </w:pPr>
      <w:r w:rsidRPr="001B3779">
        <w:rPr>
          <w:lang w:val="fr-FR"/>
        </w:rPr>
        <w:t>Flux de données</w:t>
      </w:r>
    </w:p>
    <w:p w14:paraId="0D325A3A" w14:textId="3045A688" w:rsidR="00664206" w:rsidRPr="001B3779" w:rsidRDefault="00742C27">
      <w:pPr>
        <w:pStyle w:val="BodyText"/>
        <w:spacing w:before="160"/>
        <w:ind w:left="720"/>
        <w:jc w:val="both"/>
        <w:rPr>
          <w:lang w:val="fr-FR"/>
        </w:rPr>
      </w:pPr>
      <w:r w:rsidRPr="001B3779">
        <w:rPr>
          <w:lang w:val="fr-FR"/>
        </w:rPr>
        <w:t>Le flux de données du niveau</w:t>
      </w:r>
      <w:r w:rsidR="003F788D" w:rsidRPr="001B3779">
        <w:rPr>
          <w:lang w:val="fr-FR"/>
        </w:rPr>
        <w:t xml:space="preserve"> national </w:t>
      </w:r>
      <w:r w:rsidRPr="001B3779">
        <w:rPr>
          <w:lang w:val="fr-FR"/>
        </w:rPr>
        <w:t>aux évaluations</w:t>
      </w:r>
      <w:r w:rsidR="003F788D" w:rsidRPr="001B3779">
        <w:rPr>
          <w:lang w:val="fr-FR"/>
        </w:rPr>
        <w:t xml:space="preserve"> international</w:t>
      </w:r>
      <w:r w:rsidRPr="001B3779">
        <w:rPr>
          <w:lang w:val="fr-FR"/>
        </w:rPr>
        <w:t>es</w:t>
      </w:r>
      <w:r w:rsidR="003F788D" w:rsidRPr="001B3779">
        <w:rPr>
          <w:lang w:val="fr-FR"/>
        </w:rPr>
        <w:t xml:space="preserve"> </w:t>
      </w:r>
      <w:r w:rsidRPr="001B3779">
        <w:rPr>
          <w:lang w:val="fr-FR"/>
        </w:rPr>
        <w:t>est actuellement organisé de trois manières </w:t>
      </w:r>
      <w:r w:rsidR="003F788D" w:rsidRPr="001B3779">
        <w:rPr>
          <w:lang w:val="fr-FR"/>
        </w:rPr>
        <w:t>:</w:t>
      </w:r>
    </w:p>
    <w:p w14:paraId="5FBC26CE" w14:textId="492647D9" w:rsidR="00664206" w:rsidRPr="001B3779" w:rsidRDefault="00C93888">
      <w:pPr>
        <w:pStyle w:val="ListParagraph"/>
        <w:numPr>
          <w:ilvl w:val="0"/>
          <w:numId w:val="1"/>
        </w:numPr>
        <w:tabs>
          <w:tab w:val="left" w:pos="1494"/>
        </w:tabs>
        <w:spacing w:before="4" w:line="276" w:lineRule="auto"/>
        <w:ind w:right="735"/>
        <w:jc w:val="both"/>
        <w:rPr>
          <w:lang w:val="fr-FR"/>
        </w:rPr>
      </w:pPr>
      <w:r w:rsidRPr="001B3779">
        <w:rPr>
          <w:lang w:val="fr-FR"/>
        </w:rPr>
        <w:t>Soumission de données</w:t>
      </w:r>
      <w:r w:rsidR="003F788D" w:rsidRPr="001B3779">
        <w:rPr>
          <w:lang w:val="fr-FR"/>
        </w:rPr>
        <w:t xml:space="preserve"> national</w:t>
      </w:r>
      <w:r w:rsidRPr="001B3779">
        <w:rPr>
          <w:lang w:val="fr-FR"/>
        </w:rPr>
        <w:t>es à des organisations expertes</w:t>
      </w:r>
      <w:r w:rsidR="003F788D" w:rsidRPr="001B3779">
        <w:rPr>
          <w:lang w:val="fr-FR"/>
        </w:rPr>
        <w:t xml:space="preserve"> international</w:t>
      </w:r>
      <w:r w:rsidRPr="001B3779">
        <w:rPr>
          <w:lang w:val="fr-FR"/>
        </w:rPr>
        <w:t>es</w:t>
      </w:r>
      <w:r w:rsidR="003F788D" w:rsidRPr="001B3779">
        <w:rPr>
          <w:lang w:val="fr-FR"/>
        </w:rPr>
        <w:t xml:space="preserve"> </w:t>
      </w:r>
      <w:r w:rsidRPr="001B3779">
        <w:rPr>
          <w:lang w:val="fr-FR"/>
        </w:rPr>
        <w:t>pour des analyses des tendances unifiées</w:t>
      </w:r>
      <w:r w:rsidR="003F788D" w:rsidRPr="001B3779">
        <w:rPr>
          <w:lang w:val="fr-FR"/>
        </w:rPr>
        <w:t xml:space="preserve"> (</w:t>
      </w:r>
      <w:r w:rsidR="00A70385" w:rsidRPr="001B3779">
        <w:rPr>
          <w:lang w:val="fr-FR"/>
        </w:rPr>
        <w:t xml:space="preserve">par ex., </w:t>
      </w:r>
      <w:r w:rsidR="00E95101" w:rsidRPr="001B3779">
        <w:rPr>
          <w:lang w:val="fr-FR"/>
        </w:rPr>
        <w:t>données de l’</w:t>
      </w:r>
      <w:r w:rsidR="003F788D" w:rsidRPr="001B3779">
        <w:rPr>
          <w:lang w:val="fr-FR"/>
        </w:rPr>
        <w:t xml:space="preserve">IWC </w:t>
      </w:r>
      <w:r w:rsidR="00E95101" w:rsidRPr="001B3779">
        <w:rPr>
          <w:lang w:val="fr-FR"/>
        </w:rPr>
        <w:t>relatives aux sites vers</w:t>
      </w:r>
      <w:r w:rsidR="003F788D" w:rsidRPr="001B3779">
        <w:rPr>
          <w:lang w:val="fr-FR"/>
        </w:rPr>
        <w:t xml:space="preserve"> </w:t>
      </w:r>
      <w:proofErr w:type="spellStart"/>
      <w:r w:rsidR="003F788D" w:rsidRPr="001B3779">
        <w:rPr>
          <w:lang w:val="fr-FR"/>
        </w:rPr>
        <w:t>Wetlands</w:t>
      </w:r>
      <w:proofErr w:type="spellEnd"/>
      <w:r w:rsidR="003F788D" w:rsidRPr="001B3779">
        <w:rPr>
          <w:lang w:val="fr-FR"/>
        </w:rPr>
        <w:t xml:space="preserve"> International, </w:t>
      </w:r>
      <w:r w:rsidR="00E95101" w:rsidRPr="001B3779">
        <w:rPr>
          <w:lang w:val="fr-FR"/>
        </w:rPr>
        <w:t>données de l’</w:t>
      </w:r>
      <w:r w:rsidR="003F788D" w:rsidRPr="001B3779">
        <w:rPr>
          <w:lang w:val="fr-FR"/>
        </w:rPr>
        <w:t xml:space="preserve">IWC </w:t>
      </w:r>
      <w:r w:rsidR="00E95101" w:rsidRPr="001B3779">
        <w:rPr>
          <w:lang w:val="fr-FR"/>
        </w:rPr>
        <w:t>relatives aux sites</w:t>
      </w:r>
      <w:r w:rsidR="0039043C" w:rsidRPr="001B3779">
        <w:rPr>
          <w:lang w:val="fr-FR"/>
        </w:rPr>
        <w:t xml:space="preserve"> et données relatives à la reproduction des oiseaux marins vers</w:t>
      </w:r>
      <w:r w:rsidR="00642333" w:rsidRPr="001B3779">
        <w:rPr>
          <w:lang w:val="fr-FR"/>
        </w:rPr>
        <w:t xml:space="preserve"> les bases de données sur les oiseaux marins d’</w:t>
      </w:r>
      <w:r w:rsidR="003F788D" w:rsidRPr="001B3779">
        <w:rPr>
          <w:lang w:val="fr-FR"/>
        </w:rPr>
        <w:t>OSPAR</w:t>
      </w:r>
      <w:r w:rsidR="008B0F33" w:rsidRPr="001B3779">
        <w:rPr>
          <w:rStyle w:val="FootnoteReference"/>
          <w:lang w:val="fr-FR"/>
        </w:rPr>
        <w:footnoteReference w:id="5"/>
      </w:r>
      <w:r w:rsidR="003F788D" w:rsidRPr="001B3779">
        <w:rPr>
          <w:spacing w:val="-6"/>
          <w:lang w:val="fr-FR"/>
        </w:rPr>
        <w:t xml:space="preserve"> </w:t>
      </w:r>
      <w:r w:rsidR="000B229F" w:rsidRPr="001B3779">
        <w:rPr>
          <w:lang w:val="fr-FR"/>
        </w:rPr>
        <w:t>et</w:t>
      </w:r>
      <w:r w:rsidR="003F788D" w:rsidRPr="001B3779">
        <w:rPr>
          <w:spacing w:val="-6"/>
          <w:lang w:val="fr-FR"/>
        </w:rPr>
        <w:t xml:space="preserve"> </w:t>
      </w:r>
      <w:r w:rsidR="00642333" w:rsidRPr="001B3779">
        <w:rPr>
          <w:spacing w:val="-6"/>
          <w:lang w:val="fr-FR"/>
        </w:rPr>
        <w:t>d’</w:t>
      </w:r>
      <w:r w:rsidR="003F788D" w:rsidRPr="001B3779">
        <w:rPr>
          <w:lang w:val="fr-FR"/>
        </w:rPr>
        <w:t>HELCOM</w:t>
      </w:r>
      <w:r w:rsidR="003F788D" w:rsidRPr="001B3779">
        <w:rPr>
          <w:spacing w:val="-5"/>
          <w:lang w:val="fr-FR"/>
        </w:rPr>
        <w:t xml:space="preserve"> </w:t>
      </w:r>
      <w:r w:rsidR="005F3F03" w:rsidRPr="001B3779">
        <w:rPr>
          <w:lang w:val="fr-FR"/>
        </w:rPr>
        <w:t>hébergées par le CIEM</w:t>
      </w:r>
      <w:r w:rsidR="003F788D" w:rsidRPr="001B3779">
        <w:rPr>
          <w:lang w:val="fr-FR"/>
        </w:rPr>
        <w:t>,</w:t>
      </w:r>
      <w:r w:rsidR="003F788D" w:rsidRPr="001B3779">
        <w:rPr>
          <w:spacing w:val="-6"/>
          <w:lang w:val="fr-FR"/>
        </w:rPr>
        <w:t xml:space="preserve"> </w:t>
      </w:r>
      <w:r w:rsidR="005F3F03" w:rsidRPr="001B3779">
        <w:rPr>
          <w:lang w:val="fr-FR"/>
        </w:rPr>
        <w:t xml:space="preserve">données communes sur </w:t>
      </w:r>
      <w:r w:rsidR="0059278D">
        <w:rPr>
          <w:lang w:val="fr-FR"/>
        </w:rPr>
        <w:t>les</w:t>
      </w:r>
      <w:r w:rsidR="005F3F03" w:rsidRPr="001B3779">
        <w:rPr>
          <w:lang w:val="fr-FR"/>
        </w:rPr>
        <w:t xml:space="preserve"> oiseaux </w:t>
      </w:r>
      <w:r w:rsidR="0059278D">
        <w:rPr>
          <w:lang w:val="fr-FR"/>
        </w:rPr>
        <w:t>reproducteurs</w:t>
      </w:r>
      <w:r w:rsidR="00B95F8F">
        <w:rPr>
          <w:lang w:val="fr-FR"/>
        </w:rPr>
        <w:t xml:space="preserve"> </w:t>
      </w:r>
      <w:r w:rsidR="005F3F03" w:rsidRPr="001B3779">
        <w:rPr>
          <w:lang w:val="fr-FR"/>
        </w:rPr>
        <w:t>ver</w:t>
      </w:r>
      <w:r w:rsidR="00A72FD0" w:rsidRPr="001B3779">
        <w:rPr>
          <w:lang w:val="fr-FR"/>
        </w:rPr>
        <w:t>s le</w:t>
      </w:r>
      <w:r w:rsidR="003F788D" w:rsidRPr="001B3779">
        <w:rPr>
          <w:lang w:val="fr-FR"/>
        </w:rPr>
        <w:t xml:space="preserve"> PECBMS) </w:t>
      </w:r>
      <w:r w:rsidR="00643D7E" w:rsidRPr="001B3779">
        <w:rPr>
          <w:lang w:val="fr-FR"/>
        </w:rPr>
        <w:t>produisant des indices (annuels) sur les</w:t>
      </w:r>
      <w:r w:rsidR="003F788D" w:rsidRPr="001B3779">
        <w:rPr>
          <w:lang w:val="fr-FR"/>
        </w:rPr>
        <w:t xml:space="preserve"> population</w:t>
      </w:r>
      <w:r w:rsidR="00643D7E" w:rsidRPr="001B3779">
        <w:rPr>
          <w:lang w:val="fr-FR"/>
        </w:rPr>
        <w:t>s</w:t>
      </w:r>
      <w:r w:rsidR="003F788D" w:rsidRPr="001B3779">
        <w:rPr>
          <w:lang w:val="fr-FR"/>
        </w:rPr>
        <w:t xml:space="preserve">. </w:t>
      </w:r>
      <w:r w:rsidR="00DE566A" w:rsidRPr="001B3779">
        <w:rPr>
          <w:lang w:val="fr-FR"/>
        </w:rPr>
        <w:t>Ces</w:t>
      </w:r>
      <w:r w:rsidR="003F788D" w:rsidRPr="001B3779">
        <w:rPr>
          <w:lang w:val="fr-FR"/>
        </w:rPr>
        <w:t xml:space="preserve"> organisations </w:t>
      </w:r>
      <w:r w:rsidR="00DE566A" w:rsidRPr="001B3779">
        <w:rPr>
          <w:lang w:val="fr-FR"/>
        </w:rPr>
        <w:t>peuvent agir</w:t>
      </w:r>
      <w:r w:rsidR="00A765D7" w:rsidRPr="001B3779">
        <w:rPr>
          <w:lang w:val="fr-FR"/>
        </w:rPr>
        <w:t>, et c’est le cas, comme dépositaires de ces données pour mener d’autres analyses</w:t>
      </w:r>
      <w:r w:rsidR="00D936C5" w:rsidRPr="001B3779">
        <w:rPr>
          <w:lang w:val="fr-FR"/>
        </w:rPr>
        <w:t xml:space="preserve"> dans le contexte d’autres traités</w:t>
      </w:r>
      <w:r w:rsidR="003F788D" w:rsidRPr="001B3779">
        <w:rPr>
          <w:lang w:val="fr-FR"/>
        </w:rPr>
        <w:t xml:space="preserve"> internationa</w:t>
      </w:r>
      <w:r w:rsidR="00D936C5" w:rsidRPr="001B3779">
        <w:rPr>
          <w:lang w:val="fr-FR"/>
        </w:rPr>
        <w:t>ux </w:t>
      </w:r>
      <w:r w:rsidR="003F788D" w:rsidRPr="001B3779">
        <w:rPr>
          <w:lang w:val="fr-FR"/>
        </w:rPr>
        <w:t>;</w:t>
      </w:r>
    </w:p>
    <w:p w14:paraId="502999F8" w14:textId="47B3FEDC" w:rsidR="00664206" w:rsidRPr="001B3779" w:rsidRDefault="00D742B4">
      <w:pPr>
        <w:pStyle w:val="ListParagraph"/>
        <w:numPr>
          <w:ilvl w:val="0"/>
          <w:numId w:val="1"/>
        </w:numPr>
        <w:tabs>
          <w:tab w:val="left" w:pos="1494"/>
        </w:tabs>
        <w:spacing w:line="276" w:lineRule="auto"/>
        <w:ind w:right="733"/>
        <w:jc w:val="both"/>
        <w:rPr>
          <w:lang w:val="fr-FR"/>
        </w:rPr>
      </w:pPr>
      <w:r w:rsidRPr="001B3779">
        <w:rPr>
          <w:lang w:val="fr-FR"/>
        </w:rPr>
        <w:t>Soumission</w:t>
      </w:r>
      <w:r w:rsidR="000E706A" w:rsidRPr="001B3779">
        <w:rPr>
          <w:lang w:val="fr-FR"/>
        </w:rPr>
        <w:t xml:space="preserve"> des estimations</w:t>
      </w:r>
      <w:r w:rsidR="0014522E" w:rsidRPr="001B3779">
        <w:rPr>
          <w:lang w:val="fr-FR"/>
        </w:rPr>
        <w:t xml:space="preserve"> nationales des</w:t>
      </w:r>
      <w:r w:rsidR="003F788D" w:rsidRPr="001B3779">
        <w:rPr>
          <w:spacing w:val="-3"/>
          <w:lang w:val="fr-FR"/>
        </w:rPr>
        <w:t xml:space="preserve"> </w:t>
      </w:r>
      <w:r w:rsidR="003F788D" w:rsidRPr="001B3779">
        <w:rPr>
          <w:lang w:val="fr-FR"/>
        </w:rPr>
        <w:t>population</w:t>
      </w:r>
      <w:r w:rsidR="0014522E" w:rsidRPr="001B3779">
        <w:rPr>
          <w:lang w:val="fr-FR"/>
        </w:rPr>
        <w:t>s</w:t>
      </w:r>
      <w:r w:rsidR="003F788D" w:rsidRPr="001B3779">
        <w:rPr>
          <w:spacing w:val="-4"/>
          <w:lang w:val="fr-FR"/>
        </w:rPr>
        <w:t xml:space="preserve"> </w:t>
      </w:r>
      <w:r w:rsidR="0014522E" w:rsidRPr="001B3779">
        <w:rPr>
          <w:lang w:val="fr-FR"/>
        </w:rPr>
        <w:t>et des tendances depuis</w:t>
      </w:r>
      <w:r w:rsidR="003F788D" w:rsidRPr="001B3779">
        <w:rPr>
          <w:spacing w:val="-3"/>
          <w:lang w:val="fr-FR"/>
        </w:rPr>
        <w:t xml:space="preserve"> </w:t>
      </w:r>
      <w:r w:rsidR="003F788D" w:rsidRPr="001B3779">
        <w:rPr>
          <w:lang w:val="fr-FR"/>
        </w:rPr>
        <w:t>1980</w:t>
      </w:r>
      <w:r w:rsidR="003F788D" w:rsidRPr="001B3779">
        <w:rPr>
          <w:spacing w:val="-4"/>
          <w:lang w:val="fr-FR"/>
        </w:rPr>
        <w:t xml:space="preserve"> </w:t>
      </w:r>
      <w:r w:rsidR="0014522E" w:rsidRPr="001B3779">
        <w:rPr>
          <w:lang w:val="fr-FR"/>
        </w:rPr>
        <w:t>et depuis les</w:t>
      </w:r>
      <w:r w:rsidR="003F788D" w:rsidRPr="001B3779">
        <w:rPr>
          <w:spacing w:val="-5"/>
          <w:lang w:val="fr-FR"/>
        </w:rPr>
        <w:t xml:space="preserve"> </w:t>
      </w:r>
      <w:r w:rsidR="003F788D" w:rsidRPr="001B3779">
        <w:rPr>
          <w:lang w:val="fr-FR"/>
        </w:rPr>
        <w:t>12</w:t>
      </w:r>
      <w:r w:rsidR="003F788D" w:rsidRPr="001B3779">
        <w:rPr>
          <w:spacing w:val="-3"/>
          <w:lang w:val="fr-FR"/>
        </w:rPr>
        <w:t xml:space="preserve"> </w:t>
      </w:r>
      <w:r w:rsidR="0014522E" w:rsidRPr="001B3779">
        <w:rPr>
          <w:lang w:val="fr-FR"/>
        </w:rPr>
        <w:t>dernières années</w:t>
      </w:r>
      <w:r w:rsidR="00853A53" w:rsidRPr="001B3779">
        <w:rPr>
          <w:lang w:val="fr-FR"/>
        </w:rPr>
        <w:t xml:space="preserve"> à</w:t>
      </w:r>
      <w:r w:rsidR="003F788D" w:rsidRPr="001B3779">
        <w:rPr>
          <w:lang w:val="fr-FR"/>
        </w:rPr>
        <w:t xml:space="preserve"> </w:t>
      </w:r>
      <w:r w:rsidR="00B12F5D" w:rsidRPr="001B3779">
        <w:rPr>
          <w:lang w:val="fr-FR"/>
        </w:rPr>
        <w:t>l’AEE</w:t>
      </w:r>
      <w:r w:rsidR="003F788D" w:rsidRPr="001B3779">
        <w:rPr>
          <w:lang w:val="fr-FR"/>
        </w:rPr>
        <w:t>/</w:t>
      </w:r>
      <w:proofErr w:type="spellStart"/>
      <w:r w:rsidR="003F788D" w:rsidRPr="001B3779">
        <w:rPr>
          <w:lang w:val="fr-FR"/>
        </w:rPr>
        <w:t>BirdLife</w:t>
      </w:r>
      <w:proofErr w:type="spellEnd"/>
      <w:r w:rsidR="003F788D" w:rsidRPr="001B3779">
        <w:rPr>
          <w:lang w:val="fr-FR"/>
        </w:rPr>
        <w:t xml:space="preserve"> International/</w:t>
      </w:r>
      <w:r w:rsidR="00B12F5D" w:rsidRPr="001B3779">
        <w:rPr>
          <w:lang w:val="fr-FR"/>
        </w:rPr>
        <w:t>l’</w:t>
      </w:r>
      <w:r w:rsidR="003F788D" w:rsidRPr="001B3779">
        <w:rPr>
          <w:lang w:val="fr-FR"/>
        </w:rPr>
        <w:t xml:space="preserve">AEWA </w:t>
      </w:r>
      <w:r w:rsidR="00B12F5D" w:rsidRPr="001B3779">
        <w:rPr>
          <w:lang w:val="fr-FR"/>
        </w:rPr>
        <w:t xml:space="preserve">dans le cadre </w:t>
      </w:r>
      <w:r w:rsidR="00666028" w:rsidRPr="001B3779">
        <w:rPr>
          <w:lang w:val="fr-FR"/>
        </w:rPr>
        <w:t xml:space="preserve">du rapport </w:t>
      </w:r>
      <w:r w:rsidR="00DD3E66">
        <w:rPr>
          <w:lang w:val="fr-FR"/>
        </w:rPr>
        <w:t>prévu par</w:t>
      </w:r>
      <w:r w:rsidR="00666028" w:rsidRPr="001B3779">
        <w:rPr>
          <w:lang w:val="fr-FR"/>
        </w:rPr>
        <w:t xml:space="preserve"> l’</w:t>
      </w:r>
      <w:r w:rsidR="003F788D" w:rsidRPr="001B3779">
        <w:rPr>
          <w:lang w:val="fr-FR"/>
        </w:rPr>
        <w:t xml:space="preserve">Article 12 </w:t>
      </w:r>
      <w:r w:rsidR="00666028" w:rsidRPr="001B3779">
        <w:rPr>
          <w:lang w:val="fr-FR"/>
        </w:rPr>
        <w:t>de la Directive Oiseaux de l’UE</w:t>
      </w:r>
      <w:r w:rsidR="003F788D" w:rsidRPr="001B3779">
        <w:rPr>
          <w:lang w:val="fr-FR"/>
        </w:rPr>
        <w:t xml:space="preserve">, </w:t>
      </w:r>
      <w:r w:rsidR="00153EE3" w:rsidRPr="001B3779">
        <w:rPr>
          <w:lang w:val="fr-FR"/>
        </w:rPr>
        <w:t>de</w:t>
      </w:r>
      <w:r w:rsidR="002678BB" w:rsidRPr="001B3779">
        <w:rPr>
          <w:lang w:val="fr-FR"/>
        </w:rPr>
        <w:t xml:space="preserve"> la</w:t>
      </w:r>
      <w:r w:rsidR="003F788D" w:rsidRPr="001B3779">
        <w:rPr>
          <w:lang w:val="fr-FR"/>
        </w:rPr>
        <w:t xml:space="preserve"> List</w:t>
      </w:r>
      <w:r w:rsidR="002678BB" w:rsidRPr="001B3779">
        <w:rPr>
          <w:lang w:val="fr-FR"/>
        </w:rPr>
        <w:t>e</w:t>
      </w:r>
      <w:r w:rsidR="003F788D" w:rsidRPr="001B3779">
        <w:rPr>
          <w:lang w:val="fr-FR"/>
        </w:rPr>
        <w:t xml:space="preserve"> </w:t>
      </w:r>
      <w:r w:rsidR="002678BB" w:rsidRPr="001B3779">
        <w:rPr>
          <w:lang w:val="fr-FR"/>
        </w:rPr>
        <w:t>rouge européenne des oiseaux</w:t>
      </w:r>
      <w:r w:rsidR="008A66A8" w:rsidRPr="001B3779">
        <w:rPr>
          <w:lang w:val="fr-FR"/>
        </w:rPr>
        <w:t xml:space="preserve"> et </w:t>
      </w:r>
      <w:r w:rsidR="00153EE3" w:rsidRPr="001B3779">
        <w:rPr>
          <w:lang w:val="fr-FR"/>
        </w:rPr>
        <w:t>des</w:t>
      </w:r>
      <w:r w:rsidR="008A66A8" w:rsidRPr="001B3779">
        <w:rPr>
          <w:lang w:val="fr-FR"/>
        </w:rPr>
        <w:t xml:space="preserve"> rapports nationaux de l’</w:t>
      </w:r>
      <w:r w:rsidR="003F788D" w:rsidRPr="001B3779">
        <w:rPr>
          <w:lang w:val="fr-FR"/>
        </w:rPr>
        <w:t xml:space="preserve">AEWA </w:t>
      </w:r>
      <w:r w:rsidR="008A66A8" w:rsidRPr="001B3779">
        <w:rPr>
          <w:lang w:val="fr-FR"/>
        </w:rPr>
        <w:t>sur l’état des</w:t>
      </w:r>
      <w:r w:rsidR="003F788D" w:rsidRPr="001B3779">
        <w:rPr>
          <w:lang w:val="fr-FR"/>
        </w:rPr>
        <w:t xml:space="preserve"> population</w:t>
      </w:r>
      <w:r w:rsidR="008A66A8" w:rsidRPr="001B3779">
        <w:rPr>
          <w:lang w:val="fr-FR"/>
        </w:rPr>
        <w:t>s</w:t>
      </w:r>
      <w:r w:rsidR="003F788D" w:rsidRPr="001B3779">
        <w:rPr>
          <w:lang w:val="fr-FR"/>
        </w:rPr>
        <w:t>.</w:t>
      </w:r>
    </w:p>
    <w:p w14:paraId="67049B41" w14:textId="0F7BB3B0" w:rsidR="00664206" w:rsidRPr="001B3779" w:rsidRDefault="007C4E4E">
      <w:pPr>
        <w:pStyle w:val="ListParagraph"/>
        <w:numPr>
          <w:ilvl w:val="0"/>
          <w:numId w:val="1"/>
        </w:numPr>
        <w:tabs>
          <w:tab w:val="left" w:pos="1494"/>
        </w:tabs>
        <w:spacing w:line="278" w:lineRule="auto"/>
        <w:ind w:right="739"/>
        <w:jc w:val="both"/>
        <w:rPr>
          <w:lang w:val="fr-FR"/>
        </w:rPr>
      </w:pPr>
      <w:r w:rsidRPr="001B3779">
        <w:rPr>
          <w:lang w:val="fr-FR"/>
        </w:rPr>
        <w:t xml:space="preserve">Sur </w:t>
      </w:r>
      <w:r w:rsidR="001D7B2C" w:rsidRPr="001B3779">
        <w:rPr>
          <w:lang w:val="fr-FR"/>
        </w:rPr>
        <w:t xml:space="preserve">la base de l’évaluation </w:t>
      </w:r>
      <w:r w:rsidR="00DE33F3" w:rsidRPr="001B3779">
        <w:rPr>
          <w:lang w:val="fr-FR"/>
        </w:rPr>
        <w:t>d’un vaste éventa</w:t>
      </w:r>
      <w:r w:rsidR="00996A21" w:rsidRPr="001B3779">
        <w:rPr>
          <w:lang w:val="fr-FR"/>
        </w:rPr>
        <w:t>i</w:t>
      </w:r>
      <w:r w:rsidR="00DE33F3" w:rsidRPr="001B3779">
        <w:rPr>
          <w:lang w:val="fr-FR"/>
        </w:rPr>
        <w:t>l de do</w:t>
      </w:r>
      <w:r w:rsidR="00996A21" w:rsidRPr="001B3779">
        <w:rPr>
          <w:lang w:val="fr-FR"/>
        </w:rPr>
        <w:t>nnées disponibles </w:t>
      </w:r>
      <w:r w:rsidR="003F788D" w:rsidRPr="001B3779">
        <w:rPr>
          <w:lang w:val="fr-FR"/>
        </w:rPr>
        <w:t>:</w:t>
      </w:r>
      <w:r w:rsidR="003F788D" w:rsidRPr="001B3779">
        <w:rPr>
          <w:spacing w:val="-5"/>
          <w:lang w:val="fr-FR"/>
        </w:rPr>
        <w:t xml:space="preserve"> </w:t>
      </w:r>
      <w:r w:rsidR="00E11420" w:rsidRPr="001B3779">
        <w:rPr>
          <w:lang w:val="fr-FR"/>
        </w:rPr>
        <w:t>ce processus est suivi par la</w:t>
      </w:r>
      <w:r w:rsidR="003F788D" w:rsidRPr="001B3779">
        <w:rPr>
          <w:spacing w:val="-14"/>
          <w:lang w:val="fr-FR"/>
        </w:rPr>
        <w:t xml:space="preserve"> </w:t>
      </w:r>
      <w:r w:rsidR="003F788D" w:rsidRPr="001B3779">
        <w:rPr>
          <w:lang w:val="fr-FR"/>
        </w:rPr>
        <w:t>List</w:t>
      </w:r>
      <w:r w:rsidR="00E11420" w:rsidRPr="001B3779">
        <w:rPr>
          <w:lang w:val="fr-FR"/>
        </w:rPr>
        <w:t>e rouge de l’UICN</w:t>
      </w:r>
      <w:r w:rsidR="003F788D" w:rsidRPr="001B3779">
        <w:rPr>
          <w:lang w:val="fr-FR"/>
        </w:rPr>
        <w:t>,</w:t>
      </w:r>
      <w:r w:rsidR="003F788D" w:rsidRPr="001B3779">
        <w:rPr>
          <w:spacing w:val="-16"/>
          <w:lang w:val="fr-FR"/>
        </w:rPr>
        <w:t xml:space="preserve"> </w:t>
      </w:r>
      <w:r w:rsidR="00692B67" w:rsidRPr="001B3779">
        <w:rPr>
          <w:spacing w:val="-16"/>
          <w:lang w:val="fr-FR"/>
        </w:rPr>
        <w:t xml:space="preserve">les </w:t>
      </w:r>
      <w:r w:rsidR="00692B67" w:rsidRPr="001B3779">
        <w:rPr>
          <w:lang w:val="fr-FR"/>
        </w:rPr>
        <w:t>Estimations des populations d'oiseaux d'eau</w:t>
      </w:r>
      <w:r w:rsidR="00846A8B" w:rsidRPr="001B3779">
        <w:rPr>
          <w:lang w:val="fr-FR"/>
        </w:rPr>
        <w:t xml:space="preserve"> et</w:t>
      </w:r>
      <w:r w:rsidR="00692B67" w:rsidRPr="001B3779">
        <w:rPr>
          <w:lang w:val="fr-FR"/>
        </w:rPr>
        <w:t xml:space="preserve"> </w:t>
      </w:r>
      <w:r w:rsidR="00955230" w:rsidRPr="001B3779">
        <w:rPr>
          <w:lang w:val="fr-FR"/>
        </w:rPr>
        <w:t>l’Évaluation</w:t>
      </w:r>
      <w:r w:rsidR="00846A8B" w:rsidRPr="001B3779">
        <w:rPr>
          <w:lang w:val="fr-FR"/>
        </w:rPr>
        <w:t xml:space="preserve"> de l’état de conservation de l’</w:t>
      </w:r>
      <w:r w:rsidR="003F788D" w:rsidRPr="001B3779">
        <w:rPr>
          <w:lang w:val="fr-FR"/>
        </w:rPr>
        <w:t>AEWA.</w:t>
      </w:r>
    </w:p>
    <w:p w14:paraId="36C4F67D" w14:textId="77777777" w:rsidR="00664206" w:rsidRPr="001B3779" w:rsidRDefault="00664206">
      <w:pPr>
        <w:pStyle w:val="BodyText"/>
        <w:spacing w:before="3"/>
        <w:rPr>
          <w:sz w:val="21"/>
          <w:lang w:val="fr-FR"/>
        </w:rPr>
      </w:pPr>
    </w:p>
    <w:p w14:paraId="3D30E623" w14:textId="63247972" w:rsidR="00664206" w:rsidRPr="001B3779" w:rsidRDefault="006E7DA6">
      <w:pPr>
        <w:pStyle w:val="BodyText"/>
        <w:ind w:left="720" w:right="734"/>
        <w:jc w:val="both"/>
        <w:rPr>
          <w:lang w:val="fr-FR"/>
        </w:rPr>
      </w:pPr>
      <w:r w:rsidRPr="001B3779">
        <w:rPr>
          <w:lang w:val="fr-FR"/>
        </w:rPr>
        <w:t>Le flux de données n’est pas particulièrement problématique</w:t>
      </w:r>
      <w:r w:rsidR="003F788D" w:rsidRPr="001B3779">
        <w:rPr>
          <w:lang w:val="fr-FR"/>
        </w:rPr>
        <w:t xml:space="preserve">. </w:t>
      </w:r>
      <w:r w:rsidR="00181348" w:rsidRPr="001B3779">
        <w:rPr>
          <w:lang w:val="fr-FR"/>
        </w:rPr>
        <w:t xml:space="preserve">Les </w:t>
      </w:r>
      <w:r w:rsidR="003F788D" w:rsidRPr="001B3779">
        <w:rPr>
          <w:lang w:val="fr-FR"/>
        </w:rPr>
        <w:t>programme</w:t>
      </w:r>
      <w:r w:rsidR="001B13C2" w:rsidRPr="001B3779">
        <w:rPr>
          <w:lang w:val="fr-FR"/>
        </w:rPr>
        <w:t>s</w:t>
      </w:r>
      <w:r w:rsidR="003F788D" w:rsidRPr="001B3779">
        <w:rPr>
          <w:lang w:val="fr-FR"/>
        </w:rPr>
        <w:t xml:space="preserve"> </w:t>
      </w:r>
      <w:r w:rsidR="00F7468D" w:rsidRPr="001B3779">
        <w:rPr>
          <w:lang w:val="fr-FR"/>
        </w:rPr>
        <w:t>s’appuient</w:t>
      </w:r>
      <w:r w:rsidR="00181348" w:rsidRPr="001B3779">
        <w:rPr>
          <w:lang w:val="fr-FR"/>
        </w:rPr>
        <w:t xml:space="preserve"> tout simplement</w:t>
      </w:r>
      <w:r w:rsidR="00F7468D" w:rsidRPr="001B3779">
        <w:rPr>
          <w:lang w:val="fr-FR"/>
        </w:rPr>
        <w:t xml:space="preserve"> sur les </w:t>
      </w:r>
      <w:r w:rsidR="00AA67DA" w:rsidRPr="001B3779">
        <w:rPr>
          <w:lang w:val="fr-FR"/>
        </w:rPr>
        <w:t>systèmes de surveillance nationaux</w:t>
      </w:r>
      <w:r w:rsidR="0071157F" w:rsidRPr="001B3779">
        <w:rPr>
          <w:lang w:val="fr-FR"/>
        </w:rPr>
        <w:t>,</w:t>
      </w:r>
      <w:r w:rsidR="003F73BF" w:rsidRPr="001B3779">
        <w:rPr>
          <w:lang w:val="fr-FR"/>
        </w:rPr>
        <w:t xml:space="preserve"> qui sont dans tous les cas nécessaires pour la</w:t>
      </w:r>
      <w:r w:rsidR="003F788D" w:rsidRPr="001B3779">
        <w:rPr>
          <w:lang w:val="fr-FR"/>
        </w:rPr>
        <w:t xml:space="preserve"> conservation </w:t>
      </w:r>
      <w:r w:rsidR="003F73BF" w:rsidRPr="001B3779">
        <w:rPr>
          <w:lang w:val="fr-FR"/>
        </w:rPr>
        <w:t>et la gestion adap</w:t>
      </w:r>
      <w:r w:rsidR="009C0B94" w:rsidRPr="001B3779">
        <w:rPr>
          <w:lang w:val="fr-FR"/>
        </w:rPr>
        <w:t>tative des espèces</w:t>
      </w:r>
      <w:r w:rsidR="003F788D" w:rsidRPr="001B3779">
        <w:rPr>
          <w:lang w:val="fr-FR"/>
        </w:rPr>
        <w:t xml:space="preserve">. </w:t>
      </w:r>
      <w:r w:rsidR="000A3C6B" w:rsidRPr="001B3779">
        <w:rPr>
          <w:lang w:val="fr-FR"/>
        </w:rPr>
        <w:t>Toutefois, les</w:t>
      </w:r>
      <w:r w:rsidR="00101B66" w:rsidRPr="001B3779">
        <w:rPr>
          <w:lang w:val="fr-FR"/>
        </w:rPr>
        <w:t xml:space="preserve"> systèmes de surveillance sont biaisés sur le plan géographique</w:t>
      </w:r>
      <w:r w:rsidR="003F788D" w:rsidRPr="001B3779">
        <w:rPr>
          <w:lang w:val="fr-FR"/>
        </w:rPr>
        <w:t xml:space="preserve">. </w:t>
      </w:r>
      <w:r w:rsidR="00FD1D89" w:rsidRPr="001B3779">
        <w:rPr>
          <w:lang w:val="fr-FR"/>
        </w:rPr>
        <w:t xml:space="preserve">Il existe des </w:t>
      </w:r>
      <w:r w:rsidR="00145D45" w:rsidRPr="001B3779">
        <w:rPr>
          <w:lang w:val="fr-FR"/>
        </w:rPr>
        <w:t>systèmes</w:t>
      </w:r>
      <w:r w:rsidR="00FD1D89" w:rsidRPr="001B3779">
        <w:rPr>
          <w:lang w:val="fr-FR"/>
        </w:rPr>
        <w:t xml:space="preserve"> de surveillance relativement exhaustifs </w:t>
      </w:r>
      <w:r w:rsidR="00180728" w:rsidRPr="001B3779">
        <w:rPr>
          <w:lang w:val="fr-FR"/>
        </w:rPr>
        <w:t>dans l’</w:t>
      </w:r>
      <w:r w:rsidR="008B0F33" w:rsidRPr="001B3779">
        <w:rPr>
          <w:lang w:val="fr-FR"/>
        </w:rPr>
        <w:t xml:space="preserve">Europe </w:t>
      </w:r>
      <w:r w:rsidR="002B26D0" w:rsidRPr="001B3779">
        <w:rPr>
          <w:lang w:val="fr-FR"/>
        </w:rPr>
        <w:t>du Nord-Ouest, mais les systèmes de surveillance des oiseaux reproducteurs sont</w:t>
      </w:r>
      <w:r w:rsidR="00111DDD" w:rsidRPr="001B3779">
        <w:rPr>
          <w:lang w:val="fr-FR"/>
        </w:rPr>
        <w:t xml:space="preserve"> foncièrement non-existants pour la plupart des</w:t>
      </w:r>
      <w:r w:rsidR="003F788D" w:rsidRPr="001B3779">
        <w:rPr>
          <w:lang w:val="fr-FR"/>
        </w:rPr>
        <w:t xml:space="preserve"> </w:t>
      </w:r>
      <w:r w:rsidR="00070860" w:rsidRPr="001B3779">
        <w:rPr>
          <w:lang w:val="fr-FR"/>
        </w:rPr>
        <w:t xml:space="preserve">populations </w:t>
      </w:r>
      <w:r w:rsidR="00D37C82" w:rsidRPr="001B3779">
        <w:rPr>
          <w:lang w:val="fr-FR"/>
        </w:rPr>
        <w:t>se reproduisant à l’Ouest de la Sibérie, en Asie et en Afrique</w:t>
      </w:r>
      <w:r w:rsidR="00145D45" w:rsidRPr="001B3779">
        <w:rPr>
          <w:lang w:val="fr-FR"/>
        </w:rPr>
        <w:t xml:space="preserve"> à des échelles pertinentes pour suivre l’état des</w:t>
      </w:r>
      <w:r w:rsidR="00F303E6" w:rsidRPr="001B3779">
        <w:rPr>
          <w:spacing w:val="-9"/>
          <w:lang w:val="fr-FR"/>
        </w:rPr>
        <w:t xml:space="preserve"> population</w:t>
      </w:r>
      <w:r w:rsidR="00145D45" w:rsidRPr="001B3779">
        <w:rPr>
          <w:spacing w:val="-9"/>
          <w:lang w:val="fr-FR"/>
        </w:rPr>
        <w:t>s</w:t>
      </w:r>
      <w:r w:rsidR="003F788D" w:rsidRPr="001B3779">
        <w:rPr>
          <w:lang w:val="fr-FR"/>
        </w:rPr>
        <w:t xml:space="preserve">. </w:t>
      </w:r>
      <w:r w:rsidR="00D04885" w:rsidRPr="001B3779">
        <w:rPr>
          <w:lang w:val="fr-FR"/>
        </w:rPr>
        <w:t xml:space="preserve">Par </w:t>
      </w:r>
      <w:r w:rsidR="002A0C63" w:rsidRPr="001B3779">
        <w:rPr>
          <w:lang w:val="fr-FR"/>
        </w:rPr>
        <w:t>conséquent</w:t>
      </w:r>
      <w:r w:rsidR="00D04885" w:rsidRPr="001B3779">
        <w:rPr>
          <w:lang w:val="fr-FR"/>
        </w:rPr>
        <w:t>, il n’existe pas beaucoup de données sur lesquelles s’appuyer pour mener</w:t>
      </w:r>
      <w:r w:rsidR="002A0C63" w:rsidRPr="001B3779">
        <w:rPr>
          <w:lang w:val="fr-FR"/>
        </w:rPr>
        <w:t xml:space="preserve"> d’autres analyses</w:t>
      </w:r>
      <w:r w:rsidR="003F788D" w:rsidRPr="001B3779">
        <w:rPr>
          <w:lang w:val="fr-FR"/>
        </w:rPr>
        <w:t xml:space="preserve">. </w:t>
      </w:r>
      <w:r w:rsidR="001F4C5C" w:rsidRPr="001B3779">
        <w:rPr>
          <w:lang w:val="fr-FR"/>
        </w:rPr>
        <w:t>Par ailleurs, il est</w:t>
      </w:r>
      <w:r w:rsidR="003F788D" w:rsidRPr="001B3779">
        <w:rPr>
          <w:lang w:val="fr-FR"/>
        </w:rPr>
        <w:t xml:space="preserve"> important </w:t>
      </w:r>
      <w:r w:rsidR="001F4C5C" w:rsidRPr="001B3779">
        <w:rPr>
          <w:lang w:val="fr-FR"/>
        </w:rPr>
        <w:t>de souligner que, dans ces</w:t>
      </w:r>
      <w:r w:rsidR="003F788D" w:rsidRPr="001B3779">
        <w:rPr>
          <w:lang w:val="fr-FR"/>
        </w:rPr>
        <w:t xml:space="preserve"> r</w:t>
      </w:r>
      <w:r w:rsidR="001F4C5C" w:rsidRPr="001B3779">
        <w:rPr>
          <w:lang w:val="fr-FR"/>
        </w:rPr>
        <w:t>é</w:t>
      </w:r>
      <w:r w:rsidR="003F788D" w:rsidRPr="001B3779">
        <w:rPr>
          <w:lang w:val="fr-FR"/>
        </w:rPr>
        <w:t xml:space="preserve">gions, </w:t>
      </w:r>
      <w:r w:rsidR="001F4C5C" w:rsidRPr="001B3779">
        <w:rPr>
          <w:lang w:val="fr-FR"/>
        </w:rPr>
        <w:t>mise à part</w:t>
      </w:r>
      <w:r w:rsidR="003F788D" w:rsidRPr="001B3779">
        <w:rPr>
          <w:lang w:val="fr-FR"/>
        </w:rPr>
        <w:t xml:space="preserve"> Ramsar </w:t>
      </w:r>
      <w:r w:rsidR="001F4C5C" w:rsidRPr="001B3779">
        <w:rPr>
          <w:lang w:val="fr-FR"/>
        </w:rPr>
        <w:t>et la CDB</w:t>
      </w:r>
      <w:r w:rsidR="003F788D" w:rsidRPr="001B3779">
        <w:rPr>
          <w:lang w:val="fr-FR"/>
        </w:rPr>
        <w:t xml:space="preserve">, </w:t>
      </w:r>
      <w:r w:rsidR="001F4C5C" w:rsidRPr="001B3779">
        <w:rPr>
          <w:lang w:val="fr-FR"/>
        </w:rPr>
        <w:t>il n’y a pas d’instruments de</w:t>
      </w:r>
      <w:r w:rsidR="003F788D" w:rsidRPr="001B3779">
        <w:rPr>
          <w:lang w:val="fr-FR"/>
        </w:rPr>
        <w:t xml:space="preserve"> conservation </w:t>
      </w:r>
      <w:r w:rsidR="001F4C5C" w:rsidRPr="001B3779">
        <w:rPr>
          <w:lang w:val="fr-FR"/>
        </w:rPr>
        <w:t>nécessitant des données de surveillance</w:t>
      </w:r>
      <w:r w:rsidR="003F788D" w:rsidRPr="001B3779">
        <w:rPr>
          <w:lang w:val="fr-FR"/>
        </w:rPr>
        <w:t>.</w:t>
      </w:r>
    </w:p>
    <w:p w14:paraId="17F9A68E" w14:textId="77777777" w:rsidR="00664206" w:rsidRPr="001B3779" w:rsidRDefault="00664206">
      <w:pPr>
        <w:pStyle w:val="BodyText"/>
        <w:spacing w:before="5"/>
        <w:rPr>
          <w:sz w:val="31"/>
          <w:lang w:val="fr-FR"/>
        </w:rPr>
      </w:pPr>
    </w:p>
    <w:p w14:paraId="5F776742" w14:textId="2029AD01" w:rsidR="00664206" w:rsidRPr="001B3779" w:rsidRDefault="005A4F89">
      <w:pPr>
        <w:pStyle w:val="Heading1"/>
        <w:jc w:val="both"/>
        <w:rPr>
          <w:lang w:val="fr-FR"/>
        </w:rPr>
      </w:pPr>
      <w:r w:rsidRPr="001B3779">
        <w:rPr>
          <w:lang w:val="fr-FR"/>
        </w:rPr>
        <w:t>Calendrier des</w:t>
      </w:r>
      <w:r w:rsidR="003F788D" w:rsidRPr="001B3779">
        <w:rPr>
          <w:lang w:val="fr-FR"/>
        </w:rPr>
        <w:t xml:space="preserve"> analyses</w:t>
      </w:r>
    </w:p>
    <w:p w14:paraId="02C1285F" w14:textId="1E0593AF" w:rsidR="00664206" w:rsidRPr="001B3779" w:rsidRDefault="00031C61">
      <w:pPr>
        <w:pStyle w:val="BodyText"/>
        <w:spacing w:before="160"/>
        <w:ind w:left="720" w:right="733"/>
        <w:jc w:val="both"/>
        <w:rPr>
          <w:lang w:val="fr-FR"/>
        </w:rPr>
      </w:pPr>
      <w:r w:rsidRPr="001B3779">
        <w:rPr>
          <w:lang w:val="fr-FR"/>
        </w:rPr>
        <w:t xml:space="preserve">Les différents processus fonctionnent avec des calendriers de </w:t>
      </w:r>
      <w:r w:rsidR="00DC4BC6" w:rsidRPr="001B3779">
        <w:rPr>
          <w:lang w:val="fr-FR"/>
        </w:rPr>
        <w:t>compte-rendu différents</w:t>
      </w:r>
      <w:r w:rsidR="003F788D" w:rsidRPr="001B3779">
        <w:rPr>
          <w:lang w:val="fr-FR"/>
        </w:rPr>
        <w:t xml:space="preserve"> (Table</w:t>
      </w:r>
      <w:r w:rsidR="00DC4BC6" w:rsidRPr="001B3779">
        <w:rPr>
          <w:lang w:val="fr-FR"/>
        </w:rPr>
        <w:t>au</w:t>
      </w:r>
      <w:r w:rsidR="003F788D" w:rsidRPr="001B3779">
        <w:rPr>
          <w:lang w:val="fr-FR"/>
        </w:rPr>
        <w:t xml:space="preserve"> 3). </w:t>
      </w:r>
      <w:r w:rsidR="00F96B41" w:rsidRPr="001B3779">
        <w:rPr>
          <w:lang w:val="fr-FR"/>
        </w:rPr>
        <w:t xml:space="preserve">Cela montre qu’il y a déjà une bonne harmonisation entre les rapports de </w:t>
      </w:r>
      <w:r w:rsidR="00490461" w:rsidRPr="001B3779">
        <w:rPr>
          <w:lang w:val="fr-FR"/>
        </w:rPr>
        <w:t>l’UE/Europe et les rapports nationaux de l’</w:t>
      </w:r>
      <w:r w:rsidR="003F788D" w:rsidRPr="001B3779">
        <w:rPr>
          <w:lang w:val="fr-FR"/>
        </w:rPr>
        <w:t xml:space="preserve">AEWA. </w:t>
      </w:r>
      <w:r w:rsidR="009B73EC" w:rsidRPr="001B3779">
        <w:rPr>
          <w:lang w:val="fr-FR"/>
        </w:rPr>
        <w:t>La surveillance</w:t>
      </w:r>
      <w:r w:rsidR="00AD4FC8" w:rsidRPr="001B3779">
        <w:rPr>
          <w:lang w:val="fr-FR"/>
        </w:rPr>
        <w:t xml:space="preserve"> des oiseaux reproducteurs et des oiseaux hivernants communs, dont les données sont collectées chaque année, est compatib</w:t>
      </w:r>
      <w:r w:rsidR="000E2EA4" w:rsidRPr="001B3779">
        <w:rPr>
          <w:lang w:val="fr-FR"/>
        </w:rPr>
        <w:t>le avec tous les calendriers de compte-rendu</w:t>
      </w:r>
      <w:r w:rsidR="003F788D" w:rsidRPr="001B3779">
        <w:rPr>
          <w:lang w:val="fr-FR"/>
        </w:rPr>
        <w:t xml:space="preserve">. </w:t>
      </w:r>
      <w:r w:rsidR="00DD3E85" w:rsidRPr="001B3779">
        <w:rPr>
          <w:lang w:val="fr-FR"/>
        </w:rPr>
        <w:t>La comp</w:t>
      </w:r>
      <w:r w:rsidR="00B84995">
        <w:rPr>
          <w:lang w:val="fr-FR"/>
        </w:rPr>
        <w:t>ati</w:t>
      </w:r>
      <w:r w:rsidR="00DD3E85" w:rsidRPr="001B3779">
        <w:rPr>
          <w:lang w:val="fr-FR"/>
        </w:rPr>
        <w:t>bilité avec le calendrier des traités couvrant une plus petite partie de la zone de l’Accord</w:t>
      </w:r>
      <w:r w:rsidR="00D24DF7" w:rsidRPr="001B3779">
        <w:rPr>
          <w:lang w:val="fr-FR"/>
        </w:rPr>
        <w:t xml:space="preserve"> et un nombre relativement faible d’espèces</w:t>
      </w:r>
      <w:r w:rsidR="003F788D" w:rsidRPr="001B3779">
        <w:rPr>
          <w:lang w:val="fr-FR"/>
        </w:rPr>
        <w:t xml:space="preserve"> (HELCOM, OSPAR, CAFF) </w:t>
      </w:r>
      <w:r w:rsidR="007F5AE5" w:rsidRPr="001B3779">
        <w:rPr>
          <w:lang w:val="fr-FR"/>
        </w:rPr>
        <w:t>est moins préoccupante</w:t>
      </w:r>
      <w:r w:rsidR="003F788D" w:rsidRPr="001B3779">
        <w:rPr>
          <w:lang w:val="fr-FR"/>
        </w:rPr>
        <w:t xml:space="preserve">. </w:t>
      </w:r>
      <w:r w:rsidR="00C87B99" w:rsidRPr="001B3779">
        <w:rPr>
          <w:lang w:val="fr-FR"/>
        </w:rPr>
        <w:t>La plupart des évaluations des tendances dans le cadre des deux premiers</w:t>
      </w:r>
      <w:r w:rsidR="003F788D" w:rsidRPr="001B3779">
        <w:rPr>
          <w:lang w:val="fr-FR"/>
        </w:rPr>
        <w:t xml:space="preserve"> instruments </w:t>
      </w:r>
      <w:r w:rsidR="00C87B99" w:rsidRPr="001B3779">
        <w:rPr>
          <w:lang w:val="fr-FR"/>
        </w:rPr>
        <w:t xml:space="preserve">s’appuient sur des données collectées </w:t>
      </w:r>
      <w:r w:rsidR="00031C4E" w:rsidRPr="001B3779">
        <w:rPr>
          <w:lang w:val="fr-FR"/>
        </w:rPr>
        <w:t xml:space="preserve">annuellement et ne </w:t>
      </w:r>
      <w:r w:rsidR="009C7730" w:rsidRPr="001B3779">
        <w:rPr>
          <w:lang w:val="fr-FR"/>
        </w:rPr>
        <w:t>se concentrent</w:t>
      </w:r>
      <w:r w:rsidR="00031C4E" w:rsidRPr="001B3779">
        <w:rPr>
          <w:lang w:val="fr-FR"/>
        </w:rPr>
        <w:t xml:space="preserve"> pas </w:t>
      </w:r>
      <w:r w:rsidR="009C7730" w:rsidRPr="001B3779">
        <w:rPr>
          <w:lang w:val="fr-FR"/>
        </w:rPr>
        <w:t xml:space="preserve">sur </w:t>
      </w:r>
      <w:r w:rsidR="00031C4E" w:rsidRPr="001B3779">
        <w:rPr>
          <w:lang w:val="fr-FR"/>
        </w:rPr>
        <w:t>les estimations de taille des</w:t>
      </w:r>
      <w:r w:rsidR="003F788D" w:rsidRPr="001B3779">
        <w:rPr>
          <w:lang w:val="fr-FR"/>
        </w:rPr>
        <w:t xml:space="preserve"> population</w:t>
      </w:r>
      <w:r w:rsidR="00031C4E" w:rsidRPr="001B3779">
        <w:rPr>
          <w:lang w:val="fr-FR"/>
        </w:rPr>
        <w:t>s</w:t>
      </w:r>
      <w:r w:rsidR="003F788D" w:rsidRPr="001B3779">
        <w:rPr>
          <w:lang w:val="fr-FR"/>
        </w:rPr>
        <w:t>.</w:t>
      </w:r>
    </w:p>
    <w:p w14:paraId="47366C60" w14:textId="77777777" w:rsidR="00664206" w:rsidRPr="001B3779" w:rsidRDefault="00664206">
      <w:pPr>
        <w:pStyle w:val="BodyText"/>
        <w:spacing w:before="1"/>
        <w:rPr>
          <w:sz w:val="24"/>
          <w:lang w:val="fr-FR"/>
        </w:rPr>
      </w:pPr>
    </w:p>
    <w:p w14:paraId="0DE86AA2" w14:textId="1867B7A3" w:rsidR="00664206" w:rsidRPr="001B3779" w:rsidRDefault="00820C91">
      <w:pPr>
        <w:pStyle w:val="Heading2"/>
        <w:spacing w:before="1"/>
        <w:ind w:right="733"/>
        <w:rPr>
          <w:lang w:val="fr-FR"/>
        </w:rPr>
      </w:pPr>
      <w:r w:rsidRPr="001B3779">
        <w:rPr>
          <w:lang w:val="fr-FR"/>
        </w:rPr>
        <w:t>Le travail actuel</w:t>
      </w:r>
      <w:r w:rsidR="00C4569E" w:rsidRPr="001B3779">
        <w:rPr>
          <w:lang w:val="fr-FR"/>
        </w:rPr>
        <w:t xml:space="preserve"> sur l’identification des priorités en matière de surveillance examinera les</w:t>
      </w:r>
      <w:r w:rsidR="003F788D" w:rsidRPr="001B3779">
        <w:rPr>
          <w:lang w:val="fr-FR"/>
        </w:rPr>
        <w:t xml:space="preserve"> populations </w:t>
      </w:r>
      <w:r w:rsidR="00C4569E" w:rsidRPr="001B3779">
        <w:rPr>
          <w:lang w:val="fr-FR"/>
        </w:rPr>
        <w:t>étant actuellement insu</w:t>
      </w:r>
      <w:r w:rsidR="00FD25B2" w:rsidRPr="001B3779">
        <w:rPr>
          <w:lang w:val="fr-FR"/>
        </w:rPr>
        <w:t>ffisamment surveillées et recommandera des</w:t>
      </w:r>
      <w:r w:rsidR="003F788D" w:rsidRPr="001B3779">
        <w:rPr>
          <w:lang w:val="fr-FR"/>
        </w:rPr>
        <w:t xml:space="preserve"> populations </w:t>
      </w:r>
      <w:r w:rsidR="00FD25B2" w:rsidRPr="001B3779">
        <w:rPr>
          <w:lang w:val="fr-FR"/>
        </w:rPr>
        <w:t xml:space="preserve">et des pays qui devraient être prioritaires </w:t>
      </w:r>
      <w:r w:rsidR="00556E89" w:rsidRPr="001B3779">
        <w:rPr>
          <w:lang w:val="fr-FR"/>
        </w:rPr>
        <w:t>lors du</w:t>
      </w:r>
      <w:r w:rsidR="006A7918" w:rsidRPr="001B3779">
        <w:rPr>
          <w:lang w:val="fr-FR"/>
        </w:rPr>
        <w:t xml:space="preserve"> développement futur d’activités</w:t>
      </w:r>
      <w:r w:rsidR="00C37608" w:rsidRPr="001B3779">
        <w:rPr>
          <w:lang w:val="fr-FR"/>
        </w:rPr>
        <w:t xml:space="preserve"> de surveillance</w:t>
      </w:r>
      <w:r w:rsidR="00512BF8" w:rsidRPr="001B3779">
        <w:rPr>
          <w:lang w:val="fr-FR"/>
        </w:rPr>
        <w:t xml:space="preserve"> </w:t>
      </w:r>
      <w:r w:rsidR="00512BF8" w:rsidRPr="001B3779">
        <w:rPr>
          <w:lang w:val="fr-FR"/>
        </w:rPr>
        <w:lastRenderedPageBreak/>
        <w:t xml:space="preserve">et d’enquête </w:t>
      </w:r>
      <w:r w:rsidR="00556E89" w:rsidRPr="001B3779">
        <w:rPr>
          <w:lang w:val="fr-FR"/>
        </w:rPr>
        <w:t>sous l’égide de</w:t>
      </w:r>
      <w:r w:rsidR="00512BF8" w:rsidRPr="001B3779">
        <w:rPr>
          <w:lang w:val="fr-FR"/>
        </w:rPr>
        <w:t xml:space="preserve"> l’</w:t>
      </w:r>
      <w:r w:rsidR="003F788D" w:rsidRPr="001B3779">
        <w:rPr>
          <w:lang w:val="fr-FR"/>
        </w:rPr>
        <w:t>AEWA.</w:t>
      </w:r>
    </w:p>
    <w:p w14:paraId="7A97F631" w14:textId="32CCBA46" w:rsidR="0079676F" w:rsidRPr="001B3779" w:rsidRDefault="0079676F">
      <w:pPr>
        <w:pStyle w:val="Heading2"/>
        <w:spacing w:before="1"/>
        <w:ind w:right="733"/>
        <w:rPr>
          <w:lang w:val="fr-FR"/>
        </w:rPr>
      </w:pPr>
    </w:p>
    <w:p w14:paraId="7312EEA9" w14:textId="3A8A6D78" w:rsidR="0079676F" w:rsidRPr="001B3779" w:rsidRDefault="00820807">
      <w:pPr>
        <w:pStyle w:val="Heading2"/>
        <w:spacing w:before="1"/>
        <w:ind w:right="733"/>
        <w:rPr>
          <w:b/>
          <w:bCs/>
          <w:lang w:val="fr-FR"/>
        </w:rPr>
      </w:pPr>
      <w:r w:rsidRPr="001B3779">
        <w:rPr>
          <w:b/>
          <w:bCs/>
          <w:lang w:val="fr-FR"/>
        </w:rPr>
        <w:t>O</w:t>
      </w:r>
      <w:r w:rsidR="00D47B4F" w:rsidRPr="001B3779">
        <w:rPr>
          <w:b/>
          <w:bCs/>
          <w:lang w:val="fr-FR"/>
        </w:rPr>
        <w:t xml:space="preserve">ptions </w:t>
      </w:r>
      <w:r w:rsidRPr="001B3779">
        <w:rPr>
          <w:b/>
          <w:bCs/>
          <w:lang w:val="fr-FR"/>
        </w:rPr>
        <w:t>potentielles pour renforcer</w:t>
      </w:r>
      <w:r w:rsidR="00FF2EE2" w:rsidRPr="001B3779">
        <w:rPr>
          <w:b/>
          <w:bCs/>
          <w:lang w:val="fr-FR"/>
        </w:rPr>
        <w:t xml:space="preserve"> les</w:t>
      </w:r>
      <w:r w:rsidR="00D47B4F" w:rsidRPr="001B3779">
        <w:rPr>
          <w:b/>
          <w:bCs/>
          <w:lang w:val="fr-FR"/>
        </w:rPr>
        <w:t xml:space="preserve"> synergies</w:t>
      </w:r>
      <w:r w:rsidR="00637B6B" w:rsidRPr="001B3779">
        <w:rPr>
          <w:b/>
          <w:bCs/>
          <w:lang w:val="fr-FR"/>
        </w:rPr>
        <w:t xml:space="preserve"> </w:t>
      </w:r>
      <w:r w:rsidR="00FF2EE2" w:rsidRPr="001B3779">
        <w:rPr>
          <w:b/>
          <w:bCs/>
          <w:lang w:val="fr-FR"/>
        </w:rPr>
        <w:t>avec les autres processus</w:t>
      </w:r>
    </w:p>
    <w:p w14:paraId="490578DC" w14:textId="7F930063" w:rsidR="00637B6B" w:rsidRPr="001B3779" w:rsidRDefault="00637B6B">
      <w:pPr>
        <w:pStyle w:val="Heading2"/>
        <w:spacing w:before="1"/>
        <w:ind w:right="733"/>
        <w:rPr>
          <w:b/>
          <w:bCs/>
          <w:lang w:val="fr-FR"/>
        </w:rPr>
      </w:pPr>
    </w:p>
    <w:p w14:paraId="5E28D67D" w14:textId="77777777" w:rsidR="001B2E02" w:rsidRPr="001B3779" w:rsidRDefault="001B2E02" w:rsidP="00CF23C5">
      <w:pPr>
        <w:pStyle w:val="BodyText"/>
        <w:spacing w:before="160"/>
        <w:ind w:left="720" w:right="733"/>
        <w:jc w:val="both"/>
        <w:rPr>
          <w:b/>
          <w:bCs/>
          <w:lang w:val="fr-FR"/>
        </w:rPr>
      </w:pPr>
      <w:r w:rsidRPr="001B3779">
        <w:rPr>
          <w:b/>
          <w:bCs/>
          <w:lang w:val="fr-FR"/>
        </w:rPr>
        <w:t xml:space="preserve">Convention de Ramsar sur les zones humides </w:t>
      </w:r>
    </w:p>
    <w:p w14:paraId="5A9368CC" w14:textId="6CF800D3" w:rsidR="0089744D" w:rsidRPr="001B3779" w:rsidRDefault="00C3555B" w:rsidP="00CF23C5">
      <w:pPr>
        <w:pStyle w:val="BodyText"/>
        <w:spacing w:before="160"/>
        <w:ind w:left="720" w:right="733"/>
        <w:jc w:val="both"/>
        <w:rPr>
          <w:lang w:val="fr-FR"/>
        </w:rPr>
      </w:pPr>
      <w:r w:rsidRPr="001B3779">
        <w:rPr>
          <w:lang w:val="fr-FR"/>
        </w:rPr>
        <w:t xml:space="preserve">La Décision SC58-06 du Comité permanent de la Convention de </w:t>
      </w:r>
      <w:r w:rsidR="00C22422" w:rsidRPr="001B3779">
        <w:rPr>
          <w:lang w:val="fr-FR"/>
        </w:rPr>
        <w:t xml:space="preserve">Ramsar </w:t>
      </w:r>
      <w:r w:rsidR="00FA4DE2" w:rsidRPr="001B3779">
        <w:rPr>
          <w:lang w:val="fr-FR"/>
        </w:rPr>
        <w:t>recommande que le Groupe d'étude scientifique et technique (GEST) soumette une proposition pour mettre à jour le Critère</w:t>
      </w:r>
      <w:r w:rsidR="00C22422" w:rsidRPr="001B3779">
        <w:rPr>
          <w:lang w:val="fr-FR"/>
        </w:rPr>
        <w:t xml:space="preserve"> 6 </w:t>
      </w:r>
      <w:r w:rsidR="00FA4DE2" w:rsidRPr="001B3779">
        <w:rPr>
          <w:lang w:val="fr-FR"/>
        </w:rPr>
        <w:t>des Critères de</w:t>
      </w:r>
      <w:r w:rsidR="00C22422" w:rsidRPr="001B3779">
        <w:rPr>
          <w:lang w:val="fr-FR"/>
        </w:rPr>
        <w:t xml:space="preserve"> Ramsar </w:t>
      </w:r>
      <w:r w:rsidR="00FA4DE2" w:rsidRPr="001B3779">
        <w:rPr>
          <w:lang w:val="fr-FR"/>
        </w:rPr>
        <w:t>relatifs à l’utilisation des estimations de</w:t>
      </w:r>
      <w:r w:rsidR="00C22422" w:rsidRPr="001B3779">
        <w:rPr>
          <w:lang w:val="fr-FR"/>
        </w:rPr>
        <w:t xml:space="preserve"> population, </w:t>
      </w:r>
      <w:r w:rsidR="00FA4DE2" w:rsidRPr="001B3779">
        <w:rPr>
          <w:lang w:val="fr-FR"/>
        </w:rPr>
        <w:t xml:space="preserve">que le Comité </w:t>
      </w:r>
      <w:r w:rsidR="003C4A6E" w:rsidRPr="001B3779">
        <w:rPr>
          <w:lang w:val="fr-FR"/>
        </w:rPr>
        <w:t>examinera</w:t>
      </w:r>
      <w:r w:rsidR="00ED7B77" w:rsidRPr="001B3779">
        <w:rPr>
          <w:lang w:val="fr-FR"/>
        </w:rPr>
        <w:t xml:space="preserve"> pour une soumission</w:t>
      </w:r>
      <w:r w:rsidR="00CF4991" w:rsidRPr="001B3779">
        <w:rPr>
          <w:lang w:val="fr-FR"/>
        </w:rPr>
        <w:t xml:space="preserve"> à la</w:t>
      </w:r>
      <w:r w:rsidR="00CF23C5" w:rsidRPr="001B3779">
        <w:rPr>
          <w:lang w:val="fr-FR"/>
        </w:rPr>
        <w:t xml:space="preserve"> </w:t>
      </w:r>
      <w:r w:rsidR="00CF4991" w:rsidRPr="001B3779">
        <w:rPr>
          <w:lang w:val="fr-FR"/>
        </w:rPr>
        <w:t>Conférence</w:t>
      </w:r>
      <w:r w:rsidR="00CF23C5" w:rsidRPr="001B3779">
        <w:rPr>
          <w:lang w:val="fr-FR"/>
        </w:rPr>
        <w:t xml:space="preserve"> </w:t>
      </w:r>
      <w:r w:rsidR="00CF4991" w:rsidRPr="001B3779">
        <w:rPr>
          <w:lang w:val="fr-FR"/>
        </w:rPr>
        <w:t>des</w:t>
      </w:r>
      <w:r w:rsidR="00CF23C5" w:rsidRPr="001B3779">
        <w:rPr>
          <w:lang w:val="fr-FR"/>
        </w:rPr>
        <w:t xml:space="preserve"> Parties</w:t>
      </w:r>
      <w:r w:rsidR="002E5BCE" w:rsidRPr="001B3779">
        <w:rPr>
          <w:lang w:val="fr-FR"/>
        </w:rPr>
        <w:t xml:space="preserve"> contractantes</w:t>
      </w:r>
      <w:r w:rsidR="00CF23C5" w:rsidRPr="001B3779">
        <w:rPr>
          <w:lang w:val="fr-FR"/>
        </w:rPr>
        <w:t xml:space="preserve">, </w:t>
      </w:r>
      <w:r w:rsidR="00D72EFB" w:rsidRPr="001B3779">
        <w:rPr>
          <w:lang w:val="fr-FR"/>
        </w:rPr>
        <w:t xml:space="preserve">en tenant compte </w:t>
      </w:r>
      <w:r w:rsidR="001D314E" w:rsidRPr="001B3779">
        <w:rPr>
          <w:lang w:val="fr-FR"/>
        </w:rPr>
        <w:t>du</w:t>
      </w:r>
      <w:r w:rsidR="00D72EFB" w:rsidRPr="001B3779">
        <w:rPr>
          <w:lang w:val="fr-FR"/>
        </w:rPr>
        <w:t xml:space="preserve"> besoin des</w:t>
      </w:r>
      <w:r w:rsidR="00C22422" w:rsidRPr="001B3779">
        <w:rPr>
          <w:lang w:val="fr-FR"/>
        </w:rPr>
        <w:t xml:space="preserve"> Parties </w:t>
      </w:r>
      <w:r w:rsidR="00D72EFB" w:rsidRPr="001B3779">
        <w:rPr>
          <w:lang w:val="fr-FR"/>
        </w:rPr>
        <w:t>contractantes d’avoir des</w:t>
      </w:r>
      <w:r w:rsidR="00C22422" w:rsidRPr="001B3779">
        <w:rPr>
          <w:lang w:val="fr-FR"/>
        </w:rPr>
        <w:t xml:space="preserve"> information</w:t>
      </w:r>
      <w:r w:rsidR="00D72EFB" w:rsidRPr="001B3779">
        <w:rPr>
          <w:lang w:val="fr-FR"/>
        </w:rPr>
        <w:t>s</w:t>
      </w:r>
      <w:r w:rsidR="006D61DF" w:rsidRPr="001B3779">
        <w:rPr>
          <w:lang w:val="fr-FR"/>
        </w:rPr>
        <w:t xml:space="preserve"> actualisées et dynamiques</w:t>
      </w:r>
      <w:r w:rsidR="00C22422" w:rsidRPr="001B3779">
        <w:rPr>
          <w:lang w:val="fr-FR"/>
        </w:rPr>
        <w:t xml:space="preserve">. </w:t>
      </w:r>
      <w:r w:rsidR="00DF2E77" w:rsidRPr="001B3779">
        <w:rPr>
          <w:lang w:val="fr-FR"/>
        </w:rPr>
        <w:t>Cela d</w:t>
      </w:r>
      <w:r w:rsidR="00AE5612" w:rsidRPr="001B3779">
        <w:rPr>
          <w:lang w:val="fr-FR"/>
        </w:rPr>
        <w:t xml:space="preserve">evrait </w:t>
      </w:r>
      <w:r w:rsidR="001B4A73" w:rsidRPr="001B3779">
        <w:rPr>
          <w:lang w:val="fr-FR"/>
        </w:rPr>
        <w:t xml:space="preserve">permettre d’émettre des recommandations </w:t>
      </w:r>
      <w:r w:rsidR="00663163" w:rsidRPr="001B3779">
        <w:rPr>
          <w:lang w:val="fr-FR"/>
        </w:rPr>
        <w:t>temporaires et sur le long terme aux</w:t>
      </w:r>
      <w:r w:rsidR="004F33C8" w:rsidRPr="001B3779">
        <w:rPr>
          <w:lang w:val="fr-FR"/>
        </w:rPr>
        <w:t xml:space="preserve"> Parties </w:t>
      </w:r>
      <w:r w:rsidR="00663163" w:rsidRPr="001B3779">
        <w:rPr>
          <w:lang w:val="fr-FR"/>
        </w:rPr>
        <w:t>sur l’utilisation des estimations</w:t>
      </w:r>
      <w:r w:rsidR="008B4E41" w:rsidRPr="001B3779">
        <w:rPr>
          <w:lang w:val="fr-FR"/>
        </w:rPr>
        <w:t xml:space="preserve"> de</w:t>
      </w:r>
      <w:r w:rsidR="004F33C8" w:rsidRPr="001B3779">
        <w:rPr>
          <w:lang w:val="fr-FR"/>
        </w:rPr>
        <w:t xml:space="preserve"> population </w:t>
      </w:r>
      <w:r w:rsidR="008B4E41" w:rsidRPr="001B3779">
        <w:rPr>
          <w:lang w:val="fr-FR"/>
        </w:rPr>
        <w:t>dans le cadre du critère</w:t>
      </w:r>
      <w:r w:rsidR="004F33C8" w:rsidRPr="001B3779">
        <w:rPr>
          <w:lang w:val="fr-FR"/>
        </w:rPr>
        <w:t xml:space="preserve"> 6. </w:t>
      </w:r>
      <w:r w:rsidR="008B4E41" w:rsidRPr="001B3779">
        <w:rPr>
          <w:lang w:val="fr-FR"/>
        </w:rPr>
        <w:t>Le processus est en cours</w:t>
      </w:r>
      <w:r w:rsidR="004F33C8" w:rsidRPr="001B3779">
        <w:rPr>
          <w:lang w:val="fr-FR"/>
        </w:rPr>
        <w:t xml:space="preserve">. </w:t>
      </w:r>
    </w:p>
    <w:p w14:paraId="03848541" w14:textId="631CA93C" w:rsidR="0064197B" w:rsidRPr="001B3779" w:rsidRDefault="00954446" w:rsidP="4C5BE89A">
      <w:pPr>
        <w:pStyle w:val="BodyText"/>
        <w:spacing w:before="160"/>
        <w:ind w:left="720" w:right="733"/>
        <w:jc w:val="both"/>
        <w:rPr>
          <w:b/>
          <w:bCs/>
          <w:i/>
          <w:iCs/>
          <w:lang w:val="fr-FR"/>
        </w:rPr>
      </w:pPr>
      <w:r w:rsidRPr="001B3779">
        <w:rPr>
          <w:b/>
          <w:bCs/>
          <w:i/>
          <w:iCs/>
          <w:lang w:val="fr-FR"/>
        </w:rPr>
        <w:t>Recomm</w:t>
      </w:r>
      <w:r w:rsidR="00B03D0D" w:rsidRPr="001B3779">
        <w:rPr>
          <w:b/>
          <w:bCs/>
          <w:i/>
          <w:iCs/>
          <w:lang w:val="fr-FR"/>
        </w:rPr>
        <w:t>a</w:t>
      </w:r>
      <w:r w:rsidRPr="001B3779">
        <w:rPr>
          <w:b/>
          <w:bCs/>
          <w:i/>
          <w:iCs/>
          <w:lang w:val="fr-FR"/>
        </w:rPr>
        <w:t>ndations</w:t>
      </w:r>
      <w:r w:rsidR="00B03D0D" w:rsidRPr="001B3779">
        <w:rPr>
          <w:b/>
          <w:bCs/>
          <w:i/>
          <w:iCs/>
          <w:lang w:val="fr-FR"/>
        </w:rPr>
        <w:t> </w:t>
      </w:r>
      <w:r w:rsidRPr="001B3779">
        <w:rPr>
          <w:b/>
          <w:bCs/>
          <w:i/>
          <w:iCs/>
          <w:lang w:val="fr-FR"/>
        </w:rPr>
        <w:t xml:space="preserve">: </w:t>
      </w:r>
    </w:p>
    <w:p w14:paraId="0FD278FB" w14:textId="59E7E177" w:rsidR="00C36CEF" w:rsidRPr="001B3779" w:rsidRDefault="00541A36" w:rsidP="0064197B">
      <w:pPr>
        <w:pStyle w:val="BodyText"/>
        <w:numPr>
          <w:ilvl w:val="0"/>
          <w:numId w:val="4"/>
        </w:numPr>
        <w:spacing w:before="160"/>
        <w:ind w:right="733"/>
        <w:jc w:val="both"/>
        <w:rPr>
          <w:b/>
          <w:bCs/>
          <w:i/>
          <w:iCs/>
          <w:lang w:val="fr-FR"/>
        </w:rPr>
      </w:pPr>
      <w:r w:rsidRPr="001B3779">
        <w:rPr>
          <w:b/>
          <w:bCs/>
          <w:i/>
          <w:iCs/>
          <w:lang w:val="fr-FR"/>
        </w:rPr>
        <w:t>Il est suggéré que le Secrétariat de l’</w:t>
      </w:r>
      <w:r w:rsidR="00954446" w:rsidRPr="001B3779">
        <w:rPr>
          <w:b/>
          <w:bCs/>
          <w:i/>
          <w:iCs/>
          <w:lang w:val="fr-FR"/>
        </w:rPr>
        <w:t xml:space="preserve">AEWA </w:t>
      </w:r>
      <w:r w:rsidR="00492367" w:rsidRPr="001B3779">
        <w:rPr>
          <w:b/>
          <w:bCs/>
          <w:i/>
          <w:iCs/>
          <w:lang w:val="fr-FR"/>
        </w:rPr>
        <w:t>s’implique de manière proactive avec le Secrétariat de</w:t>
      </w:r>
      <w:r w:rsidR="005F39C3" w:rsidRPr="001B3779">
        <w:rPr>
          <w:b/>
          <w:bCs/>
          <w:i/>
          <w:iCs/>
          <w:lang w:val="fr-FR"/>
        </w:rPr>
        <w:t xml:space="preserve"> Ramsar </w:t>
      </w:r>
      <w:r w:rsidR="00492367" w:rsidRPr="001B3779">
        <w:rPr>
          <w:b/>
          <w:bCs/>
          <w:i/>
          <w:iCs/>
          <w:lang w:val="fr-FR"/>
        </w:rPr>
        <w:t>dans le travail</w:t>
      </w:r>
      <w:r w:rsidR="00054185" w:rsidRPr="001B3779">
        <w:rPr>
          <w:b/>
          <w:bCs/>
          <w:i/>
          <w:iCs/>
          <w:lang w:val="fr-FR"/>
        </w:rPr>
        <w:t xml:space="preserve"> du</w:t>
      </w:r>
      <w:r w:rsidR="00054185" w:rsidRPr="001B3779">
        <w:rPr>
          <w:lang w:val="fr-FR"/>
        </w:rPr>
        <w:t xml:space="preserve"> </w:t>
      </w:r>
      <w:r w:rsidR="00054185" w:rsidRPr="001B3779">
        <w:rPr>
          <w:b/>
          <w:bCs/>
          <w:i/>
          <w:iCs/>
          <w:lang w:val="fr-FR"/>
        </w:rPr>
        <w:t>GEST lié au Critère</w:t>
      </w:r>
      <w:r w:rsidR="004F33C8" w:rsidRPr="001B3779">
        <w:rPr>
          <w:b/>
          <w:bCs/>
          <w:i/>
          <w:iCs/>
          <w:lang w:val="fr-FR"/>
        </w:rPr>
        <w:t xml:space="preserve"> 6</w:t>
      </w:r>
      <w:r w:rsidR="00054185" w:rsidRPr="001B3779">
        <w:rPr>
          <w:b/>
          <w:bCs/>
          <w:i/>
          <w:iCs/>
          <w:lang w:val="fr-FR"/>
        </w:rPr>
        <w:t> </w:t>
      </w:r>
      <w:r w:rsidR="00846A2E" w:rsidRPr="001B3779">
        <w:rPr>
          <w:b/>
          <w:bCs/>
          <w:i/>
          <w:iCs/>
          <w:lang w:val="fr-FR"/>
        </w:rPr>
        <w:t>;</w:t>
      </w:r>
      <w:r w:rsidR="00C36CEF" w:rsidRPr="001B3779">
        <w:rPr>
          <w:b/>
          <w:bCs/>
          <w:i/>
          <w:iCs/>
          <w:lang w:val="fr-FR"/>
        </w:rPr>
        <w:t xml:space="preserve"> </w:t>
      </w:r>
    </w:p>
    <w:p w14:paraId="71274B19" w14:textId="64C09043" w:rsidR="00954446" w:rsidRPr="001B3779" w:rsidRDefault="00336EE8" w:rsidP="00A9782A">
      <w:pPr>
        <w:pStyle w:val="BodyText"/>
        <w:numPr>
          <w:ilvl w:val="0"/>
          <w:numId w:val="4"/>
        </w:numPr>
        <w:spacing w:before="160"/>
        <w:ind w:right="733"/>
        <w:jc w:val="both"/>
        <w:rPr>
          <w:b/>
          <w:bCs/>
          <w:i/>
          <w:iCs/>
          <w:lang w:val="fr-FR"/>
        </w:rPr>
      </w:pPr>
      <w:r w:rsidRPr="001B3779">
        <w:rPr>
          <w:b/>
          <w:bCs/>
          <w:i/>
          <w:iCs/>
          <w:lang w:val="fr-FR"/>
        </w:rPr>
        <w:t>L’</w:t>
      </w:r>
      <w:r w:rsidR="00C36CEF" w:rsidRPr="001B3779">
        <w:rPr>
          <w:b/>
          <w:bCs/>
          <w:i/>
          <w:iCs/>
          <w:lang w:val="fr-FR"/>
        </w:rPr>
        <w:t xml:space="preserve">AEWA </w:t>
      </w:r>
      <w:r w:rsidRPr="001B3779">
        <w:rPr>
          <w:b/>
          <w:bCs/>
          <w:i/>
          <w:iCs/>
          <w:lang w:val="fr-FR"/>
        </w:rPr>
        <w:t>d</w:t>
      </w:r>
      <w:r w:rsidR="006F11E9" w:rsidRPr="001B3779">
        <w:rPr>
          <w:b/>
          <w:bCs/>
          <w:i/>
          <w:iCs/>
          <w:lang w:val="fr-FR"/>
        </w:rPr>
        <w:t>evrait proposer de contribuer aux</w:t>
      </w:r>
      <w:r w:rsidR="006F11E9" w:rsidRPr="001B3779">
        <w:rPr>
          <w:lang w:val="fr-FR"/>
        </w:rPr>
        <w:t xml:space="preserve"> </w:t>
      </w:r>
      <w:r w:rsidR="006F11E9" w:rsidRPr="001B3779">
        <w:rPr>
          <w:b/>
          <w:bCs/>
          <w:i/>
          <w:iCs/>
          <w:lang w:val="fr-FR"/>
        </w:rPr>
        <w:t xml:space="preserve">Estimations des populations d'oiseaux d'eau (y compris </w:t>
      </w:r>
      <w:r w:rsidR="00CC3C25" w:rsidRPr="001B3779">
        <w:rPr>
          <w:b/>
          <w:bCs/>
          <w:i/>
          <w:iCs/>
          <w:lang w:val="fr-FR"/>
        </w:rPr>
        <w:t xml:space="preserve">la </w:t>
      </w:r>
      <w:r w:rsidR="002C7D59" w:rsidRPr="001B3779">
        <w:rPr>
          <w:b/>
          <w:bCs/>
          <w:i/>
          <w:iCs/>
          <w:lang w:val="fr-FR"/>
        </w:rPr>
        <w:t>révision</w:t>
      </w:r>
      <w:r w:rsidR="00CC3C25" w:rsidRPr="001B3779">
        <w:rPr>
          <w:b/>
          <w:bCs/>
          <w:i/>
          <w:iCs/>
          <w:lang w:val="fr-FR"/>
        </w:rPr>
        <w:t xml:space="preserve"> et mise à jour en temps utile des seuils d’</w:t>
      </w:r>
      <w:r w:rsidR="002034BF" w:rsidRPr="001B3779">
        <w:rPr>
          <w:b/>
          <w:bCs/>
          <w:i/>
          <w:iCs/>
          <w:lang w:val="fr-FR"/>
        </w:rPr>
        <w:t>1</w:t>
      </w:r>
      <w:r w:rsidR="00CC3C25" w:rsidRPr="001B3779">
        <w:rPr>
          <w:b/>
          <w:bCs/>
          <w:i/>
          <w:iCs/>
          <w:lang w:val="fr-FR"/>
        </w:rPr>
        <w:t> </w:t>
      </w:r>
      <w:r w:rsidR="002034BF" w:rsidRPr="001B3779">
        <w:rPr>
          <w:b/>
          <w:bCs/>
          <w:i/>
          <w:iCs/>
          <w:lang w:val="fr-FR"/>
        </w:rPr>
        <w:t xml:space="preserve">%) </w:t>
      </w:r>
      <w:r w:rsidR="00CC3C25" w:rsidRPr="001B3779">
        <w:rPr>
          <w:b/>
          <w:bCs/>
          <w:i/>
          <w:iCs/>
          <w:lang w:val="fr-FR"/>
        </w:rPr>
        <w:t xml:space="preserve">par le biais du processus </w:t>
      </w:r>
      <w:r w:rsidR="007E4140" w:rsidRPr="001B3779">
        <w:rPr>
          <w:b/>
          <w:bCs/>
          <w:i/>
          <w:iCs/>
          <w:lang w:val="fr-FR"/>
        </w:rPr>
        <w:t>du Rapport sur l’état de conservation de l’</w:t>
      </w:r>
      <w:r w:rsidR="00DB7EBC" w:rsidRPr="001B3779">
        <w:rPr>
          <w:b/>
          <w:bCs/>
          <w:i/>
          <w:iCs/>
          <w:lang w:val="fr-FR"/>
        </w:rPr>
        <w:t>AEWA</w:t>
      </w:r>
      <w:r w:rsidR="007E4140" w:rsidRPr="001B3779">
        <w:rPr>
          <w:b/>
          <w:bCs/>
          <w:i/>
          <w:iCs/>
          <w:lang w:val="fr-FR"/>
        </w:rPr>
        <w:t>, en considérant qu’il est également essentiel d’identifier les sites</w:t>
      </w:r>
      <w:r w:rsidR="00A55328" w:rsidRPr="001B3779">
        <w:rPr>
          <w:b/>
          <w:bCs/>
          <w:i/>
          <w:iCs/>
          <w:lang w:val="fr-FR"/>
        </w:rPr>
        <w:t xml:space="preserve"> d’importance internationale</w:t>
      </w:r>
      <w:r w:rsidR="00F17FB3" w:rsidRPr="001B3779">
        <w:rPr>
          <w:b/>
          <w:bCs/>
          <w:i/>
          <w:iCs/>
          <w:lang w:val="fr-FR"/>
        </w:rPr>
        <w:t xml:space="preserve"> pour les populations inscrites à l’</w:t>
      </w:r>
      <w:r w:rsidR="009B7ECE" w:rsidRPr="001B3779">
        <w:rPr>
          <w:b/>
          <w:bCs/>
          <w:i/>
          <w:iCs/>
          <w:lang w:val="fr-FR"/>
        </w:rPr>
        <w:t>AEWA</w:t>
      </w:r>
      <w:r w:rsidR="002C7D59" w:rsidRPr="001B3779">
        <w:rPr>
          <w:b/>
          <w:bCs/>
          <w:i/>
          <w:iCs/>
          <w:lang w:val="fr-FR"/>
        </w:rPr>
        <w:t>,</w:t>
      </w:r>
      <w:r w:rsidR="009B7ECE" w:rsidRPr="001B3779">
        <w:rPr>
          <w:b/>
          <w:bCs/>
          <w:i/>
          <w:iCs/>
          <w:lang w:val="fr-FR"/>
        </w:rPr>
        <w:t xml:space="preserve"> </w:t>
      </w:r>
      <w:r w:rsidR="00F17FB3" w:rsidRPr="001B3779">
        <w:rPr>
          <w:b/>
          <w:bCs/>
          <w:i/>
          <w:iCs/>
          <w:lang w:val="fr-FR"/>
        </w:rPr>
        <w:t>car le seuil d’</w:t>
      </w:r>
      <w:r w:rsidR="007A333F" w:rsidRPr="001B3779">
        <w:rPr>
          <w:b/>
          <w:bCs/>
          <w:i/>
          <w:iCs/>
          <w:lang w:val="fr-FR"/>
        </w:rPr>
        <w:t>1</w:t>
      </w:r>
      <w:r w:rsidR="00F17FB3" w:rsidRPr="001B3779">
        <w:rPr>
          <w:b/>
          <w:bCs/>
          <w:i/>
          <w:iCs/>
          <w:lang w:val="fr-FR"/>
        </w:rPr>
        <w:t> </w:t>
      </w:r>
      <w:r w:rsidR="007A333F" w:rsidRPr="001B3779">
        <w:rPr>
          <w:b/>
          <w:bCs/>
          <w:i/>
          <w:iCs/>
          <w:lang w:val="fr-FR"/>
        </w:rPr>
        <w:t xml:space="preserve">% </w:t>
      </w:r>
      <w:r w:rsidR="00F17FB3" w:rsidRPr="001B3779">
        <w:rPr>
          <w:b/>
          <w:bCs/>
          <w:i/>
          <w:iCs/>
          <w:lang w:val="fr-FR"/>
        </w:rPr>
        <w:t>est l’un des critères</w:t>
      </w:r>
      <w:r w:rsidR="00B50038" w:rsidRPr="001B3779">
        <w:rPr>
          <w:b/>
          <w:bCs/>
          <w:i/>
          <w:iCs/>
          <w:lang w:val="fr-FR"/>
        </w:rPr>
        <w:t xml:space="preserve"> relatifs à l’importance internationale</w:t>
      </w:r>
      <w:r w:rsidR="00F17FB3" w:rsidRPr="001B3779">
        <w:rPr>
          <w:b/>
          <w:bCs/>
          <w:i/>
          <w:iCs/>
          <w:lang w:val="fr-FR"/>
        </w:rPr>
        <w:t xml:space="preserve"> </w:t>
      </w:r>
      <w:r w:rsidR="00B50038" w:rsidRPr="001B3779">
        <w:rPr>
          <w:b/>
          <w:bCs/>
          <w:i/>
          <w:iCs/>
          <w:lang w:val="fr-FR"/>
        </w:rPr>
        <w:t>reconnus au niveau</w:t>
      </w:r>
      <w:r w:rsidR="007A333F" w:rsidRPr="001B3779">
        <w:rPr>
          <w:b/>
          <w:bCs/>
          <w:i/>
          <w:iCs/>
          <w:lang w:val="fr-FR"/>
        </w:rPr>
        <w:t xml:space="preserve"> international</w:t>
      </w:r>
      <w:r w:rsidR="00DB7EBC" w:rsidRPr="001B3779">
        <w:rPr>
          <w:b/>
          <w:bCs/>
          <w:i/>
          <w:iCs/>
          <w:lang w:val="fr-FR"/>
        </w:rPr>
        <w:t xml:space="preserve">. </w:t>
      </w:r>
    </w:p>
    <w:p w14:paraId="150B423A" w14:textId="77777777" w:rsidR="00DB7EBC" w:rsidRPr="001B3779" w:rsidRDefault="00DB7EBC" w:rsidP="00637B6B">
      <w:pPr>
        <w:pStyle w:val="BodyText"/>
        <w:spacing w:before="160"/>
        <w:ind w:left="720" w:right="733"/>
        <w:jc w:val="both"/>
        <w:rPr>
          <w:b/>
          <w:bCs/>
          <w:lang w:val="fr-FR"/>
        </w:rPr>
      </w:pPr>
    </w:p>
    <w:p w14:paraId="2BE1D42B" w14:textId="67CEA224" w:rsidR="00DB7EBC" w:rsidRPr="001B3779" w:rsidRDefault="00BE367C" w:rsidP="00154991">
      <w:pPr>
        <w:pStyle w:val="BodyText"/>
        <w:keepNext/>
        <w:spacing w:before="160"/>
        <w:ind w:left="720" w:right="731"/>
        <w:jc w:val="both"/>
        <w:rPr>
          <w:b/>
          <w:bCs/>
          <w:lang w:val="fr-FR"/>
        </w:rPr>
      </w:pPr>
      <w:r w:rsidRPr="001B3779">
        <w:rPr>
          <w:b/>
          <w:bCs/>
          <w:lang w:val="fr-FR"/>
        </w:rPr>
        <w:t xml:space="preserve">Processus </w:t>
      </w:r>
      <w:r w:rsidR="008826BC" w:rsidRPr="001B3779">
        <w:rPr>
          <w:b/>
          <w:bCs/>
          <w:lang w:val="fr-FR"/>
        </w:rPr>
        <w:t xml:space="preserve">de rapport </w:t>
      </w:r>
      <w:r w:rsidR="005F2893" w:rsidRPr="001B3779">
        <w:rPr>
          <w:b/>
          <w:bCs/>
          <w:lang w:val="fr-FR"/>
        </w:rPr>
        <w:t>prévu par l’</w:t>
      </w:r>
      <w:r w:rsidR="00DB7EBC" w:rsidRPr="001B3779">
        <w:rPr>
          <w:b/>
          <w:bCs/>
          <w:lang w:val="fr-FR"/>
        </w:rPr>
        <w:t xml:space="preserve">Article 12 </w:t>
      </w:r>
      <w:r w:rsidR="005F2893" w:rsidRPr="001B3779">
        <w:rPr>
          <w:b/>
          <w:bCs/>
          <w:lang w:val="fr-FR"/>
        </w:rPr>
        <w:t>de la Directive Oiseaux de l’UE</w:t>
      </w:r>
    </w:p>
    <w:p w14:paraId="14F73C00" w14:textId="62F16256" w:rsidR="00DB7EBC" w:rsidRPr="001B3779" w:rsidRDefault="00453196" w:rsidP="00637B6B">
      <w:pPr>
        <w:pStyle w:val="BodyText"/>
        <w:spacing w:before="160"/>
        <w:ind w:left="720" w:right="733"/>
        <w:jc w:val="both"/>
        <w:rPr>
          <w:lang w:val="fr-FR"/>
        </w:rPr>
      </w:pPr>
      <w:r w:rsidRPr="001B3779">
        <w:rPr>
          <w:lang w:val="fr-FR"/>
        </w:rPr>
        <w:t>Les Rapports sur l’état de conservation de l’</w:t>
      </w:r>
      <w:r w:rsidR="00110A3B" w:rsidRPr="001B3779">
        <w:rPr>
          <w:lang w:val="fr-FR"/>
        </w:rPr>
        <w:t xml:space="preserve">AEWA </w:t>
      </w:r>
      <w:r w:rsidR="00CD57AB" w:rsidRPr="001B3779">
        <w:rPr>
          <w:lang w:val="fr-FR"/>
        </w:rPr>
        <w:t>bénéficient déjà</w:t>
      </w:r>
      <w:r w:rsidR="00BB50CA" w:rsidRPr="001B3779">
        <w:rPr>
          <w:lang w:val="fr-FR"/>
        </w:rPr>
        <w:t xml:space="preserve"> de la</w:t>
      </w:r>
      <w:r w:rsidR="0032466B" w:rsidRPr="001B3779">
        <w:rPr>
          <w:lang w:val="fr-FR"/>
        </w:rPr>
        <w:t xml:space="preserve"> coordination </w:t>
      </w:r>
      <w:r w:rsidR="00BB50CA" w:rsidRPr="001B3779">
        <w:rPr>
          <w:lang w:val="fr-FR"/>
        </w:rPr>
        <w:t>avec le processus de rapport prévu par l’Article 12 de la</w:t>
      </w:r>
      <w:r w:rsidR="00063B67" w:rsidRPr="001B3779">
        <w:rPr>
          <w:lang w:val="fr-FR"/>
        </w:rPr>
        <w:t xml:space="preserve"> Directive </w:t>
      </w:r>
      <w:r w:rsidR="00BB50CA" w:rsidRPr="001B3779">
        <w:rPr>
          <w:lang w:val="fr-FR"/>
        </w:rPr>
        <w:t xml:space="preserve">Oiseaux de l’UE et </w:t>
      </w:r>
      <w:r w:rsidR="005F26D8" w:rsidRPr="001B3779">
        <w:rPr>
          <w:lang w:val="fr-FR"/>
        </w:rPr>
        <w:t xml:space="preserve">celui correspondant </w:t>
      </w:r>
      <w:r w:rsidR="00BB50CA" w:rsidRPr="001B3779">
        <w:rPr>
          <w:lang w:val="fr-FR"/>
        </w:rPr>
        <w:t>de</w:t>
      </w:r>
      <w:r w:rsidR="0084040C" w:rsidRPr="001B3779">
        <w:rPr>
          <w:lang w:val="fr-FR"/>
        </w:rPr>
        <w:t xml:space="preserve"> la Liste rouge européenne des oiseaux</w:t>
      </w:r>
      <w:r w:rsidR="005F26D8" w:rsidRPr="001B3779">
        <w:rPr>
          <w:lang w:val="fr-FR"/>
        </w:rPr>
        <w:t xml:space="preserve">, qui </w:t>
      </w:r>
      <w:r w:rsidR="00CE3763" w:rsidRPr="001B3779">
        <w:rPr>
          <w:lang w:val="fr-FR"/>
        </w:rPr>
        <w:t>ont chacun lieu tous les six ans</w:t>
      </w:r>
      <w:r w:rsidR="00843CFD" w:rsidRPr="001B3779">
        <w:rPr>
          <w:lang w:val="fr-FR"/>
        </w:rPr>
        <w:t xml:space="preserve">. </w:t>
      </w:r>
      <w:r w:rsidR="00905114" w:rsidRPr="001B3779">
        <w:rPr>
          <w:lang w:val="fr-FR"/>
        </w:rPr>
        <w:t>Les rapports nationaux de l’</w:t>
      </w:r>
      <w:r w:rsidR="00843CFD" w:rsidRPr="001B3779">
        <w:rPr>
          <w:lang w:val="fr-FR"/>
        </w:rPr>
        <w:t xml:space="preserve">AEWA </w:t>
      </w:r>
      <w:r w:rsidR="00905114" w:rsidRPr="001B3779">
        <w:rPr>
          <w:lang w:val="fr-FR"/>
        </w:rPr>
        <w:t>sur l’état des</w:t>
      </w:r>
      <w:r w:rsidR="00843CFD" w:rsidRPr="001B3779">
        <w:rPr>
          <w:lang w:val="fr-FR"/>
        </w:rPr>
        <w:t xml:space="preserve"> population</w:t>
      </w:r>
      <w:r w:rsidR="00905114" w:rsidRPr="001B3779">
        <w:rPr>
          <w:lang w:val="fr-FR"/>
        </w:rPr>
        <w:t>s</w:t>
      </w:r>
      <w:r w:rsidR="00843CFD" w:rsidRPr="001B3779">
        <w:rPr>
          <w:lang w:val="fr-FR"/>
        </w:rPr>
        <w:t xml:space="preserve"> </w:t>
      </w:r>
      <w:r w:rsidR="0078359F" w:rsidRPr="001B3779">
        <w:rPr>
          <w:lang w:val="fr-FR"/>
        </w:rPr>
        <w:t>sont</w:t>
      </w:r>
      <w:r w:rsidR="00905114" w:rsidRPr="001B3779">
        <w:rPr>
          <w:lang w:val="fr-FR"/>
        </w:rPr>
        <w:t xml:space="preserve"> déjà aligné</w:t>
      </w:r>
      <w:r w:rsidR="0078359F" w:rsidRPr="001B3779">
        <w:rPr>
          <w:lang w:val="fr-FR"/>
        </w:rPr>
        <w:t>s</w:t>
      </w:r>
      <w:r w:rsidR="00905114" w:rsidRPr="001B3779">
        <w:rPr>
          <w:lang w:val="fr-FR"/>
        </w:rPr>
        <w:t xml:space="preserve"> avec ce processus en termes de calendrier</w:t>
      </w:r>
      <w:r w:rsidR="64AFCAC5" w:rsidRPr="001B3779">
        <w:rPr>
          <w:lang w:val="fr-FR"/>
        </w:rPr>
        <w:t>, format</w:t>
      </w:r>
      <w:r w:rsidR="00F76495" w:rsidRPr="001B3779">
        <w:rPr>
          <w:lang w:val="fr-FR"/>
        </w:rPr>
        <w:t xml:space="preserve"> </w:t>
      </w:r>
      <w:r w:rsidR="00905114" w:rsidRPr="001B3779">
        <w:rPr>
          <w:lang w:val="fr-FR"/>
        </w:rPr>
        <w:t>et</w:t>
      </w:r>
      <w:r w:rsidR="00F76495" w:rsidRPr="001B3779">
        <w:rPr>
          <w:lang w:val="fr-FR"/>
        </w:rPr>
        <w:t xml:space="preserve"> </w:t>
      </w:r>
      <w:r w:rsidR="00905114" w:rsidRPr="001B3779">
        <w:rPr>
          <w:lang w:val="fr-FR"/>
        </w:rPr>
        <w:t>méthodologie</w:t>
      </w:r>
      <w:r w:rsidR="00C51BF9" w:rsidRPr="001B3779">
        <w:rPr>
          <w:lang w:val="fr-FR"/>
        </w:rPr>
        <w:t xml:space="preserve">. </w:t>
      </w:r>
      <w:r w:rsidR="00A03C99" w:rsidRPr="001B3779">
        <w:rPr>
          <w:lang w:val="fr-FR"/>
        </w:rPr>
        <w:t>Le format et les directives de l’</w:t>
      </w:r>
      <w:r w:rsidR="00C51BF9" w:rsidRPr="001B3779">
        <w:rPr>
          <w:lang w:val="fr-FR"/>
        </w:rPr>
        <w:t xml:space="preserve">AEWA </w:t>
      </w:r>
      <w:r w:rsidR="00A03C99" w:rsidRPr="001B3779">
        <w:rPr>
          <w:lang w:val="fr-FR"/>
        </w:rPr>
        <w:t>pour ces rapports sont une</w:t>
      </w:r>
      <w:r w:rsidR="00E9329F" w:rsidRPr="001B3779">
        <w:rPr>
          <w:lang w:val="fr-FR"/>
        </w:rPr>
        <w:t xml:space="preserve"> version </w:t>
      </w:r>
      <w:r w:rsidR="00A03C99" w:rsidRPr="001B3779">
        <w:rPr>
          <w:lang w:val="fr-FR"/>
        </w:rPr>
        <w:t xml:space="preserve">simplifiée </w:t>
      </w:r>
      <w:r w:rsidR="009C342E" w:rsidRPr="001B3779">
        <w:rPr>
          <w:lang w:val="fr-FR"/>
        </w:rPr>
        <w:t>du</w:t>
      </w:r>
      <w:r w:rsidR="00E9329F" w:rsidRPr="001B3779">
        <w:rPr>
          <w:lang w:val="fr-FR"/>
        </w:rPr>
        <w:t xml:space="preserve"> </w:t>
      </w:r>
      <w:r w:rsidR="00E94488" w:rsidRPr="001B3779">
        <w:rPr>
          <w:lang w:val="fr-FR"/>
        </w:rPr>
        <w:t xml:space="preserve">format </w:t>
      </w:r>
      <w:r w:rsidR="009C342E" w:rsidRPr="001B3779">
        <w:rPr>
          <w:lang w:val="fr-FR"/>
        </w:rPr>
        <w:t>et des directives de l’UE</w:t>
      </w:r>
      <w:r w:rsidR="00E94488" w:rsidRPr="001B3779">
        <w:rPr>
          <w:lang w:val="fr-FR"/>
        </w:rPr>
        <w:t xml:space="preserve">. </w:t>
      </w:r>
      <w:r w:rsidR="0074141E" w:rsidRPr="001B3779">
        <w:rPr>
          <w:lang w:val="fr-FR"/>
        </w:rPr>
        <w:t>Le projet de proposition</w:t>
      </w:r>
      <w:r w:rsidR="00612645" w:rsidRPr="001B3779">
        <w:rPr>
          <w:lang w:val="fr-FR"/>
        </w:rPr>
        <w:t xml:space="preserve"> relatif au cadre de surveillance des sites de l’</w:t>
      </w:r>
      <w:r w:rsidR="005C57E8" w:rsidRPr="001B3779">
        <w:rPr>
          <w:lang w:val="fr-FR"/>
        </w:rPr>
        <w:t xml:space="preserve">AEWA </w:t>
      </w:r>
      <w:r w:rsidR="00612645" w:rsidRPr="001B3779">
        <w:rPr>
          <w:lang w:val="fr-FR"/>
        </w:rPr>
        <w:t>recommande en outre d’utiliser une</w:t>
      </w:r>
      <w:r w:rsidR="00E80945" w:rsidRPr="001B3779">
        <w:rPr>
          <w:lang w:val="fr-FR"/>
        </w:rPr>
        <w:t xml:space="preserve"> version </w:t>
      </w:r>
      <w:r w:rsidR="00612645" w:rsidRPr="001B3779">
        <w:rPr>
          <w:lang w:val="fr-FR"/>
        </w:rPr>
        <w:t>simplifiée</w:t>
      </w:r>
      <w:r w:rsidR="00827AF1" w:rsidRPr="001B3779">
        <w:rPr>
          <w:lang w:val="fr-FR"/>
        </w:rPr>
        <w:t xml:space="preserve"> du formulaire standard de l’UE</w:t>
      </w:r>
      <w:r w:rsidR="005C57E8" w:rsidRPr="001B3779">
        <w:rPr>
          <w:lang w:val="fr-FR"/>
        </w:rPr>
        <w:t xml:space="preserve"> </w:t>
      </w:r>
      <w:r w:rsidR="00E80945" w:rsidRPr="001B3779">
        <w:rPr>
          <w:lang w:val="fr-FR"/>
        </w:rPr>
        <w:t xml:space="preserve">Natura 2000 </w:t>
      </w:r>
      <w:r w:rsidR="00827AF1" w:rsidRPr="001B3779">
        <w:rPr>
          <w:lang w:val="fr-FR"/>
        </w:rPr>
        <w:t>pour rendre compte</w:t>
      </w:r>
      <w:r w:rsidR="004825F0" w:rsidRPr="001B3779">
        <w:rPr>
          <w:lang w:val="fr-FR"/>
        </w:rPr>
        <w:t xml:space="preserve"> de l’état, des pressions et des réponses sur les Sites du réseau des voies de migration de l’</w:t>
      </w:r>
      <w:r w:rsidR="000A740E" w:rsidRPr="001B3779">
        <w:rPr>
          <w:lang w:val="fr-FR"/>
        </w:rPr>
        <w:t>AEWA</w:t>
      </w:r>
      <w:r w:rsidR="007D1B2D" w:rsidRPr="001B3779">
        <w:rPr>
          <w:lang w:val="fr-FR"/>
        </w:rPr>
        <w:t>, comme requis par le</w:t>
      </w:r>
      <w:r w:rsidR="000A740E" w:rsidRPr="001B3779">
        <w:rPr>
          <w:lang w:val="fr-FR"/>
        </w:rPr>
        <w:t xml:space="preserve"> Paragraph</w:t>
      </w:r>
      <w:r w:rsidR="007D1B2D" w:rsidRPr="001B3779">
        <w:rPr>
          <w:lang w:val="fr-FR"/>
        </w:rPr>
        <w:t>e</w:t>
      </w:r>
      <w:r w:rsidR="000A740E" w:rsidRPr="001B3779">
        <w:rPr>
          <w:lang w:val="fr-FR"/>
        </w:rPr>
        <w:t xml:space="preserve"> 7.4.c </w:t>
      </w:r>
      <w:r w:rsidR="007D1B2D" w:rsidRPr="001B3779">
        <w:rPr>
          <w:lang w:val="fr-FR"/>
        </w:rPr>
        <w:t>de l’</w:t>
      </w:r>
      <w:r w:rsidR="000A740E" w:rsidRPr="001B3779">
        <w:rPr>
          <w:lang w:val="fr-FR"/>
        </w:rPr>
        <w:t>Annex</w:t>
      </w:r>
      <w:r w:rsidR="007D1B2D" w:rsidRPr="001B3779">
        <w:rPr>
          <w:lang w:val="fr-FR"/>
        </w:rPr>
        <w:t>e</w:t>
      </w:r>
      <w:r w:rsidR="000A740E" w:rsidRPr="001B3779">
        <w:rPr>
          <w:lang w:val="fr-FR"/>
        </w:rPr>
        <w:t xml:space="preserve"> 3 </w:t>
      </w:r>
      <w:r w:rsidR="007D1B2D" w:rsidRPr="001B3779">
        <w:rPr>
          <w:lang w:val="fr-FR"/>
        </w:rPr>
        <w:t>et par le Plan stratégique de l’</w:t>
      </w:r>
      <w:r w:rsidR="00C640EA" w:rsidRPr="001B3779">
        <w:rPr>
          <w:lang w:val="fr-FR"/>
        </w:rPr>
        <w:t>AEWA</w:t>
      </w:r>
      <w:r w:rsidR="00236C07" w:rsidRPr="001B3779">
        <w:rPr>
          <w:lang w:val="fr-FR"/>
        </w:rPr>
        <w:t xml:space="preserve">. </w:t>
      </w:r>
      <w:r w:rsidR="0097144F" w:rsidRPr="001B3779">
        <w:rPr>
          <w:lang w:val="fr-FR"/>
        </w:rPr>
        <w:t>Le Secrétariat de l’</w:t>
      </w:r>
      <w:r w:rsidR="00E94488" w:rsidRPr="001B3779">
        <w:rPr>
          <w:lang w:val="fr-FR"/>
        </w:rPr>
        <w:t>AEWA</w:t>
      </w:r>
      <w:r w:rsidR="0032466B" w:rsidRPr="001B3779">
        <w:rPr>
          <w:lang w:val="fr-FR"/>
        </w:rPr>
        <w:t xml:space="preserve"> </w:t>
      </w:r>
      <w:r w:rsidR="0097144F" w:rsidRPr="001B3779">
        <w:rPr>
          <w:lang w:val="fr-FR"/>
        </w:rPr>
        <w:t>est déjà représenté</w:t>
      </w:r>
      <w:r w:rsidR="008F62AF" w:rsidRPr="001B3779">
        <w:rPr>
          <w:lang w:val="fr-FR"/>
        </w:rPr>
        <w:t xml:space="preserve"> dans le Groupe d’experts de l’UE sur</w:t>
      </w:r>
      <w:r w:rsidR="00B94849" w:rsidRPr="001B3779">
        <w:rPr>
          <w:lang w:val="fr-FR"/>
        </w:rPr>
        <w:t xml:space="preserve"> le système de rapports</w:t>
      </w:r>
      <w:r w:rsidR="00850202" w:rsidRPr="001B3779">
        <w:rPr>
          <w:lang w:val="fr-FR"/>
        </w:rPr>
        <w:t>,</w:t>
      </w:r>
      <w:r w:rsidR="00737B7D" w:rsidRPr="001B3779">
        <w:rPr>
          <w:lang w:val="fr-FR"/>
        </w:rPr>
        <w:t xml:space="preserve"> dans le cadre des</w:t>
      </w:r>
      <w:r w:rsidR="00C640EA" w:rsidRPr="001B3779">
        <w:rPr>
          <w:lang w:val="fr-FR"/>
        </w:rPr>
        <w:t xml:space="preserve"> </w:t>
      </w:r>
      <w:r w:rsidR="00304B13" w:rsidRPr="001B3779">
        <w:rPr>
          <w:lang w:val="fr-FR"/>
        </w:rPr>
        <w:t>D</w:t>
      </w:r>
      <w:r w:rsidR="00C640EA" w:rsidRPr="001B3779">
        <w:rPr>
          <w:lang w:val="fr-FR"/>
        </w:rPr>
        <w:t>irectives</w:t>
      </w:r>
      <w:r w:rsidR="00E94A48" w:rsidRPr="001B3779">
        <w:rPr>
          <w:lang w:val="fr-FR"/>
        </w:rPr>
        <w:t xml:space="preserve"> Nature</w:t>
      </w:r>
      <w:r w:rsidR="00C640EA" w:rsidRPr="001B3779">
        <w:rPr>
          <w:lang w:val="fr-FR"/>
        </w:rPr>
        <w:t xml:space="preserve">. </w:t>
      </w:r>
      <w:r w:rsidR="00850202" w:rsidRPr="001B3779">
        <w:rPr>
          <w:lang w:val="fr-FR"/>
        </w:rPr>
        <w:t>En plus d’explorer les</w:t>
      </w:r>
      <w:r w:rsidR="002338E8" w:rsidRPr="001B3779">
        <w:rPr>
          <w:lang w:val="fr-FR"/>
        </w:rPr>
        <w:t xml:space="preserve"> synergies </w:t>
      </w:r>
      <w:r w:rsidR="00850202" w:rsidRPr="001B3779">
        <w:rPr>
          <w:lang w:val="fr-FR"/>
        </w:rPr>
        <w:t xml:space="preserve">liées au contenu, </w:t>
      </w:r>
      <w:r w:rsidR="00F70E6C" w:rsidRPr="001B3779">
        <w:rPr>
          <w:lang w:val="fr-FR"/>
        </w:rPr>
        <w:t>il pourrait être également possible d’</w:t>
      </w:r>
      <w:r w:rsidR="002338E8" w:rsidRPr="001B3779">
        <w:rPr>
          <w:lang w:val="fr-FR"/>
        </w:rPr>
        <w:t>explore</w:t>
      </w:r>
      <w:r w:rsidR="00F70E6C" w:rsidRPr="001B3779">
        <w:rPr>
          <w:lang w:val="fr-FR"/>
        </w:rPr>
        <w:t>r les</w:t>
      </w:r>
      <w:r w:rsidR="002338E8" w:rsidRPr="001B3779">
        <w:rPr>
          <w:lang w:val="fr-FR"/>
        </w:rPr>
        <w:t xml:space="preserve"> synergies </w:t>
      </w:r>
      <w:r w:rsidR="00F70E6C" w:rsidRPr="001B3779">
        <w:rPr>
          <w:lang w:val="fr-FR"/>
        </w:rPr>
        <w:t>concernant les outils de compte-rendu, qui semblent fonctionner mieux que l’outil de compte-rendu de l’</w:t>
      </w:r>
      <w:r w:rsidR="00433F36" w:rsidRPr="001B3779">
        <w:rPr>
          <w:lang w:val="fr-FR"/>
        </w:rPr>
        <w:t xml:space="preserve">AEWA </w:t>
      </w:r>
      <w:r w:rsidR="00F70E6C" w:rsidRPr="001B3779">
        <w:rPr>
          <w:lang w:val="fr-FR"/>
        </w:rPr>
        <w:t>et pourrai</w:t>
      </w:r>
      <w:r w:rsidR="004E43EF" w:rsidRPr="001B3779">
        <w:rPr>
          <w:lang w:val="fr-FR"/>
        </w:rPr>
        <w:t>en</w:t>
      </w:r>
      <w:r w:rsidR="00F70E6C" w:rsidRPr="001B3779">
        <w:rPr>
          <w:lang w:val="fr-FR"/>
        </w:rPr>
        <w:t>t garantir un flux de données plus fluide</w:t>
      </w:r>
      <w:r w:rsidR="0064197B" w:rsidRPr="001B3779">
        <w:rPr>
          <w:lang w:val="fr-FR"/>
        </w:rPr>
        <w:t>.</w:t>
      </w:r>
      <w:r w:rsidR="00A66853" w:rsidRPr="001B3779">
        <w:rPr>
          <w:lang w:val="fr-FR"/>
        </w:rPr>
        <w:t xml:space="preserve"> </w:t>
      </w:r>
    </w:p>
    <w:p w14:paraId="1C228BC2" w14:textId="77777777" w:rsidR="00C4129B" w:rsidRPr="001B3779" w:rsidRDefault="00C4129B" w:rsidP="00637B6B">
      <w:pPr>
        <w:pStyle w:val="BodyText"/>
        <w:spacing w:before="160"/>
        <w:ind w:left="720" w:right="733"/>
        <w:jc w:val="both"/>
        <w:rPr>
          <w:lang w:val="fr-FR"/>
        </w:rPr>
      </w:pPr>
    </w:p>
    <w:p w14:paraId="72DFD358" w14:textId="0E5BF3C5" w:rsidR="00AC517A" w:rsidRPr="001B3779" w:rsidRDefault="00BF203B" w:rsidP="00637B6B">
      <w:pPr>
        <w:pStyle w:val="BodyText"/>
        <w:spacing w:before="160"/>
        <w:ind w:left="720" w:right="733"/>
        <w:jc w:val="both"/>
        <w:rPr>
          <w:b/>
          <w:bCs/>
          <w:i/>
          <w:iCs/>
          <w:lang w:val="fr-FR"/>
        </w:rPr>
      </w:pPr>
      <w:r w:rsidRPr="001B3779">
        <w:rPr>
          <w:b/>
          <w:bCs/>
          <w:i/>
          <w:iCs/>
          <w:lang w:val="fr-FR"/>
        </w:rPr>
        <w:t>Recommandations </w:t>
      </w:r>
      <w:r w:rsidR="00AC517A" w:rsidRPr="001B3779">
        <w:rPr>
          <w:b/>
          <w:bCs/>
          <w:i/>
          <w:iCs/>
          <w:lang w:val="fr-FR"/>
        </w:rPr>
        <w:t xml:space="preserve">: </w:t>
      </w:r>
    </w:p>
    <w:p w14:paraId="0B297149" w14:textId="05E75573" w:rsidR="003C0215" w:rsidRPr="001B3779" w:rsidRDefault="00D66D4B" w:rsidP="003C0215">
      <w:pPr>
        <w:pStyle w:val="BodyText"/>
        <w:numPr>
          <w:ilvl w:val="0"/>
          <w:numId w:val="5"/>
        </w:numPr>
        <w:spacing w:before="160"/>
        <w:ind w:right="733"/>
        <w:jc w:val="both"/>
        <w:rPr>
          <w:b/>
          <w:bCs/>
          <w:i/>
          <w:iCs/>
          <w:lang w:val="fr-FR"/>
        </w:rPr>
      </w:pPr>
      <w:r w:rsidRPr="001B3779">
        <w:rPr>
          <w:b/>
          <w:bCs/>
          <w:i/>
          <w:iCs/>
          <w:lang w:val="fr-FR"/>
        </w:rPr>
        <w:t>Maintenir l’alignement du calendrier et du contenu entre les rapports prévus par l’</w:t>
      </w:r>
      <w:r w:rsidR="003C0215" w:rsidRPr="001B3779">
        <w:rPr>
          <w:b/>
          <w:bCs/>
          <w:i/>
          <w:iCs/>
          <w:lang w:val="fr-FR"/>
        </w:rPr>
        <w:t xml:space="preserve">Art. 12 </w:t>
      </w:r>
      <w:r w:rsidRPr="001B3779">
        <w:rPr>
          <w:b/>
          <w:bCs/>
          <w:i/>
          <w:iCs/>
          <w:lang w:val="fr-FR"/>
        </w:rPr>
        <w:t>de la</w:t>
      </w:r>
      <w:r w:rsidR="003C0215" w:rsidRPr="001B3779">
        <w:rPr>
          <w:b/>
          <w:bCs/>
          <w:i/>
          <w:iCs/>
          <w:lang w:val="fr-FR"/>
        </w:rPr>
        <w:t xml:space="preserve"> Directive </w:t>
      </w:r>
      <w:r w:rsidRPr="001B3779">
        <w:rPr>
          <w:b/>
          <w:bCs/>
          <w:i/>
          <w:iCs/>
          <w:lang w:val="fr-FR"/>
        </w:rPr>
        <w:t>Oiseaux de l’UE et les rapports nationaux de l’</w:t>
      </w:r>
      <w:r w:rsidR="001B738F" w:rsidRPr="001B3779">
        <w:rPr>
          <w:b/>
          <w:bCs/>
          <w:i/>
          <w:iCs/>
          <w:lang w:val="fr-FR"/>
        </w:rPr>
        <w:t xml:space="preserve">AEWA </w:t>
      </w:r>
      <w:r w:rsidRPr="001B3779">
        <w:rPr>
          <w:b/>
          <w:bCs/>
          <w:i/>
          <w:iCs/>
          <w:lang w:val="fr-FR"/>
        </w:rPr>
        <w:t>sur l’état des</w:t>
      </w:r>
      <w:r w:rsidR="001B738F" w:rsidRPr="001B3779">
        <w:rPr>
          <w:b/>
          <w:bCs/>
          <w:i/>
          <w:iCs/>
          <w:lang w:val="fr-FR"/>
        </w:rPr>
        <w:t xml:space="preserve"> population</w:t>
      </w:r>
      <w:r w:rsidRPr="001B3779">
        <w:rPr>
          <w:b/>
          <w:bCs/>
          <w:i/>
          <w:iCs/>
          <w:lang w:val="fr-FR"/>
        </w:rPr>
        <w:t>s </w:t>
      </w:r>
      <w:r w:rsidR="00846A2E" w:rsidRPr="001B3779">
        <w:rPr>
          <w:b/>
          <w:bCs/>
          <w:i/>
          <w:iCs/>
          <w:lang w:val="fr-FR"/>
        </w:rPr>
        <w:t>;</w:t>
      </w:r>
      <w:r w:rsidR="001B738F" w:rsidRPr="001B3779">
        <w:rPr>
          <w:b/>
          <w:bCs/>
          <w:i/>
          <w:iCs/>
          <w:lang w:val="fr-FR"/>
        </w:rPr>
        <w:t xml:space="preserve"> </w:t>
      </w:r>
    </w:p>
    <w:p w14:paraId="2619E3D0" w14:textId="1A1D6D61" w:rsidR="00241D20" w:rsidRPr="001B3779" w:rsidRDefault="006B345C" w:rsidP="4C5BE89A">
      <w:pPr>
        <w:pStyle w:val="BodyText"/>
        <w:numPr>
          <w:ilvl w:val="0"/>
          <w:numId w:val="5"/>
        </w:numPr>
        <w:spacing w:before="160"/>
        <w:ind w:right="733"/>
        <w:jc w:val="both"/>
        <w:rPr>
          <w:b/>
          <w:bCs/>
          <w:i/>
          <w:iCs/>
          <w:lang w:val="fr-FR"/>
        </w:rPr>
      </w:pPr>
      <w:r w:rsidRPr="001B3779">
        <w:rPr>
          <w:b/>
          <w:bCs/>
          <w:i/>
          <w:iCs/>
          <w:lang w:val="fr-FR"/>
        </w:rPr>
        <w:t>Participer au sein de l’UE au développement des</w:t>
      </w:r>
      <w:r w:rsidR="00241D20" w:rsidRPr="001B3779">
        <w:rPr>
          <w:b/>
          <w:bCs/>
          <w:i/>
          <w:iCs/>
          <w:lang w:val="fr-FR"/>
        </w:rPr>
        <w:t xml:space="preserve"> </w:t>
      </w:r>
      <w:r w:rsidR="4977661C" w:rsidRPr="001B3779">
        <w:rPr>
          <w:b/>
          <w:bCs/>
          <w:i/>
          <w:iCs/>
          <w:lang w:val="fr-FR"/>
        </w:rPr>
        <w:t xml:space="preserve">formats </w:t>
      </w:r>
      <w:r w:rsidRPr="001B3779">
        <w:rPr>
          <w:b/>
          <w:bCs/>
          <w:i/>
          <w:iCs/>
          <w:lang w:val="fr-FR"/>
        </w:rPr>
        <w:t>et directives</w:t>
      </w:r>
      <w:r w:rsidR="00B625CB" w:rsidRPr="001B3779">
        <w:rPr>
          <w:b/>
          <w:bCs/>
          <w:i/>
          <w:iCs/>
          <w:lang w:val="fr-FR"/>
        </w:rPr>
        <w:t xml:space="preserve"> en matière de rapports, y compris</w:t>
      </w:r>
      <w:r w:rsidR="006A4EC1" w:rsidRPr="001B3779">
        <w:rPr>
          <w:b/>
          <w:bCs/>
          <w:i/>
          <w:iCs/>
          <w:lang w:val="fr-FR"/>
        </w:rPr>
        <w:t xml:space="preserve"> concernant</w:t>
      </w:r>
      <w:r w:rsidR="00B625CB" w:rsidRPr="001B3779">
        <w:rPr>
          <w:b/>
          <w:bCs/>
          <w:i/>
          <w:iCs/>
          <w:lang w:val="fr-FR"/>
        </w:rPr>
        <w:t xml:space="preserve"> la collecte</w:t>
      </w:r>
      <w:r w:rsidR="00F63880" w:rsidRPr="001B3779">
        <w:rPr>
          <w:b/>
          <w:bCs/>
          <w:i/>
          <w:iCs/>
          <w:lang w:val="fr-FR"/>
        </w:rPr>
        <w:t xml:space="preserve"> de données relatives au prélèvement et </w:t>
      </w:r>
      <w:r w:rsidR="00227454" w:rsidRPr="001B3779">
        <w:rPr>
          <w:b/>
          <w:bCs/>
          <w:i/>
          <w:iCs/>
          <w:lang w:val="fr-FR"/>
        </w:rPr>
        <w:t>la sélection</w:t>
      </w:r>
      <w:r w:rsidR="006A4EC1" w:rsidRPr="001B3779">
        <w:rPr>
          <w:b/>
          <w:bCs/>
          <w:i/>
          <w:iCs/>
          <w:lang w:val="fr-FR"/>
        </w:rPr>
        <w:t xml:space="preserve"> des principales espèces hivernantes </w:t>
      </w:r>
      <w:r w:rsidR="00846A2E" w:rsidRPr="001B3779">
        <w:rPr>
          <w:b/>
          <w:bCs/>
          <w:i/>
          <w:iCs/>
          <w:lang w:val="fr-FR"/>
        </w:rPr>
        <w:t>;</w:t>
      </w:r>
    </w:p>
    <w:p w14:paraId="7C8515D8" w14:textId="3D5BDBB3" w:rsidR="00846A2E" w:rsidRPr="001B3779" w:rsidRDefault="00D00FED" w:rsidP="003C0215">
      <w:pPr>
        <w:pStyle w:val="BodyText"/>
        <w:numPr>
          <w:ilvl w:val="0"/>
          <w:numId w:val="5"/>
        </w:numPr>
        <w:spacing w:before="160"/>
        <w:ind w:right="733"/>
        <w:jc w:val="both"/>
        <w:rPr>
          <w:b/>
          <w:bCs/>
          <w:i/>
          <w:iCs/>
          <w:lang w:val="fr-FR"/>
        </w:rPr>
      </w:pPr>
      <w:r w:rsidRPr="001B3779">
        <w:rPr>
          <w:b/>
          <w:bCs/>
          <w:i/>
          <w:iCs/>
          <w:lang w:val="fr-FR"/>
        </w:rPr>
        <w:t>Explore</w:t>
      </w:r>
      <w:r w:rsidR="00D46F2D" w:rsidRPr="001B3779">
        <w:rPr>
          <w:b/>
          <w:bCs/>
          <w:i/>
          <w:iCs/>
          <w:lang w:val="fr-FR"/>
        </w:rPr>
        <w:t>r</w:t>
      </w:r>
      <w:r w:rsidRPr="001B3779">
        <w:rPr>
          <w:b/>
          <w:bCs/>
          <w:i/>
          <w:iCs/>
          <w:lang w:val="fr-FR"/>
        </w:rPr>
        <w:t xml:space="preserve"> </w:t>
      </w:r>
      <w:r w:rsidR="00D46F2D" w:rsidRPr="001B3779">
        <w:rPr>
          <w:b/>
          <w:bCs/>
          <w:i/>
          <w:iCs/>
          <w:lang w:val="fr-FR"/>
        </w:rPr>
        <w:t xml:space="preserve">les </w:t>
      </w:r>
      <w:r w:rsidRPr="001B3779">
        <w:rPr>
          <w:b/>
          <w:bCs/>
          <w:i/>
          <w:iCs/>
          <w:lang w:val="fr-FR"/>
        </w:rPr>
        <w:t xml:space="preserve">options </w:t>
      </w:r>
      <w:r w:rsidR="00F9400D" w:rsidRPr="001B3779">
        <w:rPr>
          <w:b/>
          <w:bCs/>
          <w:i/>
          <w:iCs/>
          <w:lang w:val="fr-FR"/>
        </w:rPr>
        <w:t xml:space="preserve">avec </w:t>
      </w:r>
      <w:r w:rsidR="00A325B9" w:rsidRPr="001B3779">
        <w:rPr>
          <w:b/>
          <w:bCs/>
          <w:i/>
          <w:iCs/>
          <w:lang w:val="fr-FR"/>
        </w:rPr>
        <w:t>la CE, l’AEE et</w:t>
      </w:r>
      <w:r w:rsidR="00D80ADF" w:rsidRPr="001B3779">
        <w:rPr>
          <w:b/>
          <w:bCs/>
          <w:i/>
          <w:iCs/>
          <w:lang w:val="fr-FR"/>
        </w:rPr>
        <w:t xml:space="preserve"> </w:t>
      </w:r>
      <w:proofErr w:type="spellStart"/>
      <w:r w:rsidR="00D80ADF" w:rsidRPr="001B3779">
        <w:rPr>
          <w:b/>
          <w:bCs/>
          <w:i/>
          <w:iCs/>
          <w:lang w:val="fr-FR"/>
        </w:rPr>
        <w:t>BirdLife</w:t>
      </w:r>
      <w:proofErr w:type="spellEnd"/>
      <w:r w:rsidR="00D80ADF" w:rsidRPr="001B3779">
        <w:rPr>
          <w:b/>
          <w:bCs/>
          <w:i/>
          <w:iCs/>
          <w:lang w:val="fr-FR"/>
        </w:rPr>
        <w:t xml:space="preserve"> International </w:t>
      </w:r>
      <w:r w:rsidR="00A325B9" w:rsidRPr="001B3779">
        <w:rPr>
          <w:b/>
          <w:bCs/>
          <w:i/>
          <w:iCs/>
          <w:lang w:val="fr-FR"/>
        </w:rPr>
        <w:t>c</w:t>
      </w:r>
      <w:r w:rsidR="00484A98" w:rsidRPr="001B3779">
        <w:rPr>
          <w:b/>
          <w:bCs/>
          <w:i/>
          <w:iCs/>
          <w:lang w:val="fr-FR"/>
        </w:rPr>
        <w:t>oncernant la gestion d</w:t>
      </w:r>
      <w:r w:rsidR="0086348E" w:rsidRPr="001B3779">
        <w:rPr>
          <w:b/>
          <w:bCs/>
          <w:i/>
          <w:iCs/>
          <w:lang w:val="fr-FR"/>
        </w:rPr>
        <w:t>es</w:t>
      </w:r>
      <w:r w:rsidR="00484A98" w:rsidRPr="001B3779">
        <w:rPr>
          <w:b/>
          <w:bCs/>
          <w:i/>
          <w:iCs/>
          <w:lang w:val="fr-FR"/>
        </w:rPr>
        <w:t xml:space="preserve"> flux de données afin de</w:t>
      </w:r>
      <w:r w:rsidR="00F9400D" w:rsidRPr="001B3779">
        <w:rPr>
          <w:b/>
          <w:bCs/>
          <w:i/>
          <w:iCs/>
          <w:lang w:val="fr-FR"/>
        </w:rPr>
        <w:t xml:space="preserve"> rendre les rapports nationaux plus faciles</w:t>
      </w:r>
      <w:r w:rsidR="00C00A2E" w:rsidRPr="001B3779">
        <w:rPr>
          <w:b/>
          <w:bCs/>
          <w:i/>
          <w:iCs/>
          <w:lang w:val="fr-FR"/>
        </w:rPr>
        <w:t xml:space="preserve">. </w:t>
      </w:r>
    </w:p>
    <w:p w14:paraId="6B2EF885" w14:textId="77777777" w:rsidR="00354F38" w:rsidRPr="001B3779" w:rsidRDefault="00354F38" w:rsidP="00354F38">
      <w:pPr>
        <w:pStyle w:val="BodyText"/>
        <w:spacing w:before="160"/>
        <w:ind w:left="720" w:right="733"/>
        <w:jc w:val="both"/>
        <w:rPr>
          <w:b/>
          <w:bCs/>
          <w:lang w:val="fr-FR"/>
        </w:rPr>
      </w:pPr>
    </w:p>
    <w:p w14:paraId="5E7E701D" w14:textId="0D0B47F0" w:rsidR="00E24EEE" w:rsidRPr="001B3779" w:rsidRDefault="00CD6526" w:rsidP="00354F38">
      <w:pPr>
        <w:pStyle w:val="BodyText"/>
        <w:spacing w:before="160"/>
        <w:ind w:left="720" w:right="733"/>
        <w:jc w:val="both"/>
        <w:rPr>
          <w:b/>
          <w:bCs/>
          <w:lang w:val="fr-FR"/>
        </w:rPr>
      </w:pPr>
      <w:r w:rsidRPr="001B3779">
        <w:rPr>
          <w:b/>
          <w:bCs/>
          <w:lang w:val="fr-FR"/>
        </w:rPr>
        <w:t>L</w:t>
      </w:r>
      <w:r w:rsidR="002846ED" w:rsidRPr="001B3779">
        <w:rPr>
          <w:b/>
          <w:bCs/>
          <w:lang w:val="fr-FR"/>
        </w:rPr>
        <w:t>e processus de rapport prévu par l’Article 8 de la</w:t>
      </w:r>
      <w:r w:rsidRPr="001B3779">
        <w:rPr>
          <w:b/>
          <w:bCs/>
          <w:lang w:val="fr-FR"/>
        </w:rPr>
        <w:t xml:space="preserve"> Directive-cadre de l’UE « stratégie pour le milieu marin » </w:t>
      </w:r>
      <w:r w:rsidR="00517F27" w:rsidRPr="001B3779">
        <w:rPr>
          <w:b/>
          <w:bCs/>
          <w:lang w:val="fr-FR"/>
        </w:rPr>
        <w:t xml:space="preserve"> (MSFD)</w:t>
      </w:r>
      <w:r w:rsidR="00E24EEE" w:rsidRPr="001B3779">
        <w:rPr>
          <w:b/>
          <w:bCs/>
          <w:lang w:val="fr-FR"/>
        </w:rPr>
        <w:t xml:space="preserve">, </w:t>
      </w:r>
      <w:r w:rsidR="00611036" w:rsidRPr="001B3779">
        <w:rPr>
          <w:b/>
          <w:bCs/>
          <w:lang w:val="fr-FR"/>
        </w:rPr>
        <w:t>groupe d’</w:t>
      </w:r>
      <w:r w:rsidR="00E24EEE" w:rsidRPr="001B3779">
        <w:rPr>
          <w:b/>
          <w:bCs/>
          <w:lang w:val="fr-FR"/>
        </w:rPr>
        <w:t xml:space="preserve">HELCOM </w:t>
      </w:r>
      <w:r w:rsidR="00882443" w:rsidRPr="001B3779">
        <w:rPr>
          <w:b/>
          <w:bCs/>
          <w:lang w:val="fr-FR"/>
        </w:rPr>
        <w:t>et</w:t>
      </w:r>
      <w:r w:rsidR="00E24EEE" w:rsidRPr="001B3779">
        <w:rPr>
          <w:b/>
          <w:bCs/>
          <w:lang w:val="fr-FR"/>
        </w:rPr>
        <w:t xml:space="preserve"> OSPAR</w:t>
      </w:r>
    </w:p>
    <w:p w14:paraId="1B95B654" w14:textId="5395D388" w:rsidR="00354F38" w:rsidRPr="001B3779" w:rsidRDefault="003348A0" w:rsidP="00E373D2">
      <w:pPr>
        <w:pStyle w:val="BodyText"/>
        <w:spacing w:before="160"/>
        <w:ind w:left="720" w:right="733"/>
        <w:jc w:val="both"/>
        <w:rPr>
          <w:lang w:val="fr-FR"/>
        </w:rPr>
      </w:pPr>
      <w:r w:rsidRPr="001B3779">
        <w:rPr>
          <w:lang w:val="fr-FR"/>
        </w:rPr>
        <w:lastRenderedPageBreak/>
        <w:t xml:space="preserve">La surveillance et </w:t>
      </w:r>
      <w:r w:rsidR="002A228C" w:rsidRPr="001B3779">
        <w:rPr>
          <w:lang w:val="fr-FR"/>
        </w:rPr>
        <w:t xml:space="preserve">les rapports </w:t>
      </w:r>
      <w:r w:rsidR="006A5E24" w:rsidRPr="001B3779">
        <w:rPr>
          <w:lang w:val="fr-FR"/>
        </w:rPr>
        <w:t>sous l’égide d’</w:t>
      </w:r>
      <w:r w:rsidR="00667A43" w:rsidRPr="001B3779">
        <w:rPr>
          <w:lang w:val="fr-FR"/>
        </w:rPr>
        <w:t xml:space="preserve">HELCOM </w:t>
      </w:r>
      <w:r w:rsidR="006A5E24" w:rsidRPr="001B3779">
        <w:rPr>
          <w:lang w:val="fr-FR"/>
        </w:rPr>
        <w:t>et d’</w:t>
      </w:r>
      <w:r w:rsidR="00667A43" w:rsidRPr="001B3779">
        <w:rPr>
          <w:lang w:val="fr-FR"/>
        </w:rPr>
        <w:t xml:space="preserve">OSPAR </w:t>
      </w:r>
      <w:r w:rsidR="006A5E24" w:rsidRPr="001B3779">
        <w:rPr>
          <w:lang w:val="fr-FR"/>
        </w:rPr>
        <w:t xml:space="preserve">sur les espèces </w:t>
      </w:r>
      <w:r w:rsidR="00624802" w:rsidRPr="001B3779">
        <w:rPr>
          <w:lang w:val="fr-FR"/>
        </w:rPr>
        <w:t>d’oiseaux marins et côtiers contribuent à la Directive-cadre de l’UE « stratégie pour le milieu marin »</w:t>
      </w:r>
      <w:r w:rsidR="00F4754E" w:rsidRPr="001B3779">
        <w:rPr>
          <w:lang w:val="fr-FR"/>
        </w:rPr>
        <w:t xml:space="preserve">. </w:t>
      </w:r>
      <w:r w:rsidR="00232B68" w:rsidRPr="001B3779">
        <w:rPr>
          <w:lang w:val="fr-FR"/>
        </w:rPr>
        <w:t>Ceux</w:t>
      </w:r>
      <w:r w:rsidR="009554EF" w:rsidRPr="001B3779">
        <w:rPr>
          <w:lang w:val="fr-FR"/>
        </w:rPr>
        <w:t>-ci couvrent un nombre substan</w:t>
      </w:r>
      <w:r w:rsidR="00F07767" w:rsidRPr="001B3779">
        <w:rPr>
          <w:lang w:val="fr-FR"/>
        </w:rPr>
        <w:t>tiel d’espèces et, pour certaines comme les</w:t>
      </w:r>
      <w:r w:rsidR="00700DCE" w:rsidRPr="001B3779">
        <w:rPr>
          <w:lang w:val="fr-FR"/>
        </w:rPr>
        <w:t xml:space="preserve"> canards marins (dont</w:t>
      </w:r>
      <w:r w:rsidR="00872C5B" w:rsidRPr="001B3779">
        <w:rPr>
          <w:lang w:val="fr-FR"/>
        </w:rPr>
        <w:t xml:space="preserve"> l’harelde kakawi, </w:t>
      </w:r>
      <w:r w:rsidR="00A85BD5" w:rsidRPr="001B3779">
        <w:rPr>
          <w:lang w:val="fr-FR"/>
        </w:rPr>
        <w:t>la macreuse brune et</w:t>
      </w:r>
      <w:r w:rsidR="00E16E29" w:rsidRPr="001B3779">
        <w:rPr>
          <w:lang w:val="fr-FR"/>
        </w:rPr>
        <w:t xml:space="preserve"> l’eider à duvet), les études</w:t>
      </w:r>
      <w:r w:rsidR="006164E0" w:rsidRPr="001B3779">
        <w:rPr>
          <w:lang w:val="fr-FR"/>
        </w:rPr>
        <w:t xml:space="preserve"> marines menées</w:t>
      </w:r>
      <w:r w:rsidR="004B5F31" w:rsidRPr="001B3779">
        <w:rPr>
          <w:lang w:val="fr-FR"/>
        </w:rPr>
        <w:t xml:space="preserve"> afin de contribuer à ces processus de rapport représentent potentiellement les meilleures</w:t>
      </w:r>
      <w:r w:rsidR="00DA506C" w:rsidRPr="001B3779">
        <w:rPr>
          <w:lang w:val="fr-FR"/>
        </w:rPr>
        <w:t xml:space="preserve"> information</w:t>
      </w:r>
      <w:r w:rsidR="004B5F31" w:rsidRPr="001B3779">
        <w:rPr>
          <w:lang w:val="fr-FR"/>
        </w:rPr>
        <w:t>s</w:t>
      </w:r>
      <w:r w:rsidR="00DA506C" w:rsidRPr="001B3779">
        <w:rPr>
          <w:lang w:val="fr-FR"/>
        </w:rPr>
        <w:t xml:space="preserve"> </w:t>
      </w:r>
      <w:r w:rsidR="004B5F31" w:rsidRPr="001B3779">
        <w:rPr>
          <w:lang w:val="fr-FR"/>
        </w:rPr>
        <w:t>disponibles</w:t>
      </w:r>
      <w:r w:rsidR="00B23DD2" w:rsidRPr="001B3779">
        <w:rPr>
          <w:lang w:val="fr-FR"/>
        </w:rPr>
        <w:t xml:space="preserve"> pour soutenir les plans d’</w:t>
      </w:r>
      <w:r w:rsidR="00DA506C" w:rsidRPr="001B3779">
        <w:rPr>
          <w:lang w:val="fr-FR"/>
        </w:rPr>
        <w:t xml:space="preserve">action </w:t>
      </w:r>
      <w:r w:rsidR="00B23DD2" w:rsidRPr="001B3779">
        <w:rPr>
          <w:lang w:val="fr-FR"/>
        </w:rPr>
        <w:t>par espèce pertinents</w:t>
      </w:r>
      <w:r w:rsidR="00DA506C" w:rsidRPr="001B3779">
        <w:rPr>
          <w:lang w:val="fr-FR"/>
        </w:rPr>
        <w:t xml:space="preserve">. </w:t>
      </w:r>
      <w:r w:rsidR="000A1FF4" w:rsidRPr="001B3779">
        <w:rPr>
          <w:lang w:val="fr-FR"/>
        </w:rPr>
        <w:t>Toutefois, les processus d’évaluation sont coordonnés par les mers régionales, telles que la mer Baltique et la mer du Nord</w:t>
      </w:r>
      <w:r w:rsidR="003C3265" w:rsidRPr="001B3779">
        <w:rPr>
          <w:lang w:val="fr-FR"/>
        </w:rPr>
        <w:t xml:space="preserve"> séparément, et cela ne correspond pas aux frontières des</w:t>
      </w:r>
      <w:r w:rsidR="0047400B" w:rsidRPr="001B3779">
        <w:rPr>
          <w:lang w:val="fr-FR"/>
        </w:rPr>
        <w:t xml:space="preserve"> population</w:t>
      </w:r>
      <w:r w:rsidR="003C3265" w:rsidRPr="001B3779">
        <w:rPr>
          <w:lang w:val="fr-FR"/>
        </w:rPr>
        <w:t>s</w:t>
      </w:r>
      <w:r w:rsidR="0047400B" w:rsidRPr="001B3779">
        <w:rPr>
          <w:lang w:val="fr-FR"/>
        </w:rPr>
        <w:t xml:space="preserve"> </w:t>
      </w:r>
      <w:r w:rsidR="003C3265" w:rsidRPr="001B3779">
        <w:rPr>
          <w:lang w:val="fr-FR"/>
        </w:rPr>
        <w:t>de l’</w:t>
      </w:r>
      <w:r w:rsidR="0047400B" w:rsidRPr="001B3779">
        <w:rPr>
          <w:lang w:val="fr-FR"/>
        </w:rPr>
        <w:t xml:space="preserve">AEWA. </w:t>
      </w:r>
      <w:r w:rsidR="00611036" w:rsidRPr="001B3779">
        <w:rPr>
          <w:lang w:val="fr-FR"/>
        </w:rPr>
        <w:t xml:space="preserve">Heureusement, le groupe </w:t>
      </w:r>
      <w:r w:rsidR="00F95C8D" w:rsidRPr="001B3779">
        <w:rPr>
          <w:lang w:val="fr-FR"/>
        </w:rPr>
        <w:t>entier</w:t>
      </w:r>
      <w:r w:rsidR="00611036" w:rsidRPr="001B3779">
        <w:rPr>
          <w:lang w:val="fr-FR"/>
        </w:rPr>
        <w:t xml:space="preserve"> est </w:t>
      </w:r>
      <w:r w:rsidR="00992943" w:rsidRPr="001B3779">
        <w:rPr>
          <w:lang w:val="fr-FR"/>
        </w:rPr>
        <w:t>soutenu techniquement par</w:t>
      </w:r>
      <w:r w:rsidR="00EE5ECC" w:rsidRPr="001B3779">
        <w:rPr>
          <w:lang w:val="fr-FR"/>
        </w:rPr>
        <w:t xml:space="preserve"> la Plateforme d’experts de la </w:t>
      </w:r>
      <w:proofErr w:type="gramStart"/>
      <w:r w:rsidR="00EE5ECC" w:rsidRPr="001B3779">
        <w:rPr>
          <w:lang w:val="fr-FR"/>
        </w:rPr>
        <w:t>Mer</w:t>
      </w:r>
      <w:proofErr w:type="gramEnd"/>
      <w:r w:rsidR="00EE5ECC" w:rsidRPr="001B3779">
        <w:rPr>
          <w:lang w:val="fr-FR"/>
        </w:rPr>
        <w:t xml:space="preserve"> Baltique, mer du Nord et de l’Atlantique Nord Est</w:t>
      </w:r>
      <w:r w:rsidR="00F95C8D" w:rsidRPr="001B3779">
        <w:rPr>
          <w:lang w:val="fr-FR"/>
        </w:rPr>
        <w:t xml:space="preserve"> du CIEM/OSPAR/HELCOM</w:t>
      </w:r>
      <w:r w:rsidR="00EE5ECC" w:rsidRPr="001B3779">
        <w:rPr>
          <w:lang w:val="fr-FR"/>
        </w:rPr>
        <w:t xml:space="preserve"> qui travaillent sur les problématiques oiseaux marins</w:t>
      </w:r>
      <w:r w:rsidR="00E373D2" w:rsidRPr="001B3779">
        <w:rPr>
          <w:lang w:val="fr-FR"/>
        </w:rPr>
        <w:t xml:space="preserve"> (JWGBIRD)</w:t>
      </w:r>
      <w:r w:rsidR="005349A8" w:rsidRPr="001B3779">
        <w:rPr>
          <w:lang w:val="fr-FR"/>
        </w:rPr>
        <w:t xml:space="preserve">, </w:t>
      </w:r>
      <w:r w:rsidR="00BD6244" w:rsidRPr="001B3779">
        <w:rPr>
          <w:lang w:val="fr-FR"/>
        </w:rPr>
        <w:t>qui est également représentée dans le Partenariat de surveillance des oiseaux d'eau d'Afrique-Eurasie</w:t>
      </w:r>
      <w:r w:rsidR="00E373D2" w:rsidRPr="001B3779">
        <w:rPr>
          <w:lang w:val="fr-FR"/>
        </w:rPr>
        <w:t xml:space="preserve">. </w:t>
      </w:r>
    </w:p>
    <w:p w14:paraId="196AC9E6" w14:textId="6F1D82DC" w:rsidR="007458A7" w:rsidRPr="001B3779" w:rsidRDefault="00BB3479" w:rsidP="00E373D2">
      <w:pPr>
        <w:pStyle w:val="BodyText"/>
        <w:spacing w:before="160"/>
        <w:ind w:left="720" w:right="733"/>
        <w:jc w:val="both"/>
        <w:rPr>
          <w:b/>
          <w:bCs/>
          <w:i/>
          <w:iCs/>
          <w:lang w:val="fr-FR"/>
        </w:rPr>
      </w:pPr>
      <w:r w:rsidRPr="001B3779">
        <w:rPr>
          <w:b/>
          <w:bCs/>
          <w:i/>
          <w:iCs/>
          <w:lang w:val="fr-FR"/>
        </w:rPr>
        <w:t>Recommandations </w:t>
      </w:r>
      <w:r w:rsidR="007458A7" w:rsidRPr="001B3779">
        <w:rPr>
          <w:b/>
          <w:bCs/>
          <w:i/>
          <w:iCs/>
          <w:lang w:val="fr-FR"/>
        </w:rPr>
        <w:t xml:space="preserve">: </w:t>
      </w:r>
    </w:p>
    <w:p w14:paraId="774B2A9A" w14:textId="4595AACE" w:rsidR="007B373B" w:rsidRPr="001B3779" w:rsidRDefault="007458A7" w:rsidP="007458A7">
      <w:pPr>
        <w:pStyle w:val="BodyText"/>
        <w:numPr>
          <w:ilvl w:val="0"/>
          <w:numId w:val="6"/>
        </w:numPr>
        <w:spacing w:before="160"/>
        <w:ind w:right="733"/>
        <w:jc w:val="both"/>
        <w:rPr>
          <w:b/>
          <w:bCs/>
          <w:i/>
          <w:iCs/>
          <w:lang w:val="fr-FR"/>
        </w:rPr>
      </w:pPr>
      <w:r w:rsidRPr="001B3779">
        <w:rPr>
          <w:b/>
          <w:bCs/>
          <w:i/>
          <w:iCs/>
          <w:lang w:val="fr-FR"/>
        </w:rPr>
        <w:t>Explore</w:t>
      </w:r>
      <w:r w:rsidR="00BB3479" w:rsidRPr="001B3779">
        <w:rPr>
          <w:b/>
          <w:bCs/>
          <w:i/>
          <w:iCs/>
          <w:lang w:val="fr-FR"/>
        </w:rPr>
        <w:t>r</w:t>
      </w:r>
      <w:r w:rsidRPr="001B3779">
        <w:rPr>
          <w:b/>
          <w:bCs/>
          <w:i/>
          <w:iCs/>
          <w:lang w:val="fr-FR"/>
        </w:rPr>
        <w:t xml:space="preserve"> </w:t>
      </w:r>
      <w:r w:rsidR="00BB3479" w:rsidRPr="001B3779">
        <w:rPr>
          <w:b/>
          <w:bCs/>
          <w:i/>
          <w:iCs/>
          <w:lang w:val="fr-FR"/>
        </w:rPr>
        <w:t>avec la</w:t>
      </w:r>
      <w:r w:rsidRPr="001B3779">
        <w:rPr>
          <w:b/>
          <w:bCs/>
          <w:i/>
          <w:iCs/>
          <w:lang w:val="fr-FR"/>
        </w:rPr>
        <w:t xml:space="preserve"> JWGBIRD</w:t>
      </w:r>
      <w:r w:rsidR="005349A8" w:rsidRPr="001B3779">
        <w:rPr>
          <w:b/>
          <w:bCs/>
          <w:i/>
          <w:iCs/>
          <w:lang w:val="fr-FR"/>
        </w:rPr>
        <w:t xml:space="preserve"> </w:t>
      </w:r>
      <w:r w:rsidR="00BB3479" w:rsidRPr="001B3779">
        <w:rPr>
          <w:b/>
          <w:bCs/>
          <w:i/>
          <w:iCs/>
          <w:lang w:val="fr-FR"/>
        </w:rPr>
        <w:t>la manière d’intégrer les résultats des études de</w:t>
      </w:r>
      <w:r w:rsidR="00671D53" w:rsidRPr="001B3779">
        <w:rPr>
          <w:b/>
          <w:bCs/>
          <w:i/>
          <w:iCs/>
          <w:lang w:val="fr-FR"/>
        </w:rPr>
        <w:t xml:space="preserve"> population </w:t>
      </w:r>
      <w:r w:rsidR="0015340A" w:rsidRPr="001B3779">
        <w:rPr>
          <w:b/>
          <w:bCs/>
          <w:i/>
          <w:iCs/>
          <w:lang w:val="fr-FR"/>
        </w:rPr>
        <w:t>dans les Rapports de l’</w:t>
      </w:r>
      <w:r w:rsidR="00671D53" w:rsidRPr="001B3779">
        <w:rPr>
          <w:b/>
          <w:bCs/>
          <w:i/>
          <w:iCs/>
          <w:lang w:val="fr-FR"/>
        </w:rPr>
        <w:t xml:space="preserve">AEWA </w:t>
      </w:r>
      <w:r w:rsidR="0015340A" w:rsidRPr="001B3779">
        <w:rPr>
          <w:b/>
          <w:bCs/>
          <w:i/>
          <w:iCs/>
          <w:lang w:val="fr-FR"/>
        </w:rPr>
        <w:t>sur l’état de conservation </w:t>
      </w:r>
      <w:r w:rsidR="007B373B" w:rsidRPr="001B3779">
        <w:rPr>
          <w:b/>
          <w:bCs/>
          <w:i/>
          <w:iCs/>
          <w:lang w:val="fr-FR"/>
        </w:rPr>
        <w:t>;</w:t>
      </w:r>
      <w:r w:rsidR="00671D53" w:rsidRPr="001B3779">
        <w:rPr>
          <w:b/>
          <w:bCs/>
          <w:i/>
          <w:iCs/>
          <w:lang w:val="fr-FR"/>
        </w:rPr>
        <w:t xml:space="preserve"> </w:t>
      </w:r>
    </w:p>
    <w:p w14:paraId="040A6B98" w14:textId="08068829" w:rsidR="007458A7" w:rsidRPr="001B3779" w:rsidRDefault="008139DD" w:rsidP="007458A7">
      <w:pPr>
        <w:pStyle w:val="BodyText"/>
        <w:numPr>
          <w:ilvl w:val="0"/>
          <w:numId w:val="6"/>
        </w:numPr>
        <w:spacing w:before="160"/>
        <w:ind w:right="733"/>
        <w:jc w:val="both"/>
        <w:rPr>
          <w:b/>
          <w:bCs/>
          <w:i/>
          <w:iCs/>
          <w:lang w:val="fr-FR"/>
        </w:rPr>
      </w:pPr>
      <w:r w:rsidRPr="001B3779">
        <w:rPr>
          <w:b/>
          <w:bCs/>
          <w:i/>
          <w:iCs/>
          <w:lang w:val="fr-FR"/>
        </w:rPr>
        <w:t xml:space="preserve">Collaborer </w:t>
      </w:r>
      <w:r w:rsidR="003C0A2C" w:rsidRPr="001B3779">
        <w:rPr>
          <w:b/>
          <w:bCs/>
          <w:i/>
          <w:iCs/>
          <w:lang w:val="fr-FR"/>
        </w:rPr>
        <w:t>à des études sur l’hivernage des</w:t>
      </w:r>
      <w:r w:rsidR="003C0A2C" w:rsidRPr="001B3779">
        <w:rPr>
          <w:lang w:val="fr-FR"/>
        </w:rPr>
        <w:t xml:space="preserve"> </w:t>
      </w:r>
      <w:r w:rsidR="003C0A2C" w:rsidRPr="001B3779">
        <w:rPr>
          <w:b/>
          <w:bCs/>
          <w:i/>
          <w:iCs/>
          <w:lang w:val="fr-FR"/>
        </w:rPr>
        <w:t xml:space="preserve">hareldes kakawis, macreuses brunes et eiders à duvet (et autres canards marins) qui pourraient également </w:t>
      </w:r>
      <w:r w:rsidR="00F909AE" w:rsidRPr="001B3779">
        <w:rPr>
          <w:b/>
          <w:bCs/>
          <w:i/>
          <w:iCs/>
          <w:lang w:val="fr-FR"/>
        </w:rPr>
        <w:t>soutenir certains besoins en surveillance</w:t>
      </w:r>
      <w:r w:rsidR="000459B0" w:rsidRPr="001B3779">
        <w:rPr>
          <w:b/>
          <w:bCs/>
          <w:i/>
          <w:iCs/>
          <w:lang w:val="fr-FR"/>
        </w:rPr>
        <w:t xml:space="preserve"> des ISSAP respectifs </w:t>
      </w:r>
      <w:r w:rsidR="00111B4A" w:rsidRPr="001B3779">
        <w:rPr>
          <w:b/>
          <w:bCs/>
          <w:i/>
          <w:iCs/>
          <w:lang w:val="fr-FR"/>
        </w:rPr>
        <w:t>;</w:t>
      </w:r>
    </w:p>
    <w:p w14:paraId="388F2DDA" w14:textId="77777777" w:rsidR="00111B4A" w:rsidRPr="001B3779" w:rsidRDefault="00111B4A" w:rsidP="00321B0D">
      <w:pPr>
        <w:rPr>
          <w:lang w:val="fr-FR"/>
        </w:rPr>
      </w:pPr>
    </w:p>
    <w:p w14:paraId="310474A8" w14:textId="77777777" w:rsidR="006C2A38" w:rsidRPr="001B3779" w:rsidRDefault="006C2A38" w:rsidP="00111B4A">
      <w:pPr>
        <w:pStyle w:val="BodyText"/>
        <w:spacing w:before="160"/>
        <w:ind w:left="720" w:right="733"/>
        <w:jc w:val="both"/>
        <w:rPr>
          <w:b/>
          <w:bCs/>
          <w:lang w:val="fr-FR"/>
        </w:rPr>
      </w:pPr>
    </w:p>
    <w:p w14:paraId="2986DDAD" w14:textId="0CA10A29" w:rsidR="00BA66C8" w:rsidRPr="001B3779" w:rsidRDefault="00B06F08" w:rsidP="00111B4A">
      <w:pPr>
        <w:pStyle w:val="BodyText"/>
        <w:spacing w:before="160"/>
        <w:ind w:left="720" w:right="733"/>
        <w:jc w:val="both"/>
        <w:rPr>
          <w:b/>
          <w:bCs/>
          <w:lang w:val="fr-FR"/>
        </w:rPr>
      </w:pPr>
      <w:r w:rsidRPr="001B3779">
        <w:rPr>
          <w:b/>
          <w:bCs/>
          <w:lang w:val="fr-FR"/>
        </w:rPr>
        <w:t xml:space="preserve">Conservation de la flore et de la faune arctiques </w:t>
      </w:r>
      <w:r w:rsidR="008315E5" w:rsidRPr="001B3779">
        <w:rPr>
          <w:b/>
          <w:bCs/>
          <w:lang w:val="fr-FR"/>
        </w:rPr>
        <w:t>(CAFF)</w:t>
      </w:r>
    </w:p>
    <w:p w14:paraId="048CCDE6" w14:textId="50177885" w:rsidR="00B41674" w:rsidRPr="001B3779" w:rsidRDefault="00215277" w:rsidP="00B41674">
      <w:pPr>
        <w:pStyle w:val="BodyText"/>
        <w:spacing w:before="160"/>
        <w:ind w:left="720" w:right="733"/>
        <w:jc w:val="both"/>
        <w:rPr>
          <w:lang w:val="fr-FR"/>
        </w:rPr>
      </w:pPr>
      <w:r w:rsidRPr="001B3779">
        <w:rPr>
          <w:lang w:val="fr-FR"/>
        </w:rPr>
        <w:t>Il n’existe aucun protocole</w:t>
      </w:r>
      <w:r w:rsidR="00020782" w:rsidRPr="001B3779">
        <w:rPr>
          <w:lang w:val="fr-FR"/>
        </w:rPr>
        <w:t xml:space="preserve"> de surveillance spécifique sous l’égide de la</w:t>
      </w:r>
      <w:r w:rsidR="00FE3378" w:rsidRPr="001B3779">
        <w:rPr>
          <w:lang w:val="fr-FR"/>
        </w:rPr>
        <w:t xml:space="preserve"> CAFF</w:t>
      </w:r>
      <w:r w:rsidR="002C2CAF" w:rsidRPr="001B3779">
        <w:rPr>
          <w:lang w:val="fr-FR"/>
        </w:rPr>
        <w:t>, bien qu’ils aient un Programme de surveillance de la biodiversité circumpolaire</w:t>
      </w:r>
      <w:r w:rsidR="00FE3378" w:rsidRPr="001B3779">
        <w:rPr>
          <w:lang w:val="fr-FR"/>
        </w:rPr>
        <w:t xml:space="preserve"> </w:t>
      </w:r>
      <w:r w:rsidR="00B41674" w:rsidRPr="001B3779">
        <w:rPr>
          <w:lang w:val="fr-FR"/>
        </w:rPr>
        <w:t>(C</w:t>
      </w:r>
      <w:r w:rsidR="007F199C" w:rsidRPr="001B3779">
        <w:rPr>
          <w:lang w:val="fr-FR"/>
        </w:rPr>
        <w:t>BMP)</w:t>
      </w:r>
      <w:r w:rsidR="002C2CAF" w:rsidRPr="001B3779">
        <w:rPr>
          <w:lang w:val="fr-FR"/>
        </w:rPr>
        <w:t xml:space="preserve"> ambitieux</w:t>
      </w:r>
      <w:r w:rsidR="008C19DE" w:rsidRPr="001B3779">
        <w:rPr>
          <w:lang w:val="fr-FR"/>
        </w:rPr>
        <w:t xml:space="preserve"> </w:t>
      </w:r>
      <w:r w:rsidR="002C2CAF" w:rsidRPr="001B3779">
        <w:rPr>
          <w:lang w:val="fr-FR"/>
        </w:rPr>
        <w:t>et des</w:t>
      </w:r>
      <w:r w:rsidR="008C19DE" w:rsidRPr="001B3779">
        <w:rPr>
          <w:lang w:val="fr-FR"/>
        </w:rPr>
        <w:t xml:space="preserve"> </w:t>
      </w:r>
      <w:r w:rsidR="00AB3D38" w:rsidRPr="001B3779">
        <w:rPr>
          <w:lang w:val="fr-FR"/>
        </w:rPr>
        <w:t>plans coordonnés</w:t>
      </w:r>
      <w:r w:rsidR="006A5725" w:rsidRPr="001B3779">
        <w:rPr>
          <w:lang w:val="fr-FR"/>
        </w:rPr>
        <w:t xml:space="preserve"> de surveillance circumpolaire pour les écosystèmes marins, d’eau douce, terrestre</w:t>
      </w:r>
      <w:r w:rsidR="00947B0C">
        <w:rPr>
          <w:lang w:val="fr-FR"/>
        </w:rPr>
        <w:t>s</w:t>
      </w:r>
      <w:r w:rsidR="006A5725" w:rsidRPr="001B3779">
        <w:rPr>
          <w:lang w:val="fr-FR"/>
        </w:rPr>
        <w:t xml:space="preserve"> et côtiers, y compris un</w:t>
      </w:r>
      <w:r w:rsidR="000D2C3A" w:rsidRPr="001B3779">
        <w:rPr>
          <w:lang w:val="fr-FR"/>
        </w:rPr>
        <w:t xml:space="preserve"> plan</w:t>
      </w:r>
      <w:r w:rsidR="006835E9" w:rsidRPr="001B3779">
        <w:rPr>
          <w:lang w:val="fr-FR"/>
        </w:rPr>
        <w:t xml:space="preserve"> spécifique pour les oiseaux marins</w:t>
      </w:r>
      <w:r w:rsidR="008C19DE" w:rsidRPr="001B3779">
        <w:rPr>
          <w:lang w:val="fr-FR"/>
        </w:rPr>
        <w:t xml:space="preserve">. </w:t>
      </w:r>
      <w:r w:rsidR="00AB3D38" w:rsidRPr="001B3779">
        <w:rPr>
          <w:lang w:val="fr-FR"/>
        </w:rPr>
        <w:t>É</w:t>
      </w:r>
      <w:r w:rsidR="00F20947" w:rsidRPr="001B3779">
        <w:rPr>
          <w:lang w:val="fr-FR"/>
        </w:rPr>
        <w:t>tant donné la diversité</w:t>
      </w:r>
      <w:r w:rsidR="000B7B1B" w:rsidRPr="001B3779">
        <w:rPr>
          <w:lang w:val="fr-FR"/>
        </w:rPr>
        <w:t xml:space="preserve"> au sein de l’</w:t>
      </w:r>
      <w:r w:rsidR="008C19DE" w:rsidRPr="001B3779">
        <w:rPr>
          <w:lang w:val="fr-FR"/>
        </w:rPr>
        <w:t>Arcti</w:t>
      </w:r>
      <w:r w:rsidR="000B7B1B" w:rsidRPr="001B3779">
        <w:rPr>
          <w:lang w:val="fr-FR"/>
        </w:rPr>
        <w:t>que</w:t>
      </w:r>
      <w:r w:rsidR="008C19DE" w:rsidRPr="001B3779">
        <w:rPr>
          <w:lang w:val="fr-FR"/>
        </w:rPr>
        <w:t xml:space="preserve">, </w:t>
      </w:r>
      <w:r w:rsidR="000B7B1B" w:rsidRPr="001B3779">
        <w:rPr>
          <w:lang w:val="fr-FR"/>
        </w:rPr>
        <w:t>ces</w:t>
      </w:r>
      <w:r w:rsidR="008C19DE" w:rsidRPr="001B3779">
        <w:rPr>
          <w:lang w:val="fr-FR"/>
        </w:rPr>
        <w:t xml:space="preserve"> plans </w:t>
      </w:r>
      <w:r w:rsidR="000B7B1B" w:rsidRPr="001B3779">
        <w:rPr>
          <w:lang w:val="fr-FR"/>
        </w:rPr>
        <w:t xml:space="preserve">se concentrent plutôt sur une harmonisation </w:t>
      </w:r>
      <w:r w:rsidR="00AB3D38" w:rsidRPr="001B3779">
        <w:rPr>
          <w:lang w:val="fr-FR"/>
        </w:rPr>
        <w:t>que sur une standardisation de la surveillance</w:t>
      </w:r>
      <w:r w:rsidR="007F199C" w:rsidRPr="001B3779">
        <w:rPr>
          <w:lang w:val="fr-FR"/>
        </w:rPr>
        <w:t xml:space="preserve">. </w:t>
      </w:r>
      <w:proofErr w:type="spellStart"/>
      <w:r w:rsidR="009A4BBE" w:rsidRPr="001B3779">
        <w:rPr>
          <w:lang w:val="fr-FR"/>
        </w:rPr>
        <w:t>CBird</w:t>
      </w:r>
      <w:proofErr w:type="spellEnd"/>
      <w:r w:rsidR="009A4BBE" w:rsidRPr="001B3779">
        <w:rPr>
          <w:lang w:val="fr-FR"/>
        </w:rPr>
        <w:t xml:space="preserve"> </w:t>
      </w:r>
      <w:r w:rsidR="00AA60DF" w:rsidRPr="001B3779">
        <w:rPr>
          <w:lang w:val="fr-FR"/>
        </w:rPr>
        <w:t>a publié un</w:t>
      </w:r>
      <w:r w:rsidR="009A4BBE" w:rsidRPr="001B3779">
        <w:rPr>
          <w:lang w:val="fr-FR"/>
        </w:rPr>
        <w:t xml:space="preserve"> Plan</w:t>
      </w:r>
      <w:r w:rsidR="005B1B24" w:rsidRPr="001B3779">
        <w:rPr>
          <w:lang w:val="fr-FR"/>
        </w:rPr>
        <w:t xml:space="preserve"> de surveillance des oiseaux marins</w:t>
      </w:r>
      <w:r w:rsidR="00640F49" w:rsidRPr="001B3779">
        <w:rPr>
          <w:lang w:val="fr-FR"/>
        </w:rPr>
        <w:t xml:space="preserve"> circumpolaires et a lancé une</w:t>
      </w:r>
      <w:r w:rsidR="009A4BBE" w:rsidRPr="001B3779">
        <w:rPr>
          <w:lang w:val="fr-FR"/>
        </w:rPr>
        <w:t xml:space="preserve"> Archive</w:t>
      </w:r>
      <w:r w:rsidR="00640F49" w:rsidRPr="001B3779">
        <w:rPr>
          <w:lang w:val="fr-FR"/>
        </w:rPr>
        <w:t xml:space="preserve"> en ligne sur l’état des oiseaux marins de l’Arctique</w:t>
      </w:r>
      <w:r w:rsidR="009A4BBE" w:rsidRPr="001B3779">
        <w:rPr>
          <w:lang w:val="fr-FR"/>
        </w:rPr>
        <w:t>.</w:t>
      </w:r>
      <w:r w:rsidR="007F199C" w:rsidRPr="001B3779">
        <w:rPr>
          <w:lang w:val="fr-FR"/>
        </w:rPr>
        <w:t xml:space="preserve"> </w:t>
      </w:r>
      <w:r w:rsidR="0038384B" w:rsidRPr="001B3779">
        <w:rPr>
          <w:lang w:val="fr-FR"/>
        </w:rPr>
        <w:t>Par le passé</w:t>
      </w:r>
      <w:r w:rsidR="00ED02D6" w:rsidRPr="001B3779">
        <w:rPr>
          <w:lang w:val="fr-FR"/>
        </w:rPr>
        <w:t xml:space="preserve">, </w:t>
      </w:r>
      <w:r w:rsidR="0038384B" w:rsidRPr="001B3779">
        <w:rPr>
          <w:lang w:val="fr-FR"/>
        </w:rPr>
        <w:t>l’</w:t>
      </w:r>
      <w:r w:rsidR="00ED02D6" w:rsidRPr="001B3779">
        <w:rPr>
          <w:lang w:val="fr-FR"/>
        </w:rPr>
        <w:t xml:space="preserve">AEWA </w:t>
      </w:r>
      <w:r w:rsidR="00E93243" w:rsidRPr="001B3779">
        <w:rPr>
          <w:lang w:val="fr-FR"/>
        </w:rPr>
        <w:t xml:space="preserve">a fait appel au groupe </w:t>
      </w:r>
      <w:proofErr w:type="spellStart"/>
      <w:r w:rsidR="00E93243" w:rsidRPr="001B3779">
        <w:rPr>
          <w:lang w:val="fr-FR"/>
        </w:rPr>
        <w:t>CBird</w:t>
      </w:r>
      <w:proofErr w:type="spellEnd"/>
      <w:r w:rsidR="00E93243" w:rsidRPr="001B3779">
        <w:rPr>
          <w:lang w:val="fr-FR"/>
        </w:rPr>
        <w:t xml:space="preserve"> de la</w:t>
      </w:r>
      <w:r w:rsidR="000D44F3" w:rsidRPr="001B3779">
        <w:rPr>
          <w:lang w:val="fr-FR"/>
        </w:rPr>
        <w:t xml:space="preserve"> </w:t>
      </w:r>
      <w:r w:rsidR="00ED02D6" w:rsidRPr="001B3779">
        <w:rPr>
          <w:lang w:val="fr-FR"/>
        </w:rPr>
        <w:t xml:space="preserve">CAFF </w:t>
      </w:r>
      <w:r w:rsidR="00E93243" w:rsidRPr="001B3779">
        <w:rPr>
          <w:lang w:val="fr-FR"/>
        </w:rPr>
        <w:t>afin de produire des évaluations sur l’état des oiseaux marins</w:t>
      </w:r>
      <w:r w:rsidR="00ED02D6" w:rsidRPr="001B3779">
        <w:rPr>
          <w:lang w:val="fr-FR"/>
        </w:rPr>
        <w:t xml:space="preserve">. </w:t>
      </w:r>
      <w:r w:rsidR="009E4780" w:rsidRPr="001B3779">
        <w:rPr>
          <w:lang w:val="fr-FR"/>
        </w:rPr>
        <w:t xml:space="preserve">Toutefois, les besoins ont fortement diminué </w:t>
      </w:r>
      <w:r w:rsidR="00ED6486" w:rsidRPr="001B3779">
        <w:rPr>
          <w:lang w:val="fr-FR"/>
        </w:rPr>
        <w:t>une fois que les processus de rapport prévus par l’</w:t>
      </w:r>
      <w:r w:rsidR="00EF6DD0" w:rsidRPr="001B3779">
        <w:rPr>
          <w:lang w:val="fr-FR"/>
        </w:rPr>
        <w:t xml:space="preserve">Article 12 </w:t>
      </w:r>
      <w:r w:rsidR="00ED6486" w:rsidRPr="001B3779">
        <w:rPr>
          <w:lang w:val="fr-FR"/>
        </w:rPr>
        <w:t>de la Directive Oiseaux de l’UE et la</w:t>
      </w:r>
      <w:r w:rsidR="00AC6079" w:rsidRPr="001B3779">
        <w:rPr>
          <w:lang w:val="fr-FR"/>
        </w:rPr>
        <w:t xml:space="preserve"> List</w:t>
      </w:r>
      <w:r w:rsidR="00ED6486" w:rsidRPr="001B3779">
        <w:rPr>
          <w:lang w:val="fr-FR"/>
        </w:rPr>
        <w:t>e</w:t>
      </w:r>
      <w:r w:rsidR="00AC6079" w:rsidRPr="001B3779">
        <w:rPr>
          <w:lang w:val="fr-FR"/>
        </w:rPr>
        <w:t xml:space="preserve"> </w:t>
      </w:r>
      <w:r w:rsidR="00ED6486" w:rsidRPr="001B3779">
        <w:rPr>
          <w:lang w:val="fr-FR"/>
        </w:rPr>
        <w:t>rouge européenne des oiseaux ont été lancés, puisque cela ne laissait plus que le</w:t>
      </w:r>
      <w:r w:rsidR="00F56894" w:rsidRPr="001B3779">
        <w:rPr>
          <w:lang w:val="fr-FR"/>
        </w:rPr>
        <w:t xml:space="preserve"> </w:t>
      </w:r>
      <w:r w:rsidR="00AB4C9B" w:rsidRPr="001B3779">
        <w:rPr>
          <w:lang w:val="fr-FR"/>
        </w:rPr>
        <w:t xml:space="preserve">Canada </w:t>
      </w:r>
      <w:r w:rsidR="00ED6486" w:rsidRPr="001B3779">
        <w:rPr>
          <w:lang w:val="fr-FR"/>
        </w:rPr>
        <w:t>et l’Arctique</w:t>
      </w:r>
      <w:r w:rsidR="004D5315" w:rsidRPr="001B3779">
        <w:rPr>
          <w:lang w:val="fr-FR"/>
        </w:rPr>
        <w:t xml:space="preserve"> de la Sibérie centrale</w:t>
      </w:r>
      <w:r w:rsidR="008E7FFC" w:rsidRPr="001B3779">
        <w:rPr>
          <w:lang w:val="fr-FR"/>
        </w:rPr>
        <w:t xml:space="preserve"> comme n’étant pas couverts par ces processus</w:t>
      </w:r>
      <w:r w:rsidR="00AC6079" w:rsidRPr="001B3779">
        <w:rPr>
          <w:lang w:val="fr-FR"/>
        </w:rPr>
        <w:t xml:space="preserve">. </w:t>
      </w:r>
      <w:r w:rsidR="00EE1B88" w:rsidRPr="001B3779">
        <w:rPr>
          <w:lang w:val="fr-FR"/>
        </w:rPr>
        <w:t xml:space="preserve">D’un autre côté, </w:t>
      </w:r>
      <w:r w:rsidR="00AB4B2D" w:rsidRPr="001B3779">
        <w:rPr>
          <w:lang w:val="fr-FR"/>
        </w:rPr>
        <w:t>l’étude de l’</w:t>
      </w:r>
      <w:r w:rsidR="00971590" w:rsidRPr="001B3779">
        <w:rPr>
          <w:lang w:val="fr-FR"/>
        </w:rPr>
        <w:t xml:space="preserve">AEWA </w:t>
      </w:r>
      <w:r w:rsidR="00AB4B2D" w:rsidRPr="001B3779">
        <w:rPr>
          <w:lang w:val="fr-FR"/>
        </w:rPr>
        <w:t>sur les priorités en matière de surveillance</w:t>
      </w:r>
      <w:r w:rsidR="00F11519" w:rsidRPr="001B3779">
        <w:rPr>
          <w:lang w:val="fr-FR"/>
        </w:rPr>
        <w:t xml:space="preserve"> indique que, pour un grand nombre d’échassiers se reproduisant en Arctique, </w:t>
      </w:r>
      <w:r w:rsidR="00D47D43" w:rsidRPr="001B3779">
        <w:rPr>
          <w:lang w:val="fr-FR"/>
        </w:rPr>
        <w:t xml:space="preserve">il est peu probable que </w:t>
      </w:r>
      <w:r w:rsidR="00F11519" w:rsidRPr="001B3779">
        <w:rPr>
          <w:lang w:val="fr-FR"/>
        </w:rPr>
        <w:t xml:space="preserve">les données collectées </w:t>
      </w:r>
      <w:r w:rsidR="00BB48CD" w:rsidRPr="001B3779">
        <w:rPr>
          <w:lang w:val="fr-FR"/>
        </w:rPr>
        <w:t>en-dehors des sites de reproduction</w:t>
      </w:r>
      <w:r w:rsidR="00D47D43" w:rsidRPr="001B3779">
        <w:rPr>
          <w:lang w:val="fr-FR"/>
        </w:rPr>
        <w:t xml:space="preserve"> aboutissent à des estimations de</w:t>
      </w:r>
      <w:r w:rsidR="006A514E" w:rsidRPr="001B3779">
        <w:rPr>
          <w:lang w:val="fr-FR"/>
        </w:rPr>
        <w:t xml:space="preserve"> population </w:t>
      </w:r>
      <w:r w:rsidR="00D47D43" w:rsidRPr="001B3779">
        <w:rPr>
          <w:lang w:val="fr-FR"/>
        </w:rPr>
        <w:t xml:space="preserve">fiables, car </w:t>
      </w:r>
      <w:r w:rsidR="00907071">
        <w:rPr>
          <w:lang w:val="fr-FR"/>
        </w:rPr>
        <w:t>ils</w:t>
      </w:r>
      <w:r w:rsidR="00D47D43" w:rsidRPr="001B3779">
        <w:rPr>
          <w:lang w:val="fr-FR"/>
        </w:rPr>
        <w:t xml:space="preserve"> sont dispersés </w:t>
      </w:r>
      <w:r w:rsidR="0023275F" w:rsidRPr="001B3779">
        <w:rPr>
          <w:lang w:val="fr-FR"/>
        </w:rPr>
        <w:t>sur de grandes zones en Afrique</w:t>
      </w:r>
      <w:r w:rsidR="006A514E" w:rsidRPr="001B3779">
        <w:rPr>
          <w:lang w:val="fr-FR"/>
        </w:rPr>
        <w:t xml:space="preserve">. </w:t>
      </w:r>
      <w:r w:rsidR="00302972" w:rsidRPr="001B3779">
        <w:rPr>
          <w:lang w:val="fr-FR"/>
        </w:rPr>
        <w:t>Le plan de travail 2019-2023 de l’Initiative en faveur des oiseaux migrateurs de l'Arctique (AMBI) de la</w:t>
      </w:r>
      <w:r w:rsidR="008D3D91" w:rsidRPr="001B3779">
        <w:rPr>
          <w:lang w:val="fr-FR"/>
        </w:rPr>
        <w:t xml:space="preserve"> CAFF </w:t>
      </w:r>
      <w:r w:rsidR="004770A9" w:rsidRPr="001B3779">
        <w:rPr>
          <w:lang w:val="fr-FR"/>
        </w:rPr>
        <w:t xml:space="preserve">reconnaît notamment </w:t>
      </w:r>
      <w:r w:rsidR="00BB7B4D" w:rsidRPr="001B3779">
        <w:rPr>
          <w:lang w:val="fr-FR"/>
        </w:rPr>
        <w:t>cela</w:t>
      </w:r>
      <w:r w:rsidR="004770A9" w:rsidRPr="001B3779">
        <w:rPr>
          <w:lang w:val="fr-FR"/>
        </w:rPr>
        <w:t xml:space="preserve"> dans sa voi</w:t>
      </w:r>
      <w:r w:rsidR="00BB7B4D" w:rsidRPr="001B3779">
        <w:rPr>
          <w:lang w:val="fr-FR"/>
        </w:rPr>
        <w:t>e</w:t>
      </w:r>
      <w:r w:rsidR="004770A9" w:rsidRPr="001B3779">
        <w:rPr>
          <w:lang w:val="fr-FR"/>
        </w:rPr>
        <w:t xml:space="preserve"> de migration d’Afrique-Eurasie</w:t>
      </w:r>
      <w:r w:rsidR="00BB7B4D" w:rsidRPr="001B3779">
        <w:rPr>
          <w:lang w:val="fr-FR"/>
        </w:rPr>
        <w:t xml:space="preserve"> et inclut l’objectif d</w:t>
      </w:r>
      <w:r w:rsidR="003E04A9" w:rsidRPr="001B3779">
        <w:rPr>
          <w:lang w:val="fr-FR"/>
        </w:rPr>
        <w:t xml:space="preserve">e </w:t>
      </w:r>
      <w:r w:rsidR="00674768" w:rsidRPr="001B3779">
        <w:rPr>
          <w:lang w:val="fr-FR"/>
        </w:rPr>
        <w:t>« </w:t>
      </w:r>
      <w:r w:rsidR="003E04A9" w:rsidRPr="001B3779">
        <w:rPr>
          <w:lang w:val="fr-FR"/>
        </w:rPr>
        <w:t>renforcer la qualité et la quantité des données issues des évaluations sur l’état des populations</w:t>
      </w:r>
      <w:r w:rsidR="00674768" w:rsidRPr="001B3779">
        <w:rPr>
          <w:lang w:val="fr-FR"/>
        </w:rPr>
        <w:t xml:space="preserve"> des oiseaux</w:t>
      </w:r>
      <w:r w:rsidR="008D3D91" w:rsidRPr="001B3779">
        <w:rPr>
          <w:lang w:val="fr-FR"/>
        </w:rPr>
        <w:t xml:space="preserve"> </w:t>
      </w:r>
      <w:r w:rsidR="00674768" w:rsidRPr="001B3779">
        <w:rPr>
          <w:lang w:val="fr-FR"/>
        </w:rPr>
        <w:t>d’eau reproducteurs de l’Arctique dans la voie de migration d’Afrique-Eurasie », avec les</w:t>
      </w:r>
      <w:r w:rsidR="00344A18" w:rsidRPr="001B3779">
        <w:rPr>
          <w:lang w:val="fr-FR"/>
        </w:rPr>
        <w:t xml:space="preserve"> actions</w:t>
      </w:r>
      <w:r w:rsidR="00674768" w:rsidRPr="001B3779">
        <w:rPr>
          <w:lang w:val="fr-FR"/>
        </w:rPr>
        <w:t xml:space="preserve"> suivantes </w:t>
      </w:r>
      <w:r w:rsidR="00F2775E" w:rsidRPr="001B3779">
        <w:rPr>
          <w:lang w:val="fr-FR"/>
        </w:rPr>
        <w:t xml:space="preserve">: </w:t>
      </w:r>
      <w:r w:rsidR="00674768" w:rsidRPr="001B3779">
        <w:rPr>
          <w:lang w:val="fr-FR"/>
        </w:rPr>
        <w:t>« </w:t>
      </w:r>
      <w:r w:rsidR="00F2775E" w:rsidRPr="001B3779">
        <w:rPr>
          <w:lang w:val="fr-FR"/>
        </w:rPr>
        <w:t>A</w:t>
      </w:r>
      <w:r w:rsidR="008D3D91" w:rsidRPr="001B3779">
        <w:rPr>
          <w:lang w:val="fr-FR"/>
        </w:rPr>
        <w:t>ction 1</w:t>
      </w:r>
      <w:r w:rsidR="00674768" w:rsidRPr="001B3779">
        <w:rPr>
          <w:lang w:val="fr-FR"/>
        </w:rPr>
        <w:t> </w:t>
      </w:r>
      <w:r w:rsidR="008D3D91" w:rsidRPr="001B3779">
        <w:rPr>
          <w:lang w:val="fr-FR"/>
        </w:rPr>
        <w:t xml:space="preserve">: </w:t>
      </w:r>
      <w:r w:rsidR="00674768" w:rsidRPr="001B3779">
        <w:rPr>
          <w:lang w:val="fr-FR"/>
        </w:rPr>
        <w:t>Soutenir</w:t>
      </w:r>
      <w:r w:rsidR="00875B9B" w:rsidRPr="001B3779">
        <w:rPr>
          <w:lang w:val="fr-FR"/>
        </w:rPr>
        <w:t xml:space="preserve"> les actions visant à combler les lacunes de connaissances et à renforcer la surveillance des oiseaux d’eau de l’Arctique sur les terres de reproduction de la voie de migration, y compris la mise en </w:t>
      </w:r>
      <w:r w:rsidR="008E122F" w:rsidRPr="001B3779">
        <w:rPr>
          <w:lang w:val="fr-FR"/>
        </w:rPr>
        <w:t>œuvre du</w:t>
      </w:r>
      <w:r w:rsidR="008D3D91" w:rsidRPr="001B3779">
        <w:rPr>
          <w:lang w:val="fr-FR"/>
        </w:rPr>
        <w:t xml:space="preserve"> CBMP</w:t>
      </w:r>
      <w:r w:rsidR="008E122F" w:rsidRPr="001B3779">
        <w:rPr>
          <w:lang w:val="fr-FR"/>
        </w:rPr>
        <w:t>, en</w:t>
      </w:r>
      <w:r w:rsidR="008D3D91" w:rsidRPr="001B3779">
        <w:rPr>
          <w:lang w:val="fr-FR"/>
        </w:rPr>
        <w:t xml:space="preserve"> </w:t>
      </w:r>
      <w:r w:rsidR="008E122F" w:rsidRPr="001B3779">
        <w:rPr>
          <w:lang w:val="fr-FR"/>
        </w:rPr>
        <w:t>coopération</w:t>
      </w:r>
      <w:r w:rsidR="008D3D91" w:rsidRPr="001B3779">
        <w:rPr>
          <w:lang w:val="fr-FR"/>
        </w:rPr>
        <w:t xml:space="preserve"> </w:t>
      </w:r>
      <w:r w:rsidR="008E122F" w:rsidRPr="001B3779">
        <w:rPr>
          <w:lang w:val="fr-FR"/>
        </w:rPr>
        <w:t>avec le</w:t>
      </w:r>
      <w:r w:rsidR="008D3D91" w:rsidRPr="001B3779">
        <w:rPr>
          <w:lang w:val="fr-FR"/>
        </w:rPr>
        <w:t xml:space="preserve"> </w:t>
      </w:r>
      <w:r w:rsidR="008E122F" w:rsidRPr="001B3779">
        <w:rPr>
          <w:lang w:val="fr-FR"/>
        </w:rPr>
        <w:t>Secrétariat</w:t>
      </w:r>
      <w:r w:rsidR="008D3D91" w:rsidRPr="001B3779">
        <w:rPr>
          <w:lang w:val="fr-FR"/>
        </w:rPr>
        <w:t xml:space="preserve"> </w:t>
      </w:r>
      <w:r w:rsidR="008E122F" w:rsidRPr="001B3779">
        <w:rPr>
          <w:lang w:val="fr-FR"/>
        </w:rPr>
        <w:t>de la mer des Wadden et l’</w:t>
      </w:r>
      <w:r w:rsidR="008D3D91" w:rsidRPr="001B3779">
        <w:rPr>
          <w:lang w:val="fr-FR"/>
        </w:rPr>
        <w:t>AEWA,</w:t>
      </w:r>
      <w:r w:rsidR="008E122F" w:rsidRPr="001B3779">
        <w:rPr>
          <w:lang w:val="fr-FR"/>
        </w:rPr>
        <w:t> »</w:t>
      </w:r>
      <w:r w:rsidR="008D3D91" w:rsidRPr="001B3779">
        <w:rPr>
          <w:lang w:val="fr-FR"/>
        </w:rPr>
        <w:t xml:space="preserve"> </w:t>
      </w:r>
      <w:r w:rsidR="00EB1A99" w:rsidRPr="001B3779">
        <w:rPr>
          <w:lang w:val="fr-FR"/>
        </w:rPr>
        <w:t>et</w:t>
      </w:r>
      <w:r w:rsidR="008D3D91" w:rsidRPr="001B3779">
        <w:rPr>
          <w:lang w:val="fr-FR"/>
        </w:rPr>
        <w:t xml:space="preserve"> </w:t>
      </w:r>
      <w:r w:rsidR="00EB1A99" w:rsidRPr="001B3779">
        <w:rPr>
          <w:lang w:val="fr-FR"/>
        </w:rPr>
        <w:t>« </w:t>
      </w:r>
      <w:r w:rsidR="008D3D91" w:rsidRPr="001B3779">
        <w:rPr>
          <w:lang w:val="fr-FR"/>
        </w:rPr>
        <w:t>Action 2</w:t>
      </w:r>
      <w:r w:rsidR="00EB1A99" w:rsidRPr="001B3779">
        <w:rPr>
          <w:lang w:val="fr-FR"/>
        </w:rPr>
        <w:t> </w:t>
      </w:r>
      <w:r w:rsidR="008D3D91" w:rsidRPr="001B3779">
        <w:rPr>
          <w:lang w:val="fr-FR"/>
        </w:rPr>
        <w:t xml:space="preserve">: </w:t>
      </w:r>
      <w:r w:rsidR="002A14A5" w:rsidRPr="001B3779">
        <w:rPr>
          <w:lang w:val="fr-FR"/>
        </w:rPr>
        <w:t>Soutenir l’amélioration</w:t>
      </w:r>
      <w:r w:rsidR="00595462" w:rsidRPr="001B3779">
        <w:rPr>
          <w:lang w:val="fr-FR"/>
        </w:rPr>
        <w:t xml:space="preserve"> de la délimitation des</w:t>
      </w:r>
      <w:r w:rsidR="008D3D91" w:rsidRPr="001B3779">
        <w:rPr>
          <w:lang w:val="fr-FR"/>
        </w:rPr>
        <w:t xml:space="preserve"> population</w:t>
      </w:r>
      <w:r w:rsidR="00595462" w:rsidRPr="001B3779">
        <w:rPr>
          <w:lang w:val="fr-FR"/>
        </w:rPr>
        <w:t>s</w:t>
      </w:r>
      <w:r w:rsidR="008D3D91" w:rsidRPr="001B3779">
        <w:rPr>
          <w:lang w:val="fr-FR"/>
        </w:rPr>
        <w:t xml:space="preserve"> </w:t>
      </w:r>
      <w:r w:rsidR="00595462" w:rsidRPr="001B3779">
        <w:rPr>
          <w:lang w:val="fr-FR"/>
        </w:rPr>
        <w:t>d’échassiers se reproduisant dans l’Arctique, en</w:t>
      </w:r>
      <w:r w:rsidR="003835DE" w:rsidRPr="001B3779">
        <w:rPr>
          <w:lang w:val="fr-FR"/>
        </w:rPr>
        <w:t xml:space="preserve"> compilant les données de</w:t>
      </w:r>
      <w:r w:rsidR="008D3D91" w:rsidRPr="001B3779">
        <w:rPr>
          <w:lang w:val="fr-FR"/>
        </w:rPr>
        <w:t xml:space="preserve"> migration </w:t>
      </w:r>
      <w:r w:rsidR="00625269" w:rsidRPr="001B3779">
        <w:rPr>
          <w:lang w:val="fr-FR"/>
        </w:rPr>
        <w:t xml:space="preserve">des échassiers se reproduisant dans l’Arctique (suivi, marquage de couleur, géolocalisation, données </w:t>
      </w:r>
      <w:r w:rsidR="006D55CE" w:rsidRPr="001B3779">
        <w:rPr>
          <w:lang w:val="fr-FR"/>
        </w:rPr>
        <w:t xml:space="preserve">de baguage, etc.) et en les présentant dans </w:t>
      </w:r>
      <w:r w:rsidR="00F66867" w:rsidRPr="001B3779">
        <w:rPr>
          <w:lang w:val="fr-FR"/>
        </w:rPr>
        <w:t>l’Outil de Réseaux de Sites Critiques afin d’améliorer les données concernant la délimitation des voies de migration</w:t>
      </w:r>
      <w:r w:rsidR="008D3D91" w:rsidRPr="001B3779">
        <w:rPr>
          <w:lang w:val="fr-FR"/>
        </w:rPr>
        <w:t>.</w:t>
      </w:r>
      <w:r w:rsidR="00F66867" w:rsidRPr="001B3779">
        <w:rPr>
          <w:lang w:val="fr-FR"/>
        </w:rPr>
        <w:t> »</w:t>
      </w:r>
      <w:r w:rsidR="008D3D91" w:rsidRPr="001B3779">
        <w:rPr>
          <w:lang w:val="fr-FR"/>
        </w:rPr>
        <w:t xml:space="preserve"> </w:t>
      </w:r>
      <w:r w:rsidR="00D9364A" w:rsidRPr="001B3779">
        <w:rPr>
          <w:lang w:val="fr-FR"/>
        </w:rPr>
        <w:t>Ainsi</w:t>
      </w:r>
      <w:r w:rsidR="005D092F" w:rsidRPr="001B3779">
        <w:rPr>
          <w:lang w:val="fr-FR"/>
        </w:rPr>
        <w:t>,</w:t>
      </w:r>
      <w:r w:rsidR="002B7901" w:rsidRPr="001B3779">
        <w:rPr>
          <w:lang w:val="fr-FR"/>
        </w:rPr>
        <w:t xml:space="preserve"> la</w:t>
      </w:r>
      <w:r w:rsidR="005D092F" w:rsidRPr="001B3779">
        <w:rPr>
          <w:lang w:val="fr-FR"/>
        </w:rPr>
        <w:t xml:space="preserve"> CAFF </w:t>
      </w:r>
      <w:r w:rsidR="00344A18" w:rsidRPr="001B3779">
        <w:rPr>
          <w:lang w:val="fr-FR"/>
        </w:rPr>
        <w:t xml:space="preserve">via </w:t>
      </w:r>
      <w:r w:rsidR="00BE7F03" w:rsidRPr="001B3779">
        <w:rPr>
          <w:lang w:val="fr-FR"/>
        </w:rPr>
        <w:t>le</w:t>
      </w:r>
      <w:r w:rsidR="00344A18" w:rsidRPr="001B3779">
        <w:rPr>
          <w:lang w:val="fr-FR"/>
        </w:rPr>
        <w:t xml:space="preserve"> CBMP, </w:t>
      </w:r>
      <w:r w:rsidR="00A94EA0" w:rsidRPr="001B3779">
        <w:rPr>
          <w:lang w:val="fr-FR"/>
        </w:rPr>
        <w:t>l’</w:t>
      </w:r>
      <w:r w:rsidR="00344A18" w:rsidRPr="001B3779">
        <w:rPr>
          <w:lang w:val="fr-FR"/>
        </w:rPr>
        <w:t xml:space="preserve">AMBI </w:t>
      </w:r>
      <w:r w:rsidR="00A94EA0" w:rsidRPr="001B3779">
        <w:rPr>
          <w:lang w:val="fr-FR"/>
        </w:rPr>
        <w:t>et</w:t>
      </w:r>
      <w:r w:rsidR="00344A18" w:rsidRPr="001B3779">
        <w:rPr>
          <w:lang w:val="fr-FR"/>
        </w:rPr>
        <w:t xml:space="preserve"> </w:t>
      </w:r>
      <w:proofErr w:type="spellStart"/>
      <w:r w:rsidR="00344A18" w:rsidRPr="001B3779">
        <w:rPr>
          <w:lang w:val="fr-FR"/>
        </w:rPr>
        <w:t>CBird</w:t>
      </w:r>
      <w:proofErr w:type="spellEnd"/>
      <w:r w:rsidR="00A94EA0" w:rsidRPr="001B3779">
        <w:rPr>
          <w:lang w:val="fr-FR"/>
        </w:rPr>
        <w:t xml:space="preserve">, peut jouer un </w:t>
      </w:r>
      <w:r w:rsidR="00FF6054" w:rsidRPr="001B3779">
        <w:rPr>
          <w:lang w:val="fr-FR"/>
        </w:rPr>
        <w:t>rôle</w:t>
      </w:r>
      <w:r w:rsidR="00A94EA0" w:rsidRPr="001B3779">
        <w:rPr>
          <w:lang w:val="fr-FR"/>
        </w:rPr>
        <w:t xml:space="preserve"> </w:t>
      </w:r>
      <w:r w:rsidR="006A514E" w:rsidRPr="001B3779">
        <w:rPr>
          <w:lang w:val="fr-FR"/>
        </w:rPr>
        <w:t>important</w:t>
      </w:r>
      <w:r w:rsidR="005D092F" w:rsidRPr="001B3779">
        <w:rPr>
          <w:lang w:val="fr-FR"/>
        </w:rPr>
        <w:t xml:space="preserve"> </w:t>
      </w:r>
      <w:r w:rsidR="00A94EA0" w:rsidRPr="001B3779">
        <w:rPr>
          <w:lang w:val="fr-FR"/>
        </w:rPr>
        <w:t xml:space="preserve">dans l’amélioration </w:t>
      </w:r>
      <w:r w:rsidR="007701B3" w:rsidRPr="001B3779">
        <w:rPr>
          <w:lang w:val="fr-FR"/>
        </w:rPr>
        <w:t>de la qualité de la surveillance des oiseaux marins et des échassiers</w:t>
      </w:r>
      <w:r w:rsidR="00934632" w:rsidRPr="001B3779">
        <w:rPr>
          <w:lang w:val="fr-FR"/>
        </w:rPr>
        <w:t xml:space="preserve"> dans les zones de reproduction</w:t>
      </w:r>
      <w:r w:rsidR="00906946" w:rsidRPr="001B3779">
        <w:rPr>
          <w:lang w:val="fr-FR"/>
        </w:rPr>
        <w:t xml:space="preserve"> et coordonner des é</w:t>
      </w:r>
      <w:r w:rsidR="00F00913" w:rsidRPr="001B3779">
        <w:rPr>
          <w:lang w:val="fr-FR"/>
        </w:rPr>
        <w:t xml:space="preserve">tudes </w:t>
      </w:r>
      <w:r w:rsidR="008C5D7B">
        <w:rPr>
          <w:lang w:val="fr-FR"/>
        </w:rPr>
        <w:t>marines</w:t>
      </w:r>
      <w:r w:rsidR="00F00913" w:rsidRPr="001B3779">
        <w:rPr>
          <w:lang w:val="fr-FR"/>
        </w:rPr>
        <w:t xml:space="preserve"> des oiseaux d’eau et des oiseaux marins afin d’achever l’</w:t>
      </w:r>
      <w:r w:rsidR="008F1CF3" w:rsidRPr="001B3779">
        <w:rPr>
          <w:lang w:val="fr-FR"/>
        </w:rPr>
        <w:t>identif</w:t>
      </w:r>
      <w:r w:rsidR="00F54854" w:rsidRPr="001B3779">
        <w:rPr>
          <w:lang w:val="fr-FR"/>
        </w:rPr>
        <w:t xml:space="preserve">ication </w:t>
      </w:r>
      <w:r w:rsidR="00F00913" w:rsidRPr="001B3779">
        <w:rPr>
          <w:lang w:val="fr-FR"/>
        </w:rPr>
        <w:t>des</w:t>
      </w:r>
      <w:r w:rsidR="00F54854" w:rsidRPr="001B3779">
        <w:rPr>
          <w:lang w:val="fr-FR"/>
        </w:rPr>
        <w:t xml:space="preserve"> sites</w:t>
      </w:r>
      <w:r w:rsidR="00F00913" w:rsidRPr="001B3779">
        <w:rPr>
          <w:lang w:val="fr-FR"/>
        </w:rPr>
        <w:t xml:space="preserve"> marin</w:t>
      </w:r>
      <w:r w:rsidR="008D4AD1" w:rsidRPr="001B3779">
        <w:rPr>
          <w:lang w:val="fr-FR"/>
        </w:rPr>
        <w:t>s</w:t>
      </w:r>
      <w:r w:rsidR="00F00913" w:rsidRPr="001B3779">
        <w:rPr>
          <w:lang w:val="fr-FR"/>
        </w:rPr>
        <w:t xml:space="preserve"> d’importance internationale</w:t>
      </w:r>
      <w:r w:rsidR="009F6A89" w:rsidRPr="001B3779">
        <w:rPr>
          <w:lang w:val="fr-FR"/>
        </w:rPr>
        <w:t xml:space="preserve"> (</w:t>
      </w:r>
      <w:r w:rsidR="00F00913" w:rsidRPr="001B3779">
        <w:rPr>
          <w:lang w:val="fr-FR"/>
        </w:rPr>
        <w:t xml:space="preserve">liens avec </w:t>
      </w:r>
      <w:r w:rsidR="000D1744" w:rsidRPr="001B3779">
        <w:rPr>
          <w:lang w:val="fr-FR"/>
        </w:rPr>
        <w:t>l’objectif potentiel</w:t>
      </w:r>
      <w:r w:rsidR="009F6A89" w:rsidRPr="001B3779">
        <w:rPr>
          <w:lang w:val="fr-FR"/>
        </w:rPr>
        <w:t xml:space="preserve"> post-2020</w:t>
      </w:r>
      <w:r w:rsidR="008D4AD1" w:rsidRPr="001B3779">
        <w:rPr>
          <w:lang w:val="fr-FR"/>
        </w:rPr>
        <w:t xml:space="preserve"> de</w:t>
      </w:r>
      <w:r w:rsidR="009F6A89" w:rsidRPr="001B3779">
        <w:rPr>
          <w:lang w:val="fr-FR"/>
        </w:rPr>
        <w:t xml:space="preserve"> 30</w:t>
      </w:r>
      <w:r w:rsidR="008D4AD1" w:rsidRPr="001B3779">
        <w:rPr>
          <w:lang w:val="fr-FR"/>
        </w:rPr>
        <w:t> </w:t>
      </w:r>
      <w:r w:rsidR="009F6A89" w:rsidRPr="001B3779">
        <w:rPr>
          <w:lang w:val="fr-FR"/>
        </w:rPr>
        <w:t xml:space="preserve">% </w:t>
      </w:r>
      <w:r w:rsidR="008D4AD1" w:rsidRPr="001B3779">
        <w:rPr>
          <w:lang w:val="fr-FR"/>
        </w:rPr>
        <w:t>de zones</w:t>
      </w:r>
      <w:r w:rsidR="009F6A89" w:rsidRPr="001B3779">
        <w:rPr>
          <w:lang w:val="fr-FR"/>
        </w:rPr>
        <w:t xml:space="preserve"> marine</w:t>
      </w:r>
      <w:r w:rsidR="008D4AD1" w:rsidRPr="001B3779">
        <w:rPr>
          <w:lang w:val="fr-FR"/>
        </w:rPr>
        <w:t>s</w:t>
      </w:r>
      <w:r w:rsidR="009F6A89" w:rsidRPr="001B3779">
        <w:rPr>
          <w:lang w:val="fr-FR"/>
        </w:rPr>
        <w:t xml:space="preserve"> </w:t>
      </w:r>
      <w:r w:rsidR="008D4AD1" w:rsidRPr="001B3779">
        <w:rPr>
          <w:lang w:val="fr-FR"/>
        </w:rPr>
        <w:t>internationales protégées</w:t>
      </w:r>
      <w:r w:rsidR="009F6A89" w:rsidRPr="001B3779">
        <w:rPr>
          <w:lang w:val="fr-FR"/>
        </w:rPr>
        <w:t>)</w:t>
      </w:r>
      <w:r w:rsidR="00F54854" w:rsidRPr="001B3779">
        <w:rPr>
          <w:lang w:val="fr-FR"/>
        </w:rPr>
        <w:t xml:space="preserve">, </w:t>
      </w:r>
      <w:r w:rsidR="00D54377" w:rsidRPr="001B3779">
        <w:rPr>
          <w:lang w:val="fr-FR"/>
        </w:rPr>
        <w:t>ce qui serait un sujet particulièrement</w:t>
      </w:r>
      <w:r w:rsidR="00F54854" w:rsidRPr="001B3779">
        <w:rPr>
          <w:lang w:val="fr-FR"/>
        </w:rPr>
        <w:t xml:space="preserve"> important </w:t>
      </w:r>
      <w:r w:rsidR="001D6B9E" w:rsidRPr="001B3779">
        <w:rPr>
          <w:lang w:val="fr-FR"/>
        </w:rPr>
        <w:t xml:space="preserve">dans le contexte </w:t>
      </w:r>
      <w:r w:rsidR="002519C9" w:rsidRPr="001B3779">
        <w:rPr>
          <w:lang w:val="fr-FR"/>
        </w:rPr>
        <w:t xml:space="preserve">de déplacement </w:t>
      </w:r>
      <w:r w:rsidR="00E1500D" w:rsidRPr="001B3779">
        <w:rPr>
          <w:lang w:val="fr-FR"/>
        </w:rPr>
        <w:t>continu vers le nord de l’aire de répartition de certaines espèces</w:t>
      </w:r>
      <w:r w:rsidR="00F371CC" w:rsidRPr="001B3779">
        <w:rPr>
          <w:lang w:val="fr-FR"/>
        </w:rPr>
        <w:t>, augmentant le trafic maritime</w:t>
      </w:r>
      <w:r w:rsidR="001056B3" w:rsidRPr="001B3779">
        <w:rPr>
          <w:lang w:val="fr-FR"/>
        </w:rPr>
        <w:t xml:space="preserve"> et l’</w:t>
      </w:r>
      <w:r w:rsidR="3893AA4C" w:rsidRPr="001B3779">
        <w:rPr>
          <w:lang w:val="fr-FR"/>
        </w:rPr>
        <w:t>exploration</w:t>
      </w:r>
      <w:r w:rsidR="001056B3" w:rsidRPr="001B3779">
        <w:rPr>
          <w:lang w:val="fr-FR"/>
        </w:rPr>
        <w:t xml:space="preserve"> du pétrole</w:t>
      </w:r>
      <w:r w:rsidR="00A77E50" w:rsidRPr="001B3779">
        <w:rPr>
          <w:lang w:val="fr-FR"/>
        </w:rPr>
        <w:t xml:space="preserve">. </w:t>
      </w:r>
    </w:p>
    <w:p w14:paraId="61607817" w14:textId="2230A75D" w:rsidR="00A77E50" w:rsidRPr="001B3779" w:rsidRDefault="0014083C" w:rsidP="00B41674">
      <w:pPr>
        <w:pStyle w:val="BodyText"/>
        <w:spacing w:before="160"/>
        <w:ind w:left="720" w:right="733"/>
        <w:jc w:val="both"/>
        <w:rPr>
          <w:b/>
          <w:bCs/>
          <w:i/>
          <w:iCs/>
          <w:lang w:val="fr-FR"/>
        </w:rPr>
      </w:pPr>
      <w:r w:rsidRPr="001B3779">
        <w:rPr>
          <w:b/>
          <w:bCs/>
          <w:i/>
          <w:iCs/>
          <w:lang w:val="fr-FR"/>
        </w:rPr>
        <w:t>Recommandations </w:t>
      </w:r>
      <w:r w:rsidR="00A77E50" w:rsidRPr="001B3779">
        <w:rPr>
          <w:b/>
          <w:bCs/>
          <w:i/>
          <w:iCs/>
          <w:lang w:val="fr-FR"/>
        </w:rPr>
        <w:t>:</w:t>
      </w:r>
    </w:p>
    <w:p w14:paraId="64DC0DD0" w14:textId="53534CCC" w:rsidR="00A77E50" w:rsidRPr="001B3779" w:rsidRDefault="003C44F9" w:rsidP="4C5BE89A">
      <w:pPr>
        <w:pStyle w:val="BodyText"/>
        <w:numPr>
          <w:ilvl w:val="0"/>
          <w:numId w:val="7"/>
        </w:numPr>
        <w:spacing w:before="160"/>
        <w:ind w:right="733"/>
        <w:jc w:val="both"/>
        <w:rPr>
          <w:b/>
          <w:bCs/>
          <w:i/>
          <w:iCs/>
          <w:lang w:val="fr-FR"/>
        </w:rPr>
      </w:pPr>
      <w:r w:rsidRPr="001B3779">
        <w:rPr>
          <w:b/>
          <w:bCs/>
          <w:i/>
          <w:iCs/>
          <w:lang w:val="fr-FR"/>
        </w:rPr>
        <w:t>Renforcer la surveillance</w:t>
      </w:r>
      <w:r w:rsidR="00782F86" w:rsidRPr="001B3779">
        <w:rPr>
          <w:b/>
          <w:bCs/>
          <w:i/>
          <w:iCs/>
          <w:lang w:val="fr-FR"/>
        </w:rPr>
        <w:t xml:space="preserve"> sur le terrain des oiseaux marins et des échassiers reproducteurs </w:t>
      </w:r>
      <w:r w:rsidR="00782F86" w:rsidRPr="001B3779">
        <w:rPr>
          <w:b/>
          <w:bCs/>
          <w:i/>
          <w:iCs/>
          <w:lang w:val="fr-FR"/>
        </w:rPr>
        <w:lastRenderedPageBreak/>
        <w:t>en Arctique </w:t>
      </w:r>
      <w:r w:rsidR="00787005" w:rsidRPr="001B3779">
        <w:rPr>
          <w:b/>
          <w:bCs/>
          <w:i/>
          <w:iCs/>
          <w:lang w:val="fr-FR"/>
        </w:rPr>
        <w:t>;</w:t>
      </w:r>
    </w:p>
    <w:p w14:paraId="7299EDA1" w14:textId="5B82D5EE" w:rsidR="00787005" w:rsidRPr="001B3779" w:rsidRDefault="009F6A89" w:rsidP="00321B0D">
      <w:pPr>
        <w:pStyle w:val="BodyText"/>
        <w:numPr>
          <w:ilvl w:val="0"/>
          <w:numId w:val="7"/>
        </w:numPr>
        <w:spacing w:before="160"/>
        <w:ind w:right="733"/>
        <w:jc w:val="both"/>
        <w:rPr>
          <w:lang w:val="fr-FR"/>
        </w:rPr>
      </w:pPr>
      <w:r w:rsidRPr="001B3779">
        <w:rPr>
          <w:b/>
          <w:bCs/>
          <w:i/>
          <w:iCs/>
          <w:lang w:val="fr-FR"/>
        </w:rPr>
        <w:t>Explore</w:t>
      </w:r>
      <w:r w:rsidR="00205861" w:rsidRPr="001B3779">
        <w:rPr>
          <w:b/>
          <w:bCs/>
          <w:i/>
          <w:iCs/>
          <w:lang w:val="fr-FR"/>
        </w:rPr>
        <w:t>r les</w:t>
      </w:r>
      <w:r w:rsidRPr="001B3779">
        <w:rPr>
          <w:b/>
          <w:bCs/>
          <w:i/>
          <w:iCs/>
          <w:lang w:val="fr-FR"/>
        </w:rPr>
        <w:t xml:space="preserve"> options </w:t>
      </w:r>
      <w:r w:rsidR="00205861" w:rsidRPr="001B3779">
        <w:rPr>
          <w:b/>
          <w:bCs/>
          <w:i/>
          <w:iCs/>
          <w:lang w:val="fr-FR"/>
        </w:rPr>
        <w:t>pour identifier et surveiller les</w:t>
      </w:r>
      <w:r w:rsidRPr="001B3779">
        <w:rPr>
          <w:b/>
          <w:bCs/>
          <w:i/>
          <w:iCs/>
          <w:lang w:val="fr-FR"/>
        </w:rPr>
        <w:t xml:space="preserve"> sites</w:t>
      </w:r>
      <w:r w:rsidR="00205861" w:rsidRPr="001B3779">
        <w:rPr>
          <w:b/>
          <w:bCs/>
          <w:i/>
          <w:iCs/>
          <w:lang w:val="fr-FR"/>
        </w:rPr>
        <w:t xml:space="preserve"> d’importance internationale</w:t>
      </w:r>
      <w:r w:rsidRPr="001B3779">
        <w:rPr>
          <w:b/>
          <w:bCs/>
          <w:i/>
          <w:iCs/>
          <w:lang w:val="fr-FR"/>
        </w:rPr>
        <w:t xml:space="preserve">. </w:t>
      </w:r>
    </w:p>
    <w:p w14:paraId="64C496F5" w14:textId="4B7F9763" w:rsidR="00174E18" w:rsidRPr="001B3779" w:rsidRDefault="00174E18" w:rsidP="00111B4A">
      <w:pPr>
        <w:pStyle w:val="BodyText"/>
        <w:spacing w:before="160"/>
        <w:ind w:left="720" w:right="733"/>
        <w:jc w:val="both"/>
        <w:rPr>
          <w:b/>
          <w:bCs/>
          <w:lang w:val="fr-FR"/>
        </w:rPr>
      </w:pPr>
    </w:p>
    <w:p w14:paraId="78DF9032" w14:textId="09D3487D" w:rsidR="00BE4165" w:rsidRPr="001B3779" w:rsidRDefault="00116F67" w:rsidP="00111B4A">
      <w:pPr>
        <w:pStyle w:val="BodyText"/>
        <w:spacing w:before="160"/>
        <w:ind w:left="720" w:right="733"/>
        <w:jc w:val="both"/>
        <w:rPr>
          <w:b/>
          <w:bCs/>
          <w:sz w:val="24"/>
          <w:szCs w:val="24"/>
          <w:lang w:val="fr-FR"/>
        </w:rPr>
      </w:pPr>
      <w:r w:rsidRPr="001B3779">
        <w:rPr>
          <w:b/>
          <w:sz w:val="21"/>
          <w:szCs w:val="24"/>
          <w:lang w:val="fr-FR"/>
        </w:rPr>
        <w:t>Coopération trilatérale de la mer des Wadden</w:t>
      </w:r>
    </w:p>
    <w:p w14:paraId="43A4BE87" w14:textId="6A624B4C" w:rsidR="008B0F33" w:rsidRPr="001B3779" w:rsidRDefault="00C9578F" w:rsidP="008B0F33">
      <w:pPr>
        <w:pStyle w:val="BodyText"/>
        <w:spacing w:before="160"/>
        <w:ind w:left="720" w:right="733"/>
        <w:jc w:val="both"/>
        <w:rPr>
          <w:lang w:val="fr-FR"/>
        </w:rPr>
      </w:pPr>
      <w:r w:rsidRPr="001B3779">
        <w:rPr>
          <w:lang w:val="fr-FR"/>
        </w:rPr>
        <w:t xml:space="preserve">La Coopération trilatérale de la mer des Wadden </w:t>
      </w:r>
      <w:r w:rsidR="005F688B" w:rsidRPr="001B3779">
        <w:rPr>
          <w:lang w:val="fr-FR"/>
        </w:rPr>
        <w:t>possède</w:t>
      </w:r>
      <w:r w:rsidRPr="001B3779">
        <w:rPr>
          <w:lang w:val="fr-FR"/>
        </w:rPr>
        <w:t xml:space="preserve"> un</w:t>
      </w:r>
      <w:r w:rsidR="00F461C4" w:rsidRPr="001B3779">
        <w:rPr>
          <w:lang w:val="fr-FR"/>
        </w:rPr>
        <w:t xml:space="preserve"> programme </w:t>
      </w:r>
      <w:r w:rsidR="002028AE" w:rsidRPr="001B3779">
        <w:rPr>
          <w:lang w:val="fr-FR"/>
        </w:rPr>
        <w:t xml:space="preserve">conjoint de surveillance dont </w:t>
      </w:r>
      <w:r w:rsidR="002C6454" w:rsidRPr="001B3779">
        <w:rPr>
          <w:lang w:val="fr-FR"/>
        </w:rPr>
        <w:t>les résultats</w:t>
      </w:r>
      <w:r w:rsidR="002028AE" w:rsidRPr="001B3779">
        <w:rPr>
          <w:lang w:val="fr-FR"/>
        </w:rPr>
        <w:t xml:space="preserve"> servent aux rapports prévus par l’</w:t>
      </w:r>
      <w:r w:rsidR="00F461C4" w:rsidRPr="001B3779">
        <w:rPr>
          <w:lang w:val="fr-FR"/>
        </w:rPr>
        <w:t xml:space="preserve">Article 12 </w:t>
      </w:r>
      <w:r w:rsidR="002028AE" w:rsidRPr="001B3779">
        <w:rPr>
          <w:lang w:val="fr-FR"/>
        </w:rPr>
        <w:t>de la Directive Oiseaux de l’UE</w:t>
      </w:r>
      <w:r w:rsidR="001F5DFC" w:rsidRPr="001B3779">
        <w:rPr>
          <w:lang w:val="fr-FR"/>
        </w:rPr>
        <w:t>, ainsi qu’aux rapports sous l’égide d’</w:t>
      </w:r>
      <w:r w:rsidR="00F461C4" w:rsidRPr="001B3779">
        <w:rPr>
          <w:lang w:val="fr-FR"/>
        </w:rPr>
        <w:t xml:space="preserve">OSPAR. </w:t>
      </w:r>
      <w:r w:rsidR="00933F5F" w:rsidRPr="001B3779">
        <w:rPr>
          <w:lang w:val="fr-FR"/>
        </w:rPr>
        <w:t>Toutefois, l’Initiative Voie de migration de la mer des Wadden</w:t>
      </w:r>
      <w:r w:rsidR="00977556" w:rsidRPr="001B3779">
        <w:rPr>
          <w:lang w:val="fr-FR"/>
        </w:rPr>
        <w:t xml:space="preserve"> soutient également un</w:t>
      </w:r>
      <w:r w:rsidR="007458B0" w:rsidRPr="001B3779">
        <w:rPr>
          <w:lang w:val="fr-FR"/>
        </w:rPr>
        <w:t xml:space="preserve"> programme </w:t>
      </w:r>
      <w:r w:rsidR="00977556" w:rsidRPr="001B3779">
        <w:rPr>
          <w:lang w:val="fr-FR"/>
        </w:rPr>
        <w:t>visant</w:t>
      </w:r>
      <w:r w:rsidR="006D76E2" w:rsidRPr="001B3779">
        <w:rPr>
          <w:lang w:val="fr-FR"/>
        </w:rPr>
        <w:t xml:space="preserve"> à renforcer les capacités de surveillance des oiseaux d’eau, qui représente un mécanisme vital pour maintenir les activités de suivi le long de la Voie de migration de l’Atlantique Est</w:t>
      </w:r>
      <w:r w:rsidR="006C1175" w:rsidRPr="001B3779">
        <w:rPr>
          <w:lang w:val="fr-FR"/>
        </w:rPr>
        <w:t xml:space="preserve">. </w:t>
      </w:r>
      <w:r w:rsidR="00741B21" w:rsidRPr="001B3779">
        <w:rPr>
          <w:lang w:val="fr-FR"/>
        </w:rPr>
        <w:t>Les résultats</w:t>
      </w:r>
      <w:r w:rsidR="008B03BF" w:rsidRPr="001B3779">
        <w:rPr>
          <w:lang w:val="fr-FR"/>
        </w:rPr>
        <w:t xml:space="preserve"> de cette surveillance sont intégrés à la base de données de l’</w:t>
      </w:r>
      <w:r w:rsidR="00AE40B2" w:rsidRPr="001B3779">
        <w:rPr>
          <w:lang w:val="fr-FR"/>
        </w:rPr>
        <w:t xml:space="preserve">IWC </w:t>
      </w:r>
      <w:r w:rsidR="008B03BF" w:rsidRPr="001B3779">
        <w:rPr>
          <w:lang w:val="fr-FR"/>
        </w:rPr>
        <w:t xml:space="preserve">et sont analysés conjointement avec les autres </w:t>
      </w:r>
      <w:r w:rsidR="00E35F9B" w:rsidRPr="001B3779">
        <w:rPr>
          <w:lang w:val="fr-FR"/>
        </w:rPr>
        <w:t>données de l’</w:t>
      </w:r>
      <w:r w:rsidR="006C1175" w:rsidRPr="001B3779">
        <w:rPr>
          <w:lang w:val="fr-FR"/>
        </w:rPr>
        <w:t>IWC</w:t>
      </w:r>
      <w:r w:rsidR="0035298E" w:rsidRPr="001B3779">
        <w:rPr>
          <w:lang w:val="fr-FR"/>
        </w:rPr>
        <w:t>.</w:t>
      </w:r>
      <w:r w:rsidR="00AB7D91" w:rsidRPr="001B3779">
        <w:rPr>
          <w:lang w:val="fr-FR"/>
        </w:rPr>
        <w:t xml:space="preserve"> </w:t>
      </w:r>
      <w:r w:rsidR="00F173C6" w:rsidRPr="001B3779">
        <w:rPr>
          <w:lang w:val="fr-FR"/>
        </w:rPr>
        <w:t xml:space="preserve">Malheureusement, </w:t>
      </w:r>
      <w:r w:rsidR="00926BA2" w:rsidRPr="001B3779">
        <w:rPr>
          <w:lang w:val="fr-FR"/>
        </w:rPr>
        <w:t xml:space="preserve">le calendrier des principaux rapports et études a lieu une fois que l’analyse des données </w:t>
      </w:r>
      <w:r w:rsidR="00433A3E" w:rsidRPr="001B3779">
        <w:rPr>
          <w:lang w:val="fr-FR"/>
        </w:rPr>
        <w:t>pour les Rapports de l’</w:t>
      </w:r>
      <w:r w:rsidR="00CE0C21" w:rsidRPr="001B3779">
        <w:rPr>
          <w:lang w:val="fr-FR"/>
        </w:rPr>
        <w:t xml:space="preserve">AEWA </w:t>
      </w:r>
      <w:r w:rsidR="00433A3E" w:rsidRPr="001B3779">
        <w:rPr>
          <w:lang w:val="fr-FR"/>
        </w:rPr>
        <w:t>sur l’état de conservation</w:t>
      </w:r>
      <w:r w:rsidR="004A7ECE" w:rsidRPr="001B3779">
        <w:rPr>
          <w:lang w:val="fr-FR"/>
        </w:rPr>
        <w:t xml:space="preserve"> est achevée</w:t>
      </w:r>
      <w:r w:rsidR="00CE0C21" w:rsidRPr="001B3779">
        <w:rPr>
          <w:lang w:val="fr-FR"/>
        </w:rPr>
        <w:t xml:space="preserve">. </w:t>
      </w:r>
      <w:r w:rsidR="00905544" w:rsidRPr="001B3779">
        <w:rPr>
          <w:lang w:val="fr-FR"/>
        </w:rPr>
        <w:t>Par ailleurs, les liens sont relativement faibles entre les activités de surveillance et les rapports nationaux de l’</w:t>
      </w:r>
      <w:r w:rsidR="00C507D7" w:rsidRPr="001B3779">
        <w:rPr>
          <w:lang w:val="fr-FR"/>
        </w:rPr>
        <w:t xml:space="preserve">AEWA </w:t>
      </w:r>
      <w:r w:rsidR="00905544" w:rsidRPr="001B3779">
        <w:rPr>
          <w:lang w:val="fr-FR"/>
        </w:rPr>
        <w:t>sur l’état des</w:t>
      </w:r>
      <w:r w:rsidR="00C507D7" w:rsidRPr="001B3779">
        <w:rPr>
          <w:lang w:val="fr-FR"/>
        </w:rPr>
        <w:t xml:space="preserve"> population</w:t>
      </w:r>
      <w:r w:rsidR="00905544" w:rsidRPr="001B3779">
        <w:rPr>
          <w:lang w:val="fr-FR"/>
        </w:rPr>
        <w:t>s</w:t>
      </w:r>
      <w:r w:rsidR="00C507D7" w:rsidRPr="001B3779">
        <w:rPr>
          <w:lang w:val="fr-FR"/>
        </w:rPr>
        <w:t xml:space="preserve"> </w:t>
      </w:r>
      <w:r w:rsidR="00EF768C" w:rsidRPr="001B3779">
        <w:rPr>
          <w:lang w:val="fr-FR"/>
        </w:rPr>
        <w:t>(</w:t>
      </w:r>
      <w:r w:rsidR="00905544" w:rsidRPr="001B3779">
        <w:rPr>
          <w:lang w:val="fr-FR"/>
        </w:rPr>
        <w:t>seu</w:t>
      </w:r>
      <w:r w:rsidR="00B60E24" w:rsidRPr="001B3779">
        <w:rPr>
          <w:lang w:val="fr-FR"/>
        </w:rPr>
        <w:t>les 5 des</w:t>
      </w:r>
      <w:r w:rsidR="00AA0911" w:rsidRPr="001B3779">
        <w:rPr>
          <w:lang w:val="fr-FR"/>
        </w:rPr>
        <w:t xml:space="preserve"> 12 </w:t>
      </w:r>
      <w:r w:rsidR="00B60E24" w:rsidRPr="001B3779">
        <w:rPr>
          <w:lang w:val="fr-FR"/>
        </w:rPr>
        <w:t>Parties africaines de l’</w:t>
      </w:r>
      <w:r w:rsidR="002F5841" w:rsidRPr="001B3779">
        <w:rPr>
          <w:lang w:val="fr-FR"/>
        </w:rPr>
        <w:t xml:space="preserve">AEWA </w:t>
      </w:r>
      <w:r w:rsidR="00B60E24" w:rsidRPr="001B3779">
        <w:rPr>
          <w:lang w:val="fr-FR"/>
        </w:rPr>
        <w:t>le long de la Voie de migration de l’Atlantique Est ont soumis un rapport en</w:t>
      </w:r>
      <w:r w:rsidR="25221257" w:rsidRPr="001B3779">
        <w:rPr>
          <w:lang w:val="fr-FR"/>
        </w:rPr>
        <w:t xml:space="preserve"> 2020</w:t>
      </w:r>
      <w:r w:rsidR="00EF768C" w:rsidRPr="001B3779">
        <w:rPr>
          <w:lang w:val="fr-FR"/>
        </w:rPr>
        <w:t>)</w:t>
      </w:r>
      <w:r w:rsidR="00C507D7" w:rsidRPr="001B3779">
        <w:rPr>
          <w:lang w:val="fr-FR"/>
        </w:rPr>
        <w:t xml:space="preserve">. </w:t>
      </w:r>
    </w:p>
    <w:p w14:paraId="5F63C57F" w14:textId="385C5B19" w:rsidR="006C1175" w:rsidRPr="001B3779" w:rsidRDefault="00B616EE" w:rsidP="00111B4A">
      <w:pPr>
        <w:pStyle w:val="BodyText"/>
        <w:spacing w:before="160"/>
        <w:ind w:left="720" w:right="733"/>
        <w:jc w:val="both"/>
        <w:rPr>
          <w:b/>
          <w:bCs/>
          <w:i/>
          <w:iCs/>
          <w:lang w:val="fr-FR"/>
        </w:rPr>
      </w:pPr>
      <w:r w:rsidRPr="001B3779">
        <w:rPr>
          <w:b/>
          <w:bCs/>
          <w:i/>
          <w:iCs/>
          <w:lang w:val="fr-FR"/>
        </w:rPr>
        <w:t>Recommandations </w:t>
      </w:r>
      <w:r w:rsidR="006C1175" w:rsidRPr="001B3779">
        <w:rPr>
          <w:b/>
          <w:bCs/>
          <w:i/>
          <w:iCs/>
          <w:lang w:val="fr-FR"/>
        </w:rPr>
        <w:t xml:space="preserve">: </w:t>
      </w:r>
    </w:p>
    <w:p w14:paraId="605266E4" w14:textId="16D9F5DB" w:rsidR="00BE4165" w:rsidRPr="001B3779" w:rsidRDefault="006C1175" w:rsidP="006C1175">
      <w:pPr>
        <w:pStyle w:val="BodyText"/>
        <w:numPr>
          <w:ilvl w:val="0"/>
          <w:numId w:val="8"/>
        </w:numPr>
        <w:spacing w:before="160"/>
        <w:ind w:right="733"/>
        <w:jc w:val="both"/>
        <w:rPr>
          <w:b/>
          <w:bCs/>
          <w:i/>
          <w:iCs/>
          <w:lang w:val="fr-FR"/>
        </w:rPr>
      </w:pPr>
      <w:r w:rsidRPr="001B3779">
        <w:rPr>
          <w:b/>
          <w:bCs/>
          <w:i/>
          <w:iCs/>
          <w:lang w:val="fr-FR"/>
        </w:rPr>
        <w:t>Encourage</w:t>
      </w:r>
      <w:r w:rsidR="008D75B1" w:rsidRPr="001B3779">
        <w:rPr>
          <w:b/>
          <w:bCs/>
          <w:i/>
          <w:iCs/>
          <w:lang w:val="fr-FR"/>
        </w:rPr>
        <w:t>r</w:t>
      </w:r>
      <w:r w:rsidRPr="001B3779">
        <w:rPr>
          <w:b/>
          <w:bCs/>
          <w:i/>
          <w:iCs/>
          <w:lang w:val="fr-FR"/>
        </w:rPr>
        <w:t xml:space="preserve"> </w:t>
      </w:r>
      <w:r w:rsidR="008D75B1" w:rsidRPr="001B3779">
        <w:rPr>
          <w:b/>
          <w:bCs/>
          <w:i/>
          <w:iCs/>
          <w:lang w:val="fr-FR"/>
        </w:rPr>
        <w:t>les pays le long de la mer des</w:t>
      </w:r>
      <w:r w:rsidR="00AB7D91" w:rsidRPr="001B3779">
        <w:rPr>
          <w:b/>
          <w:bCs/>
          <w:i/>
          <w:iCs/>
          <w:lang w:val="fr-FR"/>
        </w:rPr>
        <w:t xml:space="preserve"> Wa</w:t>
      </w:r>
      <w:r w:rsidR="00DC7BE6" w:rsidRPr="001B3779">
        <w:rPr>
          <w:b/>
          <w:bCs/>
          <w:i/>
          <w:iCs/>
          <w:lang w:val="fr-FR"/>
        </w:rPr>
        <w:t xml:space="preserve">dden </w:t>
      </w:r>
      <w:r w:rsidR="008D75B1" w:rsidRPr="001B3779">
        <w:rPr>
          <w:b/>
          <w:bCs/>
          <w:i/>
          <w:iCs/>
          <w:lang w:val="fr-FR"/>
        </w:rPr>
        <w:t>et le</w:t>
      </w:r>
      <w:r w:rsidR="00D336CC" w:rsidRPr="001B3779">
        <w:rPr>
          <w:b/>
          <w:bCs/>
          <w:i/>
          <w:iCs/>
          <w:lang w:val="fr-FR"/>
        </w:rPr>
        <w:t xml:space="preserve"> Secr</w:t>
      </w:r>
      <w:r w:rsidR="008D75B1" w:rsidRPr="001B3779">
        <w:rPr>
          <w:b/>
          <w:bCs/>
          <w:i/>
          <w:iCs/>
          <w:lang w:val="fr-FR"/>
        </w:rPr>
        <w:t>é</w:t>
      </w:r>
      <w:r w:rsidR="00D336CC" w:rsidRPr="001B3779">
        <w:rPr>
          <w:b/>
          <w:bCs/>
          <w:i/>
          <w:iCs/>
          <w:lang w:val="fr-FR"/>
        </w:rPr>
        <w:t xml:space="preserve">tariat </w:t>
      </w:r>
      <w:r w:rsidR="008D75B1" w:rsidRPr="001B3779">
        <w:rPr>
          <w:b/>
          <w:bCs/>
          <w:i/>
          <w:iCs/>
          <w:lang w:val="fr-FR"/>
        </w:rPr>
        <w:t>à</w:t>
      </w:r>
      <w:r w:rsidR="00DC7BE6" w:rsidRPr="001B3779">
        <w:rPr>
          <w:b/>
          <w:bCs/>
          <w:i/>
          <w:iCs/>
          <w:lang w:val="fr-FR"/>
        </w:rPr>
        <w:t xml:space="preserve"> continue</w:t>
      </w:r>
      <w:r w:rsidR="008D75B1" w:rsidRPr="001B3779">
        <w:rPr>
          <w:b/>
          <w:bCs/>
          <w:i/>
          <w:iCs/>
          <w:lang w:val="fr-FR"/>
        </w:rPr>
        <w:t>r</w:t>
      </w:r>
      <w:r w:rsidR="00DC7BE6" w:rsidRPr="001B3779">
        <w:rPr>
          <w:b/>
          <w:bCs/>
          <w:i/>
          <w:iCs/>
          <w:lang w:val="fr-FR"/>
        </w:rPr>
        <w:t xml:space="preserve"> </w:t>
      </w:r>
      <w:r w:rsidR="00073A7F" w:rsidRPr="001B3779">
        <w:rPr>
          <w:b/>
          <w:bCs/>
          <w:i/>
          <w:iCs/>
          <w:lang w:val="fr-FR"/>
        </w:rPr>
        <w:t>à apporter un soutien technique et financier</w:t>
      </w:r>
      <w:r w:rsidR="00B77642" w:rsidRPr="001B3779">
        <w:rPr>
          <w:b/>
          <w:bCs/>
          <w:i/>
          <w:iCs/>
          <w:lang w:val="fr-FR"/>
        </w:rPr>
        <w:t xml:space="preserve"> aux pays africains le long de la Voie de migration de l’Atlantique Est </w:t>
      </w:r>
      <w:r w:rsidR="005A21EB" w:rsidRPr="001B3779">
        <w:rPr>
          <w:b/>
          <w:bCs/>
          <w:i/>
          <w:iCs/>
          <w:lang w:val="fr-FR"/>
        </w:rPr>
        <w:t>;</w:t>
      </w:r>
    </w:p>
    <w:p w14:paraId="2F7E51ED" w14:textId="20916735" w:rsidR="005A21EB" w:rsidRPr="001B3779" w:rsidRDefault="00566B0E" w:rsidP="004B4621">
      <w:pPr>
        <w:pStyle w:val="BodyText"/>
        <w:numPr>
          <w:ilvl w:val="0"/>
          <w:numId w:val="8"/>
        </w:numPr>
        <w:spacing w:before="160"/>
        <w:ind w:right="733"/>
        <w:jc w:val="both"/>
        <w:rPr>
          <w:b/>
          <w:bCs/>
          <w:i/>
          <w:iCs/>
          <w:lang w:val="fr-FR"/>
        </w:rPr>
      </w:pPr>
      <w:r w:rsidRPr="001B3779">
        <w:rPr>
          <w:b/>
          <w:bCs/>
          <w:i/>
          <w:iCs/>
          <w:lang w:val="fr-FR"/>
        </w:rPr>
        <w:t>Encourage</w:t>
      </w:r>
      <w:r w:rsidR="00AF5F35" w:rsidRPr="001B3779">
        <w:rPr>
          <w:b/>
          <w:bCs/>
          <w:i/>
          <w:iCs/>
          <w:lang w:val="fr-FR"/>
        </w:rPr>
        <w:t>r</w:t>
      </w:r>
      <w:r w:rsidRPr="001B3779">
        <w:rPr>
          <w:b/>
          <w:bCs/>
          <w:i/>
          <w:iCs/>
          <w:lang w:val="fr-FR"/>
        </w:rPr>
        <w:t xml:space="preserve"> </w:t>
      </w:r>
      <w:r w:rsidR="00AF5F35" w:rsidRPr="001B3779">
        <w:rPr>
          <w:b/>
          <w:bCs/>
          <w:i/>
          <w:iCs/>
          <w:lang w:val="fr-FR"/>
        </w:rPr>
        <w:t>à renforcer les liens entre la collecte des données et les rapports nationaux de l’</w:t>
      </w:r>
      <w:r w:rsidR="088C7E03" w:rsidRPr="001B3779">
        <w:rPr>
          <w:b/>
          <w:bCs/>
          <w:i/>
          <w:iCs/>
          <w:lang w:val="fr-FR"/>
        </w:rPr>
        <w:t xml:space="preserve">AEWA </w:t>
      </w:r>
      <w:r w:rsidR="00AF5F35" w:rsidRPr="001B3779">
        <w:rPr>
          <w:b/>
          <w:bCs/>
          <w:i/>
          <w:iCs/>
          <w:lang w:val="fr-FR"/>
        </w:rPr>
        <w:t>sur l’état des</w:t>
      </w:r>
      <w:r w:rsidR="00EF4165" w:rsidRPr="001B3779">
        <w:rPr>
          <w:b/>
          <w:bCs/>
          <w:i/>
          <w:iCs/>
          <w:lang w:val="fr-FR"/>
        </w:rPr>
        <w:t xml:space="preserve"> population</w:t>
      </w:r>
      <w:r w:rsidR="00AF5F35" w:rsidRPr="001B3779">
        <w:rPr>
          <w:b/>
          <w:bCs/>
          <w:i/>
          <w:iCs/>
          <w:lang w:val="fr-FR"/>
        </w:rPr>
        <w:t>s</w:t>
      </w:r>
      <w:r w:rsidR="00EF4165" w:rsidRPr="001B3779">
        <w:rPr>
          <w:b/>
          <w:bCs/>
          <w:i/>
          <w:iCs/>
          <w:lang w:val="fr-FR"/>
        </w:rPr>
        <w:t xml:space="preserve">. </w:t>
      </w:r>
    </w:p>
    <w:p w14:paraId="416B1B49" w14:textId="77777777" w:rsidR="0086162C" w:rsidRPr="001B3779" w:rsidRDefault="0086162C" w:rsidP="00637B6B">
      <w:pPr>
        <w:pStyle w:val="BodyText"/>
        <w:spacing w:before="160"/>
        <w:ind w:left="720" w:right="733"/>
        <w:jc w:val="both"/>
        <w:rPr>
          <w:lang w:val="fr-FR"/>
        </w:rPr>
      </w:pPr>
    </w:p>
    <w:p w14:paraId="67288759" w14:textId="2CF12BBA" w:rsidR="00AC517A" w:rsidRPr="001B3779" w:rsidRDefault="0086162C" w:rsidP="00637B6B">
      <w:pPr>
        <w:pStyle w:val="BodyText"/>
        <w:spacing w:before="160"/>
        <w:ind w:left="720" w:right="733"/>
        <w:jc w:val="both"/>
        <w:rPr>
          <w:b/>
          <w:bCs/>
          <w:lang w:val="fr-FR"/>
        </w:rPr>
      </w:pPr>
      <w:r w:rsidRPr="001B3779">
        <w:rPr>
          <w:b/>
          <w:bCs/>
          <w:lang w:val="fr-FR"/>
        </w:rPr>
        <w:t>List</w:t>
      </w:r>
      <w:r w:rsidR="00496D03" w:rsidRPr="001B3779">
        <w:rPr>
          <w:b/>
          <w:bCs/>
          <w:lang w:val="fr-FR"/>
        </w:rPr>
        <w:t>e rouge de l’UICN</w:t>
      </w:r>
    </w:p>
    <w:p w14:paraId="5D318EDC" w14:textId="7EBF2540" w:rsidR="008B0F33" w:rsidRPr="001B3779" w:rsidRDefault="00E7306E" w:rsidP="008B0F33">
      <w:pPr>
        <w:pStyle w:val="BodyText"/>
        <w:spacing w:before="160"/>
        <w:ind w:left="720" w:right="733"/>
        <w:jc w:val="both"/>
        <w:rPr>
          <w:lang w:val="fr-FR"/>
        </w:rPr>
      </w:pPr>
      <w:r w:rsidRPr="001B3779">
        <w:rPr>
          <w:lang w:val="fr-FR"/>
        </w:rPr>
        <w:t>L’autorité en charge de la</w:t>
      </w:r>
      <w:r w:rsidR="0086162C" w:rsidRPr="001B3779">
        <w:rPr>
          <w:lang w:val="fr-FR"/>
        </w:rPr>
        <w:t xml:space="preserve"> List</w:t>
      </w:r>
      <w:r w:rsidRPr="001B3779">
        <w:rPr>
          <w:lang w:val="fr-FR"/>
        </w:rPr>
        <w:t>e</w:t>
      </w:r>
      <w:r w:rsidR="0086162C" w:rsidRPr="001B3779">
        <w:rPr>
          <w:lang w:val="fr-FR"/>
        </w:rPr>
        <w:t xml:space="preserve"> </w:t>
      </w:r>
      <w:r w:rsidRPr="001B3779">
        <w:rPr>
          <w:lang w:val="fr-FR"/>
        </w:rPr>
        <w:t>rouge</w:t>
      </w:r>
      <w:r w:rsidR="00E563A5" w:rsidRPr="001B3779">
        <w:rPr>
          <w:lang w:val="fr-FR"/>
        </w:rPr>
        <w:t xml:space="preserve"> de l’UICN</w:t>
      </w:r>
      <w:r w:rsidR="00026018">
        <w:rPr>
          <w:lang w:val="fr-FR"/>
        </w:rPr>
        <w:t xml:space="preserve"> en ce qui concerne les oiseaux</w:t>
      </w:r>
      <w:r w:rsidR="00E563A5" w:rsidRPr="001B3779">
        <w:rPr>
          <w:lang w:val="fr-FR"/>
        </w:rPr>
        <w:t xml:space="preserve"> est</w:t>
      </w:r>
      <w:r w:rsidR="0086162C" w:rsidRPr="001B3779">
        <w:rPr>
          <w:lang w:val="fr-FR"/>
        </w:rPr>
        <w:t xml:space="preserve"> </w:t>
      </w:r>
      <w:proofErr w:type="spellStart"/>
      <w:r w:rsidR="0086162C" w:rsidRPr="001B3779">
        <w:rPr>
          <w:lang w:val="fr-FR"/>
        </w:rPr>
        <w:t>BirdLife</w:t>
      </w:r>
      <w:proofErr w:type="spellEnd"/>
      <w:r w:rsidR="0086162C" w:rsidRPr="001B3779">
        <w:rPr>
          <w:lang w:val="fr-FR"/>
        </w:rPr>
        <w:t xml:space="preserve"> International</w:t>
      </w:r>
      <w:r w:rsidR="00D87A0B" w:rsidRPr="001B3779">
        <w:rPr>
          <w:lang w:val="fr-FR"/>
        </w:rPr>
        <w:t xml:space="preserve"> </w:t>
      </w:r>
      <w:r w:rsidR="00E563A5" w:rsidRPr="001B3779">
        <w:rPr>
          <w:lang w:val="fr-FR"/>
        </w:rPr>
        <w:t>et il existe déjà une collaboration bien établie entre l’</w:t>
      </w:r>
      <w:r w:rsidR="00D87A0B" w:rsidRPr="001B3779">
        <w:rPr>
          <w:lang w:val="fr-FR"/>
        </w:rPr>
        <w:t>AEWA</w:t>
      </w:r>
      <w:r w:rsidR="3AE8688E" w:rsidRPr="001B3779">
        <w:rPr>
          <w:lang w:val="fr-FR"/>
        </w:rPr>
        <w:t xml:space="preserve"> </w:t>
      </w:r>
      <w:r w:rsidR="00E563A5" w:rsidRPr="001B3779">
        <w:rPr>
          <w:lang w:val="fr-FR"/>
        </w:rPr>
        <w:t>et</w:t>
      </w:r>
      <w:r w:rsidR="00D87A0B" w:rsidRPr="001B3779">
        <w:rPr>
          <w:lang w:val="fr-FR"/>
        </w:rPr>
        <w:t xml:space="preserve"> </w:t>
      </w:r>
      <w:proofErr w:type="spellStart"/>
      <w:r w:rsidR="00D87A0B" w:rsidRPr="001B3779">
        <w:rPr>
          <w:lang w:val="fr-FR"/>
        </w:rPr>
        <w:t>BirdLife</w:t>
      </w:r>
      <w:proofErr w:type="spellEnd"/>
      <w:r w:rsidR="00D87A0B" w:rsidRPr="001B3779">
        <w:rPr>
          <w:lang w:val="fr-FR"/>
        </w:rPr>
        <w:t xml:space="preserve"> International</w:t>
      </w:r>
      <w:r w:rsidR="00B6500F" w:rsidRPr="001B3779">
        <w:rPr>
          <w:lang w:val="fr-FR"/>
        </w:rPr>
        <w:t xml:space="preserve"> </w:t>
      </w:r>
      <w:r w:rsidR="009A6EB5" w:rsidRPr="001B3779">
        <w:rPr>
          <w:lang w:val="fr-FR"/>
        </w:rPr>
        <w:t>pour les sujets taxonomiques</w:t>
      </w:r>
      <w:r w:rsidR="003F6EEC" w:rsidRPr="001B3779">
        <w:rPr>
          <w:lang w:val="fr-FR"/>
        </w:rPr>
        <w:t xml:space="preserve"> et </w:t>
      </w:r>
      <w:r w:rsidR="009A6EB5" w:rsidRPr="001B3779">
        <w:rPr>
          <w:lang w:val="fr-FR"/>
        </w:rPr>
        <w:t>les évalu</w:t>
      </w:r>
      <w:r w:rsidR="003F6EEC" w:rsidRPr="001B3779">
        <w:rPr>
          <w:lang w:val="fr-FR"/>
        </w:rPr>
        <w:t>a</w:t>
      </w:r>
      <w:r w:rsidR="009A6EB5" w:rsidRPr="001B3779">
        <w:rPr>
          <w:lang w:val="fr-FR"/>
        </w:rPr>
        <w:t>tions de la</w:t>
      </w:r>
      <w:r w:rsidR="00D87A0B" w:rsidRPr="001B3779">
        <w:rPr>
          <w:lang w:val="fr-FR"/>
        </w:rPr>
        <w:t xml:space="preserve"> List</w:t>
      </w:r>
      <w:r w:rsidR="009A6EB5" w:rsidRPr="001B3779">
        <w:rPr>
          <w:lang w:val="fr-FR"/>
        </w:rPr>
        <w:t>e</w:t>
      </w:r>
      <w:r w:rsidR="00D87A0B" w:rsidRPr="001B3779">
        <w:rPr>
          <w:lang w:val="fr-FR"/>
        </w:rPr>
        <w:t xml:space="preserve"> </w:t>
      </w:r>
      <w:r w:rsidR="009A6EB5" w:rsidRPr="001B3779">
        <w:rPr>
          <w:lang w:val="fr-FR"/>
        </w:rPr>
        <w:t>rouge</w:t>
      </w:r>
      <w:r w:rsidR="00366B64" w:rsidRPr="001B3779">
        <w:rPr>
          <w:lang w:val="fr-FR"/>
        </w:rPr>
        <w:t xml:space="preserve">. En effet, </w:t>
      </w:r>
      <w:r w:rsidR="009F0433" w:rsidRPr="001B3779">
        <w:rPr>
          <w:lang w:val="fr-FR"/>
        </w:rPr>
        <w:t>les Rapports de l’</w:t>
      </w:r>
      <w:r w:rsidR="00E9657F" w:rsidRPr="001B3779">
        <w:rPr>
          <w:lang w:val="fr-FR"/>
        </w:rPr>
        <w:t xml:space="preserve">AEWA </w:t>
      </w:r>
      <w:r w:rsidR="009F0433" w:rsidRPr="001B3779">
        <w:rPr>
          <w:lang w:val="fr-FR"/>
        </w:rPr>
        <w:t xml:space="preserve">sur l’état de conservation </w:t>
      </w:r>
      <w:r w:rsidR="007C47A7" w:rsidRPr="001B3779">
        <w:rPr>
          <w:lang w:val="fr-FR"/>
        </w:rPr>
        <w:t>alimentent les évaluations de la</w:t>
      </w:r>
      <w:r w:rsidR="00E9657F" w:rsidRPr="001B3779">
        <w:rPr>
          <w:lang w:val="fr-FR"/>
        </w:rPr>
        <w:t xml:space="preserve"> List</w:t>
      </w:r>
      <w:r w:rsidR="007C47A7" w:rsidRPr="001B3779">
        <w:rPr>
          <w:lang w:val="fr-FR"/>
        </w:rPr>
        <w:t>e rouge</w:t>
      </w:r>
      <w:r w:rsidR="00366B64" w:rsidRPr="001B3779">
        <w:rPr>
          <w:lang w:val="fr-FR"/>
        </w:rPr>
        <w:t>, tandis que</w:t>
      </w:r>
      <w:r w:rsidR="007C47A7" w:rsidRPr="001B3779">
        <w:rPr>
          <w:lang w:val="fr-FR"/>
        </w:rPr>
        <w:t xml:space="preserve"> les ébauches</w:t>
      </w:r>
      <w:r w:rsidR="006E79FE" w:rsidRPr="001B3779">
        <w:rPr>
          <w:lang w:val="fr-FR"/>
        </w:rPr>
        <w:t xml:space="preserve"> de modification de la</w:t>
      </w:r>
      <w:r w:rsidR="00E9657F" w:rsidRPr="001B3779">
        <w:rPr>
          <w:lang w:val="fr-FR"/>
        </w:rPr>
        <w:t xml:space="preserve"> List</w:t>
      </w:r>
      <w:r w:rsidR="006E79FE" w:rsidRPr="001B3779">
        <w:rPr>
          <w:lang w:val="fr-FR"/>
        </w:rPr>
        <w:t>e rouge</w:t>
      </w:r>
      <w:r w:rsidR="00E9657F" w:rsidRPr="001B3779">
        <w:rPr>
          <w:lang w:val="fr-FR"/>
        </w:rPr>
        <w:t xml:space="preserve"> </w:t>
      </w:r>
      <w:r w:rsidR="006E79FE" w:rsidRPr="001B3779">
        <w:rPr>
          <w:lang w:val="fr-FR"/>
        </w:rPr>
        <w:t>sont communiquées au Comité technique de l’</w:t>
      </w:r>
      <w:r w:rsidR="007378FD" w:rsidRPr="001B3779">
        <w:rPr>
          <w:lang w:val="fr-FR"/>
        </w:rPr>
        <w:t xml:space="preserve">AEWA </w:t>
      </w:r>
      <w:r w:rsidR="006E79FE" w:rsidRPr="001B3779">
        <w:rPr>
          <w:lang w:val="fr-FR"/>
        </w:rPr>
        <w:t>dès la phase de</w:t>
      </w:r>
      <w:r w:rsidR="007378FD" w:rsidRPr="001B3779">
        <w:rPr>
          <w:lang w:val="fr-FR"/>
        </w:rPr>
        <w:t xml:space="preserve"> consultation </w:t>
      </w:r>
      <w:r w:rsidR="006E79FE" w:rsidRPr="001B3779">
        <w:rPr>
          <w:lang w:val="fr-FR"/>
        </w:rPr>
        <w:t>afin d’avoir sa contribution</w:t>
      </w:r>
      <w:r w:rsidR="007378FD" w:rsidRPr="001B3779">
        <w:rPr>
          <w:lang w:val="fr-FR"/>
        </w:rPr>
        <w:t xml:space="preserve">. </w:t>
      </w:r>
    </w:p>
    <w:p w14:paraId="03D174AD" w14:textId="20407026" w:rsidR="004B4621" w:rsidRPr="001B3779" w:rsidRDefault="00557CD6" w:rsidP="004B4621">
      <w:pPr>
        <w:pStyle w:val="BodyText"/>
        <w:spacing w:before="160"/>
        <w:ind w:left="720" w:right="733"/>
        <w:jc w:val="both"/>
        <w:rPr>
          <w:b/>
          <w:bCs/>
          <w:i/>
          <w:iCs/>
          <w:lang w:val="fr-FR"/>
        </w:rPr>
      </w:pPr>
      <w:r w:rsidRPr="001B3779">
        <w:rPr>
          <w:b/>
          <w:bCs/>
          <w:i/>
          <w:iCs/>
          <w:lang w:val="fr-FR"/>
        </w:rPr>
        <w:t>Recommandations </w:t>
      </w:r>
      <w:r w:rsidR="004B4621" w:rsidRPr="001B3779">
        <w:rPr>
          <w:b/>
          <w:bCs/>
          <w:i/>
          <w:iCs/>
          <w:lang w:val="fr-FR"/>
        </w:rPr>
        <w:t xml:space="preserve">: </w:t>
      </w:r>
    </w:p>
    <w:p w14:paraId="00A932E9" w14:textId="423D4C04" w:rsidR="00B11B41" w:rsidRPr="001B3779" w:rsidRDefault="003A38F1" w:rsidP="004B4621">
      <w:pPr>
        <w:pStyle w:val="BodyText"/>
        <w:numPr>
          <w:ilvl w:val="0"/>
          <w:numId w:val="12"/>
        </w:numPr>
        <w:spacing w:before="160"/>
        <w:ind w:right="733"/>
        <w:jc w:val="both"/>
        <w:rPr>
          <w:b/>
          <w:bCs/>
          <w:i/>
          <w:iCs/>
          <w:lang w:val="fr-FR"/>
        </w:rPr>
      </w:pPr>
      <w:r w:rsidRPr="001B3779">
        <w:rPr>
          <w:b/>
          <w:bCs/>
          <w:i/>
          <w:iCs/>
          <w:lang w:val="fr-FR"/>
        </w:rPr>
        <w:t>L’</w:t>
      </w:r>
      <w:r w:rsidR="00EA4183" w:rsidRPr="001B3779">
        <w:rPr>
          <w:b/>
          <w:bCs/>
          <w:i/>
          <w:iCs/>
          <w:lang w:val="fr-FR"/>
        </w:rPr>
        <w:t xml:space="preserve">AEWA </w:t>
      </w:r>
      <w:r w:rsidRPr="001B3779">
        <w:rPr>
          <w:b/>
          <w:bCs/>
          <w:i/>
          <w:iCs/>
          <w:lang w:val="fr-FR"/>
        </w:rPr>
        <w:t xml:space="preserve">doit </w:t>
      </w:r>
      <w:r w:rsidR="00092CD1" w:rsidRPr="001B3779">
        <w:rPr>
          <w:b/>
          <w:bCs/>
          <w:i/>
          <w:iCs/>
          <w:lang w:val="fr-FR"/>
        </w:rPr>
        <w:t>fournir des données pour les évaluations de la</w:t>
      </w:r>
      <w:r w:rsidR="00EA4183" w:rsidRPr="001B3779">
        <w:rPr>
          <w:b/>
          <w:bCs/>
          <w:i/>
          <w:iCs/>
          <w:lang w:val="fr-FR"/>
        </w:rPr>
        <w:t xml:space="preserve"> List</w:t>
      </w:r>
      <w:r w:rsidR="00092CD1" w:rsidRPr="001B3779">
        <w:rPr>
          <w:b/>
          <w:bCs/>
          <w:i/>
          <w:iCs/>
          <w:lang w:val="fr-FR"/>
        </w:rPr>
        <w:t>e rouge ;</w:t>
      </w:r>
    </w:p>
    <w:p w14:paraId="25188BED" w14:textId="45B396D1" w:rsidR="008B0F33" w:rsidRPr="001B3779" w:rsidRDefault="00092CD1" w:rsidP="008B0F33">
      <w:pPr>
        <w:pStyle w:val="BodyText"/>
        <w:numPr>
          <w:ilvl w:val="0"/>
          <w:numId w:val="12"/>
        </w:numPr>
        <w:spacing w:before="160"/>
        <w:ind w:right="733"/>
        <w:jc w:val="both"/>
        <w:rPr>
          <w:b/>
          <w:bCs/>
          <w:i/>
          <w:iCs/>
          <w:lang w:val="fr-FR"/>
        </w:rPr>
      </w:pPr>
      <w:r w:rsidRPr="001B3779">
        <w:rPr>
          <w:b/>
          <w:bCs/>
          <w:i/>
          <w:iCs/>
          <w:lang w:val="fr-FR"/>
        </w:rPr>
        <w:t>Maintenir l’alignement de la taxonomie de l’</w:t>
      </w:r>
      <w:r w:rsidR="00B11B41" w:rsidRPr="001B3779">
        <w:rPr>
          <w:b/>
          <w:bCs/>
          <w:i/>
          <w:iCs/>
          <w:lang w:val="fr-FR"/>
        </w:rPr>
        <w:t xml:space="preserve">AEWA </w:t>
      </w:r>
      <w:r w:rsidRPr="001B3779">
        <w:rPr>
          <w:b/>
          <w:bCs/>
          <w:i/>
          <w:iCs/>
          <w:lang w:val="fr-FR"/>
        </w:rPr>
        <w:t>avec celle de la</w:t>
      </w:r>
      <w:r w:rsidR="00B11B41" w:rsidRPr="001B3779">
        <w:rPr>
          <w:b/>
          <w:bCs/>
          <w:i/>
          <w:iCs/>
          <w:lang w:val="fr-FR"/>
        </w:rPr>
        <w:t xml:space="preserve"> List</w:t>
      </w:r>
      <w:r w:rsidRPr="001B3779">
        <w:rPr>
          <w:b/>
          <w:bCs/>
          <w:i/>
          <w:iCs/>
          <w:lang w:val="fr-FR"/>
        </w:rPr>
        <w:t>e rouge de l’UICN</w:t>
      </w:r>
      <w:r w:rsidR="00B67012" w:rsidRPr="001B3779">
        <w:rPr>
          <w:b/>
          <w:bCs/>
          <w:i/>
          <w:iCs/>
          <w:lang w:val="fr-FR"/>
        </w:rPr>
        <w:t xml:space="preserve">. </w:t>
      </w:r>
    </w:p>
    <w:p w14:paraId="62501931" w14:textId="77777777" w:rsidR="00FF6875" w:rsidRPr="001B3779" w:rsidRDefault="00FF6875" w:rsidP="00637B6B">
      <w:pPr>
        <w:pStyle w:val="BodyText"/>
        <w:spacing w:before="160"/>
        <w:ind w:left="720" w:right="733"/>
        <w:jc w:val="both"/>
        <w:rPr>
          <w:b/>
          <w:bCs/>
          <w:lang w:val="fr-FR"/>
        </w:rPr>
      </w:pPr>
    </w:p>
    <w:p w14:paraId="61FF9BFA" w14:textId="501EBE79" w:rsidR="00EC0AF5" w:rsidRPr="001B3779" w:rsidRDefault="00AD26C1" w:rsidP="00637B6B">
      <w:pPr>
        <w:pStyle w:val="BodyText"/>
        <w:spacing w:before="160"/>
        <w:ind w:left="720" w:right="733"/>
        <w:jc w:val="both"/>
        <w:rPr>
          <w:b/>
          <w:bCs/>
          <w:lang w:val="fr-FR"/>
        </w:rPr>
      </w:pPr>
      <w:r w:rsidRPr="001B3779">
        <w:rPr>
          <w:b/>
          <w:bCs/>
          <w:lang w:val="fr-FR"/>
        </w:rPr>
        <w:t>Programme</w:t>
      </w:r>
      <w:r w:rsidR="009C29DE" w:rsidRPr="001B3779">
        <w:rPr>
          <w:b/>
          <w:bCs/>
          <w:lang w:val="fr-FR"/>
        </w:rPr>
        <w:t>s</w:t>
      </w:r>
      <w:r w:rsidRPr="001B3779">
        <w:rPr>
          <w:b/>
          <w:bCs/>
          <w:lang w:val="fr-FR"/>
        </w:rPr>
        <w:t xml:space="preserve"> </w:t>
      </w:r>
      <w:r w:rsidR="0052461F" w:rsidRPr="001B3779">
        <w:rPr>
          <w:b/>
          <w:bCs/>
          <w:lang w:val="fr-FR"/>
        </w:rPr>
        <w:t xml:space="preserve">du PNUE </w:t>
      </w:r>
      <w:r w:rsidRPr="001B3779">
        <w:rPr>
          <w:b/>
          <w:bCs/>
          <w:lang w:val="fr-FR"/>
        </w:rPr>
        <w:t xml:space="preserve">pour les mers régionales </w:t>
      </w:r>
    </w:p>
    <w:p w14:paraId="78733A8A" w14:textId="1BC07D8B" w:rsidR="00092857" w:rsidRPr="001B3779" w:rsidRDefault="008109F8" w:rsidP="00092857">
      <w:pPr>
        <w:pStyle w:val="BodyText"/>
        <w:numPr>
          <w:ilvl w:val="0"/>
          <w:numId w:val="11"/>
        </w:numPr>
        <w:spacing w:before="160"/>
        <w:ind w:left="1418" w:right="733"/>
        <w:jc w:val="both"/>
        <w:rPr>
          <w:lang w:val="fr-FR"/>
        </w:rPr>
      </w:pPr>
      <w:r w:rsidRPr="001B3779">
        <w:rPr>
          <w:lang w:val="fr-FR"/>
        </w:rPr>
        <w:t>Convention d’</w:t>
      </w:r>
      <w:r w:rsidR="00EC0AF5" w:rsidRPr="001B3779">
        <w:rPr>
          <w:lang w:val="fr-FR"/>
        </w:rPr>
        <w:t>Abidjan</w:t>
      </w:r>
      <w:r w:rsidRPr="001B3779">
        <w:rPr>
          <w:lang w:val="fr-FR"/>
        </w:rPr>
        <w:t> </w:t>
      </w:r>
      <w:r w:rsidR="005F6CC4" w:rsidRPr="001B3779">
        <w:rPr>
          <w:lang w:val="fr-FR"/>
        </w:rPr>
        <w:t xml:space="preserve">: </w:t>
      </w:r>
      <w:r w:rsidR="00D85418" w:rsidRPr="001B3779">
        <w:rPr>
          <w:lang w:val="fr-FR"/>
        </w:rPr>
        <w:t>c</w:t>
      </w:r>
      <w:r w:rsidRPr="001B3779">
        <w:rPr>
          <w:lang w:val="fr-FR"/>
        </w:rPr>
        <w:t xml:space="preserve">ouvre </w:t>
      </w:r>
      <w:r w:rsidR="00F92B03" w:rsidRPr="001B3779">
        <w:rPr>
          <w:lang w:val="fr-FR"/>
        </w:rPr>
        <w:t xml:space="preserve">toute la côte Atlantique de l’Afrique et </w:t>
      </w:r>
      <w:r w:rsidR="00316E8B" w:rsidRPr="001B3779">
        <w:rPr>
          <w:lang w:val="fr-FR"/>
        </w:rPr>
        <w:t>est chargé</w:t>
      </w:r>
      <w:r w:rsidR="00B26FCB">
        <w:rPr>
          <w:lang w:val="fr-FR"/>
        </w:rPr>
        <w:t>e</w:t>
      </w:r>
      <w:r w:rsidR="00316E8B" w:rsidRPr="001B3779">
        <w:rPr>
          <w:lang w:val="fr-FR"/>
        </w:rPr>
        <w:t xml:space="preserve"> de la</w:t>
      </w:r>
      <w:r w:rsidR="005D598E" w:rsidRPr="001B3779">
        <w:rPr>
          <w:lang w:val="fr-FR"/>
        </w:rPr>
        <w:t xml:space="preserve"> protection </w:t>
      </w:r>
      <w:r w:rsidR="00316E8B" w:rsidRPr="001B3779">
        <w:rPr>
          <w:lang w:val="fr-FR"/>
        </w:rPr>
        <w:t>de la biodiversité </w:t>
      </w:r>
      <w:r w:rsidR="00637B00" w:rsidRPr="001B3779">
        <w:rPr>
          <w:lang w:val="fr-FR"/>
        </w:rPr>
        <w:t>;</w:t>
      </w:r>
    </w:p>
    <w:p w14:paraId="651D9E6A" w14:textId="28695614" w:rsidR="00092857" w:rsidRPr="001B3779" w:rsidRDefault="00BF53D3" w:rsidP="00092857">
      <w:pPr>
        <w:pStyle w:val="BodyText"/>
        <w:numPr>
          <w:ilvl w:val="0"/>
          <w:numId w:val="11"/>
        </w:numPr>
        <w:spacing w:before="160"/>
        <w:ind w:left="1418" w:right="733"/>
        <w:jc w:val="both"/>
        <w:rPr>
          <w:lang w:val="fr-FR"/>
        </w:rPr>
      </w:pPr>
      <w:r w:rsidRPr="001B3779">
        <w:rPr>
          <w:lang w:val="fr-FR"/>
        </w:rPr>
        <w:t xml:space="preserve">Convention de </w:t>
      </w:r>
      <w:r w:rsidR="00557528" w:rsidRPr="001B3779">
        <w:rPr>
          <w:lang w:val="fr-FR"/>
        </w:rPr>
        <w:t>Nairobi</w:t>
      </w:r>
      <w:r w:rsidRPr="001B3779">
        <w:rPr>
          <w:lang w:val="fr-FR"/>
        </w:rPr>
        <w:t> </w:t>
      </w:r>
      <w:r w:rsidR="00557528" w:rsidRPr="001B3779">
        <w:rPr>
          <w:lang w:val="fr-FR"/>
        </w:rPr>
        <w:t xml:space="preserve">: </w:t>
      </w:r>
      <w:r w:rsidRPr="001B3779">
        <w:rPr>
          <w:lang w:val="fr-FR"/>
        </w:rPr>
        <w:t>couvre la</w:t>
      </w:r>
      <w:r w:rsidR="00DA7254" w:rsidRPr="001B3779">
        <w:rPr>
          <w:lang w:val="fr-FR"/>
        </w:rPr>
        <w:t xml:space="preserve"> </w:t>
      </w:r>
      <w:r w:rsidR="009E059D" w:rsidRPr="001B3779">
        <w:rPr>
          <w:lang w:val="fr-FR"/>
        </w:rPr>
        <w:t>région de l’Ouest de l’océan Indien </w:t>
      </w:r>
      <w:r w:rsidR="00DA7254" w:rsidRPr="001B3779">
        <w:rPr>
          <w:lang w:val="fr-FR"/>
        </w:rPr>
        <w:t>;</w:t>
      </w:r>
    </w:p>
    <w:p w14:paraId="2FA37969" w14:textId="43928B24" w:rsidR="00092857" w:rsidRPr="001B3779" w:rsidRDefault="00A258C6" w:rsidP="00092857">
      <w:pPr>
        <w:pStyle w:val="BodyText"/>
        <w:numPr>
          <w:ilvl w:val="0"/>
          <w:numId w:val="11"/>
        </w:numPr>
        <w:spacing w:before="160"/>
        <w:ind w:left="1418" w:right="733"/>
        <w:jc w:val="both"/>
        <w:rPr>
          <w:lang w:val="fr-FR"/>
        </w:rPr>
      </w:pPr>
      <w:r w:rsidRPr="001B3779">
        <w:rPr>
          <w:lang w:val="fr-FR"/>
        </w:rPr>
        <w:t>Organisation régionale pour la conservation de l'environnement de la mer Rouge et du golfe d'Aden</w:t>
      </w:r>
      <w:r w:rsidR="00092857" w:rsidRPr="001B3779">
        <w:rPr>
          <w:lang w:val="fr-FR"/>
        </w:rPr>
        <w:t xml:space="preserve"> (</w:t>
      </w:r>
      <w:r w:rsidR="003620A1">
        <w:fldChar w:fldCharType="begin"/>
      </w:r>
      <w:r w:rsidR="003620A1" w:rsidRPr="003620A1">
        <w:rPr>
          <w:lang w:val="fr-FR"/>
        </w:rPr>
        <w:instrText xml:space="preserve"> HYPERLINK "http://www.persga.org/index.php" \t "_blank" </w:instrText>
      </w:r>
      <w:r w:rsidR="003620A1">
        <w:fldChar w:fldCharType="separate"/>
      </w:r>
      <w:r w:rsidR="00092857" w:rsidRPr="001B3779">
        <w:rPr>
          <w:lang w:val="fr-FR"/>
        </w:rPr>
        <w:t>PERSGA</w:t>
      </w:r>
      <w:r w:rsidR="003620A1">
        <w:rPr>
          <w:lang w:val="fr-FR"/>
        </w:rPr>
        <w:fldChar w:fldCharType="end"/>
      </w:r>
      <w:r w:rsidR="00092857" w:rsidRPr="001B3779">
        <w:rPr>
          <w:lang w:val="fr-FR"/>
        </w:rPr>
        <w:t>)</w:t>
      </w:r>
      <w:r w:rsidR="00353831" w:rsidRPr="001B3779">
        <w:rPr>
          <w:lang w:val="fr-FR"/>
        </w:rPr>
        <w:t xml:space="preserve">: </w:t>
      </w:r>
      <w:r w:rsidRPr="001B3779">
        <w:rPr>
          <w:lang w:val="fr-FR"/>
        </w:rPr>
        <w:t>ils ont p</w:t>
      </w:r>
      <w:r w:rsidR="00170F81" w:rsidRPr="001B3779">
        <w:rPr>
          <w:lang w:val="fr-FR"/>
        </w:rPr>
        <w:t>ublié une évaluation des oiseaux marins en</w:t>
      </w:r>
      <w:r w:rsidR="00353831" w:rsidRPr="001B3779">
        <w:rPr>
          <w:lang w:val="fr-FR"/>
        </w:rPr>
        <w:t xml:space="preserve"> 2003</w:t>
      </w:r>
      <w:r w:rsidR="00170F81" w:rsidRPr="001B3779">
        <w:rPr>
          <w:lang w:val="fr-FR"/>
        </w:rPr>
        <w:t> </w:t>
      </w:r>
      <w:r w:rsidR="00353831" w:rsidRPr="001B3779">
        <w:rPr>
          <w:lang w:val="fr-FR"/>
        </w:rPr>
        <w:t>;</w:t>
      </w:r>
    </w:p>
    <w:p w14:paraId="75576A03" w14:textId="609798FE" w:rsidR="00353831" w:rsidRPr="001B3779" w:rsidRDefault="001C6BF2" w:rsidP="004B4621">
      <w:pPr>
        <w:pStyle w:val="BodyText"/>
        <w:numPr>
          <w:ilvl w:val="0"/>
          <w:numId w:val="11"/>
        </w:numPr>
        <w:spacing w:before="160"/>
        <w:ind w:left="1418" w:right="733"/>
        <w:jc w:val="both"/>
        <w:rPr>
          <w:lang w:val="fr-FR"/>
        </w:rPr>
      </w:pPr>
      <w:r w:rsidRPr="001B3779">
        <w:rPr>
          <w:lang w:val="fr-FR"/>
        </w:rPr>
        <w:t xml:space="preserve">Organisation régionale pour la protection de l'environnement marin </w:t>
      </w:r>
      <w:r w:rsidR="00353831" w:rsidRPr="001B3779">
        <w:rPr>
          <w:lang w:val="fr-FR"/>
        </w:rPr>
        <w:t>(</w:t>
      </w:r>
      <w:hyperlink r:id="rId28" w:tgtFrame="_blank" w:history="1">
        <w:r w:rsidRPr="001B3779">
          <w:rPr>
            <w:lang w:val="fr-FR"/>
          </w:rPr>
          <w:t>ORPEM</w:t>
        </w:r>
      </w:hyperlink>
      <w:r w:rsidR="00353831" w:rsidRPr="001B3779">
        <w:rPr>
          <w:lang w:val="fr-FR"/>
        </w:rPr>
        <w:t>)</w:t>
      </w:r>
      <w:r w:rsidRPr="001B3779">
        <w:rPr>
          <w:lang w:val="fr-FR"/>
        </w:rPr>
        <w:t> </w:t>
      </w:r>
      <w:r w:rsidR="00353831" w:rsidRPr="001B3779">
        <w:rPr>
          <w:lang w:val="fr-FR"/>
        </w:rPr>
        <w:t xml:space="preserve">: </w:t>
      </w:r>
      <w:r w:rsidR="00462E2B" w:rsidRPr="001B3779">
        <w:rPr>
          <w:lang w:val="fr-FR"/>
        </w:rPr>
        <w:t xml:space="preserve">elle </w:t>
      </w:r>
      <w:r w:rsidR="001E13AE" w:rsidRPr="001B3779">
        <w:rPr>
          <w:lang w:val="fr-FR"/>
        </w:rPr>
        <w:t>c</w:t>
      </w:r>
      <w:r w:rsidR="00462E2B" w:rsidRPr="001B3779">
        <w:rPr>
          <w:lang w:val="fr-FR"/>
        </w:rPr>
        <w:t>ouvre le Golf et la mer d’</w:t>
      </w:r>
      <w:r w:rsidR="00E720FD" w:rsidRPr="001B3779">
        <w:rPr>
          <w:lang w:val="fr-FR"/>
        </w:rPr>
        <w:t>Oman</w:t>
      </w:r>
      <w:r w:rsidR="009144EE" w:rsidRPr="001B3779">
        <w:rPr>
          <w:lang w:val="fr-FR"/>
        </w:rPr>
        <w:t xml:space="preserve">. </w:t>
      </w:r>
    </w:p>
    <w:p w14:paraId="0F778D00" w14:textId="55788BA9" w:rsidR="005D598E" w:rsidRPr="001B3779" w:rsidRDefault="00735DE9" w:rsidP="005941FA">
      <w:pPr>
        <w:pStyle w:val="BodyText"/>
        <w:spacing w:before="160"/>
        <w:ind w:left="720" w:right="733"/>
        <w:jc w:val="both"/>
        <w:rPr>
          <w:b/>
          <w:bCs/>
          <w:i/>
          <w:iCs/>
          <w:lang w:val="fr-FR"/>
        </w:rPr>
      </w:pPr>
      <w:r w:rsidRPr="001B3779">
        <w:rPr>
          <w:b/>
          <w:bCs/>
          <w:i/>
          <w:iCs/>
          <w:lang w:val="fr-FR"/>
        </w:rPr>
        <w:t>Recommandations </w:t>
      </w:r>
      <w:r w:rsidR="005D598E" w:rsidRPr="001B3779">
        <w:rPr>
          <w:b/>
          <w:bCs/>
          <w:i/>
          <w:iCs/>
          <w:lang w:val="fr-FR"/>
        </w:rPr>
        <w:t xml:space="preserve">: </w:t>
      </w:r>
    </w:p>
    <w:p w14:paraId="09F66252" w14:textId="0E1F2649" w:rsidR="00B949CC" w:rsidRPr="001B3779" w:rsidRDefault="005D598E" w:rsidP="00FF6875">
      <w:pPr>
        <w:pStyle w:val="BodyText"/>
        <w:numPr>
          <w:ilvl w:val="0"/>
          <w:numId w:val="10"/>
        </w:numPr>
        <w:spacing w:before="160"/>
        <w:ind w:right="733"/>
        <w:jc w:val="both"/>
        <w:rPr>
          <w:b/>
          <w:bCs/>
          <w:i/>
          <w:iCs/>
          <w:lang w:val="fr-FR"/>
        </w:rPr>
      </w:pPr>
      <w:r w:rsidRPr="001B3779">
        <w:rPr>
          <w:b/>
          <w:bCs/>
          <w:i/>
          <w:iCs/>
          <w:lang w:val="fr-FR"/>
        </w:rPr>
        <w:t>Explore</w:t>
      </w:r>
      <w:r w:rsidR="00B656AA" w:rsidRPr="001B3779">
        <w:rPr>
          <w:b/>
          <w:bCs/>
          <w:i/>
          <w:iCs/>
          <w:lang w:val="fr-FR"/>
        </w:rPr>
        <w:t>r</w:t>
      </w:r>
      <w:r w:rsidRPr="001B3779">
        <w:rPr>
          <w:b/>
          <w:bCs/>
          <w:i/>
          <w:iCs/>
          <w:lang w:val="fr-FR"/>
        </w:rPr>
        <w:t xml:space="preserve"> </w:t>
      </w:r>
      <w:r w:rsidR="00ED6943" w:rsidRPr="001B3779">
        <w:rPr>
          <w:b/>
          <w:bCs/>
          <w:i/>
          <w:iCs/>
          <w:lang w:val="fr-FR"/>
        </w:rPr>
        <w:t>l’intérêt pour la</w:t>
      </w:r>
      <w:r w:rsidR="001548CC" w:rsidRPr="001B3779">
        <w:rPr>
          <w:b/>
          <w:bCs/>
          <w:i/>
          <w:iCs/>
          <w:lang w:val="fr-FR"/>
        </w:rPr>
        <w:t xml:space="preserve"> </w:t>
      </w:r>
      <w:r w:rsidR="00120C4B" w:rsidRPr="001B3779">
        <w:rPr>
          <w:b/>
          <w:bCs/>
          <w:i/>
          <w:iCs/>
          <w:lang w:val="fr-FR"/>
        </w:rPr>
        <w:t>conservation</w:t>
      </w:r>
      <w:r w:rsidR="00D57743" w:rsidRPr="001B3779">
        <w:rPr>
          <w:b/>
          <w:bCs/>
          <w:i/>
          <w:iCs/>
          <w:lang w:val="fr-FR"/>
        </w:rPr>
        <w:t xml:space="preserve">, </w:t>
      </w:r>
      <w:r w:rsidR="00ED6943" w:rsidRPr="001B3779">
        <w:rPr>
          <w:b/>
          <w:bCs/>
          <w:i/>
          <w:iCs/>
          <w:lang w:val="fr-FR"/>
        </w:rPr>
        <w:t>la gestion et la surveillance des oiseaux marins</w:t>
      </w:r>
      <w:r w:rsidR="00D57743" w:rsidRPr="001B3779">
        <w:rPr>
          <w:b/>
          <w:bCs/>
          <w:i/>
          <w:iCs/>
          <w:lang w:val="fr-FR"/>
        </w:rPr>
        <w:t xml:space="preserve">. </w:t>
      </w:r>
      <w:r w:rsidR="00120C4B" w:rsidRPr="001B3779">
        <w:rPr>
          <w:b/>
          <w:bCs/>
          <w:i/>
          <w:iCs/>
          <w:lang w:val="fr-FR"/>
        </w:rPr>
        <w:t xml:space="preserve"> </w:t>
      </w:r>
    </w:p>
    <w:p w14:paraId="66913E30" w14:textId="77777777" w:rsidR="00FF6875" w:rsidRPr="001B3779" w:rsidRDefault="00FF6875" w:rsidP="004C64C1">
      <w:pPr>
        <w:pStyle w:val="BodyText"/>
        <w:spacing w:before="160"/>
        <w:ind w:left="1440" w:right="733"/>
        <w:jc w:val="both"/>
        <w:rPr>
          <w:b/>
          <w:bCs/>
          <w:i/>
          <w:iCs/>
          <w:lang w:val="fr-FR"/>
        </w:rPr>
      </w:pPr>
    </w:p>
    <w:p w14:paraId="55A1A0AA" w14:textId="77777777" w:rsidR="00FF6875" w:rsidRPr="001B3779" w:rsidRDefault="00FF6875">
      <w:pPr>
        <w:rPr>
          <w:sz w:val="20"/>
          <w:lang w:val="fr-FR"/>
        </w:rPr>
      </w:pPr>
    </w:p>
    <w:p w14:paraId="6D6C0845" w14:textId="5A6658CF" w:rsidR="00664206" w:rsidRPr="001B3779" w:rsidRDefault="003F788D">
      <w:pPr>
        <w:spacing w:before="65"/>
        <w:ind w:left="720"/>
        <w:rPr>
          <w:lang w:val="fr-FR"/>
        </w:rPr>
      </w:pPr>
      <w:r w:rsidRPr="001B3779">
        <w:rPr>
          <w:b/>
          <w:lang w:val="fr-FR"/>
        </w:rPr>
        <w:t>Table</w:t>
      </w:r>
      <w:r w:rsidR="00B5153A" w:rsidRPr="001B3779">
        <w:rPr>
          <w:b/>
          <w:lang w:val="fr-FR"/>
        </w:rPr>
        <w:t>au</w:t>
      </w:r>
      <w:r w:rsidRPr="001B3779">
        <w:rPr>
          <w:b/>
          <w:lang w:val="fr-FR"/>
        </w:rPr>
        <w:t xml:space="preserve"> 3. </w:t>
      </w:r>
      <w:r w:rsidR="00B5153A" w:rsidRPr="001B3779">
        <w:rPr>
          <w:lang w:val="fr-FR"/>
        </w:rPr>
        <w:t>Calendrier des rapports</w:t>
      </w:r>
    </w:p>
    <w:p w14:paraId="64863AB2" w14:textId="77777777" w:rsidR="00664206" w:rsidRPr="001B3779" w:rsidRDefault="00664206">
      <w:pPr>
        <w:pStyle w:val="BodyText"/>
        <w:spacing w:before="2"/>
        <w:rPr>
          <w:lang w:val="fr-FR"/>
        </w:r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1"/>
        <w:gridCol w:w="6611"/>
      </w:tblGrid>
      <w:tr w:rsidR="00664206" w:rsidRPr="001B3779" w14:paraId="2377175D" w14:textId="77777777">
        <w:trPr>
          <w:trHeight w:val="428"/>
        </w:trPr>
        <w:tc>
          <w:tcPr>
            <w:tcW w:w="2401" w:type="dxa"/>
          </w:tcPr>
          <w:p w14:paraId="0C86B3C8" w14:textId="35644F7A" w:rsidR="00664206" w:rsidRPr="001B3779" w:rsidRDefault="003F788D">
            <w:pPr>
              <w:pStyle w:val="TableParagraph"/>
              <w:rPr>
                <w:b/>
                <w:sz w:val="20"/>
                <w:lang w:val="fr-FR"/>
              </w:rPr>
            </w:pPr>
            <w:r w:rsidRPr="001B3779">
              <w:rPr>
                <w:b/>
                <w:sz w:val="20"/>
                <w:lang w:val="fr-FR"/>
              </w:rPr>
              <w:t>Process</w:t>
            </w:r>
            <w:r w:rsidR="00CE0C0B" w:rsidRPr="001B3779">
              <w:rPr>
                <w:b/>
                <w:sz w:val="20"/>
                <w:lang w:val="fr-FR"/>
              </w:rPr>
              <w:t>us</w:t>
            </w:r>
          </w:p>
        </w:tc>
        <w:tc>
          <w:tcPr>
            <w:tcW w:w="6611" w:type="dxa"/>
          </w:tcPr>
          <w:p w14:paraId="26ABAF76" w14:textId="2CD82AD9" w:rsidR="00664206" w:rsidRPr="001B3779" w:rsidRDefault="00CE0C0B">
            <w:pPr>
              <w:pStyle w:val="TableParagraph"/>
              <w:ind w:left="99"/>
              <w:rPr>
                <w:b/>
                <w:sz w:val="20"/>
                <w:lang w:val="fr-FR"/>
              </w:rPr>
            </w:pPr>
            <w:r w:rsidRPr="001B3779">
              <w:rPr>
                <w:b/>
                <w:sz w:val="20"/>
                <w:lang w:val="fr-FR"/>
              </w:rPr>
              <w:t>Calendrier</w:t>
            </w:r>
          </w:p>
        </w:tc>
      </w:tr>
      <w:tr w:rsidR="00664206" w:rsidRPr="005E52F1" w14:paraId="4966F511" w14:textId="77777777">
        <w:trPr>
          <w:trHeight w:val="661"/>
        </w:trPr>
        <w:tc>
          <w:tcPr>
            <w:tcW w:w="2401" w:type="dxa"/>
          </w:tcPr>
          <w:p w14:paraId="2AC807EE" w14:textId="77777777" w:rsidR="00664206" w:rsidRPr="001B3779" w:rsidRDefault="003F788D">
            <w:pPr>
              <w:pStyle w:val="TableParagraph"/>
              <w:rPr>
                <w:sz w:val="20"/>
                <w:lang w:val="fr-FR"/>
              </w:rPr>
            </w:pPr>
            <w:r w:rsidRPr="001B3779">
              <w:rPr>
                <w:sz w:val="20"/>
                <w:lang w:val="fr-FR"/>
              </w:rPr>
              <w:t>AEWA</w:t>
            </w:r>
          </w:p>
        </w:tc>
        <w:tc>
          <w:tcPr>
            <w:tcW w:w="6611" w:type="dxa"/>
          </w:tcPr>
          <w:p w14:paraId="56E4F154" w14:textId="351CE096" w:rsidR="00664206" w:rsidRPr="001B3779" w:rsidRDefault="004A6906">
            <w:pPr>
              <w:pStyle w:val="TableParagraph"/>
              <w:ind w:left="99"/>
              <w:rPr>
                <w:sz w:val="20"/>
                <w:lang w:val="fr-FR"/>
              </w:rPr>
            </w:pPr>
            <w:r w:rsidRPr="001B3779">
              <w:rPr>
                <w:sz w:val="20"/>
                <w:lang w:val="fr-FR"/>
              </w:rPr>
              <w:t>Rapport sur l’état de c</w:t>
            </w:r>
            <w:r w:rsidR="003F788D" w:rsidRPr="001B3779">
              <w:rPr>
                <w:sz w:val="20"/>
                <w:lang w:val="fr-FR"/>
              </w:rPr>
              <w:t>onservation</w:t>
            </w:r>
            <w:r w:rsidRPr="001B3779">
              <w:rPr>
                <w:sz w:val="20"/>
                <w:lang w:val="fr-FR"/>
              </w:rPr>
              <w:t> </w:t>
            </w:r>
            <w:r w:rsidR="003F788D" w:rsidRPr="001B3779">
              <w:rPr>
                <w:sz w:val="20"/>
                <w:lang w:val="fr-FR"/>
              </w:rPr>
              <w:t xml:space="preserve">: </w:t>
            </w:r>
            <w:r w:rsidRPr="001B3779">
              <w:rPr>
                <w:sz w:val="20"/>
                <w:lang w:val="fr-FR"/>
              </w:rPr>
              <w:t>tous les 3 ans</w:t>
            </w:r>
          </w:p>
          <w:p w14:paraId="280B0260" w14:textId="36AA9761" w:rsidR="00664206" w:rsidRPr="001B3779" w:rsidRDefault="004A6906">
            <w:pPr>
              <w:pStyle w:val="TableParagraph"/>
              <w:spacing w:before="0"/>
              <w:ind w:left="99"/>
              <w:rPr>
                <w:sz w:val="20"/>
                <w:lang w:val="fr-FR"/>
              </w:rPr>
            </w:pPr>
            <w:r w:rsidRPr="001B3779">
              <w:rPr>
                <w:sz w:val="20"/>
                <w:lang w:val="fr-FR"/>
              </w:rPr>
              <w:t>Rapports nationaux sur l’état des</w:t>
            </w:r>
            <w:r w:rsidR="003F788D" w:rsidRPr="001B3779">
              <w:rPr>
                <w:sz w:val="20"/>
                <w:lang w:val="fr-FR"/>
              </w:rPr>
              <w:t xml:space="preserve"> population</w:t>
            </w:r>
            <w:r w:rsidRPr="001B3779">
              <w:rPr>
                <w:sz w:val="20"/>
                <w:lang w:val="fr-FR"/>
              </w:rPr>
              <w:t>s </w:t>
            </w:r>
            <w:r w:rsidR="003F788D" w:rsidRPr="001B3779">
              <w:rPr>
                <w:sz w:val="20"/>
                <w:lang w:val="fr-FR"/>
              </w:rPr>
              <w:t xml:space="preserve">: </w:t>
            </w:r>
            <w:r w:rsidRPr="001B3779">
              <w:rPr>
                <w:sz w:val="20"/>
                <w:lang w:val="fr-FR"/>
              </w:rPr>
              <w:t>tous les 6 ans</w:t>
            </w:r>
            <w:r w:rsidR="00FF6875" w:rsidRPr="001B3779">
              <w:rPr>
                <w:rStyle w:val="FootnoteReference"/>
                <w:sz w:val="20"/>
                <w:lang w:val="fr-FR"/>
              </w:rPr>
              <w:footnoteReference w:id="6"/>
            </w:r>
          </w:p>
        </w:tc>
      </w:tr>
      <w:tr w:rsidR="00664206" w:rsidRPr="005E52F1" w14:paraId="5A3520B6" w14:textId="77777777">
        <w:trPr>
          <w:trHeight w:val="659"/>
        </w:trPr>
        <w:tc>
          <w:tcPr>
            <w:tcW w:w="2401" w:type="dxa"/>
          </w:tcPr>
          <w:p w14:paraId="0DD45F00" w14:textId="77777777" w:rsidR="00664206" w:rsidRPr="001B3779" w:rsidRDefault="003F788D">
            <w:pPr>
              <w:pStyle w:val="TableParagraph"/>
              <w:spacing w:before="98"/>
              <w:rPr>
                <w:sz w:val="20"/>
                <w:lang w:val="fr-FR"/>
              </w:rPr>
            </w:pPr>
            <w:r w:rsidRPr="001B3779">
              <w:rPr>
                <w:sz w:val="20"/>
                <w:lang w:val="fr-FR"/>
              </w:rPr>
              <w:t>Ramsar</w:t>
            </w:r>
          </w:p>
        </w:tc>
        <w:tc>
          <w:tcPr>
            <w:tcW w:w="6611" w:type="dxa"/>
          </w:tcPr>
          <w:p w14:paraId="274D43F7" w14:textId="559E332F" w:rsidR="00664206" w:rsidRPr="001B3779" w:rsidRDefault="00286DD6">
            <w:pPr>
              <w:pStyle w:val="TableParagraph"/>
              <w:spacing w:before="98"/>
              <w:ind w:left="99" w:right="379"/>
              <w:rPr>
                <w:sz w:val="20"/>
                <w:lang w:val="fr-FR"/>
              </w:rPr>
            </w:pPr>
            <w:r w:rsidRPr="001B3779">
              <w:rPr>
                <w:sz w:val="20"/>
                <w:lang w:val="fr-FR"/>
              </w:rPr>
              <w:t xml:space="preserve">Estimations des </w:t>
            </w:r>
            <w:r w:rsidR="00F97A60" w:rsidRPr="001B3779">
              <w:rPr>
                <w:sz w:val="20"/>
                <w:lang w:val="fr-FR"/>
              </w:rPr>
              <w:t>p</w:t>
            </w:r>
            <w:r w:rsidRPr="001B3779">
              <w:rPr>
                <w:sz w:val="20"/>
                <w:lang w:val="fr-FR"/>
              </w:rPr>
              <w:t>opulations d'oiseaux d'eau</w:t>
            </w:r>
            <w:r w:rsidR="002847D6" w:rsidRPr="001B3779">
              <w:rPr>
                <w:sz w:val="20"/>
                <w:lang w:val="fr-FR"/>
              </w:rPr>
              <w:t xml:space="preserve"> (WPE)</w:t>
            </w:r>
            <w:r w:rsidRPr="001B3779">
              <w:rPr>
                <w:sz w:val="20"/>
                <w:lang w:val="fr-FR"/>
              </w:rPr>
              <w:t> </w:t>
            </w:r>
            <w:r w:rsidR="003F788D" w:rsidRPr="001B3779">
              <w:rPr>
                <w:sz w:val="20"/>
                <w:lang w:val="fr-FR"/>
              </w:rPr>
              <w:t xml:space="preserve">: </w:t>
            </w:r>
            <w:r w:rsidR="00020DBE" w:rsidRPr="001B3779">
              <w:rPr>
                <w:sz w:val="20"/>
                <w:lang w:val="fr-FR"/>
              </w:rPr>
              <w:t>théoriquement tous les</w:t>
            </w:r>
            <w:r w:rsidR="003F788D" w:rsidRPr="001B3779">
              <w:rPr>
                <w:sz w:val="20"/>
                <w:lang w:val="fr-FR"/>
              </w:rPr>
              <w:t xml:space="preserve"> 3 </w:t>
            </w:r>
            <w:r w:rsidR="00B3257D" w:rsidRPr="001B3779">
              <w:rPr>
                <w:sz w:val="20"/>
                <w:lang w:val="fr-FR"/>
              </w:rPr>
              <w:t>ans</w:t>
            </w:r>
            <w:r w:rsidR="003F788D" w:rsidRPr="001B3779">
              <w:rPr>
                <w:sz w:val="20"/>
                <w:lang w:val="fr-FR"/>
              </w:rPr>
              <w:t xml:space="preserve"> </w:t>
            </w:r>
            <w:r w:rsidR="00020DBE" w:rsidRPr="001B3779">
              <w:rPr>
                <w:sz w:val="20"/>
                <w:lang w:val="fr-FR"/>
              </w:rPr>
              <w:t>avec une</w:t>
            </w:r>
            <w:r w:rsidR="003F788D" w:rsidRPr="001B3779">
              <w:rPr>
                <w:sz w:val="20"/>
                <w:lang w:val="fr-FR"/>
              </w:rPr>
              <w:t xml:space="preserve"> r</w:t>
            </w:r>
            <w:r w:rsidR="00020DBE" w:rsidRPr="001B3779">
              <w:rPr>
                <w:sz w:val="20"/>
                <w:lang w:val="fr-FR"/>
              </w:rPr>
              <w:t>é</w:t>
            </w:r>
            <w:r w:rsidR="003F788D" w:rsidRPr="001B3779">
              <w:rPr>
                <w:sz w:val="20"/>
                <w:lang w:val="fr-FR"/>
              </w:rPr>
              <w:t xml:space="preserve">vision </w:t>
            </w:r>
            <w:r w:rsidR="00020DBE" w:rsidRPr="001B3779">
              <w:rPr>
                <w:sz w:val="20"/>
                <w:lang w:val="fr-FR"/>
              </w:rPr>
              <w:t>des seuils d’</w:t>
            </w:r>
            <w:r w:rsidR="003F788D" w:rsidRPr="001B3779">
              <w:rPr>
                <w:sz w:val="20"/>
                <w:lang w:val="fr-FR"/>
              </w:rPr>
              <w:t>1</w:t>
            </w:r>
            <w:r w:rsidR="00020DBE" w:rsidRPr="001B3779">
              <w:rPr>
                <w:sz w:val="20"/>
                <w:lang w:val="fr-FR"/>
              </w:rPr>
              <w:t> </w:t>
            </w:r>
            <w:r w:rsidR="003F788D" w:rsidRPr="001B3779">
              <w:rPr>
                <w:sz w:val="20"/>
                <w:lang w:val="fr-FR"/>
              </w:rPr>
              <w:t xml:space="preserve">% </w:t>
            </w:r>
            <w:r w:rsidR="00020DBE" w:rsidRPr="001B3779">
              <w:rPr>
                <w:sz w:val="20"/>
                <w:lang w:val="fr-FR"/>
              </w:rPr>
              <w:t>tous les</w:t>
            </w:r>
            <w:r w:rsidR="003F788D" w:rsidRPr="001B3779">
              <w:rPr>
                <w:sz w:val="20"/>
                <w:lang w:val="fr-FR"/>
              </w:rPr>
              <w:t xml:space="preserve"> 9 </w:t>
            </w:r>
            <w:r w:rsidR="00020DBE" w:rsidRPr="001B3779">
              <w:rPr>
                <w:sz w:val="20"/>
                <w:lang w:val="fr-FR"/>
              </w:rPr>
              <w:t>ans</w:t>
            </w:r>
            <w:r w:rsidR="0052024F" w:rsidRPr="001B3779">
              <w:rPr>
                <w:sz w:val="20"/>
                <w:lang w:val="fr-FR"/>
              </w:rPr>
              <w:t>, sauf en cas de changement significatif des chiffres</w:t>
            </w:r>
            <w:r w:rsidR="00FF6875" w:rsidRPr="001B3779">
              <w:rPr>
                <w:rStyle w:val="FootnoteReference"/>
                <w:sz w:val="20"/>
                <w:lang w:val="fr-FR"/>
              </w:rPr>
              <w:footnoteReference w:id="7"/>
            </w:r>
          </w:p>
        </w:tc>
      </w:tr>
      <w:tr w:rsidR="00664206" w:rsidRPr="001B3779" w14:paraId="5CAC071C" w14:textId="77777777">
        <w:trPr>
          <w:trHeight w:val="890"/>
        </w:trPr>
        <w:tc>
          <w:tcPr>
            <w:tcW w:w="2401" w:type="dxa"/>
          </w:tcPr>
          <w:p w14:paraId="4334D8FB" w14:textId="30DD7986" w:rsidR="00664206" w:rsidRPr="001B3779" w:rsidRDefault="003F788D">
            <w:pPr>
              <w:pStyle w:val="TableParagraph"/>
              <w:rPr>
                <w:sz w:val="20"/>
                <w:lang w:val="fr-FR"/>
              </w:rPr>
            </w:pPr>
            <w:r w:rsidRPr="001B3779">
              <w:rPr>
                <w:sz w:val="20"/>
                <w:lang w:val="fr-FR"/>
              </w:rPr>
              <w:t>Art. 12</w:t>
            </w:r>
            <w:r w:rsidR="00AE2F60" w:rsidRPr="001B3779">
              <w:rPr>
                <w:sz w:val="20"/>
                <w:lang w:val="fr-FR"/>
              </w:rPr>
              <w:t xml:space="preserve"> de la Directive Oiseaux de l’UE</w:t>
            </w:r>
          </w:p>
          <w:p w14:paraId="5D75007B" w14:textId="4155E42B" w:rsidR="00664206" w:rsidRPr="001B3779" w:rsidRDefault="003F788D">
            <w:pPr>
              <w:pStyle w:val="TableParagraph"/>
              <w:spacing w:before="0"/>
              <w:ind w:right="439"/>
              <w:rPr>
                <w:sz w:val="20"/>
                <w:lang w:val="fr-FR"/>
              </w:rPr>
            </w:pPr>
            <w:r w:rsidRPr="001B3779">
              <w:rPr>
                <w:sz w:val="20"/>
                <w:lang w:val="fr-FR"/>
              </w:rPr>
              <w:t>/</w:t>
            </w:r>
            <w:r w:rsidR="00AE2F60" w:rsidRPr="001B3779">
              <w:rPr>
                <w:sz w:val="20"/>
                <w:lang w:val="fr-FR"/>
              </w:rPr>
              <w:t xml:space="preserve"> </w:t>
            </w:r>
            <w:r w:rsidRPr="001B3779">
              <w:rPr>
                <w:sz w:val="20"/>
                <w:lang w:val="fr-FR"/>
              </w:rPr>
              <w:t>List</w:t>
            </w:r>
            <w:r w:rsidR="00AE2F60" w:rsidRPr="001B3779">
              <w:rPr>
                <w:sz w:val="20"/>
                <w:lang w:val="fr-FR"/>
              </w:rPr>
              <w:t>e</w:t>
            </w:r>
            <w:r w:rsidRPr="001B3779">
              <w:rPr>
                <w:sz w:val="20"/>
                <w:lang w:val="fr-FR"/>
              </w:rPr>
              <w:t xml:space="preserve"> </w:t>
            </w:r>
            <w:r w:rsidR="00AE2F60" w:rsidRPr="001B3779">
              <w:rPr>
                <w:sz w:val="20"/>
                <w:lang w:val="fr-FR"/>
              </w:rPr>
              <w:t>rouge européenne des oiseaux</w:t>
            </w:r>
          </w:p>
        </w:tc>
        <w:tc>
          <w:tcPr>
            <w:tcW w:w="6611" w:type="dxa"/>
          </w:tcPr>
          <w:p w14:paraId="6CA04CB7" w14:textId="7AEE3320" w:rsidR="00664206" w:rsidRPr="001B3779" w:rsidRDefault="00AE2F60">
            <w:pPr>
              <w:pStyle w:val="TableParagraph"/>
              <w:ind w:left="99"/>
              <w:rPr>
                <w:sz w:val="20"/>
                <w:lang w:val="fr-FR"/>
              </w:rPr>
            </w:pPr>
            <w:r w:rsidRPr="001B3779">
              <w:rPr>
                <w:sz w:val="20"/>
                <w:lang w:val="fr-FR"/>
              </w:rPr>
              <w:t>Tous les</w:t>
            </w:r>
            <w:r w:rsidR="003F788D" w:rsidRPr="001B3779">
              <w:rPr>
                <w:sz w:val="20"/>
                <w:lang w:val="fr-FR"/>
              </w:rPr>
              <w:t xml:space="preserve"> 6 </w:t>
            </w:r>
            <w:r w:rsidRPr="001B3779">
              <w:rPr>
                <w:sz w:val="20"/>
                <w:lang w:val="fr-FR"/>
              </w:rPr>
              <w:t>ans</w:t>
            </w:r>
            <w:r w:rsidR="00FF6875" w:rsidRPr="001B3779">
              <w:rPr>
                <w:rStyle w:val="FootnoteReference"/>
                <w:sz w:val="20"/>
                <w:lang w:val="fr-FR"/>
              </w:rPr>
              <w:footnoteReference w:id="8"/>
            </w:r>
          </w:p>
        </w:tc>
      </w:tr>
      <w:tr w:rsidR="00664206" w:rsidRPr="001B3779" w14:paraId="7FD95E8A" w14:textId="77777777">
        <w:trPr>
          <w:trHeight w:val="889"/>
        </w:trPr>
        <w:tc>
          <w:tcPr>
            <w:tcW w:w="2401" w:type="dxa"/>
          </w:tcPr>
          <w:p w14:paraId="4E99961C" w14:textId="6F891937" w:rsidR="00664206" w:rsidRPr="001B3779" w:rsidRDefault="00DB3995">
            <w:pPr>
              <w:pStyle w:val="TableParagraph"/>
              <w:rPr>
                <w:sz w:val="20"/>
                <w:lang w:val="fr-FR"/>
              </w:rPr>
            </w:pPr>
            <w:r w:rsidRPr="001B3779">
              <w:rPr>
                <w:sz w:val="20"/>
                <w:lang w:val="fr-FR"/>
              </w:rPr>
              <w:t xml:space="preserve">Art. </w:t>
            </w:r>
            <w:r w:rsidR="003F4B07" w:rsidRPr="001B3779">
              <w:rPr>
                <w:sz w:val="20"/>
                <w:lang w:val="fr-FR"/>
              </w:rPr>
              <w:t>8</w:t>
            </w:r>
            <w:r w:rsidRPr="001B3779">
              <w:rPr>
                <w:sz w:val="20"/>
                <w:lang w:val="fr-FR"/>
              </w:rPr>
              <w:t xml:space="preserve"> de la Directive-cadre de l’UE «stratégie pour le milieu marin» </w:t>
            </w:r>
            <w:r w:rsidR="003F788D" w:rsidRPr="001B3779">
              <w:rPr>
                <w:sz w:val="20"/>
                <w:lang w:val="fr-FR"/>
              </w:rPr>
              <w:t>(MSFD</w:t>
            </w:r>
            <w:r w:rsidRPr="001B3779">
              <w:rPr>
                <w:sz w:val="20"/>
                <w:lang w:val="fr-FR"/>
              </w:rPr>
              <w:t>)</w:t>
            </w:r>
          </w:p>
        </w:tc>
        <w:tc>
          <w:tcPr>
            <w:tcW w:w="6611" w:type="dxa"/>
          </w:tcPr>
          <w:p w14:paraId="7520A150" w14:textId="76F24335" w:rsidR="00664206" w:rsidRPr="001B3779" w:rsidRDefault="00DB3995">
            <w:pPr>
              <w:pStyle w:val="TableParagraph"/>
              <w:ind w:left="99"/>
              <w:rPr>
                <w:sz w:val="20"/>
                <w:lang w:val="fr-FR"/>
              </w:rPr>
            </w:pPr>
            <w:r w:rsidRPr="001B3779">
              <w:rPr>
                <w:sz w:val="20"/>
                <w:lang w:val="fr-FR"/>
              </w:rPr>
              <w:t>Tous les</w:t>
            </w:r>
            <w:r w:rsidR="003F788D" w:rsidRPr="001B3779">
              <w:rPr>
                <w:sz w:val="20"/>
                <w:lang w:val="fr-FR"/>
              </w:rPr>
              <w:t xml:space="preserve"> 6 </w:t>
            </w:r>
            <w:r w:rsidRPr="001B3779">
              <w:rPr>
                <w:sz w:val="20"/>
                <w:lang w:val="fr-FR"/>
              </w:rPr>
              <w:t>ans</w:t>
            </w:r>
            <w:r w:rsidR="003F788D" w:rsidRPr="001B3779">
              <w:rPr>
                <w:sz w:val="20"/>
                <w:lang w:val="fr-FR"/>
              </w:rPr>
              <w:t xml:space="preserve"> (</w:t>
            </w:r>
            <w:r w:rsidR="00E52E25" w:rsidRPr="001B3779">
              <w:rPr>
                <w:sz w:val="20"/>
                <w:lang w:val="fr-FR"/>
              </w:rPr>
              <w:t>depuis</w:t>
            </w:r>
            <w:r w:rsidR="003F788D" w:rsidRPr="001B3779">
              <w:rPr>
                <w:sz w:val="20"/>
                <w:lang w:val="fr-FR"/>
              </w:rPr>
              <w:t xml:space="preserve"> 2012)</w:t>
            </w:r>
          </w:p>
        </w:tc>
      </w:tr>
      <w:tr w:rsidR="00664206" w:rsidRPr="005E52F1" w14:paraId="5CFB1DAA" w14:textId="77777777">
        <w:trPr>
          <w:trHeight w:val="661"/>
        </w:trPr>
        <w:tc>
          <w:tcPr>
            <w:tcW w:w="2401" w:type="dxa"/>
          </w:tcPr>
          <w:p w14:paraId="510CC44D" w14:textId="77777777" w:rsidR="00664206" w:rsidRPr="001B3779" w:rsidRDefault="003F788D">
            <w:pPr>
              <w:pStyle w:val="TableParagraph"/>
              <w:rPr>
                <w:sz w:val="20"/>
                <w:lang w:val="fr-FR"/>
              </w:rPr>
            </w:pPr>
            <w:r w:rsidRPr="001B3779">
              <w:rPr>
                <w:sz w:val="20"/>
                <w:lang w:val="fr-FR"/>
              </w:rPr>
              <w:t>OSPAR</w:t>
            </w:r>
          </w:p>
        </w:tc>
        <w:tc>
          <w:tcPr>
            <w:tcW w:w="6611" w:type="dxa"/>
          </w:tcPr>
          <w:p w14:paraId="71D394A9" w14:textId="6BB1FA0F" w:rsidR="00664206" w:rsidRPr="001B3779" w:rsidRDefault="003F4B07">
            <w:pPr>
              <w:pStyle w:val="TableParagraph"/>
              <w:ind w:left="99" w:right="456"/>
              <w:rPr>
                <w:sz w:val="20"/>
                <w:lang w:val="fr-FR"/>
              </w:rPr>
            </w:pPr>
            <w:r w:rsidRPr="001B3779">
              <w:rPr>
                <w:sz w:val="20"/>
                <w:lang w:val="fr-FR"/>
              </w:rPr>
              <w:t>Auparavant tous les</w:t>
            </w:r>
            <w:r w:rsidR="003F788D" w:rsidRPr="001B3779">
              <w:rPr>
                <w:sz w:val="20"/>
                <w:lang w:val="fr-FR"/>
              </w:rPr>
              <w:t xml:space="preserve"> 10 </w:t>
            </w:r>
            <w:r w:rsidR="005553F5">
              <w:rPr>
                <w:sz w:val="20"/>
                <w:lang w:val="fr-FR"/>
              </w:rPr>
              <w:t>ans</w:t>
            </w:r>
            <w:r w:rsidR="003F788D" w:rsidRPr="001B3779">
              <w:rPr>
                <w:sz w:val="20"/>
                <w:lang w:val="fr-FR"/>
              </w:rPr>
              <w:t xml:space="preserve"> (2000, 2010), </w:t>
            </w:r>
            <w:r w:rsidRPr="001B3779">
              <w:rPr>
                <w:sz w:val="20"/>
                <w:lang w:val="fr-FR"/>
              </w:rPr>
              <w:t>mais ensuite tous les</w:t>
            </w:r>
            <w:r w:rsidR="003F788D" w:rsidRPr="001B3779">
              <w:rPr>
                <w:sz w:val="20"/>
                <w:lang w:val="fr-FR"/>
              </w:rPr>
              <w:t xml:space="preserve"> 6 </w:t>
            </w:r>
            <w:r w:rsidRPr="001B3779">
              <w:rPr>
                <w:sz w:val="20"/>
                <w:lang w:val="fr-FR"/>
              </w:rPr>
              <w:t>ans</w:t>
            </w:r>
            <w:r w:rsidR="003F788D" w:rsidRPr="001B3779">
              <w:rPr>
                <w:sz w:val="20"/>
                <w:lang w:val="fr-FR"/>
              </w:rPr>
              <w:t xml:space="preserve"> (2017, 2023) </w:t>
            </w:r>
            <w:r w:rsidRPr="001B3779">
              <w:rPr>
                <w:sz w:val="20"/>
                <w:lang w:val="fr-FR"/>
              </w:rPr>
              <w:t>afin d’être aligné sur l’Art.8 de la</w:t>
            </w:r>
            <w:r w:rsidR="003F788D" w:rsidRPr="001B3779">
              <w:rPr>
                <w:sz w:val="20"/>
                <w:lang w:val="fr-FR"/>
              </w:rPr>
              <w:t xml:space="preserve"> MSFD</w:t>
            </w:r>
          </w:p>
        </w:tc>
      </w:tr>
      <w:tr w:rsidR="00664206" w:rsidRPr="005E52F1" w14:paraId="7BC49A02" w14:textId="77777777">
        <w:trPr>
          <w:trHeight w:val="428"/>
        </w:trPr>
        <w:tc>
          <w:tcPr>
            <w:tcW w:w="2401" w:type="dxa"/>
          </w:tcPr>
          <w:p w14:paraId="28ADEFC8" w14:textId="77777777" w:rsidR="00664206" w:rsidRPr="001B3779" w:rsidRDefault="003F788D">
            <w:pPr>
              <w:pStyle w:val="TableParagraph"/>
              <w:spacing w:before="98"/>
              <w:rPr>
                <w:sz w:val="20"/>
                <w:lang w:val="fr-FR"/>
              </w:rPr>
            </w:pPr>
            <w:r w:rsidRPr="001B3779">
              <w:rPr>
                <w:sz w:val="20"/>
                <w:lang w:val="fr-FR"/>
              </w:rPr>
              <w:t>HELCOM</w:t>
            </w:r>
          </w:p>
        </w:tc>
        <w:tc>
          <w:tcPr>
            <w:tcW w:w="6611" w:type="dxa"/>
          </w:tcPr>
          <w:p w14:paraId="33D48A26" w14:textId="34A82A1C" w:rsidR="00664206" w:rsidRPr="001B3779" w:rsidRDefault="00DA2178">
            <w:pPr>
              <w:pStyle w:val="TableParagraph"/>
              <w:spacing w:before="98"/>
              <w:ind w:left="99"/>
              <w:rPr>
                <w:sz w:val="20"/>
                <w:lang w:val="fr-FR"/>
              </w:rPr>
            </w:pPr>
            <w:r w:rsidRPr="001B3779">
              <w:rPr>
                <w:sz w:val="20"/>
                <w:lang w:val="fr-FR"/>
              </w:rPr>
              <w:t>Similaire à</w:t>
            </w:r>
            <w:r w:rsidR="003F788D" w:rsidRPr="001B3779">
              <w:rPr>
                <w:sz w:val="20"/>
                <w:lang w:val="fr-FR"/>
              </w:rPr>
              <w:t xml:space="preserve"> OSPAR</w:t>
            </w:r>
            <w:r w:rsidRPr="001B3779">
              <w:rPr>
                <w:sz w:val="20"/>
                <w:lang w:val="fr-FR"/>
              </w:rPr>
              <w:t xml:space="preserve">, </w:t>
            </w:r>
            <w:r w:rsidR="00B14A21" w:rsidRPr="001B3779">
              <w:rPr>
                <w:sz w:val="20"/>
                <w:lang w:val="fr-FR"/>
              </w:rPr>
              <w:t xml:space="preserve">également par rapport au rapport prévu par l’Art. 8 de la </w:t>
            </w:r>
            <w:r w:rsidR="003F788D" w:rsidRPr="001B3779">
              <w:rPr>
                <w:sz w:val="20"/>
                <w:lang w:val="fr-FR"/>
              </w:rPr>
              <w:t xml:space="preserve">MSFD </w:t>
            </w:r>
          </w:p>
        </w:tc>
      </w:tr>
      <w:tr w:rsidR="00664206" w:rsidRPr="005E52F1" w14:paraId="639272B2" w14:textId="77777777">
        <w:trPr>
          <w:trHeight w:val="1581"/>
        </w:trPr>
        <w:tc>
          <w:tcPr>
            <w:tcW w:w="2401" w:type="dxa"/>
          </w:tcPr>
          <w:p w14:paraId="4055467F" w14:textId="77777777" w:rsidR="00664206" w:rsidRPr="001B3779" w:rsidRDefault="003F788D">
            <w:pPr>
              <w:pStyle w:val="TableParagraph"/>
              <w:rPr>
                <w:sz w:val="20"/>
                <w:lang w:val="fr-FR"/>
              </w:rPr>
            </w:pPr>
            <w:r w:rsidRPr="001B3779">
              <w:rPr>
                <w:sz w:val="20"/>
                <w:lang w:val="fr-FR"/>
              </w:rPr>
              <w:t>CAFF</w:t>
            </w:r>
          </w:p>
        </w:tc>
        <w:tc>
          <w:tcPr>
            <w:tcW w:w="6611" w:type="dxa"/>
          </w:tcPr>
          <w:p w14:paraId="227E5513" w14:textId="1CEE13EB" w:rsidR="00664206" w:rsidRPr="00595087" w:rsidRDefault="00F92B09">
            <w:pPr>
              <w:pStyle w:val="TableParagraph"/>
              <w:ind w:left="99" w:right="100"/>
              <w:rPr>
                <w:sz w:val="20"/>
                <w:lang w:val="fr-FR"/>
              </w:rPr>
            </w:pPr>
            <w:r w:rsidRPr="001B3779">
              <w:rPr>
                <w:sz w:val="20"/>
                <w:lang w:val="fr-FR"/>
              </w:rPr>
              <w:t xml:space="preserve">Il existe </w:t>
            </w:r>
            <w:r w:rsidR="00E92747" w:rsidRPr="001B3779">
              <w:rPr>
                <w:sz w:val="20"/>
                <w:lang w:val="fr-FR"/>
              </w:rPr>
              <w:t>une grande variété de</w:t>
            </w:r>
            <w:r w:rsidR="003F788D" w:rsidRPr="001B3779">
              <w:rPr>
                <w:sz w:val="20"/>
                <w:lang w:val="fr-FR"/>
              </w:rPr>
              <w:t xml:space="preserve"> programmes </w:t>
            </w:r>
            <w:r w:rsidR="00E92747" w:rsidRPr="001B3779">
              <w:rPr>
                <w:sz w:val="20"/>
                <w:lang w:val="fr-FR"/>
              </w:rPr>
              <w:t>de surveillance et d’évaluation de l’Arctique</w:t>
            </w:r>
            <w:r w:rsidR="003F788D" w:rsidRPr="001B3779">
              <w:rPr>
                <w:sz w:val="20"/>
                <w:lang w:val="fr-FR"/>
              </w:rPr>
              <w:t xml:space="preserve">. </w:t>
            </w:r>
            <w:r w:rsidR="00A51F93" w:rsidRPr="001B3779">
              <w:rPr>
                <w:sz w:val="20"/>
                <w:lang w:val="fr-FR"/>
              </w:rPr>
              <w:t>Sous l’égide du</w:t>
            </w:r>
            <w:r w:rsidR="00494A01" w:rsidRPr="001B3779">
              <w:rPr>
                <w:sz w:val="20"/>
                <w:lang w:val="fr-FR"/>
              </w:rPr>
              <w:t xml:space="preserve"> CBMP</w:t>
            </w:r>
            <w:r w:rsidR="00A51F93" w:rsidRPr="001B3779">
              <w:rPr>
                <w:sz w:val="20"/>
                <w:lang w:val="fr-FR"/>
              </w:rPr>
              <w:t>,</w:t>
            </w:r>
            <w:r w:rsidR="00494A01" w:rsidRPr="001B3779">
              <w:rPr>
                <w:sz w:val="20"/>
                <w:lang w:val="fr-FR"/>
              </w:rPr>
              <w:t xml:space="preserve"> </w:t>
            </w:r>
            <w:r w:rsidR="00A51F93" w:rsidRPr="001B3779">
              <w:rPr>
                <w:sz w:val="20"/>
                <w:lang w:val="fr-FR"/>
              </w:rPr>
              <w:t>des</w:t>
            </w:r>
            <w:r w:rsidR="00494A01" w:rsidRPr="001B3779">
              <w:rPr>
                <w:sz w:val="20"/>
                <w:lang w:val="fr-FR"/>
              </w:rPr>
              <w:t xml:space="preserve"> plans </w:t>
            </w:r>
            <w:r w:rsidR="00A51F93" w:rsidRPr="001B3779">
              <w:rPr>
                <w:sz w:val="20"/>
                <w:lang w:val="fr-FR"/>
              </w:rPr>
              <w:t>de surveillance</w:t>
            </w:r>
            <w:r w:rsidR="00E5467D" w:rsidRPr="001B3779">
              <w:rPr>
                <w:sz w:val="20"/>
                <w:lang w:val="fr-FR"/>
              </w:rPr>
              <w:t xml:space="preserve"> circumpolaire</w:t>
            </w:r>
            <w:r w:rsidR="00FA1208" w:rsidRPr="001B3779">
              <w:rPr>
                <w:sz w:val="20"/>
                <w:lang w:val="fr-FR"/>
              </w:rPr>
              <w:t xml:space="preserve"> coordonnés</w:t>
            </w:r>
            <w:r w:rsidR="00E5467D" w:rsidRPr="001B3779">
              <w:rPr>
                <w:sz w:val="20"/>
                <w:lang w:val="fr-FR"/>
              </w:rPr>
              <w:t xml:space="preserve"> ont été développés avec des composants</w:t>
            </w:r>
            <w:r w:rsidR="00D57271" w:rsidRPr="001B3779">
              <w:rPr>
                <w:sz w:val="20"/>
                <w:lang w:val="fr-FR"/>
              </w:rPr>
              <w:t xml:space="preserve"> </w:t>
            </w:r>
            <w:r w:rsidR="006C03A2" w:rsidRPr="001B3779">
              <w:rPr>
                <w:sz w:val="20"/>
                <w:lang w:val="fr-FR"/>
              </w:rPr>
              <w:t>clés</w:t>
            </w:r>
            <w:r w:rsidR="00D57271" w:rsidRPr="001B3779">
              <w:rPr>
                <w:sz w:val="20"/>
                <w:lang w:val="fr-FR"/>
              </w:rPr>
              <w:t xml:space="preserve"> </w:t>
            </w:r>
            <w:r w:rsidR="006C03A2" w:rsidRPr="001B3779">
              <w:rPr>
                <w:sz w:val="20"/>
                <w:lang w:val="fr-FR"/>
              </w:rPr>
              <w:t xml:space="preserve">de l’écosystème, </w:t>
            </w:r>
            <w:r w:rsidR="005014CE" w:rsidRPr="001B3779">
              <w:rPr>
                <w:sz w:val="20"/>
                <w:lang w:val="fr-FR"/>
              </w:rPr>
              <w:t>ainsi que divers attributs/paramètres pour la surveillance</w:t>
            </w:r>
            <w:r w:rsidR="00E8207C" w:rsidRPr="001B3779">
              <w:rPr>
                <w:sz w:val="20"/>
                <w:lang w:val="fr-FR"/>
              </w:rPr>
              <w:t xml:space="preserve">. </w:t>
            </w:r>
            <w:r w:rsidR="00D3007A" w:rsidRPr="001B3779">
              <w:rPr>
                <w:sz w:val="20"/>
                <w:lang w:val="fr-FR"/>
              </w:rPr>
              <w:t>Les composants clés de l’écosystème ont été ajustés après</w:t>
            </w:r>
            <w:r w:rsidR="007E51F6" w:rsidRPr="001B3779">
              <w:rPr>
                <w:sz w:val="20"/>
                <w:lang w:val="fr-FR"/>
              </w:rPr>
              <w:t xml:space="preserve"> les </w:t>
            </w:r>
            <w:r w:rsidR="00BA08CD" w:rsidRPr="001B3779">
              <w:rPr>
                <w:sz w:val="20"/>
                <w:lang w:val="fr-FR"/>
              </w:rPr>
              <w:t xml:space="preserve">rapports sur l’état </w:t>
            </w:r>
            <w:r w:rsidR="00EB3D80" w:rsidRPr="001B3779">
              <w:rPr>
                <w:sz w:val="20"/>
                <w:lang w:val="fr-FR"/>
              </w:rPr>
              <w:t>de la biodiversité de l’Arctique</w:t>
            </w:r>
            <w:r w:rsidR="00494A01" w:rsidRPr="001B3779">
              <w:rPr>
                <w:sz w:val="20"/>
                <w:lang w:val="fr-FR"/>
              </w:rPr>
              <w:t xml:space="preserve">. </w:t>
            </w:r>
            <w:r w:rsidR="00256701" w:rsidRPr="001B3779">
              <w:rPr>
                <w:sz w:val="20"/>
                <w:lang w:val="fr-FR"/>
              </w:rPr>
              <w:t>Pour le</w:t>
            </w:r>
            <w:r w:rsidR="003F788D" w:rsidRPr="001B3779">
              <w:rPr>
                <w:sz w:val="20"/>
                <w:lang w:val="fr-FR"/>
              </w:rPr>
              <w:t xml:space="preserve"> CBMP Marin</w:t>
            </w:r>
            <w:r w:rsidR="00256701" w:rsidRPr="001B3779">
              <w:rPr>
                <w:sz w:val="20"/>
                <w:lang w:val="fr-FR"/>
              </w:rPr>
              <w:t>,</w:t>
            </w:r>
            <w:r w:rsidR="003F788D" w:rsidRPr="001B3779">
              <w:rPr>
                <w:sz w:val="20"/>
                <w:lang w:val="fr-FR"/>
              </w:rPr>
              <w:t xml:space="preserve"> </w:t>
            </w:r>
            <w:r w:rsidR="00256701" w:rsidRPr="001B3779">
              <w:rPr>
                <w:sz w:val="20"/>
                <w:lang w:val="fr-FR"/>
              </w:rPr>
              <w:t>la fr</w:t>
            </w:r>
            <w:r w:rsidR="001B3779" w:rsidRPr="001B3779">
              <w:rPr>
                <w:sz w:val="20"/>
                <w:lang w:val="fr-FR"/>
              </w:rPr>
              <w:t>é</w:t>
            </w:r>
            <w:r w:rsidR="00256701" w:rsidRPr="001B3779">
              <w:rPr>
                <w:sz w:val="20"/>
                <w:lang w:val="fr-FR"/>
              </w:rPr>
              <w:t>quence future</w:t>
            </w:r>
            <w:r w:rsidR="00611FB8" w:rsidRPr="001B3779">
              <w:rPr>
                <w:sz w:val="20"/>
                <w:lang w:val="fr-FR"/>
              </w:rPr>
              <w:t xml:space="preserve"> </w:t>
            </w:r>
            <w:r w:rsidR="002227E7" w:rsidRPr="001B3779">
              <w:rPr>
                <w:sz w:val="20"/>
                <w:lang w:val="fr-FR"/>
              </w:rPr>
              <w:t xml:space="preserve">du processus </w:t>
            </w:r>
            <w:r w:rsidR="00611FB8" w:rsidRPr="001B3779">
              <w:rPr>
                <w:sz w:val="20"/>
                <w:lang w:val="fr-FR"/>
              </w:rPr>
              <w:t xml:space="preserve">des </w:t>
            </w:r>
            <w:r w:rsidR="002227E7" w:rsidRPr="001B3779">
              <w:rPr>
                <w:sz w:val="20"/>
                <w:lang w:val="fr-FR"/>
              </w:rPr>
              <w:t>r</w:t>
            </w:r>
            <w:r w:rsidR="00611FB8" w:rsidRPr="001B3779">
              <w:rPr>
                <w:sz w:val="20"/>
                <w:lang w:val="fr-FR"/>
              </w:rPr>
              <w:t>apports sur l’état de la biodiversité marine de l’Arctique</w:t>
            </w:r>
            <w:r w:rsidR="00DF1BB1">
              <w:rPr>
                <w:sz w:val="20"/>
                <w:lang w:val="fr-FR"/>
              </w:rPr>
              <w:t xml:space="preserve"> (SAMBR)</w:t>
            </w:r>
            <w:r w:rsidR="00611FB8" w:rsidRPr="001B3779">
              <w:rPr>
                <w:sz w:val="20"/>
                <w:lang w:val="fr-FR"/>
              </w:rPr>
              <w:t>, publié</w:t>
            </w:r>
            <w:r w:rsidR="002227E7" w:rsidRPr="001B3779">
              <w:rPr>
                <w:sz w:val="20"/>
                <w:lang w:val="fr-FR"/>
              </w:rPr>
              <w:t xml:space="preserve"> en</w:t>
            </w:r>
            <w:r w:rsidR="00F2775E" w:rsidRPr="001B3779">
              <w:rPr>
                <w:sz w:val="20"/>
                <w:lang w:val="fr-FR"/>
              </w:rPr>
              <w:t xml:space="preserve"> 2017,</w:t>
            </w:r>
            <w:r w:rsidR="003F788D" w:rsidRPr="001B3779">
              <w:rPr>
                <w:sz w:val="20"/>
                <w:lang w:val="fr-FR"/>
              </w:rPr>
              <w:t xml:space="preserve"> </w:t>
            </w:r>
            <w:r w:rsidR="002227E7" w:rsidRPr="001B3779">
              <w:rPr>
                <w:sz w:val="20"/>
                <w:lang w:val="fr-FR"/>
              </w:rPr>
              <w:t>est en cours de</w:t>
            </w:r>
            <w:r w:rsidR="003F788D" w:rsidRPr="001B3779">
              <w:rPr>
                <w:sz w:val="20"/>
                <w:lang w:val="fr-FR"/>
              </w:rPr>
              <w:t xml:space="preserve"> discussion</w:t>
            </w:r>
            <w:r w:rsidR="00F579A5" w:rsidRPr="001B3779">
              <w:rPr>
                <w:sz w:val="20"/>
                <w:lang w:val="fr-FR"/>
              </w:rPr>
              <w:t xml:space="preserve">, mais des mises à jour plus fréquentes et plus courtes </w:t>
            </w:r>
            <w:r w:rsidR="00D552E2" w:rsidRPr="001B3779">
              <w:rPr>
                <w:sz w:val="20"/>
                <w:lang w:val="fr-FR"/>
              </w:rPr>
              <w:t>devraient être prévues, telles que la mise à jour de</w:t>
            </w:r>
            <w:r w:rsidR="003F788D" w:rsidRPr="001B3779">
              <w:rPr>
                <w:sz w:val="20"/>
                <w:lang w:val="fr-FR"/>
              </w:rPr>
              <w:t xml:space="preserve"> </w:t>
            </w:r>
            <w:r w:rsidR="00F2775E" w:rsidRPr="001B3779">
              <w:rPr>
                <w:sz w:val="20"/>
                <w:lang w:val="fr-FR"/>
              </w:rPr>
              <w:t xml:space="preserve">2021 </w:t>
            </w:r>
            <w:r w:rsidR="00D552E2" w:rsidRPr="001B3779">
              <w:rPr>
                <w:sz w:val="20"/>
                <w:lang w:val="fr-FR"/>
              </w:rPr>
              <w:t>sur les oiseaux marins</w:t>
            </w:r>
            <w:r w:rsidR="003F788D" w:rsidRPr="001B3779">
              <w:rPr>
                <w:sz w:val="20"/>
                <w:lang w:val="fr-FR"/>
              </w:rPr>
              <w:t>.</w:t>
            </w:r>
            <w:r w:rsidR="00494A01" w:rsidRPr="001B3779">
              <w:rPr>
                <w:sz w:val="20"/>
                <w:lang w:val="fr-FR"/>
              </w:rPr>
              <w:t xml:space="preserve"> </w:t>
            </w:r>
            <w:proofErr w:type="spellStart"/>
            <w:r w:rsidR="00494A01" w:rsidRPr="00DD63B2">
              <w:rPr>
                <w:sz w:val="20"/>
                <w:lang w:val="fr-FR"/>
              </w:rPr>
              <w:t>CBird</w:t>
            </w:r>
            <w:proofErr w:type="spellEnd"/>
            <w:r w:rsidR="00494A01" w:rsidRPr="00DD63B2">
              <w:rPr>
                <w:sz w:val="20"/>
                <w:lang w:val="fr-FR"/>
              </w:rPr>
              <w:t xml:space="preserve"> </w:t>
            </w:r>
            <w:r w:rsidR="0053397B" w:rsidRPr="00DD63B2">
              <w:rPr>
                <w:sz w:val="20"/>
                <w:lang w:val="fr-FR"/>
              </w:rPr>
              <w:t>a le</w:t>
            </w:r>
            <w:r w:rsidR="00494A01" w:rsidRPr="00DD63B2">
              <w:rPr>
                <w:sz w:val="20"/>
                <w:lang w:val="fr-FR"/>
              </w:rPr>
              <w:t xml:space="preserve"> Plan</w:t>
            </w:r>
            <w:r w:rsidR="0053397B" w:rsidRPr="00DD63B2">
              <w:rPr>
                <w:sz w:val="20"/>
                <w:lang w:val="fr-FR"/>
              </w:rPr>
              <w:t xml:space="preserve"> de surveillance </w:t>
            </w:r>
            <w:r w:rsidR="00DD63B2" w:rsidRPr="00DD63B2">
              <w:rPr>
                <w:sz w:val="20"/>
                <w:lang w:val="fr-FR"/>
              </w:rPr>
              <w:t>des oiseaux marins circumpolaires</w:t>
            </w:r>
            <w:r w:rsidR="00494A01" w:rsidRPr="00DD63B2">
              <w:rPr>
                <w:sz w:val="20"/>
                <w:lang w:val="fr-FR"/>
              </w:rPr>
              <w:t xml:space="preserve">, </w:t>
            </w:r>
            <w:r w:rsidR="00DD63B2" w:rsidRPr="00DD63B2">
              <w:rPr>
                <w:sz w:val="20"/>
                <w:lang w:val="fr-FR"/>
              </w:rPr>
              <w:t>qu</w:t>
            </w:r>
            <w:r w:rsidR="00DD63B2">
              <w:rPr>
                <w:sz w:val="20"/>
                <w:lang w:val="fr-FR"/>
              </w:rPr>
              <w:t>i inclut une recommandation de surveillance des</w:t>
            </w:r>
            <w:r w:rsidR="00494A01" w:rsidRPr="00DD63B2">
              <w:rPr>
                <w:sz w:val="20"/>
                <w:lang w:val="fr-FR"/>
              </w:rPr>
              <w:t xml:space="preserve"> colonies </w:t>
            </w:r>
            <w:r w:rsidR="009A4BBE" w:rsidRPr="00DD63B2">
              <w:rPr>
                <w:sz w:val="20"/>
                <w:lang w:val="fr-FR"/>
              </w:rPr>
              <w:t>(</w:t>
            </w:r>
            <w:r w:rsidR="00DD63B2">
              <w:rPr>
                <w:sz w:val="20"/>
                <w:lang w:val="fr-FR"/>
              </w:rPr>
              <w:t xml:space="preserve">taille des </w:t>
            </w:r>
            <w:r w:rsidR="009A4BBE" w:rsidRPr="00DD63B2">
              <w:rPr>
                <w:sz w:val="20"/>
                <w:lang w:val="fr-FR"/>
              </w:rPr>
              <w:t>population</w:t>
            </w:r>
            <w:r w:rsidR="00DD63B2">
              <w:rPr>
                <w:sz w:val="20"/>
                <w:lang w:val="fr-FR"/>
              </w:rPr>
              <w:t>s</w:t>
            </w:r>
            <w:r w:rsidR="009A4BBE" w:rsidRPr="00DD63B2">
              <w:rPr>
                <w:sz w:val="20"/>
                <w:lang w:val="fr-FR"/>
              </w:rPr>
              <w:t xml:space="preserve"> </w:t>
            </w:r>
            <w:r w:rsidR="00DD63B2">
              <w:rPr>
                <w:sz w:val="20"/>
                <w:lang w:val="fr-FR"/>
              </w:rPr>
              <w:t>et taux de reproduction</w:t>
            </w:r>
            <w:r w:rsidR="002C4484">
              <w:rPr>
                <w:sz w:val="20"/>
                <w:lang w:val="fr-FR"/>
              </w:rPr>
              <w:t>, avec d’autres paramètres démographiques optionnels)</w:t>
            </w:r>
            <w:r w:rsidR="009A4BBE" w:rsidRPr="00DD63B2">
              <w:rPr>
                <w:sz w:val="20"/>
                <w:lang w:val="fr-FR"/>
              </w:rPr>
              <w:t xml:space="preserve"> </w:t>
            </w:r>
            <w:r w:rsidR="002C4484">
              <w:rPr>
                <w:sz w:val="20"/>
                <w:lang w:val="fr-FR"/>
              </w:rPr>
              <w:t>sur des intervalles d’au moins trois ans</w:t>
            </w:r>
            <w:r w:rsidR="00494A01" w:rsidRPr="00DD63B2">
              <w:rPr>
                <w:sz w:val="20"/>
                <w:lang w:val="fr-FR"/>
              </w:rPr>
              <w:t xml:space="preserve">. </w:t>
            </w:r>
            <w:r w:rsidR="008C4A57">
              <w:rPr>
                <w:sz w:val="20"/>
                <w:lang w:val="fr-FR"/>
              </w:rPr>
              <w:t>Une base de données</w:t>
            </w:r>
            <w:r w:rsidR="00D76E09">
              <w:rPr>
                <w:sz w:val="20"/>
                <w:lang w:val="fr-FR"/>
              </w:rPr>
              <w:t xml:space="preserve"> en ligne</w:t>
            </w:r>
            <w:r w:rsidR="008D32AC">
              <w:rPr>
                <w:sz w:val="20"/>
                <w:lang w:val="fr-FR"/>
              </w:rPr>
              <w:t xml:space="preserve"> sur l’état des</w:t>
            </w:r>
            <w:r w:rsidR="00494A01" w:rsidRPr="001B3779">
              <w:rPr>
                <w:sz w:val="20"/>
                <w:lang w:val="fr-FR"/>
              </w:rPr>
              <w:t xml:space="preserve"> </w:t>
            </w:r>
            <w:r w:rsidR="009A4BBE" w:rsidRPr="001B3779">
              <w:rPr>
                <w:sz w:val="20"/>
                <w:lang w:val="fr-FR"/>
              </w:rPr>
              <w:t>population</w:t>
            </w:r>
            <w:r w:rsidR="008D32AC">
              <w:rPr>
                <w:sz w:val="20"/>
                <w:lang w:val="fr-FR"/>
              </w:rPr>
              <w:t>s</w:t>
            </w:r>
            <w:r w:rsidR="009A4BBE" w:rsidRPr="001B3779">
              <w:rPr>
                <w:sz w:val="20"/>
                <w:lang w:val="fr-FR"/>
              </w:rPr>
              <w:t xml:space="preserve"> (Archive</w:t>
            </w:r>
            <w:r w:rsidR="008D32AC">
              <w:rPr>
                <w:sz w:val="20"/>
                <w:lang w:val="fr-FR"/>
              </w:rPr>
              <w:t xml:space="preserve"> </w:t>
            </w:r>
            <w:r w:rsidR="00990D5F">
              <w:rPr>
                <w:sz w:val="20"/>
                <w:lang w:val="fr-FR"/>
              </w:rPr>
              <w:t>sur l’état des oiseaux marins de l’Arctique</w:t>
            </w:r>
            <w:r w:rsidR="009A4BBE" w:rsidRPr="001B3779">
              <w:rPr>
                <w:sz w:val="20"/>
                <w:lang w:val="fr-FR"/>
              </w:rPr>
              <w:t>)</w:t>
            </w:r>
            <w:r w:rsidR="00494A01" w:rsidRPr="001B3779">
              <w:rPr>
                <w:sz w:val="20"/>
                <w:lang w:val="fr-FR"/>
              </w:rPr>
              <w:t xml:space="preserve"> </w:t>
            </w:r>
            <w:r w:rsidR="00990D5F">
              <w:rPr>
                <w:sz w:val="20"/>
                <w:lang w:val="fr-FR"/>
              </w:rPr>
              <w:t>a été créée et doit être alimentée tous les ans</w:t>
            </w:r>
            <w:r w:rsidR="00494A01" w:rsidRPr="001B3779">
              <w:rPr>
                <w:sz w:val="20"/>
                <w:lang w:val="fr-FR"/>
              </w:rPr>
              <w:t xml:space="preserve">. </w:t>
            </w:r>
            <w:r w:rsidR="00C3483B" w:rsidRPr="00595087">
              <w:rPr>
                <w:sz w:val="20"/>
                <w:lang w:val="fr-FR"/>
              </w:rPr>
              <w:t>Le Rapport du</w:t>
            </w:r>
            <w:r w:rsidR="00F2775E" w:rsidRPr="00595087">
              <w:rPr>
                <w:sz w:val="20"/>
                <w:lang w:val="fr-FR"/>
              </w:rPr>
              <w:t xml:space="preserve"> CBMP </w:t>
            </w:r>
            <w:r w:rsidR="00595087" w:rsidRPr="00595087">
              <w:rPr>
                <w:sz w:val="20"/>
                <w:lang w:val="fr-FR"/>
              </w:rPr>
              <w:t>sur l’état de la biodiversité</w:t>
            </w:r>
            <w:r w:rsidR="00595087">
              <w:rPr>
                <w:sz w:val="20"/>
                <w:lang w:val="fr-FR"/>
              </w:rPr>
              <w:t xml:space="preserve"> t</w:t>
            </w:r>
            <w:r w:rsidR="00595087" w:rsidRPr="00595087">
              <w:rPr>
                <w:sz w:val="20"/>
                <w:lang w:val="fr-FR"/>
              </w:rPr>
              <w:t>errestre de l’Arctique</w:t>
            </w:r>
            <w:r w:rsidR="003A09A8">
              <w:rPr>
                <w:sz w:val="20"/>
                <w:lang w:val="fr-FR"/>
              </w:rPr>
              <w:t>, évaluant</w:t>
            </w:r>
            <w:r w:rsidR="00494A01" w:rsidRPr="00595087">
              <w:rPr>
                <w:sz w:val="20"/>
                <w:lang w:val="fr-FR"/>
              </w:rPr>
              <w:t xml:space="preserve"> 88 </w:t>
            </w:r>
            <w:r w:rsidR="003A09A8">
              <w:rPr>
                <w:sz w:val="20"/>
                <w:lang w:val="fr-FR"/>
              </w:rPr>
              <w:t>espèces d’oiseaux se reproduisant dans la toundra, y compris des échassiers, a été publié en</w:t>
            </w:r>
            <w:r w:rsidR="00494A01" w:rsidRPr="00595087">
              <w:rPr>
                <w:sz w:val="20"/>
                <w:lang w:val="fr-FR"/>
              </w:rPr>
              <w:t xml:space="preserve"> 2021</w:t>
            </w:r>
            <w:r w:rsidR="003A09A8">
              <w:rPr>
                <w:sz w:val="20"/>
                <w:lang w:val="fr-FR"/>
              </w:rPr>
              <w:t xml:space="preserve">, avec des mises à jour/processus en </w:t>
            </w:r>
            <w:r w:rsidR="00494A01" w:rsidRPr="00595087">
              <w:rPr>
                <w:sz w:val="20"/>
                <w:lang w:val="fr-FR"/>
              </w:rPr>
              <w:t>discussion</w:t>
            </w:r>
            <w:r w:rsidR="003F788D" w:rsidRPr="00595087">
              <w:rPr>
                <w:sz w:val="20"/>
                <w:lang w:val="fr-FR"/>
              </w:rPr>
              <w:t>.</w:t>
            </w:r>
          </w:p>
        </w:tc>
      </w:tr>
      <w:tr w:rsidR="00664206" w:rsidRPr="001B3779" w14:paraId="4A9A64E4" w14:textId="77777777">
        <w:trPr>
          <w:trHeight w:val="659"/>
        </w:trPr>
        <w:tc>
          <w:tcPr>
            <w:tcW w:w="2401" w:type="dxa"/>
          </w:tcPr>
          <w:p w14:paraId="04470ABB" w14:textId="354BEAB7" w:rsidR="00664206" w:rsidRPr="001B3779" w:rsidRDefault="00EB579D">
            <w:pPr>
              <w:pStyle w:val="TableParagraph"/>
              <w:spacing w:before="98"/>
              <w:ind w:right="605"/>
              <w:rPr>
                <w:sz w:val="20"/>
                <w:lang w:val="fr-FR"/>
              </w:rPr>
            </w:pPr>
            <w:r w:rsidRPr="00EB579D">
              <w:rPr>
                <w:sz w:val="20"/>
                <w:lang w:val="fr-FR"/>
              </w:rPr>
              <w:t xml:space="preserve">Initiative Voie de migration de la mer des Wadden </w:t>
            </w:r>
            <w:r w:rsidR="003F788D" w:rsidRPr="001B3779">
              <w:rPr>
                <w:sz w:val="20"/>
                <w:lang w:val="fr-FR"/>
              </w:rPr>
              <w:t>(WSFI)</w:t>
            </w:r>
          </w:p>
        </w:tc>
        <w:tc>
          <w:tcPr>
            <w:tcW w:w="6611" w:type="dxa"/>
          </w:tcPr>
          <w:p w14:paraId="34736946" w14:textId="722211A7" w:rsidR="00664206" w:rsidRPr="001B3779" w:rsidRDefault="00EB579D">
            <w:pPr>
              <w:pStyle w:val="TableParagraph"/>
              <w:spacing w:before="98"/>
              <w:ind w:left="99"/>
              <w:rPr>
                <w:sz w:val="20"/>
                <w:lang w:val="fr-FR"/>
              </w:rPr>
            </w:pPr>
            <w:r>
              <w:rPr>
                <w:sz w:val="20"/>
                <w:lang w:val="fr-FR"/>
              </w:rPr>
              <w:t>Tous les</w:t>
            </w:r>
            <w:r w:rsidR="003F788D" w:rsidRPr="001B3779">
              <w:rPr>
                <w:sz w:val="20"/>
                <w:lang w:val="fr-FR"/>
              </w:rPr>
              <w:t xml:space="preserve"> 3 </w:t>
            </w:r>
            <w:r>
              <w:rPr>
                <w:sz w:val="20"/>
                <w:lang w:val="fr-FR"/>
              </w:rPr>
              <w:t>ans</w:t>
            </w:r>
          </w:p>
        </w:tc>
      </w:tr>
      <w:tr w:rsidR="00664206" w:rsidRPr="005E52F1" w14:paraId="2024D1B0" w14:textId="77777777">
        <w:trPr>
          <w:trHeight w:val="431"/>
        </w:trPr>
        <w:tc>
          <w:tcPr>
            <w:tcW w:w="2401" w:type="dxa"/>
          </w:tcPr>
          <w:p w14:paraId="201D5D17" w14:textId="40469E91" w:rsidR="00664206" w:rsidRPr="001B3779" w:rsidRDefault="003F788D">
            <w:pPr>
              <w:pStyle w:val="TableParagraph"/>
              <w:rPr>
                <w:sz w:val="20"/>
                <w:lang w:val="fr-FR"/>
              </w:rPr>
            </w:pPr>
            <w:r w:rsidRPr="001B3779">
              <w:rPr>
                <w:sz w:val="20"/>
                <w:lang w:val="fr-FR"/>
              </w:rPr>
              <w:t>List</w:t>
            </w:r>
            <w:r w:rsidR="00EB579D">
              <w:rPr>
                <w:sz w:val="20"/>
                <w:lang w:val="fr-FR"/>
              </w:rPr>
              <w:t>e rouge de l’UICN</w:t>
            </w:r>
          </w:p>
        </w:tc>
        <w:tc>
          <w:tcPr>
            <w:tcW w:w="6611" w:type="dxa"/>
          </w:tcPr>
          <w:p w14:paraId="2189022A" w14:textId="386119CE" w:rsidR="00664206" w:rsidRPr="001B3779" w:rsidRDefault="00C33487">
            <w:pPr>
              <w:pStyle w:val="TableParagraph"/>
              <w:ind w:left="99"/>
              <w:rPr>
                <w:sz w:val="20"/>
                <w:lang w:val="fr-FR"/>
              </w:rPr>
            </w:pPr>
            <w:r>
              <w:rPr>
                <w:sz w:val="20"/>
                <w:lang w:val="fr-FR"/>
              </w:rPr>
              <w:t>Annuel</w:t>
            </w:r>
            <w:r w:rsidR="00340B30">
              <w:rPr>
                <w:sz w:val="20"/>
                <w:lang w:val="fr-FR"/>
              </w:rPr>
              <w:t>le</w:t>
            </w:r>
            <w:r>
              <w:rPr>
                <w:sz w:val="20"/>
                <w:lang w:val="fr-FR"/>
              </w:rPr>
              <w:t>, avec des</w:t>
            </w:r>
            <w:r w:rsidR="003F788D" w:rsidRPr="001B3779">
              <w:rPr>
                <w:sz w:val="20"/>
                <w:lang w:val="fr-FR"/>
              </w:rPr>
              <w:t xml:space="preserve"> r</w:t>
            </w:r>
            <w:r>
              <w:rPr>
                <w:sz w:val="20"/>
                <w:lang w:val="fr-FR"/>
              </w:rPr>
              <w:t>é</w:t>
            </w:r>
            <w:r w:rsidR="003F788D" w:rsidRPr="001B3779">
              <w:rPr>
                <w:sz w:val="20"/>
                <w:lang w:val="fr-FR"/>
              </w:rPr>
              <w:t xml:space="preserve">visions </w:t>
            </w:r>
            <w:r>
              <w:rPr>
                <w:sz w:val="20"/>
                <w:lang w:val="fr-FR"/>
              </w:rPr>
              <w:t>importantes tous les</w:t>
            </w:r>
            <w:r w:rsidR="003F788D" w:rsidRPr="001B3779">
              <w:rPr>
                <w:sz w:val="20"/>
                <w:lang w:val="fr-FR"/>
              </w:rPr>
              <w:t xml:space="preserve"> 4 </w:t>
            </w:r>
            <w:r>
              <w:rPr>
                <w:sz w:val="20"/>
                <w:lang w:val="fr-FR"/>
              </w:rPr>
              <w:t>ans</w:t>
            </w:r>
            <w:r w:rsidR="003F788D" w:rsidRPr="001B3779">
              <w:rPr>
                <w:sz w:val="20"/>
                <w:lang w:val="fr-FR"/>
              </w:rPr>
              <w:t>.</w:t>
            </w:r>
          </w:p>
        </w:tc>
      </w:tr>
    </w:tbl>
    <w:p w14:paraId="3F8D0AE7" w14:textId="77777777" w:rsidR="00664206" w:rsidRPr="001B3779" w:rsidRDefault="00664206">
      <w:pPr>
        <w:pStyle w:val="BodyText"/>
        <w:rPr>
          <w:sz w:val="24"/>
          <w:lang w:val="fr-FR"/>
        </w:rPr>
      </w:pPr>
    </w:p>
    <w:p w14:paraId="2BDA4252" w14:textId="77777777" w:rsidR="00FF6875" w:rsidRPr="001B3779" w:rsidRDefault="00FF6875">
      <w:pPr>
        <w:pStyle w:val="BodyText"/>
        <w:spacing w:before="2"/>
        <w:rPr>
          <w:sz w:val="31"/>
          <w:lang w:val="fr-FR"/>
        </w:rPr>
      </w:pPr>
    </w:p>
    <w:p w14:paraId="04700ACC" w14:textId="3900DEAC" w:rsidR="00664206" w:rsidRPr="001B3779" w:rsidRDefault="00923054">
      <w:pPr>
        <w:pStyle w:val="Heading1"/>
        <w:rPr>
          <w:lang w:val="fr-FR"/>
        </w:rPr>
      </w:pPr>
      <w:r>
        <w:rPr>
          <w:lang w:val="fr-FR"/>
        </w:rPr>
        <w:t>Calendrier des études</w:t>
      </w:r>
      <w:r w:rsidR="003F788D" w:rsidRPr="001B3779">
        <w:rPr>
          <w:lang w:val="fr-FR"/>
        </w:rPr>
        <w:t xml:space="preserve"> international</w:t>
      </w:r>
      <w:r>
        <w:rPr>
          <w:lang w:val="fr-FR"/>
        </w:rPr>
        <w:t>es</w:t>
      </w:r>
    </w:p>
    <w:p w14:paraId="092BC60B" w14:textId="53537317" w:rsidR="00664206" w:rsidRPr="00DE46D2" w:rsidRDefault="00F3031A" w:rsidP="00ED7342">
      <w:pPr>
        <w:pStyle w:val="Heading2"/>
        <w:spacing w:before="161"/>
        <w:ind w:right="737"/>
        <w:rPr>
          <w:sz w:val="22"/>
          <w:szCs w:val="22"/>
          <w:lang w:val="fr-FR"/>
        </w:rPr>
      </w:pPr>
      <w:r>
        <w:rPr>
          <w:sz w:val="22"/>
          <w:szCs w:val="22"/>
          <w:lang w:val="fr-FR"/>
        </w:rPr>
        <w:t>Actuellement, il</w:t>
      </w:r>
      <w:r w:rsidR="0075351B">
        <w:rPr>
          <w:sz w:val="22"/>
          <w:szCs w:val="22"/>
          <w:lang w:val="fr-FR"/>
        </w:rPr>
        <w:t xml:space="preserve"> existe seulement quelques études coordonnées à l’échelle internationale qui sont répétées de façon périodique (par ex., </w:t>
      </w:r>
      <w:r w:rsidR="00DF3AF6">
        <w:rPr>
          <w:sz w:val="22"/>
          <w:szCs w:val="22"/>
          <w:lang w:val="fr-FR"/>
        </w:rPr>
        <w:t xml:space="preserve">les </w:t>
      </w:r>
      <w:r w:rsidR="004F565A">
        <w:rPr>
          <w:sz w:val="22"/>
          <w:szCs w:val="22"/>
          <w:lang w:val="fr-FR"/>
        </w:rPr>
        <w:t>« </w:t>
      </w:r>
      <w:r w:rsidR="00930B8A">
        <w:rPr>
          <w:sz w:val="22"/>
          <w:szCs w:val="22"/>
          <w:lang w:val="fr-FR"/>
        </w:rPr>
        <w:t>dénombrements</w:t>
      </w:r>
      <w:r w:rsidR="004F565A">
        <w:rPr>
          <w:sz w:val="22"/>
          <w:szCs w:val="22"/>
          <w:lang w:val="fr-FR"/>
        </w:rPr>
        <w:t xml:space="preserve"> exhaustifs » des oiseaux d’eau dans la Voie de migration de l’Atlantique Est, les recensements des canards marins dans la mer Baltique, </w:t>
      </w:r>
      <w:r w:rsidR="009A1C16">
        <w:rPr>
          <w:sz w:val="22"/>
          <w:szCs w:val="22"/>
          <w:lang w:val="fr-FR"/>
        </w:rPr>
        <w:t xml:space="preserve">le </w:t>
      </w:r>
      <w:r w:rsidR="009A1C16">
        <w:rPr>
          <w:sz w:val="22"/>
          <w:szCs w:val="22"/>
          <w:lang w:val="fr-FR"/>
        </w:rPr>
        <w:lastRenderedPageBreak/>
        <w:t>recensement</w:t>
      </w:r>
      <w:r w:rsidR="00D91994">
        <w:rPr>
          <w:sz w:val="22"/>
          <w:szCs w:val="22"/>
          <w:lang w:val="fr-FR"/>
        </w:rPr>
        <w:t xml:space="preserve"> européen</w:t>
      </w:r>
      <w:r w:rsidR="009A1C16">
        <w:rPr>
          <w:sz w:val="22"/>
          <w:szCs w:val="22"/>
          <w:lang w:val="fr-FR"/>
        </w:rPr>
        <w:t xml:space="preserve"> </w:t>
      </w:r>
      <w:r w:rsidR="00D91994">
        <w:rPr>
          <w:sz w:val="22"/>
          <w:szCs w:val="22"/>
          <w:lang w:val="fr-FR"/>
        </w:rPr>
        <w:t xml:space="preserve">de la cigogne blanche, le recensement international du cygne, </w:t>
      </w:r>
      <w:r w:rsidR="00D05162">
        <w:rPr>
          <w:sz w:val="22"/>
          <w:szCs w:val="22"/>
          <w:lang w:val="fr-FR"/>
        </w:rPr>
        <w:t>les recensements du pluvier doré d’Eurasie</w:t>
      </w:r>
      <w:r w:rsidR="003F788D" w:rsidRPr="001B3779">
        <w:rPr>
          <w:sz w:val="22"/>
          <w:szCs w:val="22"/>
          <w:lang w:val="fr-FR"/>
        </w:rPr>
        <w:t xml:space="preserve">). </w:t>
      </w:r>
      <w:r w:rsidR="007D106B" w:rsidRPr="003F5ECA">
        <w:rPr>
          <w:sz w:val="22"/>
          <w:szCs w:val="22"/>
          <w:lang w:val="fr-FR"/>
        </w:rPr>
        <w:t>Les directives</w:t>
      </w:r>
      <w:r w:rsidR="0094422E" w:rsidRPr="003F5ECA">
        <w:rPr>
          <w:sz w:val="22"/>
          <w:szCs w:val="22"/>
          <w:lang w:val="fr-FR"/>
        </w:rPr>
        <w:t xml:space="preserve"> de l’</w:t>
      </w:r>
      <w:r w:rsidR="003F788D" w:rsidRPr="003F5ECA">
        <w:rPr>
          <w:sz w:val="22"/>
          <w:szCs w:val="22"/>
          <w:lang w:val="fr-FR"/>
        </w:rPr>
        <w:t xml:space="preserve">AEWA </w:t>
      </w:r>
      <w:r w:rsidR="0094422E" w:rsidRPr="003F5ECA">
        <w:rPr>
          <w:sz w:val="22"/>
          <w:szCs w:val="22"/>
          <w:lang w:val="fr-FR"/>
        </w:rPr>
        <w:t xml:space="preserve">en matière de surveillance, </w:t>
      </w:r>
      <w:r w:rsidR="008C3989" w:rsidRPr="003F5ECA">
        <w:rPr>
          <w:sz w:val="22"/>
          <w:szCs w:val="22"/>
          <w:lang w:val="fr-FR"/>
        </w:rPr>
        <w:t>adoptées</w:t>
      </w:r>
      <w:r w:rsidR="0094422E" w:rsidRPr="003F5ECA">
        <w:rPr>
          <w:sz w:val="22"/>
          <w:szCs w:val="22"/>
          <w:lang w:val="fr-FR"/>
        </w:rPr>
        <w:t xml:space="preserve"> lors de la</w:t>
      </w:r>
      <w:r w:rsidR="003F788D" w:rsidRPr="003F5ECA">
        <w:rPr>
          <w:sz w:val="22"/>
          <w:szCs w:val="22"/>
          <w:lang w:val="fr-FR"/>
        </w:rPr>
        <w:t xml:space="preserve"> MOP7</w:t>
      </w:r>
      <w:r w:rsidR="0094422E" w:rsidRPr="003F5ECA">
        <w:rPr>
          <w:sz w:val="22"/>
          <w:szCs w:val="22"/>
          <w:lang w:val="fr-FR"/>
        </w:rPr>
        <w:t>,</w:t>
      </w:r>
      <w:r w:rsidR="003F788D" w:rsidRPr="003F5ECA">
        <w:rPr>
          <w:sz w:val="22"/>
          <w:szCs w:val="22"/>
          <w:lang w:val="fr-FR"/>
        </w:rPr>
        <w:t xml:space="preserve"> </w:t>
      </w:r>
      <w:r w:rsidR="0094422E" w:rsidRPr="003F5ECA">
        <w:rPr>
          <w:sz w:val="22"/>
          <w:szCs w:val="22"/>
          <w:lang w:val="fr-FR"/>
        </w:rPr>
        <w:t>proposent l’</w:t>
      </w:r>
      <w:r w:rsidR="008C3989" w:rsidRPr="003F5ECA">
        <w:rPr>
          <w:sz w:val="22"/>
          <w:szCs w:val="22"/>
          <w:lang w:val="fr-FR"/>
        </w:rPr>
        <w:t>établissement</w:t>
      </w:r>
      <w:r w:rsidR="003F5ECA" w:rsidRPr="003F5ECA">
        <w:rPr>
          <w:sz w:val="22"/>
          <w:szCs w:val="22"/>
          <w:lang w:val="fr-FR"/>
        </w:rPr>
        <w:t xml:space="preserve"> d’un</w:t>
      </w:r>
      <w:r w:rsidR="003F788D" w:rsidRPr="003F5ECA">
        <w:rPr>
          <w:sz w:val="22"/>
          <w:szCs w:val="22"/>
          <w:lang w:val="fr-FR"/>
        </w:rPr>
        <w:t xml:space="preserve"> cycle </w:t>
      </w:r>
      <w:r w:rsidR="003F5ECA" w:rsidRPr="003F5ECA">
        <w:rPr>
          <w:sz w:val="22"/>
          <w:szCs w:val="22"/>
          <w:lang w:val="fr-FR"/>
        </w:rPr>
        <w:t xml:space="preserve">décalé </w:t>
      </w:r>
      <w:r w:rsidR="008C3989">
        <w:rPr>
          <w:sz w:val="22"/>
          <w:szCs w:val="22"/>
          <w:lang w:val="fr-FR"/>
        </w:rPr>
        <w:t>pour les</w:t>
      </w:r>
      <w:r w:rsidR="003F5ECA" w:rsidRPr="003F5ECA">
        <w:rPr>
          <w:sz w:val="22"/>
          <w:szCs w:val="22"/>
          <w:lang w:val="fr-FR"/>
        </w:rPr>
        <w:t xml:space="preserve"> étud</w:t>
      </w:r>
      <w:r w:rsidR="003F5ECA">
        <w:rPr>
          <w:sz w:val="22"/>
          <w:szCs w:val="22"/>
          <w:lang w:val="fr-FR"/>
        </w:rPr>
        <w:t>es</w:t>
      </w:r>
      <w:r w:rsidR="003F788D" w:rsidRPr="003F5ECA">
        <w:rPr>
          <w:sz w:val="22"/>
          <w:szCs w:val="22"/>
          <w:lang w:val="fr-FR"/>
        </w:rPr>
        <w:t xml:space="preserve"> international</w:t>
      </w:r>
      <w:r w:rsidR="003F5ECA">
        <w:rPr>
          <w:sz w:val="22"/>
          <w:szCs w:val="22"/>
          <w:lang w:val="fr-FR"/>
        </w:rPr>
        <w:t>es</w:t>
      </w:r>
      <w:r w:rsidR="00341D38">
        <w:rPr>
          <w:sz w:val="22"/>
          <w:szCs w:val="22"/>
          <w:lang w:val="fr-FR"/>
        </w:rPr>
        <w:t>, afin de produire régulièrement des estimations actualisées de la taille des</w:t>
      </w:r>
      <w:r w:rsidR="003F788D" w:rsidRPr="003F5ECA">
        <w:rPr>
          <w:sz w:val="22"/>
          <w:szCs w:val="22"/>
          <w:lang w:val="fr-FR"/>
        </w:rPr>
        <w:t xml:space="preserve"> population</w:t>
      </w:r>
      <w:r w:rsidR="00341D38">
        <w:rPr>
          <w:sz w:val="22"/>
          <w:szCs w:val="22"/>
          <w:lang w:val="fr-FR"/>
        </w:rPr>
        <w:t>s</w:t>
      </w:r>
      <w:r w:rsidR="00FA2C11">
        <w:rPr>
          <w:sz w:val="22"/>
          <w:szCs w:val="22"/>
          <w:lang w:val="fr-FR"/>
        </w:rPr>
        <w:t>,</w:t>
      </w:r>
      <w:r w:rsidR="003F788D" w:rsidRPr="003F5ECA">
        <w:rPr>
          <w:sz w:val="22"/>
          <w:szCs w:val="22"/>
          <w:lang w:val="fr-FR"/>
        </w:rPr>
        <w:t xml:space="preserve"> </w:t>
      </w:r>
      <w:r w:rsidR="00341D38">
        <w:rPr>
          <w:sz w:val="22"/>
          <w:szCs w:val="22"/>
          <w:lang w:val="fr-FR"/>
        </w:rPr>
        <w:t xml:space="preserve">pour </w:t>
      </w:r>
      <w:r w:rsidR="00FA2C11">
        <w:rPr>
          <w:sz w:val="22"/>
          <w:szCs w:val="22"/>
          <w:lang w:val="fr-FR"/>
        </w:rPr>
        <w:t>celles</w:t>
      </w:r>
      <w:r w:rsidR="003F788D" w:rsidRPr="003F5ECA">
        <w:rPr>
          <w:sz w:val="22"/>
          <w:szCs w:val="22"/>
          <w:lang w:val="fr-FR"/>
        </w:rPr>
        <w:t xml:space="preserve"> </w:t>
      </w:r>
      <w:r w:rsidR="00341D38">
        <w:rPr>
          <w:sz w:val="22"/>
          <w:szCs w:val="22"/>
          <w:lang w:val="fr-FR"/>
        </w:rPr>
        <w:t>dont la taille ne peut pas être correctement estimée</w:t>
      </w:r>
      <w:r w:rsidR="005C5349">
        <w:rPr>
          <w:sz w:val="22"/>
          <w:szCs w:val="22"/>
          <w:lang w:val="fr-FR"/>
        </w:rPr>
        <w:t xml:space="preserve"> par l’</w:t>
      </w:r>
      <w:r w:rsidR="008C3989">
        <w:rPr>
          <w:sz w:val="22"/>
          <w:szCs w:val="22"/>
          <w:lang w:val="fr-FR"/>
        </w:rPr>
        <w:t>échantillonnage</w:t>
      </w:r>
      <w:r w:rsidR="005C5349">
        <w:rPr>
          <w:sz w:val="22"/>
          <w:szCs w:val="22"/>
          <w:lang w:val="fr-FR"/>
        </w:rPr>
        <w:t xml:space="preserve"> ou les méthodes de surveillance génériques (telles que</w:t>
      </w:r>
      <w:r w:rsidR="008C3989">
        <w:rPr>
          <w:sz w:val="22"/>
          <w:szCs w:val="22"/>
          <w:lang w:val="fr-FR"/>
        </w:rPr>
        <w:t xml:space="preserve"> le</w:t>
      </w:r>
      <w:r w:rsidR="008C3989" w:rsidRPr="008C3989">
        <w:rPr>
          <w:lang w:val="fr-FR"/>
        </w:rPr>
        <w:t xml:space="preserve"> </w:t>
      </w:r>
      <w:r w:rsidR="008C3989" w:rsidRPr="008C3989">
        <w:rPr>
          <w:sz w:val="22"/>
          <w:szCs w:val="22"/>
          <w:lang w:val="fr-FR"/>
        </w:rPr>
        <w:t>Recensement international des oiseaux d'eau</w:t>
      </w:r>
      <w:r w:rsidR="008C3989">
        <w:rPr>
          <w:sz w:val="22"/>
          <w:szCs w:val="22"/>
          <w:lang w:val="fr-FR"/>
        </w:rPr>
        <w:t>)</w:t>
      </w:r>
      <w:r w:rsidR="003F788D" w:rsidRPr="003F5ECA">
        <w:rPr>
          <w:sz w:val="22"/>
          <w:szCs w:val="22"/>
          <w:lang w:val="fr-FR"/>
        </w:rPr>
        <w:t>.</w:t>
      </w:r>
      <w:r w:rsidR="003F788D" w:rsidRPr="003F5ECA">
        <w:rPr>
          <w:spacing w:val="-16"/>
          <w:sz w:val="22"/>
          <w:szCs w:val="22"/>
          <w:lang w:val="fr-FR"/>
        </w:rPr>
        <w:t xml:space="preserve"> </w:t>
      </w:r>
      <w:r w:rsidR="008516D2" w:rsidRPr="00DE46D2">
        <w:rPr>
          <w:sz w:val="22"/>
          <w:szCs w:val="22"/>
          <w:lang w:val="fr-FR"/>
        </w:rPr>
        <w:t xml:space="preserve">Ce calendrier </w:t>
      </w:r>
      <w:r w:rsidR="00DE46D2" w:rsidRPr="00DE46D2">
        <w:rPr>
          <w:sz w:val="22"/>
          <w:szCs w:val="22"/>
          <w:lang w:val="fr-FR"/>
        </w:rPr>
        <w:t>est</w:t>
      </w:r>
      <w:r w:rsidR="007D106B">
        <w:rPr>
          <w:sz w:val="22"/>
          <w:szCs w:val="22"/>
          <w:lang w:val="fr-FR"/>
        </w:rPr>
        <w:t xml:space="preserve"> </w:t>
      </w:r>
      <w:r w:rsidR="00DE46D2" w:rsidRPr="00DE46D2">
        <w:rPr>
          <w:sz w:val="22"/>
          <w:szCs w:val="22"/>
          <w:lang w:val="fr-FR"/>
        </w:rPr>
        <w:t>en cours de développement dans le</w:t>
      </w:r>
      <w:r w:rsidR="00DE46D2">
        <w:rPr>
          <w:sz w:val="22"/>
          <w:szCs w:val="22"/>
          <w:lang w:val="fr-FR"/>
        </w:rPr>
        <w:t xml:space="preserve"> cadre </w:t>
      </w:r>
      <w:r w:rsidR="00D7392B">
        <w:rPr>
          <w:sz w:val="22"/>
          <w:szCs w:val="22"/>
          <w:lang w:val="fr-FR"/>
        </w:rPr>
        <w:t xml:space="preserve">du rapport </w:t>
      </w:r>
      <w:r w:rsidR="006065BF">
        <w:rPr>
          <w:sz w:val="22"/>
          <w:szCs w:val="22"/>
          <w:lang w:val="fr-FR"/>
        </w:rPr>
        <w:t xml:space="preserve">de l’ARWA sur les </w:t>
      </w:r>
      <w:r w:rsidR="00DE46D2">
        <w:rPr>
          <w:sz w:val="22"/>
          <w:szCs w:val="22"/>
          <w:lang w:val="fr-FR"/>
        </w:rPr>
        <w:t xml:space="preserve">priorités en matière de surveillance </w:t>
      </w:r>
      <w:r w:rsidR="007D106B">
        <w:rPr>
          <w:sz w:val="22"/>
          <w:szCs w:val="22"/>
          <w:lang w:val="fr-FR"/>
        </w:rPr>
        <w:t>et nécessitera une</w:t>
      </w:r>
      <w:r w:rsidR="003F788D" w:rsidRPr="00DE46D2">
        <w:rPr>
          <w:sz w:val="22"/>
          <w:szCs w:val="22"/>
          <w:lang w:val="fr-FR"/>
        </w:rPr>
        <w:t xml:space="preserve"> coordination </w:t>
      </w:r>
      <w:r w:rsidR="007D106B">
        <w:rPr>
          <w:sz w:val="22"/>
          <w:szCs w:val="22"/>
          <w:lang w:val="fr-FR"/>
        </w:rPr>
        <w:t>avec les autres</w:t>
      </w:r>
      <w:r w:rsidR="003F788D" w:rsidRPr="00DE46D2">
        <w:rPr>
          <w:sz w:val="22"/>
          <w:szCs w:val="22"/>
          <w:lang w:val="fr-FR"/>
        </w:rPr>
        <w:t xml:space="preserve"> instruments </w:t>
      </w:r>
      <w:r w:rsidR="007D106B">
        <w:rPr>
          <w:sz w:val="22"/>
          <w:szCs w:val="22"/>
          <w:lang w:val="fr-FR"/>
        </w:rPr>
        <w:t>pertinents, principalement en</w:t>
      </w:r>
      <w:r w:rsidR="003F788D" w:rsidRPr="00DE46D2">
        <w:rPr>
          <w:spacing w:val="-3"/>
          <w:sz w:val="22"/>
          <w:szCs w:val="22"/>
          <w:lang w:val="fr-FR"/>
        </w:rPr>
        <w:t xml:space="preserve"> </w:t>
      </w:r>
      <w:r w:rsidR="003F788D" w:rsidRPr="00DE46D2">
        <w:rPr>
          <w:sz w:val="22"/>
          <w:szCs w:val="22"/>
          <w:lang w:val="fr-FR"/>
        </w:rPr>
        <w:t>Europe.</w:t>
      </w:r>
    </w:p>
    <w:p w14:paraId="2445A579" w14:textId="77777777" w:rsidR="001D4862" w:rsidRPr="00DE46D2" w:rsidRDefault="001D4862" w:rsidP="00ED7342">
      <w:pPr>
        <w:pStyle w:val="Heading2"/>
        <w:spacing w:before="161"/>
        <w:ind w:right="737"/>
        <w:rPr>
          <w:sz w:val="22"/>
          <w:szCs w:val="22"/>
          <w:lang w:val="fr-FR"/>
        </w:rPr>
      </w:pPr>
    </w:p>
    <w:p w14:paraId="03B48C75" w14:textId="3A8751F6" w:rsidR="00664206" w:rsidRPr="001B3779" w:rsidRDefault="003F788D">
      <w:pPr>
        <w:pStyle w:val="Heading1"/>
        <w:spacing w:before="66"/>
        <w:rPr>
          <w:lang w:val="fr-FR"/>
        </w:rPr>
      </w:pPr>
      <w:r w:rsidRPr="001B3779">
        <w:rPr>
          <w:lang w:val="fr-FR"/>
        </w:rPr>
        <w:t xml:space="preserve">Obstacles </w:t>
      </w:r>
      <w:r w:rsidR="00AB1AC5">
        <w:rPr>
          <w:lang w:val="fr-FR"/>
        </w:rPr>
        <w:t>à surmonter</w:t>
      </w:r>
    </w:p>
    <w:p w14:paraId="407D19C7" w14:textId="010DDD07" w:rsidR="00664206" w:rsidRPr="00AB1AC5" w:rsidRDefault="00004D89">
      <w:pPr>
        <w:pStyle w:val="Heading2"/>
        <w:spacing w:before="160"/>
        <w:jc w:val="left"/>
        <w:rPr>
          <w:lang w:val="fr-FR"/>
        </w:rPr>
      </w:pPr>
      <w:r>
        <w:rPr>
          <w:lang w:val="fr-FR"/>
        </w:rPr>
        <w:t>Les</w:t>
      </w:r>
      <w:r w:rsidR="003F788D" w:rsidRPr="00AB1AC5">
        <w:rPr>
          <w:lang w:val="fr-FR"/>
        </w:rPr>
        <w:t xml:space="preserve"> obstacles </w:t>
      </w:r>
      <w:r>
        <w:rPr>
          <w:lang w:val="fr-FR"/>
        </w:rPr>
        <w:t>potentiels à surmonter incluent </w:t>
      </w:r>
      <w:r w:rsidR="003F788D" w:rsidRPr="00AB1AC5">
        <w:rPr>
          <w:lang w:val="fr-FR"/>
        </w:rPr>
        <w:t>:</w:t>
      </w:r>
    </w:p>
    <w:p w14:paraId="07AEDDA7" w14:textId="191BD261" w:rsidR="009A4BBE" w:rsidRPr="001B3779" w:rsidRDefault="006F4EB0">
      <w:pPr>
        <w:pStyle w:val="ListParagraph"/>
        <w:numPr>
          <w:ilvl w:val="0"/>
          <w:numId w:val="2"/>
        </w:numPr>
        <w:tabs>
          <w:tab w:val="left" w:pos="1440"/>
          <w:tab w:val="left" w:pos="1441"/>
        </w:tabs>
        <w:spacing w:before="1"/>
        <w:ind w:hanging="361"/>
        <w:rPr>
          <w:lang w:val="fr-FR"/>
        </w:rPr>
      </w:pPr>
      <w:r w:rsidRPr="001B3779">
        <w:rPr>
          <w:lang w:val="fr-FR"/>
        </w:rPr>
        <w:t>Différences</w:t>
      </w:r>
      <w:r w:rsidR="009A4BBE" w:rsidRPr="001B3779">
        <w:rPr>
          <w:lang w:val="fr-FR"/>
        </w:rPr>
        <w:t xml:space="preserve"> </w:t>
      </w:r>
      <w:r>
        <w:rPr>
          <w:lang w:val="fr-FR"/>
        </w:rPr>
        <w:t>des méthodes de surveillance et/ou d’analyse, ou</w:t>
      </w:r>
      <w:r w:rsidR="009A4BBE" w:rsidRPr="001B3779">
        <w:rPr>
          <w:lang w:val="fr-FR"/>
        </w:rPr>
        <w:t xml:space="preserve"> structure </w:t>
      </w:r>
      <w:r>
        <w:rPr>
          <w:lang w:val="fr-FR"/>
        </w:rPr>
        <w:t>des rapports</w:t>
      </w:r>
    </w:p>
    <w:p w14:paraId="1A52C6C1" w14:textId="0271C4BD" w:rsidR="00664206" w:rsidRPr="001B3779" w:rsidRDefault="003D0D6E">
      <w:pPr>
        <w:pStyle w:val="ListParagraph"/>
        <w:numPr>
          <w:ilvl w:val="0"/>
          <w:numId w:val="2"/>
        </w:numPr>
        <w:tabs>
          <w:tab w:val="left" w:pos="1440"/>
          <w:tab w:val="left" w:pos="1441"/>
        </w:tabs>
        <w:spacing w:before="1"/>
        <w:ind w:hanging="361"/>
        <w:rPr>
          <w:lang w:val="fr-FR"/>
        </w:rPr>
      </w:pPr>
      <w:r>
        <w:rPr>
          <w:lang w:val="fr-FR"/>
        </w:rPr>
        <w:t>Flux de données </w:t>
      </w:r>
      <w:r w:rsidR="003F788D" w:rsidRPr="001B3779">
        <w:rPr>
          <w:lang w:val="fr-FR"/>
        </w:rPr>
        <w:t>;</w:t>
      </w:r>
    </w:p>
    <w:p w14:paraId="749F9D52" w14:textId="1534B61A" w:rsidR="00664206" w:rsidRPr="001B3779" w:rsidRDefault="003D0D6E">
      <w:pPr>
        <w:pStyle w:val="ListParagraph"/>
        <w:numPr>
          <w:ilvl w:val="0"/>
          <w:numId w:val="2"/>
        </w:numPr>
        <w:tabs>
          <w:tab w:val="left" w:pos="1440"/>
          <w:tab w:val="left" w:pos="1441"/>
        </w:tabs>
        <w:spacing w:before="38"/>
        <w:ind w:hanging="361"/>
        <w:rPr>
          <w:lang w:val="fr-FR"/>
        </w:rPr>
      </w:pPr>
      <w:r>
        <w:rPr>
          <w:lang w:val="fr-FR"/>
        </w:rPr>
        <w:t xml:space="preserve">Échelle </w:t>
      </w:r>
      <w:r w:rsidR="003F788D" w:rsidRPr="001B3779">
        <w:rPr>
          <w:lang w:val="fr-FR"/>
        </w:rPr>
        <w:t>(</w:t>
      </w:r>
      <w:r>
        <w:rPr>
          <w:lang w:val="fr-FR"/>
        </w:rPr>
        <w:t>portée géographique et</w:t>
      </w:r>
      <w:r w:rsidR="003F788D" w:rsidRPr="001B3779">
        <w:rPr>
          <w:spacing w:val="-2"/>
          <w:lang w:val="fr-FR"/>
        </w:rPr>
        <w:t xml:space="preserve"> </w:t>
      </w:r>
      <w:r w:rsidR="003F788D" w:rsidRPr="001B3779">
        <w:rPr>
          <w:lang w:val="fr-FR"/>
        </w:rPr>
        <w:t>r</w:t>
      </w:r>
      <w:r>
        <w:rPr>
          <w:lang w:val="fr-FR"/>
        </w:rPr>
        <w:t>é</w:t>
      </w:r>
      <w:r w:rsidR="003F788D" w:rsidRPr="001B3779">
        <w:rPr>
          <w:lang w:val="fr-FR"/>
        </w:rPr>
        <w:t>solution)</w:t>
      </w:r>
      <w:r>
        <w:rPr>
          <w:lang w:val="fr-FR"/>
        </w:rPr>
        <w:t> </w:t>
      </w:r>
      <w:r w:rsidR="003F788D" w:rsidRPr="001B3779">
        <w:rPr>
          <w:lang w:val="fr-FR"/>
        </w:rPr>
        <w:t>;</w:t>
      </w:r>
    </w:p>
    <w:p w14:paraId="2A63505F" w14:textId="1D29E82D" w:rsidR="00664206" w:rsidRPr="001B3779" w:rsidRDefault="003F788D">
      <w:pPr>
        <w:pStyle w:val="ListParagraph"/>
        <w:numPr>
          <w:ilvl w:val="0"/>
          <w:numId w:val="2"/>
        </w:numPr>
        <w:tabs>
          <w:tab w:val="left" w:pos="1440"/>
          <w:tab w:val="left" w:pos="1441"/>
        </w:tabs>
        <w:spacing w:before="37"/>
        <w:ind w:hanging="361"/>
        <w:rPr>
          <w:lang w:val="fr-FR"/>
        </w:rPr>
      </w:pPr>
      <w:r w:rsidRPr="001B3779">
        <w:rPr>
          <w:lang w:val="fr-FR"/>
        </w:rPr>
        <w:t xml:space="preserve">Permission </w:t>
      </w:r>
      <w:r w:rsidR="00197187">
        <w:rPr>
          <w:lang w:val="fr-FR"/>
        </w:rPr>
        <w:t>pour réutiliser les données </w:t>
      </w:r>
      <w:r w:rsidRPr="001B3779">
        <w:rPr>
          <w:lang w:val="fr-FR"/>
        </w:rPr>
        <w:t>;</w:t>
      </w:r>
    </w:p>
    <w:p w14:paraId="3F0F1079" w14:textId="6A192056" w:rsidR="00664206" w:rsidRPr="001B3779" w:rsidRDefault="00A06EF7">
      <w:pPr>
        <w:pStyle w:val="ListParagraph"/>
        <w:numPr>
          <w:ilvl w:val="0"/>
          <w:numId w:val="2"/>
        </w:numPr>
        <w:tabs>
          <w:tab w:val="left" w:pos="1440"/>
          <w:tab w:val="left" w:pos="1441"/>
        </w:tabs>
        <w:spacing w:before="38"/>
        <w:ind w:hanging="361"/>
        <w:rPr>
          <w:lang w:val="fr-FR"/>
        </w:rPr>
      </w:pPr>
      <w:r>
        <w:rPr>
          <w:lang w:val="fr-FR"/>
        </w:rPr>
        <w:t>C</w:t>
      </w:r>
      <w:r w:rsidR="003F788D" w:rsidRPr="001B3779">
        <w:rPr>
          <w:lang w:val="fr-FR"/>
        </w:rPr>
        <w:t>ycles</w:t>
      </w:r>
      <w:r>
        <w:rPr>
          <w:lang w:val="fr-FR"/>
        </w:rPr>
        <w:t xml:space="preserve"> des rapports</w:t>
      </w:r>
      <w:r w:rsidR="003F788D" w:rsidRPr="001B3779">
        <w:rPr>
          <w:lang w:val="fr-FR"/>
        </w:rPr>
        <w:t>.</w:t>
      </w:r>
    </w:p>
    <w:p w14:paraId="3FF7C221" w14:textId="77777777" w:rsidR="00664206" w:rsidRPr="001B3779" w:rsidRDefault="00664206">
      <w:pPr>
        <w:pStyle w:val="BodyText"/>
        <w:rPr>
          <w:sz w:val="27"/>
          <w:lang w:val="fr-FR"/>
        </w:rPr>
      </w:pPr>
    </w:p>
    <w:p w14:paraId="1EDF5377" w14:textId="6C17BA36" w:rsidR="00664206" w:rsidRPr="001B3779" w:rsidRDefault="00A22D74" w:rsidP="006C2A38">
      <w:pPr>
        <w:pStyle w:val="Heading2"/>
        <w:ind w:right="734"/>
        <w:rPr>
          <w:sz w:val="22"/>
          <w:szCs w:val="22"/>
          <w:lang w:val="fr-FR"/>
        </w:rPr>
      </w:pPr>
      <w:r>
        <w:rPr>
          <w:sz w:val="22"/>
          <w:szCs w:val="22"/>
          <w:lang w:val="fr-FR"/>
        </w:rPr>
        <w:t>Comme indiqué ci-dessus, il existe déjà des bonnes pratique</w:t>
      </w:r>
      <w:r w:rsidR="004B4B35">
        <w:rPr>
          <w:sz w:val="22"/>
          <w:szCs w:val="22"/>
          <w:lang w:val="fr-FR"/>
        </w:rPr>
        <w:t>s</w:t>
      </w:r>
      <w:r>
        <w:rPr>
          <w:sz w:val="22"/>
          <w:szCs w:val="22"/>
          <w:lang w:val="fr-FR"/>
        </w:rPr>
        <w:t xml:space="preserve"> facilitant le flux de données et l’échange d’</w:t>
      </w:r>
      <w:r w:rsidR="003F788D" w:rsidRPr="001B3779">
        <w:rPr>
          <w:sz w:val="22"/>
          <w:szCs w:val="22"/>
          <w:lang w:val="fr-FR"/>
        </w:rPr>
        <w:t>information</w:t>
      </w:r>
      <w:r>
        <w:rPr>
          <w:sz w:val="22"/>
          <w:szCs w:val="22"/>
          <w:lang w:val="fr-FR"/>
        </w:rPr>
        <w:t>s</w:t>
      </w:r>
      <w:r w:rsidR="003F788D" w:rsidRPr="001B3779">
        <w:rPr>
          <w:sz w:val="22"/>
          <w:szCs w:val="22"/>
          <w:lang w:val="fr-FR"/>
        </w:rPr>
        <w:t xml:space="preserve"> </w:t>
      </w:r>
      <w:r>
        <w:rPr>
          <w:sz w:val="22"/>
          <w:szCs w:val="22"/>
          <w:lang w:val="fr-FR"/>
        </w:rPr>
        <w:t>entre les processus de rapports</w:t>
      </w:r>
      <w:r w:rsidR="003F788D" w:rsidRPr="001B3779">
        <w:rPr>
          <w:sz w:val="22"/>
          <w:szCs w:val="22"/>
          <w:lang w:val="fr-FR"/>
        </w:rPr>
        <w:t xml:space="preserve">. </w:t>
      </w:r>
      <w:r w:rsidR="0015500C">
        <w:rPr>
          <w:sz w:val="22"/>
          <w:szCs w:val="22"/>
          <w:lang w:val="fr-FR"/>
        </w:rPr>
        <w:t>Tou</w:t>
      </w:r>
      <w:r w:rsidR="003F788D" w:rsidRPr="001B3779">
        <w:rPr>
          <w:sz w:val="22"/>
          <w:szCs w:val="22"/>
          <w:lang w:val="fr-FR"/>
        </w:rPr>
        <w:t>s</w:t>
      </w:r>
      <w:r w:rsidR="0015500C">
        <w:rPr>
          <w:sz w:val="22"/>
          <w:szCs w:val="22"/>
          <w:lang w:val="fr-FR"/>
        </w:rPr>
        <w:t xml:space="preserve"> les processus de rapports permettent une certaine flexibilité </w:t>
      </w:r>
      <w:r w:rsidR="00E20BDE">
        <w:rPr>
          <w:sz w:val="22"/>
          <w:szCs w:val="22"/>
          <w:lang w:val="fr-FR"/>
        </w:rPr>
        <w:t>sur l</w:t>
      </w:r>
      <w:r w:rsidR="00D107BE">
        <w:rPr>
          <w:sz w:val="22"/>
          <w:szCs w:val="22"/>
          <w:lang w:val="fr-FR"/>
        </w:rPr>
        <w:t xml:space="preserve">’âge des données </w:t>
      </w:r>
      <w:r w:rsidR="00A2282F">
        <w:rPr>
          <w:sz w:val="22"/>
          <w:szCs w:val="22"/>
          <w:lang w:val="fr-FR"/>
        </w:rPr>
        <w:t>qui sont acceptées et c’est généralement environ 5 ans</w:t>
      </w:r>
      <w:r w:rsidR="003F788D" w:rsidRPr="001B3779">
        <w:rPr>
          <w:sz w:val="22"/>
          <w:szCs w:val="22"/>
          <w:lang w:val="fr-FR"/>
        </w:rPr>
        <w:t>.</w:t>
      </w:r>
    </w:p>
    <w:p w14:paraId="7891D026" w14:textId="77777777" w:rsidR="00664206" w:rsidRPr="001B3779" w:rsidRDefault="00664206" w:rsidP="006C2A38">
      <w:pPr>
        <w:pStyle w:val="BodyText"/>
        <w:spacing w:before="1"/>
        <w:jc w:val="both"/>
        <w:rPr>
          <w:szCs w:val="20"/>
          <w:lang w:val="fr-FR"/>
        </w:rPr>
      </w:pPr>
    </w:p>
    <w:p w14:paraId="0CEB2C6E" w14:textId="785984EC" w:rsidR="00664206" w:rsidRPr="001B3779" w:rsidRDefault="00F92F0B" w:rsidP="006C2A38">
      <w:pPr>
        <w:ind w:left="720" w:right="738"/>
        <w:jc w:val="both"/>
        <w:rPr>
          <w:szCs w:val="20"/>
          <w:lang w:val="fr-FR"/>
        </w:rPr>
      </w:pPr>
      <w:r w:rsidRPr="000517C7">
        <w:rPr>
          <w:szCs w:val="20"/>
          <w:lang w:val="fr-FR"/>
        </w:rPr>
        <w:t>Les différences</w:t>
      </w:r>
      <w:r w:rsidR="003F788D" w:rsidRPr="000517C7">
        <w:rPr>
          <w:szCs w:val="20"/>
          <w:lang w:val="fr-FR"/>
        </w:rPr>
        <w:t xml:space="preserve"> </w:t>
      </w:r>
      <w:r w:rsidRPr="000517C7">
        <w:rPr>
          <w:szCs w:val="20"/>
          <w:lang w:val="fr-FR"/>
        </w:rPr>
        <w:t xml:space="preserve">de portée géographique </w:t>
      </w:r>
      <w:r w:rsidR="000517C7" w:rsidRPr="000517C7">
        <w:rPr>
          <w:szCs w:val="20"/>
          <w:lang w:val="fr-FR"/>
        </w:rPr>
        <w:t xml:space="preserve">peuvent </w:t>
      </w:r>
      <w:r w:rsidR="009466BE" w:rsidRPr="000517C7">
        <w:rPr>
          <w:szCs w:val="20"/>
          <w:lang w:val="fr-FR"/>
        </w:rPr>
        <w:t>rendre</w:t>
      </w:r>
      <w:r w:rsidR="000517C7" w:rsidRPr="000517C7">
        <w:rPr>
          <w:szCs w:val="20"/>
          <w:lang w:val="fr-FR"/>
        </w:rPr>
        <w:t xml:space="preserve"> l</w:t>
      </w:r>
      <w:r w:rsidR="000517C7">
        <w:rPr>
          <w:szCs w:val="20"/>
          <w:lang w:val="fr-FR"/>
        </w:rPr>
        <w:t>es</w:t>
      </w:r>
      <w:r w:rsidR="003F788D" w:rsidRPr="000517C7">
        <w:rPr>
          <w:szCs w:val="20"/>
          <w:lang w:val="fr-FR"/>
        </w:rPr>
        <w:t xml:space="preserve"> analyses</w:t>
      </w:r>
      <w:r w:rsidR="000517C7">
        <w:rPr>
          <w:szCs w:val="20"/>
          <w:lang w:val="fr-FR"/>
        </w:rPr>
        <w:t xml:space="preserve"> de données (par ex., les analyses de tendances pour les mers</w:t>
      </w:r>
      <w:r w:rsidR="003F788D" w:rsidRPr="000517C7">
        <w:rPr>
          <w:szCs w:val="20"/>
          <w:lang w:val="fr-FR"/>
        </w:rPr>
        <w:t xml:space="preserve"> r</w:t>
      </w:r>
      <w:r w:rsidR="000517C7">
        <w:rPr>
          <w:szCs w:val="20"/>
          <w:lang w:val="fr-FR"/>
        </w:rPr>
        <w:t>é</w:t>
      </w:r>
      <w:r w:rsidR="003F788D" w:rsidRPr="000517C7">
        <w:rPr>
          <w:szCs w:val="20"/>
          <w:lang w:val="fr-FR"/>
        </w:rPr>
        <w:t>gional</w:t>
      </w:r>
      <w:r w:rsidR="000517C7">
        <w:rPr>
          <w:szCs w:val="20"/>
          <w:lang w:val="fr-FR"/>
        </w:rPr>
        <w:t>es</w:t>
      </w:r>
      <w:r w:rsidR="003F788D" w:rsidRPr="000517C7">
        <w:rPr>
          <w:szCs w:val="20"/>
          <w:lang w:val="fr-FR"/>
        </w:rPr>
        <w:t xml:space="preserve"> </w:t>
      </w:r>
      <w:r w:rsidR="000517C7">
        <w:rPr>
          <w:szCs w:val="20"/>
          <w:lang w:val="fr-FR"/>
        </w:rPr>
        <w:t>lorsque les</w:t>
      </w:r>
      <w:r w:rsidR="003F788D" w:rsidRPr="000517C7">
        <w:rPr>
          <w:szCs w:val="20"/>
          <w:lang w:val="fr-FR"/>
        </w:rPr>
        <w:t xml:space="preserve"> populations </w:t>
      </w:r>
      <w:r w:rsidR="000517C7">
        <w:rPr>
          <w:szCs w:val="20"/>
          <w:lang w:val="fr-FR"/>
        </w:rPr>
        <w:t>sont beaucoup plus grandes</w:t>
      </w:r>
      <w:r w:rsidR="003F788D" w:rsidRPr="000517C7">
        <w:rPr>
          <w:szCs w:val="20"/>
          <w:lang w:val="fr-FR"/>
        </w:rPr>
        <w:t xml:space="preserve">) </w:t>
      </w:r>
      <w:r w:rsidR="00DC054D">
        <w:rPr>
          <w:szCs w:val="20"/>
          <w:lang w:val="fr-FR"/>
        </w:rPr>
        <w:t>difficilement exploitables</w:t>
      </w:r>
      <w:r w:rsidR="003F788D" w:rsidRPr="000517C7">
        <w:rPr>
          <w:szCs w:val="20"/>
          <w:lang w:val="fr-FR"/>
        </w:rPr>
        <w:t xml:space="preserve">. </w:t>
      </w:r>
      <w:r w:rsidR="00E14867">
        <w:rPr>
          <w:szCs w:val="20"/>
          <w:lang w:val="fr-FR"/>
        </w:rPr>
        <w:t>Toutefois, cela peut être surmonté si les données originales peuvent être analysées de nouveau</w:t>
      </w:r>
      <w:r w:rsidR="003F788D" w:rsidRPr="001B3779">
        <w:rPr>
          <w:szCs w:val="20"/>
          <w:lang w:val="fr-FR"/>
        </w:rPr>
        <w:t>.</w:t>
      </w:r>
    </w:p>
    <w:p w14:paraId="35143DB8" w14:textId="77777777" w:rsidR="00664206" w:rsidRPr="001B3779" w:rsidRDefault="00664206" w:rsidP="006C2A38">
      <w:pPr>
        <w:pStyle w:val="BodyText"/>
        <w:jc w:val="both"/>
        <w:rPr>
          <w:szCs w:val="20"/>
          <w:lang w:val="fr-FR"/>
        </w:rPr>
      </w:pPr>
    </w:p>
    <w:p w14:paraId="649099CD" w14:textId="17930376" w:rsidR="00664206" w:rsidRPr="001B3779" w:rsidRDefault="00C0361C" w:rsidP="006C2A38">
      <w:pPr>
        <w:pStyle w:val="Heading2"/>
        <w:ind w:right="736"/>
        <w:rPr>
          <w:sz w:val="22"/>
          <w:szCs w:val="22"/>
          <w:lang w:val="fr-FR"/>
        </w:rPr>
      </w:pPr>
      <w:r w:rsidRPr="0099020E">
        <w:rPr>
          <w:sz w:val="22"/>
          <w:szCs w:val="22"/>
          <w:lang w:val="fr-FR"/>
        </w:rPr>
        <w:t>Certaines</w:t>
      </w:r>
      <w:r w:rsidR="003F788D" w:rsidRPr="0099020E">
        <w:rPr>
          <w:sz w:val="22"/>
          <w:szCs w:val="22"/>
          <w:lang w:val="fr-FR"/>
        </w:rPr>
        <w:t xml:space="preserve"> organisations (</w:t>
      </w:r>
      <w:r w:rsidRPr="0099020E">
        <w:rPr>
          <w:sz w:val="22"/>
          <w:szCs w:val="22"/>
          <w:lang w:val="fr-FR"/>
        </w:rPr>
        <w:t>par ex.,</w:t>
      </w:r>
      <w:r w:rsidR="003F788D" w:rsidRPr="0099020E">
        <w:rPr>
          <w:sz w:val="22"/>
          <w:szCs w:val="22"/>
          <w:lang w:val="fr-FR"/>
        </w:rPr>
        <w:t xml:space="preserve"> </w:t>
      </w:r>
      <w:proofErr w:type="spellStart"/>
      <w:r w:rsidR="003F788D" w:rsidRPr="0099020E">
        <w:rPr>
          <w:sz w:val="22"/>
          <w:szCs w:val="22"/>
          <w:lang w:val="fr-FR"/>
        </w:rPr>
        <w:t>Wetlands</w:t>
      </w:r>
      <w:proofErr w:type="spellEnd"/>
      <w:r w:rsidR="003F788D" w:rsidRPr="0099020E">
        <w:rPr>
          <w:sz w:val="22"/>
          <w:szCs w:val="22"/>
          <w:lang w:val="fr-FR"/>
        </w:rPr>
        <w:t xml:space="preserve"> International </w:t>
      </w:r>
      <w:r w:rsidR="0099020E" w:rsidRPr="0099020E">
        <w:rPr>
          <w:sz w:val="22"/>
          <w:szCs w:val="22"/>
          <w:lang w:val="fr-FR"/>
        </w:rPr>
        <w:t>et le</w:t>
      </w:r>
      <w:r w:rsidR="003F788D" w:rsidRPr="0099020E">
        <w:rPr>
          <w:sz w:val="22"/>
          <w:szCs w:val="22"/>
          <w:lang w:val="fr-FR"/>
        </w:rPr>
        <w:t xml:space="preserve"> PECBMS) </w:t>
      </w:r>
      <w:r w:rsidR="0099020E" w:rsidRPr="0099020E">
        <w:rPr>
          <w:sz w:val="22"/>
          <w:szCs w:val="22"/>
          <w:lang w:val="fr-FR"/>
        </w:rPr>
        <w:t>ont</w:t>
      </w:r>
      <w:r w:rsidR="0099020E">
        <w:rPr>
          <w:sz w:val="22"/>
          <w:szCs w:val="22"/>
          <w:lang w:val="fr-FR"/>
        </w:rPr>
        <w:t xml:space="preserve"> des systèmes efficaces </w:t>
      </w:r>
      <w:r w:rsidR="001C3810">
        <w:rPr>
          <w:sz w:val="22"/>
          <w:szCs w:val="22"/>
          <w:lang w:val="fr-FR"/>
        </w:rPr>
        <w:t>pour le stockage des données et</w:t>
      </w:r>
      <w:r w:rsidR="003F788D" w:rsidRPr="0099020E">
        <w:rPr>
          <w:sz w:val="22"/>
          <w:szCs w:val="22"/>
          <w:lang w:val="fr-FR"/>
        </w:rPr>
        <w:t xml:space="preserve"> </w:t>
      </w:r>
      <w:r w:rsidR="001C3810">
        <w:rPr>
          <w:sz w:val="22"/>
          <w:szCs w:val="22"/>
          <w:lang w:val="fr-FR"/>
        </w:rPr>
        <w:t xml:space="preserve">pour obtenir les </w:t>
      </w:r>
      <w:r w:rsidR="003F788D" w:rsidRPr="0099020E">
        <w:rPr>
          <w:sz w:val="22"/>
          <w:szCs w:val="22"/>
          <w:lang w:val="fr-FR"/>
        </w:rPr>
        <w:t xml:space="preserve">permissions </w:t>
      </w:r>
      <w:r w:rsidR="001C3810">
        <w:rPr>
          <w:sz w:val="22"/>
          <w:szCs w:val="22"/>
          <w:lang w:val="fr-FR"/>
        </w:rPr>
        <w:t>des coordinateurs nationaux d’utiliser les données lors des évaluations</w:t>
      </w:r>
      <w:r w:rsidR="00D33447">
        <w:rPr>
          <w:sz w:val="22"/>
          <w:szCs w:val="22"/>
          <w:lang w:val="fr-FR"/>
        </w:rPr>
        <w:t xml:space="preserve"> à l’échelle régionale/des voies de migration</w:t>
      </w:r>
      <w:r w:rsidR="003F788D" w:rsidRPr="0099020E">
        <w:rPr>
          <w:sz w:val="22"/>
          <w:szCs w:val="22"/>
          <w:lang w:val="fr-FR"/>
        </w:rPr>
        <w:t>.</w:t>
      </w:r>
      <w:r w:rsidR="006E1ED6">
        <w:rPr>
          <w:sz w:val="22"/>
          <w:szCs w:val="22"/>
          <w:lang w:val="fr-FR"/>
        </w:rPr>
        <w:t xml:space="preserve"> Dans d’autres cas</w:t>
      </w:r>
      <w:r w:rsidR="003F788D" w:rsidRPr="001B3779">
        <w:rPr>
          <w:sz w:val="22"/>
          <w:szCs w:val="22"/>
          <w:lang w:val="fr-FR"/>
        </w:rPr>
        <w:t>,</w:t>
      </w:r>
      <w:r w:rsidR="006E1ED6">
        <w:rPr>
          <w:sz w:val="22"/>
          <w:szCs w:val="22"/>
          <w:lang w:val="fr-FR"/>
        </w:rPr>
        <w:t xml:space="preserve"> les arrangements</w:t>
      </w:r>
      <w:r w:rsidR="003F788D" w:rsidRPr="001B3779">
        <w:rPr>
          <w:sz w:val="22"/>
          <w:szCs w:val="22"/>
          <w:lang w:val="fr-FR"/>
        </w:rPr>
        <w:t xml:space="preserve"> </w:t>
      </w:r>
      <w:r w:rsidR="006E1ED6" w:rsidRPr="001B3779">
        <w:rPr>
          <w:sz w:val="22"/>
          <w:szCs w:val="22"/>
          <w:lang w:val="fr-FR"/>
        </w:rPr>
        <w:t>interinstitutionnel</w:t>
      </w:r>
      <w:r w:rsidR="006E1ED6">
        <w:rPr>
          <w:sz w:val="22"/>
          <w:szCs w:val="22"/>
          <w:lang w:val="fr-FR"/>
        </w:rPr>
        <w:t>s</w:t>
      </w:r>
      <w:r w:rsidR="003F788D" w:rsidRPr="001B3779">
        <w:rPr>
          <w:sz w:val="22"/>
          <w:szCs w:val="22"/>
          <w:lang w:val="fr-FR"/>
        </w:rPr>
        <w:t xml:space="preserve"> (</w:t>
      </w:r>
      <w:r w:rsidR="006E1ED6">
        <w:rPr>
          <w:sz w:val="22"/>
          <w:szCs w:val="22"/>
          <w:lang w:val="fr-FR"/>
        </w:rPr>
        <w:t>par ex</w:t>
      </w:r>
      <w:r w:rsidR="003F788D" w:rsidRPr="001B3779">
        <w:rPr>
          <w:sz w:val="22"/>
          <w:szCs w:val="22"/>
          <w:lang w:val="fr-FR"/>
        </w:rPr>
        <w:t>.</w:t>
      </w:r>
      <w:r w:rsidR="006E1ED6">
        <w:rPr>
          <w:sz w:val="22"/>
          <w:szCs w:val="22"/>
          <w:lang w:val="fr-FR"/>
        </w:rPr>
        <w:t>,</w:t>
      </w:r>
      <w:r w:rsidR="003F788D" w:rsidRPr="001B3779">
        <w:rPr>
          <w:sz w:val="22"/>
          <w:szCs w:val="22"/>
          <w:lang w:val="fr-FR"/>
        </w:rPr>
        <w:t xml:space="preserve"> </w:t>
      </w:r>
      <w:r w:rsidR="006E1ED6">
        <w:rPr>
          <w:sz w:val="22"/>
          <w:szCs w:val="22"/>
          <w:lang w:val="fr-FR"/>
        </w:rPr>
        <w:t>entre la</w:t>
      </w:r>
      <w:r w:rsidR="003F788D" w:rsidRPr="001B3779">
        <w:rPr>
          <w:sz w:val="22"/>
          <w:szCs w:val="22"/>
          <w:lang w:val="fr-FR"/>
        </w:rPr>
        <w:t xml:space="preserve"> Commission </w:t>
      </w:r>
      <w:r w:rsidR="006E1ED6">
        <w:rPr>
          <w:sz w:val="22"/>
          <w:szCs w:val="22"/>
          <w:lang w:val="fr-FR"/>
        </w:rPr>
        <w:t>européenne et l’</w:t>
      </w:r>
      <w:r w:rsidR="003F788D" w:rsidRPr="001B3779">
        <w:rPr>
          <w:sz w:val="22"/>
          <w:szCs w:val="22"/>
          <w:lang w:val="fr-FR"/>
        </w:rPr>
        <w:t xml:space="preserve">AEWA, </w:t>
      </w:r>
      <w:proofErr w:type="spellStart"/>
      <w:r w:rsidR="003F788D" w:rsidRPr="001B3779">
        <w:rPr>
          <w:sz w:val="22"/>
          <w:szCs w:val="22"/>
          <w:lang w:val="fr-FR"/>
        </w:rPr>
        <w:t>BirdLife</w:t>
      </w:r>
      <w:proofErr w:type="spellEnd"/>
      <w:r w:rsidR="003F788D" w:rsidRPr="001B3779">
        <w:rPr>
          <w:sz w:val="22"/>
          <w:szCs w:val="22"/>
          <w:lang w:val="fr-FR"/>
        </w:rPr>
        <w:t xml:space="preserve"> International </w:t>
      </w:r>
      <w:r w:rsidR="006E1ED6">
        <w:rPr>
          <w:sz w:val="22"/>
          <w:szCs w:val="22"/>
          <w:lang w:val="fr-FR"/>
        </w:rPr>
        <w:t>et</w:t>
      </w:r>
      <w:r w:rsidR="003F788D" w:rsidRPr="001B3779">
        <w:rPr>
          <w:sz w:val="22"/>
          <w:szCs w:val="22"/>
          <w:lang w:val="fr-FR"/>
        </w:rPr>
        <w:t xml:space="preserve"> </w:t>
      </w:r>
      <w:proofErr w:type="spellStart"/>
      <w:r w:rsidR="003F788D" w:rsidRPr="001B3779">
        <w:rPr>
          <w:sz w:val="22"/>
          <w:szCs w:val="22"/>
          <w:lang w:val="fr-FR"/>
        </w:rPr>
        <w:t>Wetlands</w:t>
      </w:r>
      <w:proofErr w:type="spellEnd"/>
      <w:r w:rsidR="003F788D" w:rsidRPr="001B3779">
        <w:rPr>
          <w:sz w:val="22"/>
          <w:szCs w:val="22"/>
          <w:lang w:val="fr-FR"/>
        </w:rPr>
        <w:t xml:space="preserve"> International) </w:t>
      </w:r>
      <w:r w:rsidR="006E1ED6">
        <w:rPr>
          <w:sz w:val="22"/>
          <w:szCs w:val="22"/>
          <w:lang w:val="fr-FR"/>
        </w:rPr>
        <w:t>facilitent l’accès efficace aux données rapportées par les gouvernements</w:t>
      </w:r>
      <w:r w:rsidR="000225A7">
        <w:rPr>
          <w:sz w:val="22"/>
          <w:szCs w:val="22"/>
          <w:lang w:val="fr-FR"/>
        </w:rPr>
        <w:t xml:space="preserve"> nationaux et les partenaires</w:t>
      </w:r>
      <w:r w:rsidR="003F788D" w:rsidRPr="001B3779">
        <w:rPr>
          <w:sz w:val="22"/>
          <w:szCs w:val="22"/>
          <w:lang w:val="fr-FR"/>
        </w:rPr>
        <w:t>.</w:t>
      </w:r>
    </w:p>
    <w:p w14:paraId="1A694523" w14:textId="77777777" w:rsidR="00664206" w:rsidRPr="001B3779" w:rsidRDefault="00664206" w:rsidP="006C2A38">
      <w:pPr>
        <w:pStyle w:val="BodyText"/>
        <w:jc w:val="both"/>
        <w:rPr>
          <w:szCs w:val="20"/>
          <w:lang w:val="fr-FR"/>
        </w:rPr>
      </w:pPr>
    </w:p>
    <w:p w14:paraId="0C500633" w14:textId="4F34010E" w:rsidR="00D73E01" w:rsidRPr="001A1A46" w:rsidRDefault="00722936" w:rsidP="006C2A38">
      <w:pPr>
        <w:spacing w:before="1"/>
        <w:ind w:left="720" w:right="736"/>
        <w:jc w:val="both"/>
        <w:rPr>
          <w:szCs w:val="20"/>
          <w:lang w:val="fr-FR"/>
        </w:rPr>
      </w:pPr>
      <w:r w:rsidRPr="00867D52">
        <w:rPr>
          <w:szCs w:val="20"/>
          <w:lang w:val="fr-FR"/>
        </w:rPr>
        <w:t>La diversité des</w:t>
      </w:r>
      <w:r w:rsidR="003F788D" w:rsidRPr="00867D52">
        <w:rPr>
          <w:szCs w:val="20"/>
          <w:lang w:val="fr-FR"/>
        </w:rPr>
        <w:t xml:space="preserve"> cycles</w:t>
      </w:r>
      <w:r w:rsidR="008C56B3">
        <w:rPr>
          <w:szCs w:val="20"/>
          <w:lang w:val="fr-FR"/>
        </w:rPr>
        <w:t xml:space="preserve"> de rapport</w:t>
      </w:r>
      <w:r w:rsidR="003F788D" w:rsidRPr="00867D52">
        <w:rPr>
          <w:szCs w:val="20"/>
          <w:lang w:val="fr-FR"/>
        </w:rPr>
        <w:t xml:space="preserve"> </w:t>
      </w:r>
      <w:r w:rsidR="00867D52" w:rsidRPr="00867D52">
        <w:rPr>
          <w:szCs w:val="20"/>
          <w:lang w:val="fr-FR"/>
        </w:rPr>
        <w:t xml:space="preserve">peut être déconcertante et </w:t>
      </w:r>
      <w:r w:rsidR="00867D52">
        <w:rPr>
          <w:szCs w:val="20"/>
          <w:lang w:val="fr-FR"/>
        </w:rPr>
        <w:t>apparaître comme un</w:t>
      </w:r>
      <w:r w:rsidR="003F788D" w:rsidRPr="00867D52">
        <w:rPr>
          <w:szCs w:val="20"/>
          <w:lang w:val="fr-FR"/>
        </w:rPr>
        <w:t xml:space="preserve"> obstacle</w:t>
      </w:r>
      <w:r w:rsidR="00867D52">
        <w:rPr>
          <w:szCs w:val="20"/>
          <w:lang w:val="fr-FR"/>
        </w:rPr>
        <w:t xml:space="preserve"> majeur</w:t>
      </w:r>
      <w:r w:rsidR="003F788D" w:rsidRPr="00867D52">
        <w:rPr>
          <w:szCs w:val="20"/>
          <w:lang w:val="fr-FR"/>
        </w:rPr>
        <w:t xml:space="preserve">. </w:t>
      </w:r>
      <w:r w:rsidR="002A45BF" w:rsidRPr="006B3992">
        <w:rPr>
          <w:szCs w:val="20"/>
          <w:lang w:val="fr-FR"/>
        </w:rPr>
        <w:t>Cependant</w:t>
      </w:r>
      <w:r w:rsidR="003F788D" w:rsidRPr="006B3992">
        <w:rPr>
          <w:szCs w:val="20"/>
          <w:lang w:val="fr-FR"/>
        </w:rPr>
        <w:t xml:space="preserve">, </w:t>
      </w:r>
      <w:r w:rsidR="002A45BF" w:rsidRPr="006B3992">
        <w:rPr>
          <w:szCs w:val="20"/>
          <w:lang w:val="fr-FR"/>
        </w:rPr>
        <w:t>l'</w:t>
      </w:r>
      <w:r w:rsidR="003F788D" w:rsidRPr="006B3992">
        <w:rPr>
          <w:szCs w:val="20"/>
          <w:lang w:val="fr-FR"/>
        </w:rPr>
        <w:t xml:space="preserve">AEWA </w:t>
      </w:r>
      <w:r w:rsidR="002A45BF" w:rsidRPr="006B3992">
        <w:rPr>
          <w:szCs w:val="20"/>
          <w:lang w:val="fr-FR"/>
        </w:rPr>
        <w:t>et la</w:t>
      </w:r>
      <w:r w:rsidR="003F788D" w:rsidRPr="006B3992">
        <w:rPr>
          <w:szCs w:val="20"/>
          <w:lang w:val="fr-FR"/>
        </w:rPr>
        <w:t xml:space="preserve"> Commission </w:t>
      </w:r>
      <w:r w:rsidR="002A45BF" w:rsidRPr="006B3992">
        <w:rPr>
          <w:szCs w:val="20"/>
          <w:lang w:val="fr-FR"/>
        </w:rPr>
        <w:t xml:space="preserve">européenne </w:t>
      </w:r>
      <w:r w:rsidR="006B3992" w:rsidRPr="006B3992">
        <w:rPr>
          <w:szCs w:val="20"/>
          <w:lang w:val="fr-FR"/>
        </w:rPr>
        <w:t>ont déjà un</w:t>
      </w:r>
      <w:r w:rsidR="006B3992">
        <w:rPr>
          <w:szCs w:val="20"/>
          <w:lang w:val="fr-FR"/>
        </w:rPr>
        <w:t xml:space="preserve"> processus en cours pour coordonner leurs</w:t>
      </w:r>
      <w:r w:rsidR="003F788D" w:rsidRPr="006B3992">
        <w:rPr>
          <w:szCs w:val="20"/>
          <w:lang w:val="fr-FR"/>
        </w:rPr>
        <w:t xml:space="preserve"> cycles </w:t>
      </w:r>
      <w:r w:rsidR="006B3992">
        <w:rPr>
          <w:szCs w:val="20"/>
          <w:lang w:val="fr-FR"/>
        </w:rPr>
        <w:t>de rapport</w:t>
      </w:r>
      <w:r w:rsidR="00103B6D">
        <w:rPr>
          <w:szCs w:val="20"/>
          <w:lang w:val="fr-FR"/>
        </w:rPr>
        <w:t xml:space="preserve"> et cet</w:t>
      </w:r>
      <w:r w:rsidR="003F788D" w:rsidRPr="006B3992">
        <w:rPr>
          <w:szCs w:val="20"/>
          <w:lang w:val="fr-FR"/>
        </w:rPr>
        <w:t xml:space="preserve"> arrangement </w:t>
      </w:r>
      <w:r w:rsidR="00103B6D">
        <w:rPr>
          <w:szCs w:val="20"/>
          <w:lang w:val="fr-FR"/>
        </w:rPr>
        <w:t>couvre la majeure partie des populations de l’</w:t>
      </w:r>
      <w:r w:rsidR="003F788D" w:rsidRPr="006B3992">
        <w:rPr>
          <w:szCs w:val="20"/>
          <w:lang w:val="fr-FR"/>
        </w:rPr>
        <w:t xml:space="preserve">AEWA. </w:t>
      </w:r>
      <w:r w:rsidR="00684FF6" w:rsidRPr="001A1A46">
        <w:rPr>
          <w:szCs w:val="20"/>
          <w:lang w:val="fr-FR"/>
        </w:rPr>
        <w:t xml:space="preserve">Par </w:t>
      </w:r>
      <w:r w:rsidR="00DD14BA" w:rsidRPr="001A1A46">
        <w:rPr>
          <w:szCs w:val="20"/>
          <w:lang w:val="fr-FR"/>
        </w:rPr>
        <w:t>conséquent</w:t>
      </w:r>
      <w:r w:rsidR="00684FF6" w:rsidRPr="001A1A46">
        <w:rPr>
          <w:szCs w:val="20"/>
          <w:lang w:val="fr-FR"/>
        </w:rPr>
        <w:t xml:space="preserve">, </w:t>
      </w:r>
      <w:r w:rsidR="001A1A46" w:rsidRPr="001A1A46">
        <w:rPr>
          <w:szCs w:val="20"/>
          <w:lang w:val="fr-FR"/>
        </w:rPr>
        <w:t>la condition essentielle pour un</w:t>
      </w:r>
      <w:r w:rsidR="001A1A46">
        <w:rPr>
          <w:szCs w:val="20"/>
          <w:lang w:val="fr-FR"/>
        </w:rPr>
        <w:t xml:space="preserve"> système de surveillance performant est que les</w:t>
      </w:r>
      <w:r w:rsidR="00DD14BA">
        <w:rPr>
          <w:szCs w:val="20"/>
          <w:lang w:val="fr-FR"/>
        </w:rPr>
        <w:t xml:space="preserve"> tailles des</w:t>
      </w:r>
      <w:r w:rsidR="003F788D" w:rsidRPr="001A1A46">
        <w:rPr>
          <w:szCs w:val="20"/>
          <w:lang w:val="fr-FR"/>
        </w:rPr>
        <w:t xml:space="preserve"> population</w:t>
      </w:r>
      <w:r w:rsidR="00DD14BA">
        <w:rPr>
          <w:szCs w:val="20"/>
          <w:lang w:val="fr-FR"/>
        </w:rPr>
        <w:t>s</w:t>
      </w:r>
      <w:r w:rsidR="003F788D" w:rsidRPr="001A1A46">
        <w:rPr>
          <w:szCs w:val="20"/>
          <w:lang w:val="fr-FR"/>
        </w:rPr>
        <w:t xml:space="preserve"> </w:t>
      </w:r>
      <w:r w:rsidR="00DD14BA">
        <w:rPr>
          <w:szCs w:val="20"/>
          <w:lang w:val="fr-FR"/>
        </w:rPr>
        <w:t>et les estimations des tendances soient disponibles pour ces deux principaux processus de rapport</w:t>
      </w:r>
      <w:r w:rsidR="003F788D" w:rsidRPr="001A1A46">
        <w:rPr>
          <w:szCs w:val="20"/>
          <w:lang w:val="fr-FR"/>
        </w:rPr>
        <w:t>.</w:t>
      </w:r>
    </w:p>
    <w:p w14:paraId="35E9CFAF" w14:textId="77777777" w:rsidR="00664206" w:rsidRPr="001A1A46" w:rsidRDefault="00664206" w:rsidP="00D73E01">
      <w:pPr>
        <w:spacing w:before="1"/>
        <w:ind w:left="720" w:right="736"/>
        <w:jc w:val="both"/>
        <w:rPr>
          <w:sz w:val="24"/>
          <w:lang w:val="fr-FR"/>
        </w:rPr>
      </w:pPr>
    </w:p>
    <w:p w14:paraId="283985AC" w14:textId="77777777" w:rsidR="0079676F" w:rsidRPr="001A1A46" w:rsidRDefault="0079676F" w:rsidP="00D73E01">
      <w:pPr>
        <w:spacing w:before="1"/>
        <w:ind w:left="720" w:right="736"/>
        <w:jc w:val="both"/>
        <w:rPr>
          <w:sz w:val="24"/>
          <w:lang w:val="fr-FR"/>
        </w:rPr>
      </w:pPr>
    </w:p>
    <w:p w14:paraId="0A931B2D" w14:textId="65D14463" w:rsidR="0079676F" w:rsidRPr="001A1A46" w:rsidRDefault="0079676F" w:rsidP="005941FA">
      <w:pPr>
        <w:spacing w:before="1"/>
        <w:ind w:left="720" w:right="736"/>
        <w:jc w:val="both"/>
        <w:rPr>
          <w:sz w:val="24"/>
          <w:lang w:val="fr-FR"/>
        </w:rPr>
        <w:sectPr w:rsidR="0079676F" w:rsidRPr="001A1A46" w:rsidSect="002D3C7F">
          <w:footerReference w:type="default" r:id="rId29"/>
          <w:headerReference w:type="first" r:id="rId30"/>
          <w:pgSz w:w="11910" w:h="16840"/>
          <w:pgMar w:top="1360" w:right="700" w:bottom="280" w:left="720" w:header="432" w:footer="0" w:gutter="0"/>
          <w:cols w:space="720"/>
          <w:titlePg/>
          <w:docGrid w:linePitch="299"/>
        </w:sectPr>
      </w:pPr>
    </w:p>
    <w:p w14:paraId="488630DD" w14:textId="13313DC5" w:rsidR="00664206" w:rsidRPr="00F54A7D" w:rsidRDefault="003F788D">
      <w:pPr>
        <w:pStyle w:val="Heading1"/>
        <w:spacing w:before="66"/>
        <w:rPr>
          <w:lang w:val="fr-FR"/>
        </w:rPr>
      </w:pPr>
      <w:r w:rsidRPr="00F54A7D">
        <w:rPr>
          <w:lang w:val="fr-FR"/>
        </w:rPr>
        <w:lastRenderedPageBreak/>
        <w:t>Annex</w:t>
      </w:r>
      <w:r w:rsidR="00E53045" w:rsidRPr="00F54A7D">
        <w:rPr>
          <w:lang w:val="fr-FR"/>
        </w:rPr>
        <w:t>e</w:t>
      </w:r>
      <w:r w:rsidRPr="00F54A7D">
        <w:rPr>
          <w:lang w:val="fr-FR"/>
        </w:rPr>
        <w:t xml:space="preserve"> 1</w:t>
      </w:r>
      <w:r w:rsidR="00E53045" w:rsidRPr="00F54A7D">
        <w:rPr>
          <w:lang w:val="fr-FR"/>
        </w:rPr>
        <w:t> </w:t>
      </w:r>
      <w:r w:rsidRPr="00F54A7D">
        <w:rPr>
          <w:lang w:val="fr-FR"/>
        </w:rPr>
        <w:t xml:space="preserve">: </w:t>
      </w:r>
      <w:r w:rsidR="00E53045" w:rsidRPr="00F54A7D">
        <w:rPr>
          <w:lang w:val="fr-FR"/>
        </w:rPr>
        <w:t>Objectifs</w:t>
      </w:r>
      <w:r w:rsidR="00F54A7D" w:rsidRPr="00F54A7D">
        <w:rPr>
          <w:lang w:val="fr-FR"/>
        </w:rPr>
        <w:t xml:space="preserve"> du Plan stratégique</w:t>
      </w:r>
      <w:r w:rsidRPr="00F54A7D">
        <w:rPr>
          <w:lang w:val="fr-FR"/>
        </w:rPr>
        <w:t xml:space="preserve"> Ramsar </w:t>
      </w:r>
      <w:r w:rsidR="00F54A7D" w:rsidRPr="00F54A7D">
        <w:rPr>
          <w:lang w:val="fr-FR"/>
        </w:rPr>
        <w:t>et</w:t>
      </w:r>
      <w:r w:rsidR="00F54A7D">
        <w:rPr>
          <w:lang w:val="fr-FR"/>
        </w:rPr>
        <w:t xml:space="preserve"> Résolutions de l’</w:t>
      </w:r>
      <w:r w:rsidRPr="00F54A7D">
        <w:rPr>
          <w:lang w:val="fr-FR"/>
        </w:rPr>
        <w:t xml:space="preserve">AEWA </w:t>
      </w:r>
      <w:r w:rsidR="00F54A7D">
        <w:rPr>
          <w:lang w:val="fr-FR"/>
        </w:rPr>
        <w:t>pertinents</w:t>
      </w:r>
    </w:p>
    <w:p w14:paraId="5F0D6BDE" w14:textId="77777777" w:rsidR="00664206" w:rsidRPr="00F54A7D" w:rsidRDefault="00664206">
      <w:pPr>
        <w:pStyle w:val="BodyText"/>
        <w:spacing w:before="9"/>
        <w:rPr>
          <w:b/>
          <w:sz w:val="24"/>
          <w:szCs w:val="24"/>
          <w:lang w:val="fr-FR"/>
        </w:rPr>
      </w:pPr>
    </w:p>
    <w:p w14:paraId="34745BC1" w14:textId="6906940F" w:rsidR="00274BBB" w:rsidRPr="00290A59" w:rsidRDefault="00274BBB" w:rsidP="006C2A38">
      <w:pPr>
        <w:pStyle w:val="BodyText"/>
        <w:spacing w:before="161"/>
        <w:ind w:left="720" w:right="747"/>
        <w:jc w:val="both"/>
        <w:rPr>
          <w:b/>
          <w:sz w:val="24"/>
          <w:lang w:val="fr-FR"/>
        </w:rPr>
      </w:pPr>
      <w:r w:rsidRPr="00290A59">
        <w:rPr>
          <w:b/>
          <w:sz w:val="24"/>
          <w:lang w:val="fr-FR"/>
        </w:rPr>
        <w:t xml:space="preserve">Objectifs pertinents du Plan stratégique Ramsar </w:t>
      </w:r>
    </w:p>
    <w:p w14:paraId="36DB9C88" w14:textId="0769AE14" w:rsidR="00664206" w:rsidRPr="001B3779" w:rsidRDefault="00290A59" w:rsidP="005605E5">
      <w:pPr>
        <w:pStyle w:val="BodyText"/>
        <w:spacing w:before="161"/>
        <w:ind w:left="720" w:right="747"/>
        <w:jc w:val="both"/>
        <w:rPr>
          <w:lang w:val="fr-FR"/>
        </w:rPr>
      </w:pPr>
      <w:r w:rsidRPr="008F3B15">
        <w:rPr>
          <w:lang w:val="fr-FR"/>
        </w:rPr>
        <w:t>Objectif 5 du Plan stratégique Ramsar</w:t>
      </w:r>
      <w:r w:rsidR="003F788D" w:rsidRPr="008F3B15">
        <w:rPr>
          <w:lang w:val="fr-FR"/>
        </w:rPr>
        <w:t xml:space="preserve"> 2016-2024</w:t>
      </w:r>
      <w:r w:rsidRPr="008F3B15">
        <w:rPr>
          <w:lang w:val="fr-FR"/>
        </w:rPr>
        <w:t> </w:t>
      </w:r>
      <w:r w:rsidR="003F788D" w:rsidRPr="008F3B15">
        <w:rPr>
          <w:lang w:val="fr-FR"/>
        </w:rPr>
        <w:t xml:space="preserve">: </w:t>
      </w:r>
      <w:r w:rsidR="008F3B15">
        <w:rPr>
          <w:lang w:val="fr-FR"/>
        </w:rPr>
        <w:t>« </w:t>
      </w:r>
      <w:r w:rsidR="008F3B15" w:rsidRPr="008F3B15">
        <w:rPr>
          <w:lang w:val="fr-FR"/>
        </w:rPr>
        <w:t>Les caractéristiques écologiques des Sites Ramsar sont</w:t>
      </w:r>
      <w:r w:rsidR="008F3B15">
        <w:rPr>
          <w:lang w:val="fr-FR"/>
        </w:rPr>
        <w:t xml:space="preserve"> </w:t>
      </w:r>
      <w:r w:rsidR="008F3B15" w:rsidRPr="008F3B15">
        <w:rPr>
          <w:lang w:val="fr-FR"/>
        </w:rPr>
        <w:t>maintenues ou restaurées par une planification efficace et une</w:t>
      </w:r>
      <w:r w:rsidR="008F3B15">
        <w:rPr>
          <w:lang w:val="fr-FR"/>
        </w:rPr>
        <w:t xml:space="preserve"> </w:t>
      </w:r>
      <w:r w:rsidR="008F3B15" w:rsidRPr="008F3B15">
        <w:rPr>
          <w:lang w:val="fr-FR"/>
        </w:rPr>
        <w:t>gestion intégrée</w:t>
      </w:r>
      <w:r w:rsidR="008F3B15">
        <w:rPr>
          <w:lang w:val="fr-FR"/>
        </w:rPr>
        <w:t> »</w:t>
      </w:r>
      <w:r w:rsidR="003F788D" w:rsidRPr="008F3B15">
        <w:rPr>
          <w:lang w:val="fr-FR"/>
        </w:rPr>
        <w:t xml:space="preserve">. </w:t>
      </w:r>
      <w:r w:rsidR="00426582">
        <w:rPr>
          <w:lang w:val="fr-FR"/>
        </w:rPr>
        <w:t>Il identifie l’indicateur potentiel de « C</w:t>
      </w:r>
      <w:r w:rsidR="00426582" w:rsidRPr="00426582">
        <w:rPr>
          <w:lang w:val="fr-FR"/>
        </w:rPr>
        <w:t>ouverture des populations d’oiseaux tributaires de zones humides classées Sites</w:t>
      </w:r>
      <w:r w:rsidR="005605E5">
        <w:rPr>
          <w:lang w:val="fr-FR"/>
        </w:rPr>
        <w:t xml:space="preserve"> Ra</w:t>
      </w:r>
      <w:r w:rsidR="00426582" w:rsidRPr="00426582">
        <w:rPr>
          <w:lang w:val="fr-FR"/>
        </w:rPr>
        <w:t>msar. Indicateur prévu dans la Résolution IX.1 à défini</w:t>
      </w:r>
      <w:r w:rsidR="005605E5">
        <w:rPr>
          <w:lang w:val="fr-FR"/>
        </w:rPr>
        <w:t>r »</w:t>
      </w:r>
      <w:r w:rsidR="003F788D" w:rsidRPr="001B3779">
        <w:rPr>
          <w:lang w:val="fr-FR"/>
        </w:rPr>
        <w:t>.</w:t>
      </w:r>
    </w:p>
    <w:p w14:paraId="2210EE5E" w14:textId="77777777" w:rsidR="00664206" w:rsidRPr="001B3779" w:rsidRDefault="00664206" w:rsidP="006C2A38">
      <w:pPr>
        <w:pStyle w:val="BodyText"/>
        <w:spacing w:before="2"/>
        <w:jc w:val="both"/>
        <w:rPr>
          <w:lang w:val="fr-FR"/>
        </w:rPr>
      </w:pPr>
    </w:p>
    <w:p w14:paraId="7E954145" w14:textId="75AD1597" w:rsidR="00664206" w:rsidRPr="001B3779" w:rsidRDefault="000F3BAB" w:rsidP="00AE3E15">
      <w:pPr>
        <w:pStyle w:val="BodyText"/>
        <w:ind w:left="720"/>
        <w:jc w:val="both"/>
        <w:rPr>
          <w:lang w:val="fr-FR"/>
        </w:rPr>
      </w:pPr>
      <w:r w:rsidRPr="00AE3E15">
        <w:rPr>
          <w:lang w:val="fr-FR"/>
        </w:rPr>
        <w:t>Objectif 11 du Plan stratégique Ramsar 2016-2024 </w:t>
      </w:r>
      <w:r w:rsidR="003F788D" w:rsidRPr="00AE3E15">
        <w:rPr>
          <w:lang w:val="fr-FR"/>
        </w:rPr>
        <w:t xml:space="preserve">: </w:t>
      </w:r>
      <w:r w:rsidR="00AE3E15">
        <w:rPr>
          <w:lang w:val="fr-FR"/>
        </w:rPr>
        <w:t>« </w:t>
      </w:r>
      <w:r w:rsidR="00AE3E15" w:rsidRPr="00AE3E15">
        <w:rPr>
          <w:lang w:val="fr-FR"/>
        </w:rPr>
        <w:t>Les fonctions, services et avantages des zones humides sont</w:t>
      </w:r>
      <w:r w:rsidR="00AE3E15">
        <w:rPr>
          <w:lang w:val="fr-FR"/>
        </w:rPr>
        <w:t xml:space="preserve"> </w:t>
      </w:r>
      <w:r w:rsidR="00AE3E15" w:rsidRPr="00AE3E15">
        <w:rPr>
          <w:lang w:val="fr-FR"/>
        </w:rPr>
        <w:t>largement démontrés, documentés et diffusé</w:t>
      </w:r>
      <w:r w:rsidR="00AE3E15">
        <w:rPr>
          <w:lang w:val="fr-FR"/>
        </w:rPr>
        <w:t>s »</w:t>
      </w:r>
      <w:r w:rsidR="003F788D" w:rsidRPr="001B3779">
        <w:rPr>
          <w:vertAlign w:val="superscript"/>
          <w:lang w:val="fr-FR"/>
        </w:rPr>
        <w:t>8</w:t>
      </w:r>
      <w:r w:rsidR="003F788D" w:rsidRPr="001B3779">
        <w:rPr>
          <w:lang w:val="fr-FR"/>
        </w:rPr>
        <w:t>.</w:t>
      </w:r>
    </w:p>
    <w:p w14:paraId="3EF5EBF4" w14:textId="77777777" w:rsidR="00664206" w:rsidRPr="001B3779" w:rsidRDefault="00664206" w:rsidP="006C2A38">
      <w:pPr>
        <w:pStyle w:val="BodyText"/>
        <w:jc w:val="both"/>
        <w:rPr>
          <w:lang w:val="fr-FR"/>
        </w:rPr>
      </w:pPr>
    </w:p>
    <w:p w14:paraId="7B69BB17" w14:textId="2F594634" w:rsidR="00664206" w:rsidRPr="006562D3" w:rsidRDefault="006D704A" w:rsidP="006562D3">
      <w:pPr>
        <w:pStyle w:val="BodyText"/>
        <w:ind w:left="720" w:right="735"/>
        <w:jc w:val="both"/>
        <w:rPr>
          <w:lang w:val="fr-FR"/>
        </w:rPr>
      </w:pPr>
      <w:r w:rsidRPr="006562D3">
        <w:rPr>
          <w:lang w:val="fr-FR"/>
        </w:rPr>
        <w:t>Objectif 13 du Plan stratégique Ramsar 2016-2024 </w:t>
      </w:r>
      <w:r w:rsidR="003F788D" w:rsidRPr="006562D3">
        <w:rPr>
          <w:lang w:val="fr-FR"/>
        </w:rPr>
        <w:t xml:space="preserve">: </w:t>
      </w:r>
      <w:r w:rsidR="006562D3">
        <w:rPr>
          <w:lang w:val="fr-FR"/>
        </w:rPr>
        <w:t>« </w:t>
      </w:r>
      <w:r w:rsidR="006562D3" w:rsidRPr="006562D3">
        <w:rPr>
          <w:lang w:val="fr-FR"/>
        </w:rPr>
        <w:t>Les pratiques de secteurs clés, tels que l’eau, l’énergie, les mines,</w:t>
      </w:r>
      <w:r w:rsidR="006562D3">
        <w:rPr>
          <w:lang w:val="fr-FR"/>
        </w:rPr>
        <w:t xml:space="preserve"> </w:t>
      </w:r>
      <w:r w:rsidR="006562D3" w:rsidRPr="006562D3">
        <w:rPr>
          <w:lang w:val="fr-FR"/>
        </w:rPr>
        <w:t>l’agriculture, le tourisme, le développement urbain,</w:t>
      </w:r>
      <w:r w:rsidR="006562D3">
        <w:rPr>
          <w:lang w:val="fr-FR"/>
        </w:rPr>
        <w:t xml:space="preserve"> </w:t>
      </w:r>
      <w:r w:rsidR="006562D3" w:rsidRPr="006562D3">
        <w:rPr>
          <w:lang w:val="fr-FR"/>
        </w:rPr>
        <w:t>l’infrastructure, l’industrie, la foresterie, l’aquaculture et la</w:t>
      </w:r>
      <w:r w:rsidR="006562D3">
        <w:rPr>
          <w:lang w:val="fr-FR"/>
        </w:rPr>
        <w:t xml:space="preserve"> </w:t>
      </w:r>
      <w:r w:rsidR="006562D3" w:rsidRPr="006562D3">
        <w:rPr>
          <w:lang w:val="fr-FR"/>
        </w:rPr>
        <w:t>pêche, touchant aux zones humides, sont plus durables et</w:t>
      </w:r>
      <w:r w:rsidR="006562D3">
        <w:rPr>
          <w:lang w:val="fr-FR"/>
        </w:rPr>
        <w:t xml:space="preserve"> </w:t>
      </w:r>
      <w:r w:rsidR="006562D3" w:rsidRPr="006562D3">
        <w:rPr>
          <w:lang w:val="fr-FR"/>
        </w:rPr>
        <w:t>contribuent à la conservation de la biodiversité et aux moyens</w:t>
      </w:r>
      <w:r w:rsidR="006562D3">
        <w:rPr>
          <w:lang w:val="fr-FR"/>
        </w:rPr>
        <w:t xml:space="preserve"> </w:t>
      </w:r>
      <w:r w:rsidR="006562D3" w:rsidRPr="006562D3">
        <w:rPr>
          <w:lang w:val="fr-FR"/>
        </w:rPr>
        <w:t>d’existence des êtres humains</w:t>
      </w:r>
      <w:r w:rsidR="006562D3">
        <w:rPr>
          <w:lang w:val="fr-FR"/>
        </w:rPr>
        <w:t> »</w:t>
      </w:r>
      <w:r w:rsidR="003F788D" w:rsidRPr="006562D3">
        <w:rPr>
          <w:vertAlign w:val="superscript"/>
          <w:lang w:val="fr-FR"/>
        </w:rPr>
        <w:t>9</w:t>
      </w:r>
      <w:r w:rsidR="003F788D" w:rsidRPr="006562D3">
        <w:rPr>
          <w:lang w:val="fr-FR"/>
        </w:rPr>
        <w:t>.</w:t>
      </w:r>
    </w:p>
    <w:p w14:paraId="223B5E30" w14:textId="77777777" w:rsidR="00664206" w:rsidRPr="006562D3" w:rsidRDefault="00664206">
      <w:pPr>
        <w:pStyle w:val="BodyText"/>
        <w:spacing w:before="3"/>
        <w:rPr>
          <w:sz w:val="24"/>
          <w:szCs w:val="24"/>
          <w:lang w:val="fr-FR"/>
        </w:rPr>
      </w:pPr>
    </w:p>
    <w:p w14:paraId="5A992297" w14:textId="1F101C40" w:rsidR="00664206" w:rsidRPr="001B3779" w:rsidRDefault="00E147EA">
      <w:pPr>
        <w:pStyle w:val="Heading1"/>
        <w:jc w:val="both"/>
        <w:rPr>
          <w:lang w:val="fr-FR"/>
        </w:rPr>
      </w:pPr>
      <w:r>
        <w:rPr>
          <w:lang w:val="fr-FR"/>
        </w:rPr>
        <w:t>Parties pertinentes de la Résolution 6.3 de l’</w:t>
      </w:r>
      <w:r w:rsidR="003F788D" w:rsidRPr="001B3779">
        <w:rPr>
          <w:lang w:val="fr-FR"/>
        </w:rPr>
        <w:t>AEWA</w:t>
      </w:r>
      <w:r>
        <w:rPr>
          <w:lang w:val="fr-FR"/>
        </w:rPr>
        <w:t> </w:t>
      </w:r>
      <w:r w:rsidR="003F788D" w:rsidRPr="001B3779">
        <w:rPr>
          <w:lang w:val="fr-FR"/>
        </w:rPr>
        <w:t>:</w:t>
      </w:r>
    </w:p>
    <w:p w14:paraId="3FD0DBD0" w14:textId="6D2ED8EB" w:rsidR="00664206" w:rsidRPr="00124B61" w:rsidRDefault="003F788D" w:rsidP="00124B61">
      <w:pPr>
        <w:pStyle w:val="BodyText"/>
        <w:spacing w:before="162"/>
        <w:ind w:left="720" w:right="735"/>
        <w:jc w:val="both"/>
        <w:rPr>
          <w:lang w:val="fr-FR"/>
        </w:rPr>
      </w:pPr>
      <w:r w:rsidRPr="00124B61">
        <w:rPr>
          <w:lang w:val="fr-FR"/>
        </w:rPr>
        <w:t>Paragraph</w:t>
      </w:r>
      <w:r w:rsidR="008C6B3E" w:rsidRPr="00124B61">
        <w:rPr>
          <w:lang w:val="fr-FR"/>
        </w:rPr>
        <w:t>e</w:t>
      </w:r>
      <w:r w:rsidRPr="00124B61">
        <w:rPr>
          <w:lang w:val="fr-FR"/>
        </w:rPr>
        <w:t xml:space="preserve"> 17</w:t>
      </w:r>
      <w:r w:rsidR="008C6B3E" w:rsidRPr="00124B61">
        <w:rPr>
          <w:lang w:val="fr-FR"/>
        </w:rPr>
        <w:t xml:space="preserve"> du préambule </w:t>
      </w:r>
      <w:r w:rsidRPr="00124B61">
        <w:rPr>
          <w:lang w:val="fr-FR"/>
        </w:rPr>
        <w:t xml:space="preserve">: </w:t>
      </w:r>
      <w:r w:rsidR="00124B61">
        <w:rPr>
          <w:lang w:val="fr-FR"/>
        </w:rPr>
        <w:t>« </w:t>
      </w:r>
      <w:r w:rsidR="00124B61" w:rsidRPr="00124B61">
        <w:rPr>
          <w:lang w:val="fr-FR"/>
        </w:rPr>
        <w:t>Reconnaissant que d’autres AEM, tout particulièrement la Convention de Ramsar sur les zones</w:t>
      </w:r>
      <w:r w:rsidR="00124B61">
        <w:rPr>
          <w:lang w:val="fr-FR"/>
        </w:rPr>
        <w:t xml:space="preserve"> </w:t>
      </w:r>
      <w:r w:rsidR="00124B61" w:rsidRPr="00124B61">
        <w:rPr>
          <w:lang w:val="fr-FR"/>
        </w:rPr>
        <w:t>humides et la Convention sur les espèces migratrices, ainsi que la Directive Oiseaux de l’UE, exigent des</w:t>
      </w:r>
      <w:r w:rsidR="00124B61">
        <w:rPr>
          <w:lang w:val="fr-FR"/>
        </w:rPr>
        <w:t xml:space="preserve"> </w:t>
      </w:r>
      <w:r w:rsidR="00124B61" w:rsidRPr="00124B61">
        <w:rPr>
          <w:lang w:val="fr-FR"/>
        </w:rPr>
        <w:t>données régulières de surveillance des oiseaux d’eau pour leur fonctionnement, tels que les critères 5 et 6 de</w:t>
      </w:r>
      <w:r w:rsidR="00124B61">
        <w:rPr>
          <w:lang w:val="fr-FR"/>
        </w:rPr>
        <w:t xml:space="preserve"> </w:t>
      </w:r>
      <w:r w:rsidR="00124B61" w:rsidRPr="00124B61">
        <w:rPr>
          <w:lang w:val="fr-FR"/>
        </w:rPr>
        <w:t>Ramsar pour la désignation des zones humides d’importance internationale dont l’applicabilité est liée aux</w:t>
      </w:r>
      <w:r w:rsidR="00124B61">
        <w:rPr>
          <w:lang w:val="fr-FR"/>
        </w:rPr>
        <w:t xml:space="preserve"> </w:t>
      </w:r>
      <w:r w:rsidR="00124B61" w:rsidRPr="00124B61">
        <w:rPr>
          <w:lang w:val="fr-FR"/>
        </w:rPr>
        <w:t>Estimations de populations d’oiseaux d’eau qui découlent en grande partie des données de l’IWC</w:t>
      </w:r>
      <w:r w:rsidRPr="00124B61">
        <w:rPr>
          <w:lang w:val="fr-FR"/>
        </w:rPr>
        <w:t>,</w:t>
      </w:r>
      <w:r w:rsidR="00124B61">
        <w:rPr>
          <w:lang w:val="fr-FR"/>
        </w:rPr>
        <w:t> »</w:t>
      </w:r>
    </w:p>
    <w:p w14:paraId="4A8D960D" w14:textId="77777777" w:rsidR="00664206" w:rsidRPr="00124B61" w:rsidRDefault="00664206">
      <w:pPr>
        <w:pStyle w:val="BodyText"/>
        <w:rPr>
          <w:lang w:val="fr-FR"/>
        </w:rPr>
      </w:pPr>
    </w:p>
    <w:p w14:paraId="34C2423F" w14:textId="3DF24C28" w:rsidR="00664206" w:rsidRPr="008604F9" w:rsidRDefault="003F788D" w:rsidP="008604F9">
      <w:pPr>
        <w:pStyle w:val="BodyText"/>
        <w:ind w:left="720" w:right="736"/>
        <w:jc w:val="both"/>
        <w:rPr>
          <w:lang w:val="fr-FR"/>
        </w:rPr>
      </w:pPr>
      <w:r w:rsidRPr="008604F9">
        <w:rPr>
          <w:lang w:val="fr-FR"/>
        </w:rPr>
        <w:t>Paragraph</w:t>
      </w:r>
      <w:r w:rsidR="00A266A4" w:rsidRPr="008604F9">
        <w:rPr>
          <w:lang w:val="fr-FR"/>
        </w:rPr>
        <w:t>e</w:t>
      </w:r>
      <w:r w:rsidRPr="008604F9">
        <w:rPr>
          <w:lang w:val="fr-FR"/>
        </w:rPr>
        <w:t xml:space="preserve"> 14</w:t>
      </w:r>
      <w:r w:rsidR="00A266A4" w:rsidRPr="008604F9">
        <w:rPr>
          <w:lang w:val="fr-FR"/>
        </w:rPr>
        <w:t> </w:t>
      </w:r>
      <w:r w:rsidRPr="008604F9">
        <w:rPr>
          <w:lang w:val="fr-FR"/>
        </w:rPr>
        <w:t xml:space="preserve">: </w:t>
      </w:r>
      <w:r w:rsidR="00BE5904">
        <w:rPr>
          <w:lang w:val="fr-FR"/>
        </w:rPr>
        <w:t>« </w:t>
      </w:r>
      <w:r w:rsidR="008604F9">
        <w:rPr>
          <w:lang w:val="fr-FR"/>
        </w:rPr>
        <w:t>I</w:t>
      </w:r>
      <w:r w:rsidR="008604F9" w:rsidRPr="008604F9">
        <w:rPr>
          <w:lang w:val="fr-FR"/>
        </w:rPr>
        <w:t>nvite le Comité technique et le Secrétariat à collaborer avec le Groupe d’évaluation scientifique et</w:t>
      </w:r>
      <w:r w:rsidR="008604F9">
        <w:rPr>
          <w:lang w:val="fr-FR"/>
        </w:rPr>
        <w:t xml:space="preserve"> </w:t>
      </w:r>
      <w:r w:rsidR="008604F9" w:rsidRPr="008604F9">
        <w:rPr>
          <w:lang w:val="fr-FR"/>
        </w:rPr>
        <w:t>technique de la Convention de Ramsar ainsi qu’avec son Secrétariat afin d’identifier des synergies possibles</w:t>
      </w:r>
      <w:r w:rsidR="008604F9">
        <w:rPr>
          <w:lang w:val="fr-FR"/>
        </w:rPr>
        <w:t xml:space="preserve"> </w:t>
      </w:r>
      <w:r w:rsidR="008604F9" w:rsidRPr="008604F9">
        <w:rPr>
          <w:lang w:val="fr-FR"/>
        </w:rPr>
        <w:t>concernant la surveillance des oiseaux d’eau, en tenant compte des objectifs 11 et 13 du Plan stratégique de</w:t>
      </w:r>
      <w:r w:rsidR="008604F9">
        <w:rPr>
          <w:lang w:val="fr-FR"/>
        </w:rPr>
        <w:t xml:space="preserve"> </w:t>
      </w:r>
      <w:r w:rsidR="008604F9" w:rsidRPr="008604F9">
        <w:rPr>
          <w:lang w:val="fr-FR"/>
        </w:rPr>
        <w:t>Ramsar 2016-2021 et d’éventuels indicateurs nouvellement développés pour l’objectif 5 concernant</w:t>
      </w:r>
      <w:r w:rsidR="008604F9">
        <w:rPr>
          <w:lang w:val="fr-FR"/>
        </w:rPr>
        <w:t xml:space="preserve"> </w:t>
      </w:r>
      <w:r w:rsidR="008604F9" w:rsidRPr="008604F9">
        <w:rPr>
          <w:lang w:val="fr-FR"/>
        </w:rPr>
        <w:t>l’intégration de populations d’oiseaux qui dépendent de zones humides par des sites désignés Ramsar</w:t>
      </w:r>
      <w:r w:rsidR="00EC1178">
        <w:rPr>
          <w:lang w:val="fr-FR"/>
        </w:rPr>
        <w:t> »</w:t>
      </w:r>
      <w:r w:rsidRPr="008604F9">
        <w:rPr>
          <w:lang w:val="fr-FR"/>
        </w:rPr>
        <w:t>.</w:t>
      </w:r>
    </w:p>
    <w:p w14:paraId="1B743658" w14:textId="77777777" w:rsidR="00664206" w:rsidRPr="008604F9" w:rsidRDefault="00664206">
      <w:pPr>
        <w:pStyle w:val="BodyText"/>
        <w:spacing w:before="4"/>
        <w:rPr>
          <w:sz w:val="24"/>
          <w:szCs w:val="24"/>
          <w:lang w:val="fr-FR"/>
        </w:rPr>
      </w:pPr>
    </w:p>
    <w:p w14:paraId="54557E12" w14:textId="0A246AB0" w:rsidR="00664206" w:rsidRPr="001B3779" w:rsidRDefault="00683CC1">
      <w:pPr>
        <w:pStyle w:val="Heading1"/>
        <w:jc w:val="both"/>
        <w:rPr>
          <w:lang w:val="fr-FR"/>
        </w:rPr>
      </w:pPr>
      <w:r>
        <w:rPr>
          <w:lang w:val="fr-FR"/>
        </w:rPr>
        <w:t>Parties pertinentes de la</w:t>
      </w:r>
      <w:r w:rsidRPr="00683CC1">
        <w:rPr>
          <w:lang w:val="fr-FR"/>
        </w:rPr>
        <w:t xml:space="preserve"> </w:t>
      </w:r>
      <w:r>
        <w:rPr>
          <w:lang w:val="fr-FR"/>
        </w:rPr>
        <w:t>Ré</w:t>
      </w:r>
      <w:r w:rsidRPr="001B3779">
        <w:rPr>
          <w:lang w:val="fr-FR"/>
        </w:rPr>
        <w:t>solution 7.7</w:t>
      </w:r>
      <w:r w:rsidR="003F788D" w:rsidRPr="001B3779">
        <w:rPr>
          <w:lang w:val="fr-FR"/>
        </w:rPr>
        <w:t xml:space="preserve"> </w:t>
      </w:r>
      <w:r>
        <w:rPr>
          <w:lang w:val="fr-FR"/>
        </w:rPr>
        <w:t>de l’</w:t>
      </w:r>
      <w:r w:rsidR="003F788D" w:rsidRPr="001B3779">
        <w:rPr>
          <w:lang w:val="fr-FR"/>
        </w:rPr>
        <w:t>AEWA</w:t>
      </w:r>
      <w:r>
        <w:rPr>
          <w:lang w:val="fr-FR"/>
        </w:rPr>
        <w:t> </w:t>
      </w:r>
      <w:r w:rsidR="003F788D" w:rsidRPr="001B3779">
        <w:rPr>
          <w:lang w:val="fr-FR"/>
        </w:rPr>
        <w:t>:</w:t>
      </w:r>
    </w:p>
    <w:p w14:paraId="6ED269E7" w14:textId="5051F949" w:rsidR="00664206" w:rsidRPr="00513F45" w:rsidRDefault="003F788D" w:rsidP="00513F45">
      <w:pPr>
        <w:pStyle w:val="BodyText"/>
        <w:spacing w:before="160"/>
        <w:ind w:left="720" w:right="740"/>
        <w:jc w:val="both"/>
        <w:rPr>
          <w:lang w:val="fr-FR"/>
        </w:rPr>
      </w:pPr>
      <w:r w:rsidRPr="00513F45">
        <w:rPr>
          <w:lang w:val="fr-FR"/>
        </w:rPr>
        <w:t>Paragraph</w:t>
      </w:r>
      <w:r w:rsidR="00EE3161" w:rsidRPr="00513F45">
        <w:rPr>
          <w:lang w:val="fr-FR"/>
        </w:rPr>
        <w:t>e</w:t>
      </w:r>
      <w:r w:rsidRPr="00513F45">
        <w:rPr>
          <w:lang w:val="fr-FR"/>
        </w:rPr>
        <w:t xml:space="preserve"> 10</w:t>
      </w:r>
      <w:r w:rsidR="00EE3161" w:rsidRPr="00513F45">
        <w:rPr>
          <w:lang w:val="fr-FR"/>
        </w:rPr>
        <w:t xml:space="preserve"> du préambule </w:t>
      </w:r>
      <w:r w:rsidRPr="00513F45">
        <w:rPr>
          <w:lang w:val="fr-FR"/>
        </w:rPr>
        <w:t xml:space="preserve">: </w:t>
      </w:r>
      <w:r w:rsidR="00513F45">
        <w:rPr>
          <w:lang w:val="fr-FR"/>
        </w:rPr>
        <w:t>« </w:t>
      </w:r>
      <w:r w:rsidR="00513F45" w:rsidRPr="00513F45">
        <w:rPr>
          <w:lang w:val="fr-FR"/>
        </w:rPr>
        <w:t>Reconnaissant les contributions majeures apportées par l’Article 12 – Rapports – de la Directive</w:t>
      </w:r>
      <w:r w:rsidR="00513F45">
        <w:rPr>
          <w:lang w:val="fr-FR"/>
        </w:rPr>
        <w:t xml:space="preserve"> </w:t>
      </w:r>
      <w:r w:rsidR="00513F45" w:rsidRPr="00513F45">
        <w:rPr>
          <w:lang w:val="fr-FR"/>
        </w:rPr>
        <w:t>Oiseaux de l’UE et par la Liste rouge européenne des oiseaux aux deux dernières éditions du Rapport sur l’État</w:t>
      </w:r>
      <w:r w:rsidR="00513F45">
        <w:rPr>
          <w:lang w:val="fr-FR"/>
        </w:rPr>
        <w:t xml:space="preserve"> </w:t>
      </w:r>
      <w:r w:rsidR="00513F45" w:rsidRPr="00513F45">
        <w:rPr>
          <w:lang w:val="fr-FR"/>
        </w:rPr>
        <w:t>de conservation de l’AEWA</w:t>
      </w:r>
      <w:r w:rsidR="00513F45">
        <w:rPr>
          <w:lang w:val="fr-FR"/>
        </w:rPr>
        <w:t> »</w:t>
      </w:r>
      <w:r w:rsidRPr="00513F45">
        <w:rPr>
          <w:lang w:val="fr-FR"/>
        </w:rPr>
        <w:t>,</w:t>
      </w:r>
    </w:p>
    <w:p w14:paraId="1935BC4E" w14:textId="77777777" w:rsidR="00664206" w:rsidRPr="00513F45" w:rsidRDefault="00664206">
      <w:pPr>
        <w:pStyle w:val="BodyText"/>
        <w:spacing w:before="1"/>
        <w:rPr>
          <w:lang w:val="fr-FR"/>
        </w:rPr>
      </w:pPr>
    </w:p>
    <w:p w14:paraId="3D85B9B4" w14:textId="43548FAE" w:rsidR="00664206" w:rsidRPr="00D13C3F" w:rsidRDefault="00C850BA" w:rsidP="00D13C3F">
      <w:pPr>
        <w:pStyle w:val="BodyText"/>
        <w:ind w:left="720" w:right="735"/>
        <w:jc w:val="both"/>
        <w:rPr>
          <w:lang w:val="fr-FR"/>
        </w:rPr>
      </w:pPr>
      <w:r w:rsidRPr="00D13C3F">
        <w:rPr>
          <w:lang w:val="fr-FR"/>
        </w:rPr>
        <w:t>Paragraphe 12 du préambule </w:t>
      </w:r>
      <w:r w:rsidR="003F788D" w:rsidRPr="00D13C3F">
        <w:rPr>
          <w:lang w:val="fr-FR"/>
        </w:rPr>
        <w:t xml:space="preserve">: </w:t>
      </w:r>
      <w:r w:rsidR="00D13C3F">
        <w:rPr>
          <w:lang w:val="fr-FR"/>
        </w:rPr>
        <w:t>« </w:t>
      </w:r>
      <w:r w:rsidR="00D13C3F" w:rsidRPr="00D13C3F">
        <w:rPr>
          <w:lang w:val="fr-FR"/>
        </w:rPr>
        <w:t>Reconnaissant l’intérêt partagé dans les populations d’oiseau d’eau et de mer concernés par</w:t>
      </w:r>
      <w:r w:rsidR="00D13C3F">
        <w:rPr>
          <w:lang w:val="fr-FR"/>
        </w:rPr>
        <w:t xml:space="preserve"> </w:t>
      </w:r>
      <w:r w:rsidR="00D13C3F" w:rsidRPr="00D13C3F">
        <w:rPr>
          <w:lang w:val="fr-FR"/>
        </w:rPr>
        <w:t>l’évaluation de l’état des populations dans le cadre d’OSPAR, d’HELCOM et de la CAFF</w:t>
      </w:r>
      <w:r w:rsidR="00D13C3F">
        <w:rPr>
          <w:lang w:val="fr-FR"/>
        </w:rPr>
        <w:t> »</w:t>
      </w:r>
      <w:r w:rsidR="003F788D" w:rsidRPr="00D13C3F">
        <w:rPr>
          <w:lang w:val="fr-FR"/>
        </w:rPr>
        <w:t>,</w:t>
      </w:r>
    </w:p>
    <w:p w14:paraId="4E31FF2A" w14:textId="77777777" w:rsidR="00664206" w:rsidRPr="00D13C3F" w:rsidRDefault="00664206">
      <w:pPr>
        <w:pStyle w:val="BodyText"/>
        <w:rPr>
          <w:lang w:val="fr-FR"/>
        </w:rPr>
      </w:pPr>
    </w:p>
    <w:p w14:paraId="6F16C0C0" w14:textId="238B0DF9" w:rsidR="00664206" w:rsidRPr="00D7474A" w:rsidRDefault="000835BF" w:rsidP="00D7474A">
      <w:pPr>
        <w:pStyle w:val="BodyText"/>
        <w:ind w:left="720" w:right="737"/>
        <w:jc w:val="both"/>
        <w:rPr>
          <w:lang w:val="fr-FR"/>
        </w:rPr>
      </w:pPr>
      <w:r w:rsidRPr="00D7474A">
        <w:rPr>
          <w:lang w:val="fr-FR"/>
        </w:rPr>
        <w:t>Paragraphe 17 du préambule </w:t>
      </w:r>
      <w:r w:rsidR="003F788D" w:rsidRPr="00D7474A">
        <w:rPr>
          <w:lang w:val="fr-FR"/>
        </w:rPr>
        <w:t xml:space="preserve">: </w:t>
      </w:r>
      <w:r w:rsidR="00D7474A">
        <w:rPr>
          <w:lang w:val="fr-FR"/>
        </w:rPr>
        <w:t>« </w:t>
      </w:r>
      <w:r w:rsidR="00D7474A" w:rsidRPr="00D7474A">
        <w:rPr>
          <w:lang w:val="fr-FR"/>
        </w:rPr>
        <w:t>Reconnaissant que d’autres AEM, notamment la Convention de Ramsar sur les zones humides et la</w:t>
      </w:r>
      <w:r w:rsidR="00D7474A">
        <w:rPr>
          <w:lang w:val="fr-FR"/>
        </w:rPr>
        <w:t xml:space="preserve"> </w:t>
      </w:r>
      <w:r w:rsidR="00D7474A" w:rsidRPr="00D7474A">
        <w:rPr>
          <w:lang w:val="fr-FR"/>
        </w:rPr>
        <w:t>Convention sur la conservation des espèces migratrices, ainsi que la Directive Oiseaux de l’UE, nécessitent</w:t>
      </w:r>
      <w:r w:rsidR="00D7474A">
        <w:rPr>
          <w:lang w:val="fr-FR"/>
        </w:rPr>
        <w:t xml:space="preserve"> </w:t>
      </w:r>
      <w:r w:rsidR="00D7474A" w:rsidRPr="00D7474A">
        <w:rPr>
          <w:lang w:val="fr-FR"/>
        </w:rPr>
        <w:t>des données régulières de suivi des oiseaux d’eau pour pouvoir opérer, tels que les critères 5 et 6 de Ramsar</w:t>
      </w:r>
      <w:r w:rsidR="00D7474A">
        <w:rPr>
          <w:lang w:val="fr-FR"/>
        </w:rPr>
        <w:t xml:space="preserve"> </w:t>
      </w:r>
      <w:r w:rsidR="00D7474A" w:rsidRPr="00D7474A">
        <w:rPr>
          <w:lang w:val="fr-FR"/>
        </w:rPr>
        <w:t>pour la désignation des zones humides d’importance internationale dont l’application est liée aux Estimations</w:t>
      </w:r>
      <w:r w:rsidR="00D7474A">
        <w:rPr>
          <w:lang w:val="fr-FR"/>
        </w:rPr>
        <w:t xml:space="preserve"> </w:t>
      </w:r>
      <w:r w:rsidR="00D7474A" w:rsidRPr="00D7474A">
        <w:rPr>
          <w:lang w:val="fr-FR"/>
        </w:rPr>
        <w:t>des populations d’oiseaux d’eau</w:t>
      </w:r>
      <w:r w:rsidR="00D7474A">
        <w:rPr>
          <w:lang w:val="fr-FR"/>
        </w:rPr>
        <w:t> »</w:t>
      </w:r>
      <w:r w:rsidR="003F788D" w:rsidRPr="00D7474A">
        <w:rPr>
          <w:lang w:val="fr-FR"/>
        </w:rPr>
        <w:t>,</w:t>
      </w:r>
    </w:p>
    <w:p w14:paraId="56ED856D" w14:textId="77777777" w:rsidR="00664206" w:rsidRPr="00D7474A" w:rsidRDefault="00664206">
      <w:pPr>
        <w:pStyle w:val="BodyText"/>
        <w:spacing w:before="1"/>
        <w:rPr>
          <w:lang w:val="fr-FR"/>
        </w:rPr>
      </w:pPr>
    </w:p>
    <w:p w14:paraId="16EF39EF" w14:textId="5527EEA3" w:rsidR="00664206" w:rsidRPr="001B3779" w:rsidRDefault="003F788D" w:rsidP="005F1792">
      <w:pPr>
        <w:pStyle w:val="BodyText"/>
        <w:ind w:left="720" w:right="735"/>
        <w:jc w:val="both"/>
        <w:rPr>
          <w:sz w:val="20"/>
          <w:lang w:val="fr-FR"/>
        </w:rPr>
      </w:pPr>
      <w:r w:rsidRPr="004A4615">
        <w:rPr>
          <w:lang w:val="fr-FR"/>
        </w:rPr>
        <w:t>Paragraph</w:t>
      </w:r>
      <w:r w:rsidR="004A4615" w:rsidRPr="004A4615">
        <w:rPr>
          <w:lang w:val="fr-FR"/>
        </w:rPr>
        <w:t>e</w:t>
      </w:r>
      <w:r w:rsidRPr="004A4615">
        <w:rPr>
          <w:lang w:val="fr-FR"/>
        </w:rPr>
        <w:t xml:space="preserve"> 11</w:t>
      </w:r>
      <w:r w:rsidR="004A4615" w:rsidRPr="004A4615">
        <w:rPr>
          <w:lang w:val="fr-FR"/>
        </w:rPr>
        <w:t> </w:t>
      </w:r>
      <w:r w:rsidRPr="004A4615">
        <w:rPr>
          <w:lang w:val="fr-FR"/>
        </w:rPr>
        <w:t xml:space="preserve">: </w:t>
      </w:r>
      <w:r w:rsidR="004A4615">
        <w:rPr>
          <w:lang w:val="fr-FR"/>
        </w:rPr>
        <w:t>« </w:t>
      </w:r>
      <w:r w:rsidR="004A4615" w:rsidRPr="004A4615">
        <w:rPr>
          <w:lang w:val="fr-FR"/>
        </w:rPr>
        <w:t>Invite le Comité technique et le Secrétariat à collaborer avec la Convention de Ramsar et ses initiatives</w:t>
      </w:r>
      <w:r w:rsidR="004A4615">
        <w:rPr>
          <w:lang w:val="fr-FR"/>
        </w:rPr>
        <w:t xml:space="preserve"> </w:t>
      </w:r>
      <w:r w:rsidR="004A4615" w:rsidRPr="004A4615">
        <w:rPr>
          <w:lang w:val="fr-FR"/>
        </w:rPr>
        <w:t>régionales, avec la Commission européenne et la CAFF-AMBI, le Secrétariat conjoint de la mer de Wadden</w:t>
      </w:r>
      <w:r w:rsidR="004A4615">
        <w:rPr>
          <w:lang w:val="fr-FR"/>
        </w:rPr>
        <w:t xml:space="preserve"> </w:t>
      </w:r>
      <w:r w:rsidR="004A4615" w:rsidRPr="004A4615">
        <w:rPr>
          <w:lang w:val="fr-FR"/>
        </w:rPr>
        <w:t>(Initiative de la voie de migration le long de la mer de Wadden), OSPAR, HELCOM et autres AEM régionaux</w:t>
      </w:r>
      <w:r w:rsidR="004A4615">
        <w:rPr>
          <w:lang w:val="fr-FR"/>
        </w:rPr>
        <w:t xml:space="preserve"> </w:t>
      </w:r>
      <w:r w:rsidR="004A4615" w:rsidRPr="004A4615">
        <w:rPr>
          <w:lang w:val="fr-FR"/>
        </w:rPr>
        <w:t>concernés, pour identifier les éventuelles synergies en ce qui concerne les estimations des populations</w:t>
      </w:r>
      <w:r w:rsidR="004A4615">
        <w:rPr>
          <w:lang w:val="fr-FR"/>
        </w:rPr>
        <w:t xml:space="preserve"> </w:t>
      </w:r>
      <w:r w:rsidR="004A4615" w:rsidRPr="004A4615">
        <w:rPr>
          <w:lang w:val="fr-FR"/>
        </w:rPr>
        <w:t>d’oiseaux d’eau, le suivi des oiseaux d’eau et les rapports à leur sujet</w:t>
      </w:r>
      <w:r w:rsidR="004A4615">
        <w:rPr>
          <w:lang w:val="fr-FR"/>
        </w:rPr>
        <w:t> »</w:t>
      </w:r>
      <w:r w:rsidRPr="001B3779">
        <w:rPr>
          <w:lang w:val="fr-FR"/>
        </w:rPr>
        <w:t>.</w:t>
      </w:r>
    </w:p>
    <w:sectPr w:rsidR="00664206" w:rsidRPr="001B3779" w:rsidSect="003F788D">
      <w:pgSz w:w="11910" w:h="16840"/>
      <w:pgMar w:top="1360" w:right="700" w:bottom="28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4E13" w14:textId="77777777" w:rsidR="00F81E5F" w:rsidRDefault="00F81E5F" w:rsidP="003F788D">
      <w:r>
        <w:separator/>
      </w:r>
    </w:p>
  </w:endnote>
  <w:endnote w:type="continuationSeparator" w:id="0">
    <w:p w14:paraId="10CCDBBE" w14:textId="77777777" w:rsidR="00F81E5F" w:rsidRDefault="00F81E5F" w:rsidP="003F788D">
      <w:r>
        <w:continuationSeparator/>
      </w:r>
    </w:p>
  </w:endnote>
  <w:endnote w:type="continuationNotice" w:id="1">
    <w:p w14:paraId="68B82405" w14:textId="77777777" w:rsidR="00F81E5F" w:rsidRDefault="00F81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39653"/>
      <w:docPartObj>
        <w:docPartGallery w:val="Page Numbers (Bottom of Page)"/>
        <w:docPartUnique/>
      </w:docPartObj>
    </w:sdtPr>
    <w:sdtEndPr>
      <w:rPr>
        <w:noProof/>
        <w:sz w:val="20"/>
        <w:szCs w:val="20"/>
      </w:rPr>
    </w:sdtEndPr>
    <w:sdtContent>
      <w:p w14:paraId="32E225AC" w14:textId="77777777" w:rsidR="00C4129B" w:rsidRPr="003F788D" w:rsidRDefault="00C4129B">
        <w:pPr>
          <w:pStyle w:val="Footer"/>
          <w:jc w:val="center"/>
          <w:rPr>
            <w:sz w:val="20"/>
            <w:szCs w:val="20"/>
          </w:rPr>
        </w:pPr>
        <w:r w:rsidRPr="003F788D">
          <w:rPr>
            <w:sz w:val="20"/>
            <w:szCs w:val="20"/>
          </w:rPr>
          <w:fldChar w:fldCharType="begin"/>
        </w:r>
        <w:r w:rsidRPr="003F788D">
          <w:rPr>
            <w:sz w:val="20"/>
            <w:szCs w:val="20"/>
          </w:rPr>
          <w:instrText xml:space="preserve"> PAGE   \* MERGEFORMAT </w:instrText>
        </w:r>
        <w:r w:rsidRPr="003F788D">
          <w:rPr>
            <w:sz w:val="20"/>
            <w:szCs w:val="20"/>
          </w:rPr>
          <w:fldChar w:fldCharType="separate"/>
        </w:r>
        <w:r w:rsidRPr="003F788D">
          <w:rPr>
            <w:noProof/>
            <w:sz w:val="20"/>
            <w:szCs w:val="20"/>
          </w:rPr>
          <w:t>2</w:t>
        </w:r>
        <w:r w:rsidRPr="003F788D">
          <w:rPr>
            <w:noProof/>
            <w:sz w:val="20"/>
            <w:szCs w:val="20"/>
          </w:rPr>
          <w:fldChar w:fldCharType="end"/>
        </w:r>
      </w:p>
    </w:sdtContent>
  </w:sdt>
  <w:p w14:paraId="28CC0C01" w14:textId="77777777" w:rsidR="00C4129B" w:rsidRDefault="00C4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1869" w14:textId="77777777" w:rsidR="00F81E5F" w:rsidRDefault="00F81E5F" w:rsidP="003F788D">
      <w:r>
        <w:separator/>
      </w:r>
    </w:p>
  </w:footnote>
  <w:footnote w:type="continuationSeparator" w:id="0">
    <w:p w14:paraId="125282D7" w14:textId="77777777" w:rsidR="00F81E5F" w:rsidRDefault="00F81E5F" w:rsidP="003F788D">
      <w:r>
        <w:continuationSeparator/>
      </w:r>
    </w:p>
  </w:footnote>
  <w:footnote w:type="continuationNotice" w:id="1">
    <w:p w14:paraId="732C335D" w14:textId="77777777" w:rsidR="00F81E5F" w:rsidRDefault="00F81E5F"/>
  </w:footnote>
  <w:footnote w:id="2">
    <w:p w14:paraId="16802A54" w14:textId="73886FA8" w:rsidR="00C4129B" w:rsidRPr="00FE76E4" w:rsidRDefault="00C4129B">
      <w:pPr>
        <w:pStyle w:val="FootnoteText"/>
        <w:rPr>
          <w:lang w:val="fr-FR"/>
        </w:rPr>
      </w:pPr>
      <w:r w:rsidRPr="00FE76E4">
        <w:rPr>
          <w:rStyle w:val="FootnoteReference"/>
          <w:lang w:val="fr-FR"/>
        </w:rPr>
        <w:footnoteRef/>
      </w:r>
      <w:r w:rsidRPr="00FE76E4">
        <w:rPr>
          <w:lang w:val="fr-FR"/>
        </w:rPr>
        <w:t xml:space="preserve"> </w:t>
      </w:r>
      <w:r w:rsidR="00FF6D43" w:rsidRPr="00FE76E4">
        <w:rPr>
          <w:lang w:val="fr-FR"/>
        </w:rPr>
        <w:t>Voir l’</w:t>
      </w:r>
      <w:r w:rsidRPr="00FE76E4">
        <w:rPr>
          <w:lang w:val="fr-FR"/>
        </w:rPr>
        <w:t>Annex</w:t>
      </w:r>
      <w:r w:rsidR="00FF6D43" w:rsidRPr="00FE76E4">
        <w:rPr>
          <w:lang w:val="fr-FR"/>
        </w:rPr>
        <w:t>e</w:t>
      </w:r>
      <w:r w:rsidRPr="00FE76E4">
        <w:rPr>
          <w:lang w:val="fr-FR"/>
        </w:rPr>
        <w:t xml:space="preserve"> 1 </w:t>
      </w:r>
      <w:r w:rsidR="00FF6D43" w:rsidRPr="00FE76E4">
        <w:rPr>
          <w:lang w:val="fr-FR"/>
        </w:rPr>
        <w:t xml:space="preserve">pour </w:t>
      </w:r>
      <w:r w:rsidR="00FE76E4" w:rsidRPr="00FE76E4">
        <w:rPr>
          <w:lang w:val="fr-FR"/>
        </w:rPr>
        <w:t>da</w:t>
      </w:r>
      <w:r w:rsidR="00FF6D43" w:rsidRPr="00FE76E4">
        <w:rPr>
          <w:lang w:val="fr-FR"/>
        </w:rPr>
        <w:t>vantage de</w:t>
      </w:r>
      <w:r w:rsidRPr="00FE76E4">
        <w:rPr>
          <w:lang w:val="fr-FR"/>
        </w:rPr>
        <w:t xml:space="preserve"> d</w:t>
      </w:r>
      <w:r w:rsidR="00FF6D43" w:rsidRPr="00FE76E4">
        <w:rPr>
          <w:lang w:val="fr-FR"/>
        </w:rPr>
        <w:t>é</w:t>
      </w:r>
      <w:r w:rsidRPr="00FE76E4">
        <w:rPr>
          <w:lang w:val="fr-FR"/>
        </w:rPr>
        <w:t>tails.</w:t>
      </w:r>
    </w:p>
  </w:footnote>
  <w:footnote w:id="3">
    <w:p w14:paraId="578F862D" w14:textId="7D7FB64A" w:rsidR="00C4129B" w:rsidRPr="000A5AA8" w:rsidRDefault="00C4129B" w:rsidP="00ED7342">
      <w:pPr>
        <w:pStyle w:val="FootnoteText"/>
        <w:jc w:val="both"/>
        <w:rPr>
          <w:lang w:val="fr-FR"/>
        </w:rPr>
      </w:pPr>
      <w:r w:rsidRPr="00FE76E4">
        <w:rPr>
          <w:rStyle w:val="FootnoteReference"/>
          <w:lang w:val="fr-FR"/>
        </w:rPr>
        <w:footnoteRef/>
      </w:r>
      <w:r w:rsidRPr="000A5AA8">
        <w:rPr>
          <w:lang w:val="fr-FR"/>
        </w:rPr>
        <w:t xml:space="preserve"> </w:t>
      </w:r>
      <w:r w:rsidR="000A5AA8" w:rsidRPr="000A5AA8">
        <w:rPr>
          <w:lang w:val="fr-FR"/>
        </w:rPr>
        <w:t>Après</w:t>
      </w:r>
      <w:r w:rsidRPr="000A5AA8">
        <w:rPr>
          <w:spacing w:val="-6"/>
          <w:lang w:val="fr-FR"/>
        </w:rPr>
        <w:t xml:space="preserve"> </w:t>
      </w:r>
      <w:r w:rsidRPr="000A5AA8">
        <w:rPr>
          <w:lang w:val="fr-FR"/>
        </w:rPr>
        <w:t>2015</w:t>
      </w:r>
      <w:r w:rsidR="000A5AA8" w:rsidRPr="000A5AA8">
        <w:rPr>
          <w:lang w:val="fr-FR"/>
        </w:rPr>
        <w:t>,</w:t>
      </w:r>
      <w:r w:rsidRPr="000A5AA8">
        <w:rPr>
          <w:spacing w:val="-9"/>
          <w:lang w:val="fr-FR"/>
        </w:rPr>
        <w:t xml:space="preserve"> </w:t>
      </w:r>
      <w:r w:rsidR="000A5AA8" w:rsidRPr="000A5AA8">
        <w:rPr>
          <w:lang w:val="fr-FR"/>
        </w:rPr>
        <w:t>ces rapports sont deven</w:t>
      </w:r>
      <w:r w:rsidR="000A5AA8">
        <w:rPr>
          <w:lang w:val="fr-FR"/>
        </w:rPr>
        <w:t>us</w:t>
      </w:r>
      <w:r w:rsidR="003F68E0">
        <w:rPr>
          <w:lang w:val="fr-FR"/>
        </w:rPr>
        <w:t xml:space="preserve"> </w:t>
      </w:r>
      <w:r w:rsidR="00612B6F">
        <w:rPr>
          <w:lang w:val="fr-FR"/>
        </w:rPr>
        <w:t>en grande partie inutiles du fait du processus de la Liste rouge européenne, à l’exception de la partie canadienne de certaines populations d’oiseaux d’eau de l’</w:t>
      </w:r>
      <w:r w:rsidRPr="000A5AA8">
        <w:rPr>
          <w:lang w:val="fr-FR"/>
        </w:rPr>
        <w:t>AEWA</w:t>
      </w:r>
      <w:r w:rsidR="00ED7342" w:rsidRPr="000A5AA8">
        <w:rPr>
          <w:lang w:val="fr-FR"/>
        </w:rPr>
        <w:t>.</w:t>
      </w:r>
    </w:p>
  </w:footnote>
  <w:footnote w:id="4">
    <w:p w14:paraId="1561CD87" w14:textId="78F0CD22" w:rsidR="00C4129B" w:rsidRPr="00D9364A" w:rsidRDefault="00C4129B">
      <w:pPr>
        <w:pStyle w:val="FootnoteText"/>
        <w:rPr>
          <w:lang w:val="fr-FR"/>
        </w:rPr>
      </w:pPr>
      <w:r w:rsidRPr="00FE76E4">
        <w:rPr>
          <w:rStyle w:val="FootnoteReference"/>
          <w:lang w:val="fr-FR"/>
        </w:rPr>
        <w:footnoteRef/>
      </w:r>
      <w:r w:rsidRPr="00D9364A">
        <w:rPr>
          <w:lang w:val="fr-FR"/>
        </w:rPr>
        <w:t xml:space="preserve"> </w:t>
      </w:r>
      <w:r w:rsidR="005F50BF" w:rsidRPr="00D9364A">
        <w:rPr>
          <w:lang w:val="fr-FR"/>
        </w:rPr>
        <w:t>Seuil d’</w:t>
      </w:r>
      <w:r w:rsidRPr="00D9364A">
        <w:rPr>
          <w:lang w:val="fr-FR"/>
        </w:rPr>
        <w:t>1</w:t>
      </w:r>
      <w:r w:rsidR="005F50BF" w:rsidRPr="00D9364A">
        <w:rPr>
          <w:lang w:val="fr-FR"/>
        </w:rPr>
        <w:t> </w:t>
      </w:r>
      <w:r w:rsidRPr="00D9364A">
        <w:rPr>
          <w:lang w:val="fr-FR"/>
        </w:rPr>
        <w:t xml:space="preserve">% </w:t>
      </w:r>
    </w:p>
  </w:footnote>
  <w:footnote w:id="5">
    <w:p w14:paraId="5934A7BC" w14:textId="16FBC55D" w:rsidR="00C4129B" w:rsidRPr="00D9364A" w:rsidRDefault="00C4129B">
      <w:pPr>
        <w:pStyle w:val="FootnoteText"/>
        <w:rPr>
          <w:lang w:val="fr-FR"/>
        </w:rPr>
      </w:pPr>
      <w:r w:rsidRPr="00FE76E4">
        <w:rPr>
          <w:rStyle w:val="FootnoteReference"/>
          <w:lang w:val="fr-FR"/>
        </w:rPr>
        <w:footnoteRef/>
      </w:r>
      <w:r w:rsidRPr="00D9364A">
        <w:rPr>
          <w:lang w:val="fr-FR"/>
        </w:rPr>
        <w:t xml:space="preserve"> </w:t>
      </w:r>
      <w:hyperlink r:id="rId1">
        <w:r w:rsidRPr="00D9364A">
          <w:rPr>
            <w:color w:val="0000FF"/>
            <w:u w:val="single" w:color="0000FF"/>
            <w:lang w:val="fr-FR"/>
          </w:rPr>
          <w:t>https://www.ices.dk/data/data-portals/Pages/Biodiversity.aspx</w:t>
        </w:r>
      </w:hyperlink>
    </w:p>
  </w:footnote>
  <w:footnote w:id="6">
    <w:p w14:paraId="1A43DCA8" w14:textId="3E775FEF" w:rsidR="00C4129B" w:rsidRPr="001E4DE6" w:rsidRDefault="00C4129B" w:rsidP="00ED7342">
      <w:pPr>
        <w:pStyle w:val="FootnoteText"/>
        <w:jc w:val="both"/>
        <w:rPr>
          <w:lang w:val="fr-FR"/>
        </w:rPr>
      </w:pPr>
      <w:r w:rsidRPr="00FE76E4">
        <w:rPr>
          <w:rStyle w:val="FootnoteReference"/>
          <w:lang w:val="fr-FR"/>
        </w:rPr>
        <w:footnoteRef/>
      </w:r>
      <w:r w:rsidRPr="001E4DE6">
        <w:rPr>
          <w:lang w:val="fr-FR"/>
        </w:rPr>
        <w:t xml:space="preserve"> </w:t>
      </w:r>
      <w:r w:rsidR="001E4DE6" w:rsidRPr="001E4DE6">
        <w:rPr>
          <w:szCs w:val="22"/>
          <w:lang w:val="fr-FR"/>
        </w:rPr>
        <w:t xml:space="preserve">Aligné avec le rapport </w:t>
      </w:r>
      <w:r w:rsidR="001E4DE6">
        <w:rPr>
          <w:szCs w:val="22"/>
          <w:lang w:val="fr-FR"/>
        </w:rPr>
        <w:t>prévu par l’</w:t>
      </w:r>
      <w:r w:rsidRPr="001E4DE6">
        <w:rPr>
          <w:szCs w:val="22"/>
          <w:lang w:val="fr-FR"/>
        </w:rPr>
        <w:t xml:space="preserve">Article 12 </w:t>
      </w:r>
      <w:r w:rsidR="001E4DE6">
        <w:rPr>
          <w:szCs w:val="22"/>
          <w:lang w:val="fr-FR"/>
        </w:rPr>
        <w:t>de l’UE afin d’éviter</w:t>
      </w:r>
      <w:r w:rsidR="004C7E4D">
        <w:rPr>
          <w:szCs w:val="22"/>
          <w:lang w:val="fr-FR"/>
        </w:rPr>
        <w:t xml:space="preserve"> la</w:t>
      </w:r>
      <w:r w:rsidRPr="001E4DE6">
        <w:rPr>
          <w:szCs w:val="22"/>
          <w:lang w:val="fr-FR"/>
        </w:rPr>
        <w:t xml:space="preserve"> duplication </w:t>
      </w:r>
      <w:r w:rsidR="004C7E4D">
        <w:rPr>
          <w:szCs w:val="22"/>
          <w:lang w:val="fr-FR"/>
        </w:rPr>
        <w:t>des</w:t>
      </w:r>
      <w:r w:rsidRPr="001E4DE6">
        <w:rPr>
          <w:szCs w:val="22"/>
          <w:lang w:val="fr-FR"/>
        </w:rPr>
        <w:t xml:space="preserve"> efforts.</w:t>
      </w:r>
    </w:p>
  </w:footnote>
  <w:footnote w:id="7">
    <w:p w14:paraId="3525ADA0" w14:textId="7B687A4A" w:rsidR="00C4129B" w:rsidRPr="00F61E98" w:rsidRDefault="00C4129B" w:rsidP="00ED7342">
      <w:pPr>
        <w:pStyle w:val="FootnoteText"/>
        <w:jc w:val="both"/>
        <w:rPr>
          <w:lang w:val="fr-FR"/>
        </w:rPr>
      </w:pPr>
      <w:r w:rsidRPr="00FE76E4">
        <w:rPr>
          <w:rStyle w:val="FootnoteReference"/>
          <w:lang w:val="fr-FR"/>
        </w:rPr>
        <w:footnoteRef/>
      </w:r>
      <w:r w:rsidRPr="002847D6">
        <w:rPr>
          <w:lang w:val="fr-FR"/>
        </w:rPr>
        <w:t xml:space="preserve"> </w:t>
      </w:r>
      <w:r w:rsidR="00B62A45" w:rsidRPr="002847D6">
        <w:rPr>
          <w:lang w:val="fr-FR"/>
        </w:rPr>
        <w:t>En pratique, ce calendrier</w:t>
      </w:r>
      <w:r w:rsidR="006B438F" w:rsidRPr="002847D6">
        <w:rPr>
          <w:lang w:val="fr-FR"/>
        </w:rPr>
        <w:t xml:space="preserve"> n’a pas été tenu après les deux premières éditions</w:t>
      </w:r>
      <w:r w:rsidRPr="002847D6">
        <w:rPr>
          <w:lang w:val="fr-FR"/>
        </w:rPr>
        <w:t xml:space="preserve"> </w:t>
      </w:r>
      <w:r w:rsidR="00F61E98">
        <w:rPr>
          <w:lang w:val="fr-FR"/>
        </w:rPr>
        <w:t>des</w:t>
      </w:r>
      <w:r w:rsidRPr="002847D6">
        <w:rPr>
          <w:lang w:val="fr-FR"/>
        </w:rPr>
        <w:t xml:space="preserve"> WPE </w:t>
      </w:r>
      <w:r w:rsidR="00F61E98">
        <w:rPr>
          <w:lang w:val="fr-FR"/>
        </w:rPr>
        <w:t>e</w:t>
      </w:r>
      <w:r w:rsidRPr="002847D6">
        <w:rPr>
          <w:lang w:val="fr-FR"/>
        </w:rPr>
        <w:t xml:space="preserve">n 1994 </w:t>
      </w:r>
      <w:r w:rsidR="00F61E98">
        <w:rPr>
          <w:lang w:val="fr-FR"/>
        </w:rPr>
        <w:t>et</w:t>
      </w:r>
      <w:r w:rsidRPr="002847D6">
        <w:rPr>
          <w:lang w:val="fr-FR"/>
        </w:rPr>
        <w:t xml:space="preserve"> 1997. </w:t>
      </w:r>
      <w:r w:rsidR="00F61E98" w:rsidRPr="00F61E98">
        <w:rPr>
          <w:lang w:val="fr-FR"/>
        </w:rPr>
        <w:t xml:space="preserve">Les </w:t>
      </w:r>
      <w:r w:rsidRPr="00F61E98">
        <w:rPr>
          <w:lang w:val="fr-FR"/>
        </w:rPr>
        <w:t xml:space="preserve">WPE3 </w:t>
      </w:r>
      <w:r w:rsidR="00F61E98" w:rsidRPr="00F61E98">
        <w:rPr>
          <w:lang w:val="fr-FR"/>
        </w:rPr>
        <w:t>ont été publiées en</w:t>
      </w:r>
      <w:r w:rsidRPr="00F61E98">
        <w:rPr>
          <w:lang w:val="fr-FR"/>
        </w:rPr>
        <w:t xml:space="preserve"> 2002, </w:t>
      </w:r>
      <w:r w:rsidR="00F61E98" w:rsidRPr="00F61E98">
        <w:rPr>
          <w:lang w:val="fr-FR"/>
        </w:rPr>
        <w:t xml:space="preserve">les </w:t>
      </w:r>
      <w:r w:rsidRPr="00F61E98">
        <w:rPr>
          <w:lang w:val="fr-FR"/>
        </w:rPr>
        <w:t xml:space="preserve">WPE4 </w:t>
      </w:r>
      <w:r w:rsidR="00F61E98" w:rsidRPr="00F61E98">
        <w:rPr>
          <w:lang w:val="fr-FR"/>
        </w:rPr>
        <w:t>e</w:t>
      </w:r>
      <w:r w:rsidRPr="00F61E98">
        <w:rPr>
          <w:lang w:val="fr-FR"/>
        </w:rPr>
        <w:t xml:space="preserve">n 2007, </w:t>
      </w:r>
      <w:r w:rsidR="00F61E98">
        <w:rPr>
          <w:lang w:val="fr-FR"/>
        </w:rPr>
        <w:t xml:space="preserve">les </w:t>
      </w:r>
      <w:r w:rsidRPr="00F61E98">
        <w:rPr>
          <w:lang w:val="fr-FR"/>
        </w:rPr>
        <w:t xml:space="preserve">WPE5 </w:t>
      </w:r>
      <w:r w:rsidR="00F61E98">
        <w:rPr>
          <w:lang w:val="fr-FR"/>
        </w:rPr>
        <w:t>e</w:t>
      </w:r>
      <w:r w:rsidRPr="00F61E98">
        <w:rPr>
          <w:lang w:val="fr-FR"/>
        </w:rPr>
        <w:t xml:space="preserve">n 2012 </w:t>
      </w:r>
      <w:r w:rsidR="00F61E98">
        <w:rPr>
          <w:lang w:val="fr-FR"/>
        </w:rPr>
        <w:t>et les</w:t>
      </w:r>
      <w:r w:rsidRPr="00F61E98">
        <w:rPr>
          <w:lang w:val="fr-FR"/>
        </w:rPr>
        <w:t xml:space="preserve"> WPE6 </w:t>
      </w:r>
      <w:r w:rsidR="00F61E98">
        <w:rPr>
          <w:lang w:val="fr-FR"/>
        </w:rPr>
        <w:t>sont en cours de développement</w:t>
      </w:r>
      <w:r w:rsidRPr="00F61E98">
        <w:rPr>
          <w:lang w:val="fr-FR"/>
        </w:rPr>
        <w:t>.</w:t>
      </w:r>
    </w:p>
  </w:footnote>
  <w:footnote w:id="8">
    <w:p w14:paraId="68693BA9" w14:textId="406D2399" w:rsidR="00C4129B" w:rsidRPr="00855FF6" w:rsidRDefault="00C4129B" w:rsidP="00ED7342">
      <w:pPr>
        <w:pStyle w:val="FootnoteText"/>
        <w:jc w:val="both"/>
        <w:rPr>
          <w:lang w:val="fr-FR"/>
        </w:rPr>
      </w:pPr>
      <w:r w:rsidRPr="00FE76E4">
        <w:rPr>
          <w:rStyle w:val="FootnoteReference"/>
          <w:lang w:val="fr-FR"/>
        </w:rPr>
        <w:footnoteRef/>
      </w:r>
      <w:r w:rsidRPr="00855FF6">
        <w:rPr>
          <w:lang w:val="fr-FR"/>
        </w:rPr>
        <w:t xml:space="preserve"> </w:t>
      </w:r>
      <w:r w:rsidR="0087725B" w:rsidRPr="00855FF6">
        <w:rPr>
          <w:szCs w:val="22"/>
          <w:lang w:val="fr-FR"/>
        </w:rPr>
        <w:t>Des</w:t>
      </w:r>
      <w:r w:rsidRPr="00855FF6">
        <w:rPr>
          <w:szCs w:val="22"/>
          <w:lang w:val="fr-FR"/>
        </w:rPr>
        <w:t xml:space="preserve"> discussions </w:t>
      </w:r>
      <w:r w:rsidR="0087725B" w:rsidRPr="00855FF6">
        <w:rPr>
          <w:szCs w:val="22"/>
          <w:lang w:val="fr-FR"/>
        </w:rPr>
        <w:t xml:space="preserve">sont en cours </w:t>
      </w:r>
      <w:r w:rsidR="00855FF6" w:rsidRPr="00855FF6">
        <w:rPr>
          <w:szCs w:val="22"/>
          <w:lang w:val="fr-FR"/>
        </w:rPr>
        <w:t>pour changer la fr</w:t>
      </w:r>
      <w:r w:rsidR="00345105">
        <w:rPr>
          <w:szCs w:val="22"/>
          <w:lang w:val="fr-FR"/>
        </w:rPr>
        <w:t>é</w:t>
      </w:r>
      <w:r w:rsidR="00855FF6" w:rsidRPr="00855FF6">
        <w:rPr>
          <w:szCs w:val="22"/>
          <w:lang w:val="fr-FR"/>
        </w:rPr>
        <w:t xml:space="preserve">quence, afin </w:t>
      </w:r>
      <w:r w:rsidR="00855FF6">
        <w:rPr>
          <w:szCs w:val="22"/>
          <w:lang w:val="fr-FR"/>
        </w:rPr>
        <w:t>de garantir que les résultats peuvent servir à l’évaluation de la Stratégie</w:t>
      </w:r>
      <w:r w:rsidR="00EE45FC">
        <w:rPr>
          <w:szCs w:val="22"/>
          <w:lang w:val="fr-FR"/>
        </w:rPr>
        <w:t xml:space="preserve"> de l’UE en faveur de la biodiversité</w:t>
      </w:r>
      <w:r w:rsidRPr="00855FF6">
        <w:rPr>
          <w:szCs w:val="2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0" w:type="dxa"/>
      <w:tblInd w:w="108" w:type="dxa"/>
      <w:tblLayout w:type="fixed"/>
      <w:tblCellMar>
        <w:left w:w="10" w:type="dxa"/>
        <w:right w:w="10" w:type="dxa"/>
      </w:tblCellMar>
      <w:tblLook w:val="04A0" w:firstRow="1" w:lastRow="0" w:firstColumn="1" w:lastColumn="0" w:noHBand="0" w:noVBand="1"/>
    </w:tblPr>
    <w:tblGrid>
      <w:gridCol w:w="2268"/>
      <w:gridCol w:w="4678"/>
      <w:gridCol w:w="3294"/>
    </w:tblGrid>
    <w:tr w:rsidR="00CB5321" w:rsidRPr="00CB5321" w14:paraId="6C399CE2" w14:textId="77777777" w:rsidTr="005E52F1">
      <w:trPr>
        <w:trHeight w:val="1256"/>
      </w:trPr>
      <w:tc>
        <w:tcPr>
          <w:tcW w:w="2268" w:type="dxa"/>
          <w:shd w:val="clear" w:color="auto" w:fill="auto"/>
          <w:tcMar>
            <w:top w:w="0" w:type="dxa"/>
            <w:left w:w="108" w:type="dxa"/>
            <w:bottom w:w="0" w:type="dxa"/>
            <w:right w:w="108" w:type="dxa"/>
          </w:tcMar>
        </w:tcPr>
        <w:p w14:paraId="06C46110" w14:textId="77777777" w:rsidR="00CB5321" w:rsidRPr="00CB5321" w:rsidRDefault="00CB5321" w:rsidP="00CB5321">
          <w:pPr>
            <w:widowControl/>
            <w:suppressAutoHyphens/>
            <w:autoSpaceDE/>
            <w:textAlignment w:val="baseline"/>
            <w:rPr>
              <w:sz w:val="24"/>
              <w:szCs w:val="24"/>
              <w:lang w:val="fr-FR"/>
            </w:rPr>
          </w:pPr>
          <w:r w:rsidRPr="00CB5321">
            <w:rPr>
              <w:noProof/>
              <w:sz w:val="24"/>
              <w:szCs w:val="24"/>
            </w:rPr>
            <w:drawing>
              <wp:inline distT="0" distB="0" distL="0" distR="0" wp14:anchorId="5E501666" wp14:editId="41783739">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36CC59E3" w14:textId="77777777" w:rsidR="00CB5321" w:rsidRPr="00CB5321" w:rsidRDefault="00CB5321" w:rsidP="00CB5321">
          <w:pPr>
            <w:widowControl/>
            <w:tabs>
              <w:tab w:val="left" w:pos="2871"/>
            </w:tabs>
            <w:suppressAutoHyphens/>
            <w:autoSpaceDE/>
            <w:jc w:val="center"/>
            <w:textAlignment w:val="baseline"/>
            <w:rPr>
              <w:sz w:val="20"/>
              <w:szCs w:val="20"/>
              <w:lang w:val="fr-FR"/>
            </w:rPr>
          </w:pPr>
          <w:r w:rsidRPr="00CB5321">
            <w:rPr>
              <w:i/>
              <w:caps/>
              <w:sz w:val="20"/>
              <w:szCs w:val="20"/>
              <w:lang w:val="fr-FR"/>
            </w:rPr>
            <w:t>ACCORD SUR LA CONSERVATION DES OISEAUX D’eau migrateurs D’afrique-eurasie</w:t>
          </w:r>
        </w:p>
      </w:tc>
      <w:tc>
        <w:tcPr>
          <w:tcW w:w="3294" w:type="dxa"/>
          <w:shd w:val="clear" w:color="auto" w:fill="auto"/>
          <w:tcMar>
            <w:top w:w="0" w:type="dxa"/>
            <w:left w:w="108" w:type="dxa"/>
            <w:bottom w:w="0" w:type="dxa"/>
            <w:right w:w="108" w:type="dxa"/>
          </w:tcMar>
        </w:tcPr>
        <w:p w14:paraId="58A12059" w14:textId="796A7720" w:rsidR="00CB5321" w:rsidRPr="00CB5321" w:rsidRDefault="00CB5321" w:rsidP="00CB5321">
          <w:pPr>
            <w:widowControl/>
            <w:suppressAutoHyphens/>
            <w:autoSpaceDE/>
            <w:spacing w:line="276" w:lineRule="auto"/>
            <w:ind w:left="-108"/>
            <w:jc w:val="right"/>
            <w:textAlignment w:val="baseline"/>
            <w:rPr>
              <w:sz w:val="24"/>
              <w:szCs w:val="24"/>
              <w:lang w:val="fr-FR"/>
            </w:rPr>
          </w:pPr>
          <w:r w:rsidRPr="00CB5321">
            <w:rPr>
              <w:i/>
              <w:iCs/>
              <w:sz w:val="20"/>
              <w:szCs w:val="20"/>
              <w:lang w:val="fr-FR"/>
            </w:rPr>
            <w:t xml:space="preserve">Doc. </w:t>
          </w:r>
          <w:r w:rsidRPr="00CB5321">
            <w:rPr>
              <w:bCs/>
              <w:i/>
              <w:iCs/>
              <w:sz w:val="20"/>
              <w:szCs w:val="20"/>
              <w:lang w:val="fr-FR"/>
            </w:rPr>
            <w:t>AEWA/MOP 8.</w:t>
          </w:r>
          <w:r>
            <w:rPr>
              <w:bCs/>
              <w:i/>
              <w:iCs/>
              <w:sz w:val="20"/>
              <w:szCs w:val="20"/>
              <w:lang w:val="fr-FR"/>
            </w:rPr>
            <w:t>28</w:t>
          </w:r>
        </w:p>
        <w:p w14:paraId="3862C9BA" w14:textId="7D1C0C10" w:rsidR="00CB5321" w:rsidRPr="00CB5321" w:rsidRDefault="00CB5321" w:rsidP="00CB5321">
          <w:pPr>
            <w:widowControl/>
            <w:suppressAutoHyphens/>
            <w:autoSpaceDE/>
            <w:spacing w:line="276" w:lineRule="auto"/>
            <w:ind w:left="-108"/>
            <w:jc w:val="right"/>
            <w:textAlignment w:val="baseline"/>
            <w:rPr>
              <w:sz w:val="24"/>
              <w:szCs w:val="24"/>
              <w:lang w:val="fr-FR"/>
            </w:rPr>
          </w:pPr>
          <w:r w:rsidRPr="00CB5321">
            <w:rPr>
              <w:i/>
              <w:iCs/>
              <w:sz w:val="20"/>
              <w:szCs w:val="20"/>
              <w:lang w:val="fr-FR"/>
            </w:rPr>
            <w:t xml:space="preserve">Point </w:t>
          </w:r>
          <w:r>
            <w:rPr>
              <w:i/>
              <w:iCs/>
              <w:sz w:val="20"/>
              <w:szCs w:val="20"/>
              <w:lang w:val="fr-FR"/>
            </w:rPr>
            <w:t>19</w:t>
          </w:r>
          <w:r w:rsidRPr="00CB5321">
            <w:rPr>
              <w:bCs/>
              <w:i/>
              <w:iCs/>
              <w:sz w:val="20"/>
              <w:szCs w:val="20"/>
              <w:lang w:val="fr-FR"/>
            </w:rPr>
            <w:t xml:space="preserve"> de l’ordre du jour</w:t>
          </w:r>
        </w:p>
        <w:p w14:paraId="40E1C4C7" w14:textId="77777777" w:rsidR="00CB5321" w:rsidRPr="00CB5321" w:rsidRDefault="00CB5321" w:rsidP="00CB5321">
          <w:pPr>
            <w:widowControl/>
            <w:suppressAutoHyphens/>
            <w:autoSpaceDE/>
            <w:spacing w:line="276" w:lineRule="auto"/>
            <w:jc w:val="right"/>
            <w:textAlignment w:val="baseline"/>
            <w:rPr>
              <w:sz w:val="24"/>
              <w:szCs w:val="24"/>
              <w:lang w:val="fr-FR"/>
            </w:rPr>
          </w:pPr>
          <w:r w:rsidRPr="00CB5321">
            <w:rPr>
              <w:i/>
              <w:iCs/>
              <w:sz w:val="20"/>
              <w:szCs w:val="20"/>
              <w:lang w:val="fr-FR"/>
            </w:rPr>
            <w:t>Original : Anglais</w:t>
          </w:r>
        </w:p>
        <w:p w14:paraId="3046E8D3" w14:textId="681C870A" w:rsidR="00CB5321" w:rsidRPr="00CB5321" w:rsidRDefault="00CB5321" w:rsidP="00CB5321">
          <w:pPr>
            <w:widowControl/>
            <w:suppressAutoHyphens/>
            <w:autoSpaceDE/>
            <w:spacing w:line="276" w:lineRule="auto"/>
            <w:jc w:val="right"/>
            <w:textAlignment w:val="baseline"/>
            <w:rPr>
              <w:i/>
              <w:iCs/>
              <w:sz w:val="20"/>
              <w:szCs w:val="20"/>
              <w:lang w:val="fr-FR"/>
            </w:rPr>
          </w:pPr>
          <w:r>
            <w:rPr>
              <w:i/>
              <w:iCs/>
              <w:sz w:val="20"/>
              <w:szCs w:val="20"/>
              <w:lang w:val="fr-FR"/>
            </w:rPr>
            <w:t>2</w:t>
          </w:r>
          <w:r w:rsidR="003620A1">
            <w:rPr>
              <w:i/>
              <w:iCs/>
              <w:sz w:val="20"/>
              <w:szCs w:val="20"/>
              <w:lang w:val="fr-FR"/>
            </w:rPr>
            <w:t>5</w:t>
          </w:r>
          <w:r w:rsidRPr="00CB5321">
            <w:rPr>
              <w:i/>
              <w:iCs/>
              <w:sz w:val="20"/>
              <w:szCs w:val="20"/>
              <w:lang w:val="fr-FR"/>
            </w:rPr>
            <w:t xml:space="preserve"> juillet 2022</w:t>
          </w:r>
        </w:p>
        <w:p w14:paraId="2B5EBB06" w14:textId="77777777" w:rsidR="00CB5321" w:rsidRPr="00CB5321" w:rsidRDefault="00CB5321" w:rsidP="00CB5321">
          <w:pPr>
            <w:widowControl/>
            <w:suppressAutoHyphens/>
            <w:autoSpaceDE/>
            <w:jc w:val="right"/>
            <w:textAlignment w:val="baseline"/>
            <w:rPr>
              <w:sz w:val="18"/>
              <w:szCs w:val="18"/>
              <w:lang w:val="fr-FR"/>
            </w:rPr>
          </w:pPr>
        </w:p>
      </w:tc>
    </w:tr>
    <w:tr w:rsidR="00CB5321" w:rsidRPr="00CB5321" w14:paraId="6304BDB4" w14:textId="77777777" w:rsidTr="005E52F1">
      <w:tc>
        <w:tcPr>
          <w:tcW w:w="10240" w:type="dxa"/>
          <w:gridSpan w:val="3"/>
          <w:shd w:val="clear" w:color="auto" w:fill="auto"/>
          <w:tcMar>
            <w:top w:w="0" w:type="dxa"/>
            <w:left w:w="108" w:type="dxa"/>
            <w:bottom w:w="0" w:type="dxa"/>
            <w:right w:w="108" w:type="dxa"/>
          </w:tcMar>
        </w:tcPr>
        <w:p w14:paraId="794483C8" w14:textId="77777777" w:rsidR="00CB5321" w:rsidRPr="00CB5321" w:rsidRDefault="00CB5321" w:rsidP="00CB5321">
          <w:pPr>
            <w:widowControl/>
            <w:autoSpaceDE/>
            <w:jc w:val="center"/>
            <w:rPr>
              <w:szCs w:val="24"/>
              <w:lang w:val="fr-FR"/>
            </w:rPr>
          </w:pPr>
          <w:r w:rsidRPr="00CB5321">
            <w:rPr>
              <w:b/>
              <w:bCs/>
              <w:sz w:val="26"/>
              <w:szCs w:val="26"/>
              <w:lang w:val="fr-FR"/>
            </w:rPr>
            <w:t>8</w:t>
          </w:r>
          <w:r w:rsidRPr="00CB5321">
            <w:rPr>
              <w:b/>
              <w:bCs/>
              <w:sz w:val="26"/>
              <w:szCs w:val="26"/>
              <w:vertAlign w:val="superscript"/>
              <w:lang w:val="fr-FR"/>
            </w:rPr>
            <w:t>ème</w:t>
          </w:r>
          <w:r w:rsidRPr="00CB5321">
            <w:rPr>
              <w:b/>
              <w:bCs/>
              <w:sz w:val="26"/>
              <w:szCs w:val="26"/>
              <w:lang w:val="fr-FR"/>
            </w:rPr>
            <w:t xml:space="preserve"> </w:t>
          </w:r>
          <w:r w:rsidRPr="00CB5321">
            <w:rPr>
              <w:b/>
              <w:bCs/>
              <w:caps/>
              <w:sz w:val="26"/>
              <w:szCs w:val="26"/>
              <w:lang w:val="fr-FR"/>
            </w:rPr>
            <w:t>Session de la rÉunion des parties contractantes</w:t>
          </w:r>
        </w:p>
        <w:p w14:paraId="54808F42" w14:textId="77777777" w:rsidR="00CB5321" w:rsidRPr="00CB5321" w:rsidRDefault="00CB5321" w:rsidP="00CB5321">
          <w:pPr>
            <w:widowControl/>
            <w:suppressAutoHyphens/>
            <w:autoSpaceDE/>
            <w:jc w:val="center"/>
            <w:textAlignment w:val="baseline"/>
            <w:rPr>
              <w:sz w:val="24"/>
              <w:szCs w:val="24"/>
              <w:lang w:val="fr-FR"/>
            </w:rPr>
          </w:pPr>
          <w:r w:rsidRPr="00CB5321">
            <w:rPr>
              <w:i/>
              <w:iCs/>
              <w:sz w:val="24"/>
              <w:szCs w:val="24"/>
              <w:lang w:val="fr-FR"/>
            </w:rPr>
            <w:t>26 – 30 septembre 2022, Budapest, Hongrie</w:t>
          </w:r>
        </w:p>
      </w:tc>
    </w:tr>
    <w:tr w:rsidR="00CB5321" w:rsidRPr="005E52F1" w14:paraId="234BD32B" w14:textId="77777777" w:rsidTr="005E52F1">
      <w:trPr>
        <w:trHeight w:val="702"/>
      </w:trPr>
      <w:tc>
        <w:tcPr>
          <w:tcW w:w="10240" w:type="dxa"/>
          <w:gridSpan w:val="3"/>
          <w:tcBorders>
            <w:bottom w:val="single" w:sz="8" w:space="0" w:color="000000"/>
          </w:tcBorders>
          <w:shd w:val="clear" w:color="auto" w:fill="auto"/>
          <w:tcMar>
            <w:top w:w="0" w:type="dxa"/>
            <w:left w:w="108" w:type="dxa"/>
            <w:bottom w:w="0" w:type="dxa"/>
            <w:right w:w="108" w:type="dxa"/>
          </w:tcMar>
          <w:vAlign w:val="center"/>
        </w:tcPr>
        <w:p w14:paraId="47EE7D5A" w14:textId="77777777" w:rsidR="00CB5321" w:rsidRPr="00CB5321" w:rsidRDefault="00CB5321" w:rsidP="00CB5321">
          <w:pPr>
            <w:widowControl/>
            <w:autoSpaceDE/>
            <w:jc w:val="center"/>
            <w:rPr>
              <w:i/>
              <w:color w:val="000000"/>
              <w:sz w:val="24"/>
              <w:szCs w:val="24"/>
              <w:highlight w:val="yellow"/>
              <w:lang w:val="fr-FR"/>
            </w:rPr>
          </w:pPr>
          <w:r w:rsidRPr="005E52F1">
            <w:rPr>
              <w:i/>
              <w:sz w:val="24"/>
              <w:szCs w:val="24"/>
              <w:lang w:val="fr-FR"/>
            </w:rPr>
            <w:t>“</w:t>
          </w:r>
          <w:r w:rsidRPr="00CB5321">
            <w:rPr>
              <w:i/>
              <w:color w:val="000000"/>
              <w:sz w:val="24"/>
              <w:szCs w:val="24"/>
              <w:lang w:val="fr-FR"/>
            </w:rPr>
            <w:t>Renforcer la conservation des voies de migration dans un monde en mutation</w:t>
          </w:r>
          <w:r w:rsidRPr="005E52F1">
            <w:rPr>
              <w:i/>
              <w:sz w:val="24"/>
              <w:szCs w:val="24"/>
              <w:lang w:val="fr-FR"/>
            </w:rPr>
            <w:t>”</w:t>
          </w:r>
        </w:p>
      </w:tc>
    </w:tr>
  </w:tbl>
  <w:p w14:paraId="07FDEA5C" w14:textId="18686319" w:rsidR="00C4129B" w:rsidRPr="005E52F1" w:rsidRDefault="00C4129B" w:rsidP="00CB532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FF2"/>
    <w:multiLevelType w:val="hybridMultilevel"/>
    <w:tmpl w:val="68E4686A"/>
    <w:lvl w:ilvl="0" w:tplc="42401268">
      <w:start w:val="1"/>
      <w:numFmt w:val="decimal"/>
      <w:lvlText w:val="%1."/>
      <w:lvlJc w:val="left"/>
      <w:pPr>
        <w:ind w:left="1493" w:hanging="360"/>
      </w:pPr>
      <w:rPr>
        <w:rFonts w:ascii="Times New Roman" w:eastAsia="Times New Roman" w:hAnsi="Times New Roman" w:cs="Times New Roman" w:hint="default"/>
        <w:w w:val="100"/>
        <w:sz w:val="22"/>
        <w:szCs w:val="22"/>
      </w:rPr>
    </w:lvl>
    <w:lvl w:ilvl="1" w:tplc="A732A40C">
      <w:numFmt w:val="bullet"/>
      <w:lvlText w:val="•"/>
      <w:lvlJc w:val="left"/>
      <w:pPr>
        <w:ind w:left="2398" w:hanging="360"/>
      </w:pPr>
      <w:rPr>
        <w:rFonts w:hint="default"/>
      </w:rPr>
    </w:lvl>
    <w:lvl w:ilvl="2" w:tplc="F8C072E6">
      <w:numFmt w:val="bullet"/>
      <w:lvlText w:val="•"/>
      <w:lvlJc w:val="left"/>
      <w:pPr>
        <w:ind w:left="3297" w:hanging="360"/>
      </w:pPr>
      <w:rPr>
        <w:rFonts w:hint="default"/>
      </w:rPr>
    </w:lvl>
    <w:lvl w:ilvl="3" w:tplc="59103878">
      <w:numFmt w:val="bullet"/>
      <w:lvlText w:val="•"/>
      <w:lvlJc w:val="left"/>
      <w:pPr>
        <w:ind w:left="4196" w:hanging="360"/>
      </w:pPr>
      <w:rPr>
        <w:rFonts w:hint="default"/>
      </w:rPr>
    </w:lvl>
    <w:lvl w:ilvl="4" w:tplc="C0F4EE94">
      <w:numFmt w:val="bullet"/>
      <w:lvlText w:val="•"/>
      <w:lvlJc w:val="left"/>
      <w:pPr>
        <w:ind w:left="5095" w:hanging="360"/>
      </w:pPr>
      <w:rPr>
        <w:rFonts w:hint="default"/>
      </w:rPr>
    </w:lvl>
    <w:lvl w:ilvl="5" w:tplc="64E2876A">
      <w:numFmt w:val="bullet"/>
      <w:lvlText w:val="•"/>
      <w:lvlJc w:val="left"/>
      <w:pPr>
        <w:ind w:left="5994" w:hanging="360"/>
      </w:pPr>
      <w:rPr>
        <w:rFonts w:hint="default"/>
      </w:rPr>
    </w:lvl>
    <w:lvl w:ilvl="6" w:tplc="6102F02E">
      <w:numFmt w:val="bullet"/>
      <w:lvlText w:val="•"/>
      <w:lvlJc w:val="left"/>
      <w:pPr>
        <w:ind w:left="6893" w:hanging="360"/>
      </w:pPr>
      <w:rPr>
        <w:rFonts w:hint="default"/>
      </w:rPr>
    </w:lvl>
    <w:lvl w:ilvl="7" w:tplc="AEC2FF6A">
      <w:numFmt w:val="bullet"/>
      <w:lvlText w:val="•"/>
      <w:lvlJc w:val="left"/>
      <w:pPr>
        <w:ind w:left="7792" w:hanging="360"/>
      </w:pPr>
      <w:rPr>
        <w:rFonts w:hint="default"/>
      </w:rPr>
    </w:lvl>
    <w:lvl w:ilvl="8" w:tplc="164CA5D2">
      <w:numFmt w:val="bullet"/>
      <w:lvlText w:val="•"/>
      <w:lvlJc w:val="left"/>
      <w:pPr>
        <w:ind w:left="8691" w:hanging="360"/>
      </w:pPr>
      <w:rPr>
        <w:rFonts w:hint="default"/>
      </w:rPr>
    </w:lvl>
  </w:abstractNum>
  <w:abstractNum w:abstractNumId="1" w15:restartNumberingAfterBreak="0">
    <w:nsid w:val="0BD175F6"/>
    <w:multiLevelType w:val="hybridMultilevel"/>
    <w:tmpl w:val="658046A6"/>
    <w:lvl w:ilvl="0" w:tplc="CD606BF0">
      <w:numFmt w:val="bullet"/>
      <w:lvlText w:val=""/>
      <w:lvlJc w:val="left"/>
      <w:pPr>
        <w:ind w:left="1440" w:hanging="360"/>
      </w:pPr>
      <w:rPr>
        <w:rFonts w:ascii="Symbol" w:eastAsia="Symbol" w:hAnsi="Symbol" w:cs="Symbol" w:hint="default"/>
        <w:w w:val="100"/>
        <w:sz w:val="22"/>
        <w:szCs w:val="22"/>
      </w:rPr>
    </w:lvl>
    <w:lvl w:ilvl="1" w:tplc="790E970A">
      <w:numFmt w:val="bullet"/>
      <w:lvlText w:val="•"/>
      <w:lvlJc w:val="left"/>
      <w:pPr>
        <w:ind w:left="2344" w:hanging="360"/>
      </w:pPr>
      <w:rPr>
        <w:rFonts w:hint="default"/>
      </w:rPr>
    </w:lvl>
    <w:lvl w:ilvl="2" w:tplc="CF6C0D1E">
      <w:numFmt w:val="bullet"/>
      <w:lvlText w:val="•"/>
      <w:lvlJc w:val="left"/>
      <w:pPr>
        <w:ind w:left="3249" w:hanging="360"/>
      </w:pPr>
      <w:rPr>
        <w:rFonts w:hint="default"/>
      </w:rPr>
    </w:lvl>
    <w:lvl w:ilvl="3" w:tplc="A590297E">
      <w:numFmt w:val="bullet"/>
      <w:lvlText w:val="•"/>
      <w:lvlJc w:val="left"/>
      <w:pPr>
        <w:ind w:left="4154" w:hanging="360"/>
      </w:pPr>
      <w:rPr>
        <w:rFonts w:hint="default"/>
      </w:rPr>
    </w:lvl>
    <w:lvl w:ilvl="4" w:tplc="35186238">
      <w:numFmt w:val="bullet"/>
      <w:lvlText w:val="•"/>
      <w:lvlJc w:val="left"/>
      <w:pPr>
        <w:ind w:left="5059" w:hanging="360"/>
      </w:pPr>
      <w:rPr>
        <w:rFonts w:hint="default"/>
      </w:rPr>
    </w:lvl>
    <w:lvl w:ilvl="5" w:tplc="8A823B36">
      <w:numFmt w:val="bullet"/>
      <w:lvlText w:val="•"/>
      <w:lvlJc w:val="left"/>
      <w:pPr>
        <w:ind w:left="5964" w:hanging="360"/>
      </w:pPr>
      <w:rPr>
        <w:rFonts w:hint="default"/>
      </w:rPr>
    </w:lvl>
    <w:lvl w:ilvl="6" w:tplc="1012ECA6">
      <w:numFmt w:val="bullet"/>
      <w:lvlText w:val="•"/>
      <w:lvlJc w:val="left"/>
      <w:pPr>
        <w:ind w:left="6869" w:hanging="360"/>
      </w:pPr>
      <w:rPr>
        <w:rFonts w:hint="default"/>
      </w:rPr>
    </w:lvl>
    <w:lvl w:ilvl="7" w:tplc="65FE24CA">
      <w:numFmt w:val="bullet"/>
      <w:lvlText w:val="•"/>
      <w:lvlJc w:val="left"/>
      <w:pPr>
        <w:ind w:left="7774" w:hanging="360"/>
      </w:pPr>
      <w:rPr>
        <w:rFonts w:hint="default"/>
      </w:rPr>
    </w:lvl>
    <w:lvl w:ilvl="8" w:tplc="C450C444">
      <w:numFmt w:val="bullet"/>
      <w:lvlText w:val="•"/>
      <w:lvlJc w:val="left"/>
      <w:pPr>
        <w:ind w:left="8679" w:hanging="360"/>
      </w:pPr>
      <w:rPr>
        <w:rFonts w:hint="default"/>
      </w:rPr>
    </w:lvl>
  </w:abstractNum>
  <w:abstractNum w:abstractNumId="2" w15:restartNumberingAfterBreak="0">
    <w:nsid w:val="0DF81C6E"/>
    <w:multiLevelType w:val="hybridMultilevel"/>
    <w:tmpl w:val="9E0CC3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F82B11"/>
    <w:multiLevelType w:val="hybridMultilevel"/>
    <w:tmpl w:val="C8B4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E6D30"/>
    <w:multiLevelType w:val="hybridMultilevel"/>
    <w:tmpl w:val="312488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3E11EA0"/>
    <w:multiLevelType w:val="multilevel"/>
    <w:tmpl w:val="2362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E7E78"/>
    <w:multiLevelType w:val="hybridMultilevel"/>
    <w:tmpl w:val="29EA40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60E4D18"/>
    <w:multiLevelType w:val="hybridMultilevel"/>
    <w:tmpl w:val="29EA40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FEB2169"/>
    <w:multiLevelType w:val="hybridMultilevel"/>
    <w:tmpl w:val="021E7B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A27ADE"/>
    <w:multiLevelType w:val="hybridMultilevel"/>
    <w:tmpl w:val="29EA40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095DA3"/>
    <w:multiLevelType w:val="hybridMultilevel"/>
    <w:tmpl w:val="093A5B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2585BEF"/>
    <w:multiLevelType w:val="hybridMultilevel"/>
    <w:tmpl w:val="68C4B652"/>
    <w:lvl w:ilvl="0" w:tplc="1186A956">
      <w:start w:val="1"/>
      <w:numFmt w:val="decimal"/>
      <w:lvlText w:val="%1."/>
      <w:lvlJc w:val="left"/>
      <w:pPr>
        <w:ind w:left="1440" w:hanging="360"/>
      </w:pPr>
      <w:rPr>
        <w:rFonts w:ascii="Times New Roman" w:eastAsia="Times New Roman" w:hAnsi="Times New Roman" w:cs="Times New Roman" w:hint="default"/>
        <w:w w:val="100"/>
        <w:sz w:val="22"/>
        <w:szCs w:val="22"/>
      </w:rPr>
    </w:lvl>
    <w:lvl w:ilvl="1" w:tplc="BB0C6ECE">
      <w:numFmt w:val="bullet"/>
      <w:lvlText w:val="•"/>
      <w:lvlJc w:val="left"/>
      <w:pPr>
        <w:ind w:left="2344" w:hanging="360"/>
      </w:pPr>
      <w:rPr>
        <w:rFonts w:hint="default"/>
      </w:rPr>
    </w:lvl>
    <w:lvl w:ilvl="2" w:tplc="6F6600E2">
      <w:numFmt w:val="bullet"/>
      <w:lvlText w:val="•"/>
      <w:lvlJc w:val="left"/>
      <w:pPr>
        <w:ind w:left="3249" w:hanging="360"/>
      </w:pPr>
      <w:rPr>
        <w:rFonts w:hint="default"/>
      </w:rPr>
    </w:lvl>
    <w:lvl w:ilvl="3" w:tplc="2674AB3A">
      <w:numFmt w:val="bullet"/>
      <w:lvlText w:val="•"/>
      <w:lvlJc w:val="left"/>
      <w:pPr>
        <w:ind w:left="4154" w:hanging="360"/>
      </w:pPr>
      <w:rPr>
        <w:rFonts w:hint="default"/>
      </w:rPr>
    </w:lvl>
    <w:lvl w:ilvl="4" w:tplc="5D50384C">
      <w:numFmt w:val="bullet"/>
      <w:lvlText w:val="•"/>
      <w:lvlJc w:val="left"/>
      <w:pPr>
        <w:ind w:left="5059" w:hanging="360"/>
      </w:pPr>
      <w:rPr>
        <w:rFonts w:hint="default"/>
      </w:rPr>
    </w:lvl>
    <w:lvl w:ilvl="5" w:tplc="1D84AEAC">
      <w:numFmt w:val="bullet"/>
      <w:lvlText w:val="•"/>
      <w:lvlJc w:val="left"/>
      <w:pPr>
        <w:ind w:left="5964" w:hanging="360"/>
      </w:pPr>
      <w:rPr>
        <w:rFonts w:hint="default"/>
      </w:rPr>
    </w:lvl>
    <w:lvl w:ilvl="6" w:tplc="845AEA02">
      <w:numFmt w:val="bullet"/>
      <w:lvlText w:val="•"/>
      <w:lvlJc w:val="left"/>
      <w:pPr>
        <w:ind w:left="6869" w:hanging="360"/>
      </w:pPr>
      <w:rPr>
        <w:rFonts w:hint="default"/>
      </w:rPr>
    </w:lvl>
    <w:lvl w:ilvl="7" w:tplc="FE5486FC">
      <w:numFmt w:val="bullet"/>
      <w:lvlText w:val="•"/>
      <w:lvlJc w:val="left"/>
      <w:pPr>
        <w:ind w:left="7774" w:hanging="360"/>
      </w:pPr>
      <w:rPr>
        <w:rFonts w:hint="default"/>
      </w:rPr>
    </w:lvl>
    <w:lvl w:ilvl="8" w:tplc="E6421B7E">
      <w:numFmt w:val="bullet"/>
      <w:lvlText w:val="•"/>
      <w:lvlJc w:val="left"/>
      <w:pPr>
        <w:ind w:left="8679" w:hanging="360"/>
      </w:pPr>
      <w:rPr>
        <w:rFonts w:hint="default"/>
      </w:rPr>
    </w:lvl>
  </w:abstractNum>
  <w:abstractNum w:abstractNumId="12" w15:restartNumberingAfterBreak="0">
    <w:nsid w:val="7293516C"/>
    <w:multiLevelType w:val="hybridMultilevel"/>
    <w:tmpl w:val="B7A265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C2607C9"/>
    <w:multiLevelType w:val="hybridMultilevel"/>
    <w:tmpl w:val="91FE5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8"/>
  </w:num>
  <w:num w:numId="6">
    <w:abstractNumId w:val="4"/>
  </w:num>
  <w:num w:numId="7">
    <w:abstractNumId w:val="10"/>
  </w:num>
  <w:num w:numId="8">
    <w:abstractNumId w:val="6"/>
  </w:num>
  <w:num w:numId="9">
    <w:abstractNumId w:val="12"/>
  </w:num>
  <w:num w:numId="10">
    <w:abstractNumId w:val="7"/>
  </w:num>
  <w:num w:numId="11">
    <w:abstractNumId w:val="13"/>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06"/>
    <w:rsid w:val="00000585"/>
    <w:rsid w:val="00004D89"/>
    <w:rsid w:val="00010A15"/>
    <w:rsid w:val="000133C9"/>
    <w:rsid w:val="00013754"/>
    <w:rsid w:val="00014EFF"/>
    <w:rsid w:val="00015FC0"/>
    <w:rsid w:val="00017B4D"/>
    <w:rsid w:val="00020782"/>
    <w:rsid w:val="00020D42"/>
    <w:rsid w:val="00020DBE"/>
    <w:rsid w:val="0002230F"/>
    <w:rsid w:val="000225A7"/>
    <w:rsid w:val="0002512A"/>
    <w:rsid w:val="00026018"/>
    <w:rsid w:val="00027F84"/>
    <w:rsid w:val="000303CC"/>
    <w:rsid w:val="00031C4E"/>
    <w:rsid w:val="00031C61"/>
    <w:rsid w:val="000459B0"/>
    <w:rsid w:val="000511D9"/>
    <w:rsid w:val="000514D6"/>
    <w:rsid w:val="000517C7"/>
    <w:rsid w:val="00053B26"/>
    <w:rsid w:val="00054185"/>
    <w:rsid w:val="00060D3D"/>
    <w:rsid w:val="00063B67"/>
    <w:rsid w:val="00070860"/>
    <w:rsid w:val="00071E92"/>
    <w:rsid w:val="00073A7F"/>
    <w:rsid w:val="000764F1"/>
    <w:rsid w:val="00082F58"/>
    <w:rsid w:val="000835BF"/>
    <w:rsid w:val="00091CE0"/>
    <w:rsid w:val="00092857"/>
    <w:rsid w:val="00092CD1"/>
    <w:rsid w:val="000934FB"/>
    <w:rsid w:val="00093E48"/>
    <w:rsid w:val="00095B5C"/>
    <w:rsid w:val="000960C6"/>
    <w:rsid w:val="000965B3"/>
    <w:rsid w:val="00097BB9"/>
    <w:rsid w:val="000A1FF4"/>
    <w:rsid w:val="000A2EBA"/>
    <w:rsid w:val="000A3C6B"/>
    <w:rsid w:val="000A411D"/>
    <w:rsid w:val="000A5058"/>
    <w:rsid w:val="000A5AA8"/>
    <w:rsid w:val="000A740E"/>
    <w:rsid w:val="000B229F"/>
    <w:rsid w:val="000B7B1B"/>
    <w:rsid w:val="000C269F"/>
    <w:rsid w:val="000C57DD"/>
    <w:rsid w:val="000C58F0"/>
    <w:rsid w:val="000C5DD5"/>
    <w:rsid w:val="000C6CA2"/>
    <w:rsid w:val="000D1744"/>
    <w:rsid w:val="000D2C3A"/>
    <w:rsid w:val="000D44F3"/>
    <w:rsid w:val="000D664A"/>
    <w:rsid w:val="000E13E1"/>
    <w:rsid w:val="000E2851"/>
    <w:rsid w:val="000E2EA4"/>
    <w:rsid w:val="000E5B99"/>
    <w:rsid w:val="000E6EE0"/>
    <w:rsid w:val="000E706A"/>
    <w:rsid w:val="000E7EF7"/>
    <w:rsid w:val="000F0597"/>
    <w:rsid w:val="000F3BAB"/>
    <w:rsid w:val="000F7A00"/>
    <w:rsid w:val="00101B66"/>
    <w:rsid w:val="00102969"/>
    <w:rsid w:val="00103B6D"/>
    <w:rsid w:val="0010401F"/>
    <w:rsid w:val="0010537A"/>
    <w:rsid w:val="001056B3"/>
    <w:rsid w:val="00107743"/>
    <w:rsid w:val="00110A3B"/>
    <w:rsid w:val="00111B4A"/>
    <w:rsid w:val="00111DDD"/>
    <w:rsid w:val="001125D8"/>
    <w:rsid w:val="00114725"/>
    <w:rsid w:val="00116F1C"/>
    <w:rsid w:val="00116F67"/>
    <w:rsid w:val="00117825"/>
    <w:rsid w:val="00120C4B"/>
    <w:rsid w:val="00124B61"/>
    <w:rsid w:val="00126365"/>
    <w:rsid w:val="0012641F"/>
    <w:rsid w:val="0013026C"/>
    <w:rsid w:val="00131B16"/>
    <w:rsid w:val="001332AD"/>
    <w:rsid w:val="0014083C"/>
    <w:rsid w:val="00141152"/>
    <w:rsid w:val="00142750"/>
    <w:rsid w:val="00144C78"/>
    <w:rsid w:val="00144E07"/>
    <w:rsid w:val="0014522E"/>
    <w:rsid w:val="00145D45"/>
    <w:rsid w:val="00146540"/>
    <w:rsid w:val="00152562"/>
    <w:rsid w:val="0015340A"/>
    <w:rsid w:val="0015356E"/>
    <w:rsid w:val="00153EE3"/>
    <w:rsid w:val="00154007"/>
    <w:rsid w:val="001548CC"/>
    <w:rsid w:val="00154991"/>
    <w:rsid w:val="0015500C"/>
    <w:rsid w:val="00161B3D"/>
    <w:rsid w:val="00162042"/>
    <w:rsid w:val="00163391"/>
    <w:rsid w:val="00163C54"/>
    <w:rsid w:val="00170F81"/>
    <w:rsid w:val="00173436"/>
    <w:rsid w:val="00173AE1"/>
    <w:rsid w:val="00174E18"/>
    <w:rsid w:val="00174E93"/>
    <w:rsid w:val="00177888"/>
    <w:rsid w:val="00180728"/>
    <w:rsid w:val="00181348"/>
    <w:rsid w:val="00181701"/>
    <w:rsid w:val="001821B8"/>
    <w:rsid w:val="0018332C"/>
    <w:rsid w:val="00185B0F"/>
    <w:rsid w:val="00191ED4"/>
    <w:rsid w:val="001923D7"/>
    <w:rsid w:val="00192703"/>
    <w:rsid w:val="00193A03"/>
    <w:rsid w:val="001961E6"/>
    <w:rsid w:val="00197187"/>
    <w:rsid w:val="001A0986"/>
    <w:rsid w:val="001A1A46"/>
    <w:rsid w:val="001A4DB7"/>
    <w:rsid w:val="001B0621"/>
    <w:rsid w:val="001B139D"/>
    <w:rsid w:val="001B13C2"/>
    <w:rsid w:val="001B2E02"/>
    <w:rsid w:val="001B3779"/>
    <w:rsid w:val="001B4863"/>
    <w:rsid w:val="001B4A73"/>
    <w:rsid w:val="001B637D"/>
    <w:rsid w:val="001B6957"/>
    <w:rsid w:val="001B738F"/>
    <w:rsid w:val="001C0165"/>
    <w:rsid w:val="001C3810"/>
    <w:rsid w:val="001C51F1"/>
    <w:rsid w:val="001C6BF2"/>
    <w:rsid w:val="001D1130"/>
    <w:rsid w:val="001D1A59"/>
    <w:rsid w:val="001D314E"/>
    <w:rsid w:val="001D4816"/>
    <w:rsid w:val="001D4862"/>
    <w:rsid w:val="001D6B9E"/>
    <w:rsid w:val="001D7B2C"/>
    <w:rsid w:val="001E13AE"/>
    <w:rsid w:val="001E1D6A"/>
    <w:rsid w:val="001E4DE6"/>
    <w:rsid w:val="001E749C"/>
    <w:rsid w:val="001F3EE1"/>
    <w:rsid w:val="001F4C5C"/>
    <w:rsid w:val="001F5DFC"/>
    <w:rsid w:val="002028AE"/>
    <w:rsid w:val="002034BF"/>
    <w:rsid w:val="002046C1"/>
    <w:rsid w:val="00205861"/>
    <w:rsid w:val="00211A65"/>
    <w:rsid w:val="00215277"/>
    <w:rsid w:val="002155CC"/>
    <w:rsid w:val="002174B4"/>
    <w:rsid w:val="002227E7"/>
    <w:rsid w:val="0022352F"/>
    <w:rsid w:val="0022359B"/>
    <w:rsid w:val="00227454"/>
    <w:rsid w:val="0023275F"/>
    <w:rsid w:val="00232B68"/>
    <w:rsid w:val="00232CF8"/>
    <w:rsid w:val="002337D7"/>
    <w:rsid w:val="002338E8"/>
    <w:rsid w:val="002355B9"/>
    <w:rsid w:val="00235ADD"/>
    <w:rsid w:val="00235AED"/>
    <w:rsid w:val="00236C07"/>
    <w:rsid w:val="00241D20"/>
    <w:rsid w:val="002519C9"/>
    <w:rsid w:val="00251D83"/>
    <w:rsid w:val="00256701"/>
    <w:rsid w:val="00260E7F"/>
    <w:rsid w:val="00260F2E"/>
    <w:rsid w:val="002618F0"/>
    <w:rsid w:val="00262B19"/>
    <w:rsid w:val="00265C64"/>
    <w:rsid w:val="00266413"/>
    <w:rsid w:val="00267723"/>
    <w:rsid w:val="002678BB"/>
    <w:rsid w:val="00272CC6"/>
    <w:rsid w:val="00274BBB"/>
    <w:rsid w:val="0027510C"/>
    <w:rsid w:val="002779E3"/>
    <w:rsid w:val="002846ED"/>
    <w:rsid w:val="002847D6"/>
    <w:rsid w:val="00286DD6"/>
    <w:rsid w:val="00290333"/>
    <w:rsid w:val="00290A59"/>
    <w:rsid w:val="00291430"/>
    <w:rsid w:val="00291772"/>
    <w:rsid w:val="00293B15"/>
    <w:rsid w:val="002A0C63"/>
    <w:rsid w:val="002A14A5"/>
    <w:rsid w:val="002A228C"/>
    <w:rsid w:val="002A45BF"/>
    <w:rsid w:val="002B1DE7"/>
    <w:rsid w:val="002B26D0"/>
    <w:rsid w:val="002B64B6"/>
    <w:rsid w:val="002B7901"/>
    <w:rsid w:val="002C2CAF"/>
    <w:rsid w:val="002C4484"/>
    <w:rsid w:val="002C6401"/>
    <w:rsid w:val="002C6454"/>
    <w:rsid w:val="002C7D59"/>
    <w:rsid w:val="002D1019"/>
    <w:rsid w:val="002D3C7F"/>
    <w:rsid w:val="002D5D78"/>
    <w:rsid w:val="002E13CC"/>
    <w:rsid w:val="002E3EC6"/>
    <w:rsid w:val="002E431D"/>
    <w:rsid w:val="002E4447"/>
    <w:rsid w:val="002E5BCE"/>
    <w:rsid w:val="002F18BF"/>
    <w:rsid w:val="002F1B22"/>
    <w:rsid w:val="002F5841"/>
    <w:rsid w:val="002F5A94"/>
    <w:rsid w:val="00302972"/>
    <w:rsid w:val="00304B13"/>
    <w:rsid w:val="00311072"/>
    <w:rsid w:val="00311404"/>
    <w:rsid w:val="00312BBC"/>
    <w:rsid w:val="00314B29"/>
    <w:rsid w:val="00316180"/>
    <w:rsid w:val="00316E8B"/>
    <w:rsid w:val="00321B0D"/>
    <w:rsid w:val="00321F10"/>
    <w:rsid w:val="00322A03"/>
    <w:rsid w:val="00324153"/>
    <w:rsid w:val="0032466B"/>
    <w:rsid w:val="00326D00"/>
    <w:rsid w:val="003273FB"/>
    <w:rsid w:val="003302E0"/>
    <w:rsid w:val="00330C5C"/>
    <w:rsid w:val="003348A0"/>
    <w:rsid w:val="00336143"/>
    <w:rsid w:val="00336EE8"/>
    <w:rsid w:val="0034088F"/>
    <w:rsid w:val="00340B30"/>
    <w:rsid w:val="00341D38"/>
    <w:rsid w:val="00344A18"/>
    <w:rsid w:val="00345105"/>
    <w:rsid w:val="003522DD"/>
    <w:rsid w:val="0035230D"/>
    <w:rsid w:val="0035298E"/>
    <w:rsid w:val="00353831"/>
    <w:rsid w:val="00354F38"/>
    <w:rsid w:val="00355F21"/>
    <w:rsid w:val="00361F19"/>
    <w:rsid w:val="003620A1"/>
    <w:rsid w:val="00366B64"/>
    <w:rsid w:val="0036774A"/>
    <w:rsid w:val="003702DB"/>
    <w:rsid w:val="00376874"/>
    <w:rsid w:val="003805D5"/>
    <w:rsid w:val="003835DE"/>
    <w:rsid w:val="00383769"/>
    <w:rsid w:val="0038384B"/>
    <w:rsid w:val="00384774"/>
    <w:rsid w:val="00385BD7"/>
    <w:rsid w:val="00386811"/>
    <w:rsid w:val="0039043C"/>
    <w:rsid w:val="0039101F"/>
    <w:rsid w:val="00394DA0"/>
    <w:rsid w:val="00395A64"/>
    <w:rsid w:val="003A09A8"/>
    <w:rsid w:val="003A38F1"/>
    <w:rsid w:val="003A49D7"/>
    <w:rsid w:val="003A6609"/>
    <w:rsid w:val="003B08BA"/>
    <w:rsid w:val="003B31C8"/>
    <w:rsid w:val="003B460E"/>
    <w:rsid w:val="003C0215"/>
    <w:rsid w:val="003C0A2C"/>
    <w:rsid w:val="003C0C17"/>
    <w:rsid w:val="003C19C1"/>
    <w:rsid w:val="003C1D3E"/>
    <w:rsid w:val="003C3265"/>
    <w:rsid w:val="003C44F9"/>
    <w:rsid w:val="003C4A6E"/>
    <w:rsid w:val="003D0D6E"/>
    <w:rsid w:val="003D1ECB"/>
    <w:rsid w:val="003D330B"/>
    <w:rsid w:val="003E04A9"/>
    <w:rsid w:val="003E1E04"/>
    <w:rsid w:val="003E38F1"/>
    <w:rsid w:val="003E481B"/>
    <w:rsid w:val="003F0E88"/>
    <w:rsid w:val="003F11B8"/>
    <w:rsid w:val="003F4931"/>
    <w:rsid w:val="003F4B07"/>
    <w:rsid w:val="003F4DA0"/>
    <w:rsid w:val="003F5ECA"/>
    <w:rsid w:val="003F68E0"/>
    <w:rsid w:val="003F6EEC"/>
    <w:rsid w:val="003F73BF"/>
    <w:rsid w:val="003F788D"/>
    <w:rsid w:val="003F7CB8"/>
    <w:rsid w:val="00406B25"/>
    <w:rsid w:val="00407461"/>
    <w:rsid w:val="004112AC"/>
    <w:rsid w:val="00412985"/>
    <w:rsid w:val="00414108"/>
    <w:rsid w:val="0041755B"/>
    <w:rsid w:val="00426582"/>
    <w:rsid w:val="00433A3E"/>
    <w:rsid w:val="00433F36"/>
    <w:rsid w:val="004452E5"/>
    <w:rsid w:val="00445CDC"/>
    <w:rsid w:val="00445D90"/>
    <w:rsid w:val="00446A52"/>
    <w:rsid w:val="00447F28"/>
    <w:rsid w:val="004504C2"/>
    <w:rsid w:val="00452690"/>
    <w:rsid w:val="00453196"/>
    <w:rsid w:val="004568FB"/>
    <w:rsid w:val="004607F8"/>
    <w:rsid w:val="004622A8"/>
    <w:rsid w:val="00462E2B"/>
    <w:rsid w:val="00462E61"/>
    <w:rsid w:val="00465CD8"/>
    <w:rsid w:val="00473152"/>
    <w:rsid w:val="0047400B"/>
    <w:rsid w:val="004770A9"/>
    <w:rsid w:val="004800A6"/>
    <w:rsid w:val="004825F0"/>
    <w:rsid w:val="00482979"/>
    <w:rsid w:val="004831B6"/>
    <w:rsid w:val="00484A98"/>
    <w:rsid w:val="00485A5A"/>
    <w:rsid w:val="004869E6"/>
    <w:rsid w:val="004902B4"/>
    <w:rsid w:val="00490461"/>
    <w:rsid w:val="00491006"/>
    <w:rsid w:val="004911D1"/>
    <w:rsid w:val="004918E2"/>
    <w:rsid w:val="00492367"/>
    <w:rsid w:val="00494A01"/>
    <w:rsid w:val="0049667F"/>
    <w:rsid w:val="00496D03"/>
    <w:rsid w:val="00497430"/>
    <w:rsid w:val="004A03A4"/>
    <w:rsid w:val="004A0E87"/>
    <w:rsid w:val="004A4615"/>
    <w:rsid w:val="004A5A2F"/>
    <w:rsid w:val="004A6906"/>
    <w:rsid w:val="004A6BF5"/>
    <w:rsid w:val="004A7CA0"/>
    <w:rsid w:val="004A7ECE"/>
    <w:rsid w:val="004B3BB9"/>
    <w:rsid w:val="004B4621"/>
    <w:rsid w:val="004B4B35"/>
    <w:rsid w:val="004B503A"/>
    <w:rsid w:val="004B573F"/>
    <w:rsid w:val="004B5F31"/>
    <w:rsid w:val="004C18FA"/>
    <w:rsid w:val="004C1E74"/>
    <w:rsid w:val="004C3EAD"/>
    <w:rsid w:val="004C64C1"/>
    <w:rsid w:val="004C7E4D"/>
    <w:rsid w:val="004D5315"/>
    <w:rsid w:val="004E2B4D"/>
    <w:rsid w:val="004E43EF"/>
    <w:rsid w:val="004F33C8"/>
    <w:rsid w:val="004F52B2"/>
    <w:rsid w:val="004F565A"/>
    <w:rsid w:val="005014CE"/>
    <w:rsid w:val="00504BD4"/>
    <w:rsid w:val="0050599B"/>
    <w:rsid w:val="00505BA2"/>
    <w:rsid w:val="00512BF8"/>
    <w:rsid w:val="00513F45"/>
    <w:rsid w:val="00517F27"/>
    <w:rsid w:val="0052024F"/>
    <w:rsid w:val="0052461F"/>
    <w:rsid w:val="005252BD"/>
    <w:rsid w:val="0053013A"/>
    <w:rsid w:val="00530C30"/>
    <w:rsid w:val="005323D3"/>
    <w:rsid w:val="00532934"/>
    <w:rsid w:val="0053397B"/>
    <w:rsid w:val="005349A8"/>
    <w:rsid w:val="0053643D"/>
    <w:rsid w:val="00541A36"/>
    <w:rsid w:val="005459EB"/>
    <w:rsid w:val="00550635"/>
    <w:rsid w:val="00553A70"/>
    <w:rsid w:val="005553F5"/>
    <w:rsid w:val="00556E89"/>
    <w:rsid w:val="00557528"/>
    <w:rsid w:val="00557CD6"/>
    <w:rsid w:val="005601EA"/>
    <w:rsid w:val="005605E5"/>
    <w:rsid w:val="005617AD"/>
    <w:rsid w:val="00565A7D"/>
    <w:rsid w:val="00565B4A"/>
    <w:rsid w:val="00566B0E"/>
    <w:rsid w:val="005723FA"/>
    <w:rsid w:val="00572F33"/>
    <w:rsid w:val="00580DE7"/>
    <w:rsid w:val="00587B63"/>
    <w:rsid w:val="0059278D"/>
    <w:rsid w:val="005928AE"/>
    <w:rsid w:val="005941FA"/>
    <w:rsid w:val="00595087"/>
    <w:rsid w:val="00595462"/>
    <w:rsid w:val="005967A4"/>
    <w:rsid w:val="005A21EB"/>
    <w:rsid w:val="005A38E2"/>
    <w:rsid w:val="005A3B40"/>
    <w:rsid w:val="005A4F89"/>
    <w:rsid w:val="005A53BF"/>
    <w:rsid w:val="005B0EFB"/>
    <w:rsid w:val="005B1B24"/>
    <w:rsid w:val="005B209F"/>
    <w:rsid w:val="005B5746"/>
    <w:rsid w:val="005C258B"/>
    <w:rsid w:val="005C2618"/>
    <w:rsid w:val="005C3CD8"/>
    <w:rsid w:val="005C5349"/>
    <w:rsid w:val="005C57E8"/>
    <w:rsid w:val="005C5C9C"/>
    <w:rsid w:val="005C6A2B"/>
    <w:rsid w:val="005D092F"/>
    <w:rsid w:val="005D3610"/>
    <w:rsid w:val="005D5262"/>
    <w:rsid w:val="005D598E"/>
    <w:rsid w:val="005D78D7"/>
    <w:rsid w:val="005D7A11"/>
    <w:rsid w:val="005E298E"/>
    <w:rsid w:val="005E4AD3"/>
    <w:rsid w:val="005E52F1"/>
    <w:rsid w:val="005E5451"/>
    <w:rsid w:val="005E6EA7"/>
    <w:rsid w:val="005E7135"/>
    <w:rsid w:val="005F1792"/>
    <w:rsid w:val="005F26D8"/>
    <w:rsid w:val="005F2893"/>
    <w:rsid w:val="005F39C3"/>
    <w:rsid w:val="005F3F03"/>
    <w:rsid w:val="005F50BF"/>
    <w:rsid w:val="005F688B"/>
    <w:rsid w:val="005F6CC4"/>
    <w:rsid w:val="006003CF"/>
    <w:rsid w:val="00602BA8"/>
    <w:rsid w:val="006065BF"/>
    <w:rsid w:val="00611036"/>
    <w:rsid w:val="00611FB8"/>
    <w:rsid w:val="00612645"/>
    <w:rsid w:val="00612B6F"/>
    <w:rsid w:val="00612C11"/>
    <w:rsid w:val="006150FD"/>
    <w:rsid w:val="006164E0"/>
    <w:rsid w:val="00620620"/>
    <w:rsid w:val="006220B6"/>
    <w:rsid w:val="00622D06"/>
    <w:rsid w:val="00624802"/>
    <w:rsid w:val="00625269"/>
    <w:rsid w:val="00627EC7"/>
    <w:rsid w:val="00634B66"/>
    <w:rsid w:val="00635A8B"/>
    <w:rsid w:val="006364EA"/>
    <w:rsid w:val="00637B00"/>
    <w:rsid w:val="00637B6B"/>
    <w:rsid w:val="00640F49"/>
    <w:rsid w:val="0064197B"/>
    <w:rsid w:val="00642333"/>
    <w:rsid w:val="00643D7E"/>
    <w:rsid w:val="00652622"/>
    <w:rsid w:val="00652DBA"/>
    <w:rsid w:val="006562D3"/>
    <w:rsid w:val="00662AA2"/>
    <w:rsid w:val="00663163"/>
    <w:rsid w:val="006638C3"/>
    <w:rsid w:val="00664206"/>
    <w:rsid w:val="00666028"/>
    <w:rsid w:val="00667299"/>
    <w:rsid w:val="00667A43"/>
    <w:rsid w:val="00671D53"/>
    <w:rsid w:val="00673C78"/>
    <w:rsid w:val="00674768"/>
    <w:rsid w:val="00680D01"/>
    <w:rsid w:val="006826A1"/>
    <w:rsid w:val="006835E9"/>
    <w:rsid w:val="00683CC1"/>
    <w:rsid w:val="00684FF6"/>
    <w:rsid w:val="0069242F"/>
    <w:rsid w:val="00692B67"/>
    <w:rsid w:val="0069475A"/>
    <w:rsid w:val="00694BB2"/>
    <w:rsid w:val="00695DC5"/>
    <w:rsid w:val="006977E8"/>
    <w:rsid w:val="006A2854"/>
    <w:rsid w:val="006A4EC1"/>
    <w:rsid w:val="006A514E"/>
    <w:rsid w:val="006A5725"/>
    <w:rsid w:val="006A5E24"/>
    <w:rsid w:val="006A6AF9"/>
    <w:rsid w:val="006A7918"/>
    <w:rsid w:val="006B06F4"/>
    <w:rsid w:val="006B1831"/>
    <w:rsid w:val="006B312B"/>
    <w:rsid w:val="006B345C"/>
    <w:rsid w:val="006B3992"/>
    <w:rsid w:val="006B438F"/>
    <w:rsid w:val="006B5526"/>
    <w:rsid w:val="006B7124"/>
    <w:rsid w:val="006C00BB"/>
    <w:rsid w:val="006C03A2"/>
    <w:rsid w:val="006C1175"/>
    <w:rsid w:val="006C27E6"/>
    <w:rsid w:val="006C2A38"/>
    <w:rsid w:val="006C7637"/>
    <w:rsid w:val="006C7828"/>
    <w:rsid w:val="006D06C3"/>
    <w:rsid w:val="006D22B2"/>
    <w:rsid w:val="006D22BB"/>
    <w:rsid w:val="006D512A"/>
    <w:rsid w:val="006D55CE"/>
    <w:rsid w:val="006D61DF"/>
    <w:rsid w:val="006D704A"/>
    <w:rsid w:val="006D7619"/>
    <w:rsid w:val="006D76E2"/>
    <w:rsid w:val="006E0815"/>
    <w:rsid w:val="006E1ED6"/>
    <w:rsid w:val="006E300D"/>
    <w:rsid w:val="006E481D"/>
    <w:rsid w:val="006E51B1"/>
    <w:rsid w:val="006E5262"/>
    <w:rsid w:val="006E79FE"/>
    <w:rsid w:val="006E7DA6"/>
    <w:rsid w:val="006F0406"/>
    <w:rsid w:val="006F0FA3"/>
    <w:rsid w:val="006F11E9"/>
    <w:rsid w:val="006F236F"/>
    <w:rsid w:val="006F4EB0"/>
    <w:rsid w:val="006F5DDE"/>
    <w:rsid w:val="006F78F9"/>
    <w:rsid w:val="007002C4"/>
    <w:rsid w:val="00700DCE"/>
    <w:rsid w:val="007017D1"/>
    <w:rsid w:val="00702864"/>
    <w:rsid w:val="0070328F"/>
    <w:rsid w:val="0071157F"/>
    <w:rsid w:val="00714047"/>
    <w:rsid w:val="00721109"/>
    <w:rsid w:val="00722936"/>
    <w:rsid w:val="00724702"/>
    <w:rsid w:val="00730E60"/>
    <w:rsid w:val="00731F49"/>
    <w:rsid w:val="00732102"/>
    <w:rsid w:val="00733951"/>
    <w:rsid w:val="00735DE9"/>
    <w:rsid w:val="007378FD"/>
    <w:rsid w:val="00737B7D"/>
    <w:rsid w:val="0074141E"/>
    <w:rsid w:val="00741B21"/>
    <w:rsid w:val="00742C27"/>
    <w:rsid w:val="0074505A"/>
    <w:rsid w:val="007458A7"/>
    <w:rsid w:val="007458B0"/>
    <w:rsid w:val="0075351B"/>
    <w:rsid w:val="007572A0"/>
    <w:rsid w:val="00757728"/>
    <w:rsid w:val="0076376C"/>
    <w:rsid w:val="00765016"/>
    <w:rsid w:val="007701B3"/>
    <w:rsid w:val="007714DD"/>
    <w:rsid w:val="00777BE4"/>
    <w:rsid w:val="00781B06"/>
    <w:rsid w:val="007825A2"/>
    <w:rsid w:val="00782F86"/>
    <w:rsid w:val="0078359F"/>
    <w:rsid w:val="00787005"/>
    <w:rsid w:val="00792941"/>
    <w:rsid w:val="00794336"/>
    <w:rsid w:val="0079676F"/>
    <w:rsid w:val="007A0A18"/>
    <w:rsid w:val="007A10A0"/>
    <w:rsid w:val="007A333F"/>
    <w:rsid w:val="007B31D5"/>
    <w:rsid w:val="007B373B"/>
    <w:rsid w:val="007C0A30"/>
    <w:rsid w:val="007C47A7"/>
    <w:rsid w:val="007C4E4E"/>
    <w:rsid w:val="007C617C"/>
    <w:rsid w:val="007D106B"/>
    <w:rsid w:val="007D19CA"/>
    <w:rsid w:val="007D1B2D"/>
    <w:rsid w:val="007D3839"/>
    <w:rsid w:val="007E1359"/>
    <w:rsid w:val="007E1420"/>
    <w:rsid w:val="007E20DE"/>
    <w:rsid w:val="007E2725"/>
    <w:rsid w:val="007E3FD7"/>
    <w:rsid w:val="007E4099"/>
    <w:rsid w:val="007E4140"/>
    <w:rsid w:val="007E419C"/>
    <w:rsid w:val="007E43BD"/>
    <w:rsid w:val="007E4A7D"/>
    <w:rsid w:val="007E51F6"/>
    <w:rsid w:val="007E6770"/>
    <w:rsid w:val="007E6F0B"/>
    <w:rsid w:val="007F199C"/>
    <w:rsid w:val="007F266B"/>
    <w:rsid w:val="007F403C"/>
    <w:rsid w:val="007F4A4C"/>
    <w:rsid w:val="007F5AE5"/>
    <w:rsid w:val="00805334"/>
    <w:rsid w:val="0080549A"/>
    <w:rsid w:val="008066EA"/>
    <w:rsid w:val="008109F8"/>
    <w:rsid w:val="008139DD"/>
    <w:rsid w:val="00816647"/>
    <w:rsid w:val="00820807"/>
    <w:rsid w:val="00820C91"/>
    <w:rsid w:val="008225B5"/>
    <w:rsid w:val="00824E77"/>
    <w:rsid w:val="00827AF1"/>
    <w:rsid w:val="00830485"/>
    <w:rsid w:val="00830C4B"/>
    <w:rsid w:val="008315E5"/>
    <w:rsid w:val="0083213F"/>
    <w:rsid w:val="00833AB6"/>
    <w:rsid w:val="0084040C"/>
    <w:rsid w:val="00843CFD"/>
    <w:rsid w:val="008444D0"/>
    <w:rsid w:val="00845D78"/>
    <w:rsid w:val="0084664C"/>
    <w:rsid w:val="00846A2E"/>
    <w:rsid w:val="00846A8B"/>
    <w:rsid w:val="0084766B"/>
    <w:rsid w:val="00850202"/>
    <w:rsid w:val="008516D2"/>
    <w:rsid w:val="00853607"/>
    <w:rsid w:val="00853A53"/>
    <w:rsid w:val="00855FF6"/>
    <w:rsid w:val="008604F9"/>
    <w:rsid w:val="0086162C"/>
    <w:rsid w:val="0086348E"/>
    <w:rsid w:val="00865AE2"/>
    <w:rsid w:val="00867D52"/>
    <w:rsid w:val="00870BA8"/>
    <w:rsid w:val="00871B7F"/>
    <w:rsid w:val="00872C5B"/>
    <w:rsid w:val="00872EFC"/>
    <w:rsid w:val="00875B9B"/>
    <w:rsid w:val="0087725B"/>
    <w:rsid w:val="00882443"/>
    <w:rsid w:val="008826BC"/>
    <w:rsid w:val="00883EF5"/>
    <w:rsid w:val="008847A9"/>
    <w:rsid w:val="008879FC"/>
    <w:rsid w:val="008939C6"/>
    <w:rsid w:val="00896331"/>
    <w:rsid w:val="008971A0"/>
    <w:rsid w:val="0089744D"/>
    <w:rsid w:val="008A66A8"/>
    <w:rsid w:val="008A70FB"/>
    <w:rsid w:val="008B03BF"/>
    <w:rsid w:val="008B0F33"/>
    <w:rsid w:val="008B1009"/>
    <w:rsid w:val="008B2C6B"/>
    <w:rsid w:val="008B4E41"/>
    <w:rsid w:val="008B6E4F"/>
    <w:rsid w:val="008B77D9"/>
    <w:rsid w:val="008C19DE"/>
    <w:rsid w:val="008C3989"/>
    <w:rsid w:val="008C4A57"/>
    <w:rsid w:val="008C56B3"/>
    <w:rsid w:val="008C5D7B"/>
    <w:rsid w:val="008C6B3E"/>
    <w:rsid w:val="008C78F2"/>
    <w:rsid w:val="008D0E5E"/>
    <w:rsid w:val="008D1CAC"/>
    <w:rsid w:val="008D32AC"/>
    <w:rsid w:val="008D3D91"/>
    <w:rsid w:val="008D4AD1"/>
    <w:rsid w:val="008D75B1"/>
    <w:rsid w:val="008E122F"/>
    <w:rsid w:val="008E5094"/>
    <w:rsid w:val="008E664C"/>
    <w:rsid w:val="008E6DD0"/>
    <w:rsid w:val="008E7FFC"/>
    <w:rsid w:val="008F1CF3"/>
    <w:rsid w:val="008F260A"/>
    <w:rsid w:val="008F3B15"/>
    <w:rsid w:val="008F62AF"/>
    <w:rsid w:val="009007F3"/>
    <w:rsid w:val="00903ECC"/>
    <w:rsid w:val="00903F84"/>
    <w:rsid w:val="00905114"/>
    <w:rsid w:val="00905544"/>
    <w:rsid w:val="00906946"/>
    <w:rsid w:val="00907071"/>
    <w:rsid w:val="00910125"/>
    <w:rsid w:val="009144EE"/>
    <w:rsid w:val="00915146"/>
    <w:rsid w:val="0091690A"/>
    <w:rsid w:val="00920245"/>
    <w:rsid w:val="00920542"/>
    <w:rsid w:val="00923054"/>
    <w:rsid w:val="00923D6C"/>
    <w:rsid w:val="00925749"/>
    <w:rsid w:val="00926A11"/>
    <w:rsid w:val="00926BA2"/>
    <w:rsid w:val="00930965"/>
    <w:rsid w:val="00930B8A"/>
    <w:rsid w:val="00932B70"/>
    <w:rsid w:val="00933F5F"/>
    <w:rsid w:val="00934632"/>
    <w:rsid w:val="00935C94"/>
    <w:rsid w:val="00936450"/>
    <w:rsid w:val="00942E32"/>
    <w:rsid w:val="00943B4E"/>
    <w:rsid w:val="0094422E"/>
    <w:rsid w:val="009466BE"/>
    <w:rsid w:val="00947230"/>
    <w:rsid w:val="00947B0C"/>
    <w:rsid w:val="00952499"/>
    <w:rsid w:val="00954446"/>
    <w:rsid w:val="00955230"/>
    <w:rsid w:val="009554EF"/>
    <w:rsid w:val="009559CD"/>
    <w:rsid w:val="00957AF0"/>
    <w:rsid w:val="00961DA1"/>
    <w:rsid w:val="0096343C"/>
    <w:rsid w:val="00965421"/>
    <w:rsid w:val="0097144F"/>
    <w:rsid w:val="00971590"/>
    <w:rsid w:val="00973508"/>
    <w:rsid w:val="00977556"/>
    <w:rsid w:val="00981ACA"/>
    <w:rsid w:val="00986861"/>
    <w:rsid w:val="0099020E"/>
    <w:rsid w:val="00990D5F"/>
    <w:rsid w:val="00992943"/>
    <w:rsid w:val="009938CB"/>
    <w:rsid w:val="00996A21"/>
    <w:rsid w:val="00997702"/>
    <w:rsid w:val="009A0AA0"/>
    <w:rsid w:val="009A1C16"/>
    <w:rsid w:val="009A3586"/>
    <w:rsid w:val="009A3C98"/>
    <w:rsid w:val="009A4BBE"/>
    <w:rsid w:val="009A653D"/>
    <w:rsid w:val="009A6EB5"/>
    <w:rsid w:val="009B21DB"/>
    <w:rsid w:val="009B230E"/>
    <w:rsid w:val="009B23C6"/>
    <w:rsid w:val="009B3D8F"/>
    <w:rsid w:val="009B73EC"/>
    <w:rsid w:val="009B7ECE"/>
    <w:rsid w:val="009C0B94"/>
    <w:rsid w:val="009C1306"/>
    <w:rsid w:val="009C1D3B"/>
    <w:rsid w:val="009C29DE"/>
    <w:rsid w:val="009C342E"/>
    <w:rsid w:val="009C58F2"/>
    <w:rsid w:val="009C64D7"/>
    <w:rsid w:val="009C7730"/>
    <w:rsid w:val="009D4015"/>
    <w:rsid w:val="009D6E77"/>
    <w:rsid w:val="009E059D"/>
    <w:rsid w:val="009E4318"/>
    <w:rsid w:val="009E44E3"/>
    <w:rsid w:val="009E4780"/>
    <w:rsid w:val="009E47A2"/>
    <w:rsid w:val="009E5B1C"/>
    <w:rsid w:val="009F0433"/>
    <w:rsid w:val="009F6A89"/>
    <w:rsid w:val="00A03C99"/>
    <w:rsid w:val="00A06EF7"/>
    <w:rsid w:val="00A200CB"/>
    <w:rsid w:val="00A2282F"/>
    <w:rsid w:val="00A22D74"/>
    <w:rsid w:val="00A2441A"/>
    <w:rsid w:val="00A24988"/>
    <w:rsid w:val="00A258C6"/>
    <w:rsid w:val="00A266A4"/>
    <w:rsid w:val="00A27DDA"/>
    <w:rsid w:val="00A318D7"/>
    <w:rsid w:val="00A325B9"/>
    <w:rsid w:val="00A3286A"/>
    <w:rsid w:val="00A37AAF"/>
    <w:rsid w:val="00A43DAF"/>
    <w:rsid w:val="00A440AB"/>
    <w:rsid w:val="00A51F93"/>
    <w:rsid w:val="00A5223F"/>
    <w:rsid w:val="00A54A27"/>
    <w:rsid w:val="00A55328"/>
    <w:rsid w:val="00A57590"/>
    <w:rsid w:val="00A60509"/>
    <w:rsid w:val="00A66853"/>
    <w:rsid w:val="00A67039"/>
    <w:rsid w:val="00A67CAE"/>
    <w:rsid w:val="00A702B4"/>
    <w:rsid w:val="00A70385"/>
    <w:rsid w:val="00A72FBF"/>
    <w:rsid w:val="00A72FD0"/>
    <w:rsid w:val="00A765D7"/>
    <w:rsid w:val="00A77E50"/>
    <w:rsid w:val="00A8300C"/>
    <w:rsid w:val="00A851E7"/>
    <w:rsid w:val="00A857A8"/>
    <w:rsid w:val="00A85BD5"/>
    <w:rsid w:val="00A93552"/>
    <w:rsid w:val="00A93674"/>
    <w:rsid w:val="00A94EA0"/>
    <w:rsid w:val="00A9726D"/>
    <w:rsid w:val="00A9782A"/>
    <w:rsid w:val="00AA0911"/>
    <w:rsid w:val="00AA1ECB"/>
    <w:rsid w:val="00AA3328"/>
    <w:rsid w:val="00AA60DF"/>
    <w:rsid w:val="00AA67DA"/>
    <w:rsid w:val="00AB08AE"/>
    <w:rsid w:val="00AB1AC5"/>
    <w:rsid w:val="00AB3D38"/>
    <w:rsid w:val="00AB4B2D"/>
    <w:rsid w:val="00AB4C9B"/>
    <w:rsid w:val="00AB7BE1"/>
    <w:rsid w:val="00AB7D91"/>
    <w:rsid w:val="00AC0A98"/>
    <w:rsid w:val="00AC2E45"/>
    <w:rsid w:val="00AC40B2"/>
    <w:rsid w:val="00AC517A"/>
    <w:rsid w:val="00AC5376"/>
    <w:rsid w:val="00AC6079"/>
    <w:rsid w:val="00AC79B8"/>
    <w:rsid w:val="00AD2697"/>
    <w:rsid w:val="00AD26C1"/>
    <w:rsid w:val="00AD33D4"/>
    <w:rsid w:val="00AD4AAF"/>
    <w:rsid w:val="00AD4FC8"/>
    <w:rsid w:val="00AD58FB"/>
    <w:rsid w:val="00AE038E"/>
    <w:rsid w:val="00AE2F60"/>
    <w:rsid w:val="00AE3E15"/>
    <w:rsid w:val="00AE40B2"/>
    <w:rsid w:val="00AE4279"/>
    <w:rsid w:val="00AE4B01"/>
    <w:rsid w:val="00AE5612"/>
    <w:rsid w:val="00AE6A21"/>
    <w:rsid w:val="00AF414E"/>
    <w:rsid w:val="00AF5F35"/>
    <w:rsid w:val="00B01AEB"/>
    <w:rsid w:val="00B02643"/>
    <w:rsid w:val="00B03D0D"/>
    <w:rsid w:val="00B06F08"/>
    <w:rsid w:val="00B07F7B"/>
    <w:rsid w:val="00B10F06"/>
    <w:rsid w:val="00B11B41"/>
    <w:rsid w:val="00B12F5D"/>
    <w:rsid w:val="00B131BD"/>
    <w:rsid w:val="00B13D3A"/>
    <w:rsid w:val="00B14A21"/>
    <w:rsid w:val="00B1568D"/>
    <w:rsid w:val="00B1605D"/>
    <w:rsid w:val="00B16F5B"/>
    <w:rsid w:val="00B17FFE"/>
    <w:rsid w:val="00B20A2A"/>
    <w:rsid w:val="00B2261F"/>
    <w:rsid w:val="00B23DD2"/>
    <w:rsid w:val="00B26689"/>
    <w:rsid w:val="00B26C96"/>
    <w:rsid w:val="00B26FCB"/>
    <w:rsid w:val="00B27DFC"/>
    <w:rsid w:val="00B323B5"/>
    <w:rsid w:val="00B3257D"/>
    <w:rsid w:val="00B33963"/>
    <w:rsid w:val="00B3683B"/>
    <w:rsid w:val="00B41674"/>
    <w:rsid w:val="00B42F8C"/>
    <w:rsid w:val="00B46992"/>
    <w:rsid w:val="00B50038"/>
    <w:rsid w:val="00B5153A"/>
    <w:rsid w:val="00B5289C"/>
    <w:rsid w:val="00B54446"/>
    <w:rsid w:val="00B57AC9"/>
    <w:rsid w:val="00B60E24"/>
    <w:rsid w:val="00B6104F"/>
    <w:rsid w:val="00B616EE"/>
    <w:rsid w:val="00B625CB"/>
    <w:rsid w:val="00B62A45"/>
    <w:rsid w:val="00B64BC8"/>
    <w:rsid w:val="00B6500F"/>
    <w:rsid w:val="00B656AA"/>
    <w:rsid w:val="00B65EB2"/>
    <w:rsid w:val="00B67012"/>
    <w:rsid w:val="00B67D09"/>
    <w:rsid w:val="00B70118"/>
    <w:rsid w:val="00B723E5"/>
    <w:rsid w:val="00B72A89"/>
    <w:rsid w:val="00B77642"/>
    <w:rsid w:val="00B822FC"/>
    <w:rsid w:val="00B83000"/>
    <w:rsid w:val="00B84995"/>
    <w:rsid w:val="00B864FB"/>
    <w:rsid w:val="00B933B8"/>
    <w:rsid w:val="00B94849"/>
    <w:rsid w:val="00B949CC"/>
    <w:rsid w:val="00B95478"/>
    <w:rsid w:val="00B95F8F"/>
    <w:rsid w:val="00BA08CD"/>
    <w:rsid w:val="00BA66C8"/>
    <w:rsid w:val="00BB052E"/>
    <w:rsid w:val="00BB1473"/>
    <w:rsid w:val="00BB1B90"/>
    <w:rsid w:val="00BB3479"/>
    <w:rsid w:val="00BB48CD"/>
    <w:rsid w:val="00BB50CA"/>
    <w:rsid w:val="00BB7B4D"/>
    <w:rsid w:val="00BC2D69"/>
    <w:rsid w:val="00BC704C"/>
    <w:rsid w:val="00BD1481"/>
    <w:rsid w:val="00BD23BA"/>
    <w:rsid w:val="00BD2CFC"/>
    <w:rsid w:val="00BD59A7"/>
    <w:rsid w:val="00BD6244"/>
    <w:rsid w:val="00BE367C"/>
    <w:rsid w:val="00BE4165"/>
    <w:rsid w:val="00BE45A2"/>
    <w:rsid w:val="00BE5374"/>
    <w:rsid w:val="00BE5904"/>
    <w:rsid w:val="00BE7F03"/>
    <w:rsid w:val="00BF203B"/>
    <w:rsid w:val="00BF3432"/>
    <w:rsid w:val="00BF4605"/>
    <w:rsid w:val="00BF470F"/>
    <w:rsid w:val="00BF4782"/>
    <w:rsid w:val="00BF53D3"/>
    <w:rsid w:val="00C00A2E"/>
    <w:rsid w:val="00C0361C"/>
    <w:rsid w:val="00C03844"/>
    <w:rsid w:val="00C07AAB"/>
    <w:rsid w:val="00C14AC8"/>
    <w:rsid w:val="00C155A8"/>
    <w:rsid w:val="00C21C61"/>
    <w:rsid w:val="00C22422"/>
    <w:rsid w:val="00C23159"/>
    <w:rsid w:val="00C24E01"/>
    <w:rsid w:val="00C30C32"/>
    <w:rsid w:val="00C31609"/>
    <w:rsid w:val="00C32124"/>
    <w:rsid w:val="00C322E9"/>
    <w:rsid w:val="00C33487"/>
    <w:rsid w:val="00C3483B"/>
    <w:rsid w:val="00C3555B"/>
    <w:rsid w:val="00C36CEF"/>
    <w:rsid w:val="00C37608"/>
    <w:rsid w:val="00C4129B"/>
    <w:rsid w:val="00C42181"/>
    <w:rsid w:val="00C44270"/>
    <w:rsid w:val="00C4569E"/>
    <w:rsid w:val="00C507D7"/>
    <w:rsid w:val="00C51BF9"/>
    <w:rsid w:val="00C550E3"/>
    <w:rsid w:val="00C625F5"/>
    <w:rsid w:val="00C62F24"/>
    <w:rsid w:val="00C63D3A"/>
    <w:rsid w:val="00C640EA"/>
    <w:rsid w:val="00C65C71"/>
    <w:rsid w:val="00C65D2B"/>
    <w:rsid w:val="00C67387"/>
    <w:rsid w:val="00C73BD3"/>
    <w:rsid w:val="00C777D7"/>
    <w:rsid w:val="00C80297"/>
    <w:rsid w:val="00C82AD9"/>
    <w:rsid w:val="00C83C4D"/>
    <w:rsid w:val="00C850BA"/>
    <w:rsid w:val="00C87B99"/>
    <w:rsid w:val="00C92024"/>
    <w:rsid w:val="00C93888"/>
    <w:rsid w:val="00C940BB"/>
    <w:rsid w:val="00C9578F"/>
    <w:rsid w:val="00C96FBB"/>
    <w:rsid w:val="00CA2A77"/>
    <w:rsid w:val="00CA2B10"/>
    <w:rsid w:val="00CA5518"/>
    <w:rsid w:val="00CA6574"/>
    <w:rsid w:val="00CB3891"/>
    <w:rsid w:val="00CB5321"/>
    <w:rsid w:val="00CB5564"/>
    <w:rsid w:val="00CB5EBD"/>
    <w:rsid w:val="00CC1FDE"/>
    <w:rsid w:val="00CC3100"/>
    <w:rsid w:val="00CC3C25"/>
    <w:rsid w:val="00CC3CE2"/>
    <w:rsid w:val="00CD086F"/>
    <w:rsid w:val="00CD1470"/>
    <w:rsid w:val="00CD3502"/>
    <w:rsid w:val="00CD4457"/>
    <w:rsid w:val="00CD57AB"/>
    <w:rsid w:val="00CD6526"/>
    <w:rsid w:val="00CD6DDA"/>
    <w:rsid w:val="00CE0C0B"/>
    <w:rsid w:val="00CE0C21"/>
    <w:rsid w:val="00CE3763"/>
    <w:rsid w:val="00CE7B0B"/>
    <w:rsid w:val="00CE7DEE"/>
    <w:rsid w:val="00CF0F8B"/>
    <w:rsid w:val="00CF2288"/>
    <w:rsid w:val="00CF23C5"/>
    <w:rsid w:val="00CF4991"/>
    <w:rsid w:val="00D00FED"/>
    <w:rsid w:val="00D01A96"/>
    <w:rsid w:val="00D01D83"/>
    <w:rsid w:val="00D01E83"/>
    <w:rsid w:val="00D04885"/>
    <w:rsid w:val="00D05162"/>
    <w:rsid w:val="00D056CF"/>
    <w:rsid w:val="00D05FC0"/>
    <w:rsid w:val="00D107BE"/>
    <w:rsid w:val="00D121C4"/>
    <w:rsid w:val="00D13C3F"/>
    <w:rsid w:val="00D147ED"/>
    <w:rsid w:val="00D14B50"/>
    <w:rsid w:val="00D157DF"/>
    <w:rsid w:val="00D23DD6"/>
    <w:rsid w:val="00D24DF7"/>
    <w:rsid w:val="00D269B7"/>
    <w:rsid w:val="00D26F5E"/>
    <w:rsid w:val="00D27810"/>
    <w:rsid w:val="00D3007A"/>
    <w:rsid w:val="00D324DA"/>
    <w:rsid w:val="00D33447"/>
    <w:rsid w:val="00D336CC"/>
    <w:rsid w:val="00D35D59"/>
    <w:rsid w:val="00D37C82"/>
    <w:rsid w:val="00D4066A"/>
    <w:rsid w:val="00D46F2D"/>
    <w:rsid w:val="00D47531"/>
    <w:rsid w:val="00D47B4F"/>
    <w:rsid w:val="00D47D43"/>
    <w:rsid w:val="00D54377"/>
    <w:rsid w:val="00D54D91"/>
    <w:rsid w:val="00D552D9"/>
    <w:rsid w:val="00D552E2"/>
    <w:rsid w:val="00D5535A"/>
    <w:rsid w:val="00D57271"/>
    <w:rsid w:val="00D57743"/>
    <w:rsid w:val="00D66D4B"/>
    <w:rsid w:val="00D71476"/>
    <w:rsid w:val="00D72EFB"/>
    <w:rsid w:val="00D7392B"/>
    <w:rsid w:val="00D73E01"/>
    <w:rsid w:val="00D742B4"/>
    <w:rsid w:val="00D7474A"/>
    <w:rsid w:val="00D76E09"/>
    <w:rsid w:val="00D80ADF"/>
    <w:rsid w:val="00D80E66"/>
    <w:rsid w:val="00D80F38"/>
    <w:rsid w:val="00D824CD"/>
    <w:rsid w:val="00D8452B"/>
    <w:rsid w:val="00D85418"/>
    <w:rsid w:val="00D87A0B"/>
    <w:rsid w:val="00D91994"/>
    <w:rsid w:val="00D9364A"/>
    <w:rsid w:val="00D936C5"/>
    <w:rsid w:val="00D95344"/>
    <w:rsid w:val="00DA1DCE"/>
    <w:rsid w:val="00DA2178"/>
    <w:rsid w:val="00DA230A"/>
    <w:rsid w:val="00DA506C"/>
    <w:rsid w:val="00DA7254"/>
    <w:rsid w:val="00DB08EC"/>
    <w:rsid w:val="00DB0BAC"/>
    <w:rsid w:val="00DB1272"/>
    <w:rsid w:val="00DB1B2F"/>
    <w:rsid w:val="00DB3995"/>
    <w:rsid w:val="00DB7EBC"/>
    <w:rsid w:val="00DC054D"/>
    <w:rsid w:val="00DC0558"/>
    <w:rsid w:val="00DC0C67"/>
    <w:rsid w:val="00DC312D"/>
    <w:rsid w:val="00DC4BC6"/>
    <w:rsid w:val="00DC7BE6"/>
    <w:rsid w:val="00DD14BA"/>
    <w:rsid w:val="00DD3337"/>
    <w:rsid w:val="00DD3E66"/>
    <w:rsid w:val="00DD3E85"/>
    <w:rsid w:val="00DD63B2"/>
    <w:rsid w:val="00DE1247"/>
    <w:rsid w:val="00DE33F3"/>
    <w:rsid w:val="00DE46D2"/>
    <w:rsid w:val="00DE4964"/>
    <w:rsid w:val="00DE566A"/>
    <w:rsid w:val="00DE56EE"/>
    <w:rsid w:val="00DF14EF"/>
    <w:rsid w:val="00DF1BB1"/>
    <w:rsid w:val="00DF2E77"/>
    <w:rsid w:val="00DF3AF6"/>
    <w:rsid w:val="00DF4B25"/>
    <w:rsid w:val="00E11420"/>
    <w:rsid w:val="00E12069"/>
    <w:rsid w:val="00E147EA"/>
    <w:rsid w:val="00E14867"/>
    <w:rsid w:val="00E1500D"/>
    <w:rsid w:val="00E154A3"/>
    <w:rsid w:val="00E16E29"/>
    <w:rsid w:val="00E173B3"/>
    <w:rsid w:val="00E202E0"/>
    <w:rsid w:val="00E20BDE"/>
    <w:rsid w:val="00E24EEE"/>
    <w:rsid w:val="00E260EC"/>
    <w:rsid w:val="00E26F0F"/>
    <w:rsid w:val="00E30795"/>
    <w:rsid w:val="00E31CD3"/>
    <w:rsid w:val="00E33375"/>
    <w:rsid w:val="00E33942"/>
    <w:rsid w:val="00E352C0"/>
    <w:rsid w:val="00E35F9B"/>
    <w:rsid w:val="00E373D2"/>
    <w:rsid w:val="00E40AE4"/>
    <w:rsid w:val="00E47537"/>
    <w:rsid w:val="00E5064E"/>
    <w:rsid w:val="00E52E25"/>
    <w:rsid w:val="00E53045"/>
    <w:rsid w:val="00E53A00"/>
    <w:rsid w:val="00E543C6"/>
    <w:rsid w:val="00E5467D"/>
    <w:rsid w:val="00E563A5"/>
    <w:rsid w:val="00E61AD1"/>
    <w:rsid w:val="00E61F42"/>
    <w:rsid w:val="00E719CD"/>
    <w:rsid w:val="00E720FD"/>
    <w:rsid w:val="00E7306E"/>
    <w:rsid w:val="00E80945"/>
    <w:rsid w:val="00E8207C"/>
    <w:rsid w:val="00E82267"/>
    <w:rsid w:val="00E906EF"/>
    <w:rsid w:val="00E91BBB"/>
    <w:rsid w:val="00E91BEB"/>
    <w:rsid w:val="00E92747"/>
    <w:rsid w:val="00E93243"/>
    <w:rsid w:val="00E9329F"/>
    <w:rsid w:val="00E94488"/>
    <w:rsid w:val="00E94A48"/>
    <w:rsid w:val="00E95101"/>
    <w:rsid w:val="00E9657F"/>
    <w:rsid w:val="00EA1F49"/>
    <w:rsid w:val="00EA2431"/>
    <w:rsid w:val="00EA4183"/>
    <w:rsid w:val="00EA700D"/>
    <w:rsid w:val="00EA7FAF"/>
    <w:rsid w:val="00EB0F40"/>
    <w:rsid w:val="00EB197F"/>
    <w:rsid w:val="00EB1A99"/>
    <w:rsid w:val="00EB1FE8"/>
    <w:rsid w:val="00EB3D80"/>
    <w:rsid w:val="00EB3F25"/>
    <w:rsid w:val="00EB52E6"/>
    <w:rsid w:val="00EB579D"/>
    <w:rsid w:val="00EC0AF5"/>
    <w:rsid w:val="00EC1178"/>
    <w:rsid w:val="00EC3A15"/>
    <w:rsid w:val="00EC63D3"/>
    <w:rsid w:val="00EC6C11"/>
    <w:rsid w:val="00EC6D7B"/>
    <w:rsid w:val="00ED02D6"/>
    <w:rsid w:val="00ED5188"/>
    <w:rsid w:val="00ED6486"/>
    <w:rsid w:val="00ED6943"/>
    <w:rsid w:val="00ED7342"/>
    <w:rsid w:val="00ED7B77"/>
    <w:rsid w:val="00EE08B0"/>
    <w:rsid w:val="00EE0BD2"/>
    <w:rsid w:val="00EE1B88"/>
    <w:rsid w:val="00EE3161"/>
    <w:rsid w:val="00EE45FC"/>
    <w:rsid w:val="00EE5ECC"/>
    <w:rsid w:val="00EF05F3"/>
    <w:rsid w:val="00EF1E86"/>
    <w:rsid w:val="00EF4165"/>
    <w:rsid w:val="00EF498D"/>
    <w:rsid w:val="00EF6DD0"/>
    <w:rsid w:val="00EF768C"/>
    <w:rsid w:val="00F00913"/>
    <w:rsid w:val="00F00E7F"/>
    <w:rsid w:val="00F06C1F"/>
    <w:rsid w:val="00F07767"/>
    <w:rsid w:val="00F07DA4"/>
    <w:rsid w:val="00F11519"/>
    <w:rsid w:val="00F17201"/>
    <w:rsid w:val="00F173C6"/>
    <w:rsid w:val="00F17860"/>
    <w:rsid w:val="00F1786A"/>
    <w:rsid w:val="00F17FB3"/>
    <w:rsid w:val="00F20947"/>
    <w:rsid w:val="00F23FCB"/>
    <w:rsid w:val="00F255D3"/>
    <w:rsid w:val="00F2775E"/>
    <w:rsid w:val="00F3031A"/>
    <w:rsid w:val="00F303E6"/>
    <w:rsid w:val="00F3295A"/>
    <w:rsid w:val="00F33243"/>
    <w:rsid w:val="00F350CD"/>
    <w:rsid w:val="00F36631"/>
    <w:rsid w:val="00F36B58"/>
    <w:rsid w:val="00F371CC"/>
    <w:rsid w:val="00F40B5E"/>
    <w:rsid w:val="00F41A45"/>
    <w:rsid w:val="00F424E9"/>
    <w:rsid w:val="00F45051"/>
    <w:rsid w:val="00F461C4"/>
    <w:rsid w:val="00F4754E"/>
    <w:rsid w:val="00F54854"/>
    <w:rsid w:val="00F54A7D"/>
    <w:rsid w:val="00F558CD"/>
    <w:rsid w:val="00F56894"/>
    <w:rsid w:val="00F579A5"/>
    <w:rsid w:val="00F61E98"/>
    <w:rsid w:val="00F63880"/>
    <w:rsid w:val="00F66867"/>
    <w:rsid w:val="00F66EFC"/>
    <w:rsid w:val="00F70E6C"/>
    <w:rsid w:val="00F713DA"/>
    <w:rsid w:val="00F7468D"/>
    <w:rsid w:val="00F76495"/>
    <w:rsid w:val="00F77354"/>
    <w:rsid w:val="00F81E5F"/>
    <w:rsid w:val="00F82375"/>
    <w:rsid w:val="00F876C4"/>
    <w:rsid w:val="00F909AE"/>
    <w:rsid w:val="00F91162"/>
    <w:rsid w:val="00F92B03"/>
    <w:rsid w:val="00F92B09"/>
    <w:rsid w:val="00F92F0B"/>
    <w:rsid w:val="00F93564"/>
    <w:rsid w:val="00F93AB8"/>
    <w:rsid w:val="00F9400D"/>
    <w:rsid w:val="00F95C8D"/>
    <w:rsid w:val="00F96B41"/>
    <w:rsid w:val="00F97A60"/>
    <w:rsid w:val="00FA1208"/>
    <w:rsid w:val="00FA2C11"/>
    <w:rsid w:val="00FA41CC"/>
    <w:rsid w:val="00FA4DE2"/>
    <w:rsid w:val="00FA504E"/>
    <w:rsid w:val="00FA5EAD"/>
    <w:rsid w:val="00FB02C1"/>
    <w:rsid w:val="00FB4603"/>
    <w:rsid w:val="00FB741B"/>
    <w:rsid w:val="00FC119C"/>
    <w:rsid w:val="00FC3CEA"/>
    <w:rsid w:val="00FC48D4"/>
    <w:rsid w:val="00FD0183"/>
    <w:rsid w:val="00FD1D89"/>
    <w:rsid w:val="00FD25B2"/>
    <w:rsid w:val="00FE0CC7"/>
    <w:rsid w:val="00FE1E01"/>
    <w:rsid w:val="00FE29F4"/>
    <w:rsid w:val="00FE3378"/>
    <w:rsid w:val="00FE7554"/>
    <w:rsid w:val="00FE76E4"/>
    <w:rsid w:val="00FF2984"/>
    <w:rsid w:val="00FF2EE2"/>
    <w:rsid w:val="00FF315A"/>
    <w:rsid w:val="00FF31CD"/>
    <w:rsid w:val="00FF3596"/>
    <w:rsid w:val="00FF6054"/>
    <w:rsid w:val="00FF6875"/>
    <w:rsid w:val="00FF6D43"/>
    <w:rsid w:val="072ABA8D"/>
    <w:rsid w:val="088C7E03"/>
    <w:rsid w:val="097C59D1"/>
    <w:rsid w:val="0E49E9A3"/>
    <w:rsid w:val="0F8338DD"/>
    <w:rsid w:val="17E2FB36"/>
    <w:rsid w:val="1C04ED7E"/>
    <w:rsid w:val="1E6F97FE"/>
    <w:rsid w:val="1EA54752"/>
    <w:rsid w:val="249DE035"/>
    <w:rsid w:val="25221257"/>
    <w:rsid w:val="2CCF0750"/>
    <w:rsid w:val="31D6DE76"/>
    <w:rsid w:val="34D2F5F8"/>
    <w:rsid w:val="371EA4D9"/>
    <w:rsid w:val="3893AA4C"/>
    <w:rsid w:val="3AE8688E"/>
    <w:rsid w:val="3C3CDAB5"/>
    <w:rsid w:val="47FB0360"/>
    <w:rsid w:val="48FBCE63"/>
    <w:rsid w:val="4977661C"/>
    <w:rsid w:val="4C5BE89A"/>
    <w:rsid w:val="50927A50"/>
    <w:rsid w:val="52ACFADE"/>
    <w:rsid w:val="5AA2FB29"/>
    <w:rsid w:val="5CD35D76"/>
    <w:rsid w:val="5E1C233F"/>
    <w:rsid w:val="63747189"/>
    <w:rsid w:val="64AFCAC5"/>
    <w:rsid w:val="6C164A05"/>
    <w:rsid w:val="6D06A83E"/>
    <w:rsid w:val="6E34BE36"/>
    <w:rsid w:val="6E7C1305"/>
    <w:rsid w:val="6F791494"/>
    <w:rsid w:val="73E052C2"/>
    <w:rsid w:val="7424F410"/>
    <w:rsid w:val="7630F324"/>
    <w:rsid w:val="7906CE7D"/>
    <w:rsid w:val="79E976B3"/>
    <w:rsid w:val="7AAAAE8A"/>
    <w:rsid w:val="7DDA3FA0"/>
    <w:rsid w:val="7FEE9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D1D534"/>
  <w15:docId w15:val="{E3D9B4B2-1E95-4052-AB38-3EDB7DED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720"/>
      <w:outlineLvl w:val="0"/>
    </w:pPr>
    <w:rPr>
      <w:b/>
      <w:bCs/>
      <w:sz w:val="24"/>
      <w:szCs w:val="24"/>
    </w:rPr>
  </w:style>
  <w:style w:type="paragraph" w:styleId="Heading2">
    <w:name w:val="heading 2"/>
    <w:basedOn w:val="Normal"/>
    <w:uiPriority w:val="9"/>
    <w:unhideWhenUsed/>
    <w:qFormat/>
    <w:pPr>
      <w:ind w:left="720"/>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40" w:hanging="361"/>
    </w:pPr>
  </w:style>
  <w:style w:type="paragraph" w:customStyle="1" w:styleId="TableParagraph">
    <w:name w:val="Table Paragraph"/>
    <w:basedOn w:val="Normal"/>
    <w:uiPriority w:val="1"/>
    <w:qFormat/>
    <w:pPr>
      <w:spacing w:before="101"/>
      <w:ind w:left="100"/>
    </w:pPr>
  </w:style>
  <w:style w:type="paragraph" w:styleId="Header">
    <w:name w:val="header"/>
    <w:basedOn w:val="Normal"/>
    <w:link w:val="HeaderChar"/>
    <w:uiPriority w:val="99"/>
    <w:unhideWhenUsed/>
    <w:rsid w:val="003F788D"/>
    <w:pPr>
      <w:tabs>
        <w:tab w:val="center" w:pos="4680"/>
        <w:tab w:val="right" w:pos="9360"/>
      </w:tabs>
    </w:pPr>
  </w:style>
  <w:style w:type="character" w:customStyle="1" w:styleId="HeaderChar">
    <w:name w:val="Header Char"/>
    <w:basedOn w:val="DefaultParagraphFont"/>
    <w:link w:val="Header"/>
    <w:uiPriority w:val="99"/>
    <w:rsid w:val="003F788D"/>
    <w:rPr>
      <w:rFonts w:ascii="Times New Roman" w:eastAsia="Times New Roman" w:hAnsi="Times New Roman" w:cs="Times New Roman"/>
    </w:rPr>
  </w:style>
  <w:style w:type="paragraph" w:styleId="Footer">
    <w:name w:val="footer"/>
    <w:basedOn w:val="Normal"/>
    <w:link w:val="FooterChar"/>
    <w:uiPriority w:val="99"/>
    <w:unhideWhenUsed/>
    <w:rsid w:val="003F788D"/>
    <w:pPr>
      <w:tabs>
        <w:tab w:val="center" w:pos="4680"/>
        <w:tab w:val="right" w:pos="9360"/>
      </w:tabs>
    </w:pPr>
  </w:style>
  <w:style w:type="character" w:customStyle="1" w:styleId="FooterChar">
    <w:name w:val="Footer Char"/>
    <w:basedOn w:val="DefaultParagraphFont"/>
    <w:link w:val="Footer"/>
    <w:uiPriority w:val="99"/>
    <w:rsid w:val="003F788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D086F"/>
    <w:rPr>
      <w:sz w:val="16"/>
      <w:szCs w:val="16"/>
    </w:rPr>
  </w:style>
  <w:style w:type="paragraph" w:styleId="CommentText">
    <w:name w:val="annotation text"/>
    <w:basedOn w:val="Normal"/>
    <w:link w:val="CommentTextChar"/>
    <w:uiPriority w:val="99"/>
    <w:semiHidden/>
    <w:unhideWhenUsed/>
    <w:rsid w:val="00CD086F"/>
    <w:rPr>
      <w:sz w:val="20"/>
      <w:szCs w:val="20"/>
    </w:rPr>
  </w:style>
  <w:style w:type="character" w:customStyle="1" w:styleId="CommentTextChar">
    <w:name w:val="Comment Text Char"/>
    <w:basedOn w:val="DefaultParagraphFont"/>
    <w:link w:val="CommentText"/>
    <w:uiPriority w:val="99"/>
    <w:semiHidden/>
    <w:rsid w:val="00CD08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86F"/>
    <w:rPr>
      <w:b/>
      <w:bCs/>
    </w:rPr>
  </w:style>
  <w:style w:type="character" w:customStyle="1" w:styleId="CommentSubjectChar">
    <w:name w:val="Comment Subject Char"/>
    <w:basedOn w:val="CommentTextChar"/>
    <w:link w:val="CommentSubject"/>
    <w:uiPriority w:val="99"/>
    <w:semiHidden/>
    <w:rsid w:val="00CD08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4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25"/>
    <w:rPr>
      <w:rFonts w:ascii="Segoe UI" w:eastAsia="Times New Roman" w:hAnsi="Segoe UI" w:cs="Segoe UI"/>
      <w:sz w:val="18"/>
      <w:szCs w:val="18"/>
    </w:rPr>
  </w:style>
  <w:style w:type="character" w:styleId="Strong">
    <w:name w:val="Strong"/>
    <w:basedOn w:val="DefaultParagraphFont"/>
    <w:uiPriority w:val="22"/>
    <w:qFormat/>
    <w:rsid w:val="00B949CC"/>
    <w:rPr>
      <w:b/>
      <w:bCs/>
    </w:rPr>
  </w:style>
  <w:style w:type="character" w:styleId="Hyperlink">
    <w:name w:val="Hyperlink"/>
    <w:basedOn w:val="DefaultParagraphFont"/>
    <w:uiPriority w:val="99"/>
    <w:unhideWhenUsed/>
    <w:rsid w:val="00B949CC"/>
    <w:rPr>
      <w:color w:val="0000FF"/>
      <w:u w:val="single"/>
    </w:rPr>
  </w:style>
  <w:style w:type="paragraph" w:styleId="FootnoteText">
    <w:name w:val="footnote text"/>
    <w:basedOn w:val="Normal"/>
    <w:link w:val="FootnoteTextChar"/>
    <w:uiPriority w:val="99"/>
    <w:semiHidden/>
    <w:unhideWhenUsed/>
    <w:rsid w:val="00865AE2"/>
    <w:rPr>
      <w:sz w:val="20"/>
      <w:szCs w:val="20"/>
    </w:rPr>
  </w:style>
  <w:style w:type="character" w:customStyle="1" w:styleId="FootnoteTextChar">
    <w:name w:val="Footnote Text Char"/>
    <w:basedOn w:val="DefaultParagraphFont"/>
    <w:link w:val="FootnoteText"/>
    <w:uiPriority w:val="99"/>
    <w:semiHidden/>
    <w:rsid w:val="00865A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5AE2"/>
    <w:rPr>
      <w:vertAlign w:val="superscript"/>
    </w:rPr>
  </w:style>
  <w:style w:type="paragraph" w:styleId="NormalWeb">
    <w:name w:val="Normal (Web)"/>
    <w:basedOn w:val="Normal"/>
    <w:uiPriority w:val="99"/>
    <w:semiHidden/>
    <w:unhideWhenUsed/>
    <w:rsid w:val="006F78F9"/>
    <w:pPr>
      <w:widowControl/>
      <w:autoSpaceDE/>
      <w:autoSpaceDN/>
      <w:spacing w:before="100" w:beforeAutospacing="1" w:after="100" w:afterAutospacing="1"/>
    </w:pPr>
    <w:rPr>
      <w:rFonts w:eastAsiaTheme="minorEastAsia"/>
      <w:sz w:val="24"/>
      <w:szCs w:val="24"/>
      <w:lang w:val="en-GB"/>
    </w:rPr>
  </w:style>
  <w:style w:type="character" w:customStyle="1" w:styleId="UnresolvedMention1">
    <w:name w:val="Unresolved Mention1"/>
    <w:basedOn w:val="DefaultParagraphFont"/>
    <w:uiPriority w:val="99"/>
    <w:rsid w:val="00F255D3"/>
    <w:rPr>
      <w:color w:val="605E5C"/>
      <w:shd w:val="clear" w:color="auto" w:fill="E1DFDD"/>
    </w:rPr>
  </w:style>
  <w:style w:type="character" w:styleId="UnresolvedMention">
    <w:name w:val="Unresolved Mention"/>
    <w:basedOn w:val="DefaultParagraphFont"/>
    <w:uiPriority w:val="99"/>
    <w:semiHidden/>
    <w:unhideWhenUsed/>
    <w:rsid w:val="00AC0A98"/>
    <w:rPr>
      <w:color w:val="605E5C"/>
      <w:shd w:val="clear" w:color="auto" w:fill="E1DFDD"/>
    </w:rPr>
  </w:style>
  <w:style w:type="character" w:customStyle="1" w:styleId="Heading1Char">
    <w:name w:val="Heading 1 Char"/>
    <w:basedOn w:val="DefaultParagraphFont"/>
    <w:link w:val="Heading1"/>
    <w:uiPriority w:val="9"/>
    <w:rsid w:val="00947230"/>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9472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628">
      <w:bodyDiv w:val="1"/>
      <w:marLeft w:val="0"/>
      <w:marRight w:val="0"/>
      <w:marTop w:val="0"/>
      <w:marBottom w:val="0"/>
      <w:divBdr>
        <w:top w:val="none" w:sz="0" w:space="0" w:color="auto"/>
        <w:left w:val="none" w:sz="0" w:space="0" w:color="auto"/>
        <w:bottom w:val="none" w:sz="0" w:space="0" w:color="auto"/>
        <w:right w:val="none" w:sz="0" w:space="0" w:color="auto"/>
      </w:divBdr>
    </w:div>
    <w:div w:id="147283015">
      <w:bodyDiv w:val="1"/>
      <w:marLeft w:val="0"/>
      <w:marRight w:val="0"/>
      <w:marTop w:val="0"/>
      <w:marBottom w:val="0"/>
      <w:divBdr>
        <w:top w:val="none" w:sz="0" w:space="0" w:color="auto"/>
        <w:left w:val="none" w:sz="0" w:space="0" w:color="auto"/>
        <w:bottom w:val="none" w:sz="0" w:space="0" w:color="auto"/>
        <w:right w:val="none" w:sz="0" w:space="0" w:color="auto"/>
      </w:divBdr>
    </w:div>
    <w:div w:id="483550362">
      <w:bodyDiv w:val="1"/>
      <w:marLeft w:val="0"/>
      <w:marRight w:val="0"/>
      <w:marTop w:val="0"/>
      <w:marBottom w:val="0"/>
      <w:divBdr>
        <w:top w:val="none" w:sz="0" w:space="0" w:color="auto"/>
        <w:left w:val="none" w:sz="0" w:space="0" w:color="auto"/>
        <w:bottom w:val="none" w:sz="0" w:space="0" w:color="auto"/>
        <w:right w:val="none" w:sz="0" w:space="0" w:color="auto"/>
      </w:divBdr>
    </w:div>
    <w:div w:id="494347271">
      <w:bodyDiv w:val="1"/>
      <w:marLeft w:val="0"/>
      <w:marRight w:val="0"/>
      <w:marTop w:val="0"/>
      <w:marBottom w:val="0"/>
      <w:divBdr>
        <w:top w:val="none" w:sz="0" w:space="0" w:color="auto"/>
        <w:left w:val="none" w:sz="0" w:space="0" w:color="auto"/>
        <w:bottom w:val="none" w:sz="0" w:space="0" w:color="auto"/>
        <w:right w:val="none" w:sz="0" w:space="0" w:color="auto"/>
      </w:divBdr>
    </w:div>
    <w:div w:id="526256148">
      <w:bodyDiv w:val="1"/>
      <w:marLeft w:val="0"/>
      <w:marRight w:val="0"/>
      <w:marTop w:val="0"/>
      <w:marBottom w:val="0"/>
      <w:divBdr>
        <w:top w:val="none" w:sz="0" w:space="0" w:color="auto"/>
        <w:left w:val="none" w:sz="0" w:space="0" w:color="auto"/>
        <w:bottom w:val="none" w:sz="0" w:space="0" w:color="auto"/>
        <w:right w:val="none" w:sz="0" w:space="0" w:color="auto"/>
      </w:divBdr>
    </w:div>
    <w:div w:id="668560447">
      <w:bodyDiv w:val="1"/>
      <w:marLeft w:val="0"/>
      <w:marRight w:val="0"/>
      <w:marTop w:val="0"/>
      <w:marBottom w:val="0"/>
      <w:divBdr>
        <w:top w:val="none" w:sz="0" w:space="0" w:color="auto"/>
        <w:left w:val="none" w:sz="0" w:space="0" w:color="auto"/>
        <w:bottom w:val="none" w:sz="0" w:space="0" w:color="auto"/>
        <w:right w:val="none" w:sz="0" w:space="0" w:color="auto"/>
      </w:divBdr>
      <w:divsChild>
        <w:div w:id="2103796881">
          <w:marLeft w:val="0"/>
          <w:marRight w:val="0"/>
          <w:marTop w:val="0"/>
          <w:marBottom w:val="0"/>
          <w:divBdr>
            <w:top w:val="none" w:sz="0" w:space="0" w:color="auto"/>
            <w:left w:val="none" w:sz="0" w:space="0" w:color="auto"/>
            <w:bottom w:val="none" w:sz="0" w:space="0" w:color="auto"/>
            <w:right w:val="none" w:sz="0" w:space="0" w:color="auto"/>
          </w:divBdr>
          <w:divsChild>
            <w:div w:id="1576817900">
              <w:marLeft w:val="0"/>
              <w:marRight w:val="0"/>
              <w:marTop w:val="0"/>
              <w:marBottom w:val="0"/>
              <w:divBdr>
                <w:top w:val="none" w:sz="0" w:space="0" w:color="auto"/>
                <w:left w:val="none" w:sz="0" w:space="0" w:color="auto"/>
                <w:bottom w:val="none" w:sz="0" w:space="0" w:color="auto"/>
                <w:right w:val="none" w:sz="0" w:space="0" w:color="auto"/>
              </w:divBdr>
              <w:divsChild>
                <w:div w:id="395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1699">
      <w:bodyDiv w:val="1"/>
      <w:marLeft w:val="0"/>
      <w:marRight w:val="0"/>
      <w:marTop w:val="0"/>
      <w:marBottom w:val="0"/>
      <w:divBdr>
        <w:top w:val="none" w:sz="0" w:space="0" w:color="auto"/>
        <w:left w:val="none" w:sz="0" w:space="0" w:color="auto"/>
        <w:bottom w:val="none" w:sz="0" w:space="0" w:color="auto"/>
        <w:right w:val="none" w:sz="0" w:space="0" w:color="auto"/>
      </w:divBdr>
    </w:div>
    <w:div w:id="1111053161">
      <w:bodyDiv w:val="1"/>
      <w:marLeft w:val="0"/>
      <w:marRight w:val="0"/>
      <w:marTop w:val="0"/>
      <w:marBottom w:val="0"/>
      <w:divBdr>
        <w:top w:val="none" w:sz="0" w:space="0" w:color="auto"/>
        <w:left w:val="none" w:sz="0" w:space="0" w:color="auto"/>
        <w:bottom w:val="none" w:sz="0" w:space="0" w:color="auto"/>
        <w:right w:val="none" w:sz="0" w:space="0" w:color="auto"/>
      </w:divBdr>
    </w:div>
    <w:div w:id="1246919454">
      <w:bodyDiv w:val="1"/>
      <w:marLeft w:val="0"/>
      <w:marRight w:val="0"/>
      <w:marTop w:val="0"/>
      <w:marBottom w:val="0"/>
      <w:divBdr>
        <w:top w:val="none" w:sz="0" w:space="0" w:color="auto"/>
        <w:left w:val="none" w:sz="0" w:space="0" w:color="auto"/>
        <w:bottom w:val="none" w:sz="0" w:space="0" w:color="auto"/>
        <w:right w:val="none" w:sz="0" w:space="0" w:color="auto"/>
      </w:divBdr>
    </w:div>
    <w:div w:id="1267813062">
      <w:bodyDiv w:val="1"/>
      <w:marLeft w:val="0"/>
      <w:marRight w:val="0"/>
      <w:marTop w:val="0"/>
      <w:marBottom w:val="0"/>
      <w:divBdr>
        <w:top w:val="none" w:sz="0" w:space="0" w:color="auto"/>
        <w:left w:val="none" w:sz="0" w:space="0" w:color="auto"/>
        <w:bottom w:val="none" w:sz="0" w:space="0" w:color="auto"/>
        <w:right w:val="none" w:sz="0" w:space="0" w:color="auto"/>
      </w:divBdr>
    </w:div>
    <w:div w:id="1293945389">
      <w:bodyDiv w:val="1"/>
      <w:marLeft w:val="0"/>
      <w:marRight w:val="0"/>
      <w:marTop w:val="0"/>
      <w:marBottom w:val="0"/>
      <w:divBdr>
        <w:top w:val="none" w:sz="0" w:space="0" w:color="auto"/>
        <w:left w:val="none" w:sz="0" w:space="0" w:color="auto"/>
        <w:bottom w:val="none" w:sz="0" w:space="0" w:color="auto"/>
        <w:right w:val="none" w:sz="0" w:space="0" w:color="auto"/>
      </w:divBdr>
    </w:div>
    <w:div w:id="1303391152">
      <w:bodyDiv w:val="1"/>
      <w:marLeft w:val="0"/>
      <w:marRight w:val="0"/>
      <w:marTop w:val="0"/>
      <w:marBottom w:val="0"/>
      <w:divBdr>
        <w:top w:val="none" w:sz="0" w:space="0" w:color="auto"/>
        <w:left w:val="none" w:sz="0" w:space="0" w:color="auto"/>
        <w:bottom w:val="none" w:sz="0" w:space="0" w:color="auto"/>
        <w:right w:val="none" w:sz="0" w:space="0" w:color="auto"/>
      </w:divBdr>
    </w:div>
    <w:div w:id="1471631396">
      <w:bodyDiv w:val="1"/>
      <w:marLeft w:val="0"/>
      <w:marRight w:val="0"/>
      <w:marTop w:val="0"/>
      <w:marBottom w:val="0"/>
      <w:divBdr>
        <w:top w:val="none" w:sz="0" w:space="0" w:color="auto"/>
        <w:left w:val="none" w:sz="0" w:space="0" w:color="auto"/>
        <w:bottom w:val="none" w:sz="0" w:space="0" w:color="auto"/>
        <w:right w:val="none" w:sz="0" w:space="0" w:color="auto"/>
      </w:divBdr>
    </w:div>
    <w:div w:id="1501508884">
      <w:bodyDiv w:val="1"/>
      <w:marLeft w:val="0"/>
      <w:marRight w:val="0"/>
      <w:marTop w:val="0"/>
      <w:marBottom w:val="0"/>
      <w:divBdr>
        <w:top w:val="none" w:sz="0" w:space="0" w:color="auto"/>
        <w:left w:val="none" w:sz="0" w:space="0" w:color="auto"/>
        <w:bottom w:val="none" w:sz="0" w:space="0" w:color="auto"/>
        <w:right w:val="none" w:sz="0" w:space="0" w:color="auto"/>
      </w:divBdr>
      <w:divsChild>
        <w:div w:id="1175994318">
          <w:marLeft w:val="0"/>
          <w:marRight w:val="0"/>
          <w:marTop w:val="0"/>
          <w:marBottom w:val="0"/>
          <w:divBdr>
            <w:top w:val="none" w:sz="0" w:space="0" w:color="auto"/>
            <w:left w:val="none" w:sz="0" w:space="0" w:color="auto"/>
            <w:bottom w:val="none" w:sz="0" w:space="0" w:color="auto"/>
            <w:right w:val="none" w:sz="0" w:space="0" w:color="auto"/>
          </w:divBdr>
          <w:divsChild>
            <w:div w:id="256670994">
              <w:marLeft w:val="0"/>
              <w:marRight w:val="0"/>
              <w:marTop w:val="0"/>
              <w:marBottom w:val="0"/>
              <w:divBdr>
                <w:top w:val="none" w:sz="0" w:space="0" w:color="auto"/>
                <w:left w:val="none" w:sz="0" w:space="0" w:color="auto"/>
                <w:bottom w:val="none" w:sz="0" w:space="0" w:color="auto"/>
                <w:right w:val="none" w:sz="0" w:space="0" w:color="auto"/>
              </w:divBdr>
              <w:divsChild>
                <w:div w:id="14199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8357">
      <w:bodyDiv w:val="1"/>
      <w:marLeft w:val="0"/>
      <w:marRight w:val="0"/>
      <w:marTop w:val="0"/>
      <w:marBottom w:val="0"/>
      <w:divBdr>
        <w:top w:val="none" w:sz="0" w:space="0" w:color="auto"/>
        <w:left w:val="none" w:sz="0" w:space="0" w:color="auto"/>
        <w:bottom w:val="none" w:sz="0" w:space="0" w:color="auto"/>
        <w:right w:val="none" w:sz="0" w:space="0" w:color="auto"/>
      </w:divBdr>
    </w:div>
    <w:div w:id="1530022434">
      <w:bodyDiv w:val="1"/>
      <w:marLeft w:val="0"/>
      <w:marRight w:val="0"/>
      <w:marTop w:val="0"/>
      <w:marBottom w:val="0"/>
      <w:divBdr>
        <w:top w:val="none" w:sz="0" w:space="0" w:color="auto"/>
        <w:left w:val="none" w:sz="0" w:space="0" w:color="auto"/>
        <w:bottom w:val="none" w:sz="0" w:space="0" w:color="auto"/>
        <w:right w:val="none" w:sz="0" w:space="0" w:color="auto"/>
      </w:divBdr>
    </w:div>
    <w:div w:id="1537619130">
      <w:bodyDiv w:val="1"/>
      <w:marLeft w:val="0"/>
      <w:marRight w:val="0"/>
      <w:marTop w:val="0"/>
      <w:marBottom w:val="0"/>
      <w:divBdr>
        <w:top w:val="none" w:sz="0" w:space="0" w:color="auto"/>
        <w:left w:val="none" w:sz="0" w:space="0" w:color="auto"/>
        <w:bottom w:val="none" w:sz="0" w:space="0" w:color="auto"/>
        <w:right w:val="none" w:sz="0" w:space="0" w:color="auto"/>
      </w:divBdr>
    </w:div>
    <w:div w:id="1627158771">
      <w:bodyDiv w:val="1"/>
      <w:marLeft w:val="0"/>
      <w:marRight w:val="0"/>
      <w:marTop w:val="0"/>
      <w:marBottom w:val="0"/>
      <w:divBdr>
        <w:top w:val="none" w:sz="0" w:space="0" w:color="auto"/>
        <w:left w:val="none" w:sz="0" w:space="0" w:color="auto"/>
        <w:bottom w:val="none" w:sz="0" w:space="0" w:color="auto"/>
        <w:right w:val="none" w:sz="0" w:space="0" w:color="auto"/>
      </w:divBdr>
    </w:div>
    <w:div w:id="1771119079">
      <w:bodyDiv w:val="1"/>
      <w:marLeft w:val="0"/>
      <w:marRight w:val="0"/>
      <w:marTop w:val="0"/>
      <w:marBottom w:val="0"/>
      <w:divBdr>
        <w:top w:val="none" w:sz="0" w:space="0" w:color="auto"/>
        <w:left w:val="none" w:sz="0" w:space="0" w:color="auto"/>
        <w:bottom w:val="none" w:sz="0" w:space="0" w:color="auto"/>
        <w:right w:val="none" w:sz="0" w:space="0" w:color="auto"/>
      </w:divBdr>
    </w:div>
    <w:div w:id="1903365270">
      <w:bodyDiv w:val="1"/>
      <w:marLeft w:val="0"/>
      <w:marRight w:val="0"/>
      <w:marTop w:val="0"/>
      <w:marBottom w:val="0"/>
      <w:divBdr>
        <w:top w:val="none" w:sz="0" w:space="0" w:color="auto"/>
        <w:left w:val="none" w:sz="0" w:space="0" w:color="auto"/>
        <w:bottom w:val="none" w:sz="0" w:space="0" w:color="auto"/>
        <w:right w:val="none" w:sz="0" w:space="0" w:color="auto"/>
      </w:divBdr>
      <w:divsChild>
        <w:div w:id="7604087">
          <w:marLeft w:val="0"/>
          <w:marRight w:val="0"/>
          <w:marTop w:val="0"/>
          <w:marBottom w:val="0"/>
          <w:divBdr>
            <w:top w:val="none" w:sz="0" w:space="0" w:color="auto"/>
            <w:left w:val="none" w:sz="0" w:space="0" w:color="auto"/>
            <w:bottom w:val="none" w:sz="0" w:space="0" w:color="auto"/>
            <w:right w:val="none" w:sz="0" w:space="0" w:color="auto"/>
          </w:divBdr>
          <w:divsChild>
            <w:div w:id="1365328000">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9617">
      <w:bodyDiv w:val="1"/>
      <w:marLeft w:val="0"/>
      <w:marRight w:val="0"/>
      <w:marTop w:val="0"/>
      <w:marBottom w:val="0"/>
      <w:divBdr>
        <w:top w:val="none" w:sz="0" w:space="0" w:color="auto"/>
        <w:left w:val="none" w:sz="0" w:space="0" w:color="auto"/>
        <w:bottom w:val="none" w:sz="0" w:space="0" w:color="auto"/>
        <w:right w:val="none" w:sz="0" w:space="0" w:color="auto"/>
      </w:divBdr>
    </w:div>
    <w:div w:id="205306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ap.ospar.org/en/ospar-assessments/" TargetMode="External"/><Relationship Id="rId13" Type="http://schemas.openxmlformats.org/officeDocument/2006/relationships/hyperlink" Target="https://oap.ospar.org/en/ospar-assessments/intermediate-assessment-2017/biodiversity-status/marine-birds/bird-abundance/" TargetMode="External"/><Relationship Id="rId18" Type="http://schemas.openxmlformats.org/officeDocument/2006/relationships/hyperlink" Target="https://www.ices.dk/data/data-portals/Pages/Biodiversity.aspx" TargetMode="External"/><Relationship Id="rId26" Type="http://schemas.openxmlformats.org/officeDocument/2006/relationships/hyperlink" Target="https://www.caff.is/goose" TargetMode="External"/><Relationship Id="rId3" Type="http://schemas.openxmlformats.org/officeDocument/2006/relationships/styles" Target="styles.xml"/><Relationship Id="rId21" Type="http://schemas.openxmlformats.org/officeDocument/2006/relationships/hyperlink" Target="https://www.ospar.org/documents?v=38978" TargetMode="External"/><Relationship Id="rId7" Type="http://schemas.openxmlformats.org/officeDocument/2006/relationships/endnotes" Target="endnotes.xml"/><Relationship Id="rId12" Type="http://schemas.openxmlformats.org/officeDocument/2006/relationships/hyperlink" Target="https://oap.ospar.org/en/ospar-assessments/intermediate-assessment-2017/biodiversity-status/marine-birds/bird-abundance/" TargetMode="External"/><Relationship Id="rId17" Type="http://schemas.openxmlformats.org/officeDocument/2006/relationships/hyperlink" Target="https://www.ices.dk/data/data-portals/Pages/Biodiversity.aspx" TargetMode="External"/><Relationship Id="rId25" Type="http://schemas.openxmlformats.org/officeDocument/2006/relationships/hyperlink" Target="https://www.arcticbiodiversity.is/index.php/findings-start/birds" TargetMode="External"/><Relationship Id="rId2" Type="http://schemas.openxmlformats.org/officeDocument/2006/relationships/numbering" Target="numbering.xml"/><Relationship Id="rId16" Type="http://schemas.openxmlformats.org/officeDocument/2006/relationships/hyperlink" Target="https://oap.ospar.org/en/ospar-assessments/intermediate-assessment-2017/biodiversity-status/marine-birds/bird-abundance/" TargetMode="External"/><Relationship Id="rId20" Type="http://schemas.openxmlformats.org/officeDocument/2006/relationships/hyperlink" Target="https://www.ices.dk/data/data-portals/Pages/Biodiversity.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p.ospar.org/en/ospar-assessments/intermediate-assessment-2017/biodiversity-status/marine-birds/bird-abundance/" TargetMode="External"/><Relationship Id="rId24" Type="http://schemas.openxmlformats.org/officeDocument/2006/relationships/hyperlink" Target="https://www.caff.is/monitoring-series/all-monitoring-documents/555-state-of-the-arctic-marine-biodiversity-repo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ap.ospar.org/en/ospar-assessments/intermediate-assessment-2017/biodiversity-status/marine-birds/bird-abundance/" TargetMode="External"/><Relationship Id="rId23" Type="http://schemas.openxmlformats.org/officeDocument/2006/relationships/hyperlink" Target="https://www.arcticbiodiversity.is/index.php/findings/seabirds" TargetMode="External"/><Relationship Id="rId28" Type="http://schemas.openxmlformats.org/officeDocument/2006/relationships/hyperlink" Target="http://ropme.org/" TargetMode="External"/><Relationship Id="rId10" Type="http://schemas.openxmlformats.org/officeDocument/2006/relationships/hyperlink" Target="https://oap.ospar.org/en/ospar-assessments/intermediate-assessment-2017/biodiversity-status/marine-birds/bird-abundance/" TargetMode="External"/><Relationship Id="rId19" Type="http://schemas.openxmlformats.org/officeDocument/2006/relationships/hyperlink" Target="https://www.ices.dk/data/data-portals/Pages/Biodiversity.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ap.ospar.org/en/ospar-assessments/" TargetMode="External"/><Relationship Id="rId14" Type="http://schemas.openxmlformats.org/officeDocument/2006/relationships/hyperlink" Target="https://oap.ospar.org/en/ospar-assessments/intermediate-assessment-2017/biodiversity-status/marine-birds/bird-abundance/" TargetMode="External"/><Relationship Id="rId22" Type="http://schemas.openxmlformats.org/officeDocument/2006/relationships/hyperlink" Target="https://www.ospar.org/documents?v=38978" TargetMode="External"/><Relationship Id="rId27" Type="http://schemas.openxmlformats.org/officeDocument/2006/relationships/hyperlink" Target="https://caff.is/asti/migratory-birds-index"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es.dk/data/data-portals/Pages/Biodivers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5FFB-8A08-4854-AA93-D3C17A5C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7289</Words>
  <Characters>41549</Characters>
  <Application>Microsoft Office Word</Application>
  <DocSecurity>0</DocSecurity>
  <Lines>346</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Dicken</dc:creator>
  <cp:lastModifiedBy>Jeannine Dicken</cp:lastModifiedBy>
  <cp:revision>3</cp:revision>
  <dcterms:created xsi:type="dcterms:W3CDTF">2022-07-25T09:21:00Z</dcterms:created>
  <dcterms:modified xsi:type="dcterms:W3CDTF">2022-07-25T09:44:00Z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