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1D70" w14:textId="77777777" w:rsidR="00E543C6" w:rsidRDefault="00E543C6">
      <w:pPr>
        <w:pStyle w:val="Heading1"/>
        <w:spacing w:before="60" w:line="276" w:lineRule="auto"/>
        <w:ind w:left="1002" w:right="1019"/>
        <w:jc w:val="center"/>
      </w:pPr>
    </w:p>
    <w:p w14:paraId="0439C73F" w14:textId="77777777" w:rsidR="00947230" w:rsidRDefault="00947230" w:rsidP="00947230">
      <w:pPr>
        <w:pStyle w:val="Heading1"/>
        <w:spacing w:before="60" w:line="276" w:lineRule="auto"/>
        <w:ind w:left="1002" w:right="1019"/>
        <w:jc w:val="center"/>
      </w:pPr>
      <w:bookmarkStart w:id="0" w:name="cover_note_doc_16.29"/>
      <w:bookmarkEnd w:id="0"/>
      <w:r>
        <w:t>DRAFT WATERBIRD MONITORING SYNERGIES WITH OTHER FRAMEWORKS</w:t>
      </w:r>
    </w:p>
    <w:p w14:paraId="379D5F54" w14:textId="77777777" w:rsidR="00947230" w:rsidRDefault="00947230" w:rsidP="00947230">
      <w:pPr>
        <w:pStyle w:val="BodyText"/>
        <w:spacing w:before="10"/>
        <w:rPr>
          <w:b/>
          <w:sz w:val="27"/>
        </w:rPr>
      </w:pPr>
    </w:p>
    <w:p w14:paraId="4F1D0506" w14:textId="5CB9A785" w:rsidR="00947230" w:rsidRDefault="00F91162" w:rsidP="00F91162">
      <w:pPr>
        <w:pStyle w:val="BodyText"/>
        <w:spacing w:before="2"/>
        <w:jc w:val="center"/>
        <w:rPr>
          <w:i/>
        </w:rPr>
      </w:pPr>
      <w:r w:rsidRPr="00F91162">
        <w:rPr>
          <w:i/>
        </w:rPr>
        <w:t>Compiled by the AEWA Technical Committee and consulted with Secretariats of the relevant frameworks</w:t>
      </w:r>
    </w:p>
    <w:p w14:paraId="18F46081" w14:textId="77777777" w:rsidR="00C4129B" w:rsidRDefault="00C4129B" w:rsidP="00321F10">
      <w:pPr>
        <w:pStyle w:val="BodyText"/>
        <w:spacing w:before="2" w:after="120"/>
        <w:rPr>
          <w:i/>
          <w:sz w:val="29"/>
        </w:rPr>
      </w:pPr>
    </w:p>
    <w:p w14:paraId="40A42BDE" w14:textId="77777777" w:rsidR="00947230" w:rsidRDefault="00947230" w:rsidP="00DC0558">
      <w:pPr>
        <w:pStyle w:val="Heading1"/>
        <w:ind w:left="180" w:hanging="90"/>
      </w:pPr>
      <w:r>
        <w:t>Introduction</w:t>
      </w:r>
    </w:p>
    <w:p w14:paraId="54115B77" w14:textId="77777777" w:rsidR="00F91162" w:rsidRDefault="00F91162" w:rsidP="00F91162">
      <w:pPr>
        <w:pStyle w:val="BodyText"/>
        <w:spacing w:before="158" w:line="256" w:lineRule="auto"/>
        <w:ind w:left="100" w:right="115"/>
        <w:jc w:val="both"/>
      </w:pPr>
      <w:r>
        <w:t>Through Resolution 6.3 the MOP invited the Technical Committee and the Secretariat to work with the Ramsar Scientific and Technical Review Panel and the Ramsar Convention Secretariat to identify possible synergies with respect to waterbird monitoring, taking into account the Ramsar Strategic Plan 2016-2021, Targets 11 and 13, and the possible development of further indicators for Target 5 related to coverage of wetland-dependent bird populations by designated Ramsar Sites.</w:t>
      </w:r>
    </w:p>
    <w:p w14:paraId="38EEC184" w14:textId="77777777" w:rsidR="00F91162" w:rsidRDefault="00F91162" w:rsidP="00F91162">
      <w:pPr>
        <w:pStyle w:val="BodyText"/>
        <w:spacing w:before="158" w:line="256" w:lineRule="auto"/>
        <w:ind w:left="100" w:right="115"/>
        <w:jc w:val="both"/>
      </w:pPr>
      <w:r>
        <w:t>Later, through Resolution 7.7 the MOP invited the Technical Committee and the Secretariat to work with the Ramsar Convention and its regional initiatives, the European Commission as well as CAFF-AMBI, Common Wadden Sea Secretariat (Wadden Sea Flyway Initiative), OSPAR, HELCOM and other relevant regional MEAs to identify possible synergies with respect to waterbird population estimates and to waterbird monitoring and reporting.</w:t>
      </w:r>
    </w:p>
    <w:p w14:paraId="3A82C443" w14:textId="4F6185DF" w:rsidR="00F91162" w:rsidRDefault="00F91162" w:rsidP="00F91162">
      <w:pPr>
        <w:pStyle w:val="BodyText"/>
        <w:spacing w:before="158" w:line="256" w:lineRule="auto"/>
        <w:ind w:left="100" w:right="115"/>
        <w:jc w:val="both"/>
      </w:pPr>
      <w:r>
        <w:t>To address these mandates, tasks 5.3 was included in the Technical Committee (TC) workplan 2019-2021. At its 15</w:t>
      </w:r>
      <w:r w:rsidRPr="001D4862">
        <w:rPr>
          <w:vertAlign w:val="superscript"/>
        </w:rPr>
        <w:t>th</w:t>
      </w:r>
      <w:r w:rsidR="001D4862">
        <w:t xml:space="preserve"> </w:t>
      </w:r>
      <w:r>
        <w:t>meeting in April 2019, the TC agreed to take a stepwise approach and in the first instance compile an overview and assess the status of synergies and potential options. At its 16</w:t>
      </w:r>
      <w:r w:rsidRPr="001D4862">
        <w:rPr>
          <w:vertAlign w:val="superscript"/>
        </w:rPr>
        <w:t>th</w:t>
      </w:r>
      <w:r w:rsidR="001D4862">
        <w:t xml:space="preserve"> </w:t>
      </w:r>
      <w:r>
        <w:t xml:space="preserve">meeting in January 2021, the TC has reviewed an assessment of the existing synergies. Based on the feedback from the TC, the document was revised and potential options for further strengthening of synergies were identified. </w:t>
      </w:r>
    </w:p>
    <w:p w14:paraId="6AEB8529" w14:textId="3A40BBE0" w:rsidR="00947230" w:rsidRDefault="00F91162" w:rsidP="00F91162">
      <w:pPr>
        <w:pStyle w:val="BodyText"/>
        <w:spacing w:before="158" w:line="256" w:lineRule="auto"/>
        <w:ind w:left="100" w:right="115"/>
        <w:jc w:val="both"/>
      </w:pPr>
      <w:r>
        <w:t>The Standing Committee reviewed the assessment at its 16</w:t>
      </w:r>
      <w:r w:rsidR="00ED7342" w:rsidRPr="00ED7342">
        <w:rPr>
          <w:vertAlign w:val="superscript"/>
        </w:rPr>
        <w:t>th</w:t>
      </w:r>
      <w:r w:rsidR="00ED7342">
        <w:t xml:space="preserve"> </w:t>
      </w:r>
      <w:r>
        <w:t xml:space="preserve">meeting in May 2021 and approved it for consultation with the MEAs and </w:t>
      </w:r>
      <w:r w:rsidR="001D4862">
        <w:t xml:space="preserve">other </w:t>
      </w:r>
      <w:r>
        <w:t>frameworks identified for cooperation on waterbird monitoring. After undertaking a consultation with Secretariats of the relevant MEAs and other frameworks, this document was finalised in July 2021 on the basis of the received feedback</w:t>
      </w:r>
      <w:r w:rsidR="001D4862">
        <w:t xml:space="preserve"> and approved for submission to MOP8 by the Standing Committee at its 18</w:t>
      </w:r>
      <w:r w:rsidR="001D4862" w:rsidRPr="001D4862">
        <w:rPr>
          <w:vertAlign w:val="superscript"/>
        </w:rPr>
        <w:t>th</w:t>
      </w:r>
      <w:r w:rsidR="001D4862">
        <w:t xml:space="preserve"> meeting on 28 July 2021</w:t>
      </w:r>
      <w:r>
        <w:t xml:space="preserve">. </w:t>
      </w:r>
      <w:r w:rsidR="00947230">
        <w:t xml:space="preserve"> </w:t>
      </w:r>
    </w:p>
    <w:p w14:paraId="531BE2D1" w14:textId="77777777" w:rsidR="00947230" w:rsidRDefault="00947230" w:rsidP="00321F10">
      <w:pPr>
        <w:pStyle w:val="BodyText"/>
        <w:spacing w:after="120"/>
        <w:rPr>
          <w:sz w:val="30"/>
        </w:rPr>
      </w:pPr>
    </w:p>
    <w:p w14:paraId="6FD95353" w14:textId="6D201380" w:rsidR="00947230" w:rsidRDefault="00947230" w:rsidP="00947230">
      <w:pPr>
        <w:pStyle w:val="Heading1"/>
        <w:spacing w:before="1"/>
        <w:ind w:left="100"/>
      </w:pPr>
      <w:r>
        <w:t xml:space="preserve">Action Requested from the </w:t>
      </w:r>
      <w:r w:rsidR="001D4862">
        <w:t>Meeting of the Parties</w:t>
      </w:r>
    </w:p>
    <w:p w14:paraId="7F5E8A77" w14:textId="48BAA89E" w:rsidR="00947230" w:rsidRDefault="00947230" w:rsidP="00947230">
      <w:pPr>
        <w:pStyle w:val="BodyText"/>
        <w:spacing w:before="182" w:line="256" w:lineRule="auto"/>
        <w:ind w:left="100" w:right="115"/>
        <w:jc w:val="both"/>
      </w:pPr>
      <w:r>
        <w:t>The</w:t>
      </w:r>
      <w:r>
        <w:rPr>
          <w:spacing w:val="-5"/>
        </w:rPr>
        <w:t xml:space="preserve"> </w:t>
      </w:r>
      <w:r w:rsidR="001D4862">
        <w:t>Meeting of the Parties is requested to review and e</w:t>
      </w:r>
      <w:r w:rsidR="001D4862" w:rsidRPr="001D4862">
        <w:t>ndorse</w:t>
      </w:r>
      <w:r w:rsidR="001D4862">
        <w:t xml:space="preserve"> </w:t>
      </w:r>
      <w:r w:rsidR="001D4862" w:rsidRPr="001D4862">
        <w:t>the possible synergies on waterbird monitoring with other frameworks and processes identified and adopt</w:t>
      </w:r>
      <w:r w:rsidR="001D4862">
        <w:t xml:space="preserve"> </w:t>
      </w:r>
      <w:r w:rsidR="001D4862" w:rsidRPr="001D4862">
        <w:t>the recommendations for strengthening those synergies</w:t>
      </w:r>
      <w:r>
        <w:t>.</w:t>
      </w:r>
    </w:p>
    <w:p w14:paraId="62230852" w14:textId="23E39CED" w:rsidR="00664206" w:rsidRDefault="001D4862" w:rsidP="00947230">
      <w:pPr>
        <w:pStyle w:val="Heading1"/>
        <w:pageBreakBefore/>
        <w:spacing w:before="60" w:line="276" w:lineRule="auto"/>
        <w:ind w:left="1008" w:right="1022"/>
        <w:jc w:val="center"/>
      </w:pPr>
      <w:r>
        <w:lastRenderedPageBreak/>
        <w:t xml:space="preserve">DRAFT </w:t>
      </w:r>
      <w:r w:rsidR="003F788D">
        <w:t>WATERBIRD MONITORING SYNERGIES WITH OTHER</w:t>
      </w:r>
      <w:r w:rsidR="00321F10">
        <w:t xml:space="preserve"> </w:t>
      </w:r>
      <w:r w:rsidR="003F788D">
        <w:t>FRAMEWORKS</w:t>
      </w:r>
      <w:r w:rsidR="00BD23BA">
        <w:t xml:space="preserve"> </w:t>
      </w:r>
    </w:p>
    <w:p w14:paraId="75031058" w14:textId="77777777" w:rsidR="00664206" w:rsidRDefault="00664206">
      <w:pPr>
        <w:pStyle w:val="BodyText"/>
        <w:spacing w:before="10"/>
        <w:rPr>
          <w:b/>
          <w:sz w:val="27"/>
        </w:rPr>
      </w:pPr>
    </w:p>
    <w:p w14:paraId="102CAEEE" w14:textId="468CA4E8" w:rsidR="00903F84" w:rsidRDefault="00903F84" w:rsidP="00903F84">
      <w:pPr>
        <w:pStyle w:val="BodyText"/>
        <w:spacing w:line="259" w:lineRule="auto"/>
        <w:ind w:left="100" w:right="115"/>
        <w:jc w:val="both"/>
      </w:pPr>
    </w:p>
    <w:p w14:paraId="52E4DF67" w14:textId="303B5B23" w:rsidR="00664206" w:rsidRDefault="003F788D" w:rsidP="00903F84">
      <w:pPr>
        <w:pStyle w:val="BodyText"/>
        <w:spacing w:line="259" w:lineRule="auto"/>
        <w:ind w:left="100" w:right="115"/>
        <w:jc w:val="both"/>
        <w:rPr>
          <w:b/>
          <w:sz w:val="24"/>
        </w:rPr>
      </w:pPr>
      <w:r>
        <w:rPr>
          <w:b/>
          <w:sz w:val="24"/>
        </w:rPr>
        <w:t>Background</w:t>
      </w:r>
    </w:p>
    <w:p w14:paraId="315B644F" w14:textId="77777777" w:rsidR="00664206" w:rsidRDefault="003F788D" w:rsidP="00903F84">
      <w:pPr>
        <w:pStyle w:val="BodyText"/>
        <w:spacing w:before="161"/>
        <w:ind w:left="90"/>
      </w:pPr>
      <w:r>
        <w:t>The AEWA Technical Committee’s Workplan for 2019-2021 has identified the following task (5.3):</w:t>
      </w:r>
    </w:p>
    <w:p w14:paraId="1A240823" w14:textId="77777777" w:rsidR="00664206" w:rsidRDefault="00664206">
      <w:pPr>
        <w:pStyle w:val="BodyText"/>
      </w:pPr>
    </w:p>
    <w:p w14:paraId="7358ED98" w14:textId="038B6A78" w:rsidR="00664206" w:rsidRDefault="003F788D" w:rsidP="00903F84">
      <w:pPr>
        <w:pStyle w:val="BodyText"/>
        <w:ind w:left="90" w:right="736" w:hanging="90"/>
        <w:jc w:val="both"/>
      </w:pPr>
      <w:r>
        <w:t>“Work with Ramsar and its regional initiatives, the European Commission as well as CAFF-AMBI, Common Wadden Sea Secretariat (Wadden Sea Flyway Initiative), OSPAR, HELCOM and other relevant regional MEAs to identify possible synergies with respect to waterbird population estimates, monitoring and reporting, including in the context of Ramsar Strategic Plan Targets 11 &amp; 13 and possible development of further indicators for Target 5 related to coverage of wetland dependent bird populations by designated Ramsar Sites (Resolutions 6.3 and 7.7)</w:t>
      </w:r>
      <w:r w:rsidR="00865AE2">
        <w:rPr>
          <w:rStyle w:val="FootnoteReference"/>
        </w:rPr>
        <w:footnoteReference w:id="2"/>
      </w:r>
      <w:r>
        <w:t>”.</w:t>
      </w:r>
    </w:p>
    <w:p w14:paraId="359FD9FA" w14:textId="77777777" w:rsidR="00664206" w:rsidRDefault="00664206">
      <w:pPr>
        <w:pStyle w:val="BodyText"/>
        <w:spacing w:before="1"/>
      </w:pPr>
    </w:p>
    <w:p w14:paraId="507A2C1A" w14:textId="77777777" w:rsidR="00664206" w:rsidRDefault="003F788D" w:rsidP="00903F84">
      <w:pPr>
        <w:pStyle w:val="BodyText"/>
        <w:spacing w:line="252" w:lineRule="exact"/>
        <w:ind w:left="90"/>
        <w:jc w:val="both"/>
      </w:pPr>
      <w:r>
        <w:t>It foresees two steps:</w:t>
      </w:r>
    </w:p>
    <w:p w14:paraId="79FACAF1" w14:textId="77777777" w:rsidR="00664206" w:rsidRDefault="003F788D">
      <w:pPr>
        <w:pStyle w:val="ListParagraph"/>
        <w:numPr>
          <w:ilvl w:val="0"/>
          <w:numId w:val="3"/>
        </w:numPr>
        <w:tabs>
          <w:tab w:val="left" w:pos="1441"/>
        </w:tabs>
        <w:spacing w:line="252" w:lineRule="exact"/>
        <w:ind w:hanging="361"/>
        <w:jc w:val="both"/>
      </w:pPr>
      <w:r>
        <w:t>Assess the status of synergies and potential</w:t>
      </w:r>
      <w:r>
        <w:rPr>
          <w:spacing w:val="-7"/>
        </w:rPr>
        <w:t xml:space="preserve"> </w:t>
      </w:r>
      <w:r>
        <w:t>options;</w:t>
      </w:r>
    </w:p>
    <w:p w14:paraId="2548762A" w14:textId="2D32DC3C" w:rsidR="00664206" w:rsidRDefault="003F788D">
      <w:pPr>
        <w:pStyle w:val="ListParagraph"/>
        <w:numPr>
          <w:ilvl w:val="0"/>
          <w:numId w:val="3"/>
        </w:numPr>
        <w:tabs>
          <w:tab w:val="left" w:pos="1441"/>
        </w:tabs>
        <w:spacing w:before="1"/>
        <w:ind w:right="736"/>
        <w:jc w:val="both"/>
      </w:pPr>
      <w:r>
        <w:t>Consult the assessment of the status and options for synergies with the identified frameworks and finalise the document as a blueprint for strengthening of existing and development of new synergies.</w:t>
      </w:r>
    </w:p>
    <w:p w14:paraId="1337AF8F" w14:textId="092F69C6" w:rsidR="00F91162" w:rsidRDefault="00F91162" w:rsidP="00F91162">
      <w:pPr>
        <w:tabs>
          <w:tab w:val="left" w:pos="1441"/>
        </w:tabs>
        <w:spacing w:before="1"/>
        <w:ind w:right="736"/>
        <w:jc w:val="both"/>
      </w:pPr>
    </w:p>
    <w:p w14:paraId="7AF97F62" w14:textId="36D35C91" w:rsidR="00F91162" w:rsidRDefault="00F91162" w:rsidP="00F91162">
      <w:pPr>
        <w:tabs>
          <w:tab w:val="left" w:pos="1441"/>
        </w:tabs>
        <w:spacing w:before="1"/>
        <w:ind w:right="736"/>
        <w:jc w:val="both"/>
      </w:pPr>
      <w:r>
        <w:t xml:space="preserve">Both steps were </w:t>
      </w:r>
      <w:r w:rsidR="001A4DB7">
        <w:t>implemented,</w:t>
      </w:r>
      <w:r>
        <w:t xml:space="preserve"> and the resulting </w:t>
      </w:r>
      <w:r w:rsidR="001A4DB7">
        <w:t xml:space="preserve">assessment and recommendations are presented below. </w:t>
      </w:r>
    </w:p>
    <w:p w14:paraId="3E187AFA" w14:textId="77777777" w:rsidR="00E543C6" w:rsidRPr="00903F84" w:rsidRDefault="00E543C6">
      <w:pPr>
        <w:pStyle w:val="BodyText"/>
        <w:spacing w:before="10"/>
        <w:rPr>
          <w:szCs w:val="14"/>
        </w:rPr>
      </w:pPr>
    </w:p>
    <w:p w14:paraId="5497D24E" w14:textId="77777777" w:rsidR="00664206" w:rsidRDefault="003F788D" w:rsidP="00903F84">
      <w:pPr>
        <w:pStyle w:val="Heading1"/>
        <w:ind w:left="90"/>
        <w:jc w:val="both"/>
      </w:pPr>
      <w:r>
        <w:t>Bird data required by various MEAs</w:t>
      </w:r>
    </w:p>
    <w:p w14:paraId="5F6BE33C" w14:textId="5B17E871" w:rsidR="00664206" w:rsidRDefault="003F788D" w:rsidP="00903F84">
      <w:pPr>
        <w:pStyle w:val="BodyText"/>
        <w:spacing w:before="161"/>
        <w:ind w:left="90"/>
        <w:jc w:val="both"/>
      </w:pPr>
      <w:r>
        <w:t>Table 1 provides an overview of the key bird attributes collected and reported by the various MEAs.</w:t>
      </w:r>
    </w:p>
    <w:p w14:paraId="48F95A06" w14:textId="77777777" w:rsidR="00664206" w:rsidRDefault="00664206">
      <w:pPr>
        <w:pStyle w:val="BodyText"/>
        <w:spacing w:before="10"/>
        <w:rPr>
          <w:sz w:val="23"/>
        </w:rPr>
      </w:pPr>
    </w:p>
    <w:p w14:paraId="20FF813B" w14:textId="77777777" w:rsidR="00664206" w:rsidRDefault="003F788D" w:rsidP="00903F84">
      <w:pPr>
        <w:pStyle w:val="BodyText"/>
        <w:spacing w:before="1"/>
        <w:ind w:left="90"/>
        <w:jc w:val="both"/>
      </w:pPr>
      <w:r>
        <w:rPr>
          <w:b/>
        </w:rPr>
        <w:t xml:space="preserve">Table 1. </w:t>
      </w:r>
      <w:r>
        <w:t>Key bird attributes collected and reported by the various MEAs.</w:t>
      </w:r>
    </w:p>
    <w:p w14:paraId="050D813D" w14:textId="77777777" w:rsidR="00664206" w:rsidRDefault="00664206">
      <w:pPr>
        <w:pStyle w:val="BodyText"/>
        <w:spacing w:before="1"/>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9"/>
        <w:gridCol w:w="2256"/>
        <w:gridCol w:w="2259"/>
        <w:gridCol w:w="2257"/>
      </w:tblGrid>
      <w:tr w:rsidR="00664206" w14:paraId="3B4E8269" w14:textId="77777777" w:rsidTr="004C64C1">
        <w:trPr>
          <w:trHeight w:val="661"/>
          <w:tblHeader/>
        </w:trPr>
        <w:tc>
          <w:tcPr>
            <w:tcW w:w="2259" w:type="dxa"/>
          </w:tcPr>
          <w:p w14:paraId="7223BB9A" w14:textId="77777777" w:rsidR="00664206" w:rsidRDefault="003F788D">
            <w:pPr>
              <w:pStyle w:val="TableParagraph"/>
              <w:rPr>
                <w:b/>
                <w:sz w:val="20"/>
              </w:rPr>
            </w:pPr>
            <w:r>
              <w:rPr>
                <w:b/>
                <w:sz w:val="20"/>
              </w:rPr>
              <w:t>MEA</w:t>
            </w:r>
            <w:r w:rsidR="003C1D3E">
              <w:rPr>
                <w:b/>
                <w:sz w:val="20"/>
              </w:rPr>
              <w:t xml:space="preserve"> / initiative</w:t>
            </w:r>
          </w:p>
          <w:p w14:paraId="5FE0F6DC" w14:textId="77777777" w:rsidR="00664206" w:rsidRDefault="003F788D">
            <w:pPr>
              <w:pStyle w:val="TableParagraph"/>
              <w:spacing w:before="0"/>
              <w:rPr>
                <w:b/>
                <w:sz w:val="20"/>
              </w:rPr>
            </w:pPr>
            <w:r>
              <w:rPr>
                <w:b/>
                <w:sz w:val="20"/>
              </w:rPr>
              <w:t>(Technical support)</w:t>
            </w:r>
          </w:p>
        </w:tc>
        <w:tc>
          <w:tcPr>
            <w:tcW w:w="2256" w:type="dxa"/>
          </w:tcPr>
          <w:p w14:paraId="546B2FC3" w14:textId="77777777" w:rsidR="00664206" w:rsidRDefault="003F788D">
            <w:pPr>
              <w:pStyle w:val="TableParagraph"/>
              <w:rPr>
                <w:b/>
                <w:sz w:val="20"/>
              </w:rPr>
            </w:pPr>
            <w:r>
              <w:rPr>
                <w:b/>
                <w:sz w:val="20"/>
              </w:rPr>
              <w:t>Population size</w:t>
            </w:r>
          </w:p>
        </w:tc>
        <w:tc>
          <w:tcPr>
            <w:tcW w:w="2259" w:type="dxa"/>
          </w:tcPr>
          <w:p w14:paraId="2F141D83" w14:textId="77777777" w:rsidR="00664206" w:rsidRDefault="003F788D">
            <w:pPr>
              <w:pStyle w:val="TableParagraph"/>
              <w:rPr>
                <w:b/>
                <w:sz w:val="20"/>
              </w:rPr>
            </w:pPr>
            <w:r>
              <w:rPr>
                <w:b/>
                <w:sz w:val="20"/>
              </w:rPr>
              <w:t>Population trend</w:t>
            </w:r>
          </w:p>
        </w:tc>
        <w:tc>
          <w:tcPr>
            <w:tcW w:w="2257" w:type="dxa"/>
          </w:tcPr>
          <w:p w14:paraId="31BD03FB" w14:textId="77777777" w:rsidR="00664206" w:rsidRDefault="003F788D">
            <w:pPr>
              <w:pStyle w:val="TableParagraph"/>
              <w:rPr>
                <w:b/>
                <w:sz w:val="20"/>
              </w:rPr>
            </w:pPr>
            <w:r>
              <w:rPr>
                <w:b/>
                <w:sz w:val="20"/>
              </w:rPr>
              <w:t>Bird numbers at sites</w:t>
            </w:r>
          </w:p>
        </w:tc>
      </w:tr>
      <w:tr w:rsidR="00664206" w14:paraId="41F48E49" w14:textId="77777777" w:rsidTr="00CC3100">
        <w:trPr>
          <w:trHeight w:val="5030"/>
        </w:trPr>
        <w:tc>
          <w:tcPr>
            <w:tcW w:w="2259" w:type="dxa"/>
            <w:tcBorders>
              <w:bottom w:val="single" w:sz="8" w:space="0" w:color="000000"/>
            </w:tcBorders>
          </w:tcPr>
          <w:p w14:paraId="4DEDC1E6" w14:textId="77777777" w:rsidR="00664206" w:rsidRDefault="003F788D">
            <w:pPr>
              <w:pStyle w:val="TableParagraph"/>
              <w:spacing w:before="98"/>
              <w:rPr>
                <w:sz w:val="20"/>
              </w:rPr>
            </w:pPr>
            <w:r>
              <w:rPr>
                <w:sz w:val="20"/>
              </w:rPr>
              <w:t>AEWA</w:t>
            </w:r>
          </w:p>
          <w:p w14:paraId="7457DB1E" w14:textId="77777777" w:rsidR="004C64C1" w:rsidRDefault="004C64C1">
            <w:pPr>
              <w:pStyle w:val="TableParagraph"/>
              <w:spacing w:before="0"/>
              <w:rPr>
                <w:sz w:val="20"/>
              </w:rPr>
            </w:pPr>
          </w:p>
          <w:p w14:paraId="3568224A" w14:textId="0CB77032" w:rsidR="00664206" w:rsidRDefault="003F788D">
            <w:pPr>
              <w:pStyle w:val="TableParagraph"/>
              <w:spacing w:before="0"/>
              <w:rPr>
                <w:sz w:val="20"/>
              </w:rPr>
            </w:pPr>
            <w:r>
              <w:rPr>
                <w:sz w:val="20"/>
              </w:rPr>
              <w:t>(Wetlands International)</w:t>
            </w:r>
          </w:p>
        </w:tc>
        <w:tc>
          <w:tcPr>
            <w:tcW w:w="2256" w:type="dxa"/>
            <w:tcBorders>
              <w:bottom w:val="single" w:sz="8" w:space="0" w:color="000000"/>
            </w:tcBorders>
          </w:tcPr>
          <w:p w14:paraId="76F84566" w14:textId="77777777" w:rsidR="00664206" w:rsidRDefault="003F788D">
            <w:pPr>
              <w:pStyle w:val="TableParagraph"/>
              <w:spacing w:before="98"/>
              <w:ind w:right="110"/>
              <w:rPr>
                <w:sz w:val="20"/>
              </w:rPr>
            </w:pPr>
            <w:r>
              <w:rPr>
                <w:sz w:val="20"/>
              </w:rPr>
              <w:t>Classification on Table 1 of Annex 3 of the Agreement</w:t>
            </w:r>
          </w:p>
          <w:p w14:paraId="2D8B5610" w14:textId="77777777" w:rsidR="00664206" w:rsidRDefault="00664206">
            <w:pPr>
              <w:pStyle w:val="TableParagraph"/>
              <w:spacing w:before="2"/>
              <w:ind w:left="0"/>
              <w:rPr>
                <w:sz w:val="20"/>
              </w:rPr>
            </w:pPr>
          </w:p>
          <w:p w14:paraId="55716EF7" w14:textId="77777777" w:rsidR="00664206" w:rsidRDefault="003F788D">
            <w:pPr>
              <w:pStyle w:val="TableParagraph"/>
              <w:spacing w:before="0"/>
              <w:ind w:right="510"/>
              <w:rPr>
                <w:sz w:val="20"/>
              </w:rPr>
            </w:pPr>
            <w:r>
              <w:rPr>
                <w:sz w:val="20"/>
              </w:rPr>
              <w:t>Mechanism: Conservation Status Report</w:t>
            </w:r>
          </w:p>
          <w:p w14:paraId="7BBADAAF" w14:textId="77777777" w:rsidR="00664206" w:rsidRDefault="00664206">
            <w:pPr>
              <w:pStyle w:val="TableParagraph"/>
              <w:spacing w:before="0"/>
              <w:ind w:left="0"/>
              <w:rPr>
                <w:sz w:val="20"/>
              </w:rPr>
            </w:pPr>
          </w:p>
          <w:p w14:paraId="4A646D6D" w14:textId="77777777" w:rsidR="00664206" w:rsidRDefault="003F788D">
            <w:pPr>
              <w:pStyle w:val="TableParagraph"/>
              <w:spacing w:before="0"/>
              <w:rPr>
                <w:sz w:val="20"/>
              </w:rPr>
            </w:pPr>
            <w:r>
              <w:rPr>
                <w:sz w:val="20"/>
              </w:rPr>
              <w:t>Sources:</w:t>
            </w:r>
          </w:p>
          <w:p w14:paraId="09C6C033" w14:textId="77777777" w:rsidR="00664206" w:rsidRDefault="003F788D">
            <w:pPr>
              <w:pStyle w:val="TableParagraph"/>
              <w:spacing w:before="0"/>
              <w:rPr>
                <w:sz w:val="20"/>
              </w:rPr>
            </w:pPr>
            <w:r>
              <w:rPr>
                <w:sz w:val="20"/>
              </w:rPr>
              <w:t>IWC</w:t>
            </w:r>
          </w:p>
          <w:p w14:paraId="28C81096" w14:textId="77777777" w:rsidR="00664206" w:rsidRDefault="003F788D">
            <w:pPr>
              <w:pStyle w:val="TableParagraph"/>
              <w:spacing w:before="1"/>
              <w:ind w:right="249"/>
              <w:rPr>
                <w:sz w:val="20"/>
              </w:rPr>
            </w:pPr>
            <w:r>
              <w:rPr>
                <w:sz w:val="20"/>
              </w:rPr>
              <w:t>Regional assessments (e.g. EU Art. 12 report, European Red List of Birds, HELCOM, OSPAR)</w:t>
            </w:r>
          </w:p>
          <w:p w14:paraId="1E311CD7" w14:textId="77777777" w:rsidR="00664206" w:rsidRDefault="003F788D">
            <w:pPr>
              <w:pStyle w:val="TableParagraph"/>
              <w:spacing w:before="0" w:line="230" w:lineRule="exact"/>
              <w:rPr>
                <w:sz w:val="20"/>
              </w:rPr>
            </w:pPr>
            <w:r>
              <w:rPr>
                <w:sz w:val="20"/>
              </w:rPr>
              <w:t>EBCC PECBMS</w:t>
            </w:r>
          </w:p>
          <w:p w14:paraId="6D588BDA" w14:textId="77777777" w:rsidR="00CC3100" w:rsidRPr="00CC3100" w:rsidRDefault="003F788D" w:rsidP="00CC3100">
            <w:pPr>
              <w:pStyle w:val="TableParagraph"/>
              <w:ind w:right="310"/>
              <w:rPr>
                <w:sz w:val="20"/>
              </w:rPr>
            </w:pPr>
            <w:r>
              <w:rPr>
                <w:sz w:val="20"/>
              </w:rPr>
              <w:t>Commissioned reports Literature review National Reports by Contracting Parties (every 6 years</w:t>
            </w:r>
            <w:r w:rsidR="00CC3100">
              <w:rPr>
                <w:sz w:val="20"/>
              </w:rPr>
              <w:t xml:space="preserve"> </w:t>
            </w:r>
            <w:r w:rsidR="00CC3100" w:rsidRPr="00CC3100">
              <w:rPr>
                <w:sz w:val="20"/>
              </w:rPr>
              <w:t>harmonised with EU Birds Directive Article 12 reporting)</w:t>
            </w:r>
          </w:p>
          <w:p w14:paraId="78FA0F7F" w14:textId="77777777" w:rsidR="00CC3100" w:rsidRPr="00CC3100" w:rsidRDefault="00CC3100" w:rsidP="00CC3100">
            <w:pPr>
              <w:pStyle w:val="TableParagraph"/>
              <w:ind w:right="310"/>
              <w:rPr>
                <w:sz w:val="20"/>
              </w:rPr>
            </w:pPr>
            <w:r w:rsidRPr="00CC3100">
              <w:rPr>
                <w:sz w:val="20"/>
              </w:rPr>
              <w:t>Frequency: every 3 years</w:t>
            </w:r>
          </w:p>
          <w:p w14:paraId="2C316B28" w14:textId="77777777" w:rsidR="00CC3100" w:rsidRPr="00CC3100" w:rsidRDefault="00CC3100" w:rsidP="00CC3100">
            <w:pPr>
              <w:pStyle w:val="TableParagraph"/>
              <w:ind w:right="310"/>
              <w:rPr>
                <w:sz w:val="20"/>
              </w:rPr>
            </w:pPr>
          </w:p>
          <w:p w14:paraId="7EE8A648" w14:textId="77777777" w:rsidR="00CC3100" w:rsidRPr="00CC3100" w:rsidRDefault="00CC3100" w:rsidP="00CC3100">
            <w:pPr>
              <w:pStyle w:val="TableParagraph"/>
              <w:ind w:right="310"/>
              <w:rPr>
                <w:sz w:val="20"/>
              </w:rPr>
            </w:pPr>
            <w:r w:rsidRPr="00CC3100">
              <w:rPr>
                <w:sz w:val="20"/>
              </w:rPr>
              <w:t>Taxonomic level and scope:</w:t>
            </w:r>
          </w:p>
          <w:p w14:paraId="5D2C2F7B" w14:textId="3E4026AC" w:rsidR="00664206" w:rsidRDefault="00CC3100" w:rsidP="00CC3100">
            <w:pPr>
              <w:pStyle w:val="TableParagraph"/>
              <w:spacing w:before="0"/>
              <w:ind w:right="310"/>
              <w:rPr>
                <w:sz w:val="20"/>
              </w:rPr>
            </w:pPr>
            <w:r w:rsidRPr="00CC3100">
              <w:rPr>
                <w:sz w:val="20"/>
              </w:rPr>
              <w:t>Populations listed on Table 1 (migratory water- and seabirds) and non-native waterbirds</w:t>
            </w:r>
          </w:p>
        </w:tc>
        <w:tc>
          <w:tcPr>
            <w:tcW w:w="2259" w:type="dxa"/>
            <w:tcBorders>
              <w:bottom w:val="single" w:sz="8" w:space="0" w:color="000000"/>
            </w:tcBorders>
          </w:tcPr>
          <w:p w14:paraId="0326778D" w14:textId="77777777" w:rsidR="00664206" w:rsidRDefault="003F788D">
            <w:pPr>
              <w:pStyle w:val="TableParagraph"/>
              <w:spacing w:before="98"/>
              <w:ind w:right="113"/>
              <w:rPr>
                <w:sz w:val="20"/>
              </w:rPr>
            </w:pPr>
            <w:r>
              <w:rPr>
                <w:sz w:val="20"/>
              </w:rPr>
              <w:lastRenderedPageBreak/>
              <w:t>Classification on Table 1 of Annex 3 of the Agreement</w:t>
            </w:r>
          </w:p>
          <w:p w14:paraId="75C504FB" w14:textId="77777777" w:rsidR="00664206" w:rsidRDefault="00664206">
            <w:pPr>
              <w:pStyle w:val="TableParagraph"/>
              <w:spacing w:before="2"/>
              <w:ind w:left="0"/>
              <w:rPr>
                <w:sz w:val="20"/>
              </w:rPr>
            </w:pPr>
          </w:p>
          <w:p w14:paraId="225D0A32" w14:textId="77777777" w:rsidR="00664206" w:rsidRDefault="003F788D">
            <w:pPr>
              <w:pStyle w:val="TableParagraph"/>
              <w:spacing w:before="0"/>
              <w:ind w:right="102"/>
              <w:rPr>
                <w:sz w:val="20"/>
              </w:rPr>
            </w:pPr>
            <w:r>
              <w:rPr>
                <w:sz w:val="20"/>
              </w:rPr>
              <w:t>Strategic Plan 2019-2027 Purpose-level indicators</w:t>
            </w:r>
          </w:p>
          <w:p w14:paraId="665CF80E" w14:textId="77777777" w:rsidR="00664206" w:rsidRDefault="00664206">
            <w:pPr>
              <w:pStyle w:val="TableParagraph"/>
              <w:spacing w:before="11"/>
              <w:ind w:left="0"/>
              <w:rPr>
                <w:sz w:val="19"/>
              </w:rPr>
            </w:pPr>
          </w:p>
          <w:p w14:paraId="17A50D66" w14:textId="77777777" w:rsidR="00664206" w:rsidRDefault="003F788D">
            <w:pPr>
              <w:pStyle w:val="TableParagraph"/>
              <w:spacing w:before="0"/>
              <w:ind w:right="513"/>
              <w:rPr>
                <w:sz w:val="20"/>
              </w:rPr>
            </w:pPr>
            <w:r>
              <w:rPr>
                <w:sz w:val="20"/>
              </w:rPr>
              <w:t>Mechanism: Conservation Status Report</w:t>
            </w:r>
          </w:p>
          <w:p w14:paraId="31FFD381" w14:textId="77777777" w:rsidR="00664206" w:rsidRDefault="00664206">
            <w:pPr>
              <w:pStyle w:val="TableParagraph"/>
              <w:spacing w:before="10"/>
              <w:ind w:left="0"/>
              <w:rPr>
                <w:sz w:val="19"/>
              </w:rPr>
            </w:pPr>
          </w:p>
          <w:p w14:paraId="3E61C059" w14:textId="77777777" w:rsidR="00664206" w:rsidRDefault="003F788D">
            <w:pPr>
              <w:pStyle w:val="TableParagraph"/>
              <w:spacing w:before="1"/>
              <w:rPr>
                <w:sz w:val="20"/>
              </w:rPr>
            </w:pPr>
            <w:r>
              <w:rPr>
                <w:sz w:val="20"/>
              </w:rPr>
              <w:t>Sources:</w:t>
            </w:r>
          </w:p>
          <w:p w14:paraId="471CF0EC" w14:textId="77777777" w:rsidR="00664206" w:rsidRDefault="003F788D">
            <w:pPr>
              <w:pStyle w:val="TableParagraph"/>
              <w:spacing w:before="0"/>
              <w:ind w:right="269"/>
              <w:rPr>
                <w:sz w:val="20"/>
              </w:rPr>
            </w:pPr>
            <w:r>
              <w:rPr>
                <w:sz w:val="20"/>
              </w:rPr>
              <w:t>Same as for population size</w:t>
            </w:r>
          </w:p>
          <w:p w14:paraId="12379981" w14:textId="77777777" w:rsidR="00CC3100" w:rsidRPr="00CC3100" w:rsidRDefault="003F788D" w:rsidP="00CC3100">
            <w:pPr>
              <w:pStyle w:val="TableParagraph"/>
              <w:spacing w:before="1"/>
              <w:ind w:right="286"/>
              <w:rPr>
                <w:sz w:val="20"/>
              </w:rPr>
            </w:pPr>
            <w:r>
              <w:rPr>
                <w:sz w:val="20"/>
              </w:rPr>
              <w:t>Flyway-level trend analysis of IWC data National Reports by Contracting Parties (every 6 years harmonised with EU Birds Directive Article</w:t>
            </w:r>
            <w:r w:rsidR="00CC3100">
              <w:rPr>
                <w:sz w:val="20"/>
              </w:rPr>
              <w:t xml:space="preserve"> </w:t>
            </w:r>
            <w:r w:rsidR="00CC3100" w:rsidRPr="00CC3100">
              <w:rPr>
                <w:sz w:val="20"/>
              </w:rPr>
              <w:t>12 reporting)</w:t>
            </w:r>
          </w:p>
          <w:p w14:paraId="7A08A607" w14:textId="77777777" w:rsidR="00CC3100" w:rsidRPr="00CC3100" w:rsidRDefault="00CC3100" w:rsidP="00CC3100">
            <w:pPr>
              <w:pStyle w:val="TableParagraph"/>
              <w:spacing w:before="1"/>
              <w:ind w:right="286"/>
              <w:rPr>
                <w:sz w:val="20"/>
              </w:rPr>
            </w:pPr>
          </w:p>
          <w:p w14:paraId="38D65547" w14:textId="77777777" w:rsidR="00CC3100" w:rsidRPr="00CC3100" w:rsidRDefault="00CC3100" w:rsidP="00CC3100">
            <w:pPr>
              <w:pStyle w:val="TableParagraph"/>
              <w:spacing w:before="1"/>
              <w:ind w:right="286"/>
              <w:rPr>
                <w:sz w:val="20"/>
              </w:rPr>
            </w:pPr>
            <w:r w:rsidRPr="00CC3100">
              <w:rPr>
                <w:sz w:val="20"/>
              </w:rPr>
              <w:t>Frequency: 3 years</w:t>
            </w:r>
          </w:p>
          <w:p w14:paraId="11924CA7" w14:textId="77777777" w:rsidR="00CC3100" w:rsidRPr="00CC3100" w:rsidRDefault="00CC3100" w:rsidP="00CC3100">
            <w:pPr>
              <w:pStyle w:val="TableParagraph"/>
              <w:spacing w:before="1"/>
              <w:ind w:right="286"/>
              <w:rPr>
                <w:sz w:val="20"/>
              </w:rPr>
            </w:pPr>
            <w:r w:rsidRPr="00CC3100">
              <w:rPr>
                <w:sz w:val="20"/>
              </w:rPr>
              <w:t>Taxonomic level and scope:</w:t>
            </w:r>
          </w:p>
          <w:p w14:paraId="34935D90" w14:textId="77777777" w:rsidR="00CC3100" w:rsidRPr="00CC3100" w:rsidRDefault="00CC3100" w:rsidP="00CC3100">
            <w:pPr>
              <w:pStyle w:val="TableParagraph"/>
              <w:spacing w:before="1"/>
              <w:ind w:right="286"/>
              <w:rPr>
                <w:sz w:val="20"/>
              </w:rPr>
            </w:pPr>
            <w:r w:rsidRPr="00CC3100">
              <w:rPr>
                <w:sz w:val="20"/>
              </w:rPr>
              <w:t xml:space="preserve">Populations listed on </w:t>
            </w:r>
            <w:r w:rsidRPr="00CC3100">
              <w:rPr>
                <w:sz w:val="20"/>
              </w:rPr>
              <w:lastRenderedPageBreak/>
              <w:t>Table 1 (migratory water- and seabirds) and non-native waterbirds</w:t>
            </w:r>
          </w:p>
          <w:p w14:paraId="14792E50" w14:textId="77777777" w:rsidR="00CC3100" w:rsidRPr="00CC3100" w:rsidRDefault="00CC3100" w:rsidP="00CC3100">
            <w:pPr>
              <w:pStyle w:val="TableParagraph"/>
              <w:spacing w:before="1"/>
              <w:ind w:right="286"/>
              <w:rPr>
                <w:sz w:val="20"/>
              </w:rPr>
            </w:pPr>
          </w:p>
          <w:p w14:paraId="3C53585D" w14:textId="07F2741B" w:rsidR="00664206" w:rsidRDefault="00CC3100" w:rsidP="00CC3100">
            <w:pPr>
              <w:pStyle w:val="TableParagraph"/>
              <w:spacing w:before="1"/>
              <w:ind w:right="286"/>
              <w:rPr>
                <w:sz w:val="20"/>
              </w:rPr>
            </w:pPr>
            <w:r w:rsidRPr="00CC3100">
              <w:rPr>
                <w:sz w:val="20"/>
              </w:rPr>
              <w:t>Species action and management plans also include demographic parameters to monitor</w:t>
            </w:r>
          </w:p>
        </w:tc>
        <w:tc>
          <w:tcPr>
            <w:tcW w:w="2257" w:type="dxa"/>
            <w:tcBorders>
              <w:bottom w:val="single" w:sz="8" w:space="0" w:color="000000"/>
            </w:tcBorders>
          </w:tcPr>
          <w:p w14:paraId="6471BE53" w14:textId="77777777" w:rsidR="00664206" w:rsidRDefault="003F788D">
            <w:pPr>
              <w:pStyle w:val="TableParagraph"/>
              <w:spacing w:before="98"/>
              <w:ind w:right="161"/>
              <w:jc w:val="both"/>
              <w:rPr>
                <w:sz w:val="20"/>
              </w:rPr>
            </w:pPr>
            <w:r>
              <w:rPr>
                <w:sz w:val="20"/>
              </w:rPr>
              <w:lastRenderedPageBreak/>
              <w:t>Nomination of AEWA Flyway Network Sites according to Target 3.1 of the AEWA Strategic Plan 2019-2027 by 2021</w:t>
            </w:r>
          </w:p>
          <w:p w14:paraId="7A9F6E7C" w14:textId="77777777" w:rsidR="00664206" w:rsidRDefault="003F788D">
            <w:pPr>
              <w:pStyle w:val="TableParagraph"/>
              <w:spacing w:before="0"/>
              <w:ind w:right="211"/>
              <w:rPr>
                <w:sz w:val="20"/>
              </w:rPr>
            </w:pPr>
            <w:r>
              <w:rPr>
                <w:sz w:val="20"/>
              </w:rPr>
              <w:t>and updated by MOP10 (2027) and for every other MOP thereafter</w:t>
            </w:r>
          </w:p>
          <w:p w14:paraId="515E804F" w14:textId="77777777" w:rsidR="00664206" w:rsidRDefault="00664206">
            <w:pPr>
              <w:pStyle w:val="TableParagraph"/>
              <w:spacing w:before="2"/>
              <w:ind w:left="0"/>
              <w:rPr>
                <w:sz w:val="20"/>
              </w:rPr>
            </w:pPr>
          </w:p>
          <w:p w14:paraId="316D3AE1" w14:textId="77777777" w:rsidR="00664206" w:rsidRDefault="003F788D">
            <w:pPr>
              <w:pStyle w:val="TableParagraph"/>
              <w:spacing w:before="0"/>
              <w:ind w:right="245"/>
              <w:rPr>
                <w:sz w:val="20"/>
              </w:rPr>
            </w:pPr>
            <w:r>
              <w:rPr>
                <w:sz w:val="20"/>
              </w:rPr>
              <w:t>Monitoring of AEWA Flyway Network Sites according to Target 3.2 of the AEWA Strategic Plan 2019-2027 by</w:t>
            </w:r>
          </w:p>
          <w:p w14:paraId="46789DF5" w14:textId="77777777" w:rsidR="00664206" w:rsidRDefault="003F788D">
            <w:pPr>
              <w:pStyle w:val="TableParagraph"/>
              <w:spacing w:before="0" w:line="230" w:lineRule="exact"/>
              <w:rPr>
                <w:sz w:val="20"/>
              </w:rPr>
            </w:pPr>
            <w:r>
              <w:rPr>
                <w:sz w:val="20"/>
              </w:rPr>
              <w:t>MOP9 (2024)</w:t>
            </w:r>
          </w:p>
          <w:p w14:paraId="1C50A024" w14:textId="77777777" w:rsidR="00664206" w:rsidRDefault="00664206">
            <w:pPr>
              <w:pStyle w:val="TableParagraph"/>
              <w:spacing w:before="1"/>
              <w:ind w:left="0"/>
              <w:rPr>
                <w:sz w:val="20"/>
              </w:rPr>
            </w:pPr>
          </w:p>
          <w:p w14:paraId="5C1C3A47" w14:textId="77777777" w:rsidR="00664206" w:rsidRDefault="003F788D">
            <w:pPr>
              <w:pStyle w:val="TableParagraph"/>
              <w:spacing w:before="0"/>
              <w:ind w:right="578"/>
              <w:rPr>
                <w:sz w:val="20"/>
              </w:rPr>
            </w:pPr>
            <w:r>
              <w:rPr>
                <w:sz w:val="20"/>
              </w:rPr>
              <w:t>Sources: Contracting Parties</w:t>
            </w:r>
          </w:p>
        </w:tc>
      </w:tr>
      <w:tr w:rsidR="00664206" w14:paraId="63EE8438" w14:textId="77777777" w:rsidTr="00152562">
        <w:trPr>
          <w:trHeight w:val="790"/>
        </w:trPr>
        <w:tc>
          <w:tcPr>
            <w:tcW w:w="2259" w:type="dxa"/>
            <w:tcBorders>
              <w:top w:val="single" w:sz="8" w:space="0" w:color="000000"/>
              <w:left w:val="single" w:sz="8" w:space="0" w:color="000000"/>
              <w:bottom w:val="single" w:sz="8" w:space="0" w:color="000000"/>
              <w:right w:val="single" w:sz="8" w:space="0" w:color="000000"/>
            </w:tcBorders>
          </w:tcPr>
          <w:p w14:paraId="18B740BA" w14:textId="77777777" w:rsidR="00664206" w:rsidRDefault="003F788D">
            <w:pPr>
              <w:pStyle w:val="TableParagraph"/>
              <w:rPr>
                <w:sz w:val="20"/>
              </w:rPr>
            </w:pPr>
            <w:r>
              <w:rPr>
                <w:sz w:val="20"/>
              </w:rPr>
              <w:t>Ramsar</w:t>
            </w:r>
          </w:p>
          <w:p w14:paraId="493AD9A4" w14:textId="77777777" w:rsidR="00664206" w:rsidRDefault="00664206">
            <w:pPr>
              <w:pStyle w:val="TableParagraph"/>
              <w:spacing w:before="0"/>
              <w:ind w:left="0"/>
              <w:rPr>
                <w:sz w:val="20"/>
              </w:rPr>
            </w:pPr>
          </w:p>
          <w:p w14:paraId="71BC39A6" w14:textId="77777777" w:rsidR="00664206" w:rsidRDefault="003F788D">
            <w:pPr>
              <w:pStyle w:val="TableParagraph"/>
              <w:spacing w:before="0"/>
              <w:rPr>
                <w:sz w:val="20"/>
              </w:rPr>
            </w:pPr>
            <w:r>
              <w:rPr>
                <w:sz w:val="20"/>
              </w:rPr>
              <w:t>(Wetlands International)</w:t>
            </w:r>
          </w:p>
        </w:tc>
        <w:tc>
          <w:tcPr>
            <w:tcW w:w="2256" w:type="dxa"/>
            <w:tcBorders>
              <w:top w:val="single" w:sz="8" w:space="0" w:color="000000"/>
              <w:left w:val="single" w:sz="8" w:space="0" w:color="000000"/>
              <w:bottom w:val="single" w:sz="8" w:space="0" w:color="000000"/>
              <w:right w:val="single" w:sz="8" w:space="0" w:color="000000"/>
            </w:tcBorders>
          </w:tcPr>
          <w:p w14:paraId="5CFC83AC" w14:textId="77777777" w:rsidR="00664206" w:rsidRDefault="003F788D">
            <w:pPr>
              <w:pStyle w:val="TableParagraph"/>
              <w:rPr>
                <w:sz w:val="20"/>
              </w:rPr>
            </w:pPr>
            <w:r>
              <w:rPr>
                <w:sz w:val="20"/>
              </w:rPr>
              <w:t>Criterion 6</w:t>
            </w:r>
          </w:p>
          <w:p w14:paraId="5E544CC0" w14:textId="77777777" w:rsidR="00664206" w:rsidRDefault="00664206">
            <w:pPr>
              <w:pStyle w:val="TableParagraph"/>
              <w:spacing w:before="0"/>
              <w:ind w:left="0"/>
              <w:rPr>
                <w:sz w:val="20"/>
              </w:rPr>
            </w:pPr>
          </w:p>
          <w:p w14:paraId="0DDED526" w14:textId="77777777" w:rsidR="00664206" w:rsidRDefault="003F788D">
            <w:pPr>
              <w:pStyle w:val="TableParagraph"/>
              <w:spacing w:before="0"/>
              <w:rPr>
                <w:sz w:val="20"/>
              </w:rPr>
            </w:pPr>
            <w:r>
              <w:rPr>
                <w:sz w:val="20"/>
              </w:rPr>
              <w:t>Mechanism: Waterbird Population Estimates</w:t>
            </w:r>
          </w:p>
          <w:p w14:paraId="7EF77E72" w14:textId="77777777" w:rsidR="00152562" w:rsidRDefault="00152562">
            <w:pPr>
              <w:pStyle w:val="TableParagraph"/>
              <w:spacing w:before="0"/>
              <w:rPr>
                <w:sz w:val="20"/>
              </w:rPr>
            </w:pPr>
          </w:p>
          <w:p w14:paraId="57562C8A" w14:textId="4ADEB3A4" w:rsidR="00152562" w:rsidRDefault="00F93AB8">
            <w:pPr>
              <w:pStyle w:val="TableParagraph"/>
              <w:spacing w:before="0"/>
              <w:rPr>
                <w:sz w:val="20"/>
              </w:rPr>
            </w:pPr>
            <w:r>
              <w:rPr>
                <w:sz w:val="20"/>
              </w:rPr>
              <w:t>Frequency: a</w:t>
            </w:r>
            <w:r w:rsidR="001C51F1">
              <w:rPr>
                <w:sz w:val="20"/>
              </w:rPr>
              <w:t xml:space="preserve">ccording to </w:t>
            </w:r>
            <w:r w:rsidR="001C51F1" w:rsidRPr="00462E61">
              <w:rPr>
                <w:sz w:val="20"/>
              </w:rPr>
              <w:t>Ramsar Resolution VI.9, 1% thresholds are</w:t>
            </w:r>
            <w:r w:rsidR="001C51F1">
              <w:rPr>
                <w:rStyle w:val="CommentReference"/>
              </w:rPr>
              <w:t xml:space="preserve"> </w:t>
            </w:r>
            <w:r w:rsidR="00152562" w:rsidRPr="00152562">
              <w:rPr>
                <w:sz w:val="20"/>
              </w:rPr>
              <w:t>to be updated once in 9 years unless significant change in numbers</w:t>
            </w:r>
            <w:r>
              <w:rPr>
                <w:sz w:val="20"/>
              </w:rPr>
              <w:t>.</w:t>
            </w:r>
          </w:p>
          <w:p w14:paraId="798E0B16" w14:textId="77777777" w:rsidR="00152562" w:rsidRDefault="00152562">
            <w:pPr>
              <w:pStyle w:val="TableParagraph"/>
              <w:spacing w:before="0"/>
              <w:rPr>
                <w:sz w:val="20"/>
              </w:rPr>
            </w:pPr>
          </w:p>
          <w:p w14:paraId="631157D6" w14:textId="3085B6A9" w:rsidR="00152562" w:rsidRDefault="00152562">
            <w:pPr>
              <w:pStyle w:val="TableParagraph"/>
              <w:spacing w:before="0"/>
              <w:rPr>
                <w:sz w:val="20"/>
              </w:rPr>
            </w:pPr>
            <w:r w:rsidRPr="00152562">
              <w:rPr>
                <w:sz w:val="20"/>
              </w:rPr>
              <w:t>Taxonomic level and scope: all waterbird populations</w:t>
            </w:r>
          </w:p>
        </w:tc>
        <w:tc>
          <w:tcPr>
            <w:tcW w:w="2259" w:type="dxa"/>
            <w:tcBorders>
              <w:top w:val="single" w:sz="8" w:space="0" w:color="000000"/>
              <w:left w:val="single" w:sz="8" w:space="0" w:color="000000"/>
              <w:bottom w:val="single" w:sz="8" w:space="0" w:color="000000"/>
              <w:right w:val="single" w:sz="8" w:space="0" w:color="000000"/>
            </w:tcBorders>
          </w:tcPr>
          <w:p w14:paraId="2B6390C6" w14:textId="77777777" w:rsidR="00664206" w:rsidRDefault="003F788D">
            <w:pPr>
              <w:pStyle w:val="TableParagraph"/>
              <w:ind w:right="219"/>
              <w:rPr>
                <w:sz w:val="20"/>
              </w:rPr>
            </w:pPr>
            <w:r>
              <w:rPr>
                <w:sz w:val="20"/>
              </w:rPr>
              <w:t>Not used yet although a set of trend indicators could be relevant to</w:t>
            </w:r>
          </w:p>
          <w:p w14:paraId="25B5C237" w14:textId="77777777" w:rsidR="00664206" w:rsidRDefault="003F788D">
            <w:pPr>
              <w:pStyle w:val="TableParagraph"/>
              <w:spacing w:before="5" w:line="228" w:lineRule="exact"/>
              <w:ind w:right="113"/>
              <w:rPr>
                <w:sz w:val="20"/>
              </w:rPr>
            </w:pPr>
            <w:r>
              <w:rPr>
                <w:sz w:val="20"/>
              </w:rPr>
              <w:t>assess the Ramsar Strategic Plan</w:t>
            </w:r>
          </w:p>
        </w:tc>
        <w:tc>
          <w:tcPr>
            <w:tcW w:w="2257" w:type="dxa"/>
            <w:tcBorders>
              <w:top w:val="single" w:sz="8" w:space="0" w:color="000000"/>
              <w:left w:val="single" w:sz="8" w:space="0" w:color="000000"/>
              <w:bottom w:val="single" w:sz="8" w:space="0" w:color="000000"/>
              <w:right w:val="single" w:sz="8" w:space="0" w:color="000000"/>
            </w:tcBorders>
          </w:tcPr>
          <w:p w14:paraId="48E879FE" w14:textId="77777777" w:rsidR="00664206" w:rsidRDefault="003F788D">
            <w:pPr>
              <w:pStyle w:val="TableParagraph"/>
              <w:rPr>
                <w:sz w:val="20"/>
              </w:rPr>
            </w:pPr>
            <w:r>
              <w:rPr>
                <w:sz w:val="20"/>
              </w:rPr>
              <w:t>Ramsar Criteria 4, 5 &amp; 6</w:t>
            </w:r>
          </w:p>
          <w:p w14:paraId="199CE017" w14:textId="77777777" w:rsidR="00664206" w:rsidRDefault="00664206">
            <w:pPr>
              <w:pStyle w:val="TableParagraph"/>
              <w:spacing w:before="0"/>
              <w:ind w:left="0"/>
              <w:rPr>
                <w:sz w:val="20"/>
              </w:rPr>
            </w:pPr>
          </w:p>
          <w:p w14:paraId="324D8B87" w14:textId="77777777" w:rsidR="00664206" w:rsidRDefault="003F788D">
            <w:pPr>
              <w:pStyle w:val="TableParagraph"/>
              <w:spacing w:before="0"/>
              <w:ind w:right="173"/>
              <w:rPr>
                <w:sz w:val="20"/>
              </w:rPr>
            </w:pPr>
            <w:r>
              <w:rPr>
                <w:sz w:val="20"/>
              </w:rPr>
              <w:t>Ramsar Information Sheets are to be updated</w:t>
            </w:r>
          </w:p>
        </w:tc>
      </w:tr>
      <w:tr w:rsidR="00664206" w14:paraId="7CC53827" w14:textId="77777777" w:rsidTr="00CC3100">
        <w:trPr>
          <w:trHeight w:val="564"/>
        </w:trPr>
        <w:tc>
          <w:tcPr>
            <w:tcW w:w="2259" w:type="dxa"/>
            <w:tcBorders>
              <w:top w:val="single" w:sz="8" w:space="0" w:color="000000"/>
              <w:bottom w:val="nil"/>
            </w:tcBorders>
          </w:tcPr>
          <w:p w14:paraId="411E95F6" w14:textId="77777777" w:rsidR="00664206" w:rsidRDefault="003F788D">
            <w:pPr>
              <w:pStyle w:val="TableParagraph"/>
              <w:spacing w:before="98"/>
              <w:rPr>
                <w:sz w:val="20"/>
              </w:rPr>
            </w:pPr>
            <w:r>
              <w:rPr>
                <w:sz w:val="20"/>
              </w:rPr>
              <w:t>EU Birds Directive</w:t>
            </w:r>
          </w:p>
        </w:tc>
        <w:tc>
          <w:tcPr>
            <w:tcW w:w="2256" w:type="dxa"/>
            <w:tcBorders>
              <w:top w:val="single" w:sz="8" w:space="0" w:color="000000"/>
              <w:bottom w:val="nil"/>
            </w:tcBorders>
          </w:tcPr>
          <w:p w14:paraId="4D6BD0A3" w14:textId="77777777" w:rsidR="00664206" w:rsidRDefault="003F788D">
            <w:pPr>
              <w:pStyle w:val="TableParagraph"/>
              <w:spacing w:before="98" w:line="230" w:lineRule="atLeast"/>
              <w:ind w:right="211"/>
              <w:rPr>
                <w:sz w:val="20"/>
              </w:rPr>
            </w:pPr>
            <w:r>
              <w:rPr>
                <w:sz w:val="20"/>
              </w:rPr>
              <w:t>EU Article 12 reporting process</w:t>
            </w:r>
          </w:p>
        </w:tc>
        <w:tc>
          <w:tcPr>
            <w:tcW w:w="2259" w:type="dxa"/>
            <w:tcBorders>
              <w:top w:val="single" w:sz="8" w:space="0" w:color="000000"/>
              <w:bottom w:val="nil"/>
            </w:tcBorders>
          </w:tcPr>
          <w:p w14:paraId="3C2FE7FD" w14:textId="77777777" w:rsidR="00664206" w:rsidRDefault="003F788D">
            <w:pPr>
              <w:pStyle w:val="TableParagraph"/>
              <w:spacing w:before="98" w:line="230" w:lineRule="atLeast"/>
              <w:ind w:right="214"/>
              <w:rPr>
                <w:sz w:val="20"/>
              </w:rPr>
            </w:pPr>
            <w:r>
              <w:rPr>
                <w:sz w:val="20"/>
              </w:rPr>
              <w:t>EU Article 12 reporting process</w:t>
            </w:r>
          </w:p>
        </w:tc>
        <w:tc>
          <w:tcPr>
            <w:tcW w:w="2257" w:type="dxa"/>
            <w:tcBorders>
              <w:top w:val="single" w:sz="8" w:space="0" w:color="000000"/>
              <w:bottom w:val="nil"/>
            </w:tcBorders>
          </w:tcPr>
          <w:p w14:paraId="14E3A888" w14:textId="77777777" w:rsidR="00664206" w:rsidRDefault="003F788D">
            <w:pPr>
              <w:pStyle w:val="TableParagraph"/>
              <w:spacing w:before="98" w:line="230" w:lineRule="atLeast"/>
              <w:ind w:right="450"/>
              <w:rPr>
                <w:sz w:val="20"/>
              </w:rPr>
            </w:pPr>
            <w:r>
              <w:rPr>
                <w:sz w:val="20"/>
              </w:rPr>
              <w:t>Nomination of SPAs under Article 4</w:t>
            </w:r>
          </w:p>
        </w:tc>
      </w:tr>
      <w:tr w:rsidR="00664206" w14:paraId="6F5FB5EC" w14:textId="77777777">
        <w:trPr>
          <w:trHeight w:val="919"/>
        </w:trPr>
        <w:tc>
          <w:tcPr>
            <w:tcW w:w="2259" w:type="dxa"/>
            <w:tcBorders>
              <w:top w:val="nil"/>
              <w:bottom w:val="nil"/>
            </w:tcBorders>
          </w:tcPr>
          <w:p w14:paraId="35082CB3" w14:textId="77777777" w:rsidR="00664206" w:rsidRDefault="003F788D">
            <w:pPr>
              <w:pStyle w:val="TableParagraph"/>
              <w:spacing w:before="0"/>
              <w:ind w:right="104"/>
              <w:rPr>
                <w:sz w:val="20"/>
              </w:rPr>
            </w:pPr>
            <w:r>
              <w:rPr>
                <w:sz w:val="20"/>
              </w:rPr>
              <w:t>(European Environmental Agency &amp; BirdLife</w:t>
            </w:r>
            <w:r>
              <w:rPr>
                <w:spacing w:val="-15"/>
                <w:sz w:val="20"/>
              </w:rPr>
              <w:t xml:space="preserve"> </w:t>
            </w:r>
            <w:r>
              <w:rPr>
                <w:sz w:val="20"/>
              </w:rPr>
              <w:t>International)</w:t>
            </w:r>
          </w:p>
        </w:tc>
        <w:tc>
          <w:tcPr>
            <w:tcW w:w="2256" w:type="dxa"/>
            <w:tcBorders>
              <w:top w:val="nil"/>
              <w:bottom w:val="nil"/>
            </w:tcBorders>
          </w:tcPr>
          <w:p w14:paraId="15A7A4AC" w14:textId="77777777" w:rsidR="00664206" w:rsidRDefault="00664206">
            <w:pPr>
              <w:pStyle w:val="TableParagraph"/>
              <w:spacing w:before="7"/>
              <w:ind w:left="0"/>
              <w:rPr>
                <w:sz w:val="19"/>
              </w:rPr>
            </w:pPr>
          </w:p>
          <w:p w14:paraId="5B652590" w14:textId="77777777" w:rsidR="00664206" w:rsidRDefault="003F788D">
            <w:pPr>
              <w:pStyle w:val="TableParagraph"/>
              <w:spacing w:before="0"/>
              <w:ind w:right="94"/>
              <w:rPr>
                <w:sz w:val="20"/>
              </w:rPr>
            </w:pPr>
            <w:r>
              <w:rPr>
                <w:sz w:val="20"/>
              </w:rPr>
              <w:t>EU Biodiversity Strategy indicators</w:t>
            </w:r>
          </w:p>
        </w:tc>
        <w:tc>
          <w:tcPr>
            <w:tcW w:w="2259" w:type="dxa"/>
            <w:tcBorders>
              <w:top w:val="nil"/>
              <w:bottom w:val="nil"/>
            </w:tcBorders>
          </w:tcPr>
          <w:p w14:paraId="525EDF4D" w14:textId="77777777" w:rsidR="00664206" w:rsidRDefault="00664206">
            <w:pPr>
              <w:pStyle w:val="TableParagraph"/>
              <w:spacing w:before="7"/>
              <w:ind w:left="0"/>
              <w:rPr>
                <w:sz w:val="19"/>
              </w:rPr>
            </w:pPr>
          </w:p>
          <w:p w14:paraId="1CA96C95" w14:textId="77777777" w:rsidR="00664206" w:rsidRDefault="003F788D">
            <w:pPr>
              <w:pStyle w:val="TableParagraph"/>
              <w:spacing w:before="0"/>
              <w:ind w:right="97"/>
              <w:rPr>
                <w:sz w:val="20"/>
              </w:rPr>
            </w:pPr>
            <w:r>
              <w:rPr>
                <w:sz w:val="20"/>
              </w:rPr>
              <w:t>EU Biodiversity Strategy indicators</w:t>
            </w:r>
          </w:p>
        </w:tc>
        <w:tc>
          <w:tcPr>
            <w:tcW w:w="2257" w:type="dxa"/>
            <w:tcBorders>
              <w:top w:val="nil"/>
              <w:bottom w:val="nil"/>
            </w:tcBorders>
          </w:tcPr>
          <w:p w14:paraId="2AB76147" w14:textId="77777777" w:rsidR="00664206" w:rsidRDefault="00664206">
            <w:pPr>
              <w:pStyle w:val="TableParagraph"/>
              <w:spacing w:before="7"/>
              <w:ind w:left="0"/>
              <w:rPr>
                <w:sz w:val="19"/>
              </w:rPr>
            </w:pPr>
          </w:p>
          <w:p w14:paraId="581BAFC4" w14:textId="77777777" w:rsidR="00664206" w:rsidRDefault="003F788D">
            <w:pPr>
              <w:pStyle w:val="TableParagraph"/>
              <w:spacing w:before="0"/>
              <w:rPr>
                <w:sz w:val="20"/>
              </w:rPr>
            </w:pPr>
            <w:r>
              <w:rPr>
                <w:sz w:val="20"/>
              </w:rPr>
              <w:t>Update of Natura 2000</w:t>
            </w:r>
          </w:p>
          <w:p w14:paraId="3932DD47" w14:textId="77777777" w:rsidR="00664206" w:rsidRDefault="003F788D">
            <w:pPr>
              <w:pStyle w:val="TableParagraph"/>
              <w:spacing w:before="5" w:line="228" w:lineRule="exact"/>
              <w:ind w:right="178"/>
              <w:rPr>
                <w:sz w:val="20"/>
              </w:rPr>
            </w:pPr>
            <w:r>
              <w:rPr>
                <w:sz w:val="20"/>
              </w:rPr>
              <w:t>Standard Data Form (no set frequency)</w:t>
            </w:r>
          </w:p>
        </w:tc>
      </w:tr>
      <w:tr w:rsidR="00664206" w14:paraId="43B15E50" w14:textId="77777777">
        <w:trPr>
          <w:trHeight w:val="2646"/>
        </w:trPr>
        <w:tc>
          <w:tcPr>
            <w:tcW w:w="2259" w:type="dxa"/>
            <w:tcBorders>
              <w:top w:val="nil"/>
              <w:bottom w:val="nil"/>
            </w:tcBorders>
          </w:tcPr>
          <w:p w14:paraId="45D3035D" w14:textId="77777777" w:rsidR="00664206" w:rsidRDefault="00664206">
            <w:pPr>
              <w:pStyle w:val="TableParagraph"/>
              <w:spacing w:before="0"/>
              <w:ind w:left="0"/>
              <w:rPr>
                <w:sz w:val="18"/>
              </w:rPr>
            </w:pPr>
          </w:p>
        </w:tc>
        <w:tc>
          <w:tcPr>
            <w:tcW w:w="2256" w:type="dxa"/>
            <w:tcBorders>
              <w:top w:val="nil"/>
              <w:bottom w:val="nil"/>
            </w:tcBorders>
          </w:tcPr>
          <w:p w14:paraId="4B34DE87" w14:textId="77777777" w:rsidR="00664206" w:rsidRDefault="003F788D">
            <w:pPr>
              <w:pStyle w:val="TableParagraph"/>
              <w:spacing w:before="0" w:line="226" w:lineRule="exact"/>
              <w:rPr>
                <w:sz w:val="20"/>
              </w:rPr>
            </w:pPr>
            <w:r>
              <w:rPr>
                <w:sz w:val="20"/>
              </w:rPr>
              <w:t>Source:</w:t>
            </w:r>
          </w:p>
          <w:p w14:paraId="4649AF6B" w14:textId="77777777" w:rsidR="00664206" w:rsidRDefault="003F788D">
            <w:pPr>
              <w:pStyle w:val="TableParagraph"/>
              <w:spacing w:before="0"/>
              <w:ind w:right="327"/>
              <w:rPr>
                <w:sz w:val="20"/>
              </w:rPr>
            </w:pPr>
            <w:r>
              <w:rPr>
                <w:sz w:val="20"/>
              </w:rPr>
              <w:t>Reports from Member States</w:t>
            </w:r>
          </w:p>
          <w:p w14:paraId="13DB7590" w14:textId="77777777" w:rsidR="00664206" w:rsidRDefault="003F788D">
            <w:pPr>
              <w:pStyle w:val="TableParagraph"/>
              <w:spacing w:before="1"/>
              <w:rPr>
                <w:sz w:val="20"/>
              </w:rPr>
            </w:pPr>
            <w:r>
              <w:rPr>
                <w:sz w:val="20"/>
              </w:rPr>
              <w:t>Frequency: 6 years</w:t>
            </w:r>
          </w:p>
          <w:p w14:paraId="6539D90C" w14:textId="77777777" w:rsidR="00664206" w:rsidRDefault="00664206">
            <w:pPr>
              <w:pStyle w:val="TableParagraph"/>
              <w:spacing w:before="10"/>
              <w:ind w:left="0"/>
              <w:rPr>
                <w:sz w:val="19"/>
              </w:rPr>
            </w:pPr>
          </w:p>
          <w:p w14:paraId="774882FD" w14:textId="77777777" w:rsidR="00664206" w:rsidRDefault="003F788D">
            <w:pPr>
              <w:pStyle w:val="TableParagraph"/>
              <w:spacing w:before="0"/>
              <w:ind w:right="349"/>
              <w:rPr>
                <w:sz w:val="20"/>
              </w:rPr>
            </w:pPr>
            <w:r>
              <w:rPr>
                <w:sz w:val="20"/>
              </w:rPr>
              <w:t>Taxonomic level and scope: all naturally occurring bird species</w:t>
            </w:r>
          </w:p>
        </w:tc>
        <w:tc>
          <w:tcPr>
            <w:tcW w:w="2259" w:type="dxa"/>
            <w:tcBorders>
              <w:top w:val="nil"/>
              <w:bottom w:val="nil"/>
            </w:tcBorders>
          </w:tcPr>
          <w:p w14:paraId="33D617C0" w14:textId="77777777" w:rsidR="00664206" w:rsidRDefault="003F788D">
            <w:pPr>
              <w:pStyle w:val="TableParagraph"/>
              <w:spacing w:before="0"/>
              <w:ind w:right="78"/>
              <w:rPr>
                <w:sz w:val="20"/>
              </w:rPr>
            </w:pPr>
            <w:r>
              <w:rPr>
                <w:sz w:val="20"/>
              </w:rPr>
              <w:t>It is noteworthy that the EU does not have wetland, coastal or marine bird indicators similar to the farmland or forest bird index.</w:t>
            </w:r>
          </w:p>
          <w:p w14:paraId="3759F3B2" w14:textId="77777777" w:rsidR="00664206" w:rsidRDefault="00664206">
            <w:pPr>
              <w:pStyle w:val="TableParagraph"/>
              <w:spacing w:before="7"/>
              <w:ind w:left="0"/>
              <w:rPr>
                <w:sz w:val="19"/>
              </w:rPr>
            </w:pPr>
          </w:p>
          <w:p w14:paraId="10E6D06E" w14:textId="77777777" w:rsidR="00664206" w:rsidRDefault="003F788D">
            <w:pPr>
              <w:pStyle w:val="TableParagraph"/>
              <w:spacing w:before="0"/>
              <w:rPr>
                <w:sz w:val="20"/>
              </w:rPr>
            </w:pPr>
            <w:r>
              <w:rPr>
                <w:sz w:val="20"/>
              </w:rPr>
              <w:t>Source:</w:t>
            </w:r>
          </w:p>
          <w:p w14:paraId="01D6BA7F" w14:textId="77777777" w:rsidR="00664206" w:rsidRDefault="003F788D">
            <w:pPr>
              <w:pStyle w:val="TableParagraph"/>
              <w:spacing w:before="1"/>
              <w:ind w:right="330"/>
              <w:rPr>
                <w:sz w:val="20"/>
              </w:rPr>
            </w:pPr>
            <w:r>
              <w:rPr>
                <w:sz w:val="20"/>
              </w:rPr>
              <w:t>Reports from Member States</w:t>
            </w:r>
          </w:p>
          <w:p w14:paraId="25BD45E6" w14:textId="77777777" w:rsidR="00664206" w:rsidRDefault="003F788D">
            <w:pPr>
              <w:pStyle w:val="TableParagraph"/>
              <w:spacing w:before="1"/>
              <w:rPr>
                <w:sz w:val="20"/>
              </w:rPr>
            </w:pPr>
            <w:r>
              <w:rPr>
                <w:sz w:val="20"/>
              </w:rPr>
              <w:t>Frequency: 6 years</w:t>
            </w:r>
          </w:p>
        </w:tc>
        <w:tc>
          <w:tcPr>
            <w:tcW w:w="2257" w:type="dxa"/>
            <w:tcBorders>
              <w:top w:val="nil"/>
              <w:bottom w:val="nil"/>
            </w:tcBorders>
          </w:tcPr>
          <w:p w14:paraId="692F3F07" w14:textId="77777777" w:rsidR="00664206" w:rsidRDefault="00664206">
            <w:pPr>
              <w:pStyle w:val="TableParagraph"/>
              <w:spacing w:before="7"/>
              <w:ind w:left="0"/>
              <w:rPr>
                <w:sz w:val="19"/>
              </w:rPr>
            </w:pPr>
          </w:p>
          <w:p w14:paraId="5491E268" w14:textId="77777777" w:rsidR="00664206" w:rsidRDefault="003F788D">
            <w:pPr>
              <w:pStyle w:val="TableParagraph"/>
              <w:spacing w:before="0"/>
              <w:ind w:right="361"/>
              <w:rPr>
                <w:sz w:val="20"/>
              </w:rPr>
            </w:pPr>
            <w:r>
              <w:rPr>
                <w:sz w:val="20"/>
              </w:rPr>
              <w:t xml:space="preserve">Update on the total numbers and trends </w:t>
            </w:r>
            <w:r>
              <w:rPr>
                <w:spacing w:val="-8"/>
                <w:sz w:val="20"/>
              </w:rPr>
              <w:t xml:space="preserve">in </w:t>
            </w:r>
            <w:r>
              <w:rPr>
                <w:sz w:val="20"/>
              </w:rPr>
              <w:t>SPAs as part of the Article 12 reporting process</w:t>
            </w:r>
          </w:p>
          <w:p w14:paraId="7BA79B13" w14:textId="77777777" w:rsidR="00664206" w:rsidRDefault="00664206">
            <w:pPr>
              <w:pStyle w:val="TableParagraph"/>
              <w:spacing w:before="0"/>
              <w:ind w:left="0"/>
              <w:rPr>
                <w:sz w:val="20"/>
              </w:rPr>
            </w:pPr>
          </w:p>
          <w:p w14:paraId="67F52C4C" w14:textId="77777777" w:rsidR="00664206" w:rsidRDefault="003F788D">
            <w:pPr>
              <w:pStyle w:val="TableParagraph"/>
              <w:spacing w:before="0"/>
              <w:ind w:right="443"/>
              <w:rPr>
                <w:sz w:val="20"/>
              </w:rPr>
            </w:pPr>
            <w:r>
              <w:rPr>
                <w:sz w:val="20"/>
              </w:rPr>
              <w:t xml:space="preserve">Taxonomic level </w:t>
            </w:r>
            <w:r>
              <w:rPr>
                <w:spacing w:val="-5"/>
                <w:sz w:val="20"/>
              </w:rPr>
              <w:t xml:space="preserve">and </w:t>
            </w:r>
            <w:r>
              <w:rPr>
                <w:sz w:val="20"/>
              </w:rPr>
              <w:t>scope: SPA trigger species</w:t>
            </w:r>
          </w:p>
        </w:tc>
      </w:tr>
      <w:tr w:rsidR="00664206" w14:paraId="12512E71" w14:textId="77777777" w:rsidTr="00CC3100">
        <w:trPr>
          <w:trHeight w:val="440"/>
        </w:trPr>
        <w:tc>
          <w:tcPr>
            <w:tcW w:w="2259" w:type="dxa"/>
            <w:tcBorders>
              <w:top w:val="nil"/>
              <w:bottom w:val="single" w:sz="8" w:space="0" w:color="000000"/>
            </w:tcBorders>
          </w:tcPr>
          <w:p w14:paraId="067C02D3" w14:textId="77777777" w:rsidR="00664206" w:rsidRDefault="00664206">
            <w:pPr>
              <w:pStyle w:val="TableParagraph"/>
              <w:spacing w:before="0"/>
              <w:ind w:left="0"/>
              <w:rPr>
                <w:sz w:val="18"/>
              </w:rPr>
            </w:pPr>
          </w:p>
        </w:tc>
        <w:tc>
          <w:tcPr>
            <w:tcW w:w="2256" w:type="dxa"/>
            <w:tcBorders>
              <w:top w:val="nil"/>
              <w:bottom w:val="single" w:sz="8" w:space="0" w:color="000000"/>
            </w:tcBorders>
          </w:tcPr>
          <w:p w14:paraId="5E85115F" w14:textId="77777777" w:rsidR="00664206" w:rsidRDefault="00664206">
            <w:pPr>
              <w:pStyle w:val="TableParagraph"/>
              <w:spacing w:before="0"/>
              <w:ind w:left="0"/>
              <w:rPr>
                <w:sz w:val="18"/>
              </w:rPr>
            </w:pPr>
          </w:p>
        </w:tc>
        <w:tc>
          <w:tcPr>
            <w:tcW w:w="2259" w:type="dxa"/>
            <w:tcBorders>
              <w:top w:val="nil"/>
              <w:bottom w:val="single" w:sz="8" w:space="0" w:color="000000"/>
            </w:tcBorders>
          </w:tcPr>
          <w:p w14:paraId="31F8569C" w14:textId="084D7056" w:rsidR="00664206" w:rsidRDefault="003F788D">
            <w:pPr>
              <w:pStyle w:val="TableParagraph"/>
              <w:spacing w:before="109"/>
              <w:rPr>
                <w:sz w:val="20"/>
              </w:rPr>
            </w:pPr>
            <w:r>
              <w:rPr>
                <w:sz w:val="20"/>
              </w:rPr>
              <w:t>Taxonomic level and</w:t>
            </w:r>
            <w:r w:rsidR="003C19C1">
              <w:t xml:space="preserve"> </w:t>
            </w:r>
            <w:r w:rsidR="003C19C1" w:rsidRPr="003C19C1">
              <w:rPr>
                <w:sz w:val="20"/>
              </w:rPr>
              <w:t xml:space="preserve">scope: all naturally occurring bird species. The EU process looks not only at trends in bird numbers but also in range </w:t>
            </w:r>
            <w:r w:rsidR="003C19C1" w:rsidRPr="003C19C1">
              <w:rPr>
                <w:sz w:val="20"/>
              </w:rPr>
              <w:lastRenderedPageBreak/>
              <w:t>extent</w:t>
            </w:r>
          </w:p>
        </w:tc>
        <w:tc>
          <w:tcPr>
            <w:tcW w:w="2257" w:type="dxa"/>
            <w:tcBorders>
              <w:top w:val="nil"/>
              <w:bottom w:val="single" w:sz="8" w:space="0" w:color="000000"/>
            </w:tcBorders>
          </w:tcPr>
          <w:p w14:paraId="1F1F6422" w14:textId="77777777" w:rsidR="00664206" w:rsidRDefault="00664206">
            <w:pPr>
              <w:pStyle w:val="TableParagraph"/>
              <w:spacing w:before="0"/>
              <w:ind w:left="0"/>
              <w:rPr>
                <w:sz w:val="18"/>
              </w:rPr>
            </w:pPr>
          </w:p>
        </w:tc>
      </w:tr>
      <w:tr w:rsidR="00920245" w14:paraId="536D8164" w14:textId="77777777" w:rsidTr="00CC3100">
        <w:trPr>
          <w:trHeight w:val="440"/>
        </w:trPr>
        <w:tc>
          <w:tcPr>
            <w:tcW w:w="2259" w:type="dxa"/>
            <w:tcBorders>
              <w:top w:val="single" w:sz="8" w:space="0" w:color="000000"/>
              <w:left w:val="single" w:sz="8" w:space="0" w:color="000000"/>
              <w:bottom w:val="single" w:sz="8" w:space="0" w:color="000000"/>
              <w:right w:val="single" w:sz="8" w:space="0" w:color="000000"/>
            </w:tcBorders>
          </w:tcPr>
          <w:p w14:paraId="2AD3AE94" w14:textId="77777777" w:rsidR="00FF6875" w:rsidRDefault="00FF6875" w:rsidP="00FF6875">
            <w:pPr>
              <w:pStyle w:val="TableParagraph"/>
              <w:ind w:right="402"/>
              <w:rPr>
                <w:sz w:val="20"/>
              </w:rPr>
            </w:pPr>
            <w:r>
              <w:rPr>
                <w:sz w:val="20"/>
              </w:rPr>
              <w:t>EU Marine Strategy Framework Directive (MSFD)</w:t>
            </w:r>
          </w:p>
          <w:p w14:paraId="15DD1D63" w14:textId="77777777" w:rsidR="00FF6875" w:rsidRDefault="00FF6875" w:rsidP="00FF6875">
            <w:pPr>
              <w:pStyle w:val="TableParagraph"/>
              <w:spacing w:before="11"/>
              <w:ind w:left="0"/>
              <w:rPr>
                <w:sz w:val="19"/>
              </w:rPr>
            </w:pPr>
          </w:p>
          <w:p w14:paraId="6B6BE3F5" w14:textId="5EBD2C97" w:rsidR="00920245" w:rsidRDefault="00FF6875" w:rsidP="00FF6875">
            <w:pPr>
              <w:pStyle w:val="TableParagraph"/>
              <w:spacing w:before="0"/>
              <w:ind w:left="50"/>
              <w:rPr>
                <w:sz w:val="18"/>
              </w:rPr>
            </w:pPr>
            <w:r>
              <w:rPr>
                <w:sz w:val="20"/>
              </w:rPr>
              <w:t>(Co-ordinated by Regional Sea Conventions, e.g. OSPAR, HELCOM)</w:t>
            </w:r>
          </w:p>
        </w:tc>
        <w:tc>
          <w:tcPr>
            <w:tcW w:w="2256" w:type="dxa"/>
            <w:tcBorders>
              <w:top w:val="single" w:sz="8" w:space="0" w:color="000000"/>
              <w:left w:val="single" w:sz="8" w:space="0" w:color="000000"/>
              <w:bottom w:val="single" w:sz="8" w:space="0" w:color="000000"/>
              <w:right w:val="single" w:sz="8" w:space="0" w:color="000000"/>
            </w:tcBorders>
          </w:tcPr>
          <w:p w14:paraId="2AF9B016" w14:textId="77777777" w:rsidR="00FF6875" w:rsidRDefault="00FF6875" w:rsidP="00FF6875">
            <w:pPr>
              <w:pStyle w:val="TableParagraph"/>
              <w:ind w:right="249"/>
              <w:rPr>
                <w:sz w:val="20"/>
              </w:rPr>
            </w:pPr>
            <w:r>
              <w:rPr>
                <w:sz w:val="20"/>
              </w:rPr>
              <w:t>EU MSFD Article 8 assessment reporting process (specified in Commission Decision EU 2017/848)</w:t>
            </w:r>
          </w:p>
          <w:p w14:paraId="47E4F2D7" w14:textId="77777777" w:rsidR="00FF6875" w:rsidRDefault="00FF6875" w:rsidP="00FF6875">
            <w:pPr>
              <w:pStyle w:val="TableParagraph"/>
              <w:spacing w:before="0"/>
              <w:ind w:left="0"/>
              <w:rPr>
                <w:sz w:val="20"/>
              </w:rPr>
            </w:pPr>
          </w:p>
          <w:p w14:paraId="3544FA72" w14:textId="77777777" w:rsidR="00FF6875" w:rsidRDefault="00FF6875" w:rsidP="00FF6875">
            <w:pPr>
              <w:pStyle w:val="TableParagraph"/>
              <w:spacing w:before="0"/>
              <w:ind w:right="171"/>
              <w:rPr>
                <w:sz w:val="20"/>
              </w:rPr>
            </w:pPr>
            <w:r>
              <w:rPr>
                <w:sz w:val="20"/>
              </w:rPr>
              <w:t>Good Environment Status of Marine Bird species groups based on individual species status assessments.</w:t>
            </w:r>
          </w:p>
          <w:p w14:paraId="3248C72C" w14:textId="77777777" w:rsidR="00FF6875" w:rsidRDefault="00FF6875" w:rsidP="00FF6875">
            <w:pPr>
              <w:pStyle w:val="TableParagraph"/>
              <w:spacing w:before="0"/>
              <w:ind w:right="70"/>
              <w:rPr>
                <w:sz w:val="20"/>
              </w:rPr>
            </w:pPr>
            <w:r>
              <w:rPr>
                <w:sz w:val="20"/>
              </w:rPr>
              <w:t>Species status is assessed using two primary criteria: abundance trends, bycatch mortality, and up to three secondary criteria: demographic characteristics, distribution and habitat for the species.</w:t>
            </w:r>
          </w:p>
          <w:p w14:paraId="2D0DC212" w14:textId="77777777" w:rsidR="00FF6875" w:rsidRDefault="00FF6875" w:rsidP="00FF6875">
            <w:pPr>
              <w:pStyle w:val="TableParagraph"/>
              <w:spacing w:before="2"/>
              <w:ind w:right="77"/>
              <w:rPr>
                <w:sz w:val="20"/>
              </w:rPr>
            </w:pPr>
            <w:r>
              <w:rPr>
                <w:sz w:val="20"/>
              </w:rPr>
              <w:t>Each criterion is assessed against threshold values. All assessment methods (including thresholds) need to be agreed regionally.</w:t>
            </w:r>
          </w:p>
          <w:p w14:paraId="03DAF346" w14:textId="77777777" w:rsidR="00FF6875" w:rsidRDefault="00FF6875" w:rsidP="00FF6875">
            <w:pPr>
              <w:pStyle w:val="TableParagraph"/>
              <w:spacing w:before="9"/>
              <w:ind w:left="0"/>
              <w:rPr>
                <w:sz w:val="19"/>
              </w:rPr>
            </w:pPr>
          </w:p>
          <w:p w14:paraId="01B389E4" w14:textId="77777777" w:rsidR="00FF6875" w:rsidRDefault="00FF6875" w:rsidP="00FF6875">
            <w:pPr>
              <w:pStyle w:val="TableParagraph"/>
              <w:spacing w:before="0"/>
              <w:rPr>
                <w:sz w:val="20"/>
              </w:rPr>
            </w:pPr>
            <w:r>
              <w:rPr>
                <w:sz w:val="20"/>
              </w:rPr>
              <w:t>Source:</w:t>
            </w:r>
          </w:p>
          <w:p w14:paraId="5FBDB1EA" w14:textId="77777777" w:rsidR="00FF6875" w:rsidRDefault="00FF6875" w:rsidP="00FF6875">
            <w:pPr>
              <w:pStyle w:val="TableParagraph"/>
              <w:spacing w:before="1"/>
              <w:ind w:right="327"/>
              <w:rPr>
                <w:sz w:val="20"/>
              </w:rPr>
            </w:pPr>
            <w:r>
              <w:rPr>
                <w:sz w:val="20"/>
              </w:rPr>
              <w:t>Reports from Member States</w:t>
            </w:r>
          </w:p>
          <w:p w14:paraId="0B5F3FCC" w14:textId="77777777" w:rsidR="00FF6875" w:rsidRDefault="00FF6875" w:rsidP="00FF6875">
            <w:pPr>
              <w:pStyle w:val="TableParagraph"/>
              <w:spacing w:before="1"/>
              <w:rPr>
                <w:sz w:val="20"/>
              </w:rPr>
            </w:pPr>
            <w:r>
              <w:rPr>
                <w:sz w:val="20"/>
              </w:rPr>
              <w:t>Frequency: 6 years</w:t>
            </w:r>
          </w:p>
          <w:p w14:paraId="601F1ACC" w14:textId="77777777" w:rsidR="00FF6875" w:rsidRDefault="00FF6875" w:rsidP="00FF6875">
            <w:pPr>
              <w:pStyle w:val="TableParagraph"/>
              <w:spacing w:before="1"/>
              <w:rPr>
                <w:sz w:val="20"/>
              </w:rPr>
            </w:pPr>
            <w:r>
              <w:rPr>
                <w:sz w:val="20"/>
              </w:rPr>
              <w:t>(started 2012)</w:t>
            </w:r>
          </w:p>
          <w:p w14:paraId="2453EBF6" w14:textId="77777777" w:rsidR="00FF6875" w:rsidRDefault="00FF6875" w:rsidP="00FF6875">
            <w:pPr>
              <w:pStyle w:val="TableParagraph"/>
              <w:spacing w:before="9"/>
              <w:ind w:left="0"/>
              <w:rPr>
                <w:sz w:val="19"/>
              </w:rPr>
            </w:pPr>
          </w:p>
          <w:p w14:paraId="42900CC4" w14:textId="77777777" w:rsidR="00FF6875" w:rsidRDefault="00FF6875" w:rsidP="00FF6875">
            <w:pPr>
              <w:pStyle w:val="TableParagraph"/>
              <w:spacing w:before="1"/>
              <w:ind w:right="128"/>
              <w:rPr>
                <w:sz w:val="20"/>
              </w:rPr>
            </w:pPr>
            <w:r>
              <w:rPr>
                <w:sz w:val="20"/>
              </w:rPr>
              <w:t>Taxonomic level and scope: species from following groups – grazers, waders, surface- feeders, pelagic feeders and benthic feeders</w:t>
            </w:r>
          </w:p>
          <w:p w14:paraId="2B469139" w14:textId="77777777" w:rsidR="00FF6875" w:rsidRDefault="00FF6875" w:rsidP="00FF6875">
            <w:pPr>
              <w:pStyle w:val="TableParagraph"/>
              <w:spacing w:before="0"/>
              <w:ind w:left="0"/>
              <w:rPr>
                <w:sz w:val="20"/>
              </w:rPr>
            </w:pPr>
          </w:p>
          <w:p w14:paraId="25150F7D" w14:textId="4D3DFF43" w:rsidR="00920245" w:rsidRDefault="00FF6875" w:rsidP="00FF6875">
            <w:pPr>
              <w:pStyle w:val="TableParagraph"/>
              <w:spacing w:before="0"/>
              <w:ind w:left="40"/>
              <w:rPr>
                <w:sz w:val="18"/>
              </w:rPr>
            </w:pPr>
            <w:r>
              <w:rPr>
                <w:sz w:val="20"/>
              </w:rPr>
              <w:t>Scale: ‘Ecologically- relevant’ (sub-regions or subdivisions in each EU Marine Region)</w:t>
            </w:r>
          </w:p>
        </w:tc>
        <w:tc>
          <w:tcPr>
            <w:tcW w:w="2259" w:type="dxa"/>
            <w:tcBorders>
              <w:top w:val="single" w:sz="8" w:space="0" w:color="000000"/>
              <w:left w:val="single" w:sz="8" w:space="0" w:color="000000"/>
              <w:bottom w:val="single" w:sz="8" w:space="0" w:color="000000"/>
              <w:right w:val="single" w:sz="8" w:space="0" w:color="000000"/>
            </w:tcBorders>
          </w:tcPr>
          <w:p w14:paraId="54AB5EB5" w14:textId="77777777" w:rsidR="00FF6875" w:rsidRDefault="00FF6875" w:rsidP="00FF6875">
            <w:pPr>
              <w:pStyle w:val="TableParagraph"/>
              <w:ind w:right="269"/>
              <w:rPr>
                <w:sz w:val="20"/>
              </w:rPr>
            </w:pPr>
            <w:r>
              <w:rPr>
                <w:sz w:val="20"/>
              </w:rPr>
              <w:t>EU MSFD Article 8 assessment reporting process (specified in Commission Decision EU 2017/848)</w:t>
            </w:r>
          </w:p>
          <w:p w14:paraId="4D5D2330" w14:textId="77777777" w:rsidR="00FF6875" w:rsidRDefault="00FF6875" w:rsidP="00FF6875">
            <w:pPr>
              <w:pStyle w:val="TableParagraph"/>
              <w:spacing w:before="0"/>
              <w:ind w:left="0"/>
              <w:rPr>
                <w:sz w:val="20"/>
              </w:rPr>
            </w:pPr>
          </w:p>
          <w:p w14:paraId="091BD5B0" w14:textId="77777777" w:rsidR="00FF6875" w:rsidRDefault="00FF6875" w:rsidP="00FF6875">
            <w:pPr>
              <w:pStyle w:val="TableParagraph"/>
              <w:spacing w:before="0"/>
              <w:ind w:right="122"/>
              <w:rPr>
                <w:sz w:val="20"/>
              </w:rPr>
            </w:pPr>
            <w:r>
              <w:rPr>
                <w:sz w:val="20"/>
              </w:rPr>
              <w:t>Assessment of abundance trends against following Primary criterion: ‘The population abundance of the species is not adversely affected due to anthropogenic pressures, such that its long-term viability is ensured.’</w:t>
            </w:r>
          </w:p>
          <w:p w14:paraId="0BE16DF9" w14:textId="77777777" w:rsidR="00FF6875" w:rsidRDefault="00FF6875" w:rsidP="00FF6875">
            <w:pPr>
              <w:pStyle w:val="TableParagraph"/>
              <w:spacing w:before="0"/>
              <w:ind w:left="0"/>
              <w:rPr>
                <w:sz w:val="20"/>
              </w:rPr>
            </w:pPr>
          </w:p>
          <w:p w14:paraId="6244A34D" w14:textId="77777777" w:rsidR="00FF6875" w:rsidRDefault="00FF6875" w:rsidP="00FF6875">
            <w:pPr>
              <w:pStyle w:val="TableParagraph"/>
              <w:spacing w:before="1"/>
              <w:ind w:right="395"/>
              <w:rPr>
                <w:sz w:val="20"/>
              </w:rPr>
            </w:pPr>
            <w:r>
              <w:rPr>
                <w:sz w:val="20"/>
              </w:rPr>
              <w:t xml:space="preserve">Thresholds are set </w:t>
            </w:r>
            <w:r>
              <w:rPr>
                <w:spacing w:val="-5"/>
                <w:sz w:val="20"/>
              </w:rPr>
              <w:t xml:space="preserve">for </w:t>
            </w:r>
            <w:r>
              <w:rPr>
                <w:sz w:val="20"/>
              </w:rPr>
              <w:t>each species.</w:t>
            </w:r>
          </w:p>
          <w:p w14:paraId="7E39A380" w14:textId="77777777" w:rsidR="00FF6875" w:rsidRDefault="00FF6875" w:rsidP="00FF6875">
            <w:pPr>
              <w:pStyle w:val="TableParagraph"/>
              <w:spacing w:before="0"/>
              <w:ind w:right="319"/>
              <w:rPr>
                <w:sz w:val="20"/>
              </w:rPr>
            </w:pPr>
            <w:r>
              <w:rPr>
                <w:sz w:val="20"/>
              </w:rPr>
              <w:t xml:space="preserve">Assessments of abundance are fed </w:t>
            </w:r>
            <w:r>
              <w:rPr>
                <w:spacing w:val="-4"/>
                <w:sz w:val="20"/>
              </w:rPr>
              <w:t xml:space="preserve">into </w:t>
            </w:r>
            <w:r>
              <w:rPr>
                <w:sz w:val="20"/>
              </w:rPr>
              <w:t>species status assessments.</w:t>
            </w:r>
          </w:p>
          <w:p w14:paraId="0442603D" w14:textId="77777777" w:rsidR="00FF6875" w:rsidRDefault="00FF6875" w:rsidP="00FF6875">
            <w:pPr>
              <w:pStyle w:val="TableParagraph"/>
              <w:spacing w:before="0"/>
              <w:ind w:left="0"/>
              <w:rPr>
                <w:sz w:val="20"/>
              </w:rPr>
            </w:pPr>
          </w:p>
          <w:p w14:paraId="0172A5A8" w14:textId="77777777" w:rsidR="00FF6875" w:rsidRDefault="00FF6875" w:rsidP="00FF6875">
            <w:pPr>
              <w:pStyle w:val="TableParagraph"/>
              <w:spacing w:before="0"/>
              <w:rPr>
                <w:sz w:val="20"/>
              </w:rPr>
            </w:pPr>
            <w:r>
              <w:rPr>
                <w:sz w:val="20"/>
              </w:rPr>
              <w:t>Source:</w:t>
            </w:r>
          </w:p>
          <w:p w14:paraId="2649D8ED" w14:textId="77777777" w:rsidR="00FF6875" w:rsidRDefault="00FF6875" w:rsidP="00FF6875">
            <w:pPr>
              <w:pStyle w:val="TableParagraph"/>
              <w:spacing w:before="0"/>
              <w:ind w:right="330"/>
              <w:rPr>
                <w:sz w:val="20"/>
              </w:rPr>
            </w:pPr>
            <w:r>
              <w:rPr>
                <w:sz w:val="20"/>
              </w:rPr>
              <w:t>Reports from Member States</w:t>
            </w:r>
          </w:p>
          <w:p w14:paraId="7A13CD18" w14:textId="77777777" w:rsidR="00FF6875" w:rsidRDefault="00FF6875" w:rsidP="00FF6875">
            <w:pPr>
              <w:pStyle w:val="TableParagraph"/>
              <w:spacing w:before="0" w:line="228" w:lineRule="exact"/>
              <w:rPr>
                <w:sz w:val="20"/>
              </w:rPr>
            </w:pPr>
            <w:r>
              <w:rPr>
                <w:sz w:val="20"/>
              </w:rPr>
              <w:t>Frequency: 6 years</w:t>
            </w:r>
          </w:p>
          <w:p w14:paraId="64B0049F" w14:textId="77777777" w:rsidR="00FF6875" w:rsidRDefault="00FF6875" w:rsidP="00FF6875">
            <w:pPr>
              <w:pStyle w:val="TableParagraph"/>
              <w:spacing w:before="1"/>
              <w:rPr>
                <w:sz w:val="20"/>
              </w:rPr>
            </w:pPr>
            <w:r>
              <w:rPr>
                <w:sz w:val="20"/>
              </w:rPr>
              <w:t>(started 2012)</w:t>
            </w:r>
          </w:p>
          <w:p w14:paraId="4FAE2366" w14:textId="77777777" w:rsidR="00FF6875" w:rsidRDefault="00FF6875" w:rsidP="00FF6875">
            <w:pPr>
              <w:pStyle w:val="TableParagraph"/>
              <w:spacing w:before="1"/>
              <w:ind w:left="0"/>
              <w:rPr>
                <w:sz w:val="20"/>
              </w:rPr>
            </w:pPr>
          </w:p>
          <w:p w14:paraId="6690DF83" w14:textId="77777777" w:rsidR="00FF6875" w:rsidRDefault="00FF6875" w:rsidP="00FF6875">
            <w:pPr>
              <w:pStyle w:val="TableParagraph"/>
              <w:spacing w:before="0"/>
              <w:ind w:right="131"/>
              <w:rPr>
                <w:sz w:val="20"/>
              </w:rPr>
            </w:pPr>
            <w:r>
              <w:rPr>
                <w:sz w:val="20"/>
              </w:rPr>
              <w:t>Taxonomic level and scope: species from following groups – grazers, waders, surface- feeders, pelagic feeders and benthic feeders</w:t>
            </w:r>
          </w:p>
          <w:p w14:paraId="5EDB8E2A" w14:textId="77777777" w:rsidR="00FF6875" w:rsidRDefault="00FF6875" w:rsidP="00FF6875">
            <w:pPr>
              <w:pStyle w:val="TableParagraph"/>
              <w:spacing w:before="1"/>
              <w:ind w:left="0"/>
              <w:rPr>
                <w:sz w:val="20"/>
              </w:rPr>
            </w:pPr>
          </w:p>
          <w:p w14:paraId="33FFEE06" w14:textId="27E9B87A" w:rsidR="00920245" w:rsidRDefault="00FF6875" w:rsidP="00FF6875">
            <w:pPr>
              <w:pStyle w:val="TableParagraph"/>
              <w:spacing w:before="109"/>
              <w:rPr>
                <w:sz w:val="20"/>
              </w:rPr>
            </w:pPr>
            <w:r>
              <w:rPr>
                <w:sz w:val="20"/>
              </w:rPr>
              <w:t>Scale: ‘Ecologically- relevant’ (sub-regions or subdivisions in each EU Marine Region)</w:t>
            </w:r>
          </w:p>
        </w:tc>
        <w:tc>
          <w:tcPr>
            <w:tcW w:w="2257" w:type="dxa"/>
            <w:tcBorders>
              <w:top w:val="single" w:sz="8" w:space="0" w:color="000000"/>
              <w:left w:val="single" w:sz="8" w:space="0" w:color="000000"/>
              <w:bottom w:val="single" w:sz="8" w:space="0" w:color="000000"/>
              <w:right w:val="single" w:sz="8" w:space="0" w:color="000000"/>
            </w:tcBorders>
          </w:tcPr>
          <w:p w14:paraId="7C5B3E2F" w14:textId="42378A45" w:rsidR="00FF6875" w:rsidRDefault="00FF6875" w:rsidP="00FF6875">
            <w:pPr>
              <w:pStyle w:val="TableParagraph"/>
              <w:spacing w:before="0"/>
              <w:ind w:left="120"/>
              <w:rPr>
                <w:sz w:val="18"/>
              </w:rPr>
            </w:pPr>
            <w:r>
              <w:rPr>
                <w:sz w:val="20"/>
              </w:rPr>
              <w:t>No specific site monitoring protocol</w:t>
            </w:r>
          </w:p>
        </w:tc>
      </w:tr>
      <w:tr w:rsidR="001B6957" w14:paraId="4D782948" w14:textId="77777777" w:rsidTr="00CC3100">
        <w:trPr>
          <w:trHeight w:val="661"/>
        </w:trPr>
        <w:tc>
          <w:tcPr>
            <w:tcW w:w="2259" w:type="dxa"/>
            <w:tcBorders>
              <w:top w:val="single" w:sz="8" w:space="0" w:color="000000"/>
            </w:tcBorders>
          </w:tcPr>
          <w:p w14:paraId="1D222CB3" w14:textId="3DFAE6CE" w:rsidR="001B6957" w:rsidRDefault="001B6957" w:rsidP="001B6957">
            <w:pPr>
              <w:pStyle w:val="TableParagraph"/>
              <w:rPr>
                <w:sz w:val="20"/>
              </w:rPr>
            </w:pPr>
            <w:r>
              <w:rPr>
                <w:sz w:val="20"/>
              </w:rPr>
              <w:t xml:space="preserve">OSPAR </w:t>
            </w:r>
            <w:r>
              <w:rPr>
                <w:w w:val="95"/>
                <w:sz w:val="20"/>
              </w:rPr>
              <w:t>(ICES/OSPAR/HELCOM</w:t>
            </w:r>
            <w:r>
              <w:t xml:space="preserve"> </w:t>
            </w:r>
            <w:r w:rsidRPr="003C19C1">
              <w:rPr>
                <w:w w:val="95"/>
                <w:sz w:val="20"/>
              </w:rPr>
              <w:t>Joint Working group on Marine Birds, JWGBIRD)</w:t>
            </w:r>
          </w:p>
        </w:tc>
        <w:tc>
          <w:tcPr>
            <w:tcW w:w="2256" w:type="dxa"/>
            <w:tcBorders>
              <w:top w:val="single" w:sz="8" w:space="0" w:color="000000"/>
            </w:tcBorders>
          </w:tcPr>
          <w:p w14:paraId="761A28BE" w14:textId="77777777" w:rsidR="001B6957" w:rsidRDefault="001B6957" w:rsidP="001B6957">
            <w:pPr>
              <w:pStyle w:val="TableParagraph"/>
              <w:ind w:right="90"/>
              <w:rPr>
                <w:sz w:val="20"/>
              </w:rPr>
            </w:pPr>
            <w:r>
              <w:rPr>
                <w:sz w:val="20"/>
              </w:rPr>
              <w:t xml:space="preserve">Conducts Status Assessment of Marine Bird species groups based on individual species status assessments. These are designed to fed into MSFD Art 8 reporting </w:t>
            </w:r>
            <w:r>
              <w:rPr>
                <w:spacing w:val="-6"/>
                <w:sz w:val="20"/>
              </w:rPr>
              <w:t xml:space="preserve">by </w:t>
            </w:r>
            <w:r>
              <w:rPr>
                <w:sz w:val="20"/>
              </w:rPr>
              <w:t>EU member states (see above)</w:t>
            </w:r>
          </w:p>
          <w:p w14:paraId="6499FA7B" w14:textId="77777777" w:rsidR="001B6957" w:rsidRDefault="001B6957" w:rsidP="001B6957">
            <w:pPr>
              <w:pStyle w:val="TableParagraph"/>
              <w:spacing w:before="1"/>
              <w:rPr>
                <w:sz w:val="20"/>
              </w:rPr>
            </w:pPr>
            <w:r>
              <w:rPr>
                <w:sz w:val="20"/>
              </w:rPr>
              <w:t>Species status is assessed using OSPAR Common Indicators, equivalent to MSFD GES criteria.</w:t>
            </w:r>
          </w:p>
          <w:p w14:paraId="022B2B76" w14:textId="77777777" w:rsidR="001B6957" w:rsidRDefault="001B6957" w:rsidP="001B6957">
            <w:pPr>
              <w:pStyle w:val="TableParagraph"/>
              <w:spacing w:before="0"/>
              <w:ind w:right="238"/>
              <w:rPr>
                <w:sz w:val="20"/>
              </w:rPr>
            </w:pPr>
            <w:r>
              <w:rPr>
                <w:sz w:val="20"/>
              </w:rPr>
              <w:t xml:space="preserve">Each indicator is </w:t>
            </w:r>
            <w:r>
              <w:rPr>
                <w:sz w:val="20"/>
              </w:rPr>
              <w:lastRenderedPageBreak/>
              <w:t>assessed against agreed threshold values.</w:t>
            </w:r>
          </w:p>
          <w:p w14:paraId="4D2EFB20" w14:textId="77777777" w:rsidR="001B6957" w:rsidRDefault="001B6957" w:rsidP="001B6957">
            <w:pPr>
              <w:pStyle w:val="TableParagraph"/>
              <w:spacing w:before="10"/>
              <w:ind w:left="0"/>
              <w:rPr>
                <w:sz w:val="19"/>
              </w:rPr>
            </w:pPr>
          </w:p>
          <w:p w14:paraId="1E64C961" w14:textId="77777777" w:rsidR="001B6957" w:rsidRDefault="001B6957" w:rsidP="001B6957">
            <w:pPr>
              <w:pStyle w:val="TableParagraph"/>
              <w:spacing w:before="0"/>
              <w:ind w:right="89"/>
              <w:rPr>
                <w:sz w:val="20"/>
              </w:rPr>
            </w:pPr>
            <w:r>
              <w:rPr>
                <w:sz w:val="20"/>
              </w:rPr>
              <w:t xml:space="preserve">Source: OSPAR Assessment Portal </w:t>
            </w:r>
            <w:hyperlink r:id="rId8">
              <w:r>
                <w:rPr>
                  <w:color w:val="0000FF"/>
                  <w:sz w:val="20"/>
                  <w:u w:val="single" w:color="0000FF"/>
                </w:rPr>
                <w:t>https://oap.ospar.org/en/o</w:t>
              </w:r>
            </w:hyperlink>
            <w:r>
              <w:rPr>
                <w:color w:val="0000FF"/>
                <w:sz w:val="20"/>
              </w:rPr>
              <w:t xml:space="preserve"> </w:t>
            </w:r>
            <w:hyperlink r:id="rId9">
              <w:r>
                <w:rPr>
                  <w:color w:val="0000FF"/>
                  <w:sz w:val="20"/>
                  <w:u w:val="single" w:color="0000FF"/>
                </w:rPr>
                <w:t>spar-assessments/</w:t>
              </w:r>
            </w:hyperlink>
            <w:r>
              <w:rPr>
                <w:color w:val="0000FF"/>
                <w:sz w:val="20"/>
              </w:rPr>
              <w:t xml:space="preserve"> </w:t>
            </w:r>
            <w:r>
              <w:rPr>
                <w:sz w:val="20"/>
              </w:rPr>
              <w:t>Frequency: previously 10 years, but changed to 6 years to be in line with MSFD: 2000, 2010,</w:t>
            </w:r>
          </w:p>
          <w:p w14:paraId="1B8E550C" w14:textId="77777777" w:rsidR="001B6957" w:rsidRDefault="001B6957" w:rsidP="001B6957">
            <w:pPr>
              <w:pStyle w:val="TableParagraph"/>
              <w:spacing w:before="2"/>
              <w:rPr>
                <w:sz w:val="20"/>
              </w:rPr>
            </w:pPr>
            <w:r>
              <w:rPr>
                <w:sz w:val="20"/>
              </w:rPr>
              <w:t>2017, 2023</w:t>
            </w:r>
          </w:p>
          <w:p w14:paraId="3E6179C9" w14:textId="77777777" w:rsidR="001B6957" w:rsidRDefault="001B6957" w:rsidP="001B6957">
            <w:pPr>
              <w:pStyle w:val="TableParagraph"/>
              <w:spacing w:before="0"/>
              <w:ind w:left="0"/>
              <w:rPr>
                <w:sz w:val="20"/>
              </w:rPr>
            </w:pPr>
          </w:p>
          <w:p w14:paraId="3C89F859" w14:textId="77777777" w:rsidR="001B6957" w:rsidRDefault="001B6957" w:rsidP="001B6957">
            <w:pPr>
              <w:pStyle w:val="TableParagraph"/>
              <w:spacing w:before="0"/>
              <w:ind w:right="95"/>
              <w:rPr>
                <w:sz w:val="20"/>
              </w:rPr>
            </w:pPr>
            <w:r>
              <w:rPr>
                <w:sz w:val="20"/>
              </w:rPr>
              <w:t>Taxonomic level and scope: species from following MSFD GES groups – grazers, waders, surface-feeders, pelagic feeders and benthic feeders</w:t>
            </w:r>
          </w:p>
          <w:p w14:paraId="1409507E" w14:textId="77777777" w:rsidR="001B6957" w:rsidRDefault="001B6957" w:rsidP="001B6957">
            <w:pPr>
              <w:pStyle w:val="TableParagraph"/>
              <w:spacing w:before="10"/>
              <w:ind w:left="0"/>
              <w:rPr>
                <w:sz w:val="19"/>
              </w:rPr>
            </w:pPr>
          </w:p>
          <w:p w14:paraId="431991B7" w14:textId="4461A34D" w:rsidR="001B6957" w:rsidRDefault="001B6957" w:rsidP="001B6957">
            <w:pPr>
              <w:pStyle w:val="TableParagraph"/>
              <w:ind w:right="327"/>
              <w:rPr>
                <w:sz w:val="20"/>
              </w:rPr>
            </w:pPr>
            <w:r>
              <w:rPr>
                <w:sz w:val="20"/>
              </w:rPr>
              <w:t>Scale: OSPAR Regions (equivalent to EU Northeast Atlantic sub- regions)</w:t>
            </w:r>
          </w:p>
        </w:tc>
        <w:tc>
          <w:tcPr>
            <w:tcW w:w="2259" w:type="dxa"/>
            <w:tcBorders>
              <w:top w:val="single" w:sz="8" w:space="0" w:color="000000"/>
            </w:tcBorders>
          </w:tcPr>
          <w:p w14:paraId="74C01AD2" w14:textId="77777777" w:rsidR="001B6957" w:rsidRDefault="001B6957" w:rsidP="001B6957">
            <w:pPr>
              <w:pStyle w:val="TableParagraph"/>
              <w:spacing w:before="0"/>
              <w:ind w:right="124"/>
              <w:rPr>
                <w:sz w:val="20"/>
              </w:rPr>
            </w:pPr>
            <w:r>
              <w:rPr>
                <w:sz w:val="20"/>
              </w:rPr>
              <w:lastRenderedPageBreak/>
              <w:t>Common Indicator on marine bird abundance Breeding and non- breeding abundance trends are assessed against thresholds set for each species (equivalent to MSFD assessment – see above)</w:t>
            </w:r>
          </w:p>
          <w:p w14:paraId="08D1E39A" w14:textId="77777777" w:rsidR="001B6957" w:rsidRDefault="001B6957" w:rsidP="001B6957">
            <w:pPr>
              <w:pStyle w:val="TableParagraph"/>
              <w:spacing w:before="1"/>
              <w:ind w:left="0"/>
              <w:rPr>
                <w:sz w:val="20"/>
              </w:rPr>
            </w:pPr>
          </w:p>
          <w:p w14:paraId="7715416A" w14:textId="77777777" w:rsidR="001B6957" w:rsidRDefault="001B6957" w:rsidP="001B6957">
            <w:pPr>
              <w:pStyle w:val="TableParagraph"/>
              <w:spacing w:before="0"/>
              <w:ind w:right="92"/>
              <w:rPr>
                <w:sz w:val="20"/>
              </w:rPr>
            </w:pPr>
            <w:r>
              <w:rPr>
                <w:sz w:val="20"/>
              </w:rPr>
              <w:t xml:space="preserve">Source: OSPAR Assessment Portal </w:t>
            </w:r>
            <w:hyperlink r:id="rId10">
              <w:r>
                <w:rPr>
                  <w:color w:val="0000FF"/>
                  <w:sz w:val="20"/>
                  <w:u w:val="single" w:color="0000FF"/>
                </w:rPr>
                <w:t>https://oap.ospar.org/en/o</w:t>
              </w:r>
            </w:hyperlink>
            <w:r>
              <w:rPr>
                <w:color w:val="0000FF"/>
                <w:sz w:val="20"/>
              </w:rPr>
              <w:t xml:space="preserve"> </w:t>
            </w:r>
            <w:hyperlink r:id="rId11">
              <w:r>
                <w:rPr>
                  <w:color w:val="0000FF"/>
                  <w:sz w:val="20"/>
                  <w:u w:val="single" w:color="0000FF"/>
                </w:rPr>
                <w:t>spar-</w:t>
              </w:r>
            </w:hyperlink>
            <w:r>
              <w:rPr>
                <w:color w:val="0000FF"/>
                <w:sz w:val="20"/>
              </w:rPr>
              <w:t xml:space="preserve"> </w:t>
            </w:r>
            <w:hyperlink r:id="rId12">
              <w:r>
                <w:rPr>
                  <w:color w:val="0000FF"/>
                  <w:sz w:val="20"/>
                  <w:u w:val="single" w:color="0000FF"/>
                </w:rPr>
                <w:t>assessments/intermediate</w:t>
              </w:r>
            </w:hyperlink>
          </w:p>
          <w:p w14:paraId="057B81BD" w14:textId="77777777" w:rsidR="001B6957" w:rsidRDefault="001C26BD" w:rsidP="001B6957">
            <w:pPr>
              <w:pStyle w:val="TableParagraph"/>
              <w:spacing w:before="0"/>
              <w:ind w:right="157"/>
              <w:rPr>
                <w:sz w:val="20"/>
              </w:rPr>
            </w:pPr>
            <w:hyperlink r:id="rId13">
              <w:r w:rsidR="001B6957">
                <w:rPr>
                  <w:color w:val="0000FF"/>
                  <w:sz w:val="20"/>
                  <w:u w:val="single" w:color="0000FF"/>
                </w:rPr>
                <w:t>-assessment-</w:t>
              </w:r>
            </w:hyperlink>
            <w:r w:rsidR="001B6957">
              <w:rPr>
                <w:color w:val="0000FF"/>
                <w:sz w:val="20"/>
              </w:rPr>
              <w:t xml:space="preserve"> </w:t>
            </w:r>
            <w:hyperlink r:id="rId14">
              <w:r w:rsidR="001B6957">
                <w:rPr>
                  <w:color w:val="0000FF"/>
                  <w:sz w:val="20"/>
                  <w:u w:val="single" w:color="0000FF"/>
                </w:rPr>
                <w:t>2017/biodiversity-</w:t>
              </w:r>
            </w:hyperlink>
            <w:r w:rsidR="001B6957">
              <w:rPr>
                <w:color w:val="0000FF"/>
                <w:sz w:val="20"/>
              </w:rPr>
              <w:t xml:space="preserve"> </w:t>
            </w:r>
            <w:hyperlink r:id="rId15">
              <w:r w:rsidR="001B6957">
                <w:rPr>
                  <w:color w:val="0000FF"/>
                  <w:sz w:val="20"/>
                  <w:u w:val="single" w:color="0000FF"/>
                </w:rPr>
                <w:t>status/marine-birds/bird-</w:t>
              </w:r>
            </w:hyperlink>
            <w:r w:rsidR="001B6957">
              <w:rPr>
                <w:color w:val="0000FF"/>
                <w:sz w:val="20"/>
              </w:rPr>
              <w:t xml:space="preserve"> </w:t>
            </w:r>
            <w:hyperlink r:id="rId16">
              <w:r w:rsidR="001B6957">
                <w:rPr>
                  <w:color w:val="0000FF"/>
                  <w:sz w:val="20"/>
                  <w:u w:val="single" w:color="0000FF"/>
                </w:rPr>
                <w:t>abundance/</w:t>
              </w:r>
            </w:hyperlink>
          </w:p>
          <w:p w14:paraId="6E2CD772" w14:textId="77777777" w:rsidR="001B6957" w:rsidRDefault="001B6957" w:rsidP="001B6957">
            <w:pPr>
              <w:pStyle w:val="TableParagraph"/>
              <w:spacing w:before="0"/>
              <w:ind w:right="152"/>
              <w:rPr>
                <w:sz w:val="20"/>
              </w:rPr>
            </w:pPr>
            <w:r>
              <w:rPr>
                <w:sz w:val="20"/>
              </w:rPr>
              <w:t>Frequency: 6 years (first use of indicator in 2017)</w:t>
            </w:r>
          </w:p>
          <w:p w14:paraId="49521B90" w14:textId="77777777" w:rsidR="001B6957" w:rsidRDefault="001B6957" w:rsidP="001B6957">
            <w:pPr>
              <w:pStyle w:val="TableParagraph"/>
              <w:spacing w:before="10"/>
              <w:ind w:left="0"/>
              <w:rPr>
                <w:sz w:val="19"/>
              </w:rPr>
            </w:pPr>
          </w:p>
          <w:p w14:paraId="6DF8338F" w14:textId="77777777" w:rsidR="001B6957" w:rsidRDefault="001B6957" w:rsidP="001B6957">
            <w:pPr>
              <w:pStyle w:val="TableParagraph"/>
              <w:spacing w:before="0"/>
              <w:ind w:right="98"/>
              <w:rPr>
                <w:sz w:val="20"/>
              </w:rPr>
            </w:pPr>
            <w:r>
              <w:rPr>
                <w:sz w:val="20"/>
              </w:rPr>
              <w:t>Taxonomic level and scope: species from following MSFD GES groups – grazers, waders, surface-feeders, pelagic feeders and benthic feeders</w:t>
            </w:r>
          </w:p>
          <w:p w14:paraId="65DEE364" w14:textId="77777777" w:rsidR="001B6957" w:rsidRDefault="001B6957" w:rsidP="001B6957">
            <w:pPr>
              <w:pStyle w:val="TableParagraph"/>
              <w:spacing w:before="1"/>
              <w:ind w:left="0"/>
              <w:rPr>
                <w:sz w:val="20"/>
              </w:rPr>
            </w:pPr>
          </w:p>
          <w:p w14:paraId="46F7E648" w14:textId="32C669A4" w:rsidR="001B6957" w:rsidRDefault="001B6957" w:rsidP="001B6957">
            <w:pPr>
              <w:pStyle w:val="TableParagraph"/>
              <w:ind w:right="286"/>
              <w:rPr>
                <w:sz w:val="20"/>
              </w:rPr>
            </w:pPr>
            <w:r>
              <w:rPr>
                <w:sz w:val="20"/>
              </w:rPr>
              <w:t>Scale: OSPAR Regions and subdivisions of Arctic Waters and Greater North Sea</w:t>
            </w:r>
          </w:p>
        </w:tc>
        <w:tc>
          <w:tcPr>
            <w:tcW w:w="2257" w:type="dxa"/>
            <w:tcBorders>
              <w:top w:val="single" w:sz="8" w:space="0" w:color="000000"/>
            </w:tcBorders>
          </w:tcPr>
          <w:p w14:paraId="7F92CEE3" w14:textId="77777777" w:rsidR="001B6957" w:rsidRDefault="001B6957" w:rsidP="001B6957">
            <w:pPr>
              <w:pStyle w:val="TableParagraph"/>
              <w:ind w:right="93"/>
              <w:rPr>
                <w:sz w:val="20"/>
              </w:rPr>
            </w:pPr>
            <w:r>
              <w:rPr>
                <w:sz w:val="20"/>
              </w:rPr>
              <w:lastRenderedPageBreak/>
              <w:t xml:space="preserve">submitted to the OSPAR Marine Bird database hosted by ICES at </w:t>
            </w:r>
            <w:hyperlink r:id="rId17">
              <w:r>
                <w:rPr>
                  <w:color w:val="0000FF"/>
                  <w:w w:val="95"/>
                  <w:sz w:val="20"/>
                  <w:u w:val="single" w:color="0000FF"/>
                </w:rPr>
                <w:t>https://www.ices.dk/data/</w:t>
              </w:r>
            </w:hyperlink>
            <w:r>
              <w:rPr>
                <w:color w:val="0000FF"/>
                <w:w w:val="95"/>
                <w:sz w:val="20"/>
              </w:rPr>
              <w:t xml:space="preserve"> </w:t>
            </w:r>
            <w:hyperlink r:id="rId18">
              <w:r>
                <w:rPr>
                  <w:color w:val="0000FF"/>
                  <w:sz w:val="20"/>
                  <w:u w:val="single" w:color="0000FF"/>
                </w:rPr>
                <w:t>data-</w:t>
              </w:r>
            </w:hyperlink>
            <w:r>
              <w:rPr>
                <w:color w:val="0000FF"/>
                <w:sz w:val="20"/>
              </w:rPr>
              <w:t xml:space="preserve"> </w:t>
            </w:r>
            <w:hyperlink r:id="rId19">
              <w:r>
                <w:rPr>
                  <w:color w:val="0000FF"/>
                  <w:sz w:val="20"/>
                  <w:u w:val="single" w:color="0000FF"/>
                </w:rPr>
                <w:t>portals/Pages/Biodiversit</w:t>
              </w:r>
            </w:hyperlink>
            <w:r>
              <w:rPr>
                <w:color w:val="0000FF"/>
                <w:sz w:val="20"/>
              </w:rPr>
              <w:t xml:space="preserve"> </w:t>
            </w:r>
            <w:hyperlink r:id="rId20">
              <w:r>
                <w:rPr>
                  <w:color w:val="0000FF"/>
                  <w:sz w:val="20"/>
                  <w:u w:val="single" w:color="0000FF"/>
                </w:rPr>
                <w:t>y.aspx</w:t>
              </w:r>
            </w:hyperlink>
          </w:p>
          <w:p w14:paraId="3E17DDF7" w14:textId="77777777" w:rsidR="001B6957" w:rsidRDefault="001B6957" w:rsidP="001B6957">
            <w:pPr>
              <w:pStyle w:val="TableParagraph"/>
              <w:spacing w:before="0"/>
              <w:ind w:left="0"/>
              <w:rPr>
                <w:sz w:val="20"/>
              </w:rPr>
            </w:pPr>
          </w:p>
          <w:p w14:paraId="2F4A38F7" w14:textId="34AB1E2E" w:rsidR="001B6957" w:rsidRDefault="001B6957" w:rsidP="001B6957">
            <w:pPr>
              <w:pStyle w:val="TableParagraph"/>
              <w:ind w:right="90"/>
              <w:rPr>
                <w:sz w:val="20"/>
              </w:rPr>
            </w:pPr>
            <w:r>
              <w:rPr>
                <w:sz w:val="20"/>
              </w:rPr>
              <w:t xml:space="preserve">Standard assessment and monitoring methods published as a Co- ordinated Environmental Monitoring Programme (CEMP) Guideline </w:t>
            </w:r>
            <w:hyperlink r:id="rId21">
              <w:r>
                <w:rPr>
                  <w:color w:val="0000FF"/>
                  <w:w w:val="95"/>
                  <w:sz w:val="20"/>
                  <w:u w:val="single" w:color="0000FF"/>
                </w:rPr>
                <w:t>https://www.ospar.org/do</w:t>
              </w:r>
            </w:hyperlink>
            <w:r>
              <w:rPr>
                <w:color w:val="0000FF"/>
                <w:w w:val="95"/>
                <w:sz w:val="20"/>
              </w:rPr>
              <w:t xml:space="preserve"> </w:t>
            </w:r>
            <w:hyperlink r:id="rId22">
              <w:r>
                <w:rPr>
                  <w:color w:val="0000FF"/>
                  <w:sz w:val="20"/>
                  <w:u w:val="single" w:color="0000FF"/>
                </w:rPr>
                <w:t>cuments?v=38978</w:t>
              </w:r>
            </w:hyperlink>
          </w:p>
        </w:tc>
      </w:tr>
      <w:tr w:rsidR="001B6957" w14:paraId="57F15DAD" w14:textId="77777777">
        <w:trPr>
          <w:trHeight w:val="1580"/>
        </w:trPr>
        <w:tc>
          <w:tcPr>
            <w:tcW w:w="2259" w:type="dxa"/>
          </w:tcPr>
          <w:p w14:paraId="7223BD9D" w14:textId="77777777" w:rsidR="001B6957" w:rsidRDefault="001B6957" w:rsidP="001B6957">
            <w:pPr>
              <w:pStyle w:val="TableParagraph"/>
              <w:rPr>
                <w:sz w:val="20"/>
              </w:rPr>
            </w:pPr>
            <w:r>
              <w:rPr>
                <w:sz w:val="20"/>
              </w:rPr>
              <w:lastRenderedPageBreak/>
              <w:t xml:space="preserve">HELCOM </w:t>
            </w:r>
            <w:r>
              <w:rPr>
                <w:w w:val="95"/>
                <w:sz w:val="20"/>
              </w:rPr>
              <w:t>(ICES/OSPAR/HELCO</w:t>
            </w:r>
          </w:p>
          <w:p w14:paraId="602E1569" w14:textId="77777777" w:rsidR="001B6957" w:rsidRDefault="001B6957" w:rsidP="001B6957">
            <w:pPr>
              <w:pStyle w:val="TableParagraph"/>
              <w:spacing w:before="0"/>
              <w:ind w:right="224"/>
              <w:rPr>
                <w:sz w:val="20"/>
              </w:rPr>
            </w:pPr>
            <w:r>
              <w:rPr>
                <w:sz w:val="20"/>
              </w:rPr>
              <w:t>M Joint Working group on Marine Birds, JWGBIRD)</w:t>
            </w:r>
          </w:p>
        </w:tc>
        <w:tc>
          <w:tcPr>
            <w:tcW w:w="2256" w:type="dxa"/>
          </w:tcPr>
          <w:p w14:paraId="27857CC8" w14:textId="77777777" w:rsidR="00394DA0" w:rsidRDefault="00872EFC" w:rsidP="00733951">
            <w:pPr>
              <w:pStyle w:val="TableParagraph"/>
              <w:ind w:left="0"/>
            </w:pPr>
            <w:r>
              <w:rPr>
                <w:sz w:val="20"/>
              </w:rPr>
              <w:t xml:space="preserve">HELCOM Core Indicators on </w:t>
            </w:r>
            <w:r>
              <w:t xml:space="preserve">Abundance of waterbirds in the wintering season and Abundance of waterbirds in the breeding season assessed against a threshold set individually for each species. </w:t>
            </w:r>
            <w:r w:rsidR="00394DA0">
              <w:t xml:space="preserve"> Approach used for defining good status has been developed by the OSPAR Inter-sessional Correspondence Group on Co-ordination of Biodiversity Assessment and Monitoring (ICG-COBAM MSFD) and used in the OSPAR indicator 'Marine bird abundance' (ICES 2013, OSPAR 2017).</w:t>
            </w:r>
          </w:p>
          <w:p w14:paraId="347A70A3" w14:textId="4710C2C6" w:rsidR="00872EFC" w:rsidRDefault="00872EFC" w:rsidP="001B6957">
            <w:pPr>
              <w:pStyle w:val="TableParagraph"/>
              <w:rPr>
                <w:sz w:val="20"/>
              </w:rPr>
            </w:pPr>
          </w:p>
          <w:p w14:paraId="5BFFC947" w14:textId="2AFA003C" w:rsidR="002155CC" w:rsidRPr="00872EFC" w:rsidRDefault="006B7124" w:rsidP="00872EFC">
            <w:pPr>
              <w:pStyle w:val="TableParagraph"/>
              <w:ind w:left="0"/>
              <w:rPr>
                <w:szCs w:val="24"/>
              </w:rPr>
            </w:pPr>
            <w:r w:rsidRPr="00872EFC">
              <w:rPr>
                <w:szCs w:val="24"/>
              </w:rPr>
              <w:t>Status assessment carried out every 6 years for each species</w:t>
            </w:r>
            <w:r w:rsidR="00872EFC">
              <w:rPr>
                <w:szCs w:val="24"/>
              </w:rPr>
              <w:t>.</w:t>
            </w:r>
          </w:p>
          <w:p w14:paraId="304584FE" w14:textId="77777777" w:rsidR="006B7124" w:rsidRDefault="006B7124" w:rsidP="00733951">
            <w:pPr>
              <w:pStyle w:val="TableParagraph"/>
              <w:ind w:left="0"/>
            </w:pPr>
          </w:p>
          <w:p w14:paraId="761FAD5F" w14:textId="77777777" w:rsidR="006B7124" w:rsidRPr="006B7124" w:rsidRDefault="006B7124" w:rsidP="006B7124">
            <w:pPr>
              <w:pStyle w:val="TableParagraph"/>
              <w:spacing w:before="0"/>
              <w:ind w:left="0" w:right="95"/>
              <w:rPr>
                <w:szCs w:val="24"/>
              </w:rPr>
            </w:pPr>
            <w:r w:rsidRPr="006B7124">
              <w:rPr>
                <w:szCs w:val="24"/>
              </w:rPr>
              <w:t xml:space="preserve">Taxonomic level and scope: species from following MSFD GES </w:t>
            </w:r>
            <w:r w:rsidRPr="006B7124">
              <w:rPr>
                <w:szCs w:val="24"/>
              </w:rPr>
              <w:lastRenderedPageBreak/>
              <w:t>groups – grazers, waders, surface-feeders, pelagic feeders and benthic feeders</w:t>
            </w:r>
          </w:p>
          <w:p w14:paraId="62F85434" w14:textId="77777777" w:rsidR="001B6957" w:rsidRDefault="002155CC" w:rsidP="004504C2">
            <w:pPr>
              <w:pStyle w:val="TableParagraph"/>
              <w:ind w:left="0"/>
              <w:rPr>
                <w:sz w:val="20"/>
              </w:rPr>
            </w:pPr>
            <w:r>
              <w:t>Scale:  Coastal areas of all the countries bordering the Baltic Sea</w:t>
            </w:r>
            <w:r w:rsidR="007E43BD">
              <w:t>.</w:t>
            </w:r>
          </w:p>
        </w:tc>
        <w:tc>
          <w:tcPr>
            <w:tcW w:w="2259" w:type="dxa"/>
          </w:tcPr>
          <w:p w14:paraId="4463306F" w14:textId="607A1F30" w:rsidR="001B6957" w:rsidRDefault="00957AF0" w:rsidP="001B6957">
            <w:pPr>
              <w:pStyle w:val="TableParagraph"/>
            </w:pPr>
            <w:r>
              <w:rPr>
                <w:sz w:val="20"/>
              </w:rPr>
              <w:lastRenderedPageBreak/>
              <w:t xml:space="preserve"> </w:t>
            </w:r>
            <w:r w:rsidR="005C5C9C">
              <w:rPr>
                <w:sz w:val="20"/>
              </w:rPr>
              <w:t xml:space="preserve">HELCOM Core Indicators on </w:t>
            </w:r>
            <w:r w:rsidR="005C5C9C">
              <w:t>Abundance of waterbirds in the wintering season and Abundance of waterbirds in the breeding season</w:t>
            </w:r>
            <w:r>
              <w:t xml:space="preserve"> assessed against a past reference level</w:t>
            </w:r>
            <w:r w:rsidR="00872EFC">
              <w:t xml:space="preserve"> for trends in waterbird abundance.</w:t>
            </w:r>
          </w:p>
          <w:p w14:paraId="119BB7C5" w14:textId="77777777" w:rsidR="00872EFC" w:rsidRDefault="00872EFC" w:rsidP="001B6957">
            <w:pPr>
              <w:pStyle w:val="TableParagraph"/>
              <w:rPr>
                <w:sz w:val="20"/>
              </w:rPr>
            </w:pPr>
          </w:p>
          <w:p w14:paraId="1DE5B4DE" w14:textId="77777777" w:rsidR="00872EFC" w:rsidRPr="006B7124" w:rsidRDefault="00872EFC" w:rsidP="00872EFC">
            <w:pPr>
              <w:pStyle w:val="TableParagraph"/>
              <w:spacing w:before="0"/>
              <w:ind w:left="0" w:right="95"/>
              <w:rPr>
                <w:szCs w:val="24"/>
              </w:rPr>
            </w:pPr>
            <w:r w:rsidRPr="006B7124">
              <w:rPr>
                <w:szCs w:val="24"/>
              </w:rPr>
              <w:t>Taxonomic level and scope: species from following MSFD GES groups – grazers, waders, surface-feeders, pelagic feeders and benthic feeders</w:t>
            </w:r>
          </w:p>
          <w:p w14:paraId="79B5E10E" w14:textId="77777777" w:rsidR="00872EFC" w:rsidRDefault="00872EFC" w:rsidP="001B6957">
            <w:pPr>
              <w:pStyle w:val="TableParagraph"/>
              <w:rPr>
                <w:sz w:val="20"/>
              </w:rPr>
            </w:pPr>
          </w:p>
          <w:p w14:paraId="5187C6DA" w14:textId="77777777" w:rsidR="00394DA0" w:rsidRPr="00872EFC" w:rsidRDefault="00394DA0" w:rsidP="00394DA0">
            <w:pPr>
              <w:pStyle w:val="TableParagraph"/>
              <w:ind w:left="0"/>
              <w:rPr>
                <w:szCs w:val="24"/>
              </w:rPr>
            </w:pPr>
            <w:r w:rsidRPr="00872EFC">
              <w:rPr>
                <w:szCs w:val="24"/>
              </w:rPr>
              <w:t>Status assessment carried out every 6 years for each species</w:t>
            </w:r>
            <w:r>
              <w:rPr>
                <w:szCs w:val="24"/>
              </w:rPr>
              <w:t>.</w:t>
            </w:r>
          </w:p>
          <w:p w14:paraId="6391094D" w14:textId="77777777" w:rsidR="00394DA0" w:rsidRDefault="00394DA0" w:rsidP="001B6957">
            <w:pPr>
              <w:pStyle w:val="TableParagraph"/>
              <w:rPr>
                <w:sz w:val="20"/>
              </w:rPr>
            </w:pPr>
          </w:p>
          <w:p w14:paraId="4E1EB04E" w14:textId="77777777" w:rsidR="00394DA0" w:rsidRPr="006B7124" w:rsidRDefault="00394DA0" w:rsidP="00394DA0">
            <w:pPr>
              <w:pStyle w:val="TableParagraph"/>
              <w:spacing w:before="0"/>
              <w:ind w:left="0" w:right="95"/>
              <w:rPr>
                <w:szCs w:val="24"/>
              </w:rPr>
            </w:pPr>
            <w:r w:rsidRPr="006B7124">
              <w:rPr>
                <w:szCs w:val="24"/>
              </w:rPr>
              <w:t>Taxonomic level and scope: species from following MSFD GES groups – grazers, waders, surface-feeders, pelagic feeders and benthic feeders</w:t>
            </w:r>
          </w:p>
          <w:p w14:paraId="6BC340C7" w14:textId="480B6BCC" w:rsidR="001B6957" w:rsidRDefault="00394DA0" w:rsidP="004504C2">
            <w:pPr>
              <w:pStyle w:val="TableParagraph"/>
              <w:ind w:left="0"/>
              <w:rPr>
                <w:sz w:val="20"/>
              </w:rPr>
            </w:pPr>
            <w:r>
              <w:lastRenderedPageBreak/>
              <w:t>Scale:  Coastal areas of all the countries bordering the Baltic Sea</w:t>
            </w:r>
            <w:r w:rsidR="007E43BD">
              <w:t>.</w:t>
            </w:r>
          </w:p>
        </w:tc>
        <w:tc>
          <w:tcPr>
            <w:tcW w:w="2257" w:type="dxa"/>
          </w:tcPr>
          <w:p w14:paraId="79780FBA" w14:textId="79335882" w:rsidR="001B6957" w:rsidRDefault="003D330B" w:rsidP="001B6957">
            <w:pPr>
              <w:pStyle w:val="TableParagraph"/>
              <w:ind w:right="511"/>
              <w:rPr>
                <w:sz w:val="20"/>
              </w:rPr>
            </w:pPr>
            <w:r>
              <w:rPr>
                <w:sz w:val="20"/>
              </w:rPr>
              <w:lastRenderedPageBreak/>
              <w:t xml:space="preserve">Data on site monitoring carried out nationally </w:t>
            </w:r>
            <w:r w:rsidR="00F23FCB">
              <w:rPr>
                <w:sz w:val="20"/>
              </w:rPr>
              <w:t xml:space="preserve">and </w:t>
            </w:r>
            <w:r>
              <w:rPr>
                <w:sz w:val="20"/>
              </w:rPr>
              <w:t>submitted to HELCOM Biodiversity database</w:t>
            </w:r>
            <w:r w:rsidR="0069475A">
              <w:rPr>
                <w:sz w:val="20"/>
              </w:rPr>
              <w:t>.</w:t>
            </w:r>
          </w:p>
          <w:p w14:paraId="3B522040" w14:textId="77777777" w:rsidR="003D330B" w:rsidRDefault="003D330B" w:rsidP="0069475A">
            <w:pPr>
              <w:pStyle w:val="TableParagraph"/>
              <w:ind w:left="0" w:right="511"/>
              <w:rPr>
                <w:sz w:val="20"/>
              </w:rPr>
            </w:pPr>
          </w:p>
          <w:p w14:paraId="3C991618" w14:textId="11CAC02E" w:rsidR="001B6957" w:rsidRDefault="003D330B" w:rsidP="001B6957">
            <w:pPr>
              <w:pStyle w:val="TableParagraph"/>
              <w:ind w:right="511"/>
              <w:rPr>
                <w:sz w:val="20"/>
              </w:rPr>
            </w:pPr>
            <w:r>
              <w:rPr>
                <w:sz w:val="20"/>
              </w:rPr>
              <w:t xml:space="preserve">Monitoring carried out following the </w:t>
            </w:r>
            <w:r w:rsidR="003E1E04">
              <w:rPr>
                <w:sz w:val="20"/>
              </w:rPr>
              <w:t xml:space="preserve">and </w:t>
            </w:r>
            <w:r w:rsidR="003E1E04">
              <w:t>HELCOM Monitoring Manual in the sub-programme</w:t>
            </w:r>
            <w:r w:rsidR="004452E5">
              <w:t>.</w:t>
            </w:r>
          </w:p>
        </w:tc>
      </w:tr>
      <w:tr w:rsidR="001B6957" w14:paraId="45DEEAB2" w14:textId="77777777">
        <w:trPr>
          <w:trHeight w:val="1900"/>
        </w:trPr>
        <w:tc>
          <w:tcPr>
            <w:tcW w:w="2259" w:type="dxa"/>
          </w:tcPr>
          <w:p w14:paraId="61A39036" w14:textId="77777777" w:rsidR="001B6957" w:rsidRDefault="001B6957" w:rsidP="001B6957">
            <w:pPr>
              <w:pStyle w:val="TableParagraph"/>
              <w:rPr>
                <w:sz w:val="20"/>
              </w:rPr>
            </w:pPr>
            <w:r>
              <w:rPr>
                <w:sz w:val="20"/>
              </w:rPr>
              <w:t>CAFF</w:t>
            </w:r>
          </w:p>
        </w:tc>
        <w:tc>
          <w:tcPr>
            <w:tcW w:w="2256" w:type="dxa"/>
          </w:tcPr>
          <w:p w14:paraId="5AE043B4" w14:textId="7226E6D6" w:rsidR="001B6957" w:rsidRDefault="003B460E" w:rsidP="001B6957">
            <w:pPr>
              <w:pStyle w:val="TableParagraph"/>
              <w:ind w:right="222"/>
              <w:rPr>
                <w:sz w:val="20"/>
              </w:rPr>
            </w:pPr>
            <w:r>
              <w:rPr>
                <w:sz w:val="20"/>
              </w:rPr>
              <w:t>C</w:t>
            </w:r>
            <w:r w:rsidR="001B6957">
              <w:rPr>
                <w:sz w:val="20"/>
              </w:rPr>
              <w:t>Bird Group reports for AEWA in 2012 and 2015</w:t>
            </w:r>
            <w:r w:rsidR="001B6957">
              <w:rPr>
                <w:rStyle w:val="FootnoteReference"/>
                <w:sz w:val="20"/>
              </w:rPr>
              <w:footnoteReference w:id="3"/>
            </w:r>
            <w:r w:rsidR="002046C1">
              <w:rPr>
                <w:sz w:val="20"/>
              </w:rPr>
              <w:t xml:space="preserve"> and various for key species.</w:t>
            </w:r>
          </w:p>
          <w:p w14:paraId="6892334B" w14:textId="77777777" w:rsidR="001B6957" w:rsidRDefault="001B6957" w:rsidP="001B6957">
            <w:pPr>
              <w:pStyle w:val="TableParagraph"/>
              <w:spacing w:before="0"/>
              <w:ind w:left="0"/>
            </w:pPr>
          </w:p>
          <w:p w14:paraId="4745B051" w14:textId="7CB486AA" w:rsidR="002E431D" w:rsidRDefault="001B6957" w:rsidP="001B6957">
            <w:pPr>
              <w:pStyle w:val="TableParagraph"/>
              <w:spacing w:before="134" w:line="242" w:lineRule="auto"/>
              <w:ind w:right="166"/>
              <w:rPr>
                <w:sz w:val="20"/>
              </w:rPr>
            </w:pPr>
            <w:r>
              <w:rPr>
                <w:sz w:val="20"/>
              </w:rPr>
              <w:t xml:space="preserve">The Circumpolar Biodiversity Monitoring </w:t>
            </w:r>
            <w:r w:rsidRPr="001B6957">
              <w:rPr>
                <w:sz w:val="20"/>
              </w:rPr>
              <w:t>Programme (CBMP)</w:t>
            </w:r>
            <w:r w:rsidR="003B460E">
              <w:rPr>
                <w:sz w:val="20"/>
              </w:rPr>
              <w:t xml:space="preserve"> (of which CBird is a</w:t>
            </w:r>
            <w:r w:rsidR="009B21DB">
              <w:rPr>
                <w:sz w:val="20"/>
              </w:rPr>
              <w:t xml:space="preserve"> </w:t>
            </w:r>
            <w:r w:rsidR="0036774A">
              <w:rPr>
                <w:sz w:val="20"/>
              </w:rPr>
              <w:t>part</w:t>
            </w:r>
            <w:r w:rsidR="003B460E">
              <w:rPr>
                <w:sz w:val="20"/>
              </w:rPr>
              <w:t>)</w:t>
            </w:r>
            <w:r w:rsidR="00EF05F3">
              <w:rPr>
                <w:sz w:val="20"/>
              </w:rPr>
              <w:t>. M</w:t>
            </w:r>
            <w:r w:rsidR="009C1306">
              <w:rPr>
                <w:sz w:val="20"/>
              </w:rPr>
              <w:t>onitoring</w:t>
            </w:r>
            <w:r w:rsidR="00EF05F3">
              <w:rPr>
                <w:sz w:val="20"/>
              </w:rPr>
              <w:t xml:space="preserve"> of</w:t>
            </w:r>
            <w:r w:rsidR="009C1306">
              <w:rPr>
                <w:sz w:val="20"/>
              </w:rPr>
              <w:t xml:space="preserve"> Focal Ecosystem Components</w:t>
            </w:r>
            <w:r w:rsidR="00EF05F3">
              <w:rPr>
                <w:sz w:val="20"/>
              </w:rPr>
              <w:t xml:space="preserve"> (FECs)</w:t>
            </w:r>
            <w:r w:rsidR="009C1306">
              <w:rPr>
                <w:sz w:val="20"/>
              </w:rPr>
              <w:t xml:space="preserve"> including</w:t>
            </w:r>
            <w:r w:rsidR="002E431D">
              <w:rPr>
                <w:sz w:val="20"/>
              </w:rPr>
              <w:t xml:space="preserve"> essential and recommended attributes. </w:t>
            </w:r>
          </w:p>
          <w:p w14:paraId="632646F1" w14:textId="466EC6BC" w:rsidR="002E431D" w:rsidRDefault="002E431D" w:rsidP="001B6957">
            <w:pPr>
              <w:pStyle w:val="TableParagraph"/>
              <w:spacing w:before="134" w:line="242" w:lineRule="auto"/>
              <w:ind w:right="166"/>
              <w:rPr>
                <w:sz w:val="20"/>
              </w:rPr>
            </w:pPr>
            <w:r>
              <w:rPr>
                <w:sz w:val="20"/>
              </w:rPr>
              <w:t xml:space="preserve">CBMP </w:t>
            </w:r>
            <w:r w:rsidR="00EF05F3">
              <w:rPr>
                <w:sz w:val="20"/>
              </w:rPr>
              <w:t>Marine: seabird FECs include omnivores (glaucous gull, ivory gull), diving planktivores (least auklet, little auk), diving piscivore (common murre, thick-billed murre), surface piscivore (black-legged kittiwake), benthivore (common eider)</w:t>
            </w:r>
            <w:r w:rsidR="00B822FC">
              <w:rPr>
                <w:sz w:val="20"/>
              </w:rPr>
              <w:t>, and the recent addition of the northern fulmar and Leach’s storm petrel.</w:t>
            </w:r>
          </w:p>
          <w:p w14:paraId="7619EFDA" w14:textId="732C6B9A" w:rsidR="001B6957" w:rsidRDefault="002E431D" w:rsidP="001B6957">
            <w:pPr>
              <w:pStyle w:val="TableParagraph"/>
              <w:spacing w:before="134" w:line="242" w:lineRule="auto"/>
              <w:ind w:right="166"/>
              <w:rPr>
                <w:sz w:val="20"/>
              </w:rPr>
            </w:pPr>
            <w:r>
              <w:rPr>
                <w:sz w:val="20"/>
              </w:rPr>
              <w:t>CBMP Terrestrial:</w:t>
            </w:r>
            <w:r w:rsidR="00EF05F3">
              <w:rPr>
                <w:sz w:val="20"/>
              </w:rPr>
              <w:t xml:space="preserve"> bird FECs include</w:t>
            </w:r>
            <w:r>
              <w:rPr>
                <w:sz w:val="20"/>
              </w:rPr>
              <w:t xml:space="preserve"> </w:t>
            </w:r>
            <w:r w:rsidR="00EF05F3">
              <w:rPr>
                <w:sz w:val="20"/>
              </w:rPr>
              <w:t xml:space="preserve">herbivores (ptarmigan, geese), </w:t>
            </w:r>
            <w:r>
              <w:rPr>
                <w:sz w:val="20"/>
              </w:rPr>
              <w:t>insectivores</w:t>
            </w:r>
            <w:r w:rsidR="00EF05F3">
              <w:rPr>
                <w:sz w:val="20"/>
              </w:rPr>
              <w:t xml:space="preserve"> (waders, passerines)</w:t>
            </w:r>
            <w:r>
              <w:rPr>
                <w:sz w:val="20"/>
              </w:rPr>
              <w:t>, carnivores</w:t>
            </w:r>
            <w:r w:rsidR="00EF05F3">
              <w:rPr>
                <w:sz w:val="20"/>
              </w:rPr>
              <w:t xml:space="preserve"> (falcons, owls, buzzards, jaegers)</w:t>
            </w:r>
            <w:r>
              <w:rPr>
                <w:sz w:val="20"/>
              </w:rPr>
              <w:t>, omnivores</w:t>
            </w:r>
            <w:r w:rsidR="00EF05F3">
              <w:rPr>
                <w:sz w:val="20"/>
              </w:rPr>
              <w:t xml:space="preserve"> (cranes, ducks, raven). Various attributes (</w:t>
            </w:r>
            <w:r>
              <w:rPr>
                <w:sz w:val="20"/>
              </w:rPr>
              <w:t xml:space="preserve">abundance, </w:t>
            </w:r>
            <w:r w:rsidR="00EF05F3">
              <w:rPr>
                <w:sz w:val="20"/>
              </w:rPr>
              <w:t>demography, phenology, diversity, health, distribution temporal cycles) are noted as essential or recommended for monitoring</w:t>
            </w:r>
            <w:r w:rsidR="00027F84">
              <w:rPr>
                <w:sz w:val="20"/>
              </w:rPr>
              <w:t xml:space="preserve"> of various </w:t>
            </w:r>
            <w:r w:rsidR="00027F84">
              <w:rPr>
                <w:sz w:val="20"/>
              </w:rPr>
              <w:lastRenderedPageBreak/>
              <w:t>FECs</w:t>
            </w:r>
            <w:r w:rsidR="00EF05F3">
              <w:rPr>
                <w:sz w:val="20"/>
              </w:rPr>
              <w:t xml:space="preserve"> (</w:t>
            </w:r>
            <w:r w:rsidR="00027F84">
              <w:rPr>
                <w:sz w:val="20"/>
              </w:rPr>
              <w:t xml:space="preserve">for more details </w:t>
            </w:r>
            <w:r w:rsidR="00EF05F3">
              <w:rPr>
                <w:sz w:val="20"/>
              </w:rPr>
              <w:t>see page 61 of START report, link below).</w:t>
            </w:r>
          </w:p>
          <w:p w14:paraId="303ADC3C" w14:textId="77777777" w:rsidR="00EF05F3" w:rsidRDefault="00EF05F3" w:rsidP="001B6957">
            <w:pPr>
              <w:pStyle w:val="TableParagraph"/>
              <w:spacing w:before="134" w:line="242" w:lineRule="auto"/>
              <w:ind w:right="166"/>
              <w:rPr>
                <w:sz w:val="20"/>
              </w:rPr>
            </w:pPr>
          </w:p>
          <w:p w14:paraId="75633C8D" w14:textId="007EAFDE" w:rsidR="00EF05F3" w:rsidRDefault="00EF05F3" w:rsidP="001B6957">
            <w:pPr>
              <w:pStyle w:val="TableParagraph"/>
              <w:spacing w:before="134" w:line="242" w:lineRule="auto"/>
              <w:ind w:right="166"/>
              <w:rPr>
                <w:sz w:val="20"/>
              </w:rPr>
            </w:pPr>
            <w:r>
              <w:rPr>
                <w:sz w:val="20"/>
              </w:rPr>
              <w:t>See further reporting:</w:t>
            </w:r>
          </w:p>
          <w:p w14:paraId="2CA529E7" w14:textId="77777777" w:rsidR="00AD33D4" w:rsidRDefault="001C26BD" w:rsidP="00AD33D4">
            <w:pPr>
              <w:pStyle w:val="TableParagraph"/>
              <w:spacing w:before="134" w:line="242" w:lineRule="auto"/>
              <w:ind w:right="166"/>
              <w:rPr>
                <w:sz w:val="20"/>
              </w:rPr>
            </w:pPr>
            <w:hyperlink r:id="rId23" w:history="1">
              <w:r w:rsidR="00AD33D4" w:rsidRPr="00F36631">
                <w:rPr>
                  <w:rStyle w:val="Hyperlink"/>
                  <w:sz w:val="20"/>
                </w:rPr>
                <w:t>State of the Arctic Marine Biodiversity Report (</w:t>
              </w:r>
              <w:r w:rsidR="00AD33D4">
                <w:rPr>
                  <w:rStyle w:val="Hyperlink"/>
                  <w:sz w:val="20"/>
                </w:rPr>
                <w:t xml:space="preserve">SAMBR, </w:t>
              </w:r>
              <w:r w:rsidR="00AD33D4" w:rsidRPr="00F36631">
                <w:rPr>
                  <w:rStyle w:val="Hyperlink"/>
                  <w:sz w:val="20"/>
                </w:rPr>
                <w:t>2017) Seabirds chapter</w:t>
              </w:r>
            </w:hyperlink>
            <w:r w:rsidR="00AD33D4">
              <w:rPr>
                <w:sz w:val="20"/>
              </w:rPr>
              <w:t xml:space="preserve">, and </w:t>
            </w:r>
            <w:hyperlink r:id="rId24" w:history="1">
              <w:r w:rsidR="00AD33D4" w:rsidRPr="00F36631">
                <w:rPr>
                  <w:rStyle w:val="Hyperlink"/>
                  <w:sz w:val="20"/>
                </w:rPr>
                <w:t>2021 seabird update</w:t>
              </w:r>
            </w:hyperlink>
          </w:p>
          <w:p w14:paraId="57455BC8" w14:textId="77777777" w:rsidR="00AD33D4" w:rsidRDefault="001C26BD" w:rsidP="00AD33D4">
            <w:pPr>
              <w:pStyle w:val="TableParagraph"/>
              <w:spacing w:before="134" w:line="242" w:lineRule="auto"/>
              <w:ind w:right="166"/>
              <w:rPr>
                <w:sz w:val="20"/>
              </w:rPr>
            </w:pPr>
            <w:hyperlink r:id="rId25" w:history="1">
              <w:r w:rsidR="00AD33D4" w:rsidRPr="00F36631">
                <w:rPr>
                  <w:rStyle w:val="Hyperlink"/>
                  <w:sz w:val="20"/>
                </w:rPr>
                <w:t>State of the Arctic Terrestrial Biodiversity Report (</w:t>
              </w:r>
              <w:r w:rsidR="00AD33D4">
                <w:rPr>
                  <w:rStyle w:val="Hyperlink"/>
                  <w:sz w:val="20"/>
                </w:rPr>
                <w:t xml:space="preserve">START, </w:t>
              </w:r>
              <w:r w:rsidR="00AD33D4" w:rsidRPr="00F36631">
                <w:rPr>
                  <w:rStyle w:val="Hyperlink"/>
                  <w:sz w:val="20"/>
                </w:rPr>
                <w:t>2021) Birds chapter</w:t>
              </w:r>
            </w:hyperlink>
          </w:p>
          <w:p w14:paraId="1ADEF1D5" w14:textId="77777777" w:rsidR="00AD33D4" w:rsidRDefault="001C26BD" w:rsidP="00AD33D4">
            <w:pPr>
              <w:pStyle w:val="TableParagraph"/>
              <w:spacing w:before="134" w:line="242" w:lineRule="auto"/>
              <w:ind w:right="166"/>
              <w:rPr>
                <w:sz w:val="20"/>
              </w:rPr>
            </w:pPr>
            <w:hyperlink r:id="rId26" w:history="1">
              <w:r w:rsidR="00AD33D4" w:rsidRPr="00C322E9">
                <w:rPr>
                  <w:rStyle w:val="Hyperlink"/>
                  <w:sz w:val="20"/>
                </w:rPr>
                <w:t>Global Goose Audit (2018)</w:t>
              </w:r>
            </w:hyperlink>
          </w:p>
          <w:p w14:paraId="75F03A9D" w14:textId="77777777" w:rsidR="00AD33D4" w:rsidRDefault="001C26BD" w:rsidP="00AD33D4">
            <w:pPr>
              <w:pStyle w:val="TableParagraph"/>
              <w:spacing w:before="134" w:line="242" w:lineRule="auto"/>
              <w:ind w:right="166"/>
              <w:rPr>
                <w:sz w:val="20"/>
              </w:rPr>
            </w:pPr>
            <w:hyperlink r:id="rId27" w:history="1">
              <w:r w:rsidR="00AD33D4" w:rsidRPr="00027F84">
                <w:rPr>
                  <w:rStyle w:val="Hyperlink"/>
                  <w:sz w:val="20"/>
                </w:rPr>
                <w:t>Arctic Species Trend Index: migratory birds index</w:t>
              </w:r>
            </w:hyperlink>
            <w:r w:rsidR="00AD33D4">
              <w:rPr>
                <w:sz w:val="20"/>
              </w:rPr>
              <w:t xml:space="preserve"> (2015)</w:t>
            </w:r>
          </w:p>
          <w:p w14:paraId="1B5C275C" w14:textId="77777777" w:rsidR="00AD33D4" w:rsidRDefault="00AD33D4" w:rsidP="00AD33D4">
            <w:pPr>
              <w:pStyle w:val="TableParagraph"/>
              <w:spacing w:before="134" w:line="242" w:lineRule="auto"/>
              <w:ind w:right="166"/>
              <w:rPr>
                <w:sz w:val="20"/>
              </w:rPr>
            </w:pPr>
            <w:r>
              <w:rPr>
                <w:sz w:val="20"/>
              </w:rPr>
              <w:t>Arctic Migratory Birds Initiative (AMBI) African Eurasian Flyway (draft Status and Trends report from the Western Russian Arctic)</w:t>
            </w:r>
          </w:p>
          <w:p w14:paraId="0D5D1869" w14:textId="77777777" w:rsidR="00961DA1" w:rsidRDefault="00961DA1" w:rsidP="00C322E9">
            <w:pPr>
              <w:pStyle w:val="TableParagraph"/>
              <w:spacing w:before="134" w:line="242" w:lineRule="auto"/>
              <w:ind w:right="166"/>
              <w:rPr>
                <w:sz w:val="20"/>
              </w:rPr>
            </w:pPr>
          </w:p>
          <w:p w14:paraId="5A7BC596" w14:textId="77777777" w:rsidR="009C1306" w:rsidRDefault="009C1306" w:rsidP="009C1306">
            <w:pPr>
              <w:pStyle w:val="TableParagraph"/>
              <w:spacing w:before="0"/>
              <w:rPr>
                <w:sz w:val="20"/>
              </w:rPr>
            </w:pPr>
            <w:r>
              <w:rPr>
                <w:sz w:val="20"/>
              </w:rPr>
              <w:t>Source:</w:t>
            </w:r>
          </w:p>
          <w:p w14:paraId="5957DF09" w14:textId="379F975E" w:rsidR="009C1306" w:rsidRDefault="009C1306" w:rsidP="009C1306">
            <w:pPr>
              <w:pStyle w:val="TableParagraph"/>
              <w:spacing w:before="1"/>
              <w:ind w:right="327"/>
              <w:rPr>
                <w:sz w:val="20"/>
              </w:rPr>
            </w:pPr>
            <w:r>
              <w:rPr>
                <w:sz w:val="20"/>
              </w:rPr>
              <w:t>Contributions from Arctic States, Permanent Participants</w:t>
            </w:r>
            <w:r w:rsidR="00EF05F3">
              <w:rPr>
                <w:sz w:val="20"/>
              </w:rPr>
              <w:t>, Observer states and organizations</w:t>
            </w:r>
          </w:p>
          <w:p w14:paraId="4BC6BB75" w14:textId="65000145" w:rsidR="001B6957" w:rsidRDefault="001B6957" w:rsidP="001B6957">
            <w:pPr>
              <w:pStyle w:val="TableParagraph"/>
              <w:spacing w:before="134" w:line="242" w:lineRule="auto"/>
              <w:ind w:right="166"/>
              <w:rPr>
                <w:sz w:val="20"/>
              </w:rPr>
            </w:pPr>
          </w:p>
        </w:tc>
        <w:tc>
          <w:tcPr>
            <w:tcW w:w="2259" w:type="dxa"/>
          </w:tcPr>
          <w:p w14:paraId="221250F8" w14:textId="349F1FF2" w:rsidR="001B6957" w:rsidRDefault="003B460E" w:rsidP="001B6957">
            <w:pPr>
              <w:pStyle w:val="TableParagraph"/>
              <w:ind w:right="74"/>
              <w:rPr>
                <w:sz w:val="20"/>
              </w:rPr>
            </w:pPr>
            <w:r>
              <w:rPr>
                <w:sz w:val="20"/>
              </w:rPr>
              <w:lastRenderedPageBreak/>
              <w:t>C</w:t>
            </w:r>
            <w:r w:rsidR="001B6957">
              <w:rPr>
                <w:sz w:val="20"/>
              </w:rPr>
              <w:t>Bird Group reports for AEWA in 2012 and 2015</w:t>
            </w:r>
          </w:p>
          <w:p w14:paraId="33B90F4A" w14:textId="39F13A9C" w:rsidR="001B6957" w:rsidRDefault="001B6957" w:rsidP="001B6957">
            <w:pPr>
              <w:pStyle w:val="TableParagraph"/>
              <w:spacing w:before="0"/>
              <w:ind w:left="0"/>
            </w:pPr>
          </w:p>
          <w:p w14:paraId="76624DDB" w14:textId="2E6748B9" w:rsidR="008879FC" w:rsidRDefault="008879FC" w:rsidP="001B6957">
            <w:pPr>
              <w:pStyle w:val="TableParagraph"/>
              <w:spacing w:before="0"/>
              <w:ind w:left="0"/>
            </w:pPr>
          </w:p>
          <w:p w14:paraId="4B5DADB5" w14:textId="77777777" w:rsidR="004504C2" w:rsidRDefault="004504C2" w:rsidP="001B6957">
            <w:pPr>
              <w:pStyle w:val="TableParagraph"/>
              <w:spacing w:before="0"/>
              <w:ind w:left="0"/>
            </w:pPr>
          </w:p>
          <w:p w14:paraId="70589030" w14:textId="77777777" w:rsidR="001B6957" w:rsidRDefault="001B6957" w:rsidP="001B6957">
            <w:pPr>
              <w:pStyle w:val="TableParagraph"/>
              <w:spacing w:before="134" w:line="242" w:lineRule="auto"/>
              <w:ind w:right="169"/>
              <w:rPr>
                <w:sz w:val="20"/>
              </w:rPr>
            </w:pPr>
            <w:r>
              <w:rPr>
                <w:sz w:val="20"/>
              </w:rPr>
              <w:t>The Circumpolar Biodiversity Monitoring Programme (CBMP)</w:t>
            </w:r>
            <w:r w:rsidR="00C322E9">
              <w:rPr>
                <w:sz w:val="20"/>
              </w:rPr>
              <w:t xml:space="preserve"> (see previous column)</w:t>
            </w:r>
            <w:r w:rsidR="00B822FC">
              <w:rPr>
                <w:sz w:val="20"/>
              </w:rPr>
              <w:t>.</w:t>
            </w:r>
          </w:p>
          <w:p w14:paraId="679C38C5" w14:textId="77777777" w:rsidR="00B822FC" w:rsidRDefault="00B822FC" w:rsidP="001B6957">
            <w:pPr>
              <w:pStyle w:val="TableParagraph"/>
              <w:spacing w:before="134" w:line="242" w:lineRule="auto"/>
              <w:ind w:right="169"/>
              <w:rPr>
                <w:sz w:val="20"/>
              </w:rPr>
            </w:pPr>
          </w:p>
          <w:p w14:paraId="5D8C5183" w14:textId="77777777" w:rsidR="001B6957" w:rsidRDefault="00B822FC" w:rsidP="001B6957">
            <w:pPr>
              <w:pStyle w:val="TableParagraph"/>
              <w:spacing w:before="134" w:line="242" w:lineRule="auto"/>
              <w:ind w:right="169"/>
              <w:rPr>
                <w:sz w:val="20"/>
              </w:rPr>
            </w:pPr>
            <w:r>
              <w:rPr>
                <w:sz w:val="20"/>
              </w:rPr>
              <w:t>Arctic Seabird States Archive</w:t>
            </w:r>
          </w:p>
        </w:tc>
        <w:tc>
          <w:tcPr>
            <w:tcW w:w="2257" w:type="dxa"/>
          </w:tcPr>
          <w:p w14:paraId="047FAE3B" w14:textId="579947E0" w:rsidR="001B6957" w:rsidRDefault="00B822FC" w:rsidP="001B6957">
            <w:pPr>
              <w:pStyle w:val="TableParagraph"/>
              <w:ind w:right="511"/>
              <w:rPr>
                <w:sz w:val="20"/>
              </w:rPr>
            </w:pPr>
            <w:r>
              <w:rPr>
                <w:sz w:val="20"/>
              </w:rPr>
              <w:t>V</w:t>
            </w:r>
            <w:r w:rsidR="003B460E">
              <w:rPr>
                <w:sz w:val="20"/>
              </w:rPr>
              <w:t>arious monitoring frameworks/plans of relevance to waterbirds have been developed including:</w:t>
            </w:r>
          </w:p>
          <w:p w14:paraId="7811D1D3" w14:textId="7AB06E2F" w:rsidR="003B460E" w:rsidRDefault="003B460E" w:rsidP="00F36631">
            <w:pPr>
              <w:pStyle w:val="TableParagraph"/>
              <w:ind w:right="511"/>
              <w:rPr>
                <w:sz w:val="20"/>
              </w:rPr>
            </w:pPr>
            <w:r>
              <w:rPr>
                <w:sz w:val="20"/>
              </w:rPr>
              <w:t xml:space="preserve"> (seabirds)</w:t>
            </w:r>
            <w:r w:rsidR="00027F84">
              <w:rPr>
                <w:sz w:val="20"/>
              </w:rPr>
              <w:t>, noting updates in SAMBR</w:t>
            </w:r>
            <w:r w:rsidR="0036774A">
              <w:rPr>
                <w:sz w:val="20"/>
              </w:rPr>
              <w:t>.</w:t>
            </w:r>
            <w:r w:rsidR="00027F84">
              <w:rPr>
                <w:sz w:val="20"/>
              </w:rPr>
              <w:t xml:space="preserve"> report</w:t>
            </w:r>
          </w:p>
          <w:p w14:paraId="2B7D6751" w14:textId="20C7D048" w:rsidR="003B460E" w:rsidRDefault="00F36631" w:rsidP="00F36631">
            <w:pPr>
              <w:pStyle w:val="TableParagraph"/>
              <w:ind w:right="511"/>
              <w:rPr>
                <w:sz w:val="20"/>
              </w:rPr>
            </w:pPr>
            <w:r w:rsidRPr="00F36631">
              <w:rPr>
                <w:sz w:val="20"/>
              </w:rPr>
              <w:t xml:space="preserve">Circumpolar </w:t>
            </w:r>
            <w:r w:rsidR="003B460E" w:rsidRPr="00F36631">
              <w:rPr>
                <w:sz w:val="20"/>
              </w:rPr>
              <w:t>Seabird Monitoring Plan</w:t>
            </w:r>
          </w:p>
          <w:p w14:paraId="2C8E1AE5" w14:textId="1C9E3895" w:rsidR="003B460E" w:rsidRDefault="003B460E" w:rsidP="001B6957">
            <w:pPr>
              <w:pStyle w:val="TableParagraph"/>
              <w:ind w:right="511"/>
              <w:rPr>
                <w:sz w:val="20"/>
              </w:rPr>
            </w:pPr>
            <w:r>
              <w:rPr>
                <w:sz w:val="20"/>
              </w:rPr>
              <w:t xml:space="preserve"> (tundra breeding-birds)</w:t>
            </w:r>
            <w:r w:rsidR="00027F84">
              <w:rPr>
                <w:sz w:val="20"/>
              </w:rPr>
              <w:t>, noting updates in START report</w:t>
            </w:r>
          </w:p>
          <w:p w14:paraId="4BE383A7" w14:textId="77777777" w:rsidR="00F36631" w:rsidRDefault="00F36631" w:rsidP="001B6957">
            <w:pPr>
              <w:pStyle w:val="TableParagraph"/>
              <w:ind w:right="511"/>
              <w:rPr>
                <w:sz w:val="20"/>
              </w:rPr>
            </w:pPr>
          </w:p>
          <w:p w14:paraId="6B20014E" w14:textId="77777777" w:rsidR="001B6957" w:rsidRDefault="00F36631" w:rsidP="001B6957">
            <w:pPr>
              <w:pStyle w:val="TableParagraph"/>
              <w:ind w:right="511"/>
              <w:rPr>
                <w:sz w:val="20"/>
              </w:rPr>
            </w:pPr>
            <w:r>
              <w:rPr>
                <w:sz w:val="20"/>
              </w:rPr>
              <w:t xml:space="preserve">Data available on </w:t>
            </w:r>
            <w:r w:rsidR="0036774A">
              <w:rPr>
                <w:sz w:val="20"/>
              </w:rPr>
              <w:t xml:space="preserve">the  </w:t>
            </w:r>
          </w:p>
        </w:tc>
      </w:tr>
      <w:tr w:rsidR="00664206" w14:paraId="7CB4E227" w14:textId="77777777">
        <w:trPr>
          <w:trHeight w:val="661"/>
        </w:trPr>
        <w:tc>
          <w:tcPr>
            <w:tcW w:w="2259" w:type="dxa"/>
          </w:tcPr>
          <w:p w14:paraId="3B3665E9" w14:textId="5E4F881B" w:rsidR="00664206" w:rsidRPr="001B6957" w:rsidRDefault="00F33243">
            <w:pPr>
              <w:pStyle w:val="TableParagraph"/>
              <w:ind w:right="319"/>
              <w:rPr>
                <w:bCs/>
                <w:sz w:val="20"/>
              </w:rPr>
            </w:pPr>
            <w:r w:rsidRPr="001B6957">
              <w:rPr>
                <w:bCs/>
                <w:sz w:val="20"/>
              </w:rPr>
              <w:t>Trilateral Wadden Sea Cooperation</w:t>
            </w:r>
          </w:p>
        </w:tc>
        <w:tc>
          <w:tcPr>
            <w:tcW w:w="2256" w:type="dxa"/>
          </w:tcPr>
          <w:p w14:paraId="2F03476C" w14:textId="77777777" w:rsidR="00664206" w:rsidRDefault="008879FC">
            <w:pPr>
              <w:pStyle w:val="TableParagraph"/>
              <w:ind w:right="249"/>
              <w:rPr>
                <w:sz w:val="20"/>
              </w:rPr>
            </w:pPr>
            <w:r w:rsidRPr="008B6E4F">
              <w:rPr>
                <w:b/>
                <w:bCs/>
                <w:sz w:val="20"/>
              </w:rPr>
              <w:t>Wadden Sea:</w:t>
            </w:r>
            <w:r>
              <w:rPr>
                <w:sz w:val="20"/>
              </w:rPr>
              <w:br/>
            </w:r>
            <w:r w:rsidR="003F788D">
              <w:rPr>
                <w:sz w:val="20"/>
              </w:rPr>
              <w:t>It concerns only part of the flyway populations</w:t>
            </w:r>
          </w:p>
          <w:p w14:paraId="30F073B0" w14:textId="213CCBEA" w:rsidR="008879FC" w:rsidRPr="008879FC" w:rsidRDefault="008879FC" w:rsidP="008879FC">
            <w:pPr>
              <w:pStyle w:val="TableParagraph"/>
              <w:ind w:right="249"/>
              <w:rPr>
                <w:sz w:val="20"/>
              </w:rPr>
            </w:pPr>
            <w:r w:rsidRPr="008B6E4F">
              <w:rPr>
                <w:b/>
                <w:bCs/>
                <w:sz w:val="20"/>
              </w:rPr>
              <w:t>East Atlantic Flyway:</w:t>
            </w:r>
            <w:r>
              <w:rPr>
                <w:b/>
                <w:bCs/>
                <w:sz w:val="20"/>
              </w:rPr>
              <w:br/>
            </w:r>
            <w:r>
              <w:rPr>
                <w:sz w:val="20"/>
              </w:rPr>
              <w:t>3-yearly total counts along the flyway.</w:t>
            </w:r>
          </w:p>
        </w:tc>
        <w:tc>
          <w:tcPr>
            <w:tcW w:w="2259" w:type="dxa"/>
          </w:tcPr>
          <w:p w14:paraId="148E72C2" w14:textId="77777777" w:rsidR="00664206" w:rsidRDefault="008879FC">
            <w:pPr>
              <w:pStyle w:val="TableParagraph"/>
              <w:ind w:right="252"/>
              <w:rPr>
                <w:sz w:val="20"/>
              </w:rPr>
            </w:pPr>
            <w:r w:rsidRPr="0032572E">
              <w:rPr>
                <w:b/>
                <w:bCs/>
                <w:sz w:val="20"/>
              </w:rPr>
              <w:t>Wadden Sea:</w:t>
            </w:r>
            <w:r>
              <w:rPr>
                <w:b/>
                <w:bCs/>
                <w:sz w:val="20"/>
              </w:rPr>
              <w:br/>
            </w:r>
            <w:r w:rsidR="003F788D">
              <w:rPr>
                <w:sz w:val="20"/>
              </w:rPr>
              <w:t>It concerns only part of the flyway population</w:t>
            </w:r>
          </w:p>
          <w:p w14:paraId="1392EAD3" w14:textId="6A394D14" w:rsidR="008879FC" w:rsidRDefault="008879FC">
            <w:pPr>
              <w:pStyle w:val="TableParagraph"/>
              <w:ind w:right="252"/>
              <w:rPr>
                <w:sz w:val="20"/>
              </w:rPr>
            </w:pPr>
            <w:r w:rsidRPr="0032572E">
              <w:rPr>
                <w:b/>
                <w:bCs/>
                <w:sz w:val="20"/>
              </w:rPr>
              <w:t>East Atlantic Flyway:</w:t>
            </w:r>
            <w:r>
              <w:rPr>
                <w:b/>
                <w:bCs/>
                <w:sz w:val="20"/>
              </w:rPr>
              <w:br/>
            </w:r>
            <w:r w:rsidRPr="008B6E4F">
              <w:rPr>
                <w:sz w:val="20"/>
              </w:rPr>
              <w:t>3-yearly trend analyses</w:t>
            </w:r>
          </w:p>
        </w:tc>
        <w:tc>
          <w:tcPr>
            <w:tcW w:w="2257" w:type="dxa"/>
          </w:tcPr>
          <w:p w14:paraId="2B009512" w14:textId="77777777" w:rsidR="00664206" w:rsidRDefault="008879FC">
            <w:pPr>
              <w:pStyle w:val="TableParagraph"/>
              <w:ind w:right="84"/>
              <w:rPr>
                <w:sz w:val="20"/>
              </w:rPr>
            </w:pPr>
            <w:r w:rsidRPr="0032572E">
              <w:rPr>
                <w:b/>
                <w:bCs/>
                <w:sz w:val="20"/>
              </w:rPr>
              <w:t>Wadden Sea:</w:t>
            </w:r>
            <w:r>
              <w:rPr>
                <w:sz w:val="20"/>
              </w:rPr>
              <w:br/>
            </w:r>
            <w:r w:rsidR="003F788D">
              <w:rPr>
                <w:sz w:val="20"/>
              </w:rPr>
              <w:t>It is more like a large site monitoring</w:t>
            </w:r>
          </w:p>
          <w:p w14:paraId="064769DC" w14:textId="00A6E2D3" w:rsidR="008879FC" w:rsidRPr="008879FC" w:rsidRDefault="008879FC">
            <w:pPr>
              <w:pStyle w:val="TableParagraph"/>
              <w:ind w:right="84"/>
              <w:rPr>
                <w:sz w:val="20"/>
              </w:rPr>
            </w:pPr>
            <w:r w:rsidRPr="0032572E">
              <w:rPr>
                <w:b/>
                <w:bCs/>
                <w:sz w:val="20"/>
              </w:rPr>
              <w:t>East Atlantic Flyway:</w:t>
            </w:r>
            <w:r>
              <w:rPr>
                <w:b/>
                <w:bCs/>
                <w:sz w:val="20"/>
              </w:rPr>
              <w:br/>
            </w:r>
            <w:r>
              <w:rPr>
                <w:sz w:val="20"/>
              </w:rPr>
              <w:t>Monitoring of key sites along the flyway including human impacts</w:t>
            </w:r>
          </w:p>
        </w:tc>
      </w:tr>
      <w:tr w:rsidR="00664206" w14:paraId="2F180C77" w14:textId="77777777">
        <w:trPr>
          <w:trHeight w:val="333"/>
        </w:trPr>
        <w:tc>
          <w:tcPr>
            <w:tcW w:w="2259" w:type="dxa"/>
            <w:tcBorders>
              <w:bottom w:val="nil"/>
            </w:tcBorders>
          </w:tcPr>
          <w:p w14:paraId="4254EC14" w14:textId="4F6C6208" w:rsidR="004C64C1" w:rsidRDefault="003F788D" w:rsidP="004C64C1">
            <w:pPr>
              <w:pStyle w:val="TableParagraph"/>
              <w:spacing w:before="98" w:line="215" w:lineRule="exact"/>
              <w:rPr>
                <w:sz w:val="20"/>
              </w:rPr>
            </w:pPr>
            <w:r>
              <w:rPr>
                <w:sz w:val="20"/>
              </w:rPr>
              <w:t>IUCN Red List of Birds</w:t>
            </w:r>
          </w:p>
        </w:tc>
        <w:tc>
          <w:tcPr>
            <w:tcW w:w="2256" w:type="dxa"/>
            <w:tcBorders>
              <w:bottom w:val="nil"/>
            </w:tcBorders>
          </w:tcPr>
          <w:p w14:paraId="4EF1831F" w14:textId="77777777" w:rsidR="00664206" w:rsidRDefault="003F788D">
            <w:pPr>
              <w:pStyle w:val="TableParagraph"/>
              <w:spacing w:before="98" w:line="215" w:lineRule="exact"/>
              <w:rPr>
                <w:sz w:val="20"/>
              </w:rPr>
            </w:pPr>
            <w:r>
              <w:rPr>
                <w:sz w:val="20"/>
              </w:rPr>
              <w:t>It is partly informed by</w:t>
            </w:r>
          </w:p>
        </w:tc>
        <w:tc>
          <w:tcPr>
            <w:tcW w:w="2259" w:type="dxa"/>
            <w:tcBorders>
              <w:bottom w:val="nil"/>
            </w:tcBorders>
          </w:tcPr>
          <w:p w14:paraId="22401D85" w14:textId="77777777" w:rsidR="00664206" w:rsidRDefault="003F788D">
            <w:pPr>
              <w:pStyle w:val="TableParagraph"/>
              <w:spacing w:before="98" w:line="215" w:lineRule="exact"/>
              <w:rPr>
                <w:sz w:val="20"/>
              </w:rPr>
            </w:pPr>
            <w:r>
              <w:rPr>
                <w:sz w:val="20"/>
              </w:rPr>
              <w:t>It is partly informed by</w:t>
            </w:r>
          </w:p>
        </w:tc>
        <w:tc>
          <w:tcPr>
            <w:tcW w:w="2257" w:type="dxa"/>
            <w:tcBorders>
              <w:bottom w:val="nil"/>
            </w:tcBorders>
          </w:tcPr>
          <w:p w14:paraId="10B94851" w14:textId="77777777" w:rsidR="00664206" w:rsidRDefault="003F788D">
            <w:pPr>
              <w:pStyle w:val="TableParagraph"/>
              <w:spacing w:before="98" w:line="215" w:lineRule="exact"/>
              <w:rPr>
                <w:sz w:val="20"/>
              </w:rPr>
            </w:pPr>
            <w:r>
              <w:rPr>
                <w:sz w:val="20"/>
              </w:rPr>
              <w:t>Not applicable</w:t>
            </w:r>
          </w:p>
        </w:tc>
      </w:tr>
      <w:tr w:rsidR="00664206" w14:paraId="2E13E2ED" w14:textId="77777777">
        <w:trPr>
          <w:trHeight w:val="230"/>
        </w:trPr>
        <w:tc>
          <w:tcPr>
            <w:tcW w:w="2259" w:type="dxa"/>
            <w:tcBorders>
              <w:top w:val="nil"/>
              <w:bottom w:val="nil"/>
            </w:tcBorders>
          </w:tcPr>
          <w:p w14:paraId="48A2FE2E" w14:textId="77777777" w:rsidR="00664206" w:rsidRDefault="003F788D">
            <w:pPr>
              <w:pStyle w:val="TableParagraph"/>
              <w:spacing w:before="0" w:line="210" w:lineRule="exact"/>
              <w:rPr>
                <w:sz w:val="20"/>
              </w:rPr>
            </w:pPr>
            <w:r>
              <w:rPr>
                <w:sz w:val="20"/>
              </w:rPr>
              <w:t>(BirdLife International)</w:t>
            </w:r>
          </w:p>
        </w:tc>
        <w:tc>
          <w:tcPr>
            <w:tcW w:w="2256" w:type="dxa"/>
            <w:tcBorders>
              <w:top w:val="nil"/>
              <w:bottom w:val="nil"/>
            </w:tcBorders>
          </w:tcPr>
          <w:p w14:paraId="2FFE1975" w14:textId="77777777" w:rsidR="00664206" w:rsidRDefault="003F788D">
            <w:pPr>
              <w:pStyle w:val="TableParagraph"/>
              <w:spacing w:before="0" w:line="210" w:lineRule="exact"/>
              <w:rPr>
                <w:sz w:val="20"/>
              </w:rPr>
            </w:pPr>
            <w:r>
              <w:rPr>
                <w:sz w:val="20"/>
              </w:rPr>
              <w:t>waterbird population</w:t>
            </w:r>
          </w:p>
        </w:tc>
        <w:tc>
          <w:tcPr>
            <w:tcW w:w="2259" w:type="dxa"/>
            <w:tcBorders>
              <w:top w:val="nil"/>
              <w:bottom w:val="nil"/>
            </w:tcBorders>
          </w:tcPr>
          <w:p w14:paraId="422362D0" w14:textId="77777777" w:rsidR="00664206" w:rsidRDefault="003F788D">
            <w:pPr>
              <w:pStyle w:val="TableParagraph"/>
              <w:spacing w:before="0" w:line="210" w:lineRule="exact"/>
              <w:rPr>
                <w:sz w:val="20"/>
              </w:rPr>
            </w:pPr>
            <w:r>
              <w:rPr>
                <w:sz w:val="20"/>
              </w:rPr>
              <w:t>waterbird population</w:t>
            </w:r>
          </w:p>
        </w:tc>
        <w:tc>
          <w:tcPr>
            <w:tcW w:w="2257" w:type="dxa"/>
            <w:tcBorders>
              <w:top w:val="nil"/>
              <w:bottom w:val="nil"/>
            </w:tcBorders>
          </w:tcPr>
          <w:p w14:paraId="6292A013" w14:textId="77777777" w:rsidR="00664206" w:rsidRDefault="00664206">
            <w:pPr>
              <w:pStyle w:val="TableParagraph"/>
              <w:spacing w:before="0"/>
              <w:ind w:left="0"/>
              <w:rPr>
                <w:sz w:val="16"/>
              </w:rPr>
            </w:pPr>
          </w:p>
        </w:tc>
      </w:tr>
      <w:tr w:rsidR="00664206" w14:paraId="25E60AB2" w14:textId="77777777">
        <w:trPr>
          <w:trHeight w:val="230"/>
        </w:trPr>
        <w:tc>
          <w:tcPr>
            <w:tcW w:w="2259" w:type="dxa"/>
            <w:tcBorders>
              <w:top w:val="nil"/>
              <w:bottom w:val="nil"/>
            </w:tcBorders>
          </w:tcPr>
          <w:p w14:paraId="4BF578C3" w14:textId="77777777" w:rsidR="00664206" w:rsidRDefault="00664206">
            <w:pPr>
              <w:pStyle w:val="TableParagraph"/>
              <w:spacing w:before="0"/>
              <w:ind w:left="0"/>
              <w:rPr>
                <w:sz w:val="16"/>
              </w:rPr>
            </w:pPr>
          </w:p>
        </w:tc>
        <w:tc>
          <w:tcPr>
            <w:tcW w:w="2256" w:type="dxa"/>
            <w:tcBorders>
              <w:top w:val="nil"/>
              <w:bottom w:val="nil"/>
            </w:tcBorders>
          </w:tcPr>
          <w:p w14:paraId="2326A270" w14:textId="77777777" w:rsidR="00664206" w:rsidRDefault="003F788D">
            <w:pPr>
              <w:pStyle w:val="TableParagraph"/>
              <w:spacing w:before="0" w:line="211" w:lineRule="exact"/>
              <w:rPr>
                <w:sz w:val="20"/>
              </w:rPr>
            </w:pPr>
            <w:r>
              <w:rPr>
                <w:sz w:val="20"/>
              </w:rPr>
              <w:t>estimates for AEWA and</w:t>
            </w:r>
          </w:p>
        </w:tc>
        <w:tc>
          <w:tcPr>
            <w:tcW w:w="2259" w:type="dxa"/>
            <w:tcBorders>
              <w:top w:val="nil"/>
              <w:bottom w:val="nil"/>
            </w:tcBorders>
          </w:tcPr>
          <w:p w14:paraId="1C32751C" w14:textId="77777777" w:rsidR="00664206" w:rsidRDefault="003F788D">
            <w:pPr>
              <w:pStyle w:val="TableParagraph"/>
              <w:spacing w:before="0" w:line="211" w:lineRule="exact"/>
              <w:rPr>
                <w:sz w:val="20"/>
              </w:rPr>
            </w:pPr>
            <w:r>
              <w:rPr>
                <w:sz w:val="20"/>
              </w:rPr>
              <w:t>estimates for AEWA and</w:t>
            </w:r>
          </w:p>
        </w:tc>
        <w:tc>
          <w:tcPr>
            <w:tcW w:w="2257" w:type="dxa"/>
            <w:tcBorders>
              <w:top w:val="nil"/>
              <w:bottom w:val="nil"/>
            </w:tcBorders>
          </w:tcPr>
          <w:p w14:paraId="56C38584" w14:textId="77777777" w:rsidR="00664206" w:rsidRDefault="00664206">
            <w:pPr>
              <w:pStyle w:val="TableParagraph"/>
              <w:spacing w:before="0"/>
              <w:ind w:left="0"/>
              <w:rPr>
                <w:sz w:val="16"/>
              </w:rPr>
            </w:pPr>
          </w:p>
        </w:tc>
      </w:tr>
      <w:tr w:rsidR="00664206" w14:paraId="19F22E3F" w14:textId="77777777">
        <w:trPr>
          <w:trHeight w:val="230"/>
        </w:trPr>
        <w:tc>
          <w:tcPr>
            <w:tcW w:w="2259" w:type="dxa"/>
            <w:tcBorders>
              <w:top w:val="nil"/>
              <w:bottom w:val="nil"/>
            </w:tcBorders>
          </w:tcPr>
          <w:p w14:paraId="05351E2B" w14:textId="77777777" w:rsidR="00664206" w:rsidRDefault="00664206">
            <w:pPr>
              <w:pStyle w:val="TableParagraph"/>
              <w:spacing w:before="0"/>
              <w:ind w:left="0"/>
              <w:rPr>
                <w:sz w:val="16"/>
              </w:rPr>
            </w:pPr>
          </w:p>
        </w:tc>
        <w:tc>
          <w:tcPr>
            <w:tcW w:w="2256" w:type="dxa"/>
            <w:tcBorders>
              <w:top w:val="nil"/>
              <w:bottom w:val="nil"/>
            </w:tcBorders>
          </w:tcPr>
          <w:p w14:paraId="61D30061" w14:textId="77777777" w:rsidR="00664206" w:rsidRDefault="003F788D">
            <w:pPr>
              <w:pStyle w:val="TableParagraph"/>
              <w:spacing w:before="0" w:line="211" w:lineRule="exact"/>
              <w:rPr>
                <w:sz w:val="20"/>
              </w:rPr>
            </w:pPr>
            <w:r>
              <w:rPr>
                <w:sz w:val="20"/>
              </w:rPr>
              <w:t>Ramsar, but it also</w:t>
            </w:r>
          </w:p>
        </w:tc>
        <w:tc>
          <w:tcPr>
            <w:tcW w:w="2259" w:type="dxa"/>
            <w:tcBorders>
              <w:top w:val="nil"/>
              <w:bottom w:val="nil"/>
            </w:tcBorders>
          </w:tcPr>
          <w:p w14:paraId="76C2823F" w14:textId="77777777" w:rsidR="00664206" w:rsidRDefault="003F788D">
            <w:pPr>
              <w:pStyle w:val="TableParagraph"/>
              <w:spacing w:before="0" w:line="211" w:lineRule="exact"/>
              <w:rPr>
                <w:sz w:val="20"/>
              </w:rPr>
            </w:pPr>
            <w:r>
              <w:rPr>
                <w:sz w:val="20"/>
              </w:rPr>
              <w:t>Ramsar, but it also</w:t>
            </w:r>
          </w:p>
        </w:tc>
        <w:tc>
          <w:tcPr>
            <w:tcW w:w="2257" w:type="dxa"/>
            <w:tcBorders>
              <w:top w:val="nil"/>
              <w:bottom w:val="nil"/>
            </w:tcBorders>
          </w:tcPr>
          <w:p w14:paraId="1F0B9224" w14:textId="77777777" w:rsidR="00664206" w:rsidRDefault="00664206">
            <w:pPr>
              <w:pStyle w:val="TableParagraph"/>
              <w:spacing w:before="0"/>
              <w:ind w:left="0"/>
              <w:rPr>
                <w:sz w:val="16"/>
              </w:rPr>
            </w:pPr>
          </w:p>
        </w:tc>
      </w:tr>
      <w:tr w:rsidR="00664206" w14:paraId="4B0169C3" w14:textId="77777777">
        <w:trPr>
          <w:trHeight w:val="230"/>
        </w:trPr>
        <w:tc>
          <w:tcPr>
            <w:tcW w:w="2259" w:type="dxa"/>
            <w:tcBorders>
              <w:top w:val="nil"/>
              <w:bottom w:val="nil"/>
            </w:tcBorders>
          </w:tcPr>
          <w:p w14:paraId="7AE4DF14" w14:textId="77777777" w:rsidR="00664206" w:rsidRDefault="00664206">
            <w:pPr>
              <w:pStyle w:val="TableParagraph"/>
              <w:spacing w:before="0"/>
              <w:ind w:left="0"/>
              <w:rPr>
                <w:sz w:val="16"/>
              </w:rPr>
            </w:pPr>
          </w:p>
        </w:tc>
        <w:tc>
          <w:tcPr>
            <w:tcW w:w="2256" w:type="dxa"/>
            <w:tcBorders>
              <w:top w:val="nil"/>
              <w:bottom w:val="nil"/>
            </w:tcBorders>
          </w:tcPr>
          <w:p w14:paraId="394F0B4F" w14:textId="77777777" w:rsidR="00664206" w:rsidRDefault="003F788D">
            <w:pPr>
              <w:pStyle w:val="TableParagraph"/>
              <w:spacing w:before="0" w:line="210" w:lineRule="exact"/>
              <w:rPr>
                <w:sz w:val="20"/>
              </w:rPr>
            </w:pPr>
            <w:r>
              <w:rPr>
                <w:sz w:val="20"/>
              </w:rPr>
              <w:t>provides input into those</w:t>
            </w:r>
          </w:p>
        </w:tc>
        <w:tc>
          <w:tcPr>
            <w:tcW w:w="2259" w:type="dxa"/>
            <w:tcBorders>
              <w:top w:val="nil"/>
              <w:bottom w:val="nil"/>
            </w:tcBorders>
          </w:tcPr>
          <w:p w14:paraId="2871B815" w14:textId="77777777" w:rsidR="00664206" w:rsidRDefault="003F788D">
            <w:pPr>
              <w:pStyle w:val="TableParagraph"/>
              <w:spacing w:before="0" w:line="210" w:lineRule="exact"/>
              <w:rPr>
                <w:sz w:val="20"/>
              </w:rPr>
            </w:pPr>
            <w:r>
              <w:rPr>
                <w:sz w:val="20"/>
              </w:rPr>
              <w:t>provides input into those</w:t>
            </w:r>
          </w:p>
        </w:tc>
        <w:tc>
          <w:tcPr>
            <w:tcW w:w="2257" w:type="dxa"/>
            <w:tcBorders>
              <w:top w:val="nil"/>
              <w:bottom w:val="nil"/>
            </w:tcBorders>
          </w:tcPr>
          <w:p w14:paraId="2DAFC410" w14:textId="77777777" w:rsidR="00664206" w:rsidRDefault="00664206">
            <w:pPr>
              <w:pStyle w:val="TableParagraph"/>
              <w:spacing w:before="0"/>
              <w:ind w:left="0"/>
              <w:rPr>
                <w:sz w:val="16"/>
              </w:rPr>
            </w:pPr>
          </w:p>
        </w:tc>
      </w:tr>
      <w:tr w:rsidR="00664206" w14:paraId="0C6A2AF7" w14:textId="77777777">
        <w:trPr>
          <w:trHeight w:val="229"/>
        </w:trPr>
        <w:tc>
          <w:tcPr>
            <w:tcW w:w="2259" w:type="dxa"/>
            <w:tcBorders>
              <w:top w:val="nil"/>
              <w:bottom w:val="nil"/>
            </w:tcBorders>
          </w:tcPr>
          <w:p w14:paraId="1043306A" w14:textId="77777777" w:rsidR="00664206" w:rsidRDefault="00664206">
            <w:pPr>
              <w:pStyle w:val="TableParagraph"/>
              <w:spacing w:before="0"/>
              <w:ind w:left="0"/>
              <w:rPr>
                <w:sz w:val="16"/>
              </w:rPr>
            </w:pPr>
          </w:p>
        </w:tc>
        <w:tc>
          <w:tcPr>
            <w:tcW w:w="2256" w:type="dxa"/>
            <w:tcBorders>
              <w:top w:val="nil"/>
              <w:bottom w:val="nil"/>
            </w:tcBorders>
          </w:tcPr>
          <w:p w14:paraId="7CA50C6D" w14:textId="77777777" w:rsidR="00664206" w:rsidRDefault="003F788D">
            <w:pPr>
              <w:pStyle w:val="TableParagraph"/>
              <w:spacing w:before="0" w:line="209" w:lineRule="exact"/>
              <w:rPr>
                <w:sz w:val="20"/>
              </w:rPr>
            </w:pPr>
            <w:r>
              <w:rPr>
                <w:sz w:val="20"/>
              </w:rPr>
              <w:t>particularly in relation to</w:t>
            </w:r>
          </w:p>
        </w:tc>
        <w:tc>
          <w:tcPr>
            <w:tcW w:w="2259" w:type="dxa"/>
            <w:tcBorders>
              <w:top w:val="nil"/>
              <w:bottom w:val="nil"/>
            </w:tcBorders>
          </w:tcPr>
          <w:p w14:paraId="62DA9B18" w14:textId="77777777" w:rsidR="00664206" w:rsidRDefault="003F788D">
            <w:pPr>
              <w:pStyle w:val="TableParagraph"/>
              <w:spacing w:before="0" w:line="209" w:lineRule="exact"/>
              <w:rPr>
                <w:sz w:val="20"/>
              </w:rPr>
            </w:pPr>
            <w:r>
              <w:rPr>
                <w:sz w:val="20"/>
              </w:rPr>
              <w:t>particularly in relation to</w:t>
            </w:r>
          </w:p>
        </w:tc>
        <w:tc>
          <w:tcPr>
            <w:tcW w:w="2257" w:type="dxa"/>
            <w:tcBorders>
              <w:top w:val="nil"/>
              <w:bottom w:val="nil"/>
            </w:tcBorders>
          </w:tcPr>
          <w:p w14:paraId="777CDE54" w14:textId="77777777" w:rsidR="00664206" w:rsidRDefault="00664206">
            <w:pPr>
              <w:pStyle w:val="TableParagraph"/>
              <w:spacing w:before="0"/>
              <w:ind w:left="0"/>
              <w:rPr>
                <w:sz w:val="16"/>
              </w:rPr>
            </w:pPr>
          </w:p>
        </w:tc>
      </w:tr>
      <w:tr w:rsidR="00664206" w14:paraId="63F30942" w14:textId="77777777">
        <w:trPr>
          <w:trHeight w:val="324"/>
        </w:trPr>
        <w:tc>
          <w:tcPr>
            <w:tcW w:w="2259" w:type="dxa"/>
            <w:tcBorders>
              <w:top w:val="nil"/>
            </w:tcBorders>
          </w:tcPr>
          <w:p w14:paraId="5FFEEF50" w14:textId="77777777" w:rsidR="00664206" w:rsidRDefault="00664206">
            <w:pPr>
              <w:pStyle w:val="TableParagraph"/>
              <w:spacing w:before="0"/>
              <w:ind w:left="0"/>
            </w:pPr>
          </w:p>
        </w:tc>
        <w:tc>
          <w:tcPr>
            <w:tcW w:w="2256" w:type="dxa"/>
            <w:tcBorders>
              <w:top w:val="nil"/>
            </w:tcBorders>
          </w:tcPr>
          <w:p w14:paraId="522FC8FF" w14:textId="77777777" w:rsidR="00664206" w:rsidRDefault="003F788D">
            <w:pPr>
              <w:pStyle w:val="TableParagraph"/>
              <w:spacing w:before="0" w:line="224" w:lineRule="exact"/>
              <w:rPr>
                <w:sz w:val="20"/>
              </w:rPr>
            </w:pPr>
            <w:r>
              <w:rPr>
                <w:sz w:val="20"/>
              </w:rPr>
              <w:t>threatened species</w:t>
            </w:r>
          </w:p>
        </w:tc>
        <w:tc>
          <w:tcPr>
            <w:tcW w:w="2259" w:type="dxa"/>
            <w:tcBorders>
              <w:top w:val="nil"/>
            </w:tcBorders>
          </w:tcPr>
          <w:p w14:paraId="0E3EBEEC" w14:textId="77777777" w:rsidR="00664206" w:rsidRDefault="003F788D">
            <w:pPr>
              <w:pStyle w:val="TableParagraph"/>
              <w:spacing w:before="0" w:line="224" w:lineRule="exact"/>
              <w:rPr>
                <w:sz w:val="20"/>
              </w:rPr>
            </w:pPr>
            <w:r>
              <w:rPr>
                <w:sz w:val="20"/>
              </w:rPr>
              <w:t>threatened species</w:t>
            </w:r>
          </w:p>
        </w:tc>
        <w:tc>
          <w:tcPr>
            <w:tcW w:w="2257" w:type="dxa"/>
            <w:tcBorders>
              <w:top w:val="nil"/>
            </w:tcBorders>
          </w:tcPr>
          <w:p w14:paraId="182F26DF" w14:textId="77777777" w:rsidR="00664206" w:rsidRDefault="00664206">
            <w:pPr>
              <w:pStyle w:val="TableParagraph"/>
              <w:spacing w:before="0"/>
              <w:ind w:left="0"/>
            </w:pPr>
          </w:p>
        </w:tc>
      </w:tr>
    </w:tbl>
    <w:p w14:paraId="58234B5F" w14:textId="2AD44BF9" w:rsidR="001B6957" w:rsidRDefault="001B6957">
      <w:pPr>
        <w:pStyle w:val="BodyText"/>
        <w:spacing w:before="6"/>
        <w:rPr>
          <w:sz w:val="27"/>
        </w:rPr>
      </w:pPr>
    </w:p>
    <w:p w14:paraId="2D7365A0" w14:textId="1A10243D" w:rsidR="00FF6875" w:rsidRDefault="00FF6875">
      <w:pPr>
        <w:pStyle w:val="BodyText"/>
        <w:spacing w:before="6"/>
        <w:rPr>
          <w:sz w:val="27"/>
        </w:rPr>
      </w:pPr>
    </w:p>
    <w:p w14:paraId="784B0928" w14:textId="77777777" w:rsidR="00C4129B" w:rsidRDefault="00C4129B">
      <w:pPr>
        <w:pStyle w:val="BodyText"/>
        <w:spacing w:before="6"/>
        <w:rPr>
          <w:sz w:val="27"/>
        </w:rPr>
      </w:pPr>
    </w:p>
    <w:p w14:paraId="740A5A08" w14:textId="36B39237" w:rsidR="00664206" w:rsidRDefault="003F788D">
      <w:pPr>
        <w:pStyle w:val="Heading1"/>
        <w:spacing w:before="90"/>
      </w:pPr>
      <w:r>
        <w:lastRenderedPageBreak/>
        <w:t>Data collection and assessment</w:t>
      </w:r>
    </w:p>
    <w:p w14:paraId="4C2CCFFA" w14:textId="77777777" w:rsidR="00664206" w:rsidRDefault="003F788D" w:rsidP="006C2A38">
      <w:pPr>
        <w:pStyle w:val="BodyText"/>
        <w:spacing w:before="160"/>
        <w:ind w:left="720"/>
        <w:jc w:val="both"/>
      </w:pPr>
      <w:r>
        <w:t>All MEA assessments are secondary users of nationally coordinated monitoring programmes.</w:t>
      </w:r>
    </w:p>
    <w:p w14:paraId="6E339963" w14:textId="77777777" w:rsidR="00664206" w:rsidRDefault="00664206" w:rsidP="006C2A38">
      <w:pPr>
        <w:pStyle w:val="BodyText"/>
        <w:jc w:val="both"/>
      </w:pPr>
    </w:p>
    <w:p w14:paraId="4C905690" w14:textId="39A13EF0" w:rsidR="00664206" w:rsidRDefault="003F788D" w:rsidP="006C2A38">
      <w:pPr>
        <w:pStyle w:val="BodyText"/>
        <w:ind w:left="720" w:right="738"/>
        <w:jc w:val="both"/>
      </w:pPr>
      <w:r>
        <w:t>Data from national level monitoring programmes is aggregated at international level by various expert organisations that provide technical support to the MEA</w:t>
      </w:r>
      <w:r w:rsidR="00114725">
        <w:t>s</w:t>
      </w:r>
      <w:r>
        <w:t xml:space="preserve"> (e.g. Wetlands International, BirdLife International, EEA, ICES/OSPAR/HELCOM Joint Working Group on Marine Birds, i.e. JWGBIRD, Sovon) and these range from simple aggregations of nationally reported figures (e.g. under the EU Article 12 reporting process) to running combined supranational trend analyses (e.g. IWC, PECBMS, HELCOM, OSPAR, Wadden Sea).</w:t>
      </w:r>
    </w:p>
    <w:p w14:paraId="5855A5DB" w14:textId="77777777" w:rsidR="00664206" w:rsidRDefault="00664206" w:rsidP="006C2A38">
      <w:pPr>
        <w:pStyle w:val="BodyText"/>
        <w:spacing w:before="1"/>
        <w:jc w:val="both"/>
      </w:pPr>
    </w:p>
    <w:p w14:paraId="68C8B0B3" w14:textId="77777777" w:rsidR="00664206" w:rsidRDefault="003F788D" w:rsidP="006C2A38">
      <w:pPr>
        <w:pStyle w:val="BodyText"/>
        <w:ind w:left="720" w:right="631"/>
        <w:jc w:val="both"/>
      </w:pPr>
      <w:r>
        <w:t>The geographic levels usually (e.g. entire range of a species or population, Europe, EU, OSPAR, HELCOM regions or subregions) differ according to the specific needs of the MEA.</w:t>
      </w:r>
    </w:p>
    <w:p w14:paraId="762FC3AD" w14:textId="77777777" w:rsidR="00664206" w:rsidRDefault="00664206" w:rsidP="006C2A38">
      <w:pPr>
        <w:pStyle w:val="BodyText"/>
        <w:spacing w:before="11"/>
        <w:jc w:val="both"/>
        <w:rPr>
          <w:sz w:val="21"/>
        </w:rPr>
      </w:pPr>
    </w:p>
    <w:p w14:paraId="2172BF55" w14:textId="77777777" w:rsidR="00664206" w:rsidRDefault="003F788D" w:rsidP="006C2A38">
      <w:pPr>
        <w:pStyle w:val="BodyText"/>
        <w:ind w:left="720" w:right="738"/>
        <w:jc w:val="both"/>
      </w:pPr>
      <w:r>
        <w:t>Usually,</w:t>
      </w:r>
      <w:r>
        <w:rPr>
          <w:spacing w:val="-12"/>
        </w:rPr>
        <w:t xml:space="preserve"> </w:t>
      </w:r>
      <w:r>
        <w:t>the</w:t>
      </w:r>
      <w:r>
        <w:rPr>
          <w:spacing w:val="-12"/>
        </w:rPr>
        <w:t xml:space="preserve"> </w:t>
      </w:r>
      <w:r>
        <w:t>assessment</w:t>
      </w:r>
      <w:r>
        <w:rPr>
          <w:spacing w:val="-9"/>
        </w:rPr>
        <w:t xml:space="preserve"> </w:t>
      </w:r>
      <w:r>
        <w:t>criteria</w:t>
      </w:r>
      <w:r>
        <w:rPr>
          <w:spacing w:val="-8"/>
        </w:rPr>
        <w:t xml:space="preserve"> </w:t>
      </w:r>
      <w:r>
        <w:t>are</w:t>
      </w:r>
      <w:r>
        <w:rPr>
          <w:spacing w:val="-12"/>
        </w:rPr>
        <w:t xml:space="preserve"> </w:t>
      </w:r>
      <w:r>
        <w:t>also</w:t>
      </w:r>
      <w:r>
        <w:rPr>
          <w:spacing w:val="-12"/>
        </w:rPr>
        <w:t xml:space="preserve"> </w:t>
      </w:r>
      <w:r>
        <w:t>different</w:t>
      </w:r>
      <w:r>
        <w:rPr>
          <w:spacing w:val="-10"/>
        </w:rPr>
        <w:t xml:space="preserve"> </w:t>
      </w:r>
      <w:r>
        <w:t>reflecting</w:t>
      </w:r>
      <w:r>
        <w:rPr>
          <w:spacing w:val="-12"/>
        </w:rPr>
        <w:t xml:space="preserve"> </w:t>
      </w:r>
      <w:r>
        <w:t>the</w:t>
      </w:r>
      <w:r>
        <w:rPr>
          <w:spacing w:val="-12"/>
        </w:rPr>
        <w:t xml:space="preserve"> </w:t>
      </w:r>
      <w:r>
        <w:t>specific</w:t>
      </w:r>
      <w:r>
        <w:rPr>
          <w:spacing w:val="-11"/>
        </w:rPr>
        <w:t xml:space="preserve"> </w:t>
      </w:r>
      <w:r>
        <w:t>agreements</w:t>
      </w:r>
      <w:r>
        <w:rPr>
          <w:spacing w:val="-12"/>
        </w:rPr>
        <w:t xml:space="preserve"> </w:t>
      </w:r>
      <w:r>
        <w:t>in</w:t>
      </w:r>
      <w:r>
        <w:rPr>
          <w:spacing w:val="-11"/>
        </w:rPr>
        <w:t xml:space="preserve"> </w:t>
      </w:r>
      <w:r>
        <w:t>the</w:t>
      </w:r>
      <w:r>
        <w:rPr>
          <w:spacing w:val="-12"/>
        </w:rPr>
        <w:t xml:space="preserve"> </w:t>
      </w:r>
      <w:r>
        <w:t>expert</w:t>
      </w:r>
      <w:r>
        <w:rPr>
          <w:spacing w:val="-11"/>
        </w:rPr>
        <w:t xml:space="preserve"> </w:t>
      </w:r>
      <w:r>
        <w:t>groups under</w:t>
      </w:r>
      <w:r>
        <w:rPr>
          <w:spacing w:val="-15"/>
        </w:rPr>
        <w:t xml:space="preserve"> </w:t>
      </w:r>
      <w:r>
        <w:t>the</w:t>
      </w:r>
      <w:r>
        <w:rPr>
          <w:spacing w:val="-16"/>
        </w:rPr>
        <w:t xml:space="preserve"> </w:t>
      </w:r>
      <w:r>
        <w:t>respective</w:t>
      </w:r>
      <w:r>
        <w:rPr>
          <w:spacing w:val="-16"/>
        </w:rPr>
        <w:t xml:space="preserve"> </w:t>
      </w:r>
      <w:r>
        <w:t>MEAs.</w:t>
      </w:r>
      <w:r>
        <w:rPr>
          <w:spacing w:val="-15"/>
        </w:rPr>
        <w:t xml:space="preserve"> </w:t>
      </w:r>
      <w:r>
        <w:t>These</w:t>
      </w:r>
      <w:r>
        <w:rPr>
          <w:spacing w:val="-14"/>
        </w:rPr>
        <w:t xml:space="preserve"> </w:t>
      </w:r>
      <w:r>
        <w:t>differences</w:t>
      </w:r>
      <w:r>
        <w:rPr>
          <w:spacing w:val="-16"/>
        </w:rPr>
        <w:t xml:space="preserve"> </w:t>
      </w:r>
      <w:r>
        <w:t>partly</w:t>
      </w:r>
      <w:r>
        <w:rPr>
          <w:spacing w:val="-17"/>
        </w:rPr>
        <w:t xml:space="preserve"> </w:t>
      </w:r>
      <w:r>
        <w:t>reflect</w:t>
      </w:r>
      <w:r>
        <w:rPr>
          <w:spacing w:val="-15"/>
        </w:rPr>
        <w:t xml:space="preserve"> </w:t>
      </w:r>
      <w:r>
        <w:t>the</w:t>
      </w:r>
      <w:r>
        <w:rPr>
          <w:spacing w:val="-16"/>
        </w:rPr>
        <w:t xml:space="preserve"> </w:t>
      </w:r>
      <w:r>
        <w:t>different</w:t>
      </w:r>
      <w:r>
        <w:rPr>
          <w:spacing w:val="-16"/>
        </w:rPr>
        <w:t xml:space="preserve"> </w:t>
      </w:r>
      <w:r>
        <w:t>legal</w:t>
      </w:r>
      <w:r>
        <w:rPr>
          <w:spacing w:val="-12"/>
        </w:rPr>
        <w:t xml:space="preserve"> </w:t>
      </w:r>
      <w:r>
        <w:t>backgrounds</w:t>
      </w:r>
      <w:r>
        <w:rPr>
          <w:spacing w:val="-14"/>
        </w:rPr>
        <w:t xml:space="preserve"> </w:t>
      </w:r>
      <w:r>
        <w:t>of</w:t>
      </w:r>
      <w:r>
        <w:rPr>
          <w:spacing w:val="-16"/>
        </w:rPr>
        <w:t xml:space="preserve"> </w:t>
      </w:r>
      <w:r>
        <w:t>the</w:t>
      </w:r>
      <w:r>
        <w:rPr>
          <w:spacing w:val="-16"/>
        </w:rPr>
        <w:t xml:space="preserve"> </w:t>
      </w:r>
      <w:r>
        <w:t>MEA, political agendas and different preferences how e.g. trends should be</w:t>
      </w:r>
      <w:r>
        <w:rPr>
          <w:spacing w:val="-4"/>
        </w:rPr>
        <w:t xml:space="preserve"> </w:t>
      </w:r>
      <w:r>
        <w:t>assessed.</w:t>
      </w:r>
    </w:p>
    <w:p w14:paraId="4A22E08B" w14:textId="77777777" w:rsidR="00664206" w:rsidRDefault="00664206">
      <w:pPr>
        <w:pStyle w:val="BodyText"/>
        <w:spacing w:before="10"/>
        <w:rPr>
          <w:sz w:val="34"/>
        </w:rPr>
      </w:pPr>
    </w:p>
    <w:p w14:paraId="370D04F8" w14:textId="77777777" w:rsidR="00664206" w:rsidRDefault="003F788D">
      <w:pPr>
        <w:pStyle w:val="Heading1"/>
        <w:jc w:val="both"/>
      </w:pPr>
      <w:r>
        <w:t>Synergies already in place</w:t>
      </w:r>
    </w:p>
    <w:p w14:paraId="09847B15" w14:textId="2C1BBA31" w:rsidR="00664206" w:rsidRPr="005A38E2" w:rsidRDefault="003F788D">
      <w:pPr>
        <w:pStyle w:val="Heading2"/>
        <w:spacing w:before="161"/>
        <w:ind w:right="733"/>
        <w:rPr>
          <w:sz w:val="22"/>
          <w:szCs w:val="22"/>
        </w:rPr>
      </w:pPr>
      <w:r w:rsidRPr="005A38E2">
        <w:rPr>
          <w:sz w:val="22"/>
          <w:szCs w:val="22"/>
        </w:rPr>
        <w:t>In general, assessments with a larger geographic scope usually draw on the results of other assessments</w:t>
      </w:r>
      <w:r w:rsidRPr="005A38E2">
        <w:rPr>
          <w:spacing w:val="-4"/>
          <w:sz w:val="22"/>
          <w:szCs w:val="22"/>
        </w:rPr>
        <w:t xml:space="preserve"> </w:t>
      </w:r>
      <w:r w:rsidRPr="005A38E2">
        <w:rPr>
          <w:sz w:val="22"/>
          <w:szCs w:val="22"/>
        </w:rPr>
        <w:t>within</w:t>
      </w:r>
      <w:r w:rsidRPr="005A38E2">
        <w:rPr>
          <w:spacing w:val="-4"/>
          <w:sz w:val="22"/>
          <w:szCs w:val="22"/>
        </w:rPr>
        <w:t xml:space="preserve"> </w:t>
      </w:r>
      <w:r w:rsidRPr="005A38E2">
        <w:rPr>
          <w:sz w:val="22"/>
          <w:szCs w:val="22"/>
        </w:rPr>
        <w:t>their</w:t>
      </w:r>
      <w:r w:rsidRPr="005A38E2">
        <w:rPr>
          <w:spacing w:val="-5"/>
          <w:sz w:val="22"/>
          <w:szCs w:val="22"/>
        </w:rPr>
        <w:t xml:space="preserve"> </w:t>
      </w:r>
      <w:r w:rsidRPr="005A38E2">
        <w:rPr>
          <w:sz w:val="22"/>
          <w:szCs w:val="22"/>
        </w:rPr>
        <w:t>geographic</w:t>
      </w:r>
      <w:r w:rsidRPr="005A38E2">
        <w:rPr>
          <w:spacing w:val="-1"/>
          <w:sz w:val="22"/>
          <w:szCs w:val="22"/>
        </w:rPr>
        <w:t xml:space="preserve"> </w:t>
      </w:r>
      <w:r w:rsidRPr="005A38E2">
        <w:rPr>
          <w:sz w:val="22"/>
          <w:szCs w:val="22"/>
        </w:rPr>
        <w:t>area.</w:t>
      </w:r>
      <w:r w:rsidRPr="005A38E2">
        <w:rPr>
          <w:spacing w:val="-4"/>
          <w:sz w:val="22"/>
          <w:szCs w:val="22"/>
        </w:rPr>
        <w:t xml:space="preserve"> </w:t>
      </w:r>
      <w:r w:rsidRPr="005A38E2">
        <w:rPr>
          <w:sz w:val="22"/>
          <w:szCs w:val="22"/>
        </w:rPr>
        <w:t>E.g.</w:t>
      </w:r>
      <w:r w:rsidRPr="005A38E2">
        <w:rPr>
          <w:spacing w:val="-4"/>
          <w:sz w:val="22"/>
          <w:szCs w:val="22"/>
        </w:rPr>
        <w:t xml:space="preserve"> </w:t>
      </w:r>
      <w:r w:rsidRPr="005A38E2">
        <w:rPr>
          <w:sz w:val="22"/>
          <w:szCs w:val="22"/>
        </w:rPr>
        <w:t>the</w:t>
      </w:r>
      <w:r w:rsidRPr="005A38E2">
        <w:rPr>
          <w:spacing w:val="-4"/>
          <w:sz w:val="22"/>
          <w:szCs w:val="22"/>
        </w:rPr>
        <w:t xml:space="preserve"> </w:t>
      </w:r>
      <w:r w:rsidRPr="005A38E2">
        <w:rPr>
          <w:sz w:val="22"/>
          <w:szCs w:val="22"/>
        </w:rPr>
        <w:t>1%</w:t>
      </w:r>
      <w:r w:rsidRPr="005A38E2">
        <w:rPr>
          <w:spacing w:val="-5"/>
          <w:sz w:val="22"/>
          <w:szCs w:val="22"/>
        </w:rPr>
        <w:t xml:space="preserve"> </w:t>
      </w:r>
      <w:r w:rsidRPr="005A38E2">
        <w:rPr>
          <w:sz w:val="22"/>
          <w:szCs w:val="22"/>
        </w:rPr>
        <w:t>thresholds</w:t>
      </w:r>
      <w:r w:rsidRPr="005A38E2">
        <w:rPr>
          <w:spacing w:val="-4"/>
          <w:sz w:val="22"/>
          <w:szCs w:val="22"/>
        </w:rPr>
        <w:t xml:space="preserve"> </w:t>
      </w:r>
      <w:r w:rsidRPr="005A38E2">
        <w:rPr>
          <w:sz w:val="22"/>
          <w:szCs w:val="22"/>
        </w:rPr>
        <w:t>under</w:t>
      </w:r>
      <w:r w:rsidRPr="005A38E2">
        <w:rPr>
          <w:spacing w:val="-5"/>
          <w:sz w:val="22"/>
          <w:szCs w:val="22"/>
        </w:rPr>
        <w:t xml:space="preserve"> </w:t>
      </w:r>
      <w:r w:rsidRPr="005A38E2">
        <w:rPr>
          <w:sz w:val="22"/>
          <w:szCs w:val="22"/>
        </w:rPr>
        <w:t>the</w:t>
      </w:r>
      <w:r w:rsidRPr="005A38E2">
        <w:rPr>
          <w:spacing w:val="-1"/>
          <w:sz w:val="22"/>
          <w:szCs w:val="22"/>
        </w:rPr>
        <w:t xml:space="preserve"> </w:t>
      </w:r>
      <w:r w:rsidRPr="005A38E2">
        <w:rPr>
          <w:sz w:val="22"/>
          <w:szCs w:val="22"/>
        </w:rPr>
        <w:t>Ramsar</w:t>
      </w:r>
      <w:r w:rsidRPr="005A38E2">
        <w:rPr>
          <w:spacing w:val="-4"/>
          <w:sz w:val="22"/>
          <w:szCs w:val="22"/>
        </w:rPr>
        <w:t xml:space="preserve"> </w:t>
      </w:r>
      <w:r w:rsidRPr="005A38E2">
        <w:rPr>
          <w:sz w:val="22"/>
          <w:szCs w:val="22"/>
        </w:rPr>
        <w:t>Criterion</w:t>
      </w:r>
      <w:r w:rsidRPr="005A38E2">
        <w:rPr>
          <w:spacing w:val="-4"/>
          <w:sz w:val="22"/>
          <w:szCs w:val="22"/>
        </w:rPr>
        <w:t xml:space="preserve"> </w:t>
      </w:r>
      <w:r w:rsidRPr="005A38E2">
        <w:rPr>
          <w:sz w:val="22"/>
          <w:szCs w:val="22"/>
        </w:rPr>
        <w:t>6</w:t>
      </w:r>
      <w:r w:rsidR="002337D7">
        <w:rPr>
          <w:sz w:val="22"/>
          <w:szCs w:val="22"/>
        </w:rPr>
        <w:t xml:space="preserve"> </w:t>
      </w:r>
      <w:r w:rsidRPr="005A38E2">
        <w:rPr>
          <w:sz w:val="22"/>
          <w:szCs w:val="22"/>
        </w:rPr>
        <w:t>are now set using the information collected and assessed for the AEWA Conservation Status Report. In turn, the AEWA Conservation Status Report draws heavily particularly on the population size estimates collected for the European Red List of Birds and EU Birds</w:t>
      </w:r>
      <w:r w:rsidRPr="005A38E2">
        <w:rPr>
          <w:spacing w:val="-38"/>
          <w:sz w:val="22"/>
          <w:szCs w:val="22"/>
        </w:rPr>
        <w:t xml:space="preserve"> </w:t>
      </w:r>
      <w:r w:rsidRPr="005A38E2">
        <w:rPr>
          <w:sz w:val="22"/>
          <w:szCs w:val="22"/>
        </w:rPr>
        <w:t>Directive Article 12 processes. Coastal and marine data collected for Birds Directive purposes are also used in the trend analyses and species status assessments conducted within the HELCOM and OSPAR regional sea assessments. HELCOM and OSPAR assessments are specifically designed for use by EU member States for reporting on Good Environmental Status of marine birds under the Marine Strategy Framework Directive (MSFD). The HELCOM, OSPAR, MSFD assessments are conducted at an ‘ecologically relevant scale’ (larger than national waters) and are therefore easily fed into the East Atlantic Flyway assessment process from</w:t>
      </w:r>
      <w:r w:rsidRPr="005A38E2">
        <w:rPr>
          <w:spacing w:val="-21"/>
          <w:sz w:val="22"/>
          <w:szCs w:val="22"/>
        </w:rPr>
        <w:t xml:space="preserve"> </w:t>
      </w:r>
      <w:r w:rsidRPr="005A38E2">
        <w:rPr>
          <w:sz w:val="22"/>
          <w:szCs w:val="22"/>
        </w:rPr>
        <w:t>the Wadden Sea Flyway Initiative.</w:t>
      </w:r>
    </w:p>
    <w:p w14:paraId="3A729811" w14:textId="77777777" w:rsidR="00664206" w:rsidRPr="005A38E2" w:rsidRDefault="00664206">
      <w:pPr>
        <w:pStyle w:val="BodyText"/>
        <w:rPr>
          <w:szCs w:val="20"/>
        </w:rPr>
      </w:pPr>
    </w:p>
    <w:p w14:paraId="594089EF" w14:textId="77777777" w:rsidR="00664206" w:rsidRDefault="003F788D">
      <w:pPr>
        <w:pStyle w:val="BodyText"/>
        <w:ind w:left="720" w:right="735"/>
        <w:jc w:val="both"/>
      </w:pPr>
      <w:r>
        <w:t>AEWA has already enhanced the synergies with the EU Article 12 reporting process by linking the schedule,</w:t>
      </w:r>
      <w:r>
        <w:rPr>
          <w:spacing w:val="-7"/>
        </w:rPr>
        <w:t xml:space="preserve"> </w:t>
      </w:r>
      <w:r>
        <w:t>data</w:t>
      </w:r>
      <w:r>
        <w:rPr>
          <w:spacing w:val="-4"/>
        </w:rPr>
        <w:t xml:space="preserve"> </w:t>
      </w:r>
      <w:r>
        <w:t>requirements</w:t>
      </w:r>
      <w:r>
        <w:rPr>
          <w:spacing w:val="-6"/>
        </w:rPr>
        <w:t xml:space="preserve"> </w:t>
      </w:r>
      <w:r>
        <w:t>and</w:t>
      </w:r>
      <w:r>
        <w:rPr>
          <w:spacing w:val="-4"/>
        </w:rPr>
        <w:t xml:space="preserve"> </w:t>
      </w:r>
      <w:r>
        <w:t>guidance</w:t>
      </w:r>
      <w:r>
        <w:rPr>
          <w:spacing w:val="-3"/>
        </w:rPr>
        <w:t xml:space="preserve"> </w:t>
      </w:r>
      <w:r>
        <w:t>of</w:t>
      </w:r>
      <w:r>
        <w:rPr>
          <w:spacing w:val="-4"/>
        </w:rPr>
        <w:t xml:space="preserve"> </w:t>
      </w:r>
      <w:r>
        <w:t>its</w:t>
      </w:r>
      <w:r>
        <w:rPr>
          <w:spacing w:val="-5"/>
        </w:rPr>
        <w:t xml:space="preserve"> </w:t>
      </w:r>
      <w:r>
        <w:t>national</w:t>
      </w:r>
      <w:r>
        <w:rPr>
          <w:spacing w:val="-4"/>
        </w:rPr>
        <w:t xml:space="preserve"> </w:t>
      </w:r>
      <w:r>
        <w:t>reporting</w:t>
      </w:r>
      <w:r>
        <w:rPr>
          <w:spacing w:val="-4"/>
        </w:rPr>
        <w:t xml:space="preserve"> </w:t>
      </w:r>
      <w:r>
        <w:t>on</w:t>
      </w:r>
      <w:r>
        <w:rPr>
          <w:spacing w:val="-5"/>
        </w:rPr>
        <w:t xml:space="preserve"> </w:t>
      </w:r>
      <w:r>
        <w:t>population</w:t>
      </w:r>
      <w:r>
        <w:rPr>
          <w:spacing w:val="-4"/>
        </w:rPr>
        <w:t xml:space="preserve"> </w:t>
      </w:r>
      <w:r>
        <w:t>sizes</w:t>
      </w:r>
      <w:r>
        <w:rPr>
          <w:spacing w:val="-4"/>
        </w:rPr>
        <w:t xml:space="preserve"> </w:t>
      </w:r>
      <w:r>
        <w:t>and</w:t>
      </w:r>
      <w:r>
        <w:rPr>
          <w:spacing w:val="-5"/>
        </w:rPr>
        <w:t xml:space="preserve"> </w:t>
      </w:r>
      <w:r>
        <w:t>trends</w:t>
      </w:r>
      <w:r>
        <w:rPr>
          <w:spacing w:val="-3"/>
        </w:rPr>
        <w:t xml:space="preserve"> </w:t>
      </w:r>
      <w:r>
        <w:t>to</w:t>
      </w:r>
      <w:r>
        <w:rPr>
          <w:spacing w:val="-5"/>
        </w:rPr>
        <w:t xml:space="preserve"> </w:t>
      </w:r>
      <w:r>
        <w:t>the</w:t>
      </w:r>
    </w:p>
    <w:p w14:paraId="257EB752" w14:textId="77777777" w:rsidR="00664206" w:rsidRDefault="003F788D" w:rsidP="00C31609">
      <w:pPr>
        <w:pStyle w:val="BodyText"/>
        <w:spacing w:before="65"/>
        <w:ind w:left="720" w:right="741"/>
        <w:jc w:val="both"/>
      </w:pPr>
      <w:r>
        <w:t>EU one. This way the reports of the EU Member States to the Article 12 process can be directly used in the AEWA assessment process and the AEWA process completes the geographic scope of the EU assessment extending it to the entire population range.</w:t>
      </w:r>
    </w:p>
    <w:p w14:paraId="094B7B57" w14:textId="77777777" w:rsidR="00664206" w:rsidRDefault="00664206">
      <w:pPr>
        <w:pStyle w:val="BodyText"/>
        <w:rPr>
          <w:sz w:val="24"/>
        </w:rPr>
      </w:pPr>
    </w:p>
    <w:p w14:paraId="2FC77513" w14:textId="77777777" w:rsidR="00664206" w:rsidRDefault="003F788D">
      <w:pPr>
        <w:pStyle w:val="Heading2"/>
      </w:pPr>
      <w:r>
        <w:t>An overview of existing synergies is provided in Table 2.</w:t>
      </w:r>
    </w:p>
    <w:p w14:paraId="11E323C9" w14:textId="77777777" w:rsidR="00664206" w:rsidRDefault="00664206">
      <w:pPr>
        <w:pStyle w:val="BodyText"/>
        <w:spacing w:before="11"/>
        <w:rPr>
          <w:sz w:val="23"/>
        </w:rPr>
      </w:pPr>
    </w:p>
    <w:p w14:paraId="51E08D3E" w14:textId="21FD1229" w:rsidR="00664206" w:rsidRDefault="003F788D">
      <w:pPr>
        <w:pStyle w:val="BodyText"/>
        <w:ind w:left="720" w:right="742"/>
        <w:jc w:val="both"/>
      </w:pPr>
      <w:r>
        <w:rPr>
          <w:b/>
        </w:rPr>
        <w:t xml:space="preserve">Table 2. </w:t>
      </w:r>
      <w:r>
        <w:t>Existing synergies. Cells describe how a process on the vertical axis contributes to another process on the hori</w:t>
      </w:r>
      <w:r w:rsidR="006C2A38">
        <w:t>z</w:t>
      </w:r>
      <w:r>
        <w:t>ontal axis.</w:t>
      </w:r>
    </w:p>
    <w:p w14:paraId="2E975858" w14:textId="77777777" w:rsidR="00664206" w:rsidRDefault="00664206">
      <w:pPr>
        <w:pStyle w:val="BodyText"/>
        <w:spacing w:before="1"/>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8"/>
        <w:gridCol w:w="970"/>
        <w:gridCol w:w="971"/>
        <w:gridCol w:w="973"/>
        <w:gridCol w:w="1201"/>
        <w:gridCol w:w="1201"/>
        <w:gridCol w:w="992"/>
        <w:gridCol w:w="853"/>
        <w:gridCol w:w="838"/>
        <w:gridCol w:w="970"/>
      </w:tblGrid>
      <w:tr w:rsidR="00664206" w14:paraId="5303AC70" w14:textId="77777777" w:rsidTr="001D4862">
        <w:trPr>
          <w:trHeight w:val="892"/>
          <w:tblHeader/>
        </w:trPr>
        <w:tc>
          <w:tcPr>
            <w:tcW w:w="1268" w:type="dxa"/>
          </w:tcPr>
          <w:p w14:paraId="7F24F31E" w14:textId="77777777" w:rsidR="00664206" w:rsidRDefault="00664206">
            <w:pPr>
              <w:pStyle w:val="TableParagraph"/>
              <w:spacing w:before="0"/>
              <w:ind w:left="0"/>
              <w:rPr>
                <w:sz w:val="20"/>
              </w:rPr>
            </w:pPr>
          </w:p>
        </w:tc>
        <w:tc>
          <w:tcPr>
            <w:tcW w:w="970" w:type="dxa"/>
          </w:tcPr>
          <w:p w14:paraId="478FCD38" w14:textId="77777777" w:rsidR="00664206" w:rsidRDefault="003F788D">
            <w:pPr>
              <w:pStyle w:val="TableParagraph"/>
              <w:ind w:left="0" w:right="231"/>
              <w:jc w:val="right"/>
              <w:rPr>
                <w:b/>
                <w:sz w:val="20"/>
              </w:rPr>
            </w:pPr>
            <w:r>
              <w:rPr>
                <w:b/>
                <w:sz w:val="20"/>
              </w:rPr>
              <w:t>AEWA</w:t>
            </w:r>
          </w:p>
        </w:tc>
        <w:tc>
          <w:tcPr>
            <w:tcW w:w="971" w:type="dxa"/>
          </w:tcPr>
          <w:p w14:paraId="72C0B8FA" w14:textId="77777777" w:rsidR="00664206" w:rsidRDefault="003F788D">
            <w:pPr>
              <w:pStyle w:val="TableParagraph"/>
              <w:ind w:left="78" w:right="154"/>
              <w:jc w:val="center"/>
              <w:rPr>
                <w:b/>
                <w:sz w:val="20"/>
              </w:rPr>
            </w:pPr>
            <w:r>
              <w:rPr>
                <w:b/>
                <w:sz w:val="20"/>
              </w:rPr>
              <w:t>Ramsar</w:t>
            </w:r>
          </w:p>
        </w:tc>
        <w:tc>
          <w:tcPr>
            <w:tcW w:w="973" w:type="dxa"/>
          </w:tcPr>
          <w:p w14:paraId="668554A4" w14:textId="3A93DF37" w:rsidR="00664206" w:rsidRDefault="003F788D">
            <w:pPr>
              <w:pStyle w:val="TableParagraph"/>
              <w:ind w:left="98" w:right="96"/>
              <w:rPr>
                <w:b/>
                <w:sz w:val="20"/>
              </w:rPr>
            </w:pPr>
            <w:r>
              <w:rPr>
                <w:b/>
                <w:sz w:val="20"/>
              </w:rPr>
              <w:t>Birds Directive Art. 12</w:t>
            </w:r>
          </w:p>
        </w:tc>
        <w:tc>
          <w:tcPr>
            <w:tcW w:w="1201" w:type="dxa"/>
          </w:tcPr>
          <w:p w14:paraId="240D014E" w14:textId="77777777" w:rsidR="00664206" w:rsidRDefault="003F788D">
            <w:pPr>
              <w:pStyle w:val="TableParagraph"/>
              <w:ind w:left="95" w:right="89"/>
              <w:rPr>
                <w:b/>
                <w:sz w:val="20"/>
              </w:rPr>
            </w:pPr>
            <w:r>
              <w:rPr>
                <w:b/>
                <w:sz w:val="20"/>
              </w:rPr>
              <w:t>MSFD Art 8</w:t>
            </w:r>
          </w:p>
        </w:tc>
        <w:tc>
          <w:tcPr>
            <w:tcW w:w="1201" w:type="dxa"/>
          </w:tcPr>
          <w:p w14:paraId="21F7CC21" w14:textId="77777777" w:rsidR="00664206" w:rsidRDefault="003F788D">
            <w:pPr>
              <w:pStyle w:val="TableParagraph"/>
              <w:ind w:left="73" w:right="152"/>
              <w:jc w:val="center"/>
              <w:rPr>
                <w:b/>
                <w:sz w:val="20"/>
              </w:rPr>
            </w:pPr>
            <w:r>
              <w:rPr>
                <w:b/>
                <w:sz w:val="20"/>
              </w:rPr>
              <w:t>HELCOM</w:t>
            </w:r>
          </w:p>
        </w:tc>
        <w:tc>
          <w:tcPr>
            <w:tcW w:w="992" w:type="dxa"/>
          </w:tcPr>
          <w:p w14:paraId="3A5EC9B5" w14:textId="77777777" w:rsidR="00664206" w:rsidRDefault="003F788D">
            <w:pPr>
              <w:pStyle w:val="TableParagraph"/>
              <w:ind w:left="74" w:right="180"/>
              <w:jc w:val="center"/>
              <w:rPr>
                <w:b/>
                <w:sz w:val="20"/>
              </w:rPr>
            </w:pPr>
            <w:r>
              <w:rPr>
                <w:b/>
                <w:sz w:val="20"/>
              </w:rPr>
              <w:t>OSPAR</w:t>
            </w:r>
          </w:p>
        </w:tc>
        <w:tc>
          <w:tcPr>
            <w:tcW w:w="853" w:type="dxa"/>
          </w:tcPr>
          <w:p w14:paraId="616CF5AD" w14:textId="77777777" w:rsidR="00664206" w:rsidRDefault="003F788D">
            <w:pPr>
              <w:pStyle w:val="TableParagraph"/>
              <w:ind w:left="2" w:right="115"/>
              <w:jc w:val="center"/>
              <w:rPr>
                <w:b/>
                <w:sz w:val="20"/>
              </w:rPr>
            </w:pPr>
            <w:r>
              <w:rPr>
                <w:b/>
                <w:sz w:val="20"/>
              </w:rPr>
              <w:t>CAFF</w:t>
            </w:r>
          </w:p>
        </w:tc>
        <w:tc>
          <w:tcPr>
            <w:tcW w:w="838" w:type="dxa"/>
          </w:tcPr>
          <w:p w14:paraId="2C19CE48" w14:textId="77777777" w:rsidR="00664206" w:rsidRDefault="003F788D">
            <w:pPr>
              <w:pStyle w:val="TableParagraph"/>
              <w:ind w:left="0" w:right="214"/>
              <w:jc w:val="right"/>
              <w:rPr>
                <w:b/>
                <w:sz w:val="20"/>
              </w:rPr>
            </w:pPr>
            <w:r>
              <w:rPr>
                <w:b/>
                <w:w w:val="95"/>
                <w:sz w:val="20"/>
              </w:rPr>
              <w:t>WSFI</w:t>
            </w:r>
          </w:p>
        </w:tc>
        <w:tc>
          <w:tcPr>
            <w:tcW w:w="970" w:type="dxa"/>
          </w:tcPr>
          <w:p w14:paraId="750B713A" w14:textId="77777777" w:rsidR="00664206" w:rsidRDefault="003F788D">
            <w:pPr>
              <w:pStyle w:val="TableParagraph"/>
              <w:ind w:left="44" w:right="81"/>
              <w:jc w:val="center"/>
              <w:rPr>
                <w:b/>
                <w:sz w:val="20"/>
              </w:rPr>
            </w:pPr>
            <w:r>
              <w:rPr>
                <w:b/>
                <w:sz w:val="20"/>
              </w:rPr>
              <w:t>Red List</w:t>
            </w:r>
          </w:p>
        </w:tc>
      </w:tr>
      <w:tr w:rsidR="00664206" w14:paraId="0C2264F8" w14:textId="77777777">
        <w:trPr>
          <w:trHeight w:val="1347"/>
        </w:trPr>
        <w:tc>
          <w:tcPr>
            <w:tcW w:w="1268" w:type="dxa"/>
          </w:tcPr>
          <w:p w14:paraId="4EFB33F5" w14:textId="77777777" w:rsidR="00664206" w:rsidRDefault="003F788D">
            <w:pPr>
              <w:pStyle w:val="TableParagraph"/>
              <w:spacing w:before="98"/>
              <w:rPr>
                <w:b/>
                <w:sz w:val="20"/>
              </w:rPr>
            </w:pPr>
            <w:r>
              <w:rPr>
                <w:b/>
                <w:sz w:val="20"/>
              </w:rPr>
              <w:t>AEWA</w:t>
            </w:r>
          </w:p>
        </w:tc>
        <w:tc>
          <w:tcPr>
            <w:tcW w:w="970" w:type="dxa"/>
          </w:tcPr>
          <w:p w14:paraId="16050DBB" w14:textId="77777777" w:rsidR="00664206" w:rsidRDefault="003F788D">
            <w:pPr>
              <w:pStyle w:val="TableParagraph"/>
              <w:spacing w:before="98"/>
              <w:ind w:left="12"/>
              <w:jc w:val="center"/>
              <w:rPr>
                <w:sz w:val="20"/>
              </w:rPr>
            </w:pPr>
            <w:r>
              <w:rPr>
                <w:w w:val="99"/>
                <w:sz w:val="20"/>
              </w:rPr>
              <w:t>x</w:t>
            </w:r>
          </w:p>
        </w:tc>
        <w:tc>
          <w:tcPr>
            <w:tcW w:w="971" w:type="dxa"/>
          </w:tcPr>
          <w:p w14:paraId="5AEC7C99" w14:textId="3E2465CA" w:rsidR="00664206" w:rsidRDefault="003F788D">
            <w:pPr>
              <w:pStyle w:val="TableParagraph"/>
              <w:spacing w:before="102" w:line="235" w:lineRule="auto"/>
              <w:ind w:left="399" w:right="65" w:hanging="279"/>
              <w:rPr>
                <w:sz w:val="13"/>
              </w:rPr>
            </w:pPr>
            <w:r>
              <w:rPr>
                <w:w w:val="95"/>
                <w:sz w:val="20"/>
              </w:rPr>
              <w:t xml:space="preserve">Criterion </w:t>
            </w:r>
            <w:r>
              <w:rPr>
                <w:position w:val="-6"/>
                <w:sz w:val="20"/>
              </w:rPr>
              <w:t>6</w:t>
            </w:r>
            <w:r w:rsidR="008B0F33">
              <w:rPr>
                <w:rStyle w:val="FootnoteReference"/>
                <w:position w:val="-6"/>
                <w:sz w:val="20"/>
              </w:rPr>
              <w:footnoteReference w:id="4"/>
            </w:r>
          </w:p>
        </w:tc>
        <w:tc>
          <w:tcPr>
            <w:tcW w:w="973" w:type="dxa"/>
          </w:tcPr>
          <w:p w14:paraId="3D74E63B" w14:textId="55E71978" w:rsidR="00664206" w:rsidRDefault="003F788D">
            <w:pPr>
              <w:pStyle w:val="TableParagraph"/>
              <w:spacing w:before="98"/>
              <w:ind w:left="238" w:right="96" w:hanging="111"/>
              <w:rPr>
                <w:sz w:val="20"/>
              </w:rPr>
            </w:pPr>
            <w:r>
              <w:rPr>
                <w:w w:val="95"/>
                <w:sz w:val="20"/>
              </w:rPr>
              <w:t>Winterin</w:t>
            </w:r>
            <w:r>
              <w:rPr>
                <w:sz w:val="20"/>
              </w:rPr>
              <w:t>g bird trends</w:t>
            </w:r>
          </w:p>
        </w:tc>
        <w:tc>
          <w:tcPr>
            <w:tcW w:w="1201" w:type="dxa"/>
          </w:tcPr>
          <w:p w14:paraId="48B12772" w14:textId="77777777" w:rsidR="00664206" w:rsidRDefault="003F788D">
            <w:pPr>
              <w:pStyle w:val="TableParagraph"/>
              <w:spacing w:before="98"/>
              <w:ind w:left="75" w:right="66"/>
              <w:jc w:val="center"/>
              <w:rPr>
                <w:sz w:val="20"/>
              </w:rPr>
            </w:pPr>
            <w:r>
              <w:rPr>
                <w:sz w:val="20"/>
              </w:rPr>
              <w:t>n.a.</w:t>
            </w:r>
          </w:p>
        </w:tc>
        <w:tc>
          <w:tcPr>
            <w:tcW w:w="1201" w:type="dxa"/>
          </w:tcPr>
          <w:p w14:paraId="4F431B3A" w14:textId="77777777" w:rsidR="00664206" w:rsidRDefault="003F788D">
            <w:pPr>
              <w:pStyle w:val="TableParagraph"/>
              <w:spacing w:before="98"/>
              <w:ind w:left="75" w:right="67"/>
              <w:jc w:val="center"/>
              <w:rPr>
                <w:sz w:val="20"/>
              </w:rPr>
            </w:pPr>
            <w:r>
              <w:rPr>
                <w:sz w:val="20"/>
              </w:rPr>
              <w:t>n.a.</w:t>
            </w:r>
          </w:p>
        </w:tc>
        <w:tc>
          <w:tcPr>
            <w:tcW w:w="992" w:type="dxa"/>
          </w:tcPr>
          <w:p w14:paraId="5C785F9A" w14:textId="77777777" w:rsidR="00664206" w:rsidRDefault="003F788D">
            <w:pPr>
              <w:pStyle w:val="TableParagraph"/>
              <w:spacing w:before="98"/>
              <w:ind w:left="74" w:right="66"/>
              <w:jc w:val="center"/>
              <w:rPr>
                <w:sz w:val="20"/>
              </w:rPr>
            </w:pPr>
            <w:r>
              <w:rPr>
                <w:sz w:val="20"/>
              </w:rPr>
              <w:t>n.a.</w:t>
            </w:r>
          </w:p>
        </w:tc>
        <w:tc>
          <w:tcPr>
            <w:tcW w:w="853" w:type="dxa"/>
          </w:tcPr>
          <w:p w14:paraId="10F8877E" w14:textId="1DC8FE4B" w:rsidR="00664206" w:rsidRDefault="003F788D">
            <w:pPr>
              <w:pStyle w:val="TableParagraph"/>
              <w:spacing w:before="98"/>
              <w:ind w:left="132" w:right="108" w:hanging="20"/>
              <w:jc w:val="both"/>
              <w:rPr>
                <w:sz w:val="20"/>
              </w:rPr>
            </w:pPr>
            <w:r>
              <w:rPr>
                <w:sz w:val="20"/>
              </w:rPr>
              <w:t>Wintering bird trends</w:t>
            </w:r>
          </w:p>
        </w:tc>
        <w:tc>
          <w:tcPr>
            <w:tcW w:w="838" w:type="dxa"/>
          </w:tcPr>
          <w:p w14:paraId="29729982" w14:textId="69AB4052" w:rsidR="00664206" w:rsidRDefault="003F788D">
            <w:pPr>
              <w:pStyle w:val="TableParagraph"/>
              <w:spacing w:before="98"/>
              <w:ind w:left="0" w:right="259"/>
              <w:jc w:val="right"/>
              <w:rPr>
                <w:sz w:val="20"/>
              </w:rPr>
            </w:pPr>
            <w:r>
              <w:rPr>
                <w:w w:val="95"/>
                <w:sz w:val="20"/>
              </w:rPr>
              <w:t>n.a.</w:t>
            </w:r>
            <w:r w:rsidR="008879FC">
              <w:rPr>
                <w:w w:val="95"/>
                <w:sz w:val="20"/>
              </w:rPr>
              <w:t xml:space="preserve">   </w:t>
            </w:r>
          </w:p>
        </w:tc>
        <w:tc>
          <w:tcPr>
            <w:tcW w:w="970" w:type="dxa"/>
          </w:tcPr>
          <w:p w14:paraId="2C77D490" w14:textId="39BC8D80" w:rsidR="00664206" w:rsidRDefault="003F788D">
            <w:pPr>
              <w:pStyle w:val="TableParagraph"/>
              <w:spacing w:before="98"/>
              <w:ind w:left="109" w:right="107" w:firstLine="4"/>
              <w:jc w:val="center"/>
              <w:rPr>
                <w:sz w:val="20"/>
              </w:rPr>
            </w:pPr>
            <w:r>
              <w:rPr>
                <w:sz w:val="20"/>
              </w:rPr>
              <w:t xml:space="preserve">Input into Red List </w:t>
            </w:r>
            <w:r>
              <w:rPr>
                <w:w w:val="95"/>
                <w:sz w:val="20"/>
              </w:rPr>
              <w:t>assessm</w:t>
            </w:r>
            <w:r w:rsidR="00ED7342">
              <w:rPr>
                <w:w w:val="95"/>
                <w:sz w:val="20"/>
              </w:rPr>
              <w:t>e</w:t>
            </w:r>
            <w:r>
              <w:rPr>
                <w:sz w:val="20"/>
              </w:rPr>
              <w:t>nt</w:t>
            </w:r>
          </w:p>
        </w:tc>
      </w:tr>
      <w:tr w:rsidR="00664206" w14:paraId="3895E026" w14:textId="77777777">
        <w:trPr>
          <w:trHeight w:val="661"/>
        </w:trPr>
        <w:tc>
          <w:tcPr>
            <w:tcW w:w="1268" w:type="dxa"/>
          </w:tcPr>
          <w:p w14:paraId="1E882A9B" w14:textId="77777777" w:rsidR="00664206" w:rsidRDefault="003F788D">
            <w:pPr>
              <w:pStyle w:val="TableParagraph"/>
              <w:rPr>
                <w:b/>
                <w:sz w:val="20"/>
              </w:rPr>
            </w:pPr>
            <w:r>
              <w:rPr>
                <w:b/>
                <w:sz w:val="20"/>
              </w:rPr>
              <w:t>Ramsar</w:t>
            </w:r>
          </w:p>
        </w:tc>
        <w:tc>
          <w:tcPr>
            <w:tcW w:w="970" w:type="dxa"/>
          </w:tcPr>
          <w:p w14:paraId="68D72BBC" w14:textId="77777777" w:rsidR="00664206" w:rsidRDefault="003F788D">
            <w:pPr>
              <w:pStyle w:val="TableParagraph"/>
              <w:ind w:left="72" w:right="58"/>
              <w:jc w:val="center"/>
              <w:rPr>
                <w:sz w:val="20"/>
              </w:rPr>
            </w:pPr>
            <w:r>
              <w:rPr>
                <w:sz w:val="20"/>
              </w:rPr>
              <w:t>n.a.</w:t>
            </w:r>
          </w:p>
        </w:tc>
        <w:tc>
          <w:tcPr>
            <w:tcW w:w="971" w:type="dxa"/>
          </w:tcPr>
          <w:p w14:paraId="21B5CAAD" w14:textId="77777777" w:rsidR="00664206" w:rsidRDefault="003F788D">
            <w:pPr>
              <w:pStyle w:val="TableParagraph"/>
              <w:ind w:left="10"/>
              <w:jc w:val="center"/>
              <w:rPr>
                <w:sz w:val="20"/>
              </w:rPr>
            </w:pPr>
            <w:r>
              <w:rPr>
                <w:w w:val="99"/>
                <w:sz w:val="20"/>
              </w:rPr>
              <w:t>x</w:t>
            </w:r>
          </w:p>
        </w:tc>
        <w:tc>
          <w:tcPr>
            <w:tcW w:w="973" w:type="dxa"/>
          </w:tcPr>
          <w:p w14:paraId="562D2098" w14:textId="77777777" w:rsidR="00664206" w:rsidRDefault="003F788D">
            <w:pPr>
              <w:pStyle w:val="TableParagraph"/>
              <w:ind w:left="199" w:right="167" w:firstLine="50"/>
              <w:rPr>
                <w:sz w:val="20"/>
              </w:rPr>
            </w:pPr>
            <w:r>
              <w:rPr>
                <w:sz w:val="20"/>
              </w:rPr>
              <w:t>Art. 4 criteria</w:t>
            </w:r>
          </w:p>
        </w:tc>
        <w:tc>
          <w:tcPr>
            <w:tcW w:w="1201" w:type="dxa"/>
          </w:tcPr>
          <w:p w14:paraId="1C484794" w14:textId="77777777" w:rsidR="00664206" w:rsidRDefault="003F788D">
            <w:pPr>
              <w:pStyle w:val="TableParagraph"/>
              <w:ind w:left="75" w:right="66"/>
              <w:jc w:val="center"/>
              <w:rPr>
                <w:sz w:val="20"/>
              </w:rPr>
            </w:pPr>
            <w:r>
              <w:rPr>
                <w:sz w:val="20"/>
              </w:rPr>
              <w:t>n.a.</w:t>
            </w:r>
          </w:p>
        </w:tc>
        <w:tc>
          <w:tcPr>
            <w:tcW w:w="1201" w:type="dxa"/>
          </w:tcPr>
          <w:p w14:paraId="1BEEC2DF" w14:textId="77777777" w:rsidR="00664206" w:rsidRDefault="003F788D">
            <w:pPr>
              <w:pStyle w:val="TableParagraph"/>
              <w:ind w:left="366" w:right="89" w:hanging="192"/>
              <w:rPr>
                <w:sz w:val="20"/>
              </w:rPr>
            </w:pPr>
            <w:r>
              <w:rPr>
                <w:w w:val="95"/>
                <w:sz w:val="20"/>
              </w:rPr>
              <w:t xml:space="preserve">HELCOM </w:t>
            </w:r>
            <w:r>
              <w:rPr>
                <w:sz w:val="20"/>
              </w:rPr>
              <w:t>SPA?</w:t>
            </w:r>
          </w:p>
        </w:tc>
        <w:tc>
          <w:tcPr>
            <w:tcW w:w="992" w:type="dxa"/>
          </w:tcPr>
          <w:p w14:paraId="31B6B124" w14:textId="77777777" w:rsidR="00664206" w:rsidRDefault="003F788D">
            <w:pPr>
              <w:pStyle w:val="TableParagraph"/>
              <w:ind w:left="74" w:right="66"/>
              <w:jc w:val="center"/>
              <w:rPr>
                <w:sz w:val="20"/>
              </w:rPr>
            </w:pPr>
            <w:r>
              <w:rPr>
                <w:sz w:val="20"/>
              </w:rPr>
              <w:t>n.a.</w:t>
            </w:r>
          </w:p>
        </w:tc>
        <w:tc>
          <w:tcPr>
            <w:tcW w:w="853" w:type="dxa"/>
          </w:tcPr>
          <w:p w14:paraId="48B67A89" w14:textId="77777777" w:rsidR="00664206" w:rsidRDefault="003F788D">
            <w:pPr>
              <w:pStyle w:val="TableParagraph"/>
              <w:ind w:left="73" w:right="70"/>
              <w:jc w:val="center"/>
              <w:rPr>
                <w:sz w:val="20"/>
              </w:rPr>
            </w:pPr>
            <w:r>
              <w:rPr>
                <w:sz w:val="20"/>
              </w:rPr>
              <w:t>n.a.</w:t>
            </w:r>
          </w:p>
        </w:tc>
        <w:tc>
          <w:tcPr>
            <w:tcW w:w="838" w:type="dxa"/>
          </w:tcPr>
          <w:p w14:paraId="1B87A60D" w14:textId="77777777" w:rsidR="00664206" w:rsidRDefault="003F788D">
            <w:pPr>
              <w:pStyle w:val="TableParagraph"/>
              <w:ind w:left="0" w:right="259"/>
              <w:jc w:val="right"/>
              <w:rPr>
                <w:sz w:val="20"/>
              </w:rPr>
            </w:pPr>
            <w:r>
              <w:rPr>
                <w:w w:val="95"/>
                <w:sz w:val="20"/>
              </w:rPr>
              <w:t>n.a.</w:t>
            </w:r>
          </w:p>
        </w:tc>
        <w:tc>
          <w:tcPr>
            <w:tcW w:w="970" w:type="dxa"/>
          </w:tcPr>
          <w:p w14:paraId="3DF9F0C1" w14:textId="77777777" w:rsidR="00664206" w:rsidRDefault="003F788D">
            <w:pPr>
              <w:pStyle w:val="TableParagraph"/>
              <w:ind w:left="72" w:right="69"/>
              <w:jc w:val="center"/>
              <w:rPr>
                <w:sz w:val="20"/>
              </w:rPr>
            </w:pPr>
            <w:r>
              <w:rPr>
                <w:sz w:val="20"/>
              </w:rPr>
              <w:t>n.a.</w:t>
            </w:r>
          </w:p>
        </w:tc>
      </w:tr>
      <w:tr w:rsidR="00664206" w14:paraId="6365816C" w14:textId="77777777">
        <w:trPr>
          <w:trHeight w:val="1348"/>
        </w:trPr>
        <w:tc>
          <w:tcPr>
            <w:tcW w:w="1268" w:type="dxa"/>
          </w:tcPr>
          <w:p w14:paraId="68C4E8F2" w14:textId="77777777" w:rsidR="00664206" w:rsidRDefault="003F788D">
            <w:pPr>
              <w:pStyle w:val="TableParagraph"/>
              <w:spacing w:before="98"/>
              <w:ind w:right="350"/>
              <w:rPr>
                <w:b/>
                <w:sz w:val="20"/>
              </w:rPr>
            </w:pPr>
            <w:r>
              <w:rPr>
                <w:b/>
                <w:sz w:val="20"/>
              </w:rPr>
              <w:lastRenderedPageBreak/>
              <w:t>Birds Directive</w:t>
            </w:r>
            <w:r>
              <w:rPr>
                <w:b/>
                <w:w w:val="99"/>
                <w:sz w:val="20"/>
              </w:rPr>
              <w:t xml:space="preserve"> </w:t>
            </w:r>
            <w:r>
              <w:rPr>
                <w:b/>
                <w:sz w:val="20"/>
              </w:rPr>
              <w:t>Art. 12</w:t>
            </w:r>
          </w:p>
        </w:tc>
        <w:tc>
          <w:tcPr>
            <w:tcW w:w="970" w:type="dxa"/>
          </w:tcPr>
          <w:p w14:paraId="65296F44" w14:textId="71AB2AEE" w:rsidR="00664206" w:rsidRDefault="003F788D">
            <w:pPr>
              <w:pStyle w:val="TableParagraph"/>
              <w:spacing w:before="98"/>
              <w:ind w:right="81"/>
              <w:jc w:val="center"/>
              <w:rPr>
                <w:sz w:val="20"/>
              </w:rPr>
            </w:pPr>
            <w:r>
              <w:rPr>
                <w:sz w:val="20"/>
              </w:rPr>
              <w:t>Population sizes Breeding bird trends</w:t>
            </w:r>
          </w:p>
        </w:tc>
        <w:tc>
          <w:tcPr>
            <w:tcW w:w="971" w:type="dxa"/>
          </w:tcPr>
          <w:p w14:paraId="019E7E5D" w14:textId="77777777" w:rsidR="00664206" w:rsidRDefault="003F788D">
            <w:pPr>
              <w:pStyle w:val="TableParagraph"/>
              <w:spacing w:before="98"/>
              <w:ind w:left="430" w:right="65" w:hanging="310"/>
              <w:rPr>
                <w:sz w:val="20"/>
              </w:rPr>
            </w:pPr>
            <w:r>
              <w:rPr>
                <w:w w:val="95"/>
                <w:sz w:val="20"/>
              </w:rPr>
              <w:t xml:space="preserve">Criterion </w:t>
            </w:r>
            <w:r>
              <w:rPr>
                <w:sz w:val="20"/>
              </w:rPr>
              <w:t>6</w:t>
            </w:r>
          </w:p>
        </w:tc>
        <w:tc>
          <w:tcPr>
            <w:tcW w:w="973" w:type="dxa"/>
          </w:tcPr>
          <w:p w14:paraId="38627686" w14:textId="77777777" w:rsidR="00664206" w:rsidRDefault="003F788D">
            <w:pPr>
              <w:pStyle w:val="TableParagraph"/>
              <w:spacing w:before="98"/>
              <w:ind w:left="11"/>
              <w:jc w:val="center"/>
              <w:rPr>
                <w:sz w:val="20"/>
              </w:rPr>
            </w:pPr>
            <w:r>
              <w:rPr>
                <w:w w:val="99"/>
                <w:sz w:val="20"/>
              </w:rPr>
              <w:t>x</w:t>
            </w:r>
          </w:p>
        </w:tc>
        <w:tc>
          <w:tcPr>
            <w:tcW w:w="1201" w:type="dxa"/>
          </w:tcPr>
          <w:p w14:paraId="3469CA20" w14:textId="77777777" w:rsidR="00664206" w:rsidRDefault="003F788D">
            <w:pPr>
              <w:pStyle w:val="TableParagraph"/>
              <w:spacing w:before="98"/>
              <w:ind w:left="159" w:right="151"/>
              <w:jc w:val="center"/>
              <w:rPr>
                <w:sz w:val="20"/>
              </w:rPr>
            </w:pPr>
            <w:r>
              <w:rPr>
                <w:w w:val="95"/>
                <w:sz w:val="20"/>
              </w:rPr>
              <w:t xml:space="preserve">Population </w:t>
            </w:r>
            <w:r>
              <w:rPr>
                <w:sz w:val="20"/>
              </w:rPr>
              <w:t>size and trend marine birds</w:t>
            </w:r>
          </w:p>
        </w:tc>
        <w:tc>
          <w:tcPr>
            <w:tcW w:w="1201" w:type="dxa"/>
          </w:tcPr>
          <w:p w14:paraId="597BEB97" w14:textId="77777777" w:rsidR="00664206" w:rsidRDefault="003F788D">
            <w:pPr>
              <w:pStyle w:val="TableParagraph"/>
              <w:spacing w:before="98"/>
              <w:ind w:left="159" w:right="152"/>
              <w:jc w:val="center"/>
              <w:rPr>
                <w:sz w:val="20"/>
              </w:rPr>
            </w:pPr>
            <w:r>
              <w:rPr>
                <w:sz w:val="20"/>
              </w:rPr>
              <w:t>Population</w:t>
            </w:r>
            <w:r>
              <w:rPr>
                <w:w w:val="99"/>
                <w:sz w:val="20"/>
              </w:rPr>
              <w:t xml:space="preserve"> </w:t>
            </w:r>
            <w:r>
              <w:rPr>
                <w:sz w:val="20"/>
              </w:rPr>
              <w:t>size and trend marine birds</w:t>
            </w:r>
          </w:p>
        </w:tc>
        <w:tc>
          <w:tcPr>
            <w:tcW w:w="992" w:type="dxa"/>
          </w:tcPr>
          <w:p w14:paraId="0209E204" w14:textId="3BBB9B07" w:rsidR="00664206" w:rsidRDefault="003F788D">
            <w:pPr>
              <w:pStyle w:val="TableParagraph"/>
              <w:spacing w:before="98"/>
              <w:ind w:left="106" w:right="98"/>
              <w:jc w:val="center"/>
              <w:rPr>
                <w:sz w:val="20"/>
              </w:rPr>
            </w:pPr>
            <w:r>
              <w:rPr>
                <w:sz w:val="20"/>
              </w:rPr>
              <w:t>Population size and trend marine birds</w:t>
            </w:r>
          </w:p>
        </w:tc>
        <w:tc>
          <w:tcPr>
            <w:tcW w:w="853" w:type="dxa"/>
          </w:tcPr>
          <w:p w14:paraId="503064FB" w14:textId="77777777" w:rsidR="00664206" w:rsidRDefault="003F788D">
            <w:pPr>
              <w:pStyle w:val="TableParagraph"/>
              <w:spacing w:before="98"/>
              <w:ind w:left="73" w:right="70"/>
              <w:jc w:val="center"/>
              <w:rPr>
                <w:sz w:val="20"/>
              </w:rPr>
            </w:pPr>
            <w:r>
              <w:rPr>
                <w:sz w:val="20"/>
              </w:rPr>
              <w:t>n.a.</w:t>
            </w:r>
          </w:p>
        </w:tc>
        <w:tc>
          <w:tcPr>
            <w:tcW w:w="838" w:type="dxa"/>
          </w:tcPr>
          <w:p w14:paraId="6B9ECD7F" w14:textId="26879DC0" w:rsidR="00664206" w:rsidRDefault="003F788D">
            <w:pPr>
              <w:pStyle w:val="TableParagraph"/>
              <w:spacing w:before="98"/>
              <w:ind w:left="104" w:right="100"/>
              <w:jc w:val="center"/>
              <w:rPr>
                <w:sz w:val="20"/>
              </w:rPr>
            </w:pPr>
            <w:r>
              <w:rPr>
                <w:sz w:val="20"/>
              </w:rPr>
              <w:t>Population sizes</w:t>
            </w:r>
          </w:p>
        </w:tc>
        <w:tc>
          <w:tcPr>
            <w:tcW w:w="970" w:type="dxa"/>
          </w:tcPr>
          <w:p w14:paraId="463E6996" w14:textId="500DC9D9" w:rsidR="00664206" w:rsidRDefault="003F788D">
            <w:pPr>
              <w:pStyle w:val="TableParagraph"/>
              <w:spacing w:before="98"/>
              <w:ind w:left="109" w:right="107" w:firstLine="4"/>
              <w:jc w:val="center"/>
              <w:rPr>
                <w:sz w:val="20"/>
              </w:rPr>
            </w:pPr>
            <w:r>
              <w:rPr>
                <w:sz w:val="20"/>
              </w:rPr>
              <w:t xml:space="preserve">Input into Red List </w:t>
            </w:r>
            <w:r>
              <w:rPr>
                <w:w w:val="95"/>
                <w:sz w:val="20"/>
              </w:rPr>
              <w:t>assessm</w:t>
            </w:r>
            <w:r w:rsidR="00C4129B">
              <w:rPr>
                <w:w w:val="95"/>
                <w:sz w:val="20"/>
              </w:rPr>
              <w:t>e</w:t>
            </w:r>
            <w:r>
              <w:rPr>
                <w:sz w:val="20"/>
              </w:rPr>
              <w:t>nt</w:t>
            </w:r>
          </w:p>
        </w:tc>
      </w:tr>
      <w:tr w:rsidR="00664206" w14:paraId="4E0B3673" w14:textId="77777777">
        <w:trPr>
          <w:trHeight w:val="1350"/>
        </w:trPr>
        <w:tc>
          <w:tcPr>
            <w:tcW w:w="1268" w:type="dxa"/>
          </w:tcPr>
          <w:p w14:paraId="4822F595" w14:textId="77777777" w:rsidR="00664206" w:rsidRDefault="003F788D">
            <w:pPr>
              <w:pStyle w:val="TableParagraph"/>
              <w:ind w:right="151"/>
              <w:rPr>
                <w:b/>
                <w:sz w:val="20"/>
              </w:rPr>
            </w:pPr>
            <w:r>
              <w:rPr>
                <w:b/>
                <w:sz w:val="20"/>
              </w:rPr>
              <w:t>MSFD Art 8</w:t>
            </w:r>
          </w:p>
        </w:tc>
        <w:tc>
          <w:tcPr>
            <w:tcW w:w="970" w:type="dxa"/>
          </w:tcPr>
          <w:p w14:paraId="00343DCF" w14:textId="77777777" w:rsidR="00664206" w:rsidRDefault="003F788D">
            <w:pPr>
              <w:pStyle w:val="TableParagraph"/>
              <w:ind w:left="104" w:right="88" w:hanging="1"/>
              <w:jc w:val="center"/>
              <w:rPr>
                <w:sz w:val="20"/>
              </w:rPr>
            </w:pPr>
            <w:r>
              <w:rPr>
                <w:sz w:val="20"/>
              </w:rPr>
              <w:t>“Favoura ble Conserva</w:t>
            </w:r>
            <w:r>
              <w:rPr>
                <w:w w:val="99"/>
                <w:sz w:val="20"/>
              </w:rPr>
              <w:t xml:space="preserve"> </w:t>
            </w:r>
            <w:r>
              <w:rPr>
                <w:sz w:val="20"/>
              </w:rPr>
              <w:t>tion Status”</w:t>
            </w:r>
          </w:p>
        </w:tc>
        <w:tc>
          <w:tcPr>
            <w:tcW w:w="971" w:type="dxa"/>
          </w:tcPr>
          <w:p w14:paraId="6F33D828" w14:textId="77777777" w:rsidR="00664206" w:rsidRDefault="003F788D">
            <w:pPr>
              <w:pStyle w:val="TableParagraph"/>
              <w:ind w:left="78" w:right="66"/>
              <w:jc w:val="center"/>
              <w:rPr>
                <w:sz w:val="20"/>
              </w:rPr>
            </w:pPr>
            <w:r>
              <w:rPr>
                <w:sz w:val="20"/>
              </w:rPr>
              <w:t>n.a.</w:t>
            </w:r>
          </w:p>
        </w:tc>
        <w:tc>
          <w:tcPr>
            <w:tcW w:w="973" w:type="dxa"/>
          </w:tcPr>
          <w:p w14:paraId="32F86BF2" w14:textId="77777777" w:rsidR="00664206" w:rsidRDefault="003F788D">
            <w:pPr>
              <w:pStyle w:val="TableParagraph"/>
              <w:ind w:left="318" w:right="305"/>
              <w:jc w:val="center"/>
              <w:rPr>
                <w:sz w:val="20"/>
              </w:rPr>
            </w:pPr>
            <w:r>
              <w:rPr>
                <w:sz w:val="20"/>
              </w:rPr>
              <w:t>n.a.</w:t>
            </w:r>
          </w:p>
        </w:tc>
        <w:tc>
          <w:tcPr>
            <w:tcW w:w="1201" w:type="dxa"/>
          </w:tcPr>
          <w:p w14:paraId="7F51FD0D" w14:textId="77777777" w:rsidR="00664206" w:rsidRDefault="003F788D">
            <w:pPr>
              <w:pStyle w:val="TableParagraph"/>
              <w:ind w:left="7"/>
              <w:jc w:val="center"/>
              <w:rPr>
                <w:sz w:val="20"/>
              </w:rPr>
            </w:pPr>
            <w:r>
              <w:rPr>
                <w:w w:val="99"/>
                <w:sz w:val="20"/>
              </w:rPr>
              <w:t>x</w:t>
            </w:r>
          </w:p>
        </w:tc>
        <w:tc>
          <w:tcPr>
            <w:tcW w:w="1201" w:type="dxa"/>
          </w:tcPr>
          <w:p w14:paraId="0765C946" w14:textId="77777777" w:rsidR="00664206" w:rsidRDefault="003F788D">
            <w:pPr>
              <w:pStyle w:val="TableParagraph"/>
              <w:ind w:left="75" w:right="67"/>
              <w:jc w:val="center"/>
              <w:rPr>
                <w:sz w:val="20"/>
              </w:rPr>
            </w:pPr>
            <w:r>
              <w:rPr>
                <w:sz w:val="20"/>
              </w:rPr>
              <w:t>n.a.</w:t>
            </w:r>
          </w:p>
        </w:tc>
        <w:tc>
          <w:tcPr>
            <w:tcW w:w="992" w:type="dxa"/>
          </w:tcPr>
          <w:p w14:paraId="66E7251F" w14:textId="77777777" w:rsidR="00664206" w:rsidRDefault="003F788D">
            <w:pPr>
              <w:pStyle w:val="TableParagraph"/>
              <w:ind w:left="74" w:right="66"/>
              <w:jc w:val="center"/>
              <w:rPr>
                <w:sz w:val="20"/>
              </w:rPr>
            </w:pPr>
            <w:r>
              <w:rPr>
                <w:sz w:val="20"/>
              </w:rPr>
              <w:t>n.a.</w:t>
            </w:r>
          </w:p>
        </w:tc>
        <w:tc>
          <w:tcPr>
            <w:tcW w:w="853" w:type="dxa"/>
          </w:tcPr>
          <w:p w14:paraId="4C87F3EC" w14:textId="77777777" w:rsidR="00664206" w:rsidRDefault="003F788D">
            <w:pPr>
              <w:pStyle w:val="TableParagraph"/>
              <w:ind w:left="73" w:right="70"/>
              <w:jc w:val="center"/>
              <w:rPr>
                <w:sz w:val="20"/>
              </w:rPr>
            </w:pPr>
            <w:r>
              <w:rPr>
                <w:sz w:val="20"/>
              </w:rPr>
              <w:t>n.a.</w:t>
            </w:r>
          </w:p>
        </w:tc>
        <w:tc>
          <w:tcPr>
            <w:tcW w:w="838" w:type="dxa"/>
          </w:tcPr>
          <w:p w14:paraId="16A58086" w14:textId="77777777" w:rsidR="00664206" w:rsidRDefault="003F788D">
            <w:pPr>
              <w:pStyle w:val="TableParagraph"/>
              <w:ind w:left="0" w:right="259"/>
              <w:jc w:val="right"/>
              <w:rPr>
                <w:sz w:val="20"/>
              </w:rPr>
            </w:pPr>
            <w:r>
              <w:rPr>
                <w:w w:val="95"/>
                <w:sz w:val="20"/>
              </w:rPr>
              <w:t>n.a.</w:t>
            </w:r>
          </w:p>
        </w:tc>
        <w:tc>
          <w:tcPr>
            <w:tcW w:w="970" w:type="dxa"/>
          </w:tcPr>
          <w:p w14:paraId="66405BB6" w14:textId="77777777" w:rsidR="00664206" w:rsidRDefault="003F788D">
            <w:pPr>
              <w:pStyle w:val="TableParagraph"/>
              <w:ind w:left="72" w:right="69"/>
              <w:jc w:val="center"/>
              <w:rPr>
                <w:sz w:val="20"/>
              </w:rPr>
            </w:pPr>
            <w:r>
              <w:rPr>
                <w:sz w:val="20"/>
              </w:rPr>
              <w:t>n.a.</w:t>
            </w:r>
          </w:p>
        </w:tc>
      </w:tr>
      <w:tr w:rsidR="00664206" w14:paraId="42F94609" w14:textId="77777777">
        <w:trPr>
          <w:trHeight w:val="661"/>
        </w:trPr>
        <w:tc>
          <w:tcPr>
            <w:tcW w:w="1268" w:type="dxa"/>
          </w:tcPr>
          <w:p w14:paraId="1F34B1BF" w14:textId="77777777" w:rsidR="00664206" w:rsidRDefault="003F788D">
            <w:pPr>
              <w:pStyle w:val="TableParagraph"/>
              <w:rPr>
                <w:b/>
                <w:sz w:val="20"/>
              </w:rPr>
            </w:pPr>
            <w:r>
              <w:rPr>
                <w:b/>
                <w:sz w:val="20"/>
              </w:rPr>
              <w:t>HELCOM</w:t>
            </w:r>
          </w:p>
        </w:tc>
        <w:tc>
          <w:tcPr>
            <w:tcW w:w="970" w:type="dxa"/>
          </w:tcPr>
          <w:p w14:paraId="4393A94E" w14:textId="77777777" w:rsidR="00664206" w:rsidRDefault="003F788D">
            <w:pPr>
              <w:pStyle w:val="TableParagraph"/>
              <w:ind w:left="0" w:right="185"/>
              <w:jc w:val="right"/>
              <w:rPr>
                <w:sz w:val="20"/>
              </w:rPr>
            </w:pPr>
            <w:r>
              <w:rPr>
                <w:w w:val="95"/>
                <w:sz w:val="20"/>
              </w:rPr>
              <w:t>Trends</w:t>
            </w:r>
          </w:p>
        </w:tc>
        <w:tc>
          <w:tcPr>
            <w:tcW w:w="971" w:type="dxa"/>
          </w:tcPr>
          <w:p w14:paraId="12D2E2AA" w14:textId="77777777" w:rsidR="00664206" w:rsidRDefault="003F788D">
            <w:pPr>
              <w:pStyle w:val="TableParagraph"/>
              <w:ind w:left="78" w:right="66"/>
              <w:jc w:val="center"/>
              <w:rPr>
                <w:sz w:val="20"/>
              </w:rPr>
            </w:pPr>
            <w:r>
              <w:rPr>
                <w:sz w:val="20"/>
              </w:rPr>
              <w:t>n.a.</w:t>
            </w:r>
          </w:p>
        </w:tc>
        <w:tc>
          <w:tcPr>
            <w:tcW w:w="973" w:type="dxa"/>
          </w:tcPr>
          <w:p w14:paraId="3F4E589E" w14:textId="77777777" w:rsidR="00664206" w:rsidRDefault="003F788D">
            <w:pPr>
              <w:pStyle w:val="TableParagraph"/>
              <w:ind w:left="318" w:right="305"/>
              <w:jc w:val="center"/>
              <w:rPr>
                <w:sz w:val="20"/>
              </w:rPr>
            </w:pPr>
            <w:r>
              <w:rPr>
                <w:sz w:val="20"/>
              </w:rPr>
              <w:t>n.a.</w:t>
            </w:r>
          </w:p>
        </w:tc>
        <w:tc>
          <w:tcPr>
            <w:tcW w:w="1201" w:type="dxa"/>
          </w:tcPr>
          <w:p w14:paraId="3BAA7C77" w14:textId="77777777" w:rsidR="00664206" w:rsidRDefault="003F788D" w:rsidP="00141152">
            <w:pPr>
              <w:pStyle w:val="TableParagraph"/>
              <w:spacing w:before="98"/>
              <w:ind w:left="159" w:right="151"/>
              <w:jc w:val="center"/>
              <w:rPr>
                <w:sz w:val="20"/>
              </w:rPr>
            </w:pPr>
            <w:r w:rsidRPr="00141152">
              <w:rPr>
                <w:w w:val="95"/>
                <w:sz w:val="20"/>
              </w:rPr>
              <w:t>Trends &amp; “FCS”</w:t>
            </w:r>
          </w:p>
        </w:tc>
        <w:tc>
          <w:tcPr>
            <w:tcW w:w="1201" w:type="dxa"/>
          </w:tcPr>
          <w:p w14:paraId="1675BD9F" w14:textId="77777777" w:rsidR="00664206" w:rsidRDefault="003F788D">
            <w:pPr>
              <w:pStyle w:val="TableParagraph"/>
              <w:ind w:left="5"/>
              <w:jc w:val="center"/>
              <w:rPr>
                <w:sz w:val="20"/>
              </w:rPr>
            </w:pPr>
            <w:r>
              <w:rPr>
                <w:w w:val="99"/>
                <w:sz w:val="20"/>
              </w:rPr>
              <w:t>x</w:t>
            </w:r>
          </w:p>
        </w:tc>
        <w:tc>
          <w:tcPr>
            <w:tcW w:w="992" w:type="dxa"/>
          </w:tcPr>
          <w:p w14:paraId="3DF82ED0" w14:textId="77777777" w:rsidR="00664206" w:rsidRDefault="003F788D">
            <w:pPr>
              <w:pStyle w:val="TableParagraph"/>
              <w:ind w:left="74" w:right="66"/>
              <w:jc w:val="center"/>
              <w:rPr>
                <w:sz w:val="20"/>
              </w:rPr>
            </w:pPr>
            <w:r>
              <w:rPr>
                <w:sz w:val="20"/>
              </w:rPr>
              <w:t>n.a.</w:t>
            </w:r>
          </w:p>
        </w:tc>
        <w:tc>
          <w:tcPr>
            <w:tcW w:w="853" w:type="dxa"/>
          </w:tcPr>
          <w:p w14:paraId="7528C849" w14:textId="77777777" w:rsidR="00664206" w:rsidRDefault="003F788D">
            <w:pPr>
              <w:pStyle w:val="TableParagraph"/>
              <w:ind w:left="73" w:right="70"/>
              <w:jc w:val="center"/>
              <w:rPr>
                <w:sz w:val="20"/>
              </w:rPr>
            </w:pPr>
            <w:r>
              <w:rPr>
                <w:sz w:val="20"/>
              </w:rPr>
              <w:t>n.a.</w:t>
            </w:r>
          </w:p>
        </w:tc>
        <w:tc>
          <w:tcPr>
            <w:tcW w:w="838" w:type="dxa"/>
          </w:tcPr>
          <w:p w14:paraId="389899D9" w14:textId="77777777" w:rsidR="00664206" w:rsidRDefault="003F788D">
            <w:pPr>
              <w:pStyle w:val="TableParagraph"/>
              <w:ind w:left="104" w:right="99"/>
              <w:jc w:val="center"/>
              <w:rPr>
                <w:sz w:val="20"/>
              </w:rPr>
            </w:pPr>
            <w:r>
              <w:rPr>
                <w:sz w:val="20"/>
              </w:rPr>
              <w:t>Trends</w:t>
            </w:r>
          </w:p>
          <w:p w14:paraId="5152E117" w14:textId="77777777" w:rsidR="00664206" w:rsidRDefault="003F788D">
            <w:pPr>
              <w:pStyle w:val="TableParagraph"/>
              <w:spacing w:before="0"/>
              <w:ind w:left="2"/>
              <w:jc w:val="center"/>
              <w:rPr>
                <w:sz w:val="20"/>
              </w:rPr>
            </w:pPr>
            <w:r>
              <w:rPr>
                <w:w w:val="99"/>
                <w:sz w:val="20"/>
              </w:rPr>
              <w:t>?</w:t>
            </w:r>
          </w:p>
        </w:tc>
        <w:tc>
          <w:tcPr>
            <w:tcW w:w="970" w:type="dxa"/>
          </w:tcPr>
          <w:p w14:paraId="7391FF3A" w14:textId="77777777" w:rsidR="00664206" w:rsidRDefault="003F788D">
            <w:pPr>
              <w:pStyle w:val="TableParagraph"/>
              <w:ind w:left="72" w:right="69"/>
              <w:jc w:val="center"/>
              <w:rPr>
                <w:sz w:val="20"/>
              </w:rPr>
            </w:pPr>
            <w:r>
              <w:rPr>
                <w:sz w:val="20"/>
              </w:rPr>
              <w:t>n.a.</w:t>
            </w:r>
          </w:p>
        </w:tc>
      </w:tr>
      <w:tr w:rsidR="00664206" w14:paraId="5CE8CB9A" w14:textId="77777777">
        <w:trPr>
          <w:trHeight w:val="659"/>
        </w:trPr>
        <w:tc>
          <w:tcPr>
            <w:tcW w:w="1268" w:type="dxa"/>
          </w:tcPr>
          <w:p w14:paraId="7000ABBF" w14:textId="77777777" w:rsidR="00664206" w:rsidRDefault="003F788D">
            <w:pPr>
              <w:pStyle w:val="TableParagraph"/>
              <w:spacing w:before="98"/>
              <w:rPr>
                <w:b/>
                <w:sz w:val="20"/>
              </w:rPr>
            </w:pPr>
            <w:r>
              <w:rPr>
                <w:b/>
                <w:sz w:val="20"/>
              </w:rPr>
              <w:t>OSPAR</w:t>
            </w:r>
          </w:p>
        </w:tc>
        <w:tc>
          <w:tcPr>
            <w:tcW w:w="970" w:type="dxa"/>
          </w:tcPr>
          <w:p w14:paraId="64C9AE7A" w14:textId="77777777" w:rsidR="00664206" w:rsidRDefault="003F788D">
            <w:pPr>
              <w:pStyle w:val="TableParagraph"/>
              <w:spacing w:before="98"/>
              <w:ind w:left="0" w:right="185"/>
              <w:jc w:val="right"/>
              <w:rPr>
                <w:sz w:val="20"/>
              </w:rPr>
            </w:pPr>
            <w:r>
              <w:rPr>
                <w:w w:val="95"/>
                <w:sz w:val="20"/>
              </w:rPr>
              <w:t>Trends</w:t>
            </w:r>
          </w:p>
        </w:tc>
        <w:tc>
          <w:tcPr>
            <w:tcW w:w="971" w:type="dxa"/>
          </w:tcPr>
          <w:p w14:paraId="28377456" w14:textId="77777777" w:rsidR="00664206" w:rsidRDefault="003F788D">
            <w:pPr>
              <w:pStyle w:val="TableParagraph"/>
              <w:spacing w:before="98"/>
              <w:ind w:left="78" w:right="66"/>
              <w:jc w:val="center"/>
              <w:rPr>
                <w:sz w:val="20"/>
              </w:rPr>
            </w:pPr>
            <w:r>
              <w:rPr>
                <w:sz w:val="20"/>
              </w:rPr>
              <w:t>n.a.</w:t>
            </w:r>
          </w:p>
        </w:tc>
        <w:tc>
          <w:tcPr>
            <w:tcW w:w="973" w:type="dxa"/>
          </w:tcPr>
          <w:p w14:paraId="7276BDF0" w14:textId="77777777" w:rsidR="00664206" w:rsidRDefault="003F788D">
            <w:pPr>
              <w:pStyle w:val="TableParagraph"/>
              <w:spacing w:before="98"/>
              <w:ind w:left="318" w:right="305"/>
              <w:jc w:val="center"/>
              <w:rPr>
                <w:sz w:val="20"/>
              </w:rPr>
            </w:pPr>
            <w:r>
              <w:rPr>
                <w:sz w:val="20"/>
              </w:rPr>
              <w:t>n.a.</w:t>
            </w:r>
          </w:p>
        </w:tc>
        <w:tc>
          <w:tcPr>
            <w:tcW w:w="1201" w:type="dxa"/>
          </w:tcPr>
          <w:p w14:paraId="506190F4" w14:textId="77777777" w:rsidR="00664206" w:rsidRDefault="003F788D" w:rsidP="00141152">
            <w:pPr>
              <w:pStyle w:val="TableParagraph"/>
              <w:spacing w:before="98"/>
              <w:ind w:left="159" w:right="151"/>
              <w:jc w:val="center"/>
              <w:rPr>
                <w:sz w:val="20"/>
              </w:rPr>
            </w:pPr>
            <w:r w:rsidRPr="00141152">
              <w:rPr>
                <w:w w:val="95"/>
                <w:sz w:val="20"/>
              </w:rPr>
              <w:t>Trends &amp; “FCS”</w:t>
            </w:r>
          </w:p>
        </w:tc>
        <w:tc>
          <w:tcPr>
            <w:tcW w:w="1201" w:type="dxa"/>
          </w:tcPr>
          <w:p w14:paraId="4A02C8B7" w14:textId="77777777" w:rsidR="00664206" w:rsidRDefault="003F788D">
            <w:pPr>
              <w:pStyle w:val="TableParagraph"/>
              <w:spacing w:before="98"/>
              <w:ind w:left="75" w:right="67"/>
              <w:jc w:val="center"/>
              <w:rPr>
                <w:sz w:val="20"/>
              </w:rPr>
            </w:pPr>
            <w:r>
              <w:rPr>
                <w:sz w:val="20"/>
              </w:rPr>
              <w:t>n.a.</w:t>
            </w:r>
          </w:p>
        </w:tc>
        <w:tc>
          <w:tcPr>
            <w:tcW w:w="992" w:type="dxa"/>
          </w:tcPr>
          <w:p w14:paraId="67DAF9C8" w14:textId="77777777" w:rsidR="00664206" w:rsidRDefault="003F788D">
            <w:pPr>
              <w:pStyle w:val="TableParagraph"/>
              <w:spacing w:before="98"/>
              <w:ind w:left="6"/>
              <w:jc w:val="center"/>
              <w:rPr>
                <w:sz w:val="20"/>
              </w:rPr>
            </w:pPr>
            <w:r>
              <w:rPr>
                <w:w w:val="99"/>
                <w:sz w:val="20"/>
              </w:rPr>
              <w:t>x</w:t>
            </w:r>
          </w:p>
        </w:tc>
        <w:tc>
          <w:tcPr>
            <w:tcW w:w="853" w:type="dxa"/>
          </w:tcPr>
          <w:p w14:paraId="56AD5DAC" w14:textId="77777777" w:rsidR="00664206" w:rsidRDefault="003F788D">
            <w:pPr>
              <w:pStyle w:val="TableParagraph"/>
              <w:spacing w:before="98"/>
              <w:ind w:left="73" w:right="67"/>
              <w:jc w:val="center"/>
              <w:rPr>
                <w:sz w:val="20"/>
              </w:rPr>
            </w:pPr>
            <w:r>
              <w:rPr>
                <w:sz w:val="20"/>
              </w:rPr>
              <w:t>Trends</w:t>
            </w:r>
          </w:p>
        </w:tc>
        <w:tc>
          <w:tcPr>
            <w:tcW w:w="838" w:type="dxa"/>
          </w:tcPr>
          <w:p w14:paraId="53EF7E87" w14:textId="77777777" w:rsidR="00664206" w:rsidRDefault="003F788D">
            <w:pPr>
              <w:pStyle w:val="TableParagraph"/>
              <w:spacing w:before="98"/>
              <w:ind w:left="104" w:right="99"/>
              <w:jc w:val="center"/>
              <w:rPr>
                <w:sz w:val="20"/>
              </w:rPr>
            </w:pPr>
            <w:r>
              <w:rPr>
                <w:sz w:val="20"/>
              </w:rPr>
              <w:t>Trends</w:t>
            </w:r>
          </w:p>
          <w:p w14:paraId="25D5E23A" w14:textId="77777777" w:rsidR="00664206" w:rsidRDefault="003F788D">
            <w:pPr>
              <w:pStyle w:val="TableParagraph"/>
              <w:spacing w:before="1"/>
              <w:ind w:left="2"/>
              <w:jc w:val="center"/>
              <w:rPr>
                <w:sz w:val="20"/>
              </w:rPr>
            </w:pPr>
            <w:r>
              <w:rPr>
                <w:w w:val="99"/>
                <w:sz w:val="20"/>
              </w:rPr>
              <w:t>?</w:t>
            </w:r>
          </w:p>
        </w:tc>
        <w:tc>
          <w:tcPr>
            <w:tcW w:w="970" w:type="dxa"/>
          </w:tcPr>
          <w:p w14:paraId="1954951A" w14:textId="77777777" w:rsidR="00664206" w:rsidRDefault="003F788D">
            <w:pPr>
              <w:pStyle w:val="TableParagraph"/>
              <w:spacing w:before="98"/>
              <w:ind w:left="72" w:right="69"/>
              <w:jc w:val="center"/>
              <w:rPr>
                <w:sz w:val="20"/>
              </w:rPr>
            </w:pPr>
            <w:r>
              <w:rPr>
                <w:sz w:val="20"/>
              </w:rPr>
              <w:t>n.a.</w:t>
            </w:r>
          </w:p>
        </w:tc>
      </w:tr>
      <w:tr w:rsidR="00664206" w14:paraId="11A56D57" w14:textId="77777777">
        <w:trPr>
          <w:trHeight w:val="429"/>
        </w:trPr>
        <w:tc>
          <w:tcPr>
            <w:tcW w:w="1268" w:type="dxa"/>
          </w:tcPr>
          <w:p w14:paraId="69D7C5E2" w14:textId="77777777" w:rsidR="00664206" w:rsidRDefault="003F788D">
            <w:pPr>
              <w:pStyle w:val="TableParagraph"/>
              <w:rPr>
                <w:b/>
                <w:sz w:val="20"/>
              </w:rPr>
            </w:pPr>
            <w:r>
              <w:rPr>
                <w:b/>
                <w:sz w:val="20"/>
              </w:rPr>
              <w:t>CAFF</w:t>
            </w:r>
          </w:p>
        </w:tc>
        <w:tc>
          <w:tcPr>
            <w:tcW w:w="970" w:type="dxa"/>
          </w:tcPr>
          <w:p w14:paraId="15CF615F" w14:textId="77777777" w:rsidR="00664206" w:rsidRDefault="003F788D">
            <w:pPr>
              <w:pStyle w:val="TableParagraph"/>
              <w:ind w:left="0" w:right="185"/>
              <w:jc w:val="right"/>
              <w:rPr>
                <w:sz w:val="20"/>
              </w:rPr>
            </w:pPr>
            <w:r>
              <w:rPr>
                <w:w w:val="95"/>
                <w:sz w:val="20"/>
              </w:rPr>
              <w:t>Trends</w:t>
            </w:r>
          </w:p>
        </w:tc>
        <w:tc>
          <w:tcPr>
            <w:tcW w:w="971" w:type="dxa"/>
          </w:tcPr>
          <w:p w14:paraId="4FD72D10" w14:textId="77777777" w:rsidR="00664206" w:rsidRDefault="003F788D">
            <w:pPr>
              <w:pStyle w:val="TableParagraph"/>
              <w:ind w:left="78" w:right="66"/>
              <w:jc w:val="center"/>
              <w:rPr>
                <w:sz w:val="20"/>
              </w:rPr>
            </w:pPr>
            <w:r>
              <w:rPr>
                <w:sz w:val="20"/>
              </w:rPr>
              <w:t>n.a.</w:t>
            </w:r>
          </w:p>
        </w:tc>
        <w:tc>
          <w:tcPr>
            <w:tcW w:w="973" w:type="dxa"/>
          </w:tcPr>
          <w:p w14:paraId="0CE89775" w14:textId="77777777" w:rsidR="00664206" w:rsidRDefault="003F788D">
            <w:pPr>
              <w:pStyle w:val="TableParagraph"/>
              <w:ind w:left="318" w:right="305"/>
              <w:jc w:val="center"/>
              <w:rPr>
                <w:sz w:val="20"/>
              </w:rPr>
            </w:pPr>
            <w:r>
              <w:rPr>
                <w:sz w:val="20"/>
              </w:rPr>
              <w:t>n.a.</w:t>
            </w:r>
          </w:p>
        </w:tc>
        <w:tc>
          <w:tcPr>
            <w:tcW w:w="1201" w:type="dxa"/>
          </w:tcPr>
          <w:p w14:paraId="52071269" w14:textId="77777777" w:rsidR="00664206" w:rsidRDefault="003F788D">
            <w:pPr>
              <w:pStyle w:val="TableParagraph"/>
              <w:ind w:left="75" w:right="66"/>
              <w:jc w:val="center"/>
              <w:rPr>
                <w:sz w:val="20"/>
              </w:rPr>
            </w:pPr>
            <w:r>
              <w:rPr>
                <w:sz w:val="20"/>
              </w:rPr>
              <w:t>n.a.</w:t>
            </w:r>
          </w:p>
        </w:tc>
        <w:tc>
          <w:tcPr>
            <w:tcW w:w="1201" w:type="dxa"/>
          </w:tcPr>
          <w:p w14:paraId="745A14BE" w14:textId="77777777" w:rsidR="00664206" w:rsidRDefault="003F788D">
            <w:pPr>
              <w:pStyle w:val="TableParagraph"/>
              <w:ind w:left="75" w:right="67"/>
              <w:jc w:val="center"/>
              <w:rPr>
                <w:sz w:val="20"/>
              </w:rPr>
            </w:pPr>
            <w:r>
              <w:rPr>
                <w:sz w:val="20"/>
              </w:rPr>
              <w:t>n.a.</w:t>
            </w:r>
          </w:p>
        </w:tc>
        <w:tc>
          <w:tcPr>
            <w:tcW w:w="992" w:type="dxa"/>
          </w:tcPr>
          <w:p w14:paraId="3EDAAB9E" w14:textId="77777777" w:rsidR="00664206" w:rsidRDefault="003F788D">
            <w:pPr>
              <w:pStyle w:val="TableParagraph"/>
              <w:ind w:left="74" w:right="66"/>
              <w:jc w:val="center"/>
              <w:rPr>
                <w:sz w:val="20"/>
              </w:rPr>
            </w:pPr>
            <w:r>
              <w:rPr>
                <w:sz w:val="20"/>
              </w:rPr>
              <w:t>n.a.</w:t>
            </w:r>
          </w:p>
        </w:tc>
        <w:tc>
          <w:tcPr>
            <w:tcW w:w="853" w:type="dxa"/>
          </w:tcPr>
          <w:p w14:paraId="65F6AA22" w14:textId="77777777" w:rsidR="00664206" w:rsidRDefault="003F788D">
            <w:pPr>
              <w:pStyle w:val="TableParagraph"/>
              <w:ind w:left="1"/>
              <w:jc w:val="center"/>
              <w:rPr>
                <w:sz w:val="20"/>
              </w:rPr>
            </w:pPr>
            <w:r>
              <w:rPr>
                <w:w w:val="99"/>
                <w:sz w:val="20"/>
              </w:rPr>
              <w:t>x</w:t>
            </w:r>
          </w:p>
        </w:tc>
        <w:tc>
          <w:tcPr>
            <w:tcW w:w="838" w:type="dxa"/>
          </w:tcPr>
          <w:p w14:paraId="42E9BD1B" w14:textId="77777777" w:rsidR="00664206" w:rsidRDefault="003F788D">
            <w:pPr>
              <w:pStyle w:val="TableParagraph"/>
              <w:ind w:left="0" w:right="259"/>
              <w:jc w:val="right"/>
              <w:rPr>
                <w:sz w:val="20"/>
              </w:rPr>
            </w:pPr>
            <w:r>
              <w:rPr>
                <w:w w:val="95"/>
                <w:sz w:val="20"/>
              </w:rPr>
              <w:t>n.a.</w:t>
            </w:r>
          </w:p>
        </w:tc>
        <w:tc>
          <w:tcPr>
            <w:tcW w:w="970" w:type="dxa"/>
          </w:tcPr>
          <w:p w14:paraId="1C089E16" w14:textId="77777777" w:rsidR="00664206" w:rsidRDefault="003F788D">
            <w:pPr>
              <w:pStyle w:val="TableParagraph"/>
              <w:ind w:left="72" w:right="69"/>
              <w:jc w:val="center"/>
              <w:rPr>
                <w:sz w:val="20"/>
              </w:rPr>
            </w:pPr>
            <w:r>
              <w:rPr>
                <w:sz w:val="20"/>
              </w:rPr>
              <w:t>n.a.</w:t>
            </w:r>
          </w:p>
        </w:tc>
      </w:tr>
      <w:tr w:rsidR="006A2854" w14:paraId="4385BC49" w14:textId="77777777">
        <w:trPr>
          <w:trHeight w:val="1350"/>
        </w:trPr>
        <w:tc>
          <w:tcPr>
            <w:tcW w:w="1268" w:type="dxa"/>
          </w:tcPr>
          <w:p w14:paraId="126050B1" w14:textId="2C25567E" w:rsidR="006A2854" w:rsidRDefault="006A2854" w:rsidP="006A2854">
            <w:pPr>
              <w:pStyle w:val="TableParagraph"/>
              <w:rPr>
                <w:b/>
                <w:sz w:val="20"/>
              </w:rPr>
            </w:pPr>
            <w:r>
              <w:rPr>
                <w:b/>
                <w:sz w:val="20"/>
              </w:rPr>
              <w:t>Trilateral Wadden Sea Cooperation</w:t>
            </w:r>
          </w:p>
        </w:tc>
        <w:tc>
          <w:tcPr>
            <w:tcW w:w="970" w:type="dxa"/>
          </w:tcPr>
          <w:p w14:paraId="14043E9D" w14:textId="4E9ADFC6" w:rsidR="006A2854" w:rsidRPr="00326D00" w:rsidRDefault="006A2854" w:rsidP="006A2854">
            <w:pPr>
              <w:pStyle w:val="TableParagraph"/>
              <w:ind w:left="205" w:right="64" w:hanging="106"/>
              <w:rPr>
                <w:sz w:val="20"/>
              </w:rPr>
            </w:pPr>
            <w:r w:rsidRPr="00326D00">
              <w:rPr>
                <w:sz w:val="20"/>
              </w:rPr>
              <w:t>Population sizes Trends</w:t>
            </w:r>
          </w:p>
        </w:tc>
        <w:tc>
          <w:tcPr>
            <w:tcW w:w="971" w:type="dxa"/>
          </w:tcPr>
          <w:p w14:paraId="01E2DC3D" w14:textId="77777777" w:rsidR="006A2854" w:rsidRPr="00326D00" w:rsidRDefault="006A2854" w:rsidP="006A2854">
            <w:pPr>
              <w:pStyle w:val="TableParagraph"/>
              <w:ind w:left="430" w:right="65" w:hanging="310"/>
              <w:rPr>
                <w:sz w:val="20"/>
              </w:rPr>
            </w:pPr>
            <w:r w:rsidRPr="00326D00">
              <w:rPr>
                <w:w w:val="95"/>
                <w:sz w:val="20"/>
              </w:rPr>
              <w:t xml:space="preserve">Criterion </w:t>
            </w:r>
            <w:r w:rsidRPr="00326D00">
              <w:rPr>
                <w:sz w:val="20"/>
              </w:rPr>
              <w:t>6</w:t>
            </w:r>
          </w:p>
        </w:tc>
        <w:tc>
          <w:tcPr>
            <w:tcW w:w="973" w:type="dxa"/>
          </w:tcPr>
          <w:p w14:paraId="7727C368" w14:textId="518B91F1" w:rsidR="006A2854" w:rsidRPr="00326D00" w:rsidRDefault="006A2854" w:rsidP="00141152">
            <w:pPr>
              <w:pStyle w:val="TableParagraph"/>
              <w:ind w:left="50" w:right="64"/>
              <w:rPr>
                <w:sz w:val="20"/>
              </w:rPr>
            </w:pPr>
            <w:r w:rsidRPr="00326D00">
              <w:rPr>
                <w:sz w:val="20"/>
              </w:rPr>
              <w:t>Input into population sizes and trends</w:t>
            </w:r>
          </w:p>
        </w:tc>
        <w:tc>
          <w:tcPr>
            <w:tcW w:w="1201" w:type="dxa"/>
          </w:tcPr>
          <w:p w14:paraId="4B807647" w14:textId="726A9FBE" w:rsidR="006A2854" w:rsidRPr="00326D00" w:rsidRDefault="006A2854" w:rsidP="006A2854">
            <w:pPr>
              <w:pStyle w:val="TableParagraph"/>
              <w:ind w:left="75" w:right="66"/>
              <w:jc w:val="center"/>
              <w:rPr>
                <w:sz w:val="20"/>
              </w:rPr>
            </w:pPr>
            <w:r w:rsidRPr="00326D00">
              <w:rPr>
                <w:sz w:val="20"/>
              </w:rPr>
              <w:t>Input into trends &amp; “FCS”</w:t>
            </w:r>
          </w:p>
        </w:tc>
        <w:tc>
          <w:tcPr>
            <w:tcW w:w="1201" w:type="dxa"/>
          </w:tcPr>
          <w:p w14:paraId="1A465830" w14:textId="77777777" w:rsidR="006A2854" w:rsidRPr="00326D00" w:rsidRDefault="006A2854" w:rsidP="006A2854">
            <w:pPr>
              <w:pStyle w:val="TableParagraph"/>
              <w:ind w:left="75" w:right="67"/>
              <w:jc w:val="center"/>
              <w:rPr>
                <w:sz w:val="20"/>
              </w:rPr>
            </w:pPr>
            <w:r w:rsidRPr="00326D00">
              <w:rPr>
                <w:sz w:val="20"/>
              </w:rPr>
              <w:t>n.a.</w:t>
            </w:r>
          </w:p>
        </w:tc>
        <w:tc>
          <w:tcPr>
            <w:tcW w:w="992" w:type="dxa"/>
          </w:tcPr>
          <w:p w14:paraId="17B1ED7A" w14:textId="7F7F2A04" w:rsidR="006A2854" w:rsidRPr="00326D00" w:rsidRDefault="006A2854" w:rsidP="006A2854">
            <w:pPr>
              <w:pStyle w:val="TableParagraph"/>
              <w:ind w:left="74" w:right="66"/>
              <w:jc w:val="center"/>
              <w:rPr>
                <w:sz w:val="20"/>
              </w:rPr>
            </w:pPr>
            <w:r w:rsidRPr="00326D00">
              <w:rPr>
                <w:sz w:val="20"/>
              </w:rPr>
              <w:t>Input into trends &amp; “FCS”</w:t>
            </w:r>
          </w:p>
        </w:tc>
        <w:tc>
          <w:tcPr>
            <w:tcW w:w="853" w:type="dxa"/>
          </w:tcPr>
          <w:p w14:paraId="1FF0121A" w14:textId="77777777" w:rsidR="006A2854" w:rsidRPr="00326D00" w:rsidRDefault="006A2854" w:rsidP="006A2854">
            <w:pPr>
              <w:pStyle w:val="TableParagraph"/>
              <w:ind w:left="73" w:right="70"/>
              <w:jc w:val="center"/>
              <w:rPr>
                <w:sz w:val="20"/>
              </w:rPr>
            </w:pPr>
            <w:r w:rsidRPr="00326D00">
              <w:rPr>
                <w:sz w:val="20"/>
              </w:rPr>
              <w:t>n.a.</w:t>
            </w:r>
          </w:p>
        </w:tc>
        <w:tc>
          <w:tcPr>
            <w:tcW w:w="838" w:type="dxa"/>
          </w:tcPr>
          <w:p w14:paraId="57F32C70" w14:textId="77777777" w:rsidR="006A2854" w:rsidRPr="00326D00" w:rsidRDefault="006A2854" w:rsidP="006A2854">
            <w:pPr>
              <w:pStyle w:val="TableParagraph"/>
              <w:ind w:left="4"/>
              <w:jc w:val="center"/>
              <w:rPr>
                <w:sz w:val="20"/>
              </w:rPr>
            </w:pPr>
            <w:r w:rsidRPr="00326D00">
              <w:rPr>
                <w:w w:val="99"/>
                <w:sz w:val="20"/>
              </w:rPr>
              <w:t>x</w:t>
            </w:r>
          </w:p>
        </w:tc>
        <w:tc>
          <w:tcPr>
            <w:tcW w:w="970" w:type="dxa"/>
          </w:tcPr>
          <w:p w14:paraId="26FC98FC" w14:textId="77777777" w:rsidR="006A2854" w:rsidRPr="00326D00" w:rsidRDefault="006A2854" w:rsidP="006A2854">
            <w:pPr>
              <w:pStyle w:val="TableParagraph"/>
              <w:ind w:left="109" w:right="107" w:firstLine="4"/>
              <w:jc w:val="center"/>
              <w:rPr>
                <w:sz w:val="20"/>
              </w:rPr>
            </w:pPr>
            <w:r w:rsidRPr="00326D00">
              <w:rPr>
                <w:sz w:val="20"/>
              </w:rPr>
              <w:t xml:space="preserve">Input into Red List </w:t>
            </w:r>
            <w:r w:rsidRPr="00326D00">
              <w:rPr>
                <w:w w:val="95"/>
                <w:sz w:val="20"/>
              </w:rPr>
              <w:t xml:space="preserve">assessme </w:t>
            </w:r>
            <w:r w:rsidRPr="00326D00">
              <w:rPr>
                <w:sz w:val="20"/>
              </w:rPr>
              <w:t>nt</w:t>
            </w:r>
          </w:p>
        </w:tc>
      </w:tr>
      <w:tr w:rsidR="006A2854" w14:paraId="20A1FA44" w14:textId="77777777">
        <w:trPr>
          <w:trHeight w:val="1811"/>
        </w:trPr>
        <w:tc>
          <w:tcPr>
            <w:tcW w:w="1268" w:type="dxa"/>
          </w:tcPr>
          <w:p w14:paraId="7C9513F5" w14:textId="13EE1FBF" w:rsidR="006A2854" w:rsidRDefault="006A2854" w:rsidP="006A2854">
            <w:pPr>
              <w:pStyle w:val="TableParagraph"/>
              <w:rPr>
                <w:b/>
                <w:sz w:val="20"/>
              </w:rPr>
            </w:pPr>
            <w:r>
              <w:rPr>
                <w:b/>
                <w:sz w:val="20"/>
              </w:rPr>
              <w:t>IUCN Red List</w:t>
            </w:r>
          </w:p>
        </w:tc>
        <w:tc>
          <w:tcPr>
            <w:tcW w:w="970" w:type="dxa"/>
          </w:tcPr>
          <w:p w14:paraId="7E2B9D3B" w14:textId="77777777" w:rsidR="006A2854" w:rsidRDefault="006A2854" w:rsidP="006A2854">
            <w:pPr>
              <w:pStyle w:val="TableParagraph"/>
              <w:ind w:left="109" w:right="97" w:firstLine="3"/>
              <w:jc w:val="center"/>
              <w:rPr>
                <w:sz w:val="20"/>
              </w:rPr>
            </w:pPr>
            <w:r>
              <w:rPr>
                <w:sz w:val="20"/>
              </w:rPr>
              <w:t xml:space="preserve">Table 1 </w:t>
            </w:r>
            <w:r>
              <w:rPr>
                <w:w w:val="95"/>
                <w:sz w:val="20"/>
              </w:rPr>
              <w:t xml:space="preserve">classifica </w:t>
            </w:r>
            <w:r>
              <w:rPr>
                <w:sz w:val="20"/>
              </w:rPr>
              <w:t>tion (Col A, cat 1b)</w:t>
            </w:r>
          </w:p>
        </w:tc>
        <w:tc>
          <w:tcPr>
            <w:tcW w:w="971" w:type="dxa"/>
          </w:tcPr>
          <w:p w14:paraId="6A3BCAC1" w14:textId="77777777" w:rsidR="006A2854" w:rsidRDefault="006A2854" w:rsidP="006A2854">
            <w:pPr>
              <w:pStyle w:val="TableParagraph"/>
              <w:ind w:left="430" w:right="65" w:hanging="310"/>
              <w:rPr>
                <w:sz w:val="20"/>
              </w:rPr>
            </w:pPr>
            <w:r>
              <w:rPr>
                <w:w w:val="95"/>
                <w:sz w:val="20"/>
              </w:rPr>
              <w:t xml:space="preserve">Criterion </w:t>
            </w:r>
            <w:r>
              <w:rPr>
                <w:sz w:val="20"/>
              </w:rPr>
              <w:t>2</w:t>
            </w:r>
          </w:p>
        </w:tc>
        <w:tc>
          <w:tcPr>
            <w:tcW w:w="973" w:type="dxa"/>
          </w:tcPr>
          <w:p w14:paraId="12DE44BA" w14:textId="77777777" w:rsidR="006A2854" w:rsidRDefault="006A2854" w:rsidP="006A2854">
            <w:pPr>
              <w:pStyle w:val="TableParagraph"/>
              <w:ind w:left="318" w:right="305"/>
              <w:jc w:val="center"/>
              <w:rPr>
                <w:sz w:val="20"/>
              </w:rPr>
            </w:pPr>
            <w:r>
              <w:rPr>
                <w:sz w:val="20"/>
              </w:rPr>
              <w:t>n.a.</w:t>
            </w:r>
          </w:p>
        </w:tc>
        <w:tc>
          <w:tcPr>
            <w:tcW w:w="1201" w:type="dxa"/>
          </w:tcPr>
          <w:p w14:paraId="73FF5BA6" w14:textId="61680CB8" w:rsidR="006A2854" w:rsidRDefault="006A2854" w:rsidP="006A2854">
            <w:pPr>
              <w:pStyle w:val="TableParagraph"/>
              <w:ind w:left="107" w:right="94" w:hanging="3"/>
              <w:jc w:val="center"/>
              <w:rPr>
                <w:sz w:val="20"/>
              </w:rPr>
            </w:pPr>
            <w:r>
              <w:rPr>
                <w:sz w:val="20"/>
              </w:rPr>
              <w:t xml:space="preserve">In the </w:t>
            </w:r>
            <w:r>
              <w:rPr>
                <w:w w:val="95"/>
                <w:sz w:val="20"/>
              </w:rPr>
              <w:t xml:space="preserve">Mediterrane </w:t>
            </w:r>
            <w:r>
              <w:rPr>
                <w:sz w:val="20"/>
              </w:rPr>
              <w:t>an and Black Sea: proportion of Red List species</w:t>
            </w:r>
          </w:p>
        </w:tc>
        <w:tc>
          <w:tcPr>
            <w:tcW w:w="1201" w:type="dxa"/>
          </w:tcPr>
          <w:p w14:paraId="266BE578" w14:textId="77777777" w:rsidR="006A2854" w:rsidRDefault="006A2854" w:rsidP="006A2854">
            <w:pPr>
              <w:pStyle w:val="TableParagraph"/>
              <w:ind w:left="75" w:right="67"/>
              <w:jc w:val="center"/>
              <w:rPr>
                <w:sz w:val="20"/>
              </w:rPr>
            </w:pPr>
            <w:r>
              <w:rPr>
                <w:sz w:val="20"/>
              </w:rPr>
              <w:t>n.a.</w:t>
            </w:r>
          </w:p>
        </w:tc>
        <w:tc>
          <w:tcPr>
            <w:tcW w:w="992" w:type="dxa"/>
          </w:tcPr>
          <w:p w14:paraId="144EF14E" w14:textId="77777777" w:rsidR="006A2854" w:rsidRDefault="006A2854" w:rsidP="006A2854">
            <w:pPr>
              <w:pStyle w:val="TableParagraph"/>
              <w:ind w:left="74" w:right="66"/>
              <w:jc w:val="center"/>
              <w:rPr>
                <w:sz w:val="20"/>
              </w:rPr>
            </w:pPr>
            <w:r>
              <w:rPr>
                <w:sz w:val="20"/>
              </w:rPr>
              <w:t>n.a.</w:t>
            </w:r>
          </w:p>
        </w:tc>
        <w:tc>
          <w:tcPr>
            <w:tcW w:w="853" w:type="dxa"/>
          </w:tcPr>
          <w:p w14:paraId="338C0678" w14:textId="77777777" w:rsidR="006A2854" w:rsidRDefault="006A2854" w:rsidP="006A2854">
            <w:pPr>
              <w:pStyle w:val="TableParagraph"/>
              <w:ind w:left="73" w:right="70"/>
              <w:jc w:val="center"/>
              <w:rPr>
                <w:sz w:val="20"/>
              </w:rPr>
            </w:pPr>
            <w:r>
              <w:rPr>
                <w:sz w:val="20"/>
              </w:rPr>
              <w:t>n.a.</w:t>
            </w:r>
          </w:p>
        </w:tc>
        <w:tc>
          <w:tcPr>
            <w:tcW w:w="838" w:type="dxa"/>
          </w:tcPr>
          <w:p w14:paraId="1DE0E7DD" w14:textId="77777777" w:rsidR="006A2854" w:rsidRDefault="006A2854" w:rsidP="006A2854">
            <w:pPr>
              <w:pStyle w:val="TableParagraph"/>
              <w:ind w:left="0" w:right="259"/>
              <w:jc w:val="right"/>
              <w:rPr>
                <w:sz w:val="20"/>
              </w:rPr>
            </w:pPr>
            <w:r>
              <w:rPr>
                <w:w w:val="95"/>
                <w:sz w:val="20"/>
              </w:rPr>
              <w:t>n.a.</w:t>
            </w:r>
          </w:p>
        </w:tc>
        <w:tc>
          <w:tcPr>
            <w:tcW w:w="970" w:type="dxa"/>
          </w:tcPr>
          <w:p w14:paraId="582BBA96" w14:textId="77777777" w:rsidR="006A2854" w:rsidRDefault="006A2854" w:rsidP="006A2854">
            <w:pPr>
              <w:pStyle w:val="TableParagraph"/>
              <w:ind w:left="1"/>
              <w:jc w:val="center"/>
              <w:rPr>
                <w:sz w:val="20"/>
              </w:rPr>
            </w:pPr>
            <w:r>
              <w:rPr>
                <w:w w:val="99"/>
                <w:sz w:val="20"/>
              </w:rPr>
              <w:t>x</w:t>
            </w:r>
          </w:p>
        </w:tc>
      </w:tr>
    </w:tbl>
    <w:p w14:paraId="010ABA27" w14:textId="77777777" w:rsidR="00664206" w:rsidRDefault="00664206">
      <w:pPr>
        <w:pStyle w:val="BodyText"/>
        <w:rPr>
          <w:sz w:val="20"/>
        </w:rPr>
      </w:pPr>
    </w:p>
    <w:p w14:paraId="57255EFE" w14:textId="77777777" w:rsidR="00664206" w:rsidRDefault="003F788D">
      <w:pPr>
        <w:pStyle w:val="Heading1"/>
        <w:spacing w:before="66"/>
      </w:pPr>
      <w:r>
        <w:t>Further possibilities to enhance synergies</w:t>
      </w:r>
    </w:p>
    <w:p w14:paraId="4FBA2DC9" w14:textId="77777777" w:rsidR="00664206" w:rsidRDefault="003F788D">
      <w:pPr>
        <w:pStyle w:val="BodyText"/>
        <w:spacing w:before="160"/>
        <w:ind w:left="720"/>
      </w:pPr>
      <w:r>
        <w:t>Potential areas for synergies include:</w:t>
      </w:r>
    </w:p>
    <w:p w14:paraId="347B46FF" w14:textId="77777777" w:rsidR="00664206" w:rsidRDefault="003F788D">
      <w:pPr>
        <w:pStyle w:val="ListParagraph"/>
        <w:numPr>
          <w:ilvl w:val="0"/>
          <w:numId w:val="2"/>
        </w:numPr>
        <w:tabs>
          <w:tab w:val="left" w:pos="1440"/>
          <w:tab w:val="left" w:pos="1441"/>
        </w:tabs>
        <w:spacing w:before="2"/>
        <w:ind w:hanging="361"/>
      </w:pPr>
      <w:r>
        <w:t>Data flow from national to international</w:t>
      </w:r>
      <w:r>
        <w:rPr>
          <w:spacing w:val="-9"/>
        </w:rPr>
        <w:t xml:space="preserve"> </w:t>
      </w:r>
      <w:r>
        <w:t>level;</w:t>
      </w:r>
    </w:p>
    <w:p w14:paraId="785F6958" w14:textId="77777777" w:rsidR="00664206" w:rsidRDefault="003F788D">
      <w:pPr>
        <w:pStyle w:val="ListParagraph"/>
        <w:numPr>
          <w:ilvl w:val="0"/>
          <w:numId w:val="2"/>
        </w:numPr>
        <w:tabs>
          <w:tab w:val="left" w:pos="1440"/>
          <w:tab w:val="left" w:pos="1441"/>
        </w:tabs>
        <w:spacing w:before="36"/>
        <w:ind w:hanging="361"/>
      </w:pPr>
      <w:r>
        <w:t>Timing of</w:t>
      </w:r>
      <w:r>
        <w:rPr>
          <w:spacing w:val="-1"/>
        </w:rPr>
        <w:t xml:space="preserve"> </w:t>
      </w:r>
      <w:r>
        <w:t>analyses;</w:t>
      </w:r>
    </w:p>
    <w:p w14:paraId="7F594475" w14:textId="77777777" w:rsidR="00664206" w:rsidRDefault="003F788D">
      <w:pPr>
        <w:pStyle w:val="ListParagraph"/>
        <w:numPr>
          <w:ilvl w:val="0"/>
          <w:numId w:val="2"/>
        </w:numPr>
        <w:tabs>
          <w:tab w:val="left" w:pos="1440"/>
          <w:tab w:val="left" w:pos="1441"/>
        </w:tabs>
        <w:spacing w:before="37"/>
        <w:ind w:hanging="361"/>
      </w:pPr>
      <w:r>
        <w:t>Timing of international surveys.</w:t>
      </w:r>
    </w:p>
    <w:p w14:paraId="1F57AAE1" w14:textId="77777777" w:rsidR="00664206" w:rsidRDefault="00664206">
      <w:pPr>
        <w:pStyle w:val="BodyText"/>
        <w:spacing w:before="6"/>
        <w:rPr>
          <w:sz w:val="32"/>
        </w:rPr>
      </w:pPr>
    </w:p>
    <w:p w14:paraId="0143481E" w14:textId="77777777" w:rsidR="00664206" w:rsidRDefault="003F788D">
      <w:pPr>
        <w:pStyle w:val="Heading1"/>
        <w:spacing w:before="1"/>
      </w:pPr>
      <w:r>
        <w:t>Data flow</w:t>
      </w:r>
    </w:p>
    <w:p w14:paraId="0D325A3A" w14:textId="34B35CCD" w:rsidR="00664206" w:rsidRDefault="003F788D">
      <w:pPr>
        <w:pStyle w:val="BodyText"/>
        <w:spacing w:before="160"/>
        <w:ind w:left="720"/>
        <w:jc w:val="both"/>
      </w:pPr>
      <w:r>
        <w:t>Data flow from national level to international assessment is currently organised in three ways:</w:t>
      </w:r>
    </w:p>
    <w:p w14:paraId="5FBC26CE" w14:textId="5B07E6F8" w:rsidR="00664206" w:rsidRDefault="003F788D">
      <w:pPr>
        <w:pStyle w:val="ListParagraph"/>
        <w:numPr>
          <w:ilvl w:val="0"/>
          <w:numId w:val="1"/>
        </w:numPr>
        <w:tabs>
          <w:tab w:val="left" w:pos="1494"/>
        </w:tabs>
        <w:spacing w:before="4" w:line="276" w:lineRule="auto"/>
        <w:ind w:right="735"/>
        <w:jc w:val="both"/>
      </w:pPr>
      <w:r>
        <w:t>Submitting national data to international expert organisations for unified trend analysis (e.g. site-level IWC data to Wetlands International, site-level IWC and breeding seabird data to the OSPAR</w:t>
      </w:r>
      <w:r w:rsidR="008B0F33">
        <w:rPr>
          <w:rStyle w:val="FootnoteReference"/>
        </w:rPr>
        <w:footnoteReference w:id="5"/>
      </w:r>
      <w:r>
        <w:rPr>
          <w:spacing w:val="-6"/>
        </w:rPr>
        <w:t xml:space="preserve"> </w:t>
      </w:r>
      <w:r>
        <w:t>and</w:t>
      </w:r>
      <w:r>
        <w:rPr>
          <w:spacing w:val="-6"/>
        </w:rPr>
        <w:t xml:space="preserve"> </w:t>
      </w:r>
      <w:r>
        <w:t>HELCOM</w:t>
      </w:r>
      <w:r>
        <w:rPr>
          <w:spacing w:val="-5"/>
        </w:rPr>
        <w:t xml:space="preserve"> </w:t>
      </w:r>
      <w:r>
        <w:t>marine</w:t>
      </w:r>
      <w:r>
        <w:rPr>
          <w:spacing w:val="-6"/>
        </w:rPr>
        <w:t xml:space="preserve"> </w:t>
      </w:r>
      <w:r>
        <w:t>bird</w:t>
      </w:r>
      <w:r>
        <w:rPr>
          <w:spacing w:val="-5"/>
        </w:rPr>
        <w:t xml:space="preserve"> </w:t>
      </w:r>
      <w:r>
        <w:t>databases</w:t>
      </w:r>
      <w:r>
        <w:rPr>
          <w:spacing w:val="-5"/>
        </w:rPr>
        <w:t xml:space="preserve"> </w:t>
      </w:r>
      <w:r>
        <w:t>hosted</w:t>
      </w:r>
      <w:r>
        <w:rPr>
          <w:spacing w:val="-6"/>
        </w:rPr>
        <w:t xml:space="preserve"> </w:t>
      </w:r>
      <w:r>
        <w:t>by</w:t>
      </w:r>
      <w:r>
        <w:rPr>
          <w:spacing w:val="-6"/>
        </w:rPr>
        <w:t xml:space="preserve"> </w:t>
      </w:r>
      <w:r>
        <w:t>ICES,</w:t>
      </w:r>
      <w:r>
        <w:rPr>
          <w:spacing w:val="-6"/>
        </w:rPr>
        <w:t xml:space="preserve"> </w:t>
      </w:r>
      <w:r>
        <w:t>common</w:t>
      </w:r>
      <w:r>
        <w:rPr>
          <w:spacing w:val="-5"/>
        </w:rPr>
        <w:t xml:space="preserve"> </w:t>
      </w:r>
      <w:r>
        <w:t>breeding</w:t>
      </w:r>
      <w:r>
        <w:rPr>
          <w:spacing w:val="-9"/>
        </w:rPr>
        <w:t xml:space="preserve"> </w:t>
      </w:r>
      <w:r>
        <w:t>bird</w:t>
      </w:r>
      <w:r>
        <w:rPr>
          <w:spacing w:val="-6"/>
        </w:rPr>
        <w:t xml:space="preserve"> </w:t>
      </w:r>
      <w:r>
        <w:t>data</w:t>
      </w:r>
      <w:r>
        <w:rPr>
          <w:spacing w:val="-8"/>
        </w:rPr>
        <w:t xml:space="preserve"> </w:t>
      </w:r>
      <w:r>
        <w:t>to the PECBMS) resulting in (annual) population indices. These organisations can and do act as depositories of this data for further analysis in the context of other international</w:t>
      </w:r>
      <w:r>
        <w:rPr>
          <w:spacing w:val="-21"/>
        </w:rPr>
        <w:t xml:space="preserve"> </w:t>
      </w:r>
      <w:r>
        <w:t>treaties;</w:t>
      </w:r>
    </w:p>
    <w:p w14:paraId="502999F8" w14:textId="77777777" w:rsidR="00664206" w:rsidRDefault="003F788D">
      <w:pPr>
        <w:pStyle w:val="ListParagraph"/>
        <w:numPr>
          <w:ilvl w:val="0"/>
          <w:numId w:val="1"/>
        </w:numPr>
        <w:tabs>
          <w:tab w:val="left" w:pos="1494"/>
        </w:tabs>
        <w:spacing w:line="276" w:lineRule="auto"/>
        <w:ind w:right="733"/>
        <w:jc w:val="both"/>
      </w:pPr>
      <w:r>
        <w:t>Submitting</w:t>
      </w:r>
      <w:r>
        <w:rPr>
          <w:spacing w:val="-4"/>
        </w:rPr>
        <w:t xml:space="preserve"> </w:t>
      </w:r>
      <w:r>
        <w:t>national</w:t>
      </w:r>
      <w:r>
        <w:rPr>
          <w:spacing w:val="-3"/>
        </w:rPr>
        <w:t xml:space="preserve"> </w:t>
      </w:r>
      <w:r>
        <w:t>population</w:t>
      </w:r>
      <w:r>
        <w:rPr>
          <w:spacing w:val="-4"/>
        </w:rPr>
        <w:t xml:space="preserve"> </w:t>
      </w:r>
      <w:r>
        <w:t>size</w:t>
      </w:r>
      <w:r>
        <w:rPr>
          <w:spacing w:val="-2"/>
        </w:rPr>
        <w:t xml:space="preserve"> </w:t>
      </w:r>
      <w:r>
        <w:t>and</w:t>
      </w:r>
      <w:r>
        <w:rPr>
          <w:spacing w:val="-6"/>
        </w:rPr>
        <w:t xml:space="preserve"> </w:t>
      </w:r>
      <w:r>
        <w:t>trend</w:t>
      </w:r>
      <w:r>
        <w:rPr>
          <w:spacing w:val="-3"/>
        </w:rPr>
        <w:t xml:space="preserve"> </w:t>
      </w:r>
      <w:r>
        <w:t>estimates</w:t>
      </w:r>
      <w:r>
        <w:rPr>
          <w:spacing w:val="-1"/>
        </w:rPr>
        <w:t xml:space="preserve"> </w:t>
      </w:r>
      <w:r>
        <w:t>since</w:t>
      </w:r>
      <w:r>
        <w:rPr>
          <w:spacing w:val="-3"/>
        </w:rPr>
        <w:t xml:space="preserve"> </w:t>
      </w:r>
      <w:r>
        <w:t>1980</w:t>
      </w:r>
      <w:r>
        <w:rPr>
          <w:spacing w:val="-4"/>
        </w:rPr>
        <w:t xml:space="preserve"> </w:t>
      </w:r>
      <w:r>
        <w:t>and</w:t>
      </w:r>
      <w:r>
        <w:rPr>
          <w:spacing w:val="-3"/>
        </w:rPr>
        <w:t xml:space="preserve"> </w:t>
      </w:r>
      <w:r>
        <w:t>for</w:t>
      </w:r>
      <w:r>
        <w:rPr>
          <w:spacing w:val="-2"/>
        </w:rPr>
        <w:t xml:space="preserve"> </w:t>
      </w:r>
      <w:r>
        <w:t>the</w:t>
      </w:r>
      <w:r>
        <w:rPr>
          <w:spacing w:val="-3"/>
        </w:rPr>
        <w:t xml:space="preserve"> </w:t>
      </w:r>
      <w:r>
        <w:t>last</w:t>
      </w:r>
      <w:r>
        <w:rPr>
          <w:spacing w:val="-5"/>
        </w:rPr>
        <w:t xml:space="preserve"> </w:t>
      </w:r>
      <w:r>
        <w:t>12</w:t>
      </w:r>
      <w:r>
        <w:rPr>
          <w:spacing w:val="-3"/>
        </w:rPr>
        <w:t xml:space="preserve"> </w:t>
      </w:r>
      <w:r>
        <w:t>years</w:t>
      </w:r>
      <w:r>
        <w:rPr>
          <w:spacing w:val="-1"/>
        </w:rPr>
        <w:t xml:space="preserve"> </w:t>
      </w:r>
      <w:r>
        <w:t>to the EEA/BirdLife International/AEWA under the EU Birds Directive Article 12 reporting, European Red List of Birds and AEWA national reporting on population</w:t>
      </w:r>
      <w:r>
        <w:rPr>
          <w:spacing w:val="-11"/>
        </w:rPr>
        <w:t xml:space="preserve"> </w:t>
      </w:r>
      <w:r>
        <w:t>status.</w:t>
      </w:r>
    </w:p>
    <w:p w14:paraId="67049B41" w14:textId="77777777" w:rsidR="00664206" w:rsidRDefault="003F788D">
      <w:pPr>
        <w:pStyle w:val="ListParagraph"/>
        <w:numPr>
          <w:ilvl w:val="0"/>
          <w:numId w:val="1"/>
        </w:numPr>
        <w:tabs>
          <w:tab w:val="left" w:pos="1494"/>
        </w:tabs>
        <w:spacing w:line="278" w:lineRule="auto"/>
        <w:ind w:right="739"/>
        <w:jc w:val="both"/>
      </w:pPr>
      <w:r>
        <w:t>Based</w:t>
      </w:r>
      <w:r>
        <w:rPr>
          <w:spacing w:val="-4"/>
        </w:rPr>
        <w:t xml:space="preserve"> </w:t>
      </w:r>
      <w:r>
        <w:t>on</w:t>
      </w:r>
      <w:r>
        <w:rPr>
          <w:spacing w:val="-4"/>
        </w:rPr>
        <w:t xml:space="preserve"> </w:t>
      </w:r>
      <w:r>
        <w:t>the</w:t>
      </w:r>
      <w:r>
        <w:rPr>
          <w:spacing w:val="-3"/>
        </w:rPr>
        <w:t xml:space="preserve"> </w:t>
      </w:r>
      <w:r>
        <w:t>review</w:t>
      </w:r>
      <w:r>
        <w:rPr>
          <w:spacing w:val="-4"/>
        </w:rPr>
        <w:t xml:space="preserve"> </w:t>
      </w:r>
      <w:r>
        <w:t>of</w:t>
      </w:r>
      <w:r>
        <w:rPr>
          <w:spacing w:val="-5"/>
        </w:rPr>
        <w:t xml:space="preserve"> </w:t>
      </w:r>
      <w:r>
        <w:t>a</w:t>
      </w:r>
      <w:r>
        <w:rPr>
          <w:spacing w:val="-3"/>
        </w:rPr>
        <w:t xml:space="preserve"> </w:t>
      </w:r>
      <w:r>
        <w:t>wide</w:t>
      </w:r>
      <w:r>
        <w:rPr>
          <w:spacing w:val="-3"/>
        </w:rPr>
        <w:t xml:space="preserve"> </w:t>
      </w:r>
      <w:r>
        <w:t>range</w:t>
      </w:r>
      <w:r>
        <w:rPr>
          <w:spacing w:val="-6"/>
        </w:rPr>
        <w:t xml:space="preserve"> </w:t>
      </w:r>
      <w:r>
        <w:t>of</w:t>
      </w:r>
      <w:r>
        <w:rPr>
          <w:spacing w:val="-5"/>
        </w:rPr>
        <w:t xml:space="preserve"> </w:t>
      </w:r>
      <w:r>
        <w:t>available</w:t>
      </w:r>
      <w:r>
        <w:rPr>
          <w:spacing w:val="-6"/>
        </w:rPr>
        <w:t xml:space="preserve"> </w:t>
      </w:r>
      <w:r>
        <w:t>evidence:</w:t>
      </w:r>
      <w:r>
        <w:rPr>
          <w:spacing w:val="-5"/>
        </w:rPr>
        <w:t xml:space="preserve"> </w:t>
      </w:r>
      <w:r>
        <w:t>this</w:t>
      </w:r>
      <w:r>
        <w:rPr>
          <w:spacing w:val="-5"/>
        </w:rPr>
        <w:t xml:space="preserve"> </w:t>
      </w:r>
      <w:r>
        <w:t>route</w:t>
      </w:r>
      <w:r>
        <w:rPr>
          <w:spacing w:val="-6"/>
        </w:rPr>
        <w:t xml:space="preserve"> </w:t>
      </w:r>
      <w:r>
        <w:t>is</w:t>
      </w:r>
      <w:r>
        <w:rPr>
          <w:spacing w:val="-5"/>
        </w:rPr>
        <w:t xml:space="preserve"> </w:t>
      </w:r>
      <w:r>
        <w:t>followed</w:t>
      </w:r>
      <w:r>
        <w:rPr>
          <w:spacing w:val="-6"/>
        </w:rPr>
        <w:t xml:space="preserve"> </w:t>
      </w:r>
      <w:r>
        <w:t>by</w:t>
      </w:r>
      <w:r>
        <w:rPr>
          <w:spacing w:val="-4"/>
        </w:rPr>
        <w:t xml:space="preserve"> </w:t>
      </w:r>
      <w:r>
        <w:t>the</w:t>
      </w:r>
      <w:r>
        <w:rPr>
          <w:spacing w:val="-6"/>
        </w:rPr>
        <w:t xml:space="preserve"> </w:t>
      </w:r>
      <w:r>
        <w:t xml:space="preserve">IUCN </w:t>
      </w:r>
      <w:r>
        <w:lastRenderedPageBreak/>
        <w:t>Red</w:t>
      </w:r>
      <w:r>
        <w:rPr>
          <w:spacing w:val="-14"/>
        </w:rPr>
        <w:t xml:space="preserve"> </w:t>
      </w:r>
      <w:r>
        <w:t>List,</w:t>
      </w:r>
      <w:r>
        <w:rPr>
          <w:spacing w:val="-16"/>
        </w:rPr>
        <w:t xml:space="preserve"> </w:t>
      </w:r>
      <w:r>
        <w:t>the</w:t>
      </w:r>
      <w:r>
        <w:rPr>
          <w:spacing w:val="-14"/>
        </w:rPr>
        <w:t xml:space="preserve"> </w:t>
      </w:r>
      <w:r>
        <w:t>Waterbird</w:t>
      </w:r>
      <w:r>
        <w:rPr>
          <w:spacing w:val="-13"/>
        </w:rPr>
        <w:t xml:space="preserve"> </w:t>
      </w:r>
      <w:r>
        <w:t>Population</w:t>
      </w:r>
      <w:r>
        <w:rPr>
          <w:spacing w:val="-13"/>
        </w:rPr>
        <w:t xml:space="preserve"> </w:t>
      </w:r>
      <w:r>
        <w:t>Estimates</w:t>
      </w:r>
      <w:r>
        <w:rPr>
          <w:spacing w:val="-14"/>
        </w:rPr>
        <w:t xml:space="preserve"> </w:t>
      </w:r>
      <w:r>
        <w:t>and</w:t>
      </w:r>
      <w:r>
        <w:rPr>
          <w:spacing w:val="-13"/>
        </w:rPr>
        <w:t xml:space="preserve"> </w:t>
      </w:r>
      <w:r>
        <w:t>the</w:t>
      </w:r>
      <w:r>
        <w:rPr>
          <w:spacing w:val="-14"/>
        </w:rPr>
        <w:t xml:space="preserve"> </w:t>
      </w:r>
      <w:r>
        <w:t>AEWA</w:t>
      </w:r>
      <w:r>
        <w:rPr>
          <w:spacing w:val="-14"/>
        </w:rPr>
        <w:t xml:space="preserve"> </w:t>
      </w:r>
      <w:r>
        <w:t>Conservation</w:t>
      </w:r>
      <w:r>
        <w:rPr>
          <w:spacing w:val="-13"/>
        </w:rPr>
        <w:t xml:space="preserve"> </w:t>
      </w:r>
      <w:r>
        <w:t>Status</w:t>
      </w:r>
      <w:r>
        <w:rPr>
          <w:spacing w:val="-14"/>
        </w:rPr>
        <w:t xml:space="preserve"> </w:t>
      </w:r>
      <w:r>
        <w:t>Assessment.</w:t>
      </w:r>
    </w:p>
    <w:p w14:paraId="36C4F67D" w14:textId="77777777" w:rsidR="00664206" w:rsidRDefault="00664206">
      <w:pPr>
        <w:pStyle w:val="BodyText"/>
        <w:spacing w:before="3"/>
        <w:rPr>
          <w:sz w:val="21"/>
        </w:rPr>
      </w:pPr>
    </w:p>
    <w:p w14:paraId="3D30E623" w14:textId="38700241" w:rsidR="00664206" w:rsidRDefault="003F788D">
      <w:pPr>
        <w:pStyle w:val="BodyText"/>
        <w:ind w:left="720" w:right="734"/>
        <w:jc w:val="both"/>
      </w:pPr>
      <w:r>
        <w:t>Data flow is not particularly problematic. Basically, all programme</w:t>
      </w:r>
      <w:r w:rsidR="001B13C2">
        <w:t>s</w:t>
      </w:r>
      <w:r>
        <w:t xml:space="preserve"> build on national monitoring schemes that are anyway needed for conservation and adaptive management of the species. However, monitoring schemes are geographically biased. There are relatively comprehensive monitoring</w:t>
      </w:r>
      <w:r>
        <w:rPr>
          <w:spacing w:val="-11"/>
        </w:rPr>
        <w:t xml:space="preserve"> </w:t>
      </w:r>
      <w:r>
        <w:t>schemes</w:t>
      </w:r>
      <w:r>
        <w:rPr>
          <w:spacing w:val="-9"/>
        </w:rPr>
        <w:t xml:space="preserve"> </w:t>
      </w:r>
      <w:r>
        <w:t>in</w:t>
      </w:r>
      <w:r>
        <w:rPr>
          <w:spacing w:val="-10"/>
        </w:rPr>
        <w:t xml:space="preserve"> </w:t>
      </w:r>
      <w:r>
        <w:t>Northwest</w:t>
      </w:r>
      <w:r>
        <w:rPr>
          <w:spacing w:val="-9"/>
        </w:rPr>
        <w:t xml:space="preserve"> </w:t>
      </w:r>
      <w:r w:rsidR="008B0F33">
        <w:t>Europe but</w:t>
      </w:r>
      <w:r>
        <w:rPr>
          <w:spacing w:val="-9"/>
        </w:rPr>
        <w:t xml:space="preserve"> </w:t>
      </w:r>
      <w:r>
        <w:t>breeding</w:t>
      </w:r>
      <w:r>
        <w:rPr>
          <w:spacing w:val="-12"/>
        </w:rPr>
        <w:t xml:space="preserve"> </w:t>
      </w:r>
      <w:r>
        <w:t>bird</w:t>
      </w:r>
      <w:r>
        <w:rPr>
          <w:spacing w:val="-12"/>
        </w:rPr>
        <w:t xml:space="preserve"> </w:t>
      </w:r>
      <w:r>
        <w:t>monitoring</w:t>
      </w:r>
      <w:r>
        <w:rPr>
          <w:spacing w:val="-10"/>
        </w:rPr>
        <w:t xml:space="preserve"> </w:t>
      </w:r>
      <w:r>
        <w:t>schemes</w:t>
      </w:r>
      <w:r>
        <w:rPr>
          <w:spacing w:val="-9"/>
        </w:rPr>
        <w:t xml:space="preserve"> </w:t>
      </w:r>
      <w:r>
        <w:t>are</w:t>
      </w:r>
      <w:r>
        <w:rPr>
          <w:spacing w:val="-9"/>
        </w:rPr>
        <w:t xml:space="preserve"> </w:t>
      </w:r>
      <w:r>
        <w:t>fundamentally</w:t>
      </w:r>
      <w:r>
        <w:rPr>
          <w:spacing w:val="-10"/>
        </w:rPr>
        <w:t xml:space="preserve"> </w:t>
      </w:r>
      <w:r>
        <w:t xml:space="preserve">not existent for most </w:t>
      </w:r>
      <w:r w:rsidR="00070860">
        <w:t xml:space="preserve">populations </w:t>
      </w:r>
      <w:r>
        <w:t>breeding in West Siberia, Asia and Africa</w:t>
      </w:r>
      <w:r w:rsidR="00F303E6">
        <w:t xml:space="preserve"> at scales that are </w:t>
      </w:r>
      <w:r w:rsidR="00F303E6">
        <w:rPr>
          <w:spacing w:val="-9"/>
        </w:rPr>
        <w:t>suitable to monitor population status</w:t>
      </w:r>
      <w:r>
        <w:t>. Hence, there is not much to build on further analysis. It is also important to highlight that in these regions, apart from Ramsar and the CBD, there are no conservation instruments that would require monitoring</w:t>
      </w:r>
      <w:r>
        <w:rPr>
          <w:spacing w:val="-10"/>
        </w:rPr>
        <w:t xml:space="preserve"> </w:t>
      </w:r>
      <w:r>
        <w:t>data.</w:t>
      </w:r>
    </w:p>
    <w:p w14:paraId="17F9A68E" w14:textId="77777777" w:rsidR="00664206" w:rsidRDefault="00664206">
      <w:pPr>
        <w:pStyle w:val="BodyText"/>
        <w:spacing w:before="5"/>
        <w:rPr>
          <w:sz w:val="31"/>
        </w:rPr>
      </w:pPr>
    </w:p>
    <w:p w14:paraId="5F776742" w14:textId="77777777" w:rsidR="00664206" w:rsidRDefault="003F788D">
      <w:pPr>
        <w:pStyle w:val="Heading1"/>
        <w:jc w:val="both"/>
      </w:pPr>
      <w:r>
        <w:t>Timing of analyses</w:t>
      </w:r>
    </w:p>
    <w:p w14:paraId="02C1285F" w14:textId="6CB9F524" w:rsidR="00664206" w:rsidRDefault="003F788D">
      <w:pPr>
        <w:pStyle w:val="BodyText"/>
        <w:spacing w:before="160"/>
        <w:ind w:left="720" w:right="733"/>
        <w:jc w:val="both"/>
      </w:pPr>
      <w:r>
        <w:t>The different processes operate with different reporting timetables (Table 3). It shows that there is already a good alignment between the EU/European reporting and the AEWA national reporting. Monitoring of common breeding birds and wintering waterbirds, which collect data annually, are compatible with any reporting timetables. Compatibility with the timetable of treaties that cover a smaller part of the Agreement Area and a relatively small number of species (HELCOM, OSPAR, CAFF) is less of a concern. Most of the trend assessments under the</w:t>
      </w:r>
      <w:r w:rsidR="00DA230A">
        <w:t xml:space="preserve"> first two</w:t>
      </w:r>
      <w:r>
        <w:t xml:space="preserve"> instruments build on annually collected data and they do not focus on population size estimates.</w:t>
      </w:r>
    </w:p>
    <w:p w14:paraId="47366C60" w14:textId="77777777" w:rsidR="00664206" w:rsidRDefault="00664206">
      <w:pPr>
        <w:pStyle w:val="BodyText"/>
        <w:spacing w:before="1"/>
        <w:rPr>
          <w:sz w:val="24"/>
        </w:rPr>
      </w:pPr>
    </w:p>
    <w:p w14:paraId="0DE86AA2" w14:textId="41C9ED0D" w:rsidR="00664206" w:rsidRDefault="003F788D">
      <w:pPr>
        <w:pStyle w:val="Heading2"/>
        <w:spacing w:before="1"/>
        <w:ind w:right="733"/>
      </w:pPr>
      <w:r>
        <w:t>The ongoing work on identifying monitoring priorities will look at populations that are currently insufficiently monitored and will recommend populations and countries that should be priorities for the future development of monitoring and survey activities under AEWA.</w:t>
      </w:r>
    </w:p>
    <w:p w14:paraId="7A97F631" w14:textId="32CCBA46" w:rsidR="0079676F" w:rsidRDefault="0079676F">
      <w:pPr>
        <w:pStyle w:val="Heading2"/>
        <w:spacing w:before="1"/>
        <w:ind w:right="733"/>
      </w:pPr>
    </w:p>
    <w:p w14:paraId="7312EEA9" w14:textId="094C23C9" w:rsidR="0079676F" w:rsidRDefault="0079676F">
      <w:pPr>
        <w:pStyle w:val="Heading2"/>
        <w:spacing w:before="1"/>
        <w:ind w:right="733"/>
        <w:rPr>
          <w:b/>
          <w:bCs/>
        </w:rPr>
      </w:pPr>
      <w:r w:rsidRPr="00634B66">
        <w:rPr>
          <w:b/>
          <w:bCs/>
        </w:rPr>
        <w:t xml:space="preserve">Potential </w:t>
      </w:r>
      <w:r w:rsidR="00D47B4F" w:rsidRPr="00634B66">
        <w:rPr>
          <w:b/>
          <w:bCs/>
        </w:rPr>
        <w:t>options to further strengthen synergies</w:t>
      </w:r>
      <w:r w:rsidR="00637B6B" w:rsidRPr="00634B66">
        <w:rPr>
          <w:b/>
          <w:bCs/>
        </w:rPr>
        <w:t xml:space="preserve"> with other processes</w:t>
      </w:r>
    </w:p>
    <w:p w14:paraId="490578DC" w14:textId="7F930063" w:rsidR="00637B6B" w:rsidRDefault="00637B6B">
      <w:pPr>
        <w:pStyle w:val="Heading2"/>
        <w:spacing w:before="1"/>
        <w:ind w:right="733"/>
        <w:rPr>
          <w:b/>
          <w:bCs/>
        </w:rPr>
      </w:pPr>
    </w:p>
    <w:p w14:paraId="316170DD" w14:textId="246D0E2A" w:rsidR="00637B6B" w:rsidRPr="00634B66" w:rsidRDefault="00637B6B" w:rsidP="00C4129B">
      <w:pPr>
        <w:pStyle w:val="BodyText"/>
        <w:ind w:left="720" w:right="733"/>
        <w:jc w:val="both"/>
        <w:rPr>
          <w:b/>
          <w:bCs/>
        </w:rPr>
      </w:pPr>
      <w:r w:rsidRPr="00634B66">
        <w:rPr>
          <w:b/>
          <w:bCs/>
        </w:rPr>
        <w:t>Ramsar Convention on Wetlands</w:t>
      </w:r>
    </w:p>
    <w:p w14:paraId="5A9368CC" w14:textId="0F4ECE5C" w:rsidR="0089744D" w:rsidRDefault="00C22422" w:rsidP="00CF23C5">
      <w:pPr>
        <w:pStyle w:val="BodyText"/>
        <w:spacing w:before="160"/>
        <w:ind w:left="720" w:right="733"/>
        <w:jc w:val="both"/>
        <w:rPr>
          <w:lang w:val="en-GB"/>
        </w:rPr>
      </w:pPr>
      <w:r>
        <w:rPr>
          <w:lang w:val="en-GB"/>
        </w:rPr>
        <w:t xml:space="preserve">Ramsar Convention </w:t>
      </w:r>
      <w:r w:rsidR="004831B6" w:rsidRPr="004831B6">
        <w:rPr>
          <w:lang w:val="en-GB"/>
        </w:rPr>
        <w:t>Standing Committee</w:t>
      </w:r>
      <w:r w:rsidR="00CF23C5">
        <w:rPr>
          <w:lang w:val="en-GB"/>
        </w:rPr>
        <w:t xml:space="preserve"> </w:t>
      </w:r>
      <w:r w:rsidR="004831B6" w:rsidRPr="004831B6">
        <w:rPr>
          <w:lang w:val="en-GB"/>
        </w:rPr>
        <w:t>Decision SC58-06</w:t>
      </w:r>
      <w:r w:rsidR="00CF23C5">
        <w:rPr>
          <w:lang w:val="en-GB"/>
        </w:rPr>
        <w:t xml:space="preserve"> recommends that</w:t>
      </w:r>
      <w:r w:rsidR="004831B6">
        <w:rPr>
          <w:lang w:val="en-GB"/>
        </w:rPr>
        <w:t xml:space="preserve"> </w:t>
      </w:r>
      <w:r w:rsidR="004831B6" w:rsidRPr="004831B6">
        <w:rPr>
          <w:lang w:val="en-GB"/>
        </w:rPr>
        <w:t xml:space="preserve">the </w:t>
      </w:r>
      <w:r w:rsidR="00C63D3A">
        <w:t xml:space="preserve">Scientific and Technical Advisory Panel (STRP) </w:t>
      </w:r>
      <w:r w:rsidRPr="004831B6">
        <w:rPr>
          <w:lang w:val="en-GB"/>
        </w:rPr>
        <w:t xml:space="preserve">submit a proposal to update Criterion 6 of the Ramsar Criteria regarding the use of population estimates, </w:t>
      </w:r>
      <w:r w:rsidR="00CF23C5" w:rsidRPr="00CF23C5">
        <w:rPr>
          <w:lang w:val="en-GB"/>
        </w:rPr>
        <w:t>for the Committee to consider for submission to the Conference of Contracting Parties,</w:t>
      </w:r>
      <w:r w:rsidR="00CF23C5">
        <w:rPr>
          <w:lang w:val="en-GB"/>
        </w:rPr>
        <w:t xml:space="preserve"> </w:t>
      </w:r>
      <w:r w:rsidRPr="004831B6">
        <w:rPr>
          <w:lang w:val="en-GB"/>
        </w:rPr>
        <w:t>taking</w:t>
      </w:r>
      <w:r w:rsidR="00CF23C5">
        <w:rPr>
          <w:lang w:val="en-GB"/>
        </w:rPr>
        <w:t xml:space="preserve"> </w:t>
      </w:r>
      <w:r w:rsidRPr="004831B6">
        <w:rPr>
          <w:lang w:val="en-GB"/>
        </w:rPr>
        <w:t>into</w:t>
      </w:r>
      <w:r w:rsidR="00CF23C5">
        <w:rPr>
          <w:lang w:val="en-GB"/>
        </w:rPr>
        <w:t xml:space="preserve"> </w:t>
      </w:r>
      <w:r w:rsidRPr="004831B6">
        <w:rPr>
          <w:lang w:val="en-GB"/>
        </w:rPr>
        <w:t>account</w:t>
      </w:r>
      <w:r>
        <w:rPr>
          <w:lang w:val="en-GB"/>
        </w:rPr>
        <w:t xml:space="preserve"> </w:t>
      </w:r>
      <w:r w:rsidRPr="004831B6">
        <w:rPr>
          <w:lang w:val="en-GB"/>
        </w:rPr>
        <w:t>the need for Contracting Parties to have updated and dynamic information.</w:t>
      </w:r>
      <w:r>
        <w:rPr>
          <w:lang w:val="en-GB"/>
        </w:rPr>
        <w:t xml:space="preserve"> </w:t>
      </w:r>
      <w:r w:rsidR="004F33C8">
        <w:rPr>
          <w:lang w:val="en-GB"/>
        </w:rPr>
        <w:t xml:space="preserve">This should provide </w:t>
      </w:r>
      <w:r w:rsidR="004F33C8" w:rsidRPr="00C22422">
        <w:rPr>
          <w:lang w:val="en-GB"/>
        </w:rPr>
        <w:t>interim and long</w:t>
      </w:r>
      <w:r w:rsidR="004F33C8">
        <w:rPr>
          <w:lang w:val="en-GB"/>
        </w:rPr>
        <w:t>-</w:t>
      </w:r>
      <w:r w:rsidR="004F33C8" w:rsidRPr="00C22422">
        <w:rPr>
          <w:lang w:val="en-GB"/>
        </w:rPr>
        <w:t>term recommendations to Parties on the use of population estimates under criterion 6</w:t>
      </w:r>
      <w:r w:rsidR="004F33C8">
        <w:rPr>
          <w:lang w:val="en-GB"/>
        </w:rPr>
        <w:t xml:space="preserve">. The process is ongoing. </w:t>
      </w:r>
    </w:p>
    <w:p w14:paraId="03848541" w14:textId="77777777" w:rsidR="0064197B" w:rsidRPr="00A9782A" w:rsidRDefault="00954446" w:rsidP="4C5BE89A">
      <w:pPr>
        <w:pStyle w:val="BodyText"/>
        <w:spacing w:before="160"/>
        <w:ind w:left="720" w:right="733"/>
        <w:jc w:val="both"/>
        <w:rPr>
          <w:b/>
          <w:bCs/>
          <w:i/>
          <w:iCs/>
        </w:rPr>
      </w:pPr>
      <w:r w:rsidRPr="00634B66">
        <w:rPr>
          <w:b/>
          <w:bCs/>
          <w:i/>
          <w:iCs/>
        </w:rPr>
        <w:t>Recommendations:</w:t>
      </w:r>
      <w:r w:rsidRPr="00A9782A">
        <w:rPr>
          <w:b/>
          <w:bCs/>
          <w:i/>
          <w:iCs/>
        </w:rPr>
        <w:t xml:space="preserve"> </w:t>
      </w:r>
    </w:p>
    <w:p w14:paraId="0FD278FB" w14:textId="73D032A2" w:rsidR="00C36CEF" w:rsidRPr="00A9782A" w:rsidRDefault="00954446" w:rsidP="0064197B">
      <w:pPr>
        <w:pStyle w:val="BodyText"/>
        <w:numPr>
          <w:ilvl w:val="0"/>
          <w:numId w:val="4"/>
        </w:numPr>
        <w:spacing w:before="160"/>
        <w:ind w:right="733"/>
        <w:jc w:val="both"/>
        <w:rPr>
          <w:b/>
          <w:bCs/>
          <w:i/>
          <w:iCs/>
        </w:rPr>
      </w:pPr>
      <w:r w:rsidRPr="00A9782A">
        <w:rPr>
          <w:b/>
          <w:bCs/>
          <w:i/>
          <w:iCs/>
        </w:rPr>
        <w:t xml:space="preserve">It is </w:t>
      </w:r>
      <w:r w:rsidR="005F39C3" w:rsidRPr="00A9782A">
        <w:rPr>
          <w:b/>
          <w:bCs/>
          <w:i/>
          <w:iCs/>
        </w:rPr>
        <w:t xml:space="preserve">suggested that the </w:t>
      </w:r>
      <w:r w:rsidRPr="00A9782A">
        <w:rPr>
          <w:b/>
          <w:bCs/>
          <w:i/>
          <w:iCs/>
        </w:rPr>
        <w:t xml:space="preserve">AEWA Secretariat </w:t>
      </w:r>
      <w:r w:rsidR="005F39C3" w:rsidRPr="00A9782A">
        <w:rPr>
          <w:b/>
          <w:bCs/>
          <w:i/>
          <w:iCs/>
        </w:rPr>
        <w:t xml:space="preserve">engages with the Ramsar Secretariat proactively on the </w:t>
      </w:r>
      <w:r w:rsidR="004F33C8">
        <w:rPr>
          <w:b/>
          <w:bCs/>
          <w:i/>
          <w:iCs/>
        </w:rPr>
        <w:t>work of the STRP in relation to Criterion 6</w:t>
      </w:r>
      <w:r w:rsidR="00846A2E">
        <w:rPr>
          <w:b/>
          <w:bCs/>
          <w:i/>
          <w:iCs/>
        </w:rPr>
        <w:t>;</w:t>
      </w:r>
      <w:r w:rsidR="00C36CEF" w:rsidRPr="00A9782A">
        <w:rPr>
          <w:b/>
          <w:bCs/>
          <w:i/>
          <w:iCs/>
        </w:rPr>
        <w:t xml:space="preserve"> </w:t>
      </w:r>
    </w:p>
    <w:p w14:paraId="71274B19" w14:textId="4F0A078D" w:rsidR="00954446" w:rsidRPr="00A9782A" w:rsidRDefault="00C36CEF" w:rsidP="00A9782A">
      <w:pPr>
        <w:pStyle w:val="BodyText"/>
        <w:numPr>
          <w:ilvl w:val="0"/>
          <w:numId w:val="4"/>
        </w:numPr>
        <w:spacing w:before="160"/>
        <w:ind w:right="733"/>
        <w:jc w:val="both"/>
        <w:rPr>
          <w:b/>
          <w:bCs/>
          <w:i/>
          <w:iCs/>
        </w:rPr>
      </w:pPr>
      <w:r w:rsidRPr="00A9782A">
        <w:rPr>
          <w:b/>
          <w:bCs/>
          <w:i/>
          <w:iCs/>
        </w:rPr>
        <w:t xml:space="preserve">AEWA should </w:t>
      </w:r>
      <w:r w:rsidR="00D269B7" w:rsidRPr="00A9782A">
        <w:rPr>
          <w:b/>
          <w:bCs/>
          <w:i/>
          <w:iCs/>
        </w:rPr>
        <w:t xml:space="preserve">offer to contribute to the Waterbird Population Estimates </w:t>
      </w:r>
      <w:r w:rsidR="002034BF" w:rsidRPr="00A9782A">
        <w:rPr>
          <w:b/>
          <w:bCs/>
          <w:i/>
          <w:iCs/>
        </w:rPr>
        <w:t xml:space="preserve">(including the timely </w:t>
      </w:r>
      <w:r w:rsidRPr="00A9782A">
        <w:rPr>
          <w:b/>
          <w:bCs/>
          <w:i/>
          <w:iCs/>
        </w:rPr>
        <w:t xml:space="preserve">revision and </w:t>
      </w:r>
      <w:r w:rsidR="002034BF" w:rsidRPr="00A9782A">
        <w:rPr>
          <w:b/>
          <w:bCs/>
          <w:i/>
          <w:iCs/>
        </w:rPr>
        <w:t xml:space="preserve">update of the 1% thresholds) through the </w:t>
      </w:r>
      <w:r w:rsidR="00DB7EBC" w:rsidRPr="00A9782A">
        <w:rPr>
          <w:b/>
          <w:bCs/>
          <w:i/>
          <w:iCs/>
        </w:rPr>
        <w:t xml:space="preserve">AEWA </w:t>
      </w:r>
      <w:r w:rsidR="002034BF" w:rsidRPr="00A9782A">
        <w:rPr>
          <w:b/>
          <w:bCs/>
          <w:i/>
          <w:iCs/>
        </w:rPr>
        <w:t xml:space="preserve">Conservation Status </w:t>
      </w:r>
      <w:r w:rsidR="00DB7EBC" w:rsidRPr="00A9782A">
        <w:rPr>
          <w:b/>
          <w:bCs/>
          <w:i/>
          <w:iCs/>
        </w:rPr>
        <w:t>R</w:t>
      </w:r>
      <w:r w:rsidR="002034BF" w:rsidRPr="00A9782A">
        <w:rPr>
          <w:b/>
          <w:bCs/>
          <w:i/>
          <w:iCs/>
        </w:rPr>
        <w:t xml:space="preserve">eport </w:t>
      </w:r>
      <w:r w:rsidR="00DB7EBC" w:rsidRPr="00A9782A">
        <w:rPr>
          <w:b/>
          <w:bCs/>
          <w:i/>
          <w:iCs/>
        </w:rPr>
        <w:t>process</w:t>
      </w:r>
      <w:r w:rsidRPr="00A9782A">
        <w:rPr>
          <w:b/>
          <w:bCs/>
          <w:i/>
          <w:iCs/>
        </w:rPr>
        <w:t xml:space="preserve"> considering that this </w:t>
      </w:r>
      <w:r w:rsidR="00AC517A" w:rsidRPr="00A9782A">
        <w:rPr>
          <w:b/>
          <w:bCs/>
          <w:i/>
          <w:iCs/>
        </w:rPr>
        <w:t xml:space="preserve">is also </w:t>
      </w:r>
      <w:r w:rsidR="009B7ECE">
        <w:rPr>
          <w:b/>
          <w:bCs/>
          <w:i/>
          <w:iCs/>
        </w:rPr>
        <w:t xml:space="preserve">essential to </w:t>
      </w:r>
      <w:r w:rsidR="00C14AC8">
        <w:rPr>
          <w:b/>
          <w:bCs/>
          <w:i/>
          <w:iCs/>
        </w:rPr>
        <w:t xml:space="preserve">identify </w:t>
      </w:r>
      <w:r w:rsidR="009B7ECE">
        <w:rPr>
          <w:b/>
          <w:bCs/>
          <w:i/>
          <w:iCs/>
        </w:rPr>
        <w:t>internationally important sites for AEWA populations</w:t>
      </w:r>
      <w:r w:rsidR="007A333F">
        <w:rPr>
          <w:b/>
          <w:bCs/>
          <w:i/>
          <w:iCs/>
        </w:rPr>
        <w:t xml:space="preserve"> as the 1% threshold is one of the internationally recognised criteria of international importance</w:t>
      </w:r>
      <w:r w:rsidR="00DB7EBC" w:rsidRPr="00A9782A">
        <w:rPr>
          <w:b/>
          <w:bCs/>
          <w:i/>
          <w:iCs/>
        </w:rPr>
        <w:t xml:space="preserve">. </w:t>
      </w:r>
    </w:p>
    <w:p w14:paraId="150B423A" w14:textId="77777777" w:rsidR="00DB7EBC" w:rsidRDefault="00DB7EBC" w:rsidP="00637B6B">
      <w:pPr>
        <w:pStyle w:val="BodyText"/>
        <w:spacing w:before="160"/>
        <w:ind w:left="720" w:right="733"/>
        <w:jc w:val="both"/>
        <w:rPr>
          <w:b/>
          <w:bCs/>
        </w:rPr>
      </w:pPr>
    </w:p>
    <w:p w14:paraId="2BE1D42B" w14:textId="28F9DF46" w:rsidR="00DB7EBC" w:rsidRDefault="00DB7EBC" w:rsidP="00154991">
      <w:pPr>
        <w:pStyle w:val="BodyText"/>
        <w:keepNext/>
        <w:spacing w:before="160"/>
        <w:ind w:left="720" w:right="731"/>
        <w:jc w:val="both"/>
        <w:rPr>
          <w:b/>
          <w:bCs/>
        </w:rPr>
      </w:pPr>
      <w:r>
        <w:rPr>
          <w:b/>
          <w:bCs/>
        </w:rPr>
        <w:t>EU Birds Directive Article 12 reporting process</w:t>
      </w:r>
    </w:p>
    <w:p w14:paraId="14F73C00" w14:textId="1B5161D3" w:rsidR="00DB7EBC" w:rsidRDefault="00110A3B" w:rsidP="00637B6B">
      <w:pPr>
        <w:pStyle w:val="BodyText"/>
        <w:spacing w:before="160"/>
        <w:ind w:left="720" w:right="733"/>
        <w:jc w:val="both"/>
      </w:pPr>
      <w:r>
        <w:t xml:space="preserve">The </w:t>
      </w:r>
      <w:r w:rsidRPr="00A9782A">
        <w:t xml:space="preserve">AEWA </w:t>
      </w:r>
      <w:r w:rsidR="0032466B">
        <w:t xml:space="preserve">Conservation Status Reports already benefit from the coordination </w:t>
      </w:r>
      <w:r w:rsidR="00063B67">
        <w:t>with the EU Birds Directive Art</w:t>
      </w:r>
      <w:r w:rsidR="001E1D6A">
        <w:t>icle 12 reporting and the related European Red List of Birds processes</w:t>
      </w:r>
      <w:r w:rsidR="000E6EE0">
        <w:t xml:space="preserve">, which both take place </w:t>
      </w:r>
      <w:r w:rsidR="00843CFD">
        <w:t xml:space="preserve">in every six years. The AEWA national reporting on population status is </w:t>
      </w:r>
      <w:r w:rsidR="00F76495">
        <w:t xml:space="preserve">already </w:t>
      </w:r>
      <w:r w:rsidR="00843CFD">
        <w:t>aligned with this pro</w:t>
      </w:r>
      <w:r w:rsidR="00F76495">
        <w:t>cess both in terms of timing</w:t>
      </w:r>
      <w:r w:rsidR="64AFCAC5">
        <w:t>, format</w:t>
      </w:r>
      <w:r w:rsidR="00F76495">
        <w:t xml:space="preserve"> and </w:t>
      </w:r>
      <w:r w:rsidR="00C51BF9">
        <w:t xml:space="preserve">methodology. The AEWA reporting format and guidelines </w:t>
      </w:r>
      <w:r w:rsidR="00E9329F">
        <w:t xml:space="preserve">are a simplified version of the EU </w:t>
      </w:r>
      <w:r w:rsidR="00E94488">
        <w:t xml:space="preserve">format and guidelines. </w:t>
      </w:r>
      <w:r w:rsidR="001332AD">
        <w:t xml:space="preserve">The </w:t>
      </w:r>
      <w:r w:rsidR="005C57E8">
        <w:t xml:space="preserve">draft proposal on the AEWA site monitoring </w:t>
      </w:r>
      <w:r w:rsidR="31D6DE76">
        <w:t xml:space="preserve">framework </w:t>
      </w:r>
      <w:r w:rsidR="005C57E8">
        <w:t xml:space="preserve">also </w:t>
      </w:r>
      <w:r w:rsidR="00236C07">
        <w:t xml:space="preserve">recommends using </w:t>
      </w:r>
      <w:r w:rsidR="00E80945">
        <w:t xml:space="preserve">a simplified version of </w:t>
      </w:r>
      <w:r w:rsidR="005C57E8">
        <w:t xml:space="preserve">the EU </w:t>
      </w:r>
      <w:r w:rsidR="00E80945">
        <w:t>Natura 2000 Standard Data Form</w:t>
      </w:r>
      <w:r w:rsidR="00236C07">
        <w:t xml:space="preserve"> to </w:t>
      </w:r>
      <w:r w:rsidR="7424F410">
        <w:t xml:space="preserve">report on </w:t>
      </w:r>
      <w:r w:rsidR="00236C07">
        <w:t xml:space="preserve">the state, pressure and response measures at the </w:t>
      </w:r>
      <w:r w:rsidR="000A740E">
        <w:t xml:space="preserve">AEWA Flyway Network Sites as required by Paragraph 7.4.c of Annex 3 and by </w:t>
      </w:r>
      <w:r w:rsidR="00C640EA">
        <w:t>the AEWA Strategic Plan</w:t>
      </w:r>
      <w:r w:rsidR="00236C07">
        <w:t xml:space="preserve">. </w:t>
      </w:r>
      <w:r w:rsidR="00E94488">
        <w:t>The AEWA</w:t>
      </w:r>
      <w:r w:rsidR="0032466B">
        <w:t xml:space="preserve"> </w:t>
      </w:r>
      <w:r>
        <w:t xml:space="preserve">Secretariat </w:t>
      </w:r>
      <w:r w:rsidR="00E94488">
        <w:t xml:space="preserve">is </w:t>
      </w:r>
      <w:r>
        <w:t xml:space="preserve">already </w:t>
      </w:r>
      <w:r w:rsidR="00E94488">
        <w:t xml:space="preserve">represented on the </w:t>
      </w:r>
      <w:r w:rsidR="001332AD">
        <w:t xml:space="preserve">EU Expert Group on </w:t>
      </w:r>
      <w:r w:rsidR="00C640EA">
        <w:t xml:space="preserve">Reporting under the Nature Directives. </w:t>
      </w:r>
      <w:r w:rsidR="002338E8">
        <w:t xml:space="preserve">Besides of </w:t>
      </w:r>
      <w:r w:rsidR="002338E8">
        <w:lastRenderedPageBreak/>
        <w:t xml:space="preserve">exploring synergies related to content, it might be also possible to explore synergies concerning the </w:t>
      </w:r>
      <w:r w:rsidR="00433F36">
        <w:t>reporting tools, which seem to work better than the AEWA reporting tool and could ensure a more s</w:t>
      </w:r>
      <w:r w:rsidR="0064197B">
        <w:t>eamless data flow.</w:t>
      </w:r>
      <w:r w:rsidR="00A66853">
        <w:t xml:space="preserve"> </w:t>
      </w:r>
    </w:p>
    <w:p w14:paraId="1C228BC2" w14:textId="77777777" w:rsidR="00C4129B" w:rsidRDefault="00C4129B" w:rsidP="00637B6B">
      <w:pPr>
        <w:pStyle w:val="BodyText"/>
        <w:spacing w:before="160"/>
        <w:ind w:left="720" w:right="733"/>
        <w:jc w:val="both"/>
      </w:pPr>
    </w:p>
    <w:p w14:paraId="72DFD358" w14:textId="03706D9A" w:rsidR="00AC517A" w:rsidRPr="00A9782A" w:rsidRDefault="00AC517A" w:rsidP="00637B6B">
      <w:pPr>
        <w:pStyle w:val="BodyText"/>
        <w:spacing w:before="160"/>
        <w:ind w:left="720" w:right="733"/>
        <w:jc w:val="both"/>
        <w:rPr>
          <w:b/>
          <w:bCs/>
          <w:i/>
          <w:iCs/>
        </w:rPr>
      </w:pPr>
      <w:r w:rsidRPr="00A9782A">
        <w:rPr>
          <w:b/>
          <w:bCs/>
          <w:i/>
          <w:iCs/>
        </w:rPr>
        <w:t xml:space="preserve">Recommendations: </w:t>
      </w:r>
    </w:p>
    <w:p w14:paraId="0B297149" w14:textId="65B1255F" w:rsidR="003C0215" w:rsidRPr="00A9782A" w:rsidRDefault="003C0215" w:rsidP="003C0215">
      <w:pPr>
        <w:pStyle w:val="BodyText"/>
        <w:numPr>
          <w:ilvl w:val="0"/>
          <w:numId w:val="5"/>
        </w:numPr>
        <w:spacing w:before="160"/>
        <w:ind w:right="733"/>
        <w:jc w:val="both"/>
        <w:rPr>
          <w:b/>
          <w:bCs/>
          <w:i/>
          <w:iCs/>
        </w:rPr>
      </w:pPr>
      <w:r w:rsidRPr="00A9782A">
        <w:rPr>
          <w:b/>
          <w:bCs/>
          <w:i/>
          <w:iCs/>
        </w:rPr>
        <w:t>Maintain aligned timing</w:t>
      </w:r>
      <w:r w:rsidR="001B738F" w:rsidRPr="00A9782A">
        <w:rPr>
          <w:b/>
          <w:bCs/>
          <w:i/>
          <w:iCs/>
        </w:rPr>
        <w:t xml:space="preserve"> and content</w:t>
      </w:r>
      <w:r w:rsidRPr="00A9782A">
        <w:rPr>
          <w:b/>
          <w:bCs/>
          <w:i/>
          <w:iCs/>
        </w:rPr>
        <w:t xml:space="preserve"> between the reporting under Art. 12 of the EU Birds Directive and the </w:t>
      </w:r>
      <w:r w:rsidR="001B738F" w:rsidRPr="00A9782A">
        <w:rPr>
          <w:b/>
          <w:bCs/>
          <w:i/>
          <w:iCs/>
        </w:rPr>
        <w:t>AEWA national population status report</w:t>
      </w:r>
      <w:r w:rsidR="00846A2E" w:rsidRPr="00A9782A">
        <w:rPr>
          <w:b/>
          <w:bCs/>
          <w:i/>
          <w:iCs/>
        </w:rPr>
        <w:t>;</w:t>
      </w:r>
      <w:r w:rsidR="001B738F" w:rsidRPr="00A9782A">
        <w:rPr>
          <w:b/>
          <w:bCs/>
          <w:i/>
          <w:iCs/>
        </w:rPr>
        <w:t xml:space="preserve"> </w:t>
      </w:r>
    </w:p>
    <w:p w14:paraId="2619E3D0" w14:textId="51EE8BB5" w:rsidR="00241D20" w:rsidRPr="00A9782A" w:rsidRDefault="00241D20" w:rsidP="4C5BE89A">
      <w:pPr>
        <w:pStyle w:val="BodyText"/>
        <w:numPr>
          <w:ilvl w:val="0"/>
          <w:numId w:val="5"/>
        </w:numPr>
        <w:spacing w:before="160"/>
        <w:ind w:right="733"/>
        <w:jc w:val="both"/>
        <w:rPr>
          <w:b/>
          <w:bCs/>
          <w:i/>
          <w:iCs/>
        </w:rPr>
      </w:pPr>
      <w:r w:rsidRPr="00A9782A">
        <w:rPr>
          <w:b/>
          <w:bCs/>
          <w:i/>
          <w:iCs/>
        </w:rPr>
        <w:t xml:space="preserve">Provide input </w:t>
      </w:r>
      <w:r w:rsidR="6C164A05" w:rsidRPr="4C5BE89A">
        <w:rPr>
          <w:b/>
          <w:bCs/>
          <w:i/>
          <w:iCs/>
        </w:rPr>
        <w:t xml:space="preserve">to the EU </w:t>
      </w:r>
      <w:r w:rsidR="0F8338DD" w:rsidRPr="4C5BE89A">
        <w:rPr>
          <w:b/>
          <w:bCs/>
          <w:i/>
          <w:iCs/>
        </w:rPr>
        <w:t xml:space="preserve">on </w:t>
      </w:r>
      <w:r w:rsidRPr="00A9782A">
        <w:rPr>
          <w:b/>
          <w:bCs/>
          <w:i/>
          <w:iCs/>
        </w:rPr>
        <w:t xml:space="preserve">the development of reporting </w:t>
      </w:r>
      <w:r w:rsidR="4977661C" w:rsidRPr="4C5BE89A">
        <w:rPr>
          <w:b/>
          <w:bCs/>
          <w:i/>
          <w:iCs/>
        </w:rPr>
        <w:t xml:space="preserve">formats and </w:t>
      </w:r>
      <w:r w:rsidRPr="00A9782A">
        <w:rPr>
          <w:b/>
          <w:bCs/>
          <w:i/>
          <w:iCs/>
        </w:rPr>
        <w:t>guidelines,</w:t>
      </w:r>
      <w:r w:rsidR="00162042" w:rsidRPr="00A9782A">
        <w:rPr>
          <w:b/>
          <w:bCs/>
          <w:i/>
          <w:iCs/>
        </w:rPr>
        <w:t xml:space="preserve"> including </w:t>
      </w:r>
      <w:r w:rsidR="00846A2E" w:rsidRPr="00A9782A">
        <w:rPr>
          <w:b/>
          <w:bCs/>
          <w:i/>
          <w:iCs/>
        </w:rPr>
        <w:t xml:space="preserve">harvest data collection and </w:t>
      </w:r>
      <w:r w:rsidR="00162042" w:rsidRPr="00A9782A">
        <w:rPr>
          <w:b/>
          <w:bCs/>
          <w:i/>
          <w:iCs/>
        </w:rPr>
        <w:t>selection of key wintering species</w:t>
      </w:r>
      <w:r w:rsidR="00846A2E" w:rsidRPr="00A9782A">
        <w:rPr>
          <w:b/>
          <w:bCs/>
          <w:i/>
          <w:iCs/>
        </w:rPr>
        <w:t>;</w:t>
      </w:r>
    </w:p>
    <w:p w14:paraId="7C8515D8" w14:textId="5114E44A" w:rsidR="00846A2E" w:rsidRDefault="00D00FED" w:rsidP="003C0215">
      <w:pPr>
        <w:pStyle w:val="BodyText"/>
        <w:numPr>
          <w:ilvl w:val="0"/>
          <w:numId w:val="5"/>
        </w:numPr>
        <w:spacing w:before="160"/>
        <w:ind w:right="733"/>
        <w:jc w:val="both"/>
        <w:rPr>
          <w:b/>
          <w:bCs/>
          <w:i/>
          <w:iCs/>
        </w:rPr>
      </w:pPr>
      <w:r w:rsidRPr="00A9782A">
        <w:rPr>
          <w:b/>
          <w:bCs/>
          <w:i/>
          <w:iCs/>
        </w:rPr>
        <w:t>Explore options with the EC</w:t>
      </w:r>
      <w:r w:rsidR="00D80ADF" w:rsidRPr="00A9782A">
        <w:rPr>
          <w:b/>
          <w:bCs/>
          <w:i/>
          <w:iCs/>
        </w:rPr>
        <w:t xml:space="preserve">, the </w:t>
      </w:r>
      <w:r w:rsidRPr="00A9782A">
        <w:rPr>
          <w:b/>
          <w:bCs/>
          <w:i/>
          <w:iCs/>
        </w:rPr>
        <w:t xml:space="preserve">EEA </w:t>
      </w:r>
      <w:r w:rsidR="00D80ADF" w:rsidRPr="00A9782A">
        <w:rPr>
          <w:b/>
          <w:bCs/>
          <w:i/>
          <w:iCs/>
        </w:rPr>
        <w:t xml:space="preserve">and BirdLife International </w:t>
      </w:r>
      <w:r w:rsidRPr="00A9782A">
        <w:rPr>
          <w:b/>
          <w:bCs/>
          <w:i/>
          <w:iCs/>
        </w:rPr>
        <w:t xml:space="preserve">concerning the </w:t>
      </w:r>
      <w:r w:rsidR="00D80ADF" w:rsidRPr="00A9782A">
        <w:rPr>
          <w:b/>
          <w:bCs/>
          <w:i/>
          <w:iCs/>
        </w:rPr>
        <w:t>management of data flow</w:t>
      </w:r>
      <w:r w:rsidR="00C00A2E" w:rsidRPr="00A9782A">
        <w:rPr>
          <w:b/>
          <w:bCs/>
          <w:i/>
          <w:iCs/>
        </w:rPr>
        <w:t xml:space="preserve"> to make national reporting easier. </w:t>
      </w:r>
    </w:p>
    <w:p w14:paraId="6B2EF885" w14:textId="77777777" w:rsidR="00354F38" w:rsidRDefault="00354F38" w:rsidP="00354F38">
      <w:pPr>
        <w:pStyle w:val="BodyText"/>
        <w:spacing w:before="160"/>
        <w:ind w:left="720" w:right="733"/>
        <w:jc w:val="both"/>
        <w:rPr>
          <w:b/>
          <w:bCs/>
        </w:rPr>
      </w:pPr>
    </w:p>
    <w:p w14:paraId="5E7E701D" w14:textId="77777777" w:rsidR="00E24EEE" w:rsidRDefault="00354F38" w:rsidP="00354F38">
      <w:pPr>
        <w:pStyle w:val="BodyText"/>
        <w:spacing w:before="160"/>
        <w:ind w:left="720" w:right="733"/>
        <w:jc w:val="both"/>
        <w:rPr>
          <w:b/>
          <w:bCs/>
        </w:rPr>
      </w:pPr>
      <w:r>
        <w:rPr>
          <w:b/>
          <w:bCs/>
        </w:rPr>
        <w:t xml:space="preserve">The EU Marine </w:t>
      </w:r>
      <w:r w:rsidR="00517F27">
        <w:rPr>
          <w:b/>
          <w:bCs/>
        </w:rPr>
        <w:t>Strategic Framework Directive (MSFD) Art</w:t>
      </w:r>
      <w:r w:rsidR="00E24EEE">
        <w:rPr>
          <w:b/>
          <w:bCs/>
        </w:rPr>
        <w:t xml:space="preserve">icle </w:t>
      </w:r>
      <w:r w:rsidR="00517F27">
        <w:rPr>
          <w:b/>
          <w:bCs/>
        </w:rPr>
        <w:t>8</w:t>
      </w:r>
      <w:r w:rsidR="00E24EEE">
        <w:rPr>
          <w:b/>
          <w:bCs/>
        </w:rPr>
        <w:t xml:space="preserve"> reporting process, HELCOM and OSPAR cluster</w:t>
      </w:r>
    </w:p>
    <w:p w14:paraId="1B95B654" w14:textId="45757F49" w:rsidR="00354F38" w:rsidRDefault="00667A43" w:rsidP="00E373D2">
      <w:pPr>
        <w:pStyle w:val="BodyText"/>
        <w:spacing w:before="160"/>
        <w:ind w:left="720" w:right="733"/>
        <w:jc w:val="both"/>
      </w:pPr>
      <w:r>
        <w:t xml:space="preserve">Monitoring and reporting under HELCOM and OSPAR </w:t>
      </w:r>
      <w:r w:rsidR="00F4754E">
        <w:t xml:space="preserve">on marine and coastal bird species is contributing to the EU Marine Strategic Framework Directive. </w:t>
      </w:r>
      <w:r w:rsidR="00CA2B10">
        <w:t xml:space="preserve">These cover a substantial number of species </w:t>
      </w:r>
      <w:r w:rsidR="003D1ECB">
        <w:t xml:space="preserve">and for some such as </w:t>
      </w:r>
      <w:r w:rsidR="002F18BF">
        <w:t>sea ducks</w:t>
      </w:r>
      <w:r w:rsidR="00144E07">
        <w:t xml:space="preserve"> </w:t>
      </w:r>
      <w:r w:rsidR="00E906EF">
        <w:t xml:space="preserve">(including Long-tailed Duck, Velvet </w:t>
      </w:r>
      <w:r w:rsidR="002F18BF">
        <w:t>Scoter</w:t>
      </w:r>
      <w:r w:rsidR="00E906EF">
        <w:t xml:space="preserve"> and Common Eider) the offshore </w:t>
      </w:r>
      <w:r w:rsidR="00355F21">
        <w:t xml:space="preserve">surveys conducted to contribute to these reporting processes </w:t>
      </w:r>
      <w:r w:rsidR="00E906EF">
        <w:t xml:space="preserve">represent </w:t>
      </w:r>
      <w:r w:rsidR="00DA506C">
        <w:t xml:space="preserve">potentially </w:t>
      </w:r>
      <w:r w:rsidR="00355F21">
        <w:t>the best available</w:t>
      </w:r>
      <w:r w:rsidR="00DA506C">
        <w:t xml:space="preserve"> information to support the relevant species action plans. </w:t>
      </w:r>
      <w:r w:rsidR="007E4A7D">
        <w:t xml:space="preserve">However, </w:t>
      </w:r>
      <w:r w:rsidR="00173AE1">
        <w:t xml:space="preserve">the assessment </w:t>
      </w:r>
      <w:r w:rsidR="003B08BA">
        <w:t>processes are coordinated by regional seas such as the Baltic Sea and North Sea separately</w:t>
      </w:r>
      <w:r w:rsidR="0047400B">
        <w:t xml:space="preserve"> and this does not match population boundaries of AEWA populations. </w:t>
      </w:r>
      <w:r w:rsidR="002F18BF">
        <w:t xml:space="preserve">Luckily, the whole cluster is </w:t>
      </w:r>
      <w:r w:rsidR="00E373D2">
        <w:t xml:space="preserve">technically supported by the </w:t>
      </w:r>
      <w:r w:rsidR="00E373D2" w:rsidRPr="00845D78">
        <w:t>ICES/OSPAR/HELCOM Joint Working group on Marine Birds</w:t>
      </w:r>
      <w:r w:rsidR="00E373D2">
        <w:t xml:space="preserve"> (</w:t>
      </w:r>
      <w:r w:rsidR="00E373D2" w:rsidRPr="00845D78">
        <w:t>JWGBIRD</w:t>
      </w:r>
      <w:r w:rsidR="00E373D2">
        <w:t>)</w:t>
      </w:r>
      <w:r w:rsidR="005349A8">
        <w:t>, which is also represented in the African-Eurasian Waterbird Monitoring Partnership</w:t>
      </w:r>
      <w:r w:rsidR="00E373D2">
        <w:t xml:space="preserve">. </w:t>
      </w:r>
    </w:p>
    <w:p w14:paraId="196AC9E6" w14:textId="0E23874E" w:rsidR="007458A7" w:rsidRPr="00845D78" w:rsidRDefault="007458A7" w:rsidP="00E373D2">
      <w:pPr>
        <w:pStyle w:val="BodyText"/>
        <w:spacing w:before="160"/>
        <w:ind w:left="720" w:right="733"/>
        <w:jc w:val="both"/>
        <w:rPr>
          <w:b/>
          <w:bCs/>
          <w:i/>
          <w:iCs/>
        </w:rPr>
      </w:pPr>
      <w:r w:rsidRPr="00845D78">
        <w:rPr>
          <w:b/>
          <w:bCs/>
          <w:i/>
          <w:iCs/>
        </w:rPr>
        <w:t xml:space="preserve">Recommendations: </w:t>
      </w:r>
    </w:p>
    <w:p w14:paraId="774B2A9A" w14:textId="77777777" w:rsidR="007B373B" w:rsidRPr="00845D78" w:rsidRDefault="007458A7" w:rsidP="007458A7">
      <w:pPr>
        <w:pStyle w:val="BodyText"/>
        <w:numPr>
          <w:ilvl w:val="0"/>
          <w:numId w:val="6"/>
        </w:numPr>
        <w:spacing w:before="160"/>
        <w:ind w:right="733"/>
        <w:jc w:val="both"/>
        <w:rPr>
          <w:b/>
          <w:bCs/>
          <w:i/>
          <w:iCs/>
        </w:rPr>
      </w:pPr>
      <w:r w:rsidRPr="00845D78">
        <w:rPr>
          <w:b/>
          <w:bCs/>
          <w:i/>
          <w:iCs/>
        </w:rPr>
        <w:t>Explore with JWGBIRD</w:t>
      </w:r>
      <w:r w:rsidR="005349A8" w:rsidRPr="00845D78">
        <w:rPr>
          <w:b/>
          <w:bCs/>
          <w:i/>
          <w:iCs/>
        </w:rPr>
        <w:t xml:space="preserve"> </w:t>
      </w:r>
      <w:r w:rsidR="00671D53" w:rsidRPr="00845D78">
        <w:rPr>
          <w:b/>
          <w:bCs/>
          <w:i/>
          <w:iCs/>
        </w:rPr>
        <w:t xml:space="preserve">how to integrate the results of population </w:t>
      </w:r>
      <w:r w:rsidR="00177888" w:rsidRPr="00845D78">
        <w:rPr>
          <w:b/>
          <w:bCs/>
          <w:i/>
          <w:iCs/>
        </w:rPr>
        <w:t xml:space="preserve">surveys </w:t>
      </w:r>
      <w:r w:rsidR="00671D53" w:rsidRPr="00845D78">
        <w:rPr>
          <w:b/>
          <w:bCs/>
          <w:i/>
          <w:iCs/>
        </w:rPr>
        <w:t>into the AEWA Conservation Status Reports</w:t>
      </w:r>
      <w:r w:rsidR="007B373B" w:rsidRPr="00845D78">
        <w:rPr>
          <w:b/>
          <w:bCs/>
          <w:i/>
          <w:iCs/>
        </w:rPr>
        <w:t>;</w:t>
      </w:r>
      <w:r w:rsidR="00671D53" w:rsidRPr="00845D78">
        <w:rPr>
          <w:b/>
          <w:bCs/>
          <w:i/>
          <w:iCs/>
        </w:rPr>
        <w:t xml:space="preserve"> </w:t>
      </w:r>
    </w:p>
    <w:p w14:paraId="040A6B98" w14:textId="5D1638D5" w:rsidR="007458A7" w:rsidRPr="00845D78" w:rsidRDefault="007B373B" w:rsidP="007458A7">
      <w:pPr>
        <w:pStyle w:val="BodyText"/>
        <w:numPr>
          <w:ilvl w:val="0"/>
          <w:numId w:val="6"/>
        </w:numPr>
        <w:spacing w:before="160"/>
        <w:ind w:right="733"/>
        <w:jc w:val="both"/>
        <w:rPr>
          <w:b/>
          <w:bCs/>
          <w:i/>
          <w:iCs/>
        </w:rPr>
      </w:pPr>
      <w:r w:rsidRPr="00845D78">
        <w:rPr>
          <w:b/>
          <w:bCs/>
          <w:i/>
          <w:iCs/>
        </w:rPr>
        <w:t xml:space="preserve">Collaborate on </w:t>
      </w:r>
      <w:r w:rsidR="00452690" w:rsidRPr="00845D78">
        <w:rPr>
          <w:b/>
          <w:bCs/>
          <w:i/>
          <w:iCs/>
        </w:rPr>
        <w:t xml:space="preserve">wintering </w:t>
      </w:r>
      <w:r w:rsidR="00014EFF" w:rsidRPr="00845D78">
        <w:rPr>
          <w:b/>
          <w:bCs/>
          <w:i/>
          <w:iCs/>
        </w:rPr>
        <w:t>Long-tailed Duck, Velvet Scoter and Common Eider</w:t>
      </w:r>
      <w:r w:rsidR="00452690" w:rsidRPr="00845D78">
        <w:rPr>
          <w:b/>
          <w:bCs/>
          <w:i/>
          <w:iCs/>
        </w:rPr>
        <w:t xml:space="preserve"> (and other sea duck) surveys that could also </w:t>
      </w:r>
      <w:r w:rsidR="00111B4A" w:rsidRPr="00845D78">
        <w:rPr>
          <w:b/>
          <w:bCs/>
          <w:i/>
          <w:iCs/>
        </w:rPr>
        <w:t>support certain monitoring requirements of the respective ISSAPs;</w:t>
      </w:r>
    </w:p>
    <w:p w14:paraId="388F2DDA" w14:textId="77777777" w:rsidR="00111B4A" w:rsidRPr="00321B0D" w:rsidRDefault="00111B4A" w:rsidP="00321B0D"/>
    <w:p w14:paraId="310474A8" w14:textId="77777777" w:rsidR="006C2A38" w:rsidRDefault="006C2A38" w:rsidP="00111B4A">
      <w:pPr>
        <w:pStyle w:val="BodyText"/>
        <w:spacing w:before="160"/>
        <w:ind w:left="720" w:right="733"/>
        <w:jc w:val="both"/>
        <w:rPr>
          <w:b/>
          <w:bCs/>
        </w:rPr>
      </w:pPr>
    </w:p>
    <w:p w14:paraId="2986DDAD" w14:textId="093AD4DA" w:rsidR="00BA66C8" w:rsidRDefault="371EA4D9" w:rsidP="00111B4A">
      <w:pPr>
        <w:pStyle w:val="BodyText"/>
        <w:spacing w:before="160"/>
        <w:ind w:left="720" w:right="733"/>
        <w:jc w:val="both"/>
        <w:rPr>
          <w:b/>
          <w:bCs/>
        </w:rPr>
      </w:pPr>
      <w:r w:rsidRPr="4C5BE89A">
        <w:rPr>
          <w:b/>
          <w:bCs/>
        </w:rPr>
        <w:t>Conservation of the</w:t>
      </w:r>
      <w:r w:rsidR="007D19CA" w:rsidRPr="4C5BE89A">
        <w:rPr>
          <w:b/>
          <w:bCs/>
        </w:rPr>
        <w:t xml:space="preserve"> Arctic Flora and Fauna</w:t>
      </w:r>
      <w:r w:rsidR="008315E5" w:rsidRPr="4C5BE89A">
        <w:rPr>
          <w:b/>
          <w:bCs/>
        </w:rPr>
        <w:t xml:space="preserve"> (CAFF)</w:t>
      </w:r>
    </w:p>
    <w:p w14:paraId="048CCDE6" w14:textId="400178E1" w:rsidR="00B41674" w:rsidRDefault="00627EC7" w:rsidP="00B41674">
      <w:pPr>
        <w:pStyle w:val="BodyText"/>
        <w:spacing w:before="160"/>
        <w:ind w:left="720" w:right="733"/>
        <w:jc w:val="both"/>
      </w:pPr>
      <w:r>
        <w:t xml:space="preserve">There is no specific monitoring protocol </w:t>
      </w:r>
      <w:r w:rsidR="00FE3378">
        <w:t xml:space="preserve">established under CAFF although it has </w:t>
      </w:r>
      <w:r w:rsidR="006D06C3">
        <w:t xml:space="preserve">an </w:t>
      </w:r>
      <w:r w:rsidR="00FE3378">
        <w:t xml:space="preserve">ambitious </w:t>
      </w:r>
      <w:r w:rsidR="00B41674">
        <w:t>Circumpolar Biodiversity Monitoring Programme (C</w:t>
      </w:r>
      <w:r w:rsidR="007F199C">
        <w:t>BMP)</w:t>
      </w:r>
      <w:r w:rsidR="008C19DE">
        <w:t xml:space="preserve"> and coordinated circumpolar monitoring plans</w:t>
      </w:r>
      <w:r w:rsidR="006D06C3">
        <w:t xml:space="preserve"> for Marine, Freshwater, Terrestrial and Coastal ecosystems</w:t>
      </w:r>
      <w:r w:rsidR="000D2C3A">
        <w:t>, including a specific seabird plan</w:t>
      </w:r>
      <w:r w:rsidR="008C19DE">
        <w:t>. Given the diversity within the Arctic, these plans focus on harmonization rather than standardization of monitoring</w:t>
      </w:r>
      <w:r w:rsidR="007F199C">
        <w:t xml:space="preserve">. </w:t>
      </w:r>
      <w:r w:rsidR="009A4BBE">
        <w:t>CBird has published a Circumpolar Seabird Monitoring Plan and launched an online Arctic Seabird Status Archive.</w:t>
      </w:r>
      <w:r w:rsidR="007F199C">
        <w:t xml:space="preserve"> </w:t>
      </w:r>
      <w:r w:rsidR="00ED02D6">
        <w:t xml:space="preserve">In the past, AEWA has </w:t>
      </w:r>
      <w:r w:rsidR="000D44F3">
        <w:t xml:space="preserve">commissioned </w:t>
      </w:r>
      <w:r w:rsidR="00ED02D6">
        <w:t>CAFF</w:t>
      </w:r>
      <w:r w:rsidR="008C19DE">
        <w:t>’s</w:t>
      </w:r>
      <w:r w:rsidR="00ED02D6">
        <w:t xml:space="preserve"> </w:t>
      </w:r>
      <w:r w:rsidR="008C19DE">
        <w:t>C</w:t>
      </w:r>
      <w:r w:rsidR="00ED02D6">
        <w:t xml:space="preserve">Bird </w:t>
      </w:r>
      <w:r w:rsidR="000D44F3">
        <w:t xml:space="preserve">to </w:t>
      </w:r>
      <w:r w:rsidR="00ED02D6">
        <w:t xml:space="preserve">produce seabird status assessments. However, </w:t>
      </w:r>
      <w:r w:rsidR="00EF6DD0">
        <w:t xml:space="preserve">the need for these has greatly diminished </w:t>
      </w:r>
      <w:r w:rsidR="00AC6079">
        <w:t xml:space="preserve">after the processes of </w:t>
      </w:r>
      <w:r w:rsidR="00EF6DD0">
        <w:t>the EU Birds Directive Article 12 report</w:t>
      </w:r>
      <w:r w:rsidR="249DE035">
        <w:t>ing</w:t>
      </w:r>
      <w:r w:rsidR="00EF6DD0">
        <w:t xml:space="preserve"> and </w:t>
      </w:r>
      <w:r w:rsidR="00AC6079">
        <w:t>European Red List of Birds were launched</w:t>
      </w:r>
      <w:r w:rsidR="00F56894">
        <w:t xml:space="preserve"> as these left only </w:t>
      </w:r>
      <w:r w:rsidR="00AB4C9B">
        <w:t>Canada and the Central Siberian Arctic not covered by these processes</w:t>
      </w:r>
      <w:r w:rsidR="00AC6079">
        <w:t xml:space="preserve">. </w:t>
      </w:r>
      <w:r w:rsidR="00971590">
        <w:t>On the other hand</w:t>
      </w:r>
      <w:r w:rsidR="3C3CDAB5">
        <w:t>,</w:t>
      </w:r>
      <w:r w:rsidR="00971590">
        <w:t xml:space="preserve"> the AEWA monitoring priorities review indicates that for a large number of Arctic-breeding waders, </w:t>
      </w:r>
      <w:r w:rsidR="006A514E">
        <w:t xml:space="preserve">data collected on the non-breeding grounds is unlikely to result in reliable population estimates because they are dispersed over large areas of Africa. </w:t>
      </w:r>
      <w:r w:rsidR="008D3D91">
        <w:t>In particular, CAFF’s Arctic Migratory Birds Initiative (AMBI) Work Plan 2019-2023</w:t>
      </w:r>
      <w:r w:rsidR="00F2775E">
        <w:t xml:space="preserve"> recognizes this in its African Eurasian Flyway, and</w:t>
      </w:r>
      <w:r w:rsidR="008D3D91">
        <w:t xml:space="preserve"> includes</w:t>
      </w:r>
      <w:r w:rsidR="00F2775E">
        <w:t xml:space="preserve"> the Objective to</w:t>
      </w:r>
      <w:r w:rsidR="008D3D91">
        <w:t xml:space="preserve"> “</w:t>
      </w:r>
      <w:r w:rsidR="00F2775E">
        <w:t>i</w:t>
      </w:r>
      <w:r w:rsidR="008D3D91">
        <w:t>ncrease quality and quantity of population status assessment data of Arctic breeding waterbirds in the African-Eurasian Flyway</w:t>
      </w:r>
      <w:r w:rsidR="00F2775E">
        <w:t>”, with th</w:t>
      </w:r>
      <w:r w:rsidR="00344A18">
        <w:t>e following actions</w:t>
      </w:r>
      <w:r w:rsidR="00F2775E">
        <w:t>: “A</w:t>
      </w:r>
      <w:r w:rsidR="008D3D91">
        <w:t xml:space="preserve">ction 1: Support filling knowledge gaps and strengthening monitoring of Arctic waterbirds in the breeding grounds of the flyway, including implementing CBMP in cooperation with </w:t>
      </w:r>
      <w:r w:rsidR="00344A18">
        <w:t xml:space="preserve">the </w:t>
      </w:r>
      <w:r w:rsidR="008D3D91">
        <w:t xml:space="preserve">Wadden Sea Secretariat and AEWA,” and “Action 2: Support improved population delineation of Arctic-breeding waders by collating Arctic breeding wader </w:t>
      </w:r>
      <w:r w:rsidR="008D3D91">
        <w:lastRenderedPageBreak/>
        <w:t xml:space="preserve">migration data (tracking, colour-marking, geolocator, ringing data, etc.) and presenting it on the CSN tool to improve flyway delineation data.” </w:t>
      </w:r>
      <w:r w:rsidR="006A514E">
        <w:t>Therefore</w:t>
      </w:r>
      <w:r w:rsidR="005D092F">
        <w:t xml:space="preserve">, CAFF </w:t>
      </w:r>
      <w:r w:rsidR="00344A18">
        <w:t xml:space="preserve">via the CBMP, AMBI and CBird </w:t>
      </w:r>
      <w:r w:rsidR="00F2775E">
        <w:t>can</w:t>
      </w:r>
      <w:r w:rsidR="008E5094">
        <w:t xml:space="preserve"> </w:t>
      </w:r>
      <w:r w:rsidR="005D092F">
        <w:t>play a</w:t>
      </w:r>
      <w:r w:rsidR="006A514E">
        <w:t>n important</w:t>
      </w:r>
      <w:r w:rsidR="005D092F">
        <w:t xml:space="preserve"> role in </w:t>
      </w:r>
      <w:r w:rsidR="008E5094">
        <w:t xml:space="preserve">improving </w:t>
      </w:r>
      <w:r w:rsidR="003302E0">
        <w:t xml:space="preserve">the quality of </w:t>
      </w:r>
      <w:r w:rsidR="008F1CF3">
        <w:t xml:space="preserve">seabird and wader monitoring on the breeding grounds and </w:t>
      </w:r>
      <w:r w:rsidR="008E5094">
        <w:t xml:space="preserve">coordinate </w:t>
      </w:r>
      <w:r w:rsidR="008F1CF3">
        <w:t>water- and seabirds at</w:t>
      </w:r>
      <w:r w:rsidR="008C19DE">
        <w:t>-</w:t>
      </w:r>
      <w:r w:rsidR="008F1CF3">
        <w:t xml:space="preserve">sea surveys to </w:t>
      </w:r>
      <w:r w:rsidR="00F54854">
        <w:t xml:space="preserve">complete the </w:t>
      </w:r>
      <w:r w:rsidR="008F1CF3">
        <w:t>identif</w:t>
      </w:r>
      <w:r w:rsidR="00F54854">
        <w:t xml:space="preserve">ication of internationally </w:t>
      </w:r>
      <w:r w:rsidR="008F1CF3">
        <w:t xml:space="preserve">important </w:t>
      </w:r>
      <w:r w:rsidR="00F54854">
        <w:t>marine sites</w:t>
      </w:r>
      <w:r w:rsidR="009F6A89">
        <w:t xml:space="preserve"> (links to the potential post-2020 30% global marine protected area </w:t>
      </w:r>
      <w:r w:rsidR="00BE4165">
        <w:t>target</w:t>
      </w:r>
      <w:r w:rsidR="009F6A89">
        <w:t>)</w:t>
      </w:r>
      <w:r w:rsidR="00F54854">
        <w:t xml:space="preserve">, which would be a particularly important issue in the light of </w:t>
      </w:r>
      <w:r w:rsidR="00EB0F40">
        <w:t xml:space="preserve">the ongoing northward range shift of some species, increasing marine traffic and oil </w:t>
      </w:r>
      <w:r w:rsidR="3893AA4C">
        <w:t>exploration</w:t>
      </w:r>
      <w:r w:rsidR="00A77E50">
        <w:t xml:space="preserve">. </w:t>
      </w:r>
    </w:p>
    <w:p w14:paraId="61607817" w14:textId="56ADCE9C" w:rsidR="00A77E50" w:rsidRPr="00321B0D" w:rsidRDefault="00A77E50" w:rsidP="00B41674">
      <w:pPr>
        <w:pStyle w:val="BodyText"/>
        <w:spacing w:before="160"/>
        <w:ind w:left="720" w:right="733"/>
        <w:jc w:val="both"/>
        <w:rPr>
          <w:b/>
          <w:bCs/>
          <w:i/>
          <w:iCs/>
        </w:rPr>
      </w:pPr>
      <w:r w:rsidRPr="00321B0D">
        <w:rPr>
          <w:b/>
          <w:bCs/>
          <w:i/>
          <w:iCs/>
        </w:rPr>
        <w:t>Recommendations:</w:t>
      </w:r>
    </w:p>
    <w:p w14:paraId="64DC0DD0" w14:textId="27080DB7" w:rsidR="00A77E50" w:rsidRPr="00321B0D" w:rsidRDefault="00A77E50" w:rsidP="4C5BE89A">
      <w:pPr>
        <w:pStyle w:val="BodyText"/>
        <w:numPr>
          <w:ilvl w:val="0"/>
          <w:numId w:val="7"/>
        </w:numPr>
        <w:spacing w:before="160"/>
        <w:ind w:right="733"/>
        <w:jc w:val="both"/>
        <w:rPr>
          <w:b/>
          <w:bCs/>
          <w:i/>
          <w:iCs/>
        </w:rPr>
      </w:pPr>
      <w:r w:rsidRPr="00321B0D">
        <w:rPr>
          <w:b/>
          <w:bCs/>
          <w:i/>
          <w:iCs/>
        </w:rPr>
        <w:t>Strengthen on</w:t>
      </w:r>
      <w:r w:rsidR="0039101F" w:rsidRPr="00321B0D">
        <w:rPr>
          <w:b/>
          <w:bCs/>
          <w:i/>
          <w:iCs/>
        </w:rPr>
        <w:t xml:space="preserve">-the-ground </w:t>
      </w:r>
      <w:r w:rsidRPr="00321B0D">
        <w:rPr>
          <w:b/>
          <w:bCs/>
          <w:i/>
          <w:iCs/>
        </w:rPr>
        <w:t>monitoring of Arctic</w:t>
      </w:r>
      <w:r w:rsidR="072ABA8D" w:rsidRPr="4C5BE89A">
        <w:rPr>
          <w:b/>
          <w:bCs/>
          <w:i/>
          <w:iCs/>
        </w:rPr>
        <w:t>-</w:t>
      </w:r>
      <w:r w:rsidRPr="00321B0D">
        <w:rPr>
          <w:b/>
          <w:bCs/>
          <w:i/>
          <w:iCs/>
        </w:rPr>
        <w:t xml:space="preserve">breeding </w:t>
      </w:r>
      <w:r w:rsidR="00787005" w:rsidRPr="00321B0D">
        <w:rPr>
          <w:b/>
          <w:bCs/>
          <w:i/>
          <w:iCs/>
        </w:rPr>
        <w:t>sea</w:t>
      </w:r>
      <w:r w:rsidRPr="00321B0D">
        <w:rPr>
          <w:b/>
          <w:bCs/>
          <w:i/>
          <w:iCs/>
        </w:rPr>
        <w:t>birds</w:t>
      </w:r>
      <w:r w:rsidR="00787005" w:rsidRPr="00321B0D">
        <w:rPr>
          <w:b/>
          <w:bCs/>
          <w:i/>
          <w:iCs/>
        </w:rPr>
        <w:t xml:space="preserve"> and waders;</w:t>
      </w:r>
    </w:p>
    <w:p w14:paraId="7299EDA1" w14:textId="3DC236DF" w:rsidR="00787005" w:rsidRDefault="009F6A89" w:rsidP="00321B0D">
      <w:pPr>
        <w:pStyle w:val="BodyText"/>
        <w:numPr>
          <w:ilvl w:val="0"/>
          <w:numId w:val="7"/>
        </w:numPr>
        <w:spacing w:before="160"/>
        <w:ind w:right="733"/>
        <w:jc w:val="both"/>
      </w:pPr>
      <w:r w:rsidRPr="00321B0D">
        <w:rPr>
          <w:b/>
          <w:bCs/>
          <w:i/>
          <w:iCs/>
        </w:rPr>
        <w:t xml:space="preserve">Explore options for the identification and monitoring of internationally important sites. </w:t>
      </w:r>
    </w:p>
    <w:p w14:paraId="64C496F5" w14:textId="4B7F9763" w:rsidR="00174E18" w:rsidRDefault="00174E18" w:rsidP="00111B4A">
      <w:pPr>
        <w:pStyle w:val="BodyText"/>
        <w:spacing w:before="160"/>
        <w:ind w:left="720" w:right="733"/>
        <w:jc w:val="both"/>
        <w:rPr>
          <w:b/>
          <w:bCs/>
        </w:rPr>
      </w:pPr>
    </w:p>
    <w:p w14:paraId="78DF9032" w14:textId="181484AE" w:rsidR="00BE4165" w:rsidRPr="004B4621" w:rsidRDefault="00F33243" w:rsidP="00111B4A">
      <w:pPr>
        <w:pStyle w:val="BodyText"/>
        <w:spacing w:before="160"/>
        <w:ind w:left="720" w:right="733"/>
        <w:jc w:val="both"/>
        <w:rPr>
          <w:b/>
          <w:bCs/>
          <w:sz w:val="24"/>
          <w:szCs w:val="24"/>
        </w:rPr>
      </w:pPr>
      <w:r w:rsidRPr="004B4621">
        <w:rPr>
          <w:b/>
          <w:sz w:val="21"/>
          <w:szCs w:val="24"/>
        </w:rPr>
        <w:t>Trilateral Wadden Sea Cooperation</w:t>
      </w:r>
    </w:p>
    <w:p w14:paraId="43A4BE87" w14:textId="525BA25A" w:rsidR="008B0F33" w:rsidRPr="008B0F33" w:rsidRDefault="001125D8" w:rsidP="008B0F33">
      <w:pPr>
        <w:pStyle w:val="BodyText"/>
        <w:spacing w:before="160"/>
        <w:ind w:left="720" w:right="733"/>
        <w:jc w:val="both"/>
      </w:pPr>
      <w:r w:rsidRPr="004B4621">
        <w:t xml:space="preserve">The </w:t>
      </w:r>
      <w:r>
        <w:t xml:space="preserve">Trilateral Wadden Sea Cooperation has an ongoing </w:t>
      </w:r>
      <w:r w:rsidR="00F461C4">
        <w:t xml:space="preserve">joint monitoring programme and its results feed into the EU Birds Directive Article 12 reporting and also into the reporting under OSPAR. </w:t>
      </w:r>
      <w:r w:rsidR="007458B0">
        <w:t>However, the Wadden Sea Flyway Initiative also supports a programme to build capacity for waterbird monitoring</w:t>
      </w:r>
      <w:r w:rsidR="5AA2FB29">
        <w:t xml:space="preserve"> which</w:t>
      </w:r>
      <w:r w:rsidR="007458B0">
        <w:t xml:space="preserve"> </w:t>
      </w:r>
      <w:r w:rsidR="0035298E">
        <w:t>represents a vital mechanism to maintain monitoring activities along the East A</w:t>
      </w:r>
      <w:r w:rsidR="006C1175">
        <w:t xml:space="preserve">tlantic Flyway. </w:t>
      </w:r>
      <w:r w:rsidR="007458B0">
        <w:t xml:space="preserve">The results of this monitoring feed into </w:t>
      </w:r>
      <w:r w:rsidR="00AE40B2">
        <w:t>IWC database</w:t>
      </w:r>
      <w:r w:rsidR="006C1175">
        <w:t xml:space="preserve"> and</w:t>
      </w:r>
      <w:r w:rsidR="79E976B3">
        <w:t xml:space="preserve"> are</w:t>
      </w:r>
      <w:r w:rsidR="006C1175">
        <w:t xml:space="preserve"> analysed together with other IWC data</w:t>
      </w:r>
      <w:r w:rsidR="0035298E">
        <w:t>.</w:t>
      </w:r>
      <w:r w:rsidR="00AB7D91">
        <w:t xml:space="preserve"> Unfortunately, the timing of the </w:t>
      </w:r>
      <w:r w:rsidR="00CE0C21">
        <w:t xml:space="preserve">major surveys and reporting is after the data analysis is completed for the AEWA Conservation Status Reports. </w:t>
      </w:r>
      <w:r w:rsidR="00FC3CEA">
        <w:t xml:space="preserve">Also, there are relatively weak links between the monitoring activities and </w:t>
      </w:r>
      <w:r w:rsidR="00C507D7">
        <w:t>the AEWA national population status reports</w:t>
      </w:r>
      <w:r w:rsidR="00EF768C">
        <w:t xml:space="preserve"> (only five </w:t>
      </w:r>
      <w:r w:rsidR="00AA0911">
        <w:t xml:space="preserve">of 12 </w:t>
      </w:r>
      <w:r w:rsidR="002F5841">
        <w:t xml:space="preserve">African AEWA Parties along the East Atlantic Flyway have </w:t>
      </w:r>
      <w:r w:rsidR="00DC7BE6">
        <w:t>submitted a report</w:t>
      </w:r>
      <w:r w:rsidR="25221257">
        <w:t xml:space="preserve"> in 2020</w:t>
      </w:r>
      <w:r w:rsidR="00EF768C">
        <w:t>)</w:t>
      </w:r>
      <w:r w:rsidR="00C507D7">
        <w:t xml:space="preserve">. </w:t>
      </w:r>
    </w:p>
    <w:p w14:paraId="5F63C57F" w14:textId="013E0725" w:rsidR="006C1175" w:rsidRPr="004B4621" w:rsidRDefault="006C1175" w:rsidP="00111B4A">
      <w:pPr>
        <w:pStyle w:val="BodyText"/>
        <w:spacing w:before="160"/>
        <w:ind w:left="720" w:right="733"/>
        <w:jc w:val="both"/>
        <w:rPr>
          <w:b/>
          <w:bCs/>
          <w:i/>
          <w:iCs/>
        </w:rPr>
      </w:pPr>
      <w:r w:rsidRPr="004B4621">
        <w:rPr>
          <w:b/>
          <w:bCs/>
          <w:i/>
          <w:iCs/>
        </w:rPr>
        <w:t xml:space="preserve">Recommendations: </w:t>
      </w:r>
    </w:p>
    <w:p w14:paraId="605266E4" w14:textId="44BDAB9B" w:rsidR="00BE4165" w:rsidRPr="004B4621" w:rsidRDefault="006C1175" w:rsidP="006C1175">
      <w:pPr>
        <w:pStyle w:val="BodyText"/>
        <w:numPr>
          <w:ilvl w:val="0"/>
          <w:numId w:val="8"/>
        </w:numPr>
        <w:spacing w:before="160"/>
        <w:ind w:right="733"/>
        <w:jc w:val="both"/>
        <w:rPr>
          <w:b/>
          <w:bCs/>
          <w:i/>
          <w:iCs/>
        </w:rPr>
      </w:pPr>
      <w:r w:rsidRPr="004B4621">
        <w:rPr>
          <w:b/>
          <w:bCs/>
          <w:i/>
          <w:iCs/>
        </w:rPr>
        <w:t>Encourage the</w:t>
      </w:r>
      <w:r w:rsidR="00AB7D91" w:rsidRPr="004B4621">
        <w:rPr>
          <w:b/>
          <w:bCs/>
          <w:i/>
          <w:iCs/>
        </w:rPr>
        <w:t xml:space="preserve"> Wa</w:t>
      </w:r>
      <w:r w:rsidR="00DC7BE6" w:rsidRPr="004B4621">
        <w:rPr>
          <w:b/>
          <w:bCs/>
          <w:i/>
          <w:iCs/>
        </w:rPr>
        <w:t xml:space="preserve">dden Sea </w:t>
      </w:r>
      <w:r w:rsidR="00566B0E" w:rsidRPr="004B4621">
        <w:rPr>
          <w:b/>
          <w:bCs/>
          <w:i/>
          <w:iCs/>
        </w:rPr>
        <w:t xml:space="preserve">countries </w:t>
      </w:r>
      <w:r w:rsidR="00D336CC" w:rsidRPr="004B4621">
        <w:rPr>
          <w:b/>
          <w:bCs/>
          <w:i/>
          <w:iCs/>
        </w:rPr>
        <w:t xml:space="preserve">and the Secretariat </w:t>
      </w:r>
      <w:r w:rsidR="00DC7BE6" w:rsidRPr="004B4621">
        <w:rPr>
          <w:b/>
          <w:bCs/>
          <w:i/>
          <w:iCs/>
        </w:rPr>
        <w:t xml:space="preserve">to continue </w:t>
      </w:r>
      <w:r w:rsidR="00566B0E" w:rsidRPr="004B4621">
        <w:rPr>
          <w:b/>
          <w:bCs/>
          <w:i/>
          <w:iCs/>
        </w:rPr>
        <w:t xml:space="preserve">providing </w:t>
      </w:r>
      <w:r w:rsidR="00DC7BE6" w:rsidRPr="004B4621">
        <w:rPr>
          <w:b/>
          <w:bCs/>
          <w:i/>
          <w:iCs/>
        </w:rPr>
        <w:t xml:space="preserve">technical and financial support to African countries </w:t>
      </w:r>
      <w:r w:rsidR="005A21EB" w:rsidRPr="004B4621">
        <w:rPr>
          <w:b/>
          <w:bCs/>
          <w:i/>
          <w:iCs/>
        </w:rPr>
        <w:t>along the East Atlantic Flyway;</w:t>
      </w:r>
    </w:p>
    <w:p w14:paraId="2F7E51ED" w14:textId="38F388E0" w:rsidR="005A21EB" w:rsidRPr="004B4621" w:rsidRDefault="00566B0E" w:rsidP="004B4621">
      <w:pPr>
        <w:pStyle w:val="BodyText"/>
        <w:numPr>
          <w:ilvl w:val="0"/>
          <w:numId w:val="8"/>
        </w:numPr>
        <w:spacing w:before="160"/>
        <w:ind w:right="733"/>
        <w:jc w:val="both"/>
        <w:rPr>
          <w:b/>
          <w:bCs/>
          <w:i/>
          <w:iCs/>
        </w:rPr>
      </w:pPr>
      <w:r w:rsidRPr="004B4621">
        <w:rPr>
          <w:b/>
          <w:bCs/>
          <w:i/>
          <w:iCs/>
        </w:rPr>
        <w:t xml:space="preserve">Encourage </w:t>
      </w:r>
      <w:r w:rsidR="00D336CC" w:rsidRPr="004B4621">
        <w:rPr>
          <w:b/>
          <w:bCs/>
          <w:i/>
          <w:iCs/>
        </w:rPr>
        <w:t xml:space="preserve">making a closer link between data collection and </w:t>
      </w:r>
      <w:r w:rsidR="088C7E03" w:rsidRPr="4C5BE89A">
        <w:rPr>
          <w:b/>
          <w:bCs/>
          <w:i/>
          <w:iCs/>
        </w:rPr>
        <w:t xml:space="preserve">AEWA </w:t>
      </w:r>
      <w:r w:rsidR="00EF4165" w:rsidRPr="004B4621">
        <w:rPr>
          <w:b/>
          <w:bCs/>
          <w:i/>
          <w:iCs/>
        </w:rPr>
        <w:t xml:space="preserve">national population status reporting. </w:t>
      </w:r>
    </w:p>
    <w:p w14:paraId="416B1B49" w14:textId="77777777" w:rsidR="0086162C" w:rsidRDefault="0086162C" w:rsidP="00637B6B">
      <w:pPr>
        <w:pStyle w:val="BodyText"/>
        <w:spacing w:before="160"/>
        <w:ind w:left="720" w:right="733"/>
        <w:jc w:val="both"/>
      </w:pPr>
    </w:p>
    <w:p w14:paraId="67288759" w14:textId="41A065B8" w:rsidR="00AC517A" w:rsidRPr="004B4621" w:rsidRDefault="0086162C" w:rsidP="00637B6B">
      <w:pPr>
        <w:pStyle w:val="BodyText"/>
        <w:spacing w:before="160"/>
        <w:ind w:left="720" w:right="733"/>
        <w:jc w:val="both"/>
        <w:rPr>
          <w:b/>
          <w:bCs/>
        </w:rPr>
      </w:pPr>
      <w:r w:rsidRPr="004B4621">
        <w:rPr>
          <w:b/>
          <w:bCs/>
        </w:rPr>
        <w:t>IUCN Red List</w:t>
      </w:r>
    </w:p>
    <w:p w14:paraId="5D318EDC" w14:textId="7308C0F0" w:rsidR="008B0F33" w:rsidRDefault="0086162C" w:rsidP="008B0F33">
      <w:pPr>
        <w:pStyle w:val="BodyText"/>
        <w:spacing w:before="160"/>
        <w:ind w:left="720" w:right="733"/>
        <w:jc w:val="both"/>
      </w:pPr>
      <w:r>
        <w:t xml:space="preserve">The </w:t>
      </w:r>
      <w:r w:rsidR="00853607">
        <w:t xml:space="preserve">IUCN </w:t>
      </w:r>
      <w:r>
        <w:t>Red List authority for birds is BirdLife International</w:t>
      </w:r>
      <w:r w:rsidR="00D87A0B">
        <w:t xml:space="preserve"> and there is already a well</w:t>
      </w:r>
      <w:r w:rsidR="48FBCE63">
        <w:t>-</w:t>
      </w:r>
      <w:r w:rsidR="00D87A0B">
        <w:t>established collaboration between AEWA</w:t>
      </w:r>
      <w:r w:rsidR="3AE8688E">
        <w:t xml:space="preserve"> and</w:t>
      </w:r>
      <w:r w:rsidR="00D87A0B">
        <w:t xml:space="preserve"> BirdLife International concerning taxonomic issues and the Red List assessments where </w:t>
      </w:r>
      <w:r w:rsidR="00E9657F">
        <w:t xml:space="preserve">the AEWA Conservation Status Reports feed into the Red List assessments and </w:t>
      </w:r>
      <w:r w:rsidR="007378FD">
        <w:t xml:space="preserve">draft </w:t>
      </w:r>
      <w:r w:rsidR="00E9657F">
        <w:t xml:space="preserve">Red List </w:t>
      </w:r>
      <w:r w:rsidR="007378FD">
        <w:t xml:space="preserve">changes </w:t>
      </w:r>
      <w:r w:rsidR="00E9657F">
        <w:t xml:space="preserve">are communicated </w:t>
      </w:r>
      <w:r w:rsidR="007378FD">
        <w:t xml:space="preserve">to the AEWA Technical Committee already in the consultation stage for their input. </w:t>
      </w:r>
    </w:p>
    <w:p w14:paraId="03D174AD" w14:textId="77777777" w:rsidR="004B4621" w:rsidRPr="004B4621" w:rsidRDefault="004B4621" w:rsidP="004B4621">
      <w:pPr>
        <w:pStyle w:val="BodyText"/>
        <w:spacing w:before="160"/>
        <w:ind w:left="720" w:right="733"/>
        <w:jc w:val="both"/>
        <w:rPr>
          <w:b/>
          <w:bCs/>
          <w:i/>
          <w:iCs/>
        </w:rPr>
      </w:pPr>
      <w:r w:rsidRPr="004B4621">
        <w:rPr>
          <w:b/>
          <w:bCs/>
          <w:i/>
          <w:iCs/>
        </w:rPr>
        <w:t xml:space="preserve">Recommendations: </w:t>
      </w:r>
    </w:p>
    <w:p w14:paraId="00A932E9" w14:textId="77777777" w:rsidR="00B11B41" w:rsidRDefault="00EA4183" w:rsidP="004B4621">
      <w:pPr>
        <w:pStyle w:val="BodyText"/>
        <w:numPr>
          <w:ilvl w:val="0"/>
          <w:numId w:val="12"/>
        </w:numPr>
        <w:spacing w:before="160"/>
        <w:ind w:right="733"/>
        <w:jc w:val="both"/>
        <w:rPr>
          <w:b/>
          <w:bCs/>
          <w:i/>
          <w:iCs/>
        </w:rPr>
      </w:pPr>
      <w:r>
        <w:rPr>
          <w:b/>
          <w:bCs/>
          <w:i/>
          <w:iCs/>
        </w:rPr>
        <w:t>AEWA to provide input into the Red List assessment</w:t>
      </w:r>
      <w:r w:rsidR="00B11B41">
        <w:rPr>
          <w:b/>
          <w:bCs/>
          <w:i/>
          <w:iCs/>
        </w:rPr>
        <w:t>;</w:t>
      </w:r>
    </w:p>
    <w:p w14:paraId="25188BED" w14:textId="37DF502D" w:rsidR="008B0F33" w:rsidRPr="008B0F33" w:rsidRDefault="00B11B41" w:rsidP="008B0F33">
      <w:pPr>
        <w:pStyle w:val="BodyText"/>
        <w:numPr>
          <w:ilvl w:val="0"/>
          <w:numId w:val="12"/>
        </w:numPr>
        <w:spacing w:before="160"/>
        <w:ind w:right="733"/>
        <w:jc w:val="both"/>
        <w:rPr>
          <w:b/>
          <w:bCs/>
          <w:i/>
          <w:iCs/>
        </w:rPr>
      </w:pPr>
      <w:r>
        <w:rPr>
          <w:b/>
          <w:bCs/>
          <w:i/>
          <w:iCs/>
        </w:rPr>
        <w:t>Maintain alignment of AEWA taxonomy with the one of the IUCN Red List</w:t>
      </w:r>
      <w:r w:rsidR="00B67012">
        <w:rPr>
          <w:b/>
          <w:bCs/>
          <w:i/>
          <w:iCs/>
        </w:rPr>
        <w:t xml:space="preserve">. </w:t>
      </w:r>
    </w:p>
    <w:p w14:paraId="62501931" w14:textId="77777777" w:rsidR="00FF6875" w:rsidRDefault="00FF6875" w:rsidP="00637B6B">
      <w:pPr>
        <w:pStyle w:val="BodyText"/>
        <w:spacing w:before="160"/>
        <w:ind w:left="720" w:right="733"/>
        <w:jc w:val="both"/>
        <w:rPr>
          <w:b/>
          <w:bCs/>
        </w:rPr>
      </w:pPr>
    </w:p>
    <w:p w14:paraId="61FF9BFA" w14:textId="31DEB1D9" w:rsidR="00EC0AF5" w:rsidRPr="004B4621" w:rsidRDefault="007A10A0" w:rsidP="00637B6B">
      <w:pPr>
        <w:pStyle w:val="BodyText"/>
        <w:spacing w:before="160"/>
        <w:ind w:left="720" w:right="733"/>
        <w:jc w:val="both"/>
        <w:rPr>
          <w:b/>
          <w:bCs/>
        </w:rPr>
      </w:pPr>
      <w:r w:rsidRPr="004B4621">
        <w:rPr>
          <w:b/>
          <w:bCs/>
        </w:rPr>
        <w:t>UN</w:t>
      </w:r>
      <w:r w:rsidR="005F6CC4" w:rsidRPr="004B4621">
        <w:rPr>
          <w:b/>
          <w:bCs/>
        </w:rPr>
        <w:t>EP regional Sea programmes</w:t>
      </w:r>
      <w:r w:rsidRPr="004B4621">
        <w:rPr>
          <w:b/>
          <w:bCs/>
        </w:rPr>
        <w:t xml:space="preserve"> </w:t>
      </w:r>
    </w:p>
    <w:p w14:paraId="78733A8A" w14:textId="77777777" w:rsidR="00092857" w:rsidRDefault="00EC0AF5" w:rsidP="00092857">
      <w:pPr>
        <w:pStyle w:val="BodyText"/>
        <w:numPr>
          <w:ilvl w:val="0"/>
          <w:numId w:val="11"/>
        </w:numPr>
        <w:spacing w:before="160"/>
        <w:ind w:left="1418" w:right="733"/>
        <w:jc w:val="both"/>
      </w:pPr>
      <w:r>
        <w:t>Abidjan Convention</w:t>
      </w:r>
      <w:r w:rsidR="005F6CC4">
        <w:t xml:space="preserve">: </w:t>
      </w:r>
      <w:r w:rsidR="00D85418">
        <w:t>cover</w:t>
      </w:r>
      <w:r w:rsidR="00637B00">
        <w:t>ing</w:t>
      </w:r>
      <w:r w:rsidR="00D85418">
        <w:t xml:space="preserve"> the entire Atlantic coast of </w:t>
      </w:r>
      <w:r w:rsidR="006150FD">
        <w:t>Africa</w:t>
      </w:r>
      <w:r w:rsidR="005D598E">
        <w:t xml:space="preserve"> and has mandates for the protection of biodiversity</w:t>
      </w:r>
      <w:r w:rsidR="00637B00">
        <w:t>;</w:t>
      </w:r>
    </w:p>
    <w:p w14:paraId="651D9E6A" w14:textId="77777777" w:rsidR="00092857" w:rsidRDefault="00557528" w:rsidP="00092857">
      <w:pPr>
        <w:pStyle w:val="BodyText"/>
        <w:numPr>
          <w:ilvl w:val="0"/>
          <w:numId w:val="11"/>
        </w:numPr>
        <w:spacing w:before="160"/>
        <w:ind w:left="1418" w:right="733"/>
        <w:jc w:val="both"/>
      </w:pPr>
      <w:r>
        <w:t>Nairobi Convention: covering the Western Indian Ocean</w:t>
      </w:r>
      <w:r w:rsidR="00DA7254">
        <w:t xml:space="preserve"> region;</w:t>
      </w:r>
    </w:p>
    <w:p w14:paraId="2FA37969" w14:textId="38393979" w:rsidR="00092857" w:rsidRDefault="00092857" w:rsidP="00092857">
      <w:pPr>
        <w:pStyle w:val="BodyText"/>
        <w:numPr>
          <w:ilvl w:val="0"/>
          <w:numId w:val="11"/>
        </w:numPr>
        <w:spacing w:before="160"/>
        <w:ind w:left="1418" w:right="733"/>
        <w:jc w:val="both"/>
      </w:pPr>
      <w:r w:rsidRPr="004B4621">
        <w:t>Regional Organi</w:t>
      </w:r>
      <w:r w:rsidR="00D01D83">
        <w:t>s</w:t>
      </w:r>
      <w:r w:rsidRPr="004B4621">
        <w:t>ation for the Conservation of the Environment of the Red Sea and Gulf of Aden (</w:t>
      </w:r>
      <w:hyperlink r:id="rId28" w:tgtFrame="_blank" w:history="1">
        <w:r w:rsidRPr="004B4621">
          <w:t>PERSGA</w:t>
        </w:r>
      </w:hyperlink>
      <w:r w:rsidRPr="004B4621">
        <w:t>)</w:t>
      </w:r>
      <w:r w:rsidR="00353831">
        <w:t>: they have produced a seabird review in 2003;</w:t>
      </w:r>
    </w:p>
    <w:p w14:paraId="75576A03" w14:textId="0EB3603E" w:rsidR="00353831" w:rsidRPr="004B4621" w:rsidRDefault="00353831" w:rsidP="004B4621">
      <w:pPr>
        <w:pStyle w:val="BodyText"/>
        <w:numPr>
          <w:ilvl w:val="0"/>
          <w:numId w:val="11"/>
        </w:numPr>
        <w:spacing w:before="160"/>
        <w:ind w:left="1418" w:right="733"/>
        <w:jc w:val="both"/>
      </w:pPr>
      <w:r w:rsidRPr="004B4621">
        <w:t>Regional Organisation for Protection of the Marine Enviro</w:t>
      </w:r>
      <w:r w:rsidR="00FF6875">
        <w:t>n</w:t>
      </w:r>
      <w:r w:rsidRPr="004B4621">
        <w:t>ment (</w:t>
      </w:r>
      <w:hyperlink r:id="rId29" w:tgtFrame="_blank" w:history="1">
        <w:r w:rsidRPr="004B4621">
          <w:t>ROPME</w:t>
        </w:r>
      </w:hyperlink>
      <w:r w:rsidRPr="004B4621">
        <w:t>)</w:t>
      </w:r>
      <w:r>
        <w:t xml:space="preserve">: </w:t>
      </w:r>
      <w:r w:rsidR="00D824CD">
        <w:t xml:space="preserve">it covers the </w:t>
      </w:r>
      <w:r w:rsidR="00E720FD">
        <w:t xml:space="preserve">Gulf and the Sea of Oman and </w:t>
      </w:r>
      <w:r w:rsidR="009144EE">
        <w:t xml:space="preserve">the Arabian Sea. </w:t>
      </w:r>
    </w:p>
    <w:p w14:paraId="0F778D00" w14:textId="59D59A7E" w:rsidR="005D598E" w:rsidRPr="005941FA" w:rsidRDefault="005D598E" w:rsidP="005941FA">
      <w:pPr>
        <w:pStyle w:val="BodyText"/>
        <w:spacing w:before="160"/>
        <w:ind w:left="720" w:right="733"/>
        <w:jc w:val="both"/>
        <w:rPr>
          <w:b/>
          <w:bCs/>
          <w:i/>
          <w:iCs/>
        </w:rPr>
      </w:pPr>
      <w:r w:rsidRPr="00F66EFC">
        <w:rPr>
          <w:b/>
          <w:bCs/>
          <w:i/>
          <w:iCs/>
        </w:rPr>
        <w:lastRenderedPageBreak/>
        <w:t xml:space="preserve">Recommendations: </w:t>
      </w:r>
    </w:p>
    <w:p w14:paraId="09F66252" w14:textId="1FE67132" w:rsidR="00B949CC" w:rsidRDefault="005D598E" w:rsidP="00FF6875">
      <w:pPr>
        <w:pStyle w:val="BodyText"/>
        <w:numPr>
          <w:ilvl w:val="0"/>
          <w:numId w:val="10"/>
        </w:numPr>
        <w:spacing w:before="160"/>
        <w:ind w:right="733"/>
        <w:jc w:val="both"/>
        <w:rPr>
          <w:b/>
          <w:bCs/>
          <w:i/>
          <w:iCs/>
        </w:rPr>
      </w:pPr>
      <w:r w:rsidRPr="005941FA">
        <w:rPr>
          <w:b/>
          <w:bCs/>
          <w:i/>
          <w:iCs/>
        </w:rPr>
        <w:t xml:space="preserve">Explore </w:t>
      </w:r>
      <w:r w:rsidR="001548CC" w:rsidRPr="005941FA">
        <w:rPr>
          <w:b/>
          <w:bCs/>
          <w:i/>
          <w:iCs/>
        </w:rPr>
        <w:t xml:space="preserve">interest in </w:t>
      </w:r>
      <w:r w:rsidR="00120C4B" w:rsidRPr="005941FA">
        <w:rPr>
          <w:b/>
          <w:bCs/>
          <w:i/>
          <w:iCs/>
        </w:rPr>
        <w:t>conservation</w:t>
      </w:r>
      <w:r w:rsidR="00D57743" w:rsidRPr="005941FA">
        <w:rPr>
          <w:b/>
          <w:bCs/>
          <w:i/>
          <w:iCs/>
        </w:rPr>
        <w:t xml:space="preserve">, </w:t>
      </w:r>
      <w:r w:rsidR="00120C4B" w:rsidRPr="005941FA">
        <w:rPr>
          <w:b/>
          <w:bCs/>
          <w:i/>
          <w:iCs/>
        </w:rPr>
        <w:t xml:space="preserve">management </w:t>
      </w:r>
      <w:r w:rsidR="00D57743" w:rsidRPr="005941FA">
        <w:rPr>
          <w:b/>
          <w:bCs/>
          <w:i/>
          <w:iCs/>
        </w:rPr>
        <w:t xml:space="preserve">and monitoring </w:t>
      </w:r>
      <w:r w:rsidR="00120C4B" w:rsidRPr="005941FA">
        <w:rPr>
          <w:b/>
          <w:bCs/>
          <w:i/>
          <w:iCs/>
        </w:rPr>
        <w:t>of seabirds</w:t>
      </w:r>
      <w:r w:rsidR="00D57743" w:rsidRPr="005941FA">
        <w:rPr>
          <w:b/>
          <w:bCs/>
          <w:i/>
          <w:iCs/>
        </w:rPr>
        <w:t xml:space="preserve">. </w:t>
      </w:r>
      <w:r w:rsidR="00120C4B" w:rsidRPr="005941FA">
        <w:rPr>
          <w:b/>
          <w:bCs/>
          <w:i/>
          <w:iCs/>
        </w:rPr>
        <w:t xml:space="preserve"> </w:t>
      </w:r>
    </w:p>
    <w:p w14:paraId="66913E30" w14:textId="77777777" w:rsidR="00FF6875" w:rsidRPr="00FF6875" w:rsidRDefault="00FF6875" w:rsidP="004C64C1">
      <w:pPr>
        <w:pStyle w:val="BodyText"/>
        <w:spacing w:before="160"/>
        <w:ind w:left="1440" w:right="733"/>
        <w:jc w:val="both"/>
        <w:rPr>
          <w:b/>
          <w:bCs/>
          <w:i/>
          <w:iCs/>
        </w:rPr>
      </w:pPr>
    </w:p>
    <w:p w14:paraId="55A1A0AA" w14:textId="77777777" w:rsidR="00FF6875" w:rsidRDefault="00FF6875">
      <w:pPr>
        <w:rPr>
          <w:sz w:val="20"/>
        </w:rPr>
      </w:pPr>
    </w:p>
    <w:p w14:paraId="6D6C0845" w14:textId="5BCA8E6E" w:rsidR="00664206" w:rsidRDefault="003F788D">
      <w:pPr>
        <w:spacing w:before="65"/>
        <w:ind w:left="720"/>
      </w:pPr>
      <w:r>
        <w:rPr>
          <w:b/>
        </w:rPr>
        <w:t xml:space="preserve">Table 3. </w:t>
      </w:r>
      <w:r>
        <w:t>Timetable for reporting</w:t>
      </w:r>
    </w:p>
    <w:p w14:paraId="64863AB2" w14:textId="77777777" w:rsidR="00664206" w:rsidRDefault="00664206">
      <w:pPr>
        <w:pStyle w:val="BodyText"/>
        <w:spacing w:before="2"/>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1"/>
        <w:gridCol w:w="6611"/>
      </w:tblGrid>
      <w:tr w:rsidR="00664206" w14:paraId="2377175D" w14:textId="77777777">
        <w:trPr>
          <w:trHeight w:val="428"/>
        </w:trPr>
        <w:tc>
          <w:tcPr>
            <w:tcW w:w="2401" w:type="dxa"/>
          </w:tcPr>
          <w:p w14:paraId="0C86B3C8" w14:textId="77777777" w:rsidR="00664206" w:rsidRDefault="003F788D">
            <w:pPr>
              <w:pStyle w:val="TableParagraph"/>
              <w:rPr>
                <w:b/>
                <w:sz w:val="20"/>
              </w:rPr>
            </w:pPr>
            <w:r>
              <w:rPr>
                <w:b/>
                <w:sz w:val="20"/>
              </w:rPr>
              <w:t>Process</w:t>
            </w:r>
          </w:p>
        </w:tc>
        <w:tc>
          <w:tcPr>
            <w:tcW w:w="6611" w:type="dxa"/>
          </w:tcPr>
          <w:p w14:paraId="26ABAF76" w14:textId="77777777" w:rsidR="00664206" w:rsidRDefault="003F788D">
            <w:pPr>
              <w:pStyle w:val="TableParagraph"/>
              <w:ind w:left="99"/>
              <w:rPr>
                <w:b/>
                <w:sz w:val="20"/>
              </w:rPr>
            </w:pPr>
            <w:r>
              <w:rPr>
                <w:b/>
                <w:sz w:val="20"/>
              </w:rPr>
              <w:t>Timetable</w:t>
            </w:r>
          </w:p>
        </w:tc>
      </w:tr>
      <w:tr w:rsidR="00664206" w14:paraId="4966F511" w14:textId="77777777">
        <w:trPr>
          <w:trHeight w:val="661"/>
        </w:trPr>
        <w:tc>
          <w:tcPr>
            <w:tcW w:w="2401" w:type="dxa"/>
          </w:tcPr>
          <w:p w14:paraId="2AC807EE" w14:textId="77777777" w:rsidR="00664206" w:rsidRDefault="003F788D">
            <w:pPr>
              <w:pStyle w:val="TableParagraph"/>
              <w:rPr>
                <w:sz w:val="20"/>
              </w:rPr>
            </w:pPr>
            <w:r>
              <w:rPr>
                <w:sz w:val="20"/>
              </w:rPr>
              <w:t>AEWA</w:t>
            </w:r>
          </w:p>
        </w:tc>
        <w:tc>
          <w:tcPr>
            <w:tcW w:w="6611" w:type="dxa"/>
          </w:tcPr>
          <w:p w14:paraId="56E4F154" w14:textId="77777777" w:rsidR="00664206" w:rsidRDefault="003F788D">
            <w:pPr>
              <w:pStyle w:val="TableParagraph"/>
              <w:ind w:left="99"/>
              <w:rPr>
                <w:sz w:val="20"/>
              </w:rPr>
            </w:pPr>
            <w:r>
              <w:rPr>
                <w:sz w:val="20"/>
              </w:rPr>
              <w:t>Conservation Status Report: every 3 years</w:t>
            </w:r>
          </w:p>
          <w:p w14:paraId="280B0260" w14:textId="1A967CF1" w:rsidR="00664206" w:rsidRDefault="003F788D">
            <w:pPr>
              <w:pStyle w:val="TableParagraph"/>
              <w:spacing w:before="0"/>
              <w:ind w:left="99"/>
              <w:rPr>
                <w:sz w:val="20"/>
              </w:rPr>
            </w:pPr>
            <w:r>
              <w:rPr>
                <w:sz w:val="20"/>
              </w:rPr>
              <w:t>National Reports on population status: every 6 years</w:t>
            </w:r>
            <w:r w:rsidR="00FF6875">
              <w:rPr>
                <w:rStyle w:val="FootnoteReference"/>
                <w:sz w:val="20"/>
              </w:rPr>
              <w:footnoteReference w:id="6"/>
            </w:r>
          </w:p>
        </w:tc>
      </w:tr>
      <w:tr w:rsidR="00664206" w14:paraId="5A3520B6" w14:textId="77777777">
        <w:trPr>
          <w:trHeight w:val="659"/>
        </w:trPr>
        <w:tc>
          <w:tcPr>
            <w:tcW w:w="2401" w:type="dxa"/>
          </w:tcPr>
          <w:p w14:paraId="0DD45F00" w14:textId="77777777" w:rsidR="00664206" w:rsidRDefault="003F788D">
            <w:pPr>
              <w:pStyle w:val="TableParagraph"/>
              <w:spacing w:before="98"/>
              <w:rPr>
                <w:sz w:val="20"/>
              </w:rPr>
            </w:pPr>
            <w:r>
              <w:rPr>
                <w:sz w:val="20"/>
              </w:rPr>
              <w:t>Ramsar</w:t>
            </w:r>
          </w:p>
        </w:tc>
        <w:tc>
          <w:tcPr>
            <w:tcW w:w="6611" w:type="dxa"/>
          </w:tcPr>
          <w:p w14:paraId="274D43F7" w14:textId="72760834" w:rsidR="00664206" w:rsidRDefault="003F788D">
            <w:pPr>
              <w:pStyle w:val="TableParagraph"/>
              <w:spacing w:before="98"/>
              <w:ind w:left="99" w:right="379"/>
              <w:rPr>
                <w:sz w:val="20"/>
              </w:rPr>
            </w:pPr>
            <w:r>
              <w:rPr>
                <w:sz w:val="20"/>
              </w:rPr>
              <w:t>Waterbird Population Estimates: theoretically every 3 years with revision of 1% thresholds once in 9 years unless significant change in numbers</w:t>
            </w:r>
            <w:r w:rsidR="00FF6875">
              <w:rPr>
                <w:rStyle w:val="FootnoteReference"/>
                <w:sz w:val="20"/>
              </w:rPr>
              <w:footnoteReference w:id="7"/>
            </w:r>
          </w:p>
        </w:tc>
      </w:tr>
      <w:tr w:rsidR="00664206" w14:paraId="5CAC071C" w14:textId="77777777">
        <w:trPr>
          <w:trHeight w:val="890"/>
        </w:trPr>
        <w:tc>
          <w:tcPr>
            <w:tcW w:w="2401" w:type="dxa"/>
          </w:tcPr>
          <w:p w14:paraId="4334D8FB" w14:textId="77777777" w:rsidR="00664206" w:rsidRDefault="003F788D">
            <w:pPr>
              <w:pStyle w:val="TableParagraph"/>
              <w:rPr>
                <w:sz w:val="20"/>
              </w:rPr>
            </w:pPr>
            <w:r>
              <w:rPr>
                <w:sz w:val="20"/>
              </w:rPr>
              <w:t>EU Birds Directive Art. 12</w:t>
            </w:r>
          </w:p>
          <w:p w14:paraId="5D75007B" w14:textId="77777777" w:rsidR="00664206" w:rsidRDefault="003F788D">
            <w:pPr>
              <w:pStyle w:val="TableParagraph"/>
              <w:spacing w:before="0"/>
              <w:ind w:right="439"/>
              <w:rPr>
                <w:sz w:val="20"/>
              </w:rPr>
            </w:pPr>
            <w:r>
              <w:rPr>
                <w:sz w:val="20"/>
              </w:rPr>
              <w:t>/ European Red List of Birds</w:t>
            </w:r>
          </w:p>
        </w:tc>
        <w:tc>
          <w:tcPr>
            <w:tcW w:w="6611" w:type="dxa"/>
          </w:tcPr>
          <w:p w14:paraId="6CA04CB7" w14:textId="2F0831BF" w:rsidR="00664206" w:rsidRDefault="003F788D">
            <w:pPr>
              <w:pStyle w:val="TableParagraph"/>
              <w:ind w:left="99"/>
              <w:rPr>
                <w:sz w:val="20"/>
              </w:rPr>
            </w:pPr>
            <w:r>
              <w:rPr>
                <w:sz w:val="20"/>
              </w:rPr>
              <w:t>Every 6 years</w:t>
            </w:r>
            <w:r w:rsidR="00FF6875">
              <w:rPr>
                <w:rStyle w:val="FootnoteReference"/>
                <w:sz w:val="20"/>
              </w:rPr>
              <w:footnoteReference w:id="8"/>
            </w:r>
          </w:p>
        </w:tc>
      </w:tr>
      <w:tr w:rsidR="00664206" w14:paraId="7FD95E8A" w14:textId="77777777">
        <w:trPr>
          <w:trHeight w:val="889"/>
        </w:trPr>
        <w:tc>
          <w:tcPr>
            <w:tcW w:w="2401" w:type="dxa"/>
          </w:tcPr>
          <w:p w14:paraId="4E99961C" w14:textId="77777777" w:rsidR="00664206" w:rsidRDefault="003F788D">
            <w:pPr>
              <w:pStyle w:val="TableParagraph"/>
              <w:rPr>
                <w:sz w:val="20"/>
              </w:rPr>
            </w:pPr>
            <w:r>
              <w:rPr>
                <w:sz w:val="20"/>
              </w:rPr>
              <w:t>EU Marine Strategy Framework Directive (MSFD) Art 8</w:t>
            </w:r>
          </w:p>
        </w:tc>
        <w:tc>
          <w:tcPr>
            <w:tcW w:w="6611" w:type="dxa"/>
          </w:tcPr>
          <w:p w14:paraId="7520A150" w14:textId="77777777" w:rsidR="00664206" w:rsidRDefault="003F788D">
            <w:pPr>
              <w:pStyle w:val="TableParagraph"/>
              <w:ind w:left="99"/>
              <w:rPr>
                <w:sz w:val="20"/>
              </w:rPr>
            </w:pPr>
            <w:r>
              <w:rPr>
                <w:sz w:val="20"/>
              </w:rPr>
              <w:t>Every 6 years (started 2012)</w:t>
            </w:r>
          </w:p>
        </w:tc>
      </w:tr>
      <w:tr w:rsidR="00664206" w14:paraId="5CFB1DAA" w14:textId="77777777">
        <w:trPr>
          <w:trHeight w:val="661"/>
        </w:trPr>
        <w:tc>
          <w:tcPr>
            <w:tcW w:w="2401" w:type="dxa"/>
          </w:tcPr>
          <w:p w14:paraId="510CC44D" w14:textId="77777777" w:rsidR="00664206" w:rsidRDefault="003F788D">
            <w:pPr>
              <w:pStyle w:val="TableParagraph"/>
              <w:rPr>
                <w:sz w:val="20"/>
              </w:rPr>
            </w:pPr>
            <w:r>
              <w:rPr>
                <w:sz w:val="20"/>
              </w:rPr>
              <w:t>OSPAR</w:t>
            </w:r>
          </w:p>
        </w:tc>
        <w:tc>
          <w:tcPr>
            <w:tcW w:w="6611" w:type="dxa"/>
          </w:tcPr>
          <w:p w14:paraId="71D394A9" w14:textId="77777777" w:rsidR="00664206" w:rsidRDefault="003F788D">
            <w:pPr>
              <w:pStyle w:val="TableParagraph"/>
              <w:ind w:left="99" w:right="456"/>
              <w:rPr>
                <w:sz w:val="20"/>
              </w:rPr>
            </w:pPr>
            <w:r>
              <w:rPr>
                <w:sz w:val="20"/>
              </w:rPr>
              <w:t>Previously every 10 years (2000, 2010), but then changed to 6 years (2017, 2023) to be in line with MSFD Art 8</w:t>
            </w:r>
          </w:p>
        </w:tc>
      </w:tr>
      <w:tr w:rsidR="00664206" w14:paraId="7BC49A02" w14:textId="77777777">
        <w:trPr>
          <w:trHeight w:val="428"/>
        </w:trPr>
        <w:tc>
          <w:tcPr>
            <w:tcW w:w="2401" w:type="dxa"/>
          </w:tcPr>
          <w:p w14:paraId="28ADEFC8" w14:textId="77777777" w:rsidR="00664206" w:rsidRDefault="003F788D">
            <w:pPr>
              <w:pStyle w:val="TableParagraph"/>
              <w:spacing w:before="98"/>
              <w:rPr>
                <w:sz w:val="20"/>
              </w:rPr>
            </w:pPr>
            <w:r>
              <w:rPr>
                <w:sz w:val="20"/>
              </w:rPr>
              <w:t>HELCOM</w:t>
            </w:r>
          </w:p>
        </w:tc>
        <w:tc>
          <w:tcPr>
            <w:tcW w:w="6611" w:type="dxa"/>
          </w:tcPr>
          <w:p w14:paraId="33D48A26" w14:textId="77777777" w:rsidR="00664206" w:rsidRDefault="003F788D">
            <w:pPr>
              <w:pStyle w:val="TableParagraph"/>
              <w:spacing w:before="98"/>
              <w:ind w:left="99"/>
              <w:rPr>
                <w:sz w:val="20"/>
              </w:rPr>
            </w:pPr>
            <w:r>
              <w:rPr>
                <w:sz w:val="20"/>
              </w:rPr>
              <w:t>Similar to OSPAR with similar relationship to the MSFD Art. 8 reporting</w:t>
            </w:r>
          </w:p>
        </w:tc>
      </w:tr>
      <w:tr w:rsidR="00664206" w14:paraId="639272B2" w14:textId="77777777">
        <w:trPr>
          <w:trHeight w:val="1581"/>
        </w:trPr>
        <w:tc>
          <w:tcPr>
            <w:tcW w:w="2401" w:type="dxa"/>
          </w:tcPr>
          <w:p w14:paraId="4055467F" w14:textId="77777777" w:rsidR="00664206" w:rsidRDefault="003F788D">
            <w:pPr>
              <w:pStyle w:val="TableParagraph"/>
              <w:rPr>
                <w:sz w:val="20"/>
              </w:rPr>
            </w:pPr>
            <w:r>
              <w:rPr>
                <w:sz w:val="20"/>
              </w:rPr>
              <w:t>CAFF</w:t>
            </w:r>
          </w:p>
        </w:tc>
        <w:tc>
          <w:tcPr>
            <w:tcW w:w="6611" w:type="dxa"/>
          </w:tcPr>
          <w:p w14:paraId="227E5513" w14:textId="7CE0ADB3" w:rsidR="00664206" w:rsidRDefault="003F788D">
            <w:pPr>
              <w:pStyle w:val="TableParagraph"/>
              <w:ind w:left="99" w:right="100"/>
              <w:rPr>
                <w:sz w:val="20"/>
              </w:rPr>
            </w:pPr>
            <w:r>
              <w:rPr>
                <w:sz w:val="20"/>
              </w:rPr>
              <w:t xml:space="preserve">There is a wide array of Arctic monitoring programmes and assessments. </w:t>
            </w:r>
            <w:r w:rsidR="00494A01">
              <w:rPr>
                <w:sz w:val="20"/>
              </w:rPr>
              <w:t xml:space="preserve">Under the CBMP coordinated circumpolar monitoring plans have been developed </w:t>
            </w:r>
            <w:r w:rsidR="00E8207C">
              <w:rPr>
                <w:sz w:val="20"/>
              </w:rPr>
              <w:t>with focal ecosystem components, and various attributes</w:t>
            </w:r>
            <w:r w:rsidR="009A4BBE">
              <w:rPr>
                <w:sz w:val="20"/>
              </w:rPr>
              <w:t>/parameters</w:t>
            </w:r>
            <w:r w:rsidR="00E8207C">
              <w:rPr>
                <w:sz w:val="20"/>
              </w:rPr>
              <w:t xml:space="preserve"> for monitoring. Focal Ecosystem Components have been adjusted a</w:t>
            </w:r>
            <w:r w:rsidR="00494A01">
              <w:rPr>
                <w:sz w:val="20"/>
              </w:rPr>
              <w:t xml:space="preserve">fter reporting via State of the Arctic Biodiversity Reports. </w:t>
            </w:r>
            <w:r>
              <w:rPr>
                <w:sz w:val="20"/>
              </w:rPr>
              <w:t xml:space="preserve">In CBMP Marine the future frequency of the </w:t>
            </w:r>
            <w:hyperlink r:id="rId30">
              <w:r>
                <w:rPr>
                  <w:sz w:val="20"/>
                </w:rPr>
                <w:t>State of the Arctic Marine</w:t>
              </w:r>
            </w:hyperlink>
            <w:r>
              <w:rPr>
                <w:sz w:val="20"/>
              </w:rPr>
              <w:t xml:space="preserve"> </w:t>
            </w:r>
            <w:hyperlink r:id="rId31">
              <w:r>
                <w:rPr>
                  <w:sz w:val="20"/>
                </w:rPr>
                <w:t>Biodiversity Report (</w:t>
              </w:r>
            </w:hyperlink>
            <w:r>
              <w:rPr>
                <w:sz w:val="20"/>
              </w:rPr>
              <w:t>SAMBR) process</w:t>
            </w:r>
            <w:r w:rsidR="00F2775E">
              <w:rPr>
                <w:sz w:val="20"/>
              </w:rPr>
              <w:t>, originally published in 2017,</w:t>
            </w:r>
            <w:r>
              <w:rPr>
                <w:sz w:val="20"/>
              </w:rPr>
              <w:t xml:space="preserve"> is under discussion at the</w:t>
            </w:r>
            <w:r>
              <w:rPr>
                <w:spacing w:val="-6"/>
                <w:sz w:val="20"/>
              </w:rPr>
              <w:t xml:space="preserve"> </w:t>
            </w:r>
            <w:r>
              <w:rPr>
                <w:sz w:val="20"/>
              </w:rPr>
              <w:t>moment</w:t>
            </w:r>
            <w:r w:rsidR="00F2775E">
              <w:rPr>
                <w:sz w:val="20"/>
              </w:rPr>
              <w:t xml:space="preserve"> but shorter </w:t>
            </w:r>
            <w:r w:rsidR="00E8207C">
              <w:rPr>
                <w:sz w:val="20"/>
              </w:rPr>
              <w:t xml:space="preserve">more frequent </w:t>
            </w:r>
            <w:r w:rsidR="00F2775E">
              <w:rPr>
                <w:sz w:val="20"/>
              </w:rPr>
              <w:t>updates are expected, such as the 2021 seabirds update</w:t>
            </w:r>
            <w:r>
              <w:rPr>
                <w:sz w:val="20"/>
              </w:rPr>
              <w:t>.</w:t>
            </w:r>
            <w:r w:rsidR="00494A01">
              <w:rPr>
                <w:sz w:val="20"/>
              </w:rPr>
              <w:t xml:space="preserve"> CBird has the Circumpolar Seabird Monitoring Plan, which includes a recommendation of monitoring of colonies </w:t>
            </w:r>
            <w:r w:rsidR="009A4BBE">
              <w:rPr>
                <w:sz w:val="20"/>
              </w:rPr>
              <w:t xml:space="preserve">(population size and breeding success, with optional further population parameters) </w:t>
            </w:r>
            <w:r w:rsidR="00494A01">
              <w:rPr>
                <w:sz w:val="20"/>
              </w:rPr>
              <w:t xml:space="preserve">on at least </w:t>
            </w:r>
            <w:r w:rsidR="009A4BBE">
              <w:rPr>
                <w:sz w:val="20"/>
              </w:rPr>
              <w:t>three</w:t>
            </w:r>
            <w:r w:rsidR="00494A01">
              <w:rPr>
                <w:sz w:val="20"/>
              </w:rPr>
              <w:t>-year interval</w:t>
            </w:r>
            <w:r w:rsidR="009A4BBE">
              <w:rPr>
                <w:sz w:val="20"/>
              </w:rPr>
              <w:t>s</w:t>
            </w:r>
            <w:r w:rsidR="00494A01">
              <w:rPr>
                <w:sz w:val="20"/>
              </w:rPr>
              <w:t xml:space="preserve">. An online </w:t>
            </w:r>
            <w:r w:rsidR="009A4BBE">
              <w:rPr>
                <w:sz w:val="20"/>
              </w:rPr>
              <w:t>population status database (Arctic Seabird Status Archive)</w:t>
            </w:r>
            <w:r w:rsidR="00494A01">
              <w:rPr>
                <w:sz w:val="20"/>
              </w:rPr>
              <w:t xml:space="preserve"> has been </w:t>
            </w:r>
            <w:r w:rsidR="00C4129B">
              <w:rPr>
                <w:sz w:val="20"/>
              </w:rPr>
              <w:t>established and</w:t>
            </w:r>
            <w:r w:rsidR="00494A01">
              <w:rPr>
                <w:sz w:val="20"/>
              </w:rPr>
              <w:t xml:space="preserve"> </w:t>
            </w:r>
            <w:r w:rsidR="00E8207C">
              <w:rPr>
                <w:sz w:val="20"/>
              </w:rPr>
              <w:t xml:space="preserve">is </w:t>
            </w:r>
            <w:r w:rsidR="00494A01">
              <w:rPr>
                <w:sz w:val="20"/>
              </w:rPr>
              <w:t xml:space="preserve">to be populated annually. </w:t>
            </w:r>
            <w:r w:rsidR="00F2775E">
              <w:rPr>
                <w:sz w:val="20"/>
              </w:rPr>
              <w:t xml:space="preserve"> The CBMP’s State of the Arctic Terrestrial Biodiversity Report</w:t>
            </w:r>
            <w:r w:rsidR="00494A01">
              <w:rPr>
                <w:sz w:val="20"/>
              </w:rPr>
              <w:t>, reporting on 88 species of tundra-breeding birds including waders, was published in 2021 with updates/process under discussion</w:t>
            </w:r>
            <w:r>
              <w:rPr>
                <w:sz w:val="20"/>
              </w:rPr>
              <w:t>.</w:t>
            </w:r>
          </w:p>
        </w:tc>
      </w:tr>
      <w:tr w:rsidR="00664206" w14:paraId="4A9A64E4" w14:textId="77777777">
        <w:trPr>
          <w:trHeight w:val="659"/>
        </w:trPr>
        <w:tc>
          <w:tcPr>
            <w:tcW w:w="2401" w:type="dxa"/>
          </w:tcPr>
          <w:p w14:paraId="04470ABB" w14:textId="77777777" w:rsidR="00664206" w:rsidRDefault="003F788D">
            <w:pPr>
              <w:pStyle w:val="TableParagraph"/>
              <w:spacing w:before="98"/>
              <w:ind w:right="605"/>
              <w:rPr>
                <w:sz w:val="20"/>
              </w:rPr>
            </w:pPr>
            <w:r>
              <w:rPr>
                <w:sz w:val="20"/>
              </w:rPr>
              <w:t>Wadden Sea Flyway Initiative (WSFI)</w:t>
            </w:r>
          </w:p>
        </w:tc>
        <w:tc>
          <w:tcPr>
            <w:tcW w:w="6611" w:type="dxa"/>
          </w:tcPr>
          <w:p w14:paraId="34736946" w14:textId="77777777" w:rsidR="00664206" w:rsidRDefault="003F788D">
            <w:pPr>
              <w:pStyle w:val="TableParagraph"/>
              <w:spacing w:before="98"/>
              <w:ind w:left="99"/>
              <w:rPr>
                <w:sz w:val="20"/>
              </w:rPr>
            </w:pPr>
            <w:r>
              <w:rPr>
                <w:sz w:val="20"/>
              </w:rPr>
              <w:t>Every 3 years</w:t>
            </w:r>
          </w:p>
        </w:tc>
      </w:tr>
      <w:tr w:rsidR="00664206" w14:paraId="2024D1B0" w14:textId="77777777">
        <w:trPr>
          <w:trHeight w:val="431"/>
        </w:trPr>
        <w:tc>
          <w:tcPr>
            <w:tcW w:w="2401" w:type="dxa"/>
          </w:tcPr>
          <w:p w14:paraId="201D5D17" w14:textId="77777777" w:rsidR="00664206" w:rsidRDefault="003F788D">
            <w:pPr>
              <w:pStyle w:val="TableParagraph"/>
              <w:rPr>
                <w:sz w:val="20"/>
              </w:rPr>
            </w:pPr>
            <w:r>
              <w:rPr>
                <w:sz w:val="20"/>
              </w:rPr>
              <w:t>IUCN Red List</w:t>
            </w:r>
          </w:p>
        </w:tc>
        <w:tc>
          <w:tcPr>
            <w:tcW w:w="6611" w:type="dxa"/>
          </w:tcPr>
          <w:p w14:paraId="2189022A" w14:textId="77777777" w:rsidR="00664206" w:rsidRDefault="003F788D">
            <w:pPr>
              <w:pStyle w:val="TableParagraph"/>
              <w:ind w:left="99"/>
              <w:rPr>
                <w:sz w:val="20"/>
              </w:rPr>
            </w:pPr>
            <w:r>
              <w:rPr>
                <w:sz w:val="20"/>
              </w:rPr>
              <w:t>Annual with major revisions in every 4 years.</w:t>
            </w:r>
          </w:p>
        </w:tc>
      </w:tr>
    </w:tbl>
    <w:p w14:paraId="3F8D0AE7" w14:textId="77777777" w:rsidR="00664206" w:rsidRDefault="00664206">
      <w:pPr>
        <w:pStyle w:val="BodyText"/>
        <w:rPr>
          <w:sz w:val="24"/>
        </w:rPr>
      </w:pPr>
    </w:p>
    <w:p w14:paraId="2BDA4252" w14:textId="77777777" w:rsidR="00FF6875" w:rsidRDefault="00FF6875">
      <w:pPr>
        <w:pStyle w:val="BodyText"/>
        <w:spacing w:before="2"/>
        <w:rPr>
          <w:sz w:val="31"/>
        </w:rPr>
      </w:pPr>
    </w:p>
    <w:p w14:paraId="04700ACC" w14:textId="1204C371" w:rsidR="00664206" w:rsidRDefault="003F788D">
      <w:pPr>
        <w:pStyle w:val="Heading1"/>
      </w:pPr>
      <w:r>
        <w:t>Timing of international surveys</w:t>
      </w:r>
    </w:p>
    <w:p w14:paraId="092BC60B" w14:textId="3BE39130" w:rsidR="00664206" w:rsidRDefault="003F788D" w:rsidP="00ED7342">
      <w:pPr>
        <w:pStyle w:val="Heading2"/>
        <w:spacing w:before="161"/>
        <w:ind w:right="737"/>
        <w:rPr>
          <w:sz w:val="22"/>
          <w:szCs w:val="22"/>
        </w:rPr>
      </w:pPr>
      <w:r w:rsidRPr="006C2A38">
        <w:rPr>
          <w:sz w:val="22"/>
          <w:szCs w:val="22"/>
        </w:rPr>
        <w:t>Currently, there are only a few internationally coordinated surveys that are periodically repeated (e.g. the “total counts” for waterbirds in the East Atlantic Flyway, the Baltic Sea seaduck counts, European White Stork Census, the International Swan Census, Eurasian Golden Plover Counts). The AEWA Monitoring Guidance adopted at MOP7 has proposed</w:t>
      </w:r>
      <w:r w:rsidRPr="006C2A38">
        <w:rPr>
          <w:spacing w:val="-29"/>
          <w:sz w:val="22"/>
          <w:szCs w:val="22"/>
        </w:rPr>
        <w:t xml:space="preserve"> </w:t>
      </w:r>
      <w:r w:rsidRPr="006C2A38">
        <w:rPr>
          <w:sz w:val="22"/>
          <w:szCs w:val="22"/>
        </w:rPr>
        <w:t xml:space="preserve">the establishment of staggered cycle of </w:t>
      </w:r>
      <w:r w:rsidRPr="006C2A38">
        <w:rPr>
          <w:sz w:val="22"/>
          <w:szCs w:val="22"/>
        </w:rPr>
        <w:lastRenderedPageBreak/>
        <w:t>international surveys to produce up-dated population size estimates periodically for populations whose size cannot be well estimated through sampling or</w:t>
      </w:r>
      <w:r w:rsidRPr="006C2A38">
        <w:rPr>
          <w:spacing w:val="-17"/>
          <w:sz w:val="22"/>
          <w:szCs w:val="22"/>
        </w:rPr>
        <w:t xml:space="preserve"> </w:t>
      </w:r>
      <w:r w:rsidRPr="006C2A38">
        <w:rPr>
          <w:sz w:val="22"/>
          <w:szCs w:val="22"/>
        </w:rPr>
        <w:t>generic</w:t>
      </w:r>
      <w:r w:rsidRPr="006C2A38">
        <w:rPr>
          <w:spacing w:val="-17"/>
          <w:sz w:val="22"/>
          <w:szCs w:val="22"/>
        </w:rPr>
        <w:t xml:space="preserve"> </w:t>
      </w:r>
      <w:r w:rsidRPr="006C2A38">
        <w:rPr>
          <w:sz w:val="22"/>
          <w:szCs w:val="22"/>
        </w:rPr>
        <w:t>monitoring</w:t>
      </w:r>
      <w:r w:rsidRPr="006C2A38">
        <w:rPr>
          <w:spacing w:val="-16"/>
          <w:sz w:val="22"/>
          <w:szCs w:val="22"/>
        </w:rPr>
        <w:t xml:space="preserve"> </w:t>
      </w:r>
      <w:r w:rsidRPr="006C2A38">
        <w:rPr>
          <w:sz w:val="22"/>
          <w:szCs w:val="22"/>
        </w:rPr>
        <w:t>methods</w:t>
      </w:r>
      <w:r w:rsidRPr="006C2A38">
        <w:rPr>
          <w:spacing w:val="-15"/>
          <w:sz w:val="22"/>
          <w:szCs w:val="22"/>
        </w:rPr>
        <w:t xml:space="preserve"> </w:t>
      </w:r>
      <w:r w:rsidRPr="006C2A38">
        <w:rPr>
          <w:sz w:val="22"/>
          <w:szCs w:val="22"/>
        </w:rPr>
        <w:t>such</w:t>
      </w:r>
      <w:r w:rsidRPr="006C2A38">
        <w:rPr>
          <w:spacing w:val="-15"/>
          <w:sz w:val="22"/>
          <w:szCs w:val="22"/>
        </w:rPr>
        <w:t xml:space="preserve"> </w:t>
      </w:r>
      <w:r w:rsidRPr="006C2A38">
        <w:rPr>
          <w:sz w:val="22"/>
          <w:szCs w:val="22"/>
        </w:rPr>
        <w:t>the</w:t>
      </w:r>
      <w:r w:rsidRPr="006C2A38">
        <w:rPr>
          <w:spacing w:val="-16"/>
          <w:sz w:val="22"/>
          <w:szCs w:val="22"/>
        </w:rPr>
        <w:t xml:space="preserve"> </w:t>
      </w:r>
      <w:r w:rsidRPr="006C2A38">
        <w:rPr>
          <w:sz w:val="22"/>
          <w:szCs w:val="22"/>
        </w:rPr>
        <w:t>International</w:t>
      </w:r>
      <w:r w:rsidRPr="006C2A38">
        <w:rPr>
          <w:spacing w:val="-15"/>
          <w:sz w:val="22"/>
          <w:szCs w:val="22"/>
        </w:rPr>
        <w:t xml:space="preserve"> </w:t>
      </w:r>
      <w:r w:rsidRPr="006C2A38">
        <w:rPr>
          <w:sz w:val="22"/>
          <w:szCs w:val="22"/>
        </w:rPr>
        <w:t>Waterbird</w:t>
      </w:r>
      <w:r w:rsidRPr="006C2A38">
        <w:rPr>
          <w:spacing w:val="-16"/>
          <w:sz w:val="22"/>
          <w:szCs w:val="22"/>
        </w:rPr>
        <w:t xml:space="preserve"> </w:t>
      </w:r>
      <w:r w:rsidRPr="006C2A38">
        <w:rPr>
          <w:sz w:val="22"/>
          <w:szCs w:val="22"/>
        </w:rPr>
        <w:t>Census.</w:t>
      </w:r>
      <w:r w:rsidRPr="006C2A38">
        <w:rPr>
          <w:spacing w:val="-16"/>
          <w:sz w:val="22"/>
          <w:szCs w:val="22"/>
        </w:rPr>
        <w:t xml:space="preserve"> </w:t>
      </w:r>
      <w:r w:rsidRPr="006C2A38">
        <w:rPr>
          <w:sz w:val="22"/>
          <w:szCs w:val="22"/>
        </w:rPr>
        <w:t>Such</w:t>
      </w:r>
      <w:r w:rsidRPr="006C2A38">
        <w:rPr>
          <w:spacing w:val="-16"/>
          <w:sz w:val="22"/>
          <w:szCs w:val="22"/>
        </w:rPr>
        <w:t xml:space="preserve"> </w:t>
      </w:r>
      <w:r w:rsidRPr="006C2A38">
        <w:rPr>
          <w:sz w:val="22"/>
          <w:szCs w:val="22"/>
        </w:rPr>
        <w:t>schedule</w:t>
      </w:r>
      <w:r w:rsidRPr="006C2A38">
        <w:rPr>
          <w:spacing w:val="-15"/>
          <w:sz w:val="22"/>
          <w:szCs w:val="22"/>
        </w:rPr>
        <w:t xml:space="preserve"> </w:t>
      </w:r>
      <w:r w:rsidRPr="006C2A38">
        <w:rPr>
          <w:sz w:val="22"/>
          <w:szCs w:val="22"/>
        </w:rPr>
        <w:t>is</w:t>
      </w:r>
      <w:r w:rsidRPr="006C2A38">
        <w:rPr>
          <w:spacing w:val="-15"/>
          <w:sz w:val="22"/>
          <w:szCs w:val="22"/>
        </w:rPr>
        <w:t xml:space="preserve"> </w:t>
      </w:r>
      <w:r w:rsidRPr="006C2A38">
        <w:rPr>
          <w:sz w:val="22"/>
          <w:szCs w:val="22"/>
        </w:rPr>
        <w:t>being developed as part of the AEWA monitoring priorities report and it will require coordination with the other relevant instruments mainly in</w:t>
      </w:r>
      <w:r w:rsidRPr="006C2A38">
        <w:rPr>
          <w:spacing w:val="-3"/>
          <w:sz w:val="22"/>
          <w:szCs w:val="22"/>
        </w:rPr>
        <w:t xml:space="preserve"> </w:t>
      </w:r>
      <w:r w:rsidRPr="006C2A38">
        <w:rPr>
          <w:sz w:val="22"/>
          <w:szCs w:val="22"/>
        </w:rPr>
        <w:t>Europe.</w:t>
      </w:r>
    </w:p>
    <w:p w14:paraId="2445A579" w14:textId="77777777" w:rsidR="001D4862" w:rsidRPr="00ED7342" w:rsidRDefault="001D4862" w:rsidP="00ED7342">
      <w:pPr>
        <w:pStyle w:val="Heading2"/>
        <w:spacing w:before="161"/>
        <w:ind w:right="737"/>
        <w:rPr>
          <w:sz w:val="22"/>
          <w:szCs w:val="22"/>
        </w:rPr>
      </w:pPr>
    </w:p>
    <w:p w14:paraId="03B48C75" w14:textId="77777777" w:rsidR="00664206" w:rsidRDefault="003F788D">
      <w:pPr>
        <w:pStyle w:val="Heading1"/>
        <w:spacing w:before="66"/>
      </w:pPr>
      <w:r>
        <w:t>Obstacles to overcome</w:t>
      </w:r>
    </w:p>
    <w:p w14:paraId="407D19C7" w14:textId="77777777" w:rsidR="00664206" w:rsidRDefault="003F788D">
      <w:pPr>
        <w:pStyle w:val="Heading2"/>
        <w:spacing w:before="160"/>
        <w:jc w:val="left"/>
      </w:pPr>
      <w:r>
        <w:t>Potential obstacles to overcome include:</w:t>
      </w:r>
    </w:p>
    <w:p w14:paraId="07AEDDA7" w14:textId="5A79FFC5" w:rsidR="009A4BBE" w:rsidRDefault="009A4BBE">
      <w:pPr>
        <w:pStyle w:val="ListParagraph"/>
        <w:numPr>
          <w:ilvl w:val="0"/>
          <w:numId w:val="2"/>
        </w:numPr>
        <w:tabs>
          <w:tab w:val="left" w:pos="1440"/>
          <w:tab w:val="left" w:pos="1441"/>
        </w:tabs>
        <w:spacing w:before="1"/>
        <w:ind w:hanging="361"/>
      </w:pPr>
      <w:r>
        <w:t>Differences in monitoring and/or analysis methods or structure of reporting</w:t>
      </w:r>
    </w:p>
    <w:p w14:paraId="1A52C6C1" w14:textId="77777777" w:rsidR="00664206" w:rsidRDefault="003F788D">
      <w:pPr>
        <w:pStyle w:val="ListParagraph"/>
        <w:numPr>
          <w:ilvl w:val="0"/>
          <w:numId w:val="2"/>
        </w:numPr>
        <w:tabs>
          <w:tab w:val="left" w:pos="1440"/>
          <w:tab w:val="left" w:pos="1441"/>
        </w:tabs>
        <w:spacing w:before="1"/>
        <w:ind w:hanging="361"/>
      </w:pPr>
      <w:r>
        <w:t>Data</w:t>
      </w:r>
      <w:r>
        <w:rPr>
          <w:spacing w:val="-3"/>
        </w:rPr>
        <w:t xml:space="preserve"> </w:t>
      </w:r>
      <w:r>
        <w:t>flow;</w:t>
      </w:r>
    </w:p>
    <w:p w14:paraId="749F9D52" w14:textId="77777777" w:rsidR="00664206" w:rsidRDefault="003F788D">
      <w:pPr>
        <w:pStyle w:val="ListParagraph"/>
        <w:numPr>
          <w:ilvl w:val="0"/>
          <w:numId w:val="2"/>
        </w:numPr>
        <w:tabs>
          <w:tab w:val="left" w:pos="1440"/>
          <w:tab w:val="left" w:pos="1441"/>
        </w:tabs>
        <w:spacing w:before="38"/>
        <w:ind w:hanging="361"/>
      </w:pPr>
      <w:r>
        <w:t>Scale (geographic extent and</w:t>
      </w:r>
      <w:r>
        <w:rPr>
          <w:spacing w:val="-2"/>
        </w:rPr>
        <w:t xml:space="preserve"> </w:t>
      </w:r>
      <w:r>
        <w:t>resolution);</w:t>
      </w:r>
    </w:p>
    <w:p w14:paraId="2A63505F" w14:textId="77777777" w:rsidR="00664206" w:rsidRDefault="003F788D">
      <w:pPr>
        <w:pStyle w:val="ListParagraph"/>
        <w:numPr>
          <w:ilvl w:val="0"/>
          <w:numId w:val="2"/>
        </w:numPr>
        <w:tabs>
          <w:tab w:val="left" w:pos="1440"/>
          <w:tab w:val="left" w:pos="1441"/>
        </w:tabs>
        <w:spacing w:before="37"/>
        <w:ind w:hanging="361"/>
      </w:pPr>
      <w:r>
        <w:t>Permission to re-use the</w:t>
      </w:r>
      <w:r>
        <w:rPr>
          <w:spacing w:val="-6"/>
        </w:rPr>
        <w:t xml:space="preserve"> </w:t>
      </w:r>
      <w:r>
        <w:t>data;</w:t>
      </w:r>
    </w:p>
    <w:p w14:paraId="3F0F1079" w14:textId="77777777" w:rsidR="00664206" w:rsidRDefault="003F788D">
      <w:pPr>
        <w:pStyle w:val="ListParagraph"/>
        <w:numPr>
          <w:ilvl w:val="0"/>
          <w:numId w:val="2"/>
        </w:numPr>
        <w:tabs>
          <w:tab w:val="left" w:pos="1440"/>
          <w:tab w:val="left" w:pos="1441"/>
        </w:tabs>
        <w:spacing w:before="38"/>
        <w:ind w:hanging="361"/>
      </w:pPr>
      <w:r>
        <w:t>Reporting</w:t>
      </w:r>
      <w:r>
        <w:rPr>
          <w:spacing w:val="-3"/>
        </w:rPr>
        <w:t xml:space="preserve"> </w:t>
      </w:r>
      <w:r>
        <w:t>cycles.</w:t>
      </w:r>
    </w:p>
    <w:p w14:paraId="3FF7C221" w14:textId="77777777" w:rsidR="00664206" w:rsidRDefault="00664206">
      <w:pPr>
        <w:pStyle w:val="BodyText"/>
        <w:rPr>
          <w:sz w:val="27"/>
        </w:rPr>
      </w:pPr>
    </w:p>
    <w:p w14:paraId="1EDF5377" w14:textId="60FD0A5D" w:rsidR="00664206" w:rsidRPr="008B0F33" w:rsidRDefault="003F788D" w:rsidP="006C2A38">
      <w:pPr>
        <w:pStyle w:val="Heading2"/>
        <w:ind w:right="734"/>
        <w:rPr>
          <w:sz w:val="22"/>
          <w:szCs w:val="22"/>
        </w:rPr>
      </w:pPr>
      <w:r w:rsidRPr="008B0F33">
        <w:rPr>
          <w:sz w:val="22"/>
          <w:szCs w:val="22"/>
        </w:rPr>
        <w:t>As indicated above, there are already good practices facilitate dataflow and exchange of information between reporting processes. All of the reporting processes allow some</w:t>
      </w:r>
      <w:r w:rsidRPr="008B0F33">
        <w:rPr>
          <w:spacing w:val="-16"/>
          <w:sz w:val="22"/>
          <w:szCs w:val="22"/>
        </w:rPr>
        <w:t xml:space="preserve"> </w:t>
      </w:r>
      <w:r w:rsidRPr="008B0F33">
        <w:rPr>
          <w:sz w:val="22"/>
          <w:szCs w:val="22"/>
        </w:rPr>
        <w:t>flexibility how recent data can be accepted and this is usually about five</w:t>
      </w:r>
      <w:r w:rsidRPr="008B0F33">
        <w:rPr>
          <w:spacing w:val="-2"/>
          <w:sz w:val="22"/>
          <w:szCs w:val="22"/>
        </w:rPr>
        <w:t xml:space="preserve"> </w:t>
      </w:r>
      <w:r w:rsidRPr="008B0F33">
        <w:rPr>
          <w:sz w:val="22"/>
          <w:szCs w:val="22"/>
        </w:rPr>
        <w:t>years.</w:t>
      </w:r>
    </w:p>
    <w:p w14:paraId="7891D026" w14:textId="77777777" w:rsidR="00664206" w:rsidRPr="008B0F33" w:rsidRDefault="00664206" w:rsidP="006C2A38">
      <w:pPr>
        <w:pStyle w:val="BodyText"/>
        <w:spacing w:before="1"/>
        <w:jc w:val="both"/>
        <w:rPr>
          <w:szCs w:val="20"/>
        </w:rPr>
      </w:pPr>
    </w:p>
    <w:p w14:paraId="0CEB2C6E" w14:textId="47EF2D82" w:rsidR="00664206" w:rsidRPr="008B0F33" w:rsidRDefault="003F788D" w:rsidP="006C2A38">
      <w:pPr>
        <w:ind w:left="720" w:right="738"/>
        <w:jc w:val="both"/>
        <w:rPr>
          <w:szCs w:val="20"/>
        </w:rPr>
      </w:pPr>
      <w:r w:rsidRPr="008B0F33">
        <w:rPr>
          <w:szCs w:val="20"/>
        </w:rPr>
        <w:t>Differences in geographic extent may render data analysis (e.g. trend analyses for regional seas when the populations are much larger) hardly useable. However, these can be overcome if the original data can be re</w:t>
      </w:r>
      <w:r w:rsidR="00114725" w:rsidRPr="008B0F33">
        <w:rPr>
          <w:szCs w:val="20"/>
        </w:rPr>
        <w:t>-</w:t>
      </w:r>
      <w:r w:rsidRPr="008B0F33">
        <w:rPr>
          <w:szCs w:val="20"/>
        </w:rPr>
        <w:t>analysed.</w:t>
      </w:r>
    </w:p>
    <w:p w14:paraId="35143DB8" w14:textId="77777777" w:rsidR="00664206" w:rsidRPr="008B0F33" w:rsidRDefault="00664206" w:rsidP="006C2A38">
      <w:pPr>
        <w:pStyle w:val="BodyText"/>
        <w:jc w:val="both"/>
        <w:rPr>
          <w:szCs w:val="20"/>
        </w:rPr>
      </w:pPr>
    </w:p>
    <w:p w14:paraId="649099CD" w14:textId="77777777" w:rsidR="00664206" w:rsidRPr="008B0F33" w:rsidRDefault="003F788D" w:rsidP="006C2A38">
      <w:pPr>
        <w:pStyle w:val="Heading2"/>
        <w:ind w:right="736"/>
        <w:rPr>
          <w:sz w:val="22"/>
          <w:szCs w:val="22"/>
        </w:rPr>
      </w:pPr>
      <w:r w:rsidRPr="008B0F33">
        <w:rPr>
          <w:sz w:val="22"/>
          <w:szCs w:val="22"/>
        </w:rPr>
        <w:t>Some of the organisations (e.g. Wetlands International and the PECBMS) have efficient systems for data storage and obtaining permissions from national coordinators to use the data in flyway level/regional assessments. In other cases, interinstitutional arrangements (e.g. between the European Commission and AEWA, BirdLife International and Wetlands International) facilitate the efficient access to the data reported by national governments / partners.</w:t>
      </w:r>
    </w:p>
    <w:p w14:paraId="1A694523" w14:textId="77777777" w:rsidR="00664206" w:rsidRPr="008B0F33" w:rsidRDefault="00664206" w:rsidP="006C2A38">
      <w:pPr>
        <w:pStyle w:val="BodyText"/>
        <w:jc w:val="both"/>
        <w:rPr>
          <w:szCs w:val="20"/>
        </w:rPr>
      </w:pPr>
    </w:p>
    <w:p w14:paraId="0C500633" w14:textId="218EC38C" w:rsidR="00D73E01" w:rsidRPr="008B0F33" w:rsidRDefault="003F788D" w:rsidP="006C2A38">
      <w:pPr>
        <w:spacing w:before="1"/>
        <w:ind w:left="720" w:right="736"/>
        <w:jc w:val="both"/>
        <w:rPr>
          <w:szCs w:val="20"/>
        </w:rPr>
      </w:pPr>
      <w:r w:rsidRPr="008B0F33">
        <w:rPr>
          <w:szCs w:val="20"/>
        </w:rPr>
        <w:t>The diversity of reporting cycles might be bewildering and may appear as a major obstacle. However, AEWA and the European Commission has already in the process of coordinating their reporting cycles and this arrangement covers the majority of the AEWA populations. Therefore, the essential requirement for a well-functioning monitoring system is that population size and trend estimates are available for these two major reporting processes.</w:t>
      </w:r>
    </w:p>
    <w:p w14:paraId="35E9CFAF" w14:textId="77777777" w:rsidR="00664206" w:rsidRDefault="00664206" w:rsidP="00D73E01">
      <w:pPr>
        <w:spacing w:before="1"/>
        <w:ind w:left="720" w:right="736"/>
        <w:jc w:val="both"/>
        <w:rPr>
          <w:sz w:val="24"/>
        </w:rPr>
      </w:pPr>
    </w:p>
    <w:p w14:paraId="283985AC" w14:textId="77777777" w:rsidR="0079676F" w:rsidRDefault="0079676F" w:rsidP="00D73E01">
      <w:pPr>
        <w:spacing w:before="1"/>
        <w:ind w:left="720" w:right="736"/>
        <w:jc w:val="both"/>
        <w:rPr>
          <w:sz w:val="24"/>
        </w:rPr>
      </w:pPr>
    </w:p>
    <w:p w14:paraId="0A931B2D" w14:textId="65D14463" w:rsidR="0079676F" w:rsidRDefault="0079676F" w:rsidP="005941FA">
      <w:pPr>
        <w:spacing w:before="1"/>
        <w:ind w:left="720" w:right="736"/>
        <w:jc w:val="both"/>
        <w:rPr>
          <w:sz w:val="24"/>
        </w:rPr>
        <w:sectPr w:rsidR="0079676F" w:rsidSect="000F4204">
          <w:headerReference w:type="even" r:id="rId32"/>
          <w:headerReference w:type="default" r:id="rId33"/>
          <w:footerReference w:type="even" r:id="rId34"/>
          <w:footerReference w:type="default" r:id="rId35"/>
          <w:headerReference w:type="first" r:id="rId36"/>
          <w:footerReference w:type="first" r:id="rId37"/>
          <w:pgSz w:w="11910" w:h="16840"/>
          <w:pgMar w:top="1360" w:right="700" w:bottom="280" w:left="720" w:header="288" w:footer="0" w:gutter="0"/>
          <w:cols w:space="720"/>
          <w:titlePg/>
          <w:docGrid w:linePitch="299"/>
        </w:sectPr>
      </w:pPr>
    </w:p>
    <w:p w14:paraId="488630DD" w14:textId="77777777" w:rsidR="00664206" w:rsidRDefault="003F788D">
      <w:pPr>
        <w:pStyle w:val="Heading1"/>
        <w:spacing w:before="66"/>
      </w:pPr>
      <w:r>
        <w:lastRenderedPageBreak/>
        <w:t>Annex 1: Relevant Ramsar Strategic Plan Targets and AEWA Resolutions</w:t>
      </w:r>
    </w:p>
    <w:p w14:paraId="5F0D6BDE" w14:textId="77777777" w:rsidR="00664206" w:rsidRPr="008B0F33" w:rsidRDefault="00664206">
      <w:pPr>
        <w:pStyle w:val="BodyText"/>
        <w:spacing w:before="9"/>
        <w:rPr>
          <w:b/>
          <w:sz w:val="24"/>
          <w:szCs w:val="24"/>
        </w:rPr>
      </w:pPr>
    </w:p>
    <w:p w14:paraId="20F01ED5" w14:textId="77777777" w:rsidR="00664206" w:rsidRDefault="003F788D">
      <w:pPr>
        <w:ind w:left="720"/>
        <w:rPr>
          <w:b/>
          <w:sz w:val="24"/>
        </w:rPr>
      </w:pPr>
      <w:r>
        <w:rPr>
          <w:b/>
          <w:sz w:val="24"/>
        </w:rPr>
        <w:t>Relevant Ramsar Strategic Plan Targets</w:t>
      </w:r>
    </w:p>
    <w:p w14:paraId="36DB9C88" w14:textId="77777777" w:rsidR="00664206" w:rsidRDefault="003F788D" w:rsidP="006C2A38">
      <w:pPr>
        <w:pStyle w:val="BodyText"/>
        <w:spacing w:before="161"/>
        <w:ind w:left="720" w:right="747"/>
        <w:jc w:val="both"/>
      </w:pPr>
      <w:r>
        <w:t>Ramsar Strategic Plan 2016-2024 Target 5: “The ecological character of Ramsar sites is maintained or restored, through effective planning and integrated management”. It identifies the potential indicator of “Coverage of wetland dependent bird populations by designated Ramsar Sites. Indicator from Resolution IX.1 to be developed”.</w:t>
      </w:r>
    </w:p>
    <w:p w14:paraId="2210EE5E" w14:textId="77777777" w:rsidR="00664206" w:rsidRDefault="00664206" w:rsidP="006C2A38">
      <w:pPr>
        <w:pStyle w:val="BodyText"/>
        <w:spacing w:before="2"/>
        <w:jc w:val="both"/>
      </w:pPr>
    </w:p>
    <w:p w14:paraId="29485754" w14:textId="04AE81FE" w:rsidR="006C2A38" w:rsidRDefault="003F788D" w:rsidP="006C2A38">
      <w:pPr>
        <w:pStyle w:val="BodyText"/>
        <w:ind w:left="720"/>
        <w:jc w:val="both"/>
      </w:pPr>
      <w:r>
        <w:t xml:space="preserve">Ramsar Strategic Plan 2016-2024 Target 11: “Wetland functions, services and benefits are widely </w:t>
      </w:r>
    </w:p>
    <w:p w14:paraId="7E954145" w14:textId="6C94F358" w:rsidR="00664206" w:rsidRDefault="003F788D" w:rsidP="006C2A38">
      <w:pPr>
        <w:pStyle w:val="BodyText"/>
        <w:ind w:left="720"/>
        <w:jc w:val="both"/>
      </w:pPr>
      <w:r>
        <w:t>demonstrated, documented and disseminated”</w:t>
      </w:r>
      <w:r>
        <w:rPr>
          <w:vertAlign w:val="superscript"/>
        </w:rPr>
        <w:t>8</w:t>
      </w:r>
      <w:r>
        <w:t>.</w:t>
      </w:r>
    </w:p>
    <w:p w14:paraId="3EF5EBF4" w14:textId="77777777" w:rsidR="00664206" w:rsidRDefault="00664206" w:rsidP="006C2A38">
      <w:pPr>
        <w:pStyle w:val="BodyText"/>
        <w:jc w:val="both"/>
      </w:pPr>
    </w:p>
    <w:p w14:paraId="7B69BB17" w14:textId="7F19557F" w:rsidR="00664206" w:rsidRDefault="003F788D" w:rsidP="006C2A38">
      <w:pPr>
        <w:pStyle w:val="BodyText"/>
        <w:ind w:left="720" w:right="735"/>
        <w:jc w:val="both"/>
      </w:pPr>
      <w:r>
        <w:t>Ramsar Strategic Plan 2016-2024 Target 13: “Enhanced sustainability of key sectors such as water, energy,</w:t>
      </w:r>
      <w:r>
        <w:rPr>
          <w:spacing w:val="-5"/>
        </w:rPr>
        <w:t xml:space="preserve"> </w:t>
      </w:r>
      <w:r>
        <w:t>mining,</w:t>
      </w:r>
      <w:r>
        <w:rPr>
          <w:spacing w:val="-5"/>
        </w:rPr>
        <w:t xml:space="preserve"> </w:t>
      </w:r>
      <w:r>
        <w:t>agriculture,</w:t>
      </w:r>
      <w:r>
        <w:rPr>
          <w:spacing w:val="-4"/>
        </w:rPr>
        <w:t xml:space="preserve"> </w:t>
      </w:r>
      <w:r>
        <w:t>tourism,</w:t>
      </w:r>
      <w:r>
        <w:rPr>
          <w:spacing w:val="-4"/>
        </w:rPr>
        <w:t xml:space="preserve"> </w:t>
      </w:r>
      <w:r>
        <w:t>urban</w:t>
      </w:r>
      <w:r>
        <w:rPr>
          <w:spacing w:val="-4"/>
        </w:rPr>
        <w:t xml:space="preserve"> </w:t>
      </w:r>
      <w:r>
        <w:t>development,</w:t>
      </w:r>
      <w:r>
        <w:rPr>
          <w:spacing w:val="-5"/>
        </w:rPr>
        <w:t xml:space="preserve"> </w:t>
      </w:r>
      <w:r>
        <w:t>infrastructure,</w:t>
      </w:r>
      <w:r>
        <w:rPr>
          <w:spacing w:val="-4"/>
        </w:rPr>
        <w:t xml:space="preserve"> </w:t>
      </w:r>
      <w:r>
        <w:t>industry,</w:t>
      </w:r>
      <w:r>
        <w:rPr>
          <w:spacing w:val="-6"/>
        </w:rPr>
        <w:t xml:space="preserve"> </w:t>
      </w:r>
      <w:r>
        <w:t>forestry,</w:t>
      </w:r>
      <w:r>
        <w:rPr>
          <w:spacing w:val="-5"/>
        </w:rPr>
        <w:t xml:space="preserve"> </w:t>
      </w:r>
      <w:r>
        <w:t>aquaculture and fisheries, agriculture and ecotourism practices when they affect wetlands, contributing to biodiversity conservation and human</w:t>
      </w:r>
      <w:r>
        <w:rPr>
          <w:spacing w:val="-3"/>
        </w:rPr>
        <w:t xml:space="preserve"> </w:t>
      </w:r>
      <w:r>
        <w:t>livelihoods”</w:t>
      </w:r>
      <w:r>
        <w:rPr>
          <w:vertAlign w:val="superscript"/>
        </w:rPr>
        <w:t>9</w:t>
      </w:r>
      <w:r>
        <w:t>.</w:t>
      </w:r>
    </w:p>
    <w:p w14:paraId="223B5E30" w14:textId="77777777" w:rsidR="00664206" w:rsidRPr="008B0F33" w:rsidRDefault="00664206">
      <w:pPr>
        <w:pStyle w:val="BodyText"/>
        <w:spacing w:before="3"/>
        <w:rPr>
          <w:sz w:val="24"/>
          <w:szCs w:val="24"/>
        </w:rPr>
      </w:pPr>
    </w:p>
    <w:p w14:paraId="5A992297" w14:textId="77777777" w:rsidR="00664206" w:rsidRDefault="003F788D">
      <w:pPr>
        <w:pStyle w:val="Heading1"/>
        <w:jc w:val="both"/>
      </w:pPr>
      <w:r>
        <w:t>Relevant parts of AEWA Resolution 6.3:</w:t>
      </w:r>
    </w:p>
    <w:p w14:paraId="3FD0DBD0" w14:textId="77777777" w:rsidR="00664206" w:rsidRDefault="003F788D">
      <w:pPr>
        <w:pStyle w:val="BodyText"/>
        <w:spacing w:before="162"/>
        <w:ind w:left="720" w:right="735"/>
        <w:jc w:val="both"/>
      </w:pPr>
      <w:r>
        <w:t>Preambular Paragraph 17: “Recognising that other MEAs, particularly the Ramsar Convention on Wetlands and the Convention on Migratory Species, as well as the EU Birds Directive, require regular waterbird monitoring data for their operations, such as Ramsar criteria 5 and 6 for the designation of wetlands of international importance whose applicability is linked to the Waterbird Population Estimates which is largely derived from IWC data,”</w:t>
      </w:r>
    </w:p>
    <w:p w14:paraId="4A8D960D" w14:textId="77777777" w:rsidR="00664206" w:rsidRDefault="00664206">
      <w:pPr>
        <w:pStyle w:val="BodyText"/>
      </w:pPr>
    </w:p>
    <w:p w14:paraId="34C2423F" w14:textId="77777777" w:rsidR="00664206" w:rsidRDefault="003F788D">
      <w:pPr>
        <w:pStyle w:val="BodyText"/>
        <w:ind w:left="720" w:right="736"/>
        <w:jc w:val="both"/>
      </w:pPr>
      <w:r>
        <w:t>Operational Paragraph 14: “Invites the Technical Committee and the Secretariat to work with the Ramsar Scientific and Technical Review Panel and the Ramsar Convention Secretariat to identify possible synergies with respect to waterbird monitoring, taking into account the Ramsar Strategic Plan 2016-2024, Targets 11 and 13, and the possible development of further indicators for Target 5 related to coverage of wetland-dependent bird populations by designated Ramsar Sites”.</w:t>
      </w:r>
    </w:p>
    <w:p w14:paraId="1B743658" w14:textId="77777777" w:rsidR="00664206" w:rsidRPr="008B0F33" w:rsidRDefault="00664206">
      <w:pPr>
        <w:pStyle w:val="BodyText"/>
        <w:spacing w:before="4"/>
        <w:rPr>
          <w:sz w:val="24"/>
          <w:szCs w:val="24"/>
        </w:rPr>
      </w:pPr>
    </w:p>
    <w:p w14:paraId="54557E12" w14:textId="77777777" w:rsidR="00664206" w:rsidRDefault="003F788D">
      <w:pPr>
        <w:pStyle w:val="Heading1"/>
        <w:jc w:val="both"/>
      </w:pPr>
      <w:r>
        <w:t>Relevant parts of AEWA Resolution 7.7:</w:t>
      </w:r>
    </w:p>
    <w:p w14:paraId="6ED269E7" w14:textId="77777777" w:rsidR="00664206" w:rsidRDefault="003F788D">
      <w:pPr>
        <w:pStyle w:val="BodyText"/>
        <w:spacing w:before="160"/>
        <w:ind w:left="720" w:right="740"/>
        <w:jc w:val="both"/>
      </w:pPr>
      <w:r>
        <w:t>Preambular Paragraph 10: “Acknowledging the major contributions of the EU Birds Directive Article 12 reporting process and the European Red List of Birds to the last two editions of the AEWA Conservation Status Report”,</w:t>
      </w:r>
    </w:p>
    <w:p w14:paraId="1935BC4E" w14:textId="77777777" w:rsidR="00664206" w:rsidRDefault="00664206">
      <w:pPr>
        <w:pStyle w:val="BodyText"/>
        <w:spacing w:before="1"/>
      </w:pPr>
    </w:p>
    <w:p w14:paraId="3D85B9B4" w14:textId="77777777" w:rsidR="00664206" w:rsidRDefault="003F788D">
      <w:pPr>
        <w:pStyle w:val="BodyText"/>
        <w:ind w:left="720" w:right="735"/>
        <w:jc w:val="both"/>
      </w:pPr>
      <w:r>
        <w:t>Preambular Paragraph 12: “Acknowledging shared interest in water- and seabird populations covered by status assessment under OSPAR, HELCOM and CAFF”,</w:t>
      </w:r>
    </w:p>
    <w:p w14:paraId="4E31FF2A" w14:textId="77777777" w:rsidR="00664206" w:rsidRDefault="00664206">
      <w:pPr>
        <w:pStyle w:val="BodyText"/>
      </w:pPr>
    </w:p>
    <w:p w14:paraId="6F16C0C0" w14:textId="77777777" w:rsidR="00664206" w:rsidRDefault="003F788D">
      <w:pPr>
        <w:pStyle w:val="BodyText"/>
        <w:ind w:left="720" w:right="737"/>
        <w:jc w:val="both"/>
      </w:pPr>
      <w:r>
        <w:t>Preambular Paragraph 17: “Recognising that other MEAs, particularly the Ramsar Convention on Wetlands and the Convention on Migratory Species, as well as the EU Birds Directive, require regular waterbird monitoring data for their operations, such as Ramsar criteria 5 and 6 for the designation of wetlands of international importance whose applicability is linked to the Waterbird Population Estimates”,</w:t>
      </w:r>
    </w:p>
    <w:p w14:paraId="56ED856D" w14:textId="77777777" w:rsidR="00664206" w:rsidRDefault="00664206">
      <w:pPr>
        <w:pStyle w:val="BodyText"/>
        <w:spacing w:before="1"/>
      </w:pPr>
    </w:p>
    <w:p w14:paraId="71249437" w14:textId="77777777" w:rsidR="00664206" w:rsidRDefault="003F788D">
      <w:pPr>
        <w:pStyle w:val="BodyText"/>
        <w:ind w:left="720" w:right="735"/>
        <w:jc w:val="both"/>
      </w:pPr>
      <w:r>
        <w:t>Operational Paragraph 11: “Invites the Technical Committee and the Secretariat to work with the Ramsar Convention and its regional initiatives, the European Commission as well as CAFF-AMBI, Common Wadden Sea Secretariat (Wadden Sea Flyway Initiative), OSPAR, HELCOM and other</w:t>
      </w:r>
    </w:p>
    <w:p w14:paraId="2356F838" w14:textId="77777777" w:rsidR="00664206" w:rsidRDefault="00664206">
      <w:pPr>
        <w:pStyle w:val="BodyText"/>
        <w:rPr>
          <w:sz w:val="20"/>
        </w:rPr>
      </w:pPr>
    </w:p>
    <w:p w14:paraId="5A7D4818" w14:textId="09F1F63B" w:rsidR="00664206" w:rsidRDefault="0010537A" w:rsidP="00ED7342">
      <w:pPr>
        <w:pStyle w:val="BodyText"/>
        <w:tabs>
          <w:tab w:val="left" w:pos="3120"/>
        </w:tabs>
        <w:spacing w:before="7"/>
        <w:rPr>
          <w:sz w:val="26"/>
        </w:rPr>
      </w:pPr>
      <w:r>
        <w:rPr>
          <w:noProof/>
        </w:rPr>
        <mc:AlternateContent>
          <mc:Choice Requires="wps">
            <w:drawing>
              <wp:anchor distT="0" distB="0" distL="0" distR="0" simplePos="0" relativeHeight="251658256" behindDoc="1" locked="0" layoutInCell="1" allowOverlap="1" wp14:anchorId="3357B79E" wp14:editId="472BFEDE">
                <wp:simplePos x="0" y="0"/>
                <wp:positionH relativeFrom="page">
                  <wp:posOffset>914400</wp:posOffset>
                </wp:positionH>
                <wp:positionV relativeFrom="paragraph">
                  <wp:posOffset>219075</wp:posOffset>
                </wp:positionV>
                <wp:extent cx="1828800" cy="762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45DCF" id="Rectangle 3" o:spid="_x0000_s1026" style="position:absolute;margin-left:1in;margin-top:17.25pt;width:2in;height:.6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Rx+gEAANk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" fillcolor="black" stroked="f">
                <w10:wrap type="topAndBottom" anchorx="page"/>
              </v:rect>
            </w:pict>
          </mc:Fallback>
        </mc:AlternateContent>
      </w:r>
      <w:r w:rsidR="00ED7342">
        <w:rPr>
          <w:sz w:val="26"/>
        </w:rPr>
        <w:tab/>
      </w:r>
    </w:p>
    <w:p w14:paraId="1343B310" w14:textId="77777777" w:rsidR="00664206" w:rsidRDefault="003F788D" w:rsidP="006C2A38">
      <w:pPr>
        <w:spacing w:before="74" w:line="229" w:lineRule="exact"/>
        <w:ind w:left="720"/>
        <w:jc w:val="both"/>
        <w:rPr>
          <w:sz w:val="20"/>
        </w:rPr>
      </w:pPr>
      <w:r>
        <w:rPr>
          <w:sz w:val="20"/>
          <w:vertAlign w:val="superscript"/>
        </w:rPr>
        <w:t>8</w:t>
      </w:r>
      <w:r>
        <w:rPr>
          <w:sz w:val="20"/>
        </w:rPr>
        <w:t xml:space="preserve"> No waterbird related indicator identified in the Ramsar Handbook.</w:t>
      </w:r>
    </w:p>
    <w:p w14:paraId="27392755" w14:textId="77777777" w:rsidR="00664206" w:rsidRDefault="003F788D" w:rsidP="006C2A38">
      <w:pPr>
        <w:ind w:left="720" w:right="631"/>
        <w:jc w:val="both"/>
        <w:rPr>
          <w:sz w:val="20"/>
        </w:rPr>
      </w:pPr>
      <w:r>
        <w:rPr>
          <w:sz w:val="20"/>
          <w:vertAlign w:val="superscript"/>
        </w:rPr>
        <w:t>9</w:t>
      </w:r>
      <w:r>
        <w:rPr>
          <w:spacing w:val="-12"/>
          <w:sz w:val="20"/>
        </w:rPr>
        <w:t xml:space="preserve"> </w:t>
      </w:r>
      <w:r>
        <w:rPr>
          <w:sz w:val="20"/>
        </w:rPr>
        <w:t>No</w:t>
      </w:r>
      <w:r>
        <w:rPr>
          <w:spacing w:val="-11"/>
          <w:sz w:val="20"/>
        </w:rPr>
        <w:t xml:space="preserve"> </w:t>
      </w:r>
      <w:r>
        <w:rPr>
          <w:sz w:val="20"/>
        </w:rPr>
        <w:t>waterbird</w:t>
      </w:r>
      <w:r>
        <w:rPr>
          <w:spacing w:val="-11"/>
          <w:sz w:val="20"/>
        </w:rPr>
        <w:t xml:space="preserve"> </w:t>
      </w:r>
      <w:r>
        <w:rPr>
          <w:sz w:val="20"/>
        </w:rPr>
        <w:t>related</w:t>
      </w:r>
      <w:r>
        <w:rPr>
          <w:spacing w:val="-11"/>
          <w:sz w:val="20"/>
        </w:rPr>
        <w:t xml:space="preserve"> </w:t>
      </w:r>
      <w:r>
        <w:rPr>
          <w:sz w:val="20"/>
        </w:rPr>
        <w:t>indicator</w:t>
      </w:r>
      <w:r>
        <w:rPr>
          <w:spacing w:val="-13"/>
          <w:sz w:val="20"/>
        </w:rPr>
        <w:t xml:space="preserve"> </w:t>
      </w:r>
      <w:r>
        <w:rPr>
          <w:sz w:val="20"/>
        </w:rPr>
        <w:t>identified</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Ramsar</w:t>
      </w:r>
      <w:r>
        <w:rPr>
          <w:spacing w:val="-6"/>
          <w:sz w:val="20"/>
        </w:rPr>
        <w:t xml:space="preserve"> </w:t>
      </w:r>
      <w:r>
        <w:rPr>
          <w:sz w:val="20"/>
        </w:rPr>
        <w:t>Handbook</w:t>
      </w:r>
      <w:r>
        <w:rPr>
          <w:spacing w:val="-12"/>
          <w:sz w:val="20"/>
        </w:rPr>
        <w:t xml:space="preserve"> </w:t>
      </w:r>
      <w:r>
        <w:rPr>
          <w:sz w:val="20"/>
        </w:rPr>
        <w:t>but</w:t>
      </w:r>
      <w:r>
        <w:rPr>
          <w:spacing w:val="-12"/>
          <w:sz w:val="20"/>
        </w:rPr>
        <w:t xml:space="preserve"> </w:t>
      </w:r>
      <w:r>
        <w:rPr>
          <w:sz w:val="20"/>
        </w:rPr>
        <w:t>identified</w:t>
      </w:r>
      <w:r>
        <w:rPr>
          <w:spacing w:val="-11"/>
          <w:sz w:val="20"/>
        </w:rPr>
        <w:t xml:space="preserve"> </w:t>
      </w:r>
      <w:r>
        <w:rPr>
          <w:sz w:val="20"/>
        </w:rPr>
        <w:t>possibly</w:t>
      </w:r>
      <w:r>
        <w:rPr>
          <w:spacing w:val="-11"/>
          <w:sz w:val="20"/>
        </w:rPr>
        <w:t xml:space="preserve"> </w:t>
      </w:r>
      <w:r>
        <w:rPr>
          <w:sz w:val="20"/>
        </w:rPr>
        <w:t>using</w:t>
      </w:r>
      <w:r>
        <w:rPr>
          <w:spacing w:val="-11"/>
          <w:sz w:val="20"/>
        </w:rPr>
        <w:t xml:space="preserve"> </w:t>
      </w:r>
      <w:r>
        <w:rPr>
          <w:sz w:val="20"/>
        </w:rPr>
        <w:t>indicators</w:t>
      </w:r>
      <w:r>
        <w:rPr>
          <w:spacing w:val="-12"/>
          <w:sz w:val="20"/>
        </w:rPr>
        <w:t xml:space="preserve"> </w:t>
      </w:r>
      <w:r>
        <w:rPr>
          <w:sz w:val="20"/>
        </w:rPr>
        <w:t>linking to the relevant Aichi Target indicators and other relevant international</w:t>
      </w:r>
      <w:r>
        <w:rPr>
          <w:spacing w:val="-8"/>
          <w:sz w:val="20"/>
        </w:rPr>
        <w:t xml:space="preserve"> </w:t>
      </w:r>
      <w:r>
        <w:rPr>
          <w:sz w:val="20"/>
        </w:rPr>
        <w:t>processes.</w:t>
      </w:r>
    </w:p>
    <w:p w14:paraId="56A6BC66" w14:textId="77777777" w:rsidR="00664206" w:rsidRDefault="00664206">
      <w:pPr>
        <w:rPr>
          <w:sz w:val="20"/>
        </w:rPr>
        <w:sectPr w:rsidR="00664206" w:rsidSect="003F788D">
          <w:pgSz w:w="11910" w:h="16840"/>
          <w:pgMar w:top="1360" w:right="700" w:bottom="280" w:left="720" w:header="720" w:footer="0" w:gutter="0"/>
          <w:cols w:space="720"/>
          <w:docGrid w:linePitch="299"/>
        </w:sectPr>
      </w:pPr>
    </w:p>
    <w:p w14:paraId="55966AB2" w14:textId="77777777" w:rsidR="00664206" w:rsidRDefault="003F788D" w:rsidP="006C2A38">
      <w:pPr>
        <w:pStyle w:val="BodyText"/>
        <w:spacing w:before="65"/>
        <w:ind w:left="720" w:right="631"/>
        <w:jc w:val="both"/>
      </w:pPr>
      <w:r>
        <w:lastRenderedPageBreak/>
        <w:t>relevant regional MEAs to identify possible synergies with respect to waterbird population estimates and to waterbird monitoring and reporting”.</w:t>
      </w:r>
    </w:p>
    <w:p w14:paraId="0688201C" w14:textId="77777777" w:rsidR="00664206" w:rsidRDefault="00664206">
      <w:pPr>
        <w:pStyle w:val="BodyText"/>
        <w:rPr>
          <w:sz w:val="20"/>
        </w:rPr>
      </w:pPr>
    </w:p>
    <w:p w14:paraId="2F4485CC" w14:textId="77777777" w:rsidR="00664206" w:rsidRDefault="00664206">
      <w:pPr>
        <w:pStyle w:val="BodyText"/>
        <w:rPr>
          <w:sz w:val="20"/>
        </w:rPr>
      </w:pPr>
    </w:p>
    <w:p w14:paraId="72CDC2B7" w14:textId="77777777" w:rsidR="00664206" w:rsidRDefault="00664206">
      <w:pPr>
        <w:pStyle w:val="BodyText"/>
        <w:rPr>
          <w:sz w:val="20"/>
        </w:rPr>
      </w:pPr>
    </w:p>
    <w:p w14:paraId="5AB3DDFD" w14:textId="77777777" w:rsidR="00664206" w:rsidRDefault="00664206">
      <w:pPr>
        <w:pStyle w:val="BodyText"/>
        <w:rPr>
          <w:sz w:val="20"/>
        </w:rPr>
      </w:pPr>
    </w:p>
    <w:p w14:paraId="41582853" w14:textId="77777777" w:rsidR="00664206" w:rsidRDefault="00664206">
      <w:pPr>
        <w:pStyle w:val="BodyText"/>
        <w:rPr>
          <w:sz w:val="20"/>
        </w:rPr>
      </w:pPr>
    </w:p>
    <w:p w14:paraId="6E0FC3D4" w14:textId="77777777" w:rsidR="00664206" w:rsidRDefault="00664206">
      <w:pPr>
        <w:pStyle w:val="BodyText"/>
        <w:rPr>
          <w:sz w:val="20"/>
        </w:rPr>
      </w:pPr>
    </w:p>
    <w:p w14:paraId="6DD88763" w14:textId="77777777" w:rsidR="00664206" w:rsidRDefault="00664206">
      <w:pPr>
        <w:pStyle w:val="BodyText"/>
        <w:rPr>
          <w:sz w:val="20"/>
        </w:rPr>
      </w:pPr>
    </w:p>
    <w:p w14:paraId="26CEC60C" w14:textId="77777777" w:rsidR="00664206" w:rsidRDefault="00664206">
      <w:pPr>
        <w:pStyle w:val="BodyText"/>
        <w:rPr>
          <w:sz w:val="20"/>
        </w:rPr>
      </w:pPr>
    </w:p>
    <w:p w14:paraId="65906F2F" w14:textId="77777777" w:rsidR="00664206" w:rsidRDefault="00664206">
      <w:pPr>
        <w:pStyle w:val="BodyText"/>
        <w:rPr>
          <w:sz w:val="20"/>
        </w:rPr>
      </w:pPr>
    </w:p>
    <w:p w14:paraId="71063A15" w14:textId="77777777" w:rsidR="00664206" w:rsidRDefault="00664206">
      <w:pPr>
        <w:pStyle w:val="BodyText"/>
        <w:rPr>
          <w:sz w:val="20"/>
        </w:rPr>
      </w:pPr>
    </w:p>
    <w:p w14:paraId="16EF39EF" w14:textId="04C6FDA3" w:rsidR="00664206" w:rsidRDefault="00664206">
      <w:pPr>
        <w:pStyle w:val="BodyText"/>
        <w:spacing w:before="10"/>
        <w:rPr>
          <w:sz w:val="20"/>
        </w:rPr>
      </w:pPr>
    </w:p>
    <w:sectPr w:rsidR="00664206" w:rsidSect="003F788D">
      <w:pgSz w:w="11910" w:h="16840"/>
      <w:pgMar w:top="1360" w:right="700" w:bottom="28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3A12" w14:textId="77777777" w:rsidR="00C4129B" w:rsidRDefault="00C4129B" w:rsidP="003F788D">
      <w:r>
        <w:separator/>
      </w:r>
    </w:p>
  </w:endnote>
  <w:endnote w:type="continuationSeparator" w:id="0">
    <w:p w14:paraId="5276B462" w14:textId="77777777" w:rsidR="00C4129B" w:rsidRDefault="00C4129B" w:rsidP="003F788D">
      <w:r>
        <w:continuationSeparator/>
      </w:r>
    </w:p>
  </w:endnote>
  <w:endnote w:type="continuationNotice" w:id="1">
    <w:p w14:paraId="37106ACB" w14:textId="77777777" w:rsidR="00C4129B" w:rsidRDefault="00C41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BB5E" w14:textId="77777777" w:rsidR="00EB1D05" w:rsidRDefault="00EB1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39653"/>
      <w:docPartObj>
        <w:docPartGallery w:val="Page Numbers (Bottom of Page)"/>
        <w:docPartUnique/>
      </w:docPartObj>
    </w:sdtPr>
    <w:sdtEndPr>
      <w:rPr>
        <w:noProof/>
        <w:sz w:val="20"/>
        <w:szCs w:val="20"/>
      </w:rPr>
    </w:sdtEndPr>
    <w:sdtContent>
      <w:p w14:paraId="32E225AC" w14:textId="77777777" w:rsidR="00C4129B" w:rsidRPr="003F788D" w:rsidRDefault="00C4129B">
        <w:pPr>
          <w:pStyle w:val="Footer"/>
          <w:jc w:val="center"/>
          <w:rPr>
            <w:sz w:val="20"/>
            <w:szCs w:val="20"/>
          </w:rPr>
        </w:pPr>
        <w:r w:rsidRPr="003F788D">
          <w:rPr>
            <w:sz w:val="20"/>
            <w:szCs w:val="20"/>
          </w:rPr>
          <w:fldChar w:fldCharType="begin"/>
        </w:r>
        <w:r w:rsidRPr="003F788D">
          <w:rPr>
            <w:sz w:val="20"/>
            <w:szCs w:val="20"/>
          </w:rPr>
          <w:instrText xml:space="preserve"> PAGE   \* MERGEFORMAT </w:instrText>
        </w:r>
        <w:r w:rsidRPr="003F788D">
          <w:rPr>
            <w:sz w:val="20"/>
            <w:szCs w:val="20"/>
          </w:rPr>
          <w:fldChar w:fldCharType="separate"/>
        </w:r>
        <w:r w:rsidRPr="003F788D">
          <w:rPr>
            <w:noProof/>
            <w:sz w:val="20"/>
            <w:szCs w:val="20"/>
          </w:rPr>
          <w:t>2</w:t>
        </w:r>
        <w:r w:rsidRPr="003F788D">
          <w:rPr>
            <w:noProof/>
            <w:sz w:val="20"/>
            <w:szCs w:val="20"/>
          </w:rPr>
          <w:fldChar w:fldCharType="end"/>
        </w:r>
      </w:p>
    </w:sdtContent>
  </w:sdt>
  <w:p w14:paraId="28CC0C01" w14:textId="77777777" w:rsidR="00C4129B" w:rsidRDefault="00C41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F670" w14:textId="77777777" w:rsidR="00EB1D05" w:rsidRDefault="00EB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FCEE" w14:textId="77777777" w:rsidR="00C4129B" w:rsidRDefault="00C4129B" w:rsidP="003F788D">
      <w:r>
        <w:separator/>
      </w:r>
    </w:p>
  </w:footnote>
  <w:footnote w:type="continuationSeparator" w:id="0">
    <w:p w14:paraId="26E83AE8" w14:textId="77777777" w:rsidR="00C4129B" w:rsidRDefault="00C4129B" w:rsidP="003F788D">
      <w:r>
        <w:continuationSeparator/>
      </w:r>
    </w:p>
  </w:footnote>
  <w:footnote w:type="continuationNotice" w:id="1">
    <w:p w14:paraId="5169AD66" w14:textId="77777777" w:rsidR="00C4129B" w:rsidRDefault="00C4129B"/>
  </w:footnote>
  <w:footnote w:id="2">
    <w:p w14:paraId="16802A54" w14:textId="7E6E36AA" w:rsidR="00C4129B" w:rsidRPr="004800A6" w:rsidRDefault="00C4129B">
      <w:pPr>
        <w:pStyle w:val="FootnoteText"/>
      </w:pPr>
      <w:r>
        <w:rPr>
          <w:rStyle w:val="FootnoteReference"/>
        </w:rPr>
        <w:footnoteRef/>
      </w:r>
      <w:r>
        <w:t xml:space="preserve"> </w:t>
      </w:r>
      <w:r w:rsidRPr="00865AE2">
        <w:t>See Annex 1 for details.</w:t>
      </w:r>
    </w:p>
  </w:footnote>
  <w:footnote w:id="3">
    <w:p w14:paraId="578F862D" w14:textId="118D4D1B" w:rsidR="00C4129B" w:rsidRPr="001B6957" w:rsidRDefault="00C4129B" w:rsidP="00ED7342">
      <w:pPr>
        <w:pStyle w:val="FootnoteText"/>
        <w:jc w:val="both"/>
      </w:pPr>
      <w:r>
        <w:rPr>
          <w:rStyle w:val="FootnoteReference"/>
        </w:rPr>
        <w:footnoteRef/>
      </w:r>
      <w:r>
        <w:t xml:space="preserve"> After</w:t>
      </w:r>
      <w:r>
        <w:rPr>
          <w:spacing w:val="-6"/>
        </w:rPr>
        <w:t xml:space="preserve"> </w:t>
      </w:r>
      <w:r>
        <w:t>2015</w:t>
      </w:r>
      <w:r>
        <w:rPr>
          <w:spacing w:val="-9"/>
        </w:rPr>
        <w:t xml:space="preserve"> </w:t>
      </w:r>
      <w:r>
        <w:t>these</w:t>
      </w:r>
      <w:r>
        <w:rPr>
          <w:spacing w:val="-7"/>
        </w:rPr>
        <w:t xml:space="preserve"> </w:t>
      </w:r>
      <w:r>
        <w:t>reports</w:t>
      </w:r>
      <w:r>
        <w:rPr>
          <w:spacing w:val="-9"/>
        </w:rPr>
        <w:t xml:space="preserve"> </w:t>
      </w:r>
      <w:r>
        <w:t>became</w:t>
      </w:r>
      <w:r>
        <w:rPr>
          <w:spacing w:val="-6"/>
        </w:rPr>
        <w:t xml:space="preserve"> </w:t>
      </w:r>
      <w:r>
        <w:t>largely</w:t>
      </w:r>
      <w:r>
        <w:rPr>
          <w:spacing w:val="-9"/>
        </w:rPr>
        <w:t xml:space="preserve"> </w:t>
      </w:r>
      <w:r>
        <w:t>unnecessary</w:t>
      </w:r>
      <w:r>
        <w:rPr>
          <w:spacing w:val="-6"/>
        </w:rPr>
        <w:t xml:space="preserve"> </w:t>
      </w:r>
      <w:r>
        <w:t>because</w:t>
      </w:r>
      <w:r>
        <w:rPr>
          <w:spacing w:val="-7"/>
        </w:rPr>
        <w:t xml:space="preserve"> </w:t>
      </w:r>
      <w:r>
        <w:t>of</w:t>
      </w:r>
      <w:r>
        <w:rPr>
          <w:spacing w:val="-6"/>
        </w:rPr>
        <w:t xml:space="preserve"> </w:t>
      </w:r>
      <w:r>
        <w:t>the</w:t>
      </w:r>
      <w:r>
        <w:rPr>
          <w:spacing w:val="-6"/>
        </w:rPr>
        <w:t xml:space="preserve"> </w:t>
      </w:r>
      <w:r>
        <w:t>European</w:t>
      </w:r>
      <w:r>
        <w:rPr>
          <w:spacing w:val="-7"/>
        </w:rPr>
        <w:t xml:space="preserve"> </w:t>
      </w:r>
      <w:r>
        <w:t>Red</w:t>
      </w:r>
      <w:r>
        <w:rPr>
          <w:spacing w:val="-8"/>
        </w:rPr>
        <w:t xml:space="preserve"> </w:t>
      </w:r>
      <w:r>
        <w:t>List</w:t>
      </w:r>
      <w:r>
        <w:rPr>
          <w:spacing w:val="-8"/>
        </w:rPr>
        <w:t xml:space="preserve"> </w:t>
      </w:r>
      <w:r>
        <w:t>process</w:t>
      </w:r>
      <w:r>
        <w:rPr>
          <w:spacing w:val="-7"/>
        </w:rPr>
        <w:t xml:space="preserve"> </w:t>
      </w:r>
      <w:r>
        <w:t>except</w:t>
      </w:r>
      <w:r>
        <w:rPr>
          <w:spacing w:val="-8"/>
        </w:rPr>
        <w:t xml:space="preserve"> </w:t>
      </w:r>
      <w:r>
        <w:t>Canadian part of some AEWA waterbird</w:t>
      </w:r>
      <w:r>
        <w:rPr>
          <w:spacing w:val="-3"/>
        </w:rPr>
        <w:t xml:space="preserve"> </w:t>
      </w:r>
      <w:r>
        <w:t>populations</w:t>
      </w:r>
      <w:r w:rsidR="00ED7342">
        <w:t>.</w:t>
      </w:r>
    </w:p>
  </w:footnote>
  <w:footnote w:id="4">
    <w:p w14:paraId="1561CD87" w14:textId="1524A9D4" w:rsidR="00C4129B" w:rsidRPr="004800A6" w:rsidRDefault="00C4129B">
      <w:pPr>
        <w:pStyle w:val="FootnoteText"/>
      </w:pPr>
      <w:r>
        <w:rPr>
          <w:rStyle w:val="FootnoteReference"/>
        </w:rPr>
        <w:footnoteRef/>
      </w:r>
      <w:r>
        <w:t xml:space="preserve"> </w:t>
      </w:r>
      <w:r w:rsidRPr="008B0F33">
        <w:t>1% threshold</w:t>
      </w:r>
    </w:p>
  </w:footnote>
  <w:footnote w:id="5">
    <w:p w14:paraId="5934A7BC" w14:textId="16FBC55D" w:rsidR="00C4129B" w:rsidRPr="004800A6" w:rsidRDefault="00C4129B">
      <w:pPr>
        <w:pStyle w:val="FootnoteText"/>
      </w:pPr>
      <w:r>
        <w:rPr>
          <w:rStyle w:val="FootnoteReference"/>
        </w:rPr>
        <w:footnoteRef/>
      </w:r>
      <w:r w:rsidRPr="004800A6">
        <w:t xml:space="preserve"> </w:t>
      </w:r>
      <w:hyperlink r:id="rId1">
        <w:r w:rsidRPr="004800A6">
          <w:rPr>
            <w:color w:val="0000FF"/>
            <w:u w:val="single" w:color="0000FF"/>
          </w:rPr>
          <w:t>https://www.ices.dk/data/data-portals/Pages/Biodiversity.aspx</w:t>
        </w:r>
      </w:hyperlink>
    </w:p>
  </w:footnote>
  <w:footnote w:id="6">
    <w:p w14:paraId="1A43DCA8" w14:textId="0AE55DA5" w:rsidR="00C4129B" w:rsidRPr="00FF6875" w:rsidRDefault="00C4129B" w:rsidP="00ED7342">
      <w:pPr>
        <w:pStyle w:val="FootnoteText"/>
        <w:jc w:val="both"/>
      </w:pPr>
      <w:r>
        <w:rPr>
          <w:rStyle w:val="FootnoteReference"/>
        </w:rPr>
        <w:footnoteRef/>
      </w:r>
      <w:r>
        <w:t xml:space="preserve"> </w:t>
      </w:r>
      <w:r w:rsidRPr="009D1729">
        <w:rPr>
          <w:szCs w:val="22"/>
        </w:rPr>
        <w:t>Aligned with the EU Article 12 reporting to avoid duplication of efforts.</w:t>
      </w:r>
    </w:p>
  </w:footnote>
  <w:footnote w:id="7">
    <w:p w14:paraId="3525ADA0" w14:textId="6C2A5C00" w:rsidR="00C4129B" w:rsidRPr="00FF6875" w:rsidRDefault="00C4129B" w:rsidP="00ED7342">
      <w:pPr>
        <w:pStyle w:val="FootnoteText"/>
        <w:jc w:val="both"/>
      </w:pPr>
      <w:r>
        <w:rPr>
          <w:rStyle w:val="FootnoteReference"/>
        </w:rPr>
        <w:footnoteRef/>
      </w:r>
      <w:r>
        <w:t xml:space="preserve"> </w:t>
      </w:r>
      <w:r w:rsidRPr="00FF6875">
        <w:t>In practice, this schedule has not been possible after the first two editions of the WPE in 1994 and 1997. WPE3 has been published in 2002, WPE4 in 2007, WPE5 in 2012 and WPE6 is under development.</w:t>
      </w:r>
    </w:p>
  </w:footnote>
  <w:footnote w:id="8">
    <w:p w14:paraId="68693BA9" w14:textId="3FB1DA8F" w:rsidR="00C4129B" w:rsidRPr="00FF6875" w:rsidRDefault="00C4129B" w:rsidP="00ED7342">
      <w:pPr>
        <w:pStyle w:val="FootnoteText"/>
        <w:jc w:val="both"/>
      </w:pPr>
      <w:r>
        <w:rPr>
          <w:rStyle w:val="FootnoteReference"/>
        </w:rPr>
        <w:footnoteRef/>
      </w:r>
      <w:r>
        <w:t xml:space="preserve"> </w:t>
      </w:r>
      <w:r w:rsidRPr="009D1729">
        <w:rPr>
          <w:szCs w:val="22"/>
        </w:rPr>
        <w:t>There are discussions about changing the frequency to make sure it can feed into the assessment of the EU Biodiversity 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D33F" w14:textId="77777777" w:rsidR="00EB1D05" w:rsidRDefault="00EB1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0549" w14:textId="77777777" w:rsidR="00EB1D05" w:rsidRDefault="00EB1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9C5D" w14:textId="77777777" w:rsidR="002D3C7F" w:rsidRPr="002D3C7F" w:rsidRDefault="002D3C7F" w:rsidP="002D3C7F">
    <w:pPr>
      <w:widowControl/>
      <w:tabs>
        <w:tab w:val="center" w:pos="4680"/>
        <w:tab w:val="right" w:pos="9360"/>
      </w:tabs>
      <w:autoSpaceDE/>
      <w:autoSpaceDN/>
      <w:rPr>
        <w:rFonts w:ascii="Calibri" w:eastAsia="Calibri" w:hAnsi="Calibri"/>
      </w:rPr>
    </w:pPr>
  </w:p>
  <w:tbl>
    <w:tblPr>
      <w:tblW w:w="5000" w:type="pct"/>
      <w:tblBorders>
        <w:bottom w:val="single" w:sz="2" w:space="0" w:color="auto"/>
      </w:tblBorders>
      <w:tblLook w:val="04A0" w:firstRow="1" w:lastRow="0" w:firstColumn="1" w:lastColumn="0" w:noHBand="0" w:noVBand="1"/>
    </w:tblPr>
    <w:tblGrid>
      <w:gridCol w:w="2406"/>
      <w:gridCol w:w="5579"/>
      <w:gridCol w:w="2505"/>
    </w:tblGrid>
    <w:tr w:rsidR="002D3C7F" w:rsidRPr="002D3C7F" w14:paraId="210504F2" w14:textId="77777777" w:rsidTr="002D3C7F">
      <w:trPr>
        <w:trHeight w:val="1256"/>
      </w:trPr>
      <w:tc>
        <w:tcPr>
          <w:tcW w:w="1147" w:type="pct"/>
          <w:tcBorders>
            <w:top w:val="nil"/>
            <w:left w:val="nil"/>
            <w:bottom w:val="nil"/>
            <w:right w:val="nil"/>
          </w:tcBorders>
          <w:hideMark/>
        </w:tcPr>
        <w:p w14:paraId="4F3D934C" w14:textId="77777777" w:rsidR="002D3C7F" w:rsidRPr="002D3C7F" w:rsidRDefault="002D3C7F" w:rsidP="002D3C7F">
          <w:pPr>
            <w:widowControl/>
            <w:autoSpaceDE/>
            <w:autoSpaceDN/>
            <w:rPr>
              <w:sz w:val="24"/>
              <w:szCs w:val="24"/>
              <w:lang w:val="en-GB"/>
            </w:rPr>
          </w:pPr>
          <w:bookmarkStart w:id="1" w:name="_Hlk513643711"/>
          <w:r w:rsidRPr="002D3C7F">
            <w:rPr>
              <w:noProof/>
              <w:sz w:val="24"/>
              <w:szCs w:val="24"/>
              <w:lang w:val="de-DE" w:eastAsia="de-DE"/>
            </w:rPr>
            <w:drawing>
              <wp:inline distT="0" distB="0" distL="0" distR="0" wp14:anchorId="0BB1D15F" wp14:editId="3FB9E275">
                <wp:extent cx="800100" cy="670560"/>
                <wp:effectExtent l="0" t="0" r="0" b="0"/>
                <wp:docPr id="6"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84899AA" w14:textId="77777777" w:rsidR="002D3C7F" w:rsidRPr="002D3C7F" w:rsidRDefault="002D3C7F" w:rsidP="002D3C7F">
          <w:pPr>
            <w:widowControl/>
            <w:autoSpaceDE/>
            <w:autoSpaceDN/>
            <w:jc w:val="center"/>
            <w:rPr>
              <w:i/>
              <w:lang w:val="en-GB"/>
            </w:rPr>
          </w:pPr>
          <w:r w:rsidRPr="002D3C7F">
            <w:rPr>
              <w:i/>
              <w:lang w:val="en-GB"/>
            </w:rPr>
            <w:t>AGREEMENT ON THE CONSERVATION OF</w:t>
          </w:r>
        </w:p>
        <w:p w14:paraId="643BB412" w14:textId="77777777" w:rsidR="002D3C7F" w:rsidRPr="002D3C7F" w:rsidRDefault="002D3C7F" w:rsidP="002D3C7F">
          <w:pPr>
            <w:widowControl/>
            <w:autoSpaceDE/>
            <w:autoSpaceDN/>
            <w:jc w:val="center"/>
            <w:rPr>
              <w:sz w:val="24"/>
              <w:szCs w:val="24"/>
              <w:lang w:val="en-GB"/>
            </w:rPr>
          </w:pPr>
          <w:r w:rsidRPr="002D3C7F">
            <w:rPr>
              <w:i/>
              <w:lang w:val="en-GB"/>
            </w:rPr>
            <w:t>AFRICAN-EURASIAN MIGRATORY WATERBIRDS</w:t>
          </w:r>
        </w:p>
      </w:tc>
      <w:tc>
        <w:tcPr>
          <w:tcW w:w="1194" w:type="pct"/>
          <w:tcBorders>
            <w:top w:val="nil"/>
            <w:left w:val="nil"/>
            <w:bottom w:val="nil"/>
            <w:right w:val="nil"/>
          </w:tcBorders>
          <w:hideMark/>
        </w:tcPr>
        <w:p w14:paraId="617801E9" w14:textId="47DDA55D" w:rsidR="002D3C7F" w:rsidRPr="002D3C7F" w:rsidRDefault="002D3C7F" w:rsidP="002D3C7F">
          <w:pPr>
            <w:widowControl/>
            <w:autoSpaceDE/>
            <w:autoSpaceDN/>
            <w:spacing w:line="276" w:lineRule="auto"/>
            <w:jc w:val="right"/>
            <w:rPr>
              <w:i/>
              <w:iCs/>
              <w:sz w:val="20"/>
              <w:szCs w:val="20"/>
              <w:lang w:val="it-IT"/>
            </w:rPr>
          </w:pPr>
          <w:r w:rsidRPr="002D3C7F">
            <w:rPr>
              <w:i/>
              <w:iCs/>
              <w:sz w:val="20"/>
              <w:szCs w:val="20"/>
              <w:lang w:val="it-IT"/>
            </w:rPr>
            <w:t>Doc. AEWA/MOP</w:t>
          </w:r>
          <w:r w:rsidR="00321F10">
            <w:rPr>
              <w:i/>
              <w:iCs/>
              <w:sz w:val="20"/>
              <w:szCs w:val="20"/>
              <w:lang w:val="it-IT"/>
            </w:rPr>
            <w:t xml:space="preserve"> </w:t>
          </w:r>
          <w:r w:rsidRPr="002D3C7F">
            <w:rPr>
              <w:i/>
              <w:iCs/>
              <w:sz w:val="20"/>
              <w:szCs w:val="20"/>
              <w:lang w:val="it-IT"/>
            </w:rPr>
            <w:t>8.</w:t>
          </w:r>
          <w:r w:rsidR="00E47537">
            <w:rPr>
              <w:i/>
              <w:iCs/>
              <w:sz w:val="20"/>
              <w:szCs w:val="20"/>
              <w:lang w:val="it-IT"/>
            </w:rPr>
            <w:t>2</w:t>
          </w:r>
          <w:r w:rsidR="009A0AA0">
            <w:rPr>
              <w:i/>
              <w:iCs/>
              <w:sz w:val="20"/>
              <w:szCs w:val="20"/>
              <w:lang w:val="it-IT"/>
            </w:rPr>
            <w:t>8</w:t>
          </w:r>
        </w:p>
        <w:p w14:paraId="53EE2CA6" w14:textId="4EF17691" w:rsidR="002D3C7F" w:rsidRPr="002D3C7F" w:rsidRDefault="002D3C7F" w:rsidP="002D3C7F">
          <w:pPr>
            <w:widowControl/>
            <w:autoSpaceDE/>
            <w:autoSpaceDN/>
            <w:spacing w:line="276" w:lineRule="auto"/>
            <w:jc w:val="right"/>
            <w:rPr>
              <w:i/>
              <w:iCs/>
              <w:sz w:val="20"/>
              <w:szCs w:val="20"/>
              <w:lang w:val="it-IT"/>
            </w:rPr>
          </w:pPr>
          <w:r w:rsidRPr="002D3C7F">
            <w:rPr>
              <w:i/>
              <w:iCs/>
              <w:sz w:val="20"/>
              <w:szCs w:val="20"/>
              <w:lang w:val="it-IT"/>
            </w:rPr>
            <w:t>Agenda item 1</w:t>
          </w:r>
          <w:r>
            <w:rPr>
              <w:i/>
              <w:iCs/>
              <w:sz w:val="20"/>
              <w:szCs w:val="20"/>
              <w:lang w:val="it-IT"/>
            </w:rPr>
            <w:t>9</w:t>
          </w:r>
        </w:p>
        <w:p w14:paraId="7333B072" w14:textId="1FD0959D" w:rsidR="002D3C7F" w:rsidRPr="002D3C7F" w:rsidRDefault="001C26BD" w:rsidP="002D3C7F">
          <w:pPr>
            <w:widowControl/>
            <w:autoSpaceDE/>
            <w:autoSpaceDN/>
            <w:spacing w:line="276" w:lineRule="auto"/>
            <w:jc w:val="right"/>
            <w:rPr>
              <w:sz w:val="24"/>
              <w:szCs w:val="24"/>
              <w:lang w:val="en-GB"/>
            </w:rPr>
          </w:pPr>
          <w:r>
            <w:rPr>
              <w:i/>
              <w:iCs/>
              <w:sz w:val="20"/>
              <w:szCs w:val="20"/>
              <w:lang w:val="en-GB"/>
            </w:rPr>
            <w:t>5 July</w:t>
          </w:r>
          <w:r w:rsidR="002D3C7F" w:rsidRPr="002D3C7F">
            <w:rPr>
              <w:i/>
              <w:iCs/>
              <w:sz w:val="20"/>
              <w:szCs w:val="20"/>
              <w:lang w:val="en-GB"/>
            </w:rPr>
            <w:t xml:space="preserve"> 202</w:t>
          </w:r>
          <w:r w:rsidR="00CA6CC7">
            <w:rPr>
              <w:i/>
              <w:iCs/>
              <w:sz w:val="20"/>
              <w:szCs w:val="20"/>
              <w:lang w:val="en-GB"/>
            </w:rPr>
            <w:t>2</w:t>
          </w:r>
        </w:p>
      </w:tc>
    </w:tr>
    <w:tr w:rsidR="002D3C7F" w:rsidRPr="002D3C7F" w14:paraId="2FC1C9A5" w14:textId="77777777" w:rsidTr="002D3C7F">
      <w:tc>
        <w:tcPr>
          <w:tcW w:w="5000" w:type="pct"/>
          <w:gridSpan w:val="3"/>
          <w:tcBorders>
            <w:top w:val="nil"/>
            <w:left w:val="nil"/>
            <w:bottom w:val="nil"/>
            <w:right w:val="nil"/>
          </w:tcBorders>
          <w:hideMark/>
        </w:tcPr>
        <w:p w14:paraId="589B7162" w14:textId="77777777" w:rsidR="002D3C7F" w:rsidRPr="002D3C7F" w:rsidRDefault="002D3C7F" w:rsidP="002D3C7F">
          <w:pPr>
            <w:widowControl/>
            <w:autoSpaceDE/>
            <w:autoSpaceDN/>
            <w:jc w:val="center"/>
            <w:rPr>
              <w:b/>
              <w:bCs/>
              <w:caps/>
              <w:sz w:val="26"/>
              <w:szCs w:val="26"/>
              <w:lang w:val="en-GB"/>
            </w:rPr>
          </w:pPr>
          <w:r w:rsidRPr="002D3C7F">
            <w:rPr>
              <w:b/>
              <w:bCs/>
              <w:sz w:val="26"/>
              <w:szCs w:val="26"/>
              <w:lang w:val="en-GB"/>
            </w:rPr>
            <w:t>8</w:t>
          </w:r>
          <w:r w:rsidRPr="002D3C7F">
            <w:rPr>
              <w:b/>
              <w:bCs/>
              <w:sz w:val="26"/>
              <w:szCs w:val="26"/>
              <w:vertAlign w:val="superscript"/>
              <w:lang w:val="en-GB"/>
            </w:rPr>
            <w:t>th</w:t>
          </w:r>
          <w:r w:rsidRPr="002D3C7F">
            <w:rPr>
              <w:b/>
              <w:bCs/>
              <w:sz w:val="26"/>
              <w:szCs w:val="26"/>
              <w:lang w:val="en-GB"/>
            </w:rPr>
            <w:t xml:space="preserve"> SESSION OF THE </w:t>
          </w:r>
          <w:r w:rsidRPr="002D3C7F">
            <w:rPr>
              <w:b/>
              <w:bCs/>
              <w:caps/>
              <w:sz w:val="26"/>
              <w:szCs w:val="26"/>
              <w:lang w:val="en-GB"/>
            </w:rPr>
            <w:t>Meeting of the PARTIES</w:t>
          </w:r>
        </w:p>
        <w:p w14:paraId="01B138D9" w14:textId="77777777" w:rsidR="002D3C7F" w:rsidRDefault="00CA6CC7" w:rsidP="002D3C7F">
          <w:pPr>
            <w:widowControl/>
            <w:autoSpaceDE/>
            <w:autoSpaceDN/>
            <w:jc w:val="center"/>
            <w:rPr>
              <w:i/>
              <w:lang w:val="en-GB"/>
            </w:rPr>
          </w:pPr>
          <w:r>
            <w:rPr>
              <w:i/>
              <w:lang w:val="en-GB"/>
            </w:rPr>
            <w:t>26 – 30 September</w:t>
          </w:r>
          <w:r w:rsidR="004918E2">
            <w:rPr>
              <w:i/>
              <w:lang w:val="en-GB"/>
            </w:rPr>
            <w:t xml:space="preserve"> 20</w:t>
          </w:r>
          <w:r>
            <w:rPr>
              <w:i/>
              <w:lang w:val="en-GB"/>
            </w:rPr>
            <w:t>22</w:t>
          </w:r>
          <w:r w:rsidR="002D3C7F" w:rsidRPr="002D3C7F">
            <w:rPr>
              <w:i/>
              <w:lang w:val="en-GB"/>
            </w:rPr>
            <w:t>, Budapest, Hungary</w:t>
          </w:r>
        </w:p>
        <w:p w14:paraId="252D4309" w14:textId="77777777" w:rsidR="000F4204" w:rsidRDefault="000F4204" w:rsidP="002D3C7F">
          <w:pPr>
            <w:widowControl/>
            <w:autoSpaceDE/>
            <w:autoSpaceDN/>
            <w:jc w:val="center"/>
            <w:rPr>
              <w:i/>
              <w:lang w:val="en-GB"/>
            </w:rPr>
          </w:pPr>
        </w:p>
        <w:p w14:paraId="5E59A2A7" w14:textId="4ABB7EA4" w:rsidR="000F4204" w:rsidRPr="002D3C7F" w:rsidRDefault="00EB1D05" w:rsidP="002D3C7F">
          <w:pPr>
            <w:widowControl/>
            <w:autoSpaceDE/>
            <w:autoSpaceDN/>
            <w:jc w:val="center"/>
            <w:rPr>
              <w:i/>
              <w:lang w:val="en-GB"/>
            </w:rPr>
          </w:pPr>
          <w:r w:rsidRPr="00EB1D05">
            <w:rPr>
              <w:i/>
              <w:sz w:val="24"/>
              <w:szCs w:val="24"/>
            </w:rPr>
            <w:t>“</w:t>
          </w:r>
          <w:r w:rsidRPr="00EB1D05">
            <w:rPr>
              <w:bCs/>
              <w:i/>
            </w:rPr>
            <w:t>Strengthening Flyway Conservation in a Changing World</w:t>
          </w:r>
          <w:r w:rsidRPr="00EB1D05">
            <w:rPr>
              <w:i/>
              <w:sz w:val="24"/>
              <w:szCs w:val="24"/>
            </w:rPr>
            <w:t>”</w:t>
          </w:r>
        </w:p>
      </w:tc>
    </w:tr>
    <w:tr w:rsidR="002D3C7F" w:rsidRPr="002D3C7F" w14:paraId="102F84DD" w14:textId="77777777" w:rsidTr="002D3C7F">
      <w:trPr>
        <w:trHeight w:val="270"/>
      </w:trPr>
      <w:tc>
        <w:tcPr>
          <w:tcW w:w="5000" w:type="pct"/>
          <w:gridSpan w:val="3"/>
          <w:tcBorders>
            <w:top w:val="nil"/>
            <w:left w:val="nil"/>
            <w:bottom w:val="single" w:sz="2" w:space="0" w:color="auto"/>
            <w:right w:val="nil"/>
          </w:tcBorders>
          <w:vAlign w:val="center"/>
        </w:tcPr>
        <w:p w14:paraId="386184C6" w14:textId="77777777" w:rsidR="002D3C7F" w:rsidRPr="002D3C7F" w:rsidRDefault="002D3C7F" w:rsidP="002D3C7F">
          <w:pPr>
            <w:widowControl/>
            <w:autoSpaceDE/>
            <w:autoSpaceDN/>
            <w:rPr>
              <w:bCs/>
              <w:i/>
              <w:sz w:val="24"/>
              <w:szCs w:val="24"/>
              <w:lang w:val="en-GB"/>
            </w:rPr>
          </w:pPr>
        </w:p>
      </w:tc>
    </w:tr>
    <w:bookmarkEnd w:id="1"/>
  </w:tbl>
  <w:p w14:paraId="07FDEA5C" w14:textId="18686319" w:rsidR="00C4129B" w:rsidRPr="002D3C7F" w:rsidRDefault="00C4129B" w:rsidP="002D3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FF2"/>
    <w:multiLevelType w:val="hybridMultilevel"/>
    <w:tmpl w:val="68E4686A"/>
    <w:lvl w:ilvl="0" w:tplc="42401268">
      <w:start w:val="1"/>
      <w:numFmt w:val="decimal"/>
      <w:lvlText w:val="%1."/>
      <w:lvlJc w:val="left"/>
      <w:pPr>
        <w:ind w:left="1493" w:hanging="360"/>
      </w:pPr>
      <w:rPr>
        <w:rFonts w:ascii="Times New Roman" w:eastAsia="Times New Roman" w:hAnsi="Times New Roman" w:cs="Times New Roman" w:hint="default"/>
        <w:w w:val="100"/>
        <w:sz w:val="22"/>
        <w:szCs w:val="22"/>
      </w:rPr>
    </w:lvl>
    <w:lvl w:ilvl="1" w:tplc="A732A40C">
      <w:numFmt w:val="bullet"/>
      <w:lvlText w:val="•"/>
      <w:lvlJc w:val="left"/>
      <w:pPr>
        <w:ind w:left="2398" w:hanging="360"/>
      </w:pPr>
      <w:rPr>
        <w:rFonts w:hint="default"/>
      </w:rPr>
    </w:lvl>
    <w:lvl w:ilvl="2" w:tplc="F8C072E6">
      <w:numFmt w:val="bullet"/>
      <w:lvlText w:val="•"/>
      <w:lvlJc w:val="left"/>
      <w:pPr>
        <w:ind w:left="3297" w:hanging="360"/>
      </w:pPr>
      <w:rPr>
        <w:rFonts w:hint="default"/>
      </w:rPr>
    </w:lvl>
    <w:lvl w:ilvl="3" w:tplc="59103878">
      <w:numFmt w:val="bullet"/>
      <w:lvlText w:val="•"/>
      <w:lvlJc w:val="left"/>
      <w:pPr>
        <w:ind w:left="4196" w:hanging="360"/>
      </w:pPr>
      <w:rPr>
        <w:rFonts w:hint="default"/>
      </w:rPr>
    </w:lvl>
    <w:lvl w:ilvl="4" w:tplc="C0F4EE94">
      <w:numFmt w:val="bullet"/>
      <w:lvlText w:val="•"/>
      <w:lvlJc w:val="left"/>
      <w:pPr>
        <w:ind w:left="5095" w:hanging="360"/>
      </w:pPr>
      <w:rPr>
        <w:rFonts w:hint="default"/>
      </w:rPr>
    </w:lvl>
    <w:lvl w:ilvl="5" w:tplc="64E2876A">
      <w:numFmt w:val="bullet"/>
      <w:lvlText w:val="•"/>
      <w:lvlJc w:val="left"/>
      <w:pPr>
        <w:ind w:left="5994" w:hanging="360"/>
      </w:pPr>
      <w:rPr>
        <w:rFonts w:hint="default"/>
      </w:rPr>
    </w:lvl>
    <w:lvl w:ilvl="6" w:tplc="6102F02E">
      <w:numFmt w:val="bullet"/>
      <w:lvlText w:val="•"/>
      <w:lvlJc w:val="left"/>
      <w:pPr>
        <w:ind w:left="6893" w:hanging="360"/>
      </w:pPr>
      <w:rPr>
        <w:rFonts w:hint="default"/>
      </w:rPr>
    </w:lvl>
    <w:lvl w:ilvl="7" w:tplc="AEC2FF6A">
      <w:numFmt w:val="bullet"/>
      <w:lvlText w:val="•"/>
      <w:lvlJc w:val="left"/>
      <w:pPr>
        <w:ind w:left="7792" w:hanging="360"/>
      </w:pPr>
      <w:rPr>
        <w:rFonts w:hint="default"/>
      </w:rPr>
    </w:lvl>
    <w:lvl w:ilvl="8" w:tplc="164CA5D2">
      <w:numFmt w:val="bullet"/>
      <w:lvlText w:val="•"/>
      <w:lvlJc w:val="left"/>
      <w:pPr>
        <w:ind w:left="8691" w:hanging="360"/>
      </w:pPr>
      <w:rPr>
        <w:rFonts w:hint="default"/>
      </w:rPr>
    </w:lvl>
  </w:abstractNum>
  <w:abstractNum w:abstractNumId="1" w15:restartNumberingAfterBreak="0">
    <w:nsid w:val="0BD175F6"/>
    <w:multiLevelType w:val="hybridMultilevel"/>
    <w:tmpl w:val="658046A6"/>
    <w:lvl w:ilvl="0" w:tplc="CD606BF0">
      <w:numFmt w:val="bullet"/>
      <w:lvlText w:val=""/>
      <w:lvlJc w:val="left"/>
      <w:pPr>
        <w:ind w:left="1440" w:hanging="360"/>
      </w:pPr>
      <w:rPr>
        <w:rFonts w:ascii="Symbol" w:eastAsia="Symbol" w:hAnsi="Symbol" w:cs="Symbol" w:hint="default"/>
        <w:w w:val="100"/>
        <w:sz w:val="22"/>
        <w:szCs w:val="22"/>
      </w:rPr>
    </w:lvl>
    <w:lvl w:ilvl="1" w:tplc="790E970A">
      <w:numFmt w:val="bullet"/>
      <w:lvlText w:val="•"/>
      <w:lvlJc w:val="left"/>
      <w:pPr>
        <w:ind w:left="2344" w:hanging="360"/>
      </w:pPr>
      <w:rPr>
        <w:rFonts w:hint="default"/>
      </w:rPr>
    </w:lvl>
    <w:lvl w:ilvl="2" w:tplc="CF6C0D1E">
      <w:numFmt w:val="bullet"/>
      <w:lvlText w:val="•"/>
      <w:lvlJc w:val="left"/>
      <w:pPr>
        <w:ind w:left="3249" w:hanging="360"/>
      </w:pPr>
      <w:rPr>
        <w:rFonts w:hint="default"/>
      </w:rPr>
    </w:lvl>
    <w:lvl w:ilvl="3" w:tplc="A590297E">
      <w:numFmt w:val="bullet"/>
      <w:lvlText w:val="•"/>
      <w:lvlJc w:val="left"/>
      <w:pPr>
        <w:ind w:left="4154" w:hanging="360"/>
      </w:pPr>
      <w:rPr>
        <w:rFonts w:hint="default"/>
      </w:rPr>
    </w:lvl>
    <w:lvl w:ilvl="4" w:tplc="35186238">
      <w:numFmt w:val="bullet"/>
      <w:lvlText w:val="•"/>
      <w:lvlJc w:val="left"/>
      <w:pPr>
        <w:ind w:left="5059" w:hanging="360"/>
      </w:pPr>
      <w:rPr>
        <w:rFonts w:hint="default"/>
      </w:rPr>
    </w:lvl>
    <w:lvl w:ilvl="5" w:tplc="8A823B36">
      <w:numFmt w:val="bullet"/>
      <w:lvlText w:val="•"/>
      <w:lvlJc w:val="left"/>
      <w:pPr>
        <w:ind w:left="5964" w:hanging="360"/>
      </w:pPr>
      <w:rPr>
        <w:rFonts w:hint="default"/>
      </w:rPr>
    </w:lvl>
    <w:lvl w:ilvl="6" w:tplc="1012ECA6">
      <w:numFmt w:val="bullet"/>
      <w:lvlText w:val="•"/>
      <w:lvlJc w:val="left"/>
      <w:pPr>
        <w:ind w:left="6869" w:hanging="360"/>
      </w:pPr>
      <w:rPr>
        <w:rFonts w:hint="default"/>
      </w:rPr>
    </w:lvl>
    <w:lvl w:ilvl="7" w:tplc="65FE24CA">
      <w:numFmt w:val="bullet"/>
      <w:lvlText w:val="•"/>
      <w:lvlJc w:val="left"/>
      <w:pPr>
        <w:ind w:left="7774" w:hanging="360"/>
      </w:pPr>
      <w:rPr>
        <w:rFonts w:hint="default"/>
      </w:rPr>
    </w:lvl>
    <w:lvl w:ilvl="8" w:tplc="C450C444">
      <w:numFmt w:val="bullet"/>
      <w:lvlText w:val="•"/>
      <w:lvlJc w:val="left"/>
      <w:pPr>
        <w:ind w:left="8679" w:hanging="360"/>
      </w:pPr>
      <w:rPr>
        <w:rFonts w:hint="default"/>
      </w:rPr>
    </w:lvl>
  </w:abstractNum>
  <w:abstractNum w:abstractNumId="2" w15:restartNumberingAfterBreak="0">
    <w:nsid w:val="0DF81C6E"/>
    <w:multiLevelType w:val="hybridMultilevel"/>
    <w:tmpl w:val="9E0CC3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F82B11"/>
    <w:multiLevelType w:val="hybridMultilevel"/>
    <w:tmpl w:val="C8B4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E6D30"/>
    <w:multiLevelType w:val="hybridMultilevel"/>
    <w:tmpl w:val="312488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3E11EA0"/>
    <w:multiLevelType w:val="multilevel"/>
    <w:tmpl w:val="2362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AE7E78"/>
    <w:multiLevelType w:val="hybridMultilevel"/>
    <w:tmpl w:val="29EA40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60E4D18"/>
    <w:multiLevelType w:val="hybridMultilevel"/>
    <w:tmpl w:val="29EA40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FEB2169"/>
    <w:multiLevelType w:val="hybridMultilevel"/>
    <w:tmpl w:val="021E7B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A27ADE"/>
    <w:multiLevelType w:val="hybridMultilevel"/>
    <w:tmpl w:val="29EA40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9095DA3"/>
    <w:multiLevelType w:val="hybridMultilevel"/>
    <w:tmpl w:val="093A5B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2585BEF"/>
    <w:multiLevelType w:val="hybridMultilevel"/>
    <w:tmpl w:val="68C4B652"/>
    <w:lvl w:ilvl="0" w:tplc="1186A956">
      <w:start w:val="1"/>
      <w:numFmt w:val="decimal"/>
      <w:lvlText w:val="%1."/>
      <w:lvlJc w:val="left"/>
      <w:pPr>
        <w:ind w:left="1440" w:hanging="360"/>
      </w:pPr>
      <w:rPr>
        <w:rFonts w:ascii="Times New Roman" w:eastAsia="Times New Roman" w:hAnsi="Times New Roman" w:cs="Times New Roman" w:hint="default"/>
        <w:w w:val="100"/>
        <w:sz w:val="22"/>
        <w:szCs w:val="22"/>
      </w:rPr>
    </w:lvl>
    <w:lvl w:ilvl="1" w:tplc="BB0C6ECE">
      <w:numFmt w:val="bullet"/>
      <w:lvlText w:val="•"/>
      <w:lvlJc w:val="left"/>
      <w:pPr>
        <w:ind w:left="2344" w:hanging="360"/>
      </w:pPr>
      <w:rPr>
        <w:rFonts w:hint="default"/>
      </w:rPr>
    </w:lvl>
    <w:lvl w:ilvl="2" w:tplc="6F6600E2">
      <w:numFmt w:val="bullet"/>
      <w:lvlText w:val="•"/>
      <w:lvlJc w:val="left"/>
      <w:pPr>
        <w:ind w:left="3249" w:hanging="360"/>
      </w:pPr>
      <w:rPr>
        <w:rFonts w:hint="default"/>
      </w:rPr>
    </w:lvl>
    <w:lvl w:ilvl="3" w:tplc="2674AB3A">
      <w:numFmt w:val="bullet"/>
      <w:lvlText w:val="•"/>
      <w:lvlJc w:val="left"/>
      <w:pPr>
        <w:ind w:left="4154" w:hanging="360"/>
      </w:pPr>
      <w:rPr>
        <w:rFonts w:hint="default"/>
      </w:rPr>
    </w:lvl>
    <w:lvl w:ilvl="4" w:tplc="5D50384C">
      <w:numFmt w:val="bullet"/>
      <w:lvlText w:val="•"/>
      <w:lvlJc w:val="left"/>
      <w:pPr>
        <w:ind w:left="5059" w:hanging="360"/>
      </w:pPr>
      <w:rPr>
        <w:rFonts w:hint="default"/>
      </w:rPr>
    </w:lvl>
    <w:lvl w:ilvl="5" w:tplc="1D84AEAC">
      <w:numFmt w:val="bullet"/>
      <w:lvlText w:val="•"/>
      <w:lvlJc w:val="left"/>
      <w:pPr>
        <w:ind w:left="5964" w:hanging="360"/>
      </w:pPr>
      <w:rPr>
        <w:rFonts w:hint="default"/>
      </w:rPr>
    </w:lvl>
    <w:lvl w:ilvl="6" w:tplc="845AEA02">
      <w:numFmt w:val="bullet"/>
      <w:lvlText w:val="•"/>
      <w:lvlJc w:val="left"/>
      <w:pPr>
        <w:ind w:left="6869" w:hanging="360"/>
      </w:pPr>
      <w:rPr>
        <w:rFonts w:hint="default"/>
      </w:rPr>
    </w:lvl>
    <w:lvl w:ilvl="7" w:tplc="FE5486FC">
      <w:numFmt w:val="bullet"/>
      <w:lvlText w:val="•"/>
      <w:lvlJc w:val="left"/>
      <w:pPr>
        <w:ind w:left="7774" w:hanging="360"/>
      </w:pPr>
      <w:rPr>
        <w:rFonts w:hint="default"/>
      </w:rPr>
    </w:lvl>
    <w:lvl w:ilvl="8" w:tplc="E6421B7E">
      <w:numFmt w:val="bullet"/>
      <w:lvlText w:val="•"/>
      <w:lvlJc w:val="left"/>
      <w:pPr>
        <w:ind w:left="8679" w:hanging="360"/>
      </w:pPr>
      <w:rPr>
        <w:rFonts w:hint="default"/>
      </w:rPr>
    </w:lvl>
  </w:abstractNum>
  <w:abstractNum w:abstractNumId="12" w15:restartNumberingAfterBreak="0">
    <w:nsid w:val="7293516C"/>
    <w:multiLevelType w:val="hybridMultilevel"/>
    <w:tmpl w:val="B7A265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C2607C9"/>
    <w:multiLevelType w:val="hybridMultilevel"/>
    <w:tmpl w:val="91FE5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8"/>
  </w:num>
  <w:num w:numId="6">
    <w:abstractNumId w:val="4"/>
  </w:num>
  <w:num w:numId="7">
    <w:abstractNumId w:val="10"/>
  </w:num>
  <w:num w:numId="8">
    <w:abstractNumId w:val="6"/>
  </w:num>
  <w:num w:numId="9">
    <w:abstractNumId w:val="12"/>
  </w:num>
  <w:num w:numId="10">
    <w:abstractNumId w:val="7"/>
  </w:num>
  <w:num w:numId="11">
    <w:abstractNumId w:val="13"/>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06"/>
    <w:rsid w:val="000133C9"/>
    <w:rsid w:val="00014EFF"/>
    <w:rsid w:val="00015FC0"/>
    <w:rsid w:val="0002230F"/>
    <w:rsid w:val="00027F84"/>
    <w:rsid w:val="000511D9"/>
    <w:rsid w:val="000514D6"/>
    <w:rsid w:val="00060D3D"/>
    <w:rsid w:val="00063B67"/>
    <w:rsid w:val="00070860"/>
    <w:rsid w:val="000764F1"/>
    <w:rsid w:val="00092857"/>
    <w:rsid w:val="000A740E"/>
    <w:rsid w:val="000C269F"/>
    <w:rsid w:val="000C58F0"/>
    <w:rsid w:val="000C5DD5"/>
    <w:rsid w:val="000D2C3A"/>
    <w:rsid w:val="000D44F3"/>
    <w:rsid w:val="000E6EE0"/>
    <w:rsid w:val="000F4204"/>
    <w:rsid w:val="000F7A00"/>
    <w:rsid w:val="00102969"/>
    <w:rsid w:val="0010537A"/>
    <w:rsid w:val="00110A3B"/>
    <w:rsid w:val="00111B4A"/>
    <w:rsid w:val="001125D8"/>
    <w:rsid w:val="00114725"/>
    <w:rsid w:val="00116F1C"/>
    <w:rsid w:val="00117825"/>
    <w:rsid w:val="00120C4B"/>
    <w:rsid w:val="0012641F"/>
    <w:rsid w:val="0013026C"/>
    <w:rsid w:val="001332AD"/>
    <w:rsid w:val="00141152"/>
    <w:rsid w:val="00144C78"/>
    <w:rsid w:val="00144E07"/>
    <w:rsid w:val="00152562"/>
    <w:rsid w:val="0015356E"/>
    <w:rsid w:val="001548CC"/>
    <w:rsid w:val="00154991"/>
    <w:rsid w:val="00162042"/>
    <w:rsid w:val="00173436"/>
    <w:rsid w:val="00173AE1"/>
    <w:rsid w:val="00174E18"/>
    <w:rsid w:val="00174E93"/>
    <w:rsid w:val="00177888"/>
    <w:rsid w:val="0018332C"/>
    <w:rsid w:val="00193A03"/>
    <w:rsid w:val="001A4DB7"/>
    <w:rsid w:val="001B0621"/>
    <w:rsid w:val="001B13C2"/>
    <w:rsid w:val="001B6957"/>
    <w:rsid w:val="001B738F"/>
    <w:rsid w:val="001C26BD"/>
    <w:rsid w:val="001C51F1"/>
    <w:rsid w:val="001D1130"/>
    <w:rsid w:val="001D4862"/>
    <w:rsid w:val="001E1D6A"/>
    <w:rsid w:val="001E749C"/>
    <w:rsid w:val="002034BF"/>
    <w:rsid w:val="002046C1"/>
    <w:rsid w:val="00211A65"/>
    <w:rsid w:val="002155CC"/>
    <w:rsid w:val="002337D7"/>
    <w:rsid w:val="002338E8"/>
    <w:rsid w:val="00235AED"/>
    <w:rsid w:val="00236C07"/>
    <w:rsid w:val="00241D20"/>
    <w:rsid w:val="002618F0"/>
    <w:rsid w:val="00266413"/>
    <w:rsid w:val="002D3C7F"/>
    <w:rsid w:val="002E3EC6"/>
    <w:rsid w:val="002E431D"/>
    <w:rsid w:val="002F18BF"/>
    <w:rsid w:val="002F1B22"/>
    <w:rsid w:val="002F5841"/>
    <w:rsid w:val="002F5A94"/>
    <w:rsid w:val="00311072"/>
    <w:rsid w:val="00321B0D"/>
    <w:rsid w:val="00321F10"/>
    <w:rsid w:val="00322A03"/>
    <w:rsid w:val="0032466B"/>
    <w:rsid w:val="00326D00"/>
    <w:rsid w:val="003273FB"/>
    <w:rsid w:val="003302E0"/>
    <w:rsid w:val="00336143"/>
    <w:rsid w:val="00344A18"/>
    <w:rsid w:val="003522DD"/>
    <w:rsid w:val="0035230D"/>
    <w:rsid w:val="0035298E"/>
    <w:rsid w:val="00353831"/>
    <w:rsid w:val="00354F38"/>
    <w:rsid w:val="00355F21"/>
    <w:rsid w:val="00361F19"/>
    <w:rsid w:val="0036774A"/>
    <w:rsid w:val="003702DB"/>
    <w:rsid w:val="003805D5"/>
    <w:rsid w:val="00383769"/>
    <w:rsid w:val="00384774"/>
    <w:rsid w:val="00385BD7"/>
    <w:rsid w:val="0039101F"/>
    <w:rsid w:val="00394DA0"/>
    <w:rsid w:val="003A49D7"/>
    <w:rsid w:val="003B08BA"/>
    <w:rsid w:val="003B460E"/>
    <w:rsid w:val="003C0215"/>
    <w:rsid w:val="003C0C17"/>
    <w:rsid w:val="003C19C1"/>
    <w:rsid w:val="003C1D3E"/>
    <w:rsid w:val="003D1ECB"/>
    <w:rsid w:val="003D330B"/>
    <w:rsid w:val="003E1E04"/>
    <w:rsid w:val="003F11B8"/>
    <w:rsid w:val="003F788D"/>
    <w:rsid w:val="00406B25"/>
    <w:rsid w:val="00433F36"/>
    <w:rsid w:val="004452E5"/>
    <w:rsid w:val="00445CDC"/>
    <w:rsid w:val="00446A52"/>
    <w:rsid w:val="00447F28"/>
    <w:rsid w:val="004504C2"/>
    <w:rsid w:val="00452690"/>
    <w:rsid w:val="004568FB"/>
    <w:rsid w:val="004622A8"/>
    <w:rsid w:val="00462E61"/>
    <w:rsid w:val="00473152"/>
    <w:rsid w:val="0047400B"/>
    <w:rsid w:val="004800A6"/>
    <w:rsid w:val="00482979"/>
    <w:rsid w:val="004831B6"/>
    <w:rsid w:val="004911D1"/>
    <w:rsid w:val="004918E2"/>
    <w:rsid w:val="00494A01"/>
    <w:rsid w:val="004B3BB9"/>
    <w:rsid w:val="004B4621"/>
    <w:rsid w:val="004C3EAD"/>
    <w:rsid w:val="004C64C1"/>
    <w:rsid w:val="004F33C8"/>
    <w:rsid w:val="00517F27"/>
    <w:rsid w:val="005252BD"/>
    <w:rsid w:val="00530C30"/>
    <w:rsid w:val="005349A8"/>
    <w:rsid w:val="00553A70"/>
    <w:rsid w:val="00557528"/>
    <w:rsid w:val="00566B0E"/>
    <w:rsid w:val="005941FA"/>
    <w:rsid w:val="005A21EB"/>
    <w:rsid w:val="005A38E2"/>
    <w:rsid w:val="005B209F"/>
    <w:rsid w:val="005C57E8"/>
    <w:rsid w:val="005C5C9C"/>
    <w:rsid w:val="005D092F"/>
    <w:rsid w:val="005D3610"/>
    <w:rsid w:val="005D598E"/>
    <w:rsid w:val="005F39C3"/>
    <w:rsid w:val="005F6CC4"/>
    <w:rsid w:val="006150FD"/>
    <w:rsid w:val="00627EC7"/>
    <w:rsid w:val="00634B66"/>
    <w:rsid w:val="00637B00"/>
    <w:rsid w:val="00637B6B"/>
    <w:rsid w:val="0064197B"/>
    <w:rsid w:val="00652DBA"/>
    <w:rsid w:val="006638C3"/>
    <w:rsid w:val="00664206"/>
    <w:rsid w:val="00667299"/>
    <w:rsid w:val="00667A43"/>
    <w:rsid w:val="00671D53"/>
    <w:rsid w:val="00673C78"/>
    <w:rsid w:val="0069475A"/>
    <w:rsid w:val="006977E8"/>
    <w:rsid w:val="006A2854"/>
    <w:rsid w:val="006A514E"/>
    <w:rsid w:val="006B7124"/>
    <w:rsid w:val="006C1175"/>
    <w:rsid w:val="006C2A38"/>
    <w:rsid w:val="006C7637"/>
    <w:rsid w:val="006C7828"/>
    <w:rsid w:val="006D06C3"/>
    <w:rsid w:val="006D22B2"/>
    <w:rsid w:val="006F0FA3"/>
    <w:rsid w:val="006F236F"/>
    <w:rsid w:val="006F78F9"/>
    <w:rsid w:val="007002C4"/>
    <w:rsid w:val="00714047"/>
    <w:rsid w:val="00730E60"/>
    <w:rsid w:val="00733951"/>
    <w:rsid w:val="007378FD"/>
    <w:rsid w:val="007458A7"/>
    <w:rsid w:val="007458B0"/>
    <w:rsid w:val="00757728"/>
    <w:rsid w:val="00781B06"/>
    <w:rsid w:val="00787005"/>
    <w:rsid w:val="00792941"/>
    <w:rsid w:val="0079676F"/>
    <w:rsid w:val="007A10A0"/>
    <w:rsid w:val="007A333F"/>
    <w:rsid w:val="007B373B"/>
    <w:rsid w:val="007D19CA"/>
    <w:rsid w:val="007E1420"/>
    <w:rsid w:val="007E43BD"/>
    <w:rsid w:val="007E4A7D"/>
    <w:rsid w:val="007F199C"/>
    <w:rsid w:val="008225B5"/>
    <w:rsid w:val="008315E5"/>
    <w:rsid w:val="0083213F"/>
    <w:rsid w:val="00843CFD"/>
    <w:rsid w:val="008444D0"/>
    <w:rsid w:val="00845D78"/>
    <w:rsid w:val="00846A2E"/>
    <w:rsid w:val="0084766B"/>
    <w:rsid w:val="00853607"/>
    <w:rsid w:val="0086162C"/>
    <w:rsid w:val="00865AE2"/>
    <w:rsid w:val="00872EFC"/>
    <w:rsid w:val="008879FC"/>
    <w:rsid w:val="00896331"/>
    <w:rsid w:val="0089744D"/>
    <w:rsid w:val="008B0F33"/>
    <w:rsid w:val="008B2C6B"/>
    <w:rsid w:val="008B6E4F"/>
    <w:rsid w:val="008B77D9"/>
    <w:rsid w:val="008C19DE"/>
    <w:rsid w:val="008D3D91"/>
    <w:rsid w:val="008E5094"/>
    <w:rsid w:val="008E6DD0"/>
    <w:rsid w:val="008F1CF3"/>
    <w:rsid w:val="009007F3"/>
    <w:rsid w:val="00903ECC"/>
    <w:rsid w:val="00903F84"/>
    <w:rsid w:val="009144EE"/>
    <w:rsid w:val="0091690A"/>
    <w:rsid w:val="00920245"/>
    <w:rsid w:val="00920542"/>
    <w:rsid w:val="00947230"/>
    <w:rsid w:val="00954446"/>
    <w:rsid w:val="00957AF0"/>
    <w:rsid w:val="00961DA1"/>
    <w:rsid w:val="0096343C"/>
    <w:rsid w:val="00971590"/>
    <w:rsid w:val="009938CB"/>
    <w:rsid w:val="009A0AA0"/>
    <w:rsid w:val="009A3C98"/>
    <w:rsid w:val="009A4BBE"/>
    <w:rsid w:val="009B21DB"/>
    <w:rsid w:val="009B7ECE"/>
    <w:rsid w:val="009C1306"/>
    <w:rsid w:val="009C1D3B"/>
    <w:rsid w:val="009C58F2"/>
    <w:rsid w:val="009C64D7"/>
    <w:rsid w:val="009F6A89"/>
    <w:rsid w:val="00A2441A"/>
    <w:rsid w:val="00A27DDA"/>
    <w:rsid w:val="00A3286A"/>
    <w:rsid w:val="00A440AB"/>
    <w:rsid w:val="00A54A27"/>
    <w:rsid w:val="00A60509"/>
    <w:rsid w:val="00A66853"/>
    <w:rsid w:val="00A67039"/>
    <w:rsid w:val="00A702B4"/>
    <w:rsid w:val="00A77E50"/>
    <w:rsid w:val="00A851E7"/>
    <w:rsid w:val="00A93674"/>
    <w:rsid w:val="00A9726D"/>
    <w:rsid w:val="00A9782A"/>
    <w:rsid w:val="00AA0911"/>
    <w:rsid w:val="00AB4C9B"/>
    <w:rsid w:val="00AB7D91"/>
    <w:rsid w:val="00AC0A98"/>
    <w:rsid w:val="00AC517A"/>
    <w:rsid w:val="00AC5376"/>
    <w:rsid w:val="00AC6079"/>
    <w:rsid w:val="00AC79B8"/>
    <w:rsid w:val="00AD33D4"/>
    <w:rsid w:val="00AE40B2"/>
    <w:rsid w:val="00B11B41"/>
    <w:rsid w:val="00B17FFE"/>
    <w:rsid w:val="00B20A2A"/>
    <w:rsid w:val="00B26C96"/>
    <w:rsid w:val="00B323B5"/>
    <w:rsid w:val="00B41674"/>
    <w:rsid w:val="00B5289C"/>
    <w:rsid w:val="00B65EB2"/>
    <w:rsid w:val="00B67012"/>
    <w:rsid w:val="00B67D09"/>
    <w:rsid w:val="00B72A89"/>
    <w:rsid w:val="00B822FC"/>
    <w:rsid w:val="00B83000"/>
    <w:rsid w:val="00B933B8"/>
    <w:rsid w:val="00B949CC"/>
    <w:rsid w:val="00B95478"/>
    <w:rsid w:val="00BA66C8"/>
    <w:rsid w:val="00BB1B90"/>
    <w:rsid w:val="00BD1481"/>
    <w:rsid w:val="00BD23BA"/>
    <w:rsid w:val="00BE4165"/>
    <w:rsid w:val="00BF4605"/>
    <w:rsid w:val="00C00A2E"/>
    <w:rsid w:val="00C14AC8"/>
    <w:rsid w:val="00C22422"/>
    <w:rsid w:val="00C30C32"/>
    <w:rsid w:val="00C31609"/>
    <w:rsid w:val="00C322E9"/>
    <w:rsid w:val="00C36CEF"/>
    <w:rsid w:val="00C4129B"/>
    <w:rsid w:val="00C44270"/>
    <w:rsid w:val="00C507D7"/>
    <w:rsid w:val="00C51BF9"/>
    <w:rsid w:val="00C550E3"/>
    <w:rsid w:val="00C62F24"/>
    <w:rsid w:val="00C63D3A"/>
    <w:rsid w:val="00C640EA"/>
    <w:rsid w:val="00C80297"/>
    <w:rsid w:val="00C92024"/>
    <w:rsid w:val="00C96FBB"/>
    <w:rsid w:val="00CA2B10"/>
    <w:rsid w:val="00CA6CC7"/>
    <w:rsid w:val="00CB3891"/>
    <w:rsid w:val="00CC1FDE"/>
    <w:rsid w:val="00CC3100"/>
    <w:rsid w:val="00CD086F"/>
    <w:rsid w:val="00CD4457"/>
    <w:rsid w:val="00CE0C21"/>
    <w:rsid w:val="00CE7B0B"/>
    <w:rsid w:val="00CF0F8B"/>
    <w:rsid w:val="00CF23C5"/>
    <w:rsid w:val="00D00FED"/>
    <w:rsid w:val="00D01D83"/>
    <w:rsid w:val="00D121C4"/>
    <w:rsid w:val="00D157DF"/>
    <w:rsid w:val="00D269B7"/>
    <w:rsid w:val="00D336CC"/>
    <w:rsid w:val="00D47B4F"/>
    <w:rsid w:val="00D54D91"/>
    <w:rsid w:val="00D57743"/>
    <w:rsid w:val="00D71476"/>
    <w:rsid w:val="00D73E01"/>
    <w:rsid w:val="00D80ADF"/>
    <w:rsid w:val="00D824CD"/>
    <w:rsid w:val="00D85418"/>
    <w:rsid w:val="00D87A0B"/>
    <w:rsid w:val="00D95344"/>
    <w:rsid w:val="00DA230A"/>
    <w:rsid w:val="00DA506C"/>
    <w:rsid w:val="00DA7254"/>
    <w:rsid w:val="00DB7EBC"/>
    <w:rsid w:val="00DC0558"/>
    <w:rsid w:val="00DC7BE6"/>
    <w:rsid w:val="00E154A3"/>
    <w:rsid w:val="00E173B3"/>
    <w:rsid w:val="00E202E0"/>
    <w:rsid w:val="00E24EEE"/>
    <w:rsid w:val="00E260EC"/>
    <w:rsid w:val="00E26F0F"/>
    <w:rsid w:val="00E373D2"/>
    <w:rsid w:val="00E47537"/>
    <w:rsid w:val="00E5064E"/>
    <w:rsid w:val="00E53A00"/>
    <w:rsid w:val="00E543C6"/>
    <w:rsid w:val="00E61F42"/>
    <w:rsid w:val="00E720FD"/>
    <w:rsid w:val="00E80945"/>
    <w:rsid w:val="00E8207C"/>
    <w:rsid w:val="00E906EF"/>
    <w:rsid w:val="00E9329F"/>
    <w:rsid w:val="00E94488"/>
    <w:rsid w:val="00E9657F"/>
    <w:rsid w:val="00EA4183"/>
    <w:rsid w:val="00EB0F40"/>
    <w:rsid w:val="00EB1D05"/>
    <w:rsid w:val="00EC0AF5"/>
    <w:rsid w:val="00EC3A15"/>
    <w:rsid w:val="00EC63D3"/>
    <w:rsid w:val="00EC6D7B"/>
    <w:rsid w:val="00ED02D6"/>
    <w:rsid w:val="00ED7342"/>
    <w:rsid w:val="00EF05F3"/>
    <w:rsid w:val="00EF4165"/>
    <w:rsid w:val="00EF6DD0"/>
    <w:rsid w:val="00EF768C"/>
    <w:rsid w:val="00F1786A"/>
    <w:rsid w:val="00F23FCB"/>
    <w:rsid w:val="00F255D3"/>
    <w:rsid w:val="00F2775E"/>
    <w:rsid w:val="00F303E6"/>
    <w:rsid w:val="00F33243"/>
    <w:rsid w:val="00F36631"/>
    <w:rsid w:val="00F36B58"/>
    <w:rsid w:val="00F461C4"/>
    <w:rsid w:val="00F4754E"/>
    <w:rsid w:val="00F54854"/>
    <w:rsid w:val="00F558CD"/>
    <w:rsid w:val="00F56894"/>
    <w:rsid w:val="00F66EFC"/>
    <w:rsid w:val="00F76495"/>
    <w:rsid w:val="00F91162"/>
    <w:rsid w:val="00F93564"/>
    <w:rsid w:val="00F93AB8"/>
    <w:rsid w:val="00FC3CEA"/>
    <w:rsid w:val="00FE29F4"/>
    <w:rsid w:val="00FE3378"/>
    <w:rsid w:val="00FF6875"/>
    <w:rsid w:val="072ABA8D"/>
    <w:rsid w:val="088C7E03"/>
    <w:rsid w:val="097C59D1"/>
    <w:rsid w:val="0E49E9A3"/>
    <w:rsid w:val="0F8338DD"/>
    <w:rsid w:val="17E2FB36"/>
    <w:rsid w:val="1C04ED7E"/>
    <w:rsid w:val="1E6F97FE"/>
    <w:rsid w:val="1EA54752"/>
    <w:rsid w:val="249DE035"/>
    <w:rsid w:val="25221257"/>
    <w:rsid w:val="2CCF0750"/>
    <w:rsid w:val="31D6DE76"/>
    <w:rsid w:val="34D2F5F8"/>
    <w:rsid w:val="371EA4D9"/>
    <w:rsid w:val="3893AA4C"/>
    <w:rsid w:val="3AE8688E"/>
    <w:rsid w:val="3C3CDAB5"/>
    <w:rsid w:val="47FB0360"/>
    <w:rsid w:val="48FBCE63"/>
    <w:rsid w:val="4977661C"/>
    <w:rsid w:val="4C5BE89A"/>
    <w:rsid w:val="50927A50"/>
    <w:rsid w:val="52ACFADE"/>
    <w:rsid w:val="5AA2FB29"/>
    <w:rsid w:val="5CD35D76"/>
    <w:rsid w:val="5E1C233F"/>
    <w:rsid w:val="63747189"/>
    <w:rsid w:val="64AFCAC5"/>
    <w:rsid w:val="6C164A05"/>
    <w:rsid w:val="6D06A83E"/>
    <w:rsid w:val="6E34BE36"/>
    <w:rsid w:val="6E7C1305"/>
    <w:rsid w:val="6F791494"/>
    <w:rsid w:val="73E052C2"/>
    <w:rsid w:val="7424F410"/>
    <w:rsid w:val="7630F324"/>
    <w:rsid w:val="7906CE7D"/>
    <w:rsid w:val="79E976B3"/>
    <w:rsid w:val="7AAAAE8A"/>
    <w:rsid w:val="7DDA3FA0"/>
    <w:rsid w:val="7FEE9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D1D534"/>
  <w15:docId w15:val="{E3D9B4B2-1E95-4052-AB38-3EDB7DED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720"/>
      <w:outlineLvl w:val="0"/>
    </w:pPr>
    <w:rPr>
      <w:b/>
      <w:bCs/>
      <w:sz w:val="24"/>
      <w:szCs w:val="24"/>
    </w:rPr>
  </w:style>
  <w:style w:type="paragraph" w:styleId="Heading2">
    <w:name w:val="heading 2"/>
    <w:basedOn w:val="Normal"/>
    <w:uiPriority w:val="9"/>
    <w:unhideWhenUsed/>
    <w:qFormat/>
    <w:pPr>
      <w:ind w:left="720"/>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440" w:hanging="361"/>
    </w:pPr>
  </w:style>
  <w:style w:type="paragraph" w:customStyle="1" w:styleId="TableParagraph">
    <w:name w:val="Table Paragraph"/>
    <w:basedOn w:val="Normal"/>
    <w:uiPriority w:val="1"/>
    <w:qFormat/>
    <w:pPr>
      <w:spacing w:before="101"/>
      <w:ind w:left="100"/>
    </w:pPr>
  </w:style>
  <w:style w:type="paragraph" w:styleId="Header">
    <w:name w:val="header"/>
    <w:basedOn w:val="Normal"/>
    <w:link w:val="HeaderChar"/>
    <w:uiPriority w:val="99"/>
    <w:unhideWhenUsed/>
    <w:rsid w:val="003F788D"/>
    <w:pPr>
      <w:tabs>
        <w:tab w:val="center" w:pos="4680"/>
        <w:tab w:val="right" w:pos="9360"/>
      </w:tabs>
    </w:pPr>
  </w:style>
  <w:style w:type="character" w:customStyle="1" w:styleId="HeaderChar">
    <w:name w:val="Header Char"/>
    <w:basedOn w:val="DefaultParagraphFont"/>
    <w:link w:val="Header"/>
    <w:uiPriority w:val="99"/>
    <w:rsid w:val="003F788D"/>
    <w:rPr>
      <w:rFonts w:ascii="Times New Roman" w:eastAsia="Times New Roman" w:hAnsi="Times New Roman" w:cs="Times New Roman"/>
    </w:rPr>
  </w:style>
  <w:style w:type="paragraph" w:styleId="Footer">
    <w:name w:val="footer"/>
    <w:basedOn w:val="Normal"/>
    <w:link w:val="FooterChar"/>
    <w:uiPriority w:val="99"/>
    <w:unhideWhenUsed/>
    <w:rsid w:val="003F788D"/>
    <w:pPr>
      <w:tabs>
        <w:tab w:val="center" w:pos="4680"/>
        <w:tab w:val="right" w:pos="9360"/>
      </w:tabs>
    </w:pPr>
  </w:style>
  <w:style w:type="character" w:customStyle="1" w:styleId="FooterChar">
    <w:name w:val="Footer Char"/>
    <w:basedOn w:val="DefaultParagraphFont"/>
    <w:link w:val="Footer"/>
    <w:uiPriority w:val="99"/>
    <w:rsid w:val="003F788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D086F"/>
    <w:rPr>
      <w:sz w:val="16"/>
      <w:szCs w:val="16"/>
    </w:rPr>
  </w:style>
  <w:style w:type="paragraph" w:styleId="CommentText">
    <w:name w:val="annotation text"/>
    <w:basedOn w:val="Normal"/>
    <w:link w:val="CommentTextChar"/>
    <w:uiPriority w:val="99"/>
    <w:semiHidden/>
    <w:unhideWhenUsed/>
    <w:rsid w:val="00CD086F"/>
    <w:rPr>
      <w:sz w:val="20"/>
      <w:szCs w:val="20"/>
    </w:rPr>
  </w:style>
  <w:style w:type="character" w:customStyle="1" w:styleId="CommentTextChar">
    <w:name w:val="Comment Text Char"/>
    <w:basedOn w:val="DefaultParagraphFont"/>
    <w:link w:val="CommentText"/>
    <w:uiPriority w:val="99"/>
    <w:semiHidden/>
    <w:rsid w:val="00CD08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86F"/>
    <w:rPr>
      <w:b/>
      <w:bCs/>
    </w:rPr>
  </w:style>
  <w:style w:type="character" w:customStyle="1" w:styleId="CommentSubjectChar">
    <w:name w:val="Comment Subject Char"/>
    <w:basedOn w:val="CommentTextChar"/>
    <w:link w:val="CommentSubject"/>
    <w:uiPriority w:val="99"/>
    <w:semiHidden/>
    <w:rsid w:val="00CD08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4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25"/>
    <w:rPr>
      <w:rFonts w:ascii="Segoe UI" w:eastAsia="Times New Roman" w:hAnsi="Segoe UI" w:cs="Segoe UI"/>
      <w:sz w:val="18"/>
      <w:szCs w:val="18"/>
    </w:rPr>
  </w:style>
  <w:style w:type="character" w:styleId="Strong">
    <w:name w:val="Strong"/>
    <w:basedOn w:val="DefaultParagraphFont"/>
    <w:uiPriority w:val="22"/>
    <w:qFormat/>
    <w:rsid w:val="00B949CC"/>
    <w:rPr>
      <w:b/>
      <w:bCs/>
    </w:rPr>
  </w:style>
  <w:style w:type="character" w:styleId="Hyperlink">
    <w:name w:val="Hyperlink"/>
    <w:basedOn w:val="DefaultParagraphFont"/>
    <w:uiPriority w:val="99"/>
    <w:unhideWhenUsed/>
    <w:rsid w:val="00B949CC"/>
    <w:rPr>
      <w:color w:val="0000FF"/>
      <w:u w:val="single"/>
    </w:rPr>
  </w:style>
  <w:style w:type="paragraph" w:styleId="FootnoteText">
    <w:name w:val="footnote text"/>
    <w:basedOn w:val="Normal"/>
    <w:link w:val="FootnoteTextChar"/>
    <w:uiPriority w:val="99"/>
    <w:semiHidden/>
    <w:unhideWhenUsed/>
    <w:rsid w:val="00865AE2"/>
    <w:rPr>
      <w:sz w:val="20"/>
      <w:szCs w:val="20"/>
    </w:rPr>
  </w:style>
  <w:style w:type="character" w:customStyle="1" w:styleId="FootnoteTextChar">
    <w:name w:val="Footnote Text Char"/>
    <w:basedOn w:val="DefaultParagraphFont"/>
    <w:link w:val="FootnoteText"/>
    <w:uiPriority w:val="99"/>
    <w:semiHidden/>
    <w:rsid w:val="00865A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5AE2"/>
    <w:rPr>
      <w:vertAlign w:val="superscript"/>
    </w:rPr>
  </w:style>
  <w:style w:type="paragraph" w:styleId="NormalWeb">
    <w:name w:val="Normal (Web)"/>
    <w:basedOn w:val="Normal"/>
    <w:uiPriority w:val="99"/>
    <w:semiHidden/>
    <w:unhideWhenUsed/>
    <w:rsid w:val="006F78F9"/>
    <w:pPr>
      <w:widowControl/>
      <w:autoSpaceDE/>
      <w:autoSpaceDN/>
      <w:spacing w:before="100" w:beforeAutospacing="1" w:after="100" w:afterAutospacing="1"/>
    </w:pPr>
    <w:rPr>
      <w:rFonts w:eastAsiaTheme="minorEastAsia"/>
      <w:sz w:val="24"/>
      <w:szCs w:val="24"/>
      <w:lang w:val="en-GB"/>
    </w:rPr>
  </w:style>
  <w:style w:type="character" w:customStyle="1" w:styleId="UnresolvedMention1">
    <w:name w:val="Unresolved Mention1"/>
    <w:basedOn w:val="DefaultParagraphFont"/>
    <w:uiPriority w:val="99"/>
    <w:rsid w:val="00F255D3"/>
    <w:rPr>
      <w:color w:val="605E5C"/>
      <w:shd w:val="clear" w:color="auto" w:fill="E1DFDD"/>
    </w:rPr>
  </w:style>
  <w:style w:type="character" w:styleId="UnresolvedMention">
    <w:name w:val="Unresolved Mention"/>
    <w:basedOn w:val="DefaultParagraphFont"/>
    <w:uiPriority w:val="99"/>
    <w:semiHidden/>
    <w:unhideWhenUsed/>
    <w:rsid w:val="00AC0A98"/>
    <w:rPr>
      <w:color w:val="605E5C"/>
      <w:shd w:val="clear" w:color="auto" w:fill="E1DFDD"/>
    </w:rPr>
  </w:style>
  <w:style w:type="character" w:customStyle="1" w:styleId="Heading1Char">
    <w:name w:val="Heading 1 Char"/>
    <w:basedOn w:val="DefaultParagraphFont"/>
    <w:link w:val="Heading1"/>
    <w:uiPriority w:val="9"/>
    <w:rsid w:val="00947230"/>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9472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628">
      <w:bodyDiv w:val="1"/>
      <w:marLeft w:val="0"/>
      <w:marRight w:val="0"/>
      <w:marTop w:val="0"/>
      <w:marBottom w:val="0"/>
      <w:divBdr>
        <w:top w:val="none" w:sz="0" w:space="0" w:color="auto"/>
        <w:left w:val="none" w:sz="0" w:space="0" w:color="auto"/>
        <w:bottom w:val="none" w:sz="0" w:space="0" w:color="auto"/>
        <w:right w:val="none" w:sz="0" w:space="0" w:color="auto"/>
      </w:divBdr>
    </w:div>
    <w:div w:id="147283015">
      <w:bodyDiv w:val="1"/>
      <w:marLeft w:val="0"/>
      <w:marRight w:val="0"/>
      <w:marTop w:val="0"/>
      <w:marBottom w:val="0"/>
      <w:divBdr>
        <w:top w:val="none" w:sz="0" w:space="0" w:color="auto"/>
        <w:left w:val="none" w:sz="0" w:space="0" w:color="auto"/>
        <w:bottom w:val="none" w:sz="0" w:space="0" w:color="auto"/>
        <w:right w:val="none" w:sz="0" w:space="0" w:color="auto"/>
      </w:divBdr>
    </w:div>
    <w:div w:id="483550362">
      <w:bodyDiv w:val="1"/>
      <w:marLeft w:val="0"/>
      <w:marRight w:val="0"/>
      <w:marTop w:val="0"/>
      <w:marBottom w:val="0"/>
      <w:divBdr>
        <w:top w:val="none" w:sz="0" w:space="0" w:color="auto"/>
        <w:left w:val="none" w:sz="0" w:space="0" w:color="auto"/>
        <w:bottom w:val="none" w:sz="0" w:space="0" w:color="auto"/>
        <w:right w:val="none" w:sz="0" w:space="0" w:color="auto"/>
      </w:divBdr>
    </w:div>
    <w:div w:id="494347271">
      <w:bodyDiv w:val="1"/>
      <w:marLeft w:val="0"/>
      <w:marRight w:val="0"/>
      <w:marTop w:val="0"/>
      <w:marBottom w:val="0"/>
      <w:divBdr>
        <w:top w:val="none" w:sz="0" w:space="0" w:color="auto"/>
        <w:left w:val="none" w:sz="0" w:space="0" w:color="auto"/>
        <w:bottom w:val="none" w:sz="0" w:space="0" w:color="auto"/>
        <w:right w:val="none" w:sz="0" w:space="0" w:color="auto"/>
      </w:divBdr>
    </w:div>
    <w:div w:id="526256148">
      <w:bodyDiv w:val="1"/>
      <w:marLeft w:val="0"/>
      <w:marRight w:val="0"/>
      <w:marTop w:val="0"/>
      <w:marBottom w:val="0"/>
      <w:divBdr>
        <w:top w:val="none" w:sz="0" w:space="0" w:color="auto"/>
        <w:left w:val="none" w:sz="0" w:space="0" w:color="auto"/>
        <w:bottom w:val="none" w:sz="0" w:space="0" w:color="auto"/>
        <w:right w:val="none" w:sz="0" w:space="0" w:color="auto"/>
      </w:divBdr>
    </w:div>
    <w:div w:id="668560447">
      <w:bodyDiv w:val="1"/>
      <w:marLeft w:val="0"/>
      <w:marRight w:val="0"/>
      <w:marTop w:val="0"/>
      <w:marBottom w:val="0"/>
      <w:divBdr>
        <w:top w:val="none" w:sz="0" w:space="0" w:color="auto"/>
        <w:left w:val="none" w:sz="0" w:space="0" w:color="auto"/>
        <w:bottom w:val="none" w:sz="0" w:space="0" w:color="auto"/>
        <w:right w:val="none" w:sz="0" w:space="0" w:color="auto"/>
      </w:divBdr>
      <w:divsChild>
        <w:div w:id="2103796881">
          <w:marLeft w:val="0"/>
          <w:marRight w:val="0"/>
          <w:marTop w:val="0"/>
          <w:marBottom w:val="0"/>
          <w:divBdr>
            <w:top w:val="none" w:sz="0" w:space="0" w:color="auto"/>
            <w:left w:val="none" w:sz="0" w:space="0" w:color="auto"/>
            <w:bottom w:val="none" w:sz="0" w:space="0" w:color="auto"/>
            <w:right w:val="none" w:sz="0" w:space="0" w:color="auto"/>
          </w:divBdr>
          <w:divsChild>
            <w:div w:id="1576817900">
              <w:marLeft w:val="0"/>
              <w:marRight w:val="0"/>
              <w:marTop w:val="0"/>
              <w:marBottom w:val="0"/>
              <w:divBdr>
                <w:top w:val="none" w:sz="0" w:space="0" w:color="auto"/>
                <w:left w:val="none" w:sz="0" w:space="0" w:color="auto"/>
                <w:bottom w:val="none" w:sz="0" w:space="0" w:color="auto"/>
                <w:right w:val="none" w:sz="0" w:space="0" w:color="auto"/>
              </w:divBdr>
              <w:divsChild>
                <w:div w:id="3955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1699">
      <w:bodyDiv w:val="1"/>
      <w:marLeft w:val="0"/>
      <w:marRight w:val="0"/>
      <w:marTop w:val="0"/>
      <w:marBottom w:val="0"/>
      <w:divBdr>
        <w:top w:val="none" w:sz="0" w:space="0" w:color="auto"/>
        <w:left w:val="none" w:sz="0" w:space="0" w:color="auto"/>
        <w:bottom w:val="none" w:sz="0" w:space="0" w:color="auto"/>
        <w:right w:val="none" w:sz="0" w:space="0" w:color="auto"/>
      </w:divBdr>
    </w:div>
    <w:div w:id="1111053161">
      <w:bodyDiv w:val="1"/>
      <w:marLeft w:val="0"/>
      <w:marRight w:val="0"/>
      <w:marTop w:val="0"/>
      <w:marBottom w:val="0"/>
      <w:divBdr>
        <w:top w:val="none" w:sz="0" w:space="0" w:color="auto"/>
        <w:left w:val="none" w:sz="0" w:space="0" w:color="auto"/>
        <w:bottom w:val="none" w:sz="0" w:space="0" w:color="auto"/>
        <w:right w:val="none" w:sz="0" w:space="0" w:color="auto"/>
      </w:divBdr>
    </w:div>
    <w:div w:id="1246919454">
      <w:bodyDiv w:val="1"/>
      <w:marLeft w:val="0"/>
      <w:marRight w:val="0"/>
      <w:marTop w:val="0"/>
      <w:marBottom w:val="0"/>
      <w:divBdr>
        <w:top w:val="none" w:sz="0" w:space="0" w:color="auto"/>
        <w:left w:val="none" w:sz="0" w:space="0" w:color="auto"/>
        <w:bottom w:val="none" w:sz="0" w:space="0" w:color="auto"/>
        <w:right w:val="none" w:sz="0" w:space="0" w:color="auto"/>
      </w:divBdr>
    </w:div>
    <w:div w:id="1267813062">
      <w:bodyDiv w:val="1"/>
      <w:marLeft w:val="0"/>
      <w:marRight w:val="0"/>
      <w:marTop w:val="0"/>
      <w:marBottom w:val="0"/>
      <w:divBdr>
        <w:top w:val="none" w:sz="0" w:space="0" w:color="auto"/>
        <w:left w:val="none" w:sz="0" w:space="0" w:color="auto"/>
        <w:bottom w:val="none" w:sz="0" w:space="0" w:color="auto"/>
        <w:right w:val="none" w:sz="0" w:space="0" w:color="auto"/>
      </w:divBdr>
    </w:div>
    <w:div w:id="1293945389">
      <w:bodyDiv w:val="1"/>
      <w:marLeft w:val="0"/>
      <w:marRight w:val="0"/>
      <w:marTop w:val="0"/>
      <w:marBottom w:val="0"/>
      <w:divBdr>
        <w:top w:val="none" w:sz="0" w:space="0" w:color="auto"/>
        <w:left w:val="none" w:sz="0" w:space="0" w:color="auto"/>
        <w:bottom w:val="none" w:sz="0" w:space="0" w:color="auto"/>
        <w:right w:val="none" w:sz="0" w:space="0" w:color="auto"/>
      </w:divBdr>
    </w:div>
    <w:div w:id="1303391152">
      <w:bodyDiv w:val="1"/>
      <w:marLeft w:val="0"/>
      <w:marRight w:val="0"/>
      <w:marTop w:val="0"/>
      <w:marBottom w:val="0"/>
      <w:divBdr>
        <w:top w:val="none" w:sz="0" w:space="0" w:color="auto"/>
        <w:left w:val="none" w:sz="0" w:space="0" w:color="auto"/>
        <w:bottom w:val="none" w:sz="0" w:space="0" w:color="auto"/>
        <w:right w:val="none" w:sz="0" w:space="0" w:color="auto"/>
      </w:divBdr>
    </w:div>
    <w:div w:id="1471631396">
      <w:bodyDiv w:val="1"/>
      <w:marLeft w:val="0"/>
      <w:marRight w:val="0"/>
      <w:marTop w:val="0"/>
      <w:marBottom w:val="0"/>
      <w:divBdr>
        <w:top w:val="none" w:sz="0" w:space="0" w:color="auto"/>
        <w:left w:val="none" w:sz="0" w:space="0" w:color="auto"/>
        <w:bottom w:val="none" w:sz="0" w:space="0" w:color="auto"/>
        <w:right w:val="none" w:sz="0" w:space="0" w:color="auto"/>
      </w:divBdr>
    </w:div>
    <w:div w:id="1501508884">
      <w:bodyDiv w:val="1"/>
      <w:marLeft w:val="0"/>
      <w:marRight w:val="0"/>
      <w:marTop w:val="0"/>
      <w:marBottom w:val="0"/>
      <w:divBdr>
        <w:top w:val="none" w:sz="0" w:space="0" w:color="auto"/>
        <w:left w:val="none" w:sz="0" w:space="0" w:color="auto"/>
        <w:bottom w:val="none" w:sz="0" w:space="0" w:color="auto"/>
        <w:right w:val="none" w:sz="0" w:space="0" w:color="auto"/>
      </w:divBdr>
      <w:divsChild>
        <w:div w:id="1175994318">
          <w:marLeft w:val="0"/>
          <w:marRight w:val="0"/>
          <w:marTop w:val="0"/>
          <w:marBottom w:val="0"/>
          <w:divBdr>
            <w:top w:val="none" w:sz="0" w:space="0" w:color="auto"/>
            <w:left w:val="none" w:sz="0" w:space="0" w:color="auto"/>
            <w:bottom w:val="none" w:sz="0" w:space="0" w:color="auto"/>
            <w:right w:val="none" w:sz="0" w:space="0" w:color="auto"/>
          </w:divBdr>
          <w:divsChild>
            <w:div w:id="256670994">
              <w:marLeft w:val="0"/>
              <w:marRight w:val="0"/>
              <w:marTop w:val="0"/>
              <w:marBottom w:val="0"/>
              <w:divBdr>
                <w:top w:val="none" w:sz="0" w:space="0" w:color="auto"/>
                <w:left w:val="none" w:sz="0" w:space="0" w:color="auto"/>
                <w:bottom w:val="none" w:sz="0" w:space="0" w:color="auto"/>
                <w:right w:val="none" w:sz="0" w:space="0" w:color="auto"/>
              </w:divBdr>
              <w:divsChild>
                <w:div w:id="14199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2434">
      <w:bodyDiv w:val="1"/>
      <w:marLeft w:val="0"/>
      <w:marRight w:val="0"/>
      <w:marTop w:val="0"/>
      <w:marBottom w:val="0"/>
      <w:divBdr>
        <w:top w:val="none" w:sz="0" w:space="0" w:color="auto"/>
        <w:left w:val="none" w:sz="0" w:space="0" w:color="auto"/>
        <w:bottom w:val="none" w:sz="0" w:space="0" w:color="auto"/>
        <w:right w:val="none" w:sz="0" w:space="0" w:color="auto"/>
      </w:divBdr>
    </w:div>
    <w:div w:id="1537619130">
      <w:bodyDiv w:val="1"/>
      <w:marLeft w:val="0"/>
      <w:marRight w:val="0"/>
      <w:marTop w:val="0"/>
      <w:marBottom w:val="0"/>
      <w:divBdr>
        <w:top w:val="none" w:sz="0" w:space="0" w:color="auto"/>
        <w:left w:val="none" w:sz="0" w:space="0" w:color="auto"/>
        <w:bottom w:val="none" w:sz="0" w:space="0" w:color="auto"/>
        <w:right w:val="none" w:sz="0" w:space="0" w:color="auto"/>
      </w:divBdr>
    </w:div>
    <w:div w:id="1627158771">
      <w:bodyDiv w:val="1"/>
      <w:marLeft w:val="0"/>
      <w:marRight w:val="0"/>
      <w:marTop w:val="0"/>
      <w:marBottom w:val="0"/>
      <w:divBdr>
        <w:top w:val="none" w:sz="0" w:space="0" w:color="auto"/>
        <w:left w:val="none" w:sz="0" w:space="0" w:color="auto"/>
        <w:bottom w:val="none" w:sz="0" w:space="0" w:color="auto"/>
        <w:right w:val="none" w:sz="0" w:space="0" w:color="auto"/>
      </w:divBdr>
    </w:div>
    <w:div w:id="1771119079">
      <w:bodyDiv w:val="1"/>
      <w:marLeft w:val="0"/>
      <w:marRight w:val="0"/>
      <w:marTop w:val="0"/>
      <w:marBottom w:val="0"/>
      <w:divBdr>
        <w:top w:val="none" w:sz="0" w:space="0" w:color="auto"/>
        <w:left w:val="none" w:sz="0" w:space="0" w:color="auto"/>
        <w:bottom w:val="none" w:sz="0" w:space="0" w:color="auto"/>
        <w:right w:val="none" w:sz="0" w:space="0" w:color="auto"/>
      </w:divBdr>
    </w:div>
    <w:div w:id="1903365270">
      <w:bodyDiv w:val="1"/>
      <w:marLeft w:val="0"/>
      <w:marRight w:val="0"/>
      <w:marTop w:val="0"/>
      <w:marBottom w:val="0"/>
      <w:divBdr>
        <w:top w:val="none" w:sz="0" w:space="0" w:color="auto"/>
        <w:left w:val="none" w:sz="0" w:space="0" w:color="auto"/>
        <w:bottom w:val="none" w:sz="0" w:space="0" w:color="auto"/>
        <w:right w:val="none" w:sz="0" w:space="0" w:color="auto"/>
      </w:divBdr>
      <w:divsChild>
        <w:div w:id="7604087">
          <w:marLeft w:val="0"/>
          <w:marRight w:val="0"/>
          <w:marTop w:val="0"/>
          <w:marBottom w:val="0"/>
          <w:divBdr>
            <w:top w:val="none" w:sz="0" w:space="0" w:color="auto"/>
            <w:left w:val="none" w:sz="0" w:space="0" w:color="auto"/>
            <w:bottom w:val="none" w:sz="0" w:space="0" w:color="auto"/>
            <w:right w:val="none" w:sz="0" w:space="0" w:color="auto"/>
          </w:divBdr>
          <w:divsChild>
            <w:div w:id="1365328000">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9617">
      <w:bodyDiv w:val="1"/>
      <w:marLeft w:val="0"/>
      <w:marRight w:val="0"/>
      <w:marTop w:val="0"/>
      <w:marBottom w:val="0"/>
      <w:divBdr>
        <w:top w:val="none" w:sz="0" w:space="0" w:color="auto"/>
        <w:left w:val="none" w:sz="0" w:space="0" w:color="auto"/>
        <w:bottom w:val="none" w:sz="0" w:space="0" w:color="auto"/>
        <w:right w:val="none" w:sz="0" w:space="0" w:color="auto"/>
      </w:divBdr>
    </w:div>
    <w:div w:id="205306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ap.ospar.org/en/ospar-assessments/intermediate-assessment-2017/biodiversity-status/marine-birds/bird-abundance/" TargetMode="External"/><Relationship Id="rId18" Type="http://schemas.openxmlformats.org/officeDocument/2006/relationships/hyperlink" Target="https://www.ices.dk/data/data-portals/Pages/Biodiversity.aspx" TargetMode="External"/><Relationship Id="rId26" Type="http://schemas.openxmlformats.org/officeDocument/2006/relationships/hyperlink" Target="https://www.caff.is/goose" TargetMode="External"/><Relationship Id="rId39" Type="http://schemas.openxmlformats.org/officeDocument/2006/relationships/theme" Target="theme/theme1.xml"/><Relationship Id="rId21" Type="http://schemas.openxmlformats.org/officeDocument/2006/relationships/hyperlink" Target="https://www.ospar.org/documents?v=3897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ap.ospar.org/en/ospar-assessments/intermediate-assessment-2017/biodiversity-status/marine-birds/bird-abundance/" TargetMode="External"/><Relationship Id="rId17" Type="http://schemas.openxmlformats.org/officeDocument/2006/relationships/hyperlink" Target="https://www.ices.dk/data/data-portals/Pages/Biodiversity.aspx" TargetMode="External"/><Relationship Id="rId25" Type="http://schemas.openxmlformats.org/officeDocument/2006/relationships/hyperlink" Target="https://www.arcticbiodiversity.is/index.php/findings-start/bird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ap.ospar.org/en/ospar-assessments/intermediate-assessment-2017/biodiversity-status/marine-birds/bird-abundance/" TargetMode="External"/><Relationship Id="rId20" Type="http://schemas.openxmlformats.org/officeDocument/2006/relationships/hyperlink" Target="https://www.ices.dk/data/data-portals/Pages/Biodiversity.aspx" TargetMode="External"/><Relationship Id="rId29" Type="http://schemas.openxmlformats.org/officeDocument/2006/relationships/hyperlink" Target="http://ropm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p.ospar.org/en/ospar-assessments/intermediate-assessment-2017/biodiversity-status/marine-birds/bird-abundance/" TargetMode="External"/><Relationship Id="rId24" Type="http://schemas.openxmlformats.org/officeDocument/2006/relationships/hyperlink" Target="https://www.caff.is/monitoring-series/all-monitoring-documents/555-state-of-the-arctic-marine-biodiversity-report"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ap.ospar.org/en/ospar-assessments/intermediate-assessment-2017/biodiversity-status/marine-birds/bird-abundance/" TargetMode="External"/><Relationship Id="rId23" Type="http://schemas.openxmlformats.org/officeDocument/2006/relationships/hyperlink" Target="https://www.arcticbiodiversity.is/index.php/findings/seabirds" TargetMode="External"/><Relationship Id="rId28" Type="http://schemas.openxmlformats.org/officeDocument/2006/relationships/hyperlink" Target="http://www.persga.org/index.php" TargetMode="External"/><Relationship Id="rId36" Type="http://schemas.openxmlformats.org/officeDocument/2006/relationships/header" Target="header3.xml"/><Relationship Id="rId10" Type="http://schemas.openxmlformats.org/officeDocument/2006/relationships/hyperlink" Target="https://oap.ospar.org/en/ospar-assessments/intermediate-assessment-2017/biodiversity-status/marine-birds/bird-abundance/" TargetMode="External"/><Relationship Id="rId19" Type="http://schemas.openxmlformats.org/officeDocument/2006/relationships/hyperlink" Target="https://www.ices.dk/data/data-portals/Pages/Biodiversity.aspx" TargetMode="External"/><Relationship Id="rId31" Type="http://schemas.openxmlformats.org/officeDocument/2006/relationships/hyperlink" Target="https://www.caff.is/assessment-series/431-state-of-the-arctic-marine-biodiversity-report-full-report" TargetMode="External"/><Relationship Id="rId4" Type="http://schemas.openxmlformats.org/officeDocument/2006/relationships/settings" Target="settings.xml"/><Relationship Id="rId9" Type="http://schemas.openxmlformats.org/officeDocument/2006/relationships/hyperlink" Target="https://oap.ospar.org/en/ospar-assessments/" TargetMode="External"/><Relationship Id="rId14" Type="http://schemas.openxmlformats.org/officeDocument/2006/relationships/hyperlink" Target="https://oap.ospar.org/en/ospar-assessments/intermediate-assessment-2017/biodiversity-status/marine-birds/bird-abundance/" TargetMode="External"/><Relationship Id="rId22" Type="http://schemas.openxmlformats.org/officeDocument/2006/relationships/hyperlink" Target="https://www.ospar.org/documents?v=38978" TargetMode="External"/><Relationship Id="rId27" Type="http://schemas.openxmlformats.org/officeDocument/2006/relationships/hyperlink" Target="https://caff.is/asti/migratory-birds-index" TargetMode="External"/><Relationship Id="rId30" Type="http://schemas.openxmlformats.org/officeDocument/2006/relationships/hyperlink" Target="https://www.caff.is/assessment-series/431-state-of-the-arctic-marine-biodiversity-report-full-report" TargetMode="External"/><Relationship Id="rId35" Type="http://schemas.openxmlformats.org/officeDocument/2006/relationships/footer" Target="footer2.xml"/><Relationship Id="rId8" Type="http://schemas.openxmlformats.org/officeDocument/2006/relationships/hyperlink" Target="https://oap.ospar.org/en/ospar-assessment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ces.dk/data/data-portals/Pages/Biodiversity.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5FFB-8A08-4854-AA93-D3C17A5C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6012</Words>
  <Characters>34269</Characters>
  <Application>Microsoft Office Word</Application>
  <DocSecurity>0</DocSecurity>
  <Lines>285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Dicken</dc:creator>
  <cp:lastModifiedBy>Jeannine Dicken</cp:lastModifiedBy>
  <cp:revision>12</cp:revision>
  <dcterms:created xsi:type="dcterms:W3CDTF">2021-08-02T10:24:00Z</dcterms:created>
  <dcterms:modified xsi:type="dcterms:W3CDTF">2022-07-05T10:50:00Z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