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2FF" w:rsidRDefault="006322FF" w:rsidP="006322FF">
      <w:pPr>
        <w:tabs>
          <w:tab w:val="left" w:pos="4185"/>
        </w:tabs>
        <w:spacing w:line="276" w:lineRule="auto"/>
        <w:jc w:val="center"/>
        <w:rPr>
          <w:b/>
          <w:lang w:val="fr-FR"/>
        </w:rPr>
      </w:pPr>
      <w:bookmarkStart w:id="0" w:name="_Hlk513643711"/>
    </w:p>
    <w:p w:rsidR="006322FF" w:rsidRDefault="00745B84" w:rsidP="006322FF">
      <w:pPr>
        <w:tabs>
          <w:tab w:val="left" w:pos="4185"/>
        </w:tabs>
        <w:spacing w:line="276" w:lineRule="auto"/>
        <w:jc w:val="center"/>
        <w:rPr>
          <w:lang w:val="fr-FR"/>
        </w:rPr>
      </w:pPr>
      <w:r w:rsidRPr="006322FF">
        <w:rPr>
          <w:lang w:val="fr-FR"/>
        </w:rPr>
        <w:t>RÉSOLUTION</w:t>
      </w:r>
      <w:r w:rsidR="006322FF" w:rsidRPr="006322FF">
        <w:rPr>
          <w:lang w:val="fr-FR"/>
        </w:rPr>
        <w:t xml:space="preserve"> </w:t>
      </w:r>
      <w:r w:rsidRPr="006322FF">
        <w:rPr>
          <w:lang w:val="fr-FR"/>
        </w:rPr>
        <w:t>7.</w:t>
      </w:r>
      <w:r w:rsidR="00A112E5" w:rsidRPr="006322FF">
        <w:rPr>
          <w:lang w:val="fr-FR"/>
        </w:rPr>
        <w:t>8</w:t>
      </w:r>
    </w:p>
    <w:p w:rsidR="006322FF" w:rsidRPr="006322FF" w:rsidRDefault="006322FF" w:rsidP="006322FF">
      <w:pPr>
        <w:tabs>
          <w:tab w:val="left" w:pos="4185"/>
        </w:tabs>
        <w:spacing w:line="276" w:lineRule="auto"/>
        <w:jc w:val="center"/>
        <w:rPr>
          <w:lang w:val="fr-FR"/>
        </w:rPr>
      </w:pPr>
    </w:p>
    <w:p w:rsidR="003D030A" w:rsidRPr="006322FF" w:rsidRDefault="008F573E" w:rsidP="006322FF">
      <w:pPr>
        <w:tabs>
          <w:tab w:val="left" w:pos="4185"/>
        </w:tabs>
        <w:spacing w:line="276" w:lineRule="auto"/>
        <w:jc w:val="center"/>
        <w:rPr>
          <w:b/>
          <w:lang w:val="fr-FR"/>
        </w:rPr>
      </w:pPr>
      <w:r w:rsidRPr="006322FF">
        <w:rPr>
          <w:b/>
          <w:bCs/>
          <w:lang w:val="fr-FR"/>
        </w:rPr>
        <w:t xml:space="preserve">RÉVISION ET </w:t>
      </w:r>
      <w:r w:rsidR="00745B84" w:rsidRPr="006322FF">
        <w:rPr>
          <w:b/>
          <w:bCs/>
          <w:lang w:val="fr-FR"/>
        </w:rPr>
        <w:t xml:space="preserve">ADOPTION DE </w:t>
      </w:r>
      <w:r w:rsidR="001E63A5" w:rsidRPr="006322FF">
        <w:rPr>
          <w:b/>
          <w:bCs/>
          <w:lang w:val="fr-FR"/>
        </w:rPr>
        <w:t xml:space="preserve">LIGNES DIRECTRICES </w:t>
      </w:r>
      <w:r w:rsidRPr="006322FF">
        <w:rPr>
          <w:b/>
          <w:bCs/>
          <w:lang w:val="fr-FR"/>
        </w:rPr>
        <w:t>DE CONSERVATION</w:t>
      </w:r>
    </w:p>
    <w:p w:rsidR="00DD7178" w:rsidRPr="006322FF" w:rsidRDefault="00DD7178" w:rsidP="006322FF">
      <w:pPr>
        <w:spacing w:line="276" w:lineRule="auto"/>
        <w:rPr>
          <w:lang w:val="fr-FR"/>
        </w:rPr>
      </w:pPr>
    </w:p>
    <w:p w:rsidR="00A17999" w:rsidRPr="00DD7178" w:rsidRDefault="00A17999" w:rsidP="006322FF">
      <w:pPr>
        <w:spacing w:line="276" w:lineRule="auto"/>
        <w:rPr>
          <w:lang w:val="fr-FR"/>
        </w:rPr>
      </w:pPr>
    </w:p>
    <w:p w:rsidR="008F573E" w:rsidRPr="008F573E" w:rsidRDefault="008F573E" w:rsidP="006322FF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8F573E">
        <w:rPr>
          <w:i/>
          <w:sz w:val="22"/>
          <w:szCs w:val="22"/>
          <w:lang w:val="fr-FR"/>
        </w:rPr>
        <w:t>Rappelant</w:t>
      </w:r>
      <w:r w:rsidRPr="008F573E">
        <w:rPr>
          <w:sz w:val="22"/>
          <w:szCs w:val="22"/>
          <w:lang w:val="fr-FR"/>
        </w:rPr>
        <w:t xml:space="preserve"> le paragraphe 4 de l'Article IV de l'Accord et le paragraphe 7.3 du Plan d'action de l'Accord, qui exigent l'élaboration et la révision de</w:t>
      </w:r>
      <w:r>
        <w:rPr>
          <w:sz w:val="22"/>
          <w:szCs w:val="22"/>
          <w:lang w:val="fr-FR"/>
        </w:rPr>
        <w:t xml:space="preserve"> </w:t>
      </w:r>
      <w:r w:rsidR="001E63A5">
        <w:rPr>
          <w:sz w:val="22"/>
          <w:szCs w:val="22"/>
          <w:lang w:val="fr-FR"/>
        </w:rPr>
        <w:t xml:space="preserve">lignes directrices </w:t>
      </w:r>
      <w:r w:rsidRPr="008F573E">
        <w:rPr>
          <w:sz w:val="22"/>
          <w:szCs w:val="22"/>
          <w:lang w:val="fr-FR"/>
        </w:rPr>
        <w:t>de conservation afin d'aider les Parties contractantes à appliquer l'Accord,</w:t>
      </w:r>
    </w:p>
    <w:p w:rsidR="008F573E" w:rsidRPr="008F573E" w:rsidRDefault="008F573E" w:rsidP="006322FF">
      <w:pPr>
        <w:spacing w:line="276" w:lineRule="auto"/>
        <w:jc w:val="both"/>
        <w:rPr>
          <w:sz w:val="22"/>
          <w:szCs w:val="22"/>
          <w:lang w:val="fr-FR"/>
        </w:rPr>
      </w:pPr>
    </w:p>
    <w:p w:rsidR="008F573E" w:rsidRPr="008F573E" w:rsidRDefault="008F573E" w:rsidP="006322FF">
      <w:pPr>
        <w:spacing w:line="276" w:lineRule="auto"/>
        <w:ind w:firstLine="720"/>
        <w:jc w:val="both"/>
        <w:rPr>
          <w:sz w:val="22"/>
          <w:szCs w:val="22"/>
          <w:lang w:val="fr-FR"/>
        </w:rPr>
      </w:pPr>
      <w:r w:rsidRPr="008F573E">
        <w:rPr>
          <w:i/>
          <w:sz w:val="22"/>
          <w:szCs w:val="22"/>
          <w:lang w:val="fr-FR"/>
        </w:rPr>
        <w:t>Rappelant en outre</w:t>
      </w:r>
      <w:r w:rsidRPr="008F573E">
        <w:rPr>
          <w:sz w:val="22"/>
          <w:szCs w:val="22"/>
          <w:lang w:val="fr-FR"/>
        </w:rPr>
        <w:t xml:space="preserve"> les Résolutions 1.10, 2.3, 4.13, 5.10 et 6.5, qui ont adopté des </w:t>
      </w:r>
      <w:r w:rsidR="001E63A5">
        <w:rPr>
          <w:sz w:val="22"/>
          <w:szCs w:val="22"/>
          <w:lang w:val="fr-FR"/>
        </w:rPr>
        <w:t>lignes directrices</w:t>
      </w:r>
      <w:r>
        <w:rPr>
          <w:sz w:val="22"/>
          <w:szCs w:val="22"/>
          <w:lang w:val="fr-FR"/>
        </w:rPr>
        <w:t xml:space="preserve"> de conservation axé</w:t>
      </w:r>
      <w:r w:rsidR="00DD46AD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 xml:space="preserve">s </w:t>
      </w:r>
      <w:r w:rsidRPr="008F573E">
        <w:rPr>
          <w:sz w:val="22"/>
          <w:szCs w:val="22"/>
          <w:lang w:val="fr-FR"/>
        </w:rPr>
        <w:t>sur divers aspects des pratiques de conservation des oiseaux d'eau,</w:t>
      </w:r>
    </w:p>
    <w:p w:rsidR="008F573E" w:rsidRPr="008F573E" w:rsidRDefault="008F573E" w:rsidP="008F573E">
      <w:pPr>
        <w:jc w:val="both"/>
        <w:rPr>
          <w:sz w:val="22"/>
          <w:szCs w:val="22"/>
          <w:lang w:val="fr-FR"/>
        </w:rPr>
      </w:pPr>
    </w:p>
    <w:p w:rsidR="00782700" w:rsidRDefault="008F573E" w:rsidP="008F573E">
      <w:pPr>
        <w:ind w:firstLine="720"/>
        <w:jc w:val="both"/>
        <w:rPr>
          <w:sz w:val="22"/>
          <w:szCs w:val="22"/>
          <w:lang w:val="fr-FR"/>
        </w:rPr>
      </w:pPr>
      <w:r w:rsidRPr="008F573E">
        <w:rPr>
          <w:i/>
          <w:sz w:val="22"/>
          <w:szCs w:val="22"/>
          <w:lang w:val="fr-FR"/>
        </w:rPr>
        <w:t>Notant</w:t>
      </w:r>
      <w:r w:rsidRPr="008F573E">
        <w:rPr>
          <w:sz w:val="22"/>
          <w:szCs w:val="22"/>
          <w:lang w:val="fr-FR"/>
        </w:rPr>
        <w:t xml:space="preserve"> que ces </w:t>
      </w:r>
      <w:r w:rsidR="001E63A5">
        <w:rPr>
          <w:sz w:val="22"/>
          <w:szCs w:val="22"/>
          <w:lang w:val="fr-FR"/>
        </w:rPr>
        <w:t>lignes directrices</w:t>
      </w:r>
      <w:r w:rsidRPr="008F573E">
        <w:rPr>
          <w:sz w:val="22"/>
          <w:szCs w:val="22"/>
          <w:lang w:val="fr-FR"/>
        </w:rPr>
        <w:t xml:space="preserve"> de conservation, bien que ju</w:t>
      </w:r>
      <w:r>
        <w:rPr>
          <w:sz w:val="22"/>
          <w:szCs w:val="22"/>
          <w:lang w:val="fr-FR"/>
        </w:rPr>
        <w:t>ridiquement non contraignant</w:t>
      </w:r>
      <w:r w:rsidR="001E63A5">
        <w:rPr>
          <w:sz w:val="22"/>
          <w:szCs w:val="22"/>
          <w:lang w:val="fr-FR"/>
        </w:rPr>
        <w:t>e</w:t>
      </w:r>
      <w:r>
        <w:rPr>
          <w:sz w:val="22"/>
          <w:szCs w:val="22"/>
          <w:lang w:val="fr-FR"/>
        </w:rPr>
        <w:t>s</w:t>
      </w:r>
      <w:r w:rsidRPr="008F573E">
        <w:rPr>
          <w:sz w:val="22"/>
          <w:szCs w:val="22"/>
          <w:lang w:val="fr-FR"/>
        </w:rPr>
        <w:t xml:space="preserve">, fournissent un cadre d'action commun qui facilite la mise en œuvre cohérente de l'Accord par les Parties contractantes à l'Accord, ainsi que par les autres Etats de l'aire de répartition et les parties intéressées, et qu'il appartient à chaque Partie de déterminer dans quelle mesure les </w:t>
      </w:r>
      <w:r>
        <w:rPr>
          <w:sz w:val="22"/>
          <w:szCs w:val="22"/>
          <w:lang w:val="fr-FR"/>
        </w:rPr>
        <w:t>lignes directrices</w:t>
      </w:r>
      <w:r w:rsidRPr="008F573E">
        <w:rPr>
          <w:sz w:val="22"/>
          <w:szCs w:val="22"/>
          <w:lang w:val="fr-FR"/>
        </w:rPr>
        <w:t xml:space="preserve"> seront appliquées, compte tenu de leurs obligations et engagements internationaux,</w:t>
      </w:r>
    </w:p>
    <w:p w:rsidR="008F573E" w:rsidRPr="008F573E" w:rsidRDefault="008F573E" w:rsidP="008F573E">
      <w:pPr>
        <w:ind w:firstLine="720"/>
        <w:jc w:val="both"/>
        <w:rPr>
          <w:sz w:val="22"/>
          <w:szCs w:val="22"/>
          <w:lang w:val="fr-FR"/>
        </w:rPr>
      </w:pPr>
    </w:p>
    <w:p w:rsidR="004A5FDE" w:rsidRPr="0033553A" w:rsidRDefault="00745B84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4.3 qui demande au Comité technique</w:t>
      </w:r>
      <w:bookmarkEnd w:id="0"/>
      <w:r w:rsidRPr="0033553A">
        <w:rPr>
          <w:sz w:val="22"/>
          <w:szCs w:val="22"/>
          <w:lang w:val="fr-FR"/>
        </w:rPr>
        <w:t>, entre autres, d’examiner les motifs d</w:t>
      </w:r>
      <w:r w:rsidR="00322001" w:rsidRPr="0033553A">
        <w:rPr>
          <w:sz w:val="22"/>
          <w:szCs w:val="22"/>
          <w:lang w:val="fr-FR"/>
        </w:rPr>
        <w:t>e dérogations</w:t>
      </w:r>
      <w:r w:rsidRPr="0033553A">
        <w:rPr>
          <w:sz w:val="22"/>
          <w:szCs w:val="22"/>
          <w:lang w:val="fr-FR"/>
        </w:rPr>
        <w:t xml:space="preserve"> cités au paragraphe 2.1.3 a-e du </w:t>
      </w:r>
      <w:r w:rsidR="00322001" w:rsidRPr="0033553A">
        <w:rPr>
          <w:sz w:val="22"/>
          <w:szCs w:val="22"/>
          <w:lang w:val="fr-FR"/>
        </w:rPr>
        <w:t>Plan d’action de l’</w:t>
      </w:r>
      <w:r w:rsidRPr="0033553A">
        <w:rPr>
          <w:sz w:val="22"/>
          <w:szCs w:val="22"/>
          <w:lang w:val="fr-FR"/>
        </w:rPr>
        <w:t xml:space="preserve">AEWA </w:t>
      </w:r>
      <w:r w:rsidR="00322001" w:rsidRPr="0033553A">
        <w:rPr>
          <w:sz w:val="22"/>
          <w:szCs w:val="22"/>
          <w:lang w:val="fr-FR"/>
        </w:rPr>
        <w:t>et de fournir des conseils</w:t>
      </w:r>
      <w:r w:rsidRPr="0033553A">
        <w:rPr>
          <w:sz w:val="22"/>
          <w:szCs w:val="22"/>
          <w:lang w:val="fr-FR"/>
        </w:rPr>
        <w:t>,</w:t>
      </w:r>
    </w:p>
    <w:p w:rsidR="004A5FDE" w:rsidRPr="0033553A" w:rsidRDefault="004A5FDE" w:rsidP="009D5A2A">
      <w:pPr>
        <w:jc w:val="both"/>
        <w:rPr>
          <w:sz w:val="22"/>
          <w:szCs w:val="22"/>
          <w:lang w:val="fr-FR"/>
        </w:rPr>
      </w:pPr>
    </w:p>
    <w:p w:rsidR="008A29B1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 xml:space="preserve">le Comité technique pour son travail détaillé sur cette requête et la compilation de conseils sur l’application de dérogations aux interdictions </w:t>
      </w:r>
      <w:r w:rsidR="003830FC">
        <w:rPr>
          <w:sz w:val="22"/>
          <w:szCs w:val="22"/>
          <w:lang w:val="fr-FR"/>
        </w:rPr>
        <w:t>consignées</w:t>
      </w:r>
      <w:r w:rsidRPr="0033553A">
        <w:rPr>
          <w:sz w:val="22"/>
          <w:szCs w:val="22"/>
          <w:lang w:val="fr-FR"/>
        </w:rPr>
        <w:t xml:space="preserve"> aux paragraphes 2.1.1 et 2.1.2, conformément au paragraphe 2.1.3,</w:t>
      </w:r>
    </w:p>
    <w:p w:rsidR="00601DD4" w:rsidRPr="0033553A" w:rsidRDefault="00601DD4" w:rsidP="009D5A2A">
      <w:pPr>
        <w:ind w:firstLine="720"/>
        <w:jc w:val="both"/>
        <w:rPr>
          <w:sz w:val="22"/>
          <w:szCs w:val="22"/>
          <w:lang w:val="fr-FR"/>
        </w:rPr>
      </w:pPr>
    </w:p>
    <w:p w:rsidR="006F3344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Remerciant en outre</w:t>
      </w:r>
      <w:r w:rsidRPr="0033553A">
        <w:rPr>
          <w:sz w:val="22"/>
          <w:szCs w:val="22"/>
          <w:lang w:val="fr-FR"/>
        </w:rPr>
        <w:t xml:space="preserve"> le Comité technique de son initiative d’élabor</w:t>
      </w:r>
      <w:r w:rsidR="003830FC">
        <w:rPr>
          <w:sz w:val="22"/>
          <w:szCs w:val="22"/>
          <w:lang w:val="fr-FR"/>
        </w:rPr>
        <w:t xml:space="preserve">ation </w:t>
      </w:r>
      <w:r w:rsidRPr="0033553A">
        <w:rPr>
          <w:sz w:val="22"/>
          <w:szCs w:val="22"/>
          <w:lang w:val="fr-FR"/>
        </w:rPr>
        <w:t xml:space="preserve">de conseils sur la mise en œuvre des dispositions de l’AEWA relatives aux espèces non indigènes, afin d’aider à la mise en œuvre </w:t>
      </w:r>
      <w:r w:rsidR="001E63A5">
        <w:rPr>
          <w:sz w:val="22"/>
          <w:szCs w:val="22"/>
          <w:lang w:val="fr-FR"/>
        </w:rPr>
        <w:t xml:space="preserve">de l’article 3.2(g) de l’Accord de l’AEWA et </w:t>
      </w:r>
      <w:r w:rsidRPr="0033553A">
        <w:rPr>
          <w:sz w:val="22"/>
          <w:szCs w:val="22"/>
          <w:lang w:val="fr-FR"/>
        </w:rPr>
        <w:t>des paragraphes 2.5, 3.3, 4.3.10 et 4.3.11 du Plan d’action de l’AEWA,</w:t>
      </w:r>
    </w:p>
    <w:p w:rsidR="008E38DB" w:rsidRPr="0033553A" w:rsidRDefault="008E38DB" w:rsidP="00FA4E61">
      <w:pPr>
        <w:spacing w:line="276" w:lineRule="auto"/>
        <w:ind w:firstLine="720"/>
        <w:jc w:val="both"/>
        <w:rPr>
          <w:sz w:val="22"/>
          <w:szCs w:val="22"/>
          <w:lang w:val="fr-FR"/>
        </w:rPr>
      </w:pPr>
    </w:p>
    <w:p w:rsidR="008E38DB" w:rsidRPr="0033553A" w:rsidRDefault="00322001" w:rsidP="009D5A2A">
      <w:pPr>
        <w:ind w:firstLine="720"/>
        <w:jc w:val="both"/>
        <w:rPr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>Rappelant</w:t>
      </w:r>
      <w:r w:rsidRPr="0033553A">
        <w:rPr>
          <w:sz w:val="22"/>
          <w:szCs w:val="22"/>
          <w:lang w:val="fr-FR"/>
        </w:rPr>
        <w:t xml:space="preserve"> la Résolution 5.6, qui demande au Comité technique de continuer à </w:t>
      </w:r>
      <w:r w:rsidR="00F85A49" w:rsidRPr="0033553A">
        <w:rPr>
          <w:sz w:val="22"/>
          <w:szCs w:val="22"/>
          <w:lang w:val="fr-FR"/>
        </w:rPr>
        <w:t>développer</w:t>
      </w:r>
      <w:r w:rsidRPr="0033553A">
        <w:rPr>
          <w:sz w:val="22"/>
          <w:szCs w:val="22"/>
          <w:lang w:val="fr-FR"/>
        </w:rPr>
        <w:t xml:space="preserve"> des idées sur la façon de </w:t>
      </w:r>
      <w:r w:rsidR="003830FC">
        <w:rPr>
          <w:sz w:val="22"/>
          <w:szCs w:val="22"/>
          <w:lang w:val="fr-FR"/>
        </w:rPr>
        <w:t>s’attaquer aux</w:t>
      </w:r>
      <w:r w:rsidRPr="0033553A">
        <w:rPr>
          <w:sz w:val="22"/>
          <w:szCs w:val="22"/>
          <w:lang w:val="fr-FR"/>
        </w:rPr>
        <w:t xml:space="preserve"> déclins multi-espèces régiona</w:t>
      </w:r>
      <w:r w:rsidR="003830FC">
        <w:rPr>
          <w:sz w:val="22"/>
          <w:szCs w:val="22"/>
          <w:lang w:val="fr-FR"/>
        </w:rPr>
        <w:t>ux</w:t>
      </w:r>
      <w:r w:rsidRPr="0033553A">
        <w:rPr>
          <w:sz w:val="22"/>
          <w:szCs w:val="22"/>
          <w:lang w:val="fr-FR"/>
        </w:rPr>
        <w:t xml:space="preserve"> et </w:t>
      </w:r>
      <w:r w:rsidRPr="0033553A">
        <w:rPr>
          <w:i/>
          <w:sz w:val="22"/>
          <w:szCs w:val="22"/>
          <w:lang w:val="fr-FR"/>
        </w:rPr>
        <w:t xml:space="preserve">remerciant </w:t>
      </w:r>
      <w:r w:rsidRPr="0033553A">
        <w:rPr>
          <w:sz w:val="22"/>
          <w:szCs w:val="22"/>
          <w:lang w:val="fr-FR"/>
        </w:rPr>
        <w:t>le Comité de l’élaboration d’un manuel de conseils sur ces questions au cours de la dernière période triennale,</w:t>
      </w:r>
    </w:p>
    <w:p w:rsidR="006F3344" w:rsidRPr="0033553A" w:rsidRDefault="006F3344" w:rsidP="009D5A2A">
      <w:pPr>
        <w:ind w:firstLine="720"/>
        <w:jc w:val="both"/>
        <w:rPr>
          <w:sz w:val="22"/>
          <w:szCs w:val="22"/>
          <w:lang w:val="fr-FR"/>
        </w:rPr>
      </w:pPr>
    </w:p>
    <w:p w:rsidR="00BA6CED" w:rsidRPr="0033553A" w:rsidRDefault="00BA6CED" w:rsidP="009D5A2A">
      <w:pPr>
        <w:jc w:val="both"/>
        <w:rPr>
          <w:i/>
          <w:sz w:val="22"/>
          <w:szCs w:val="22"/>
          <w:lang w:val="fr-FR"/>
        </w:rPr>
      </w:pPr>
      <w:r w:rsidRPr="0033553A">
        <w:rPr>
          <w:i/>
          <w:sz w:val="22"/>
          <w:szCs w:val="22"/>
          <w:lang w:val="fr-FR"/>
        </w:rPr>
        <w:tab/>
      </w:r>
      <w:r w:rsidR="00322001" w:rsidRPr="0033553A">
        <w:rPr>
          <w:i/>
          <w:sz w:val="22"/>
          <w:szCs w:val="22"/>
          <w:lang w:val="fr-FR"/>
        </w:rPr>
        <w:t xml:space="preserve">Remerciant </w:t>
      </w:r>
      <w:r w:rsidR="00322001" w:rsidRPr="0033553A">
        <w:rPr>
          <w:sz w:val="22"/>
          <w:szCs w:val="22"/>
          <w:lang w:val="fr-FR"/>
        </w:rPr>
        <w:t xml:space="preserve">le </w:t>
      </w:r>
      <w:r w:rsidR="00DD46AD">
        <w:rPr>
          <w:sz w:val="22"/>
          <w:szCs w:val="22"/>
          <w:lang w:val="fr-FR"/>
        </w:rPr>
        <w:t>Partenariat pour le suivi</w:t>
      </w:r>
      <w:r w:rsidR="00322001" w:rsidRPr="0033553A">
        <w:rPr>
          <w:sz w:val="22"/>
          <w:szCs w:val="22"/>
          <w:lang w:val="fr-FR"/>
        </w:rPr>
        <w:t xml:space="preserve"> des oiseaux d'eau d'Afrique-Eurasie d’</w:t>
      </w:r>
      <w:r w:rsidR="005B0901" w:rsidRPr="0033553A">
        <w:rPr>
          <w:sz w:val="22"/>
          <w:szCs w:val="22"/>
          <w:lang w:val="fr-FR"/>
        </w:rPr>
        <w:t>avoir aidé</w:t>
      </w:r>
      <w:r w:rsidR="00322001" w:rsidRPr="0033553A">
        <w:rPr>
          <w:sz w:val="22"/>
          <w:szCs w:val="22"/>
          <w:lang w:val="fr-FR"/>
        </w:rPr>
        <w:t xml:space="preserve"> le Comité technique à réviser </w:t>
      </w:r>
      <w:r w:rsidR="005B0901" w:rsidRPr="0033553A">
        <w:rPr>
          <w:sz w:val="22"/>
          <w:szCs w:val="22"/>
          <w:lang w:val="fr-FR"/>
        </w:rPr>
        <w:t>les Lignes directrices de conservation n</w:t>
      </w:r>
      <w:r w:rsidR="005B0901" w:rsidRPr="0033553A">
        <w:rPr>
          <w:sz w:val="22"/>
          <w:szCs w:val="22"/>
          <w:vertAlign w:val="superscript"/>
          <w:lang w:val="fr-FR"/>
        </w:rPr>
        <w:t>o</w:t>
      </w:r>
      <w:r w:rsidR="005B0901" w:rsidRPr="0033553A">
        <w:rPr>
          <w:sz w:val="22"/>
          <w:szCs w:val="22"/>
          <w:lang w:val="fr-FR"/>
        </w:rPr>
        <w:t xml:space="preserve"> 9 de l’AEWA, relatives </w:t>
      </w:r>
      <w:r w:rsidR="00DD46AD">
        <w:rPr>
          <w:sz w:val="22"/>
          <w:szCs w:val="22"/>
          <w:lang w:val="fr-FR"/>
        </w:rPr>
        <w:t>au suivi</w:t>
      </w:r>
      <w:r w:rsidR="005B0901" w:rsidRPr="0033553A">
        <w:rPr>
          <w:sz w:val="22"/>
          <w:szCs w:val="22"/>
          <w:lang w:val="fr-FR"/>
        </w:rPr>
        <w:t xml:space="preserve"> des oiseaux d’eau, et le gouvernement des Pays-Bas d’avoir alloué des ressources financières à ce travail,</w:t>
      </w:r>
      <w:r w:rsidRPr="0033553A">
        <w:rPr>
          <w:sz w:val="22"/>
          <w:szCs w:val="22"/>
          <w:lang w:val="fr-FR"/>
        </w:rPr>
        <w:t xml:space="preserve"> </w:t>
      </w:r>
      <w:r w:rsidRPr="0033553A">
        <w:rPr>
          <w:i/>
          <w:sz w:val="22"/>
          <w:szCs w:val="22"/>
          <w:lang w:val="fr-FR"/>
        </w:rPr>
        <w:t xml:space="preserve"> </w:t>
      </w:r>
    </w:p>
    <w:p w:rsidR="00C9248F" w:rsidRPr="00C9248F" w:rsidRDefault="00C9248F" w:rsidP="00C924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2"/>
          <w:szCs w:val="20"/>
          <w:lang w:val="fr-FR"/>
        </w:rPr>
      </w:pPr>
    </w:p>
    <w:p w:rsidR="00C9248F" w:rsidRPr="00C9248F" w:rsidRDefault="00C9248F" w:rsidP="006B7B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0"/>
          <w:lang w:val="fr-FR"/>
        </w:rPr>
      </w:pPr>
      <w:r w:rsidRPr="00C9248F">
        <w:rPr>
          <w:sz w:val="22"/>
          <w:szCs w:val="20"/>
          <w:lang w:val="fr-FR"/>
        </w:rPr>
        <w:tab/>
      </w:r>
      <w:r w:rsidRPr="00C9248F">
        <w:rPr>
          <w:i/>
          <w:sz w:val="22"/>
          <w:szCs w:val="20"/>
          <w:lang w:val="fr-FR"/>
        </w:rPr>
        <w:t>Rappelant en outre</w:t>
      </w:r>
      <w:r w:rsidRPr="00C9248F">
        <w:rPr>
          <w:sz w:val="22"/>
          <w:szCs w:val="20"/>
          <w:lang w:val="fr-FR"/>
        </w:rPr>
        <w:t xml:space="preserve"> la résolution 5.10 qui a notamment adopté des directives sur la définition des périodes de reproduction et de migration </w:t>
      </w:r>
      <w:proofErr w:type="spellStart"/>
      <w:r w:rsidRPr="00C9248F">
        <w:rPr>
          <w:sz w:val="22"/>
          <w:szCs w:val="20"/>
          <w:lang w:val="fr-FR"/>
        </w:rPr>
        <w:t>pré-nuptiale</w:t>
      </w:r>
      <w:proofErr w:type="spellEnd"/>
      <w:r w:rsidRPr="00C9248F">
        <w:rPr>
          <w:sz w:val="22"/>
          <w:szCs w:val="20"/>
          <w:lang w:val="fr-FR"/>
        </w:rPr>
        <w:t xml:space="preserve"> des oiseaux d'eau migrateurs d'Afrique-Eurasie en ce qui concerne la mise en œuvre du paragraphe 2.1.2 a) du Plan d'action de l'AEWA, principalement utilisé pour les migrants paléarctiques alors que les migrants intra-africains bénéficieraient d'un travail plus ciblé.</w:t>
      </w:r>
    </w:p>
    <w:p w:rsidR="00671A79" w:rsidRPr="00C9248F" w:rsidRDefault="00671A79" w:rsidP="00C9248F">
      <w:pPr>
        <w:spacing w:line="276" w:lineRule="auto"/>
        <w:jc w:val="both"/>
        <w:rPr>
          <w:i/>
          <w:szCs w:val="22"/>
          <w:lang w:val="fr-FR"/>
        </w:rPr>
      </w:pPr>
    </w:p>
    <w:p w:rsidR="00AE1F7E" w:rsidRPr="0033553A" w:rsidRDefault="00AE1F7E" w:rsidP="00FA4E61">
      <w:pPr>
        <w:spacing w:line="276" w:lineRule="auto"/>
        <w:jc w:val="both"/>
        <w:rPr>
          <w:i/>
          <w:sz w:val="22"/>
          <w:szCs w:val="22"/>
          <w:lang w:val="fr-FR"/>
        </w:rPr>
      </w:pPr>
    </w:p>
    <w:p w:rsidR="004A5FDE" w:rsidRPr="0033553A" w:rsidRDefault="005B0901" w:rsidP="00F85A49">
      <w:pPr>
        <w:spacing w:line="280" w:lineRule="auto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lastRenderedPageBreak/>
        <w:t>La Réunion des Parties :</w:t>
      </w:r>
    </w:p>
    <w:p w:rsidR="004A5FDE" w:rsidRPr="0033553A" w:rsidRDefault="004A5FDE" w:rsidP="00FA4E61">
      <w:pPr>
        <w:spacing w:line="276" w:lineRule="auto"/>
        <w:jc w:val="both"/>
        <w:rPr>
          <w:sz w:val="22"/>
          <w:szCs w:val="22"/>
          <w:lang w:val="fr-FR"/>
        </w:rPr>
      </w:pPr>
    </w:p>
    <w:p w:rsidR="009256A6" w:rsidRPr="0033553A" w:rsidRDefault="005B0901" w:rsidP="00A17999">
      <w:pPr>
        <w:numPr>
          <w:ilvl w:val="0"/>
          <w:numId w:val="6"/>
        </w:numPr>
        <w:tabs>
          <w:tab w:val="clear" w:pos="928"/>
          <w:tab w:val="num" w:pos="0"/>
          <w:tab w:val="num" w:pos="709"/>
        </w:tabs>
        <w:ind w:left="0" w:firstLine="0"/>
        <w:jc w:val="both"/>
        <w:rPr>
          <w:sz w:val="22"/>
          <w:szCs w:val="22"/>
          <w:lang w:val="fr-FR"/>
        </w:rPr>
      </w:pPr>
      <w:r w:rsidRPr="0033553A">
        <w:rPr>
          <w:i/>
          <w:iCs/>
          <w:sz w:val="22"/>
          <w:szCs w:val="22"/>
          <w:lang w:val="fr-FR"/>
        </w:rPr>
        <w:t xml:space="preserve">Adopte </w:t>
      </w:r>
      <w:r w:rsidRPr="0033553A">
        <w:rPr>
          <w:iCs/>
          <w:sz w:val="22"/>
          <w:szCs w:val="22"/>
          <w:lang w:val="fr-FR"/>
        </w:rPr>
        <w:t xml:space="preserve">ce qui suit </w:t>
      </w:r>
      <w:r w:rsidRPr="0033553A">
        <w:rPr>
          <w:sz w:val="22"/>
          <w:szCs w:val="22"/>
          <w:lang w:val="fr-FR"/>
        </w:rPr>
        <w:t>:</w:t>
      </w:r>
      <w:r w:rsidR="004A5FDE" w:rsidRPr="0033553A">
        <w:rPr>
          <w:sz w:val="22"/>
          <w:szCs w:val="22"/>
          <w:lang w:val="fr-FR"/>
        </w:rPr>
        <w:t xml:space="preserve"> </w:t>
      </w:r>
    </w:p>
    <w:p w:rsidR="009256A6" w:rsidRPr="0033553A" w:rsidRDefault="009256A6" w:rsidP="00A17999">
      <w:pPr>
        <w:jc w:val="both"/>
        <w:rPr>
          <w:i/>
          <w:sz w:val="22"/>
          <w:szCs w:val="22"/>
          <w:lang w:val="fr-FR"/>
        </w:rPr>
      </w:pPr>
    </w:p>
    <w:p w:rsidR="0079259C" w:rsidRDefault="005B0901" w:rsidP="0079259C">
      <w:pPr>
        <w:pStyle w:val="ListParagraph"/>
        <w:numPr>
          <w:ilvl w:val="0"/>
          <w:numId w:val="16"/>
        </w:numPr>
        <w:spacing w:line="276" w:lineRule="auto"/>
        <w:ind w:left="1080"/>
        <w:jc w:val="both"/>
        <w:rPr>
          <w:sz w:val="22"/>
          <w:szCs w:val="22"/>
          <w:lang w:val="fr-FR"/>
        </w:rPr>
      </w:pPr>
      <w:r w:rsidRPr="0079259C">
        <w:rPr>
          <w:sz w:val="22"/>
          <w:szCs w:val="22"/>
          <w:lang w:val="fr-FR"/>
        </w:rPr>
        <w:t xml:space="preserve">Les </w:t>
      </w:r>
      <w:r w:rsidRPr="0079259C">
        <w:rPr>
          <w:i/>
          <w:sz w:val="22"/>
          <w:szCs w:val="22"/>
          <w:lang w:val="fr-FR"/>
        </w:rPr>
        <w:t xml:space="preserve">Conseils pour l’observation des conditions du paragraphe 2.1.3 du Plan d’action de l’AEWA, </w:t>
      </w:r>
      <w:r w:rsidRPr="0079259C">
        <w:rPr>
          <w:sz w:val="22"/>
          <w:szCs w:val="22"/>
          <w:lang w:val="fr-FR"/>
        </w:rPr>
        <w:t>tels que présentés dans le document AEWA/MOP</w:t>
      </w:r>
      <w:r w:rsidR="006B7BFC" w:rsidRPr="0079259C">
        <w:rPr>
          <w:sz w:val="22"/>
          <w:szCs w:val="22"/>
          <w:lang w:val="fr-FR"/>
        </w:rPr>
        <w:t xml:space="preserve"> </w:t>
      </w:r>
      <w:r w:rsidRPr="0079259C">
        <w:rPr>
          <w:sz w:val="22"/>
          <w:szCs w:val="22"/>
          <w:lang w:val="fr-FR"/>
        </w:rPr>
        <w:t>7.</w:t>
      </w:r>
      <w:r w:rsidR="00A112E5" w:rsidRPr="0079259C">
        <w:rPr>
          <w:sz w:val="22"/>
          <w:szCs w:val="22"/>
          <w:lang w:val="fr-FR"/>
        </w:rPr>
        <w:t>32</w:t>
      </w:r>
      <w:r w:rsidR="0079259C">
        <w:rPr>
          <w:sz w:val="22"/>
          <w:szCs w:val="22"/>
          <w:lang w:val="fr-FR"/>
        </w:rPr>
        <w:t>,</w:t>
      </w:r>
    </w:p>
    <w:p w:rsidR="0079259C" w:rsidRDefault="005B0901" w:rsidP="0079259C">
      <w:pPr>
        <w:pStyle w:val="ListParagraph"/>
        <w:numPr>
          <w:ilvl w:val="0"/>
          <w:numId w:val="16"/>
        </w:numPr>
        <w:spacing w:line="276" w:lineRule="auto"/>
        <w:ind w:left="1080"/>
        <w:jc w:val="both"/>
        <w:rPr>
          <w:sz w:val="22"/>
          <w:szCs w:val="22"/>
          <w:lang w:val="fr-FR"/>
        </w:rPr>
      </w:pPr>
      <w:r w:rsidRPr="0079259C">
        <w:rPr>
          <w:sz w:val="22"/>
          <w:szCs w:val="22"/>
          <w:lang w:val="fr-FR"/>
        </w:rPr>
        <w:t xml:space="preserve">Les </w:t>
      </w:r>
      <w:r w:rsidRPr="0079259C">
        <w:rPr>
          <w:i/>
          <w:sz w:val="22"/>
          <w:szCs w:val="22"/>
          <w:lang w:val="fr-FR"/>
        </w:rPr>
        <w:t xml:space="preserve">Conseils sur les dispositions de l’AEWA relatives aux espèces non indigènes, </w:t>
      </w:r>
      <w:r w:rsidRPr="0079259C">
        <w:rPr>
          <w:sz w:val="22"/>
          <w:szCs w:val="22"/>
          <w:lang w:val="fr-FR"/>
        </w:rPr>
        <w:t>tels que présentés dans le document AEWA/MOP</w:t>
      </w:r>
      <w:r w:rsidR="006B7BFC" w:rsidRPr="0079259C">
        <w:rPr>
          <w:sz w:val="22"/>
          <w:szCs w:val="22"/>
          <w:lang w:val="fr-FR"/>
        </w:rPr>
        <w:t xml:space="preserve"> </w:t>
      </w:r>
      <w:r w:rsidRPr="0079259C">
        <w:rPr>
          <w:sz w:val="22"/>
          <w:szCs w:val="22"/>
          <w:lang w:val="fr-FR"/>
        </w:rPr>
        <w:t>7.</w:t>
      </w:r>
      <w:r w:rsidR="00A112E5" w:rsidRPr="0079259C">
        <w:rPr>
          <w:sz w:val="22"/>
          <w:szCs w:val="22"/>
          <w:lang w:val="fr-FR"/>
        </w:rPr>
        <w:t>33</w:t>
      </w:r>
      <w:r w:rsidR="0079259C">
        <w:rPr>
          <w:sz w:val="22"/>
          <w:szCs w:val="22"/>
          <w:lang w:val="fr-FR"/>
        </w:rPr>
        <w:t>,</w:t>
      </w:r>
    </w:p>
    <w:p w:rsidR="0079259C" w:rsidRDefault="005B0901" w:rsidP="0079259C">
      <w:pPr>
        <w:pStyle w:val="ListParagraph"/>
        <w:numPr>
          <w:ilvl w:val="0"/>
          <w:numId w:val="16"/>
        </w:numPr>
        <w:spacing w:line="276" w:lineRule="auto"/>
        <w:ind w:left="1080"/>
        <w:jc w:val="both"/>
        <w:rPr>
          <w:sz w:val="22"/>
          <w:szCs w:val="22"/>
          <w:lang w:val="fr-FR"/>
        </w:rPr>
      </w:pPr>
      <w:r w:rsidRPr="0079259C">
        <w:rPr>
          <w:sz w:val="22"/>
          <w:szCs w:val="22"/>
          <w:lang w:val="fr-FR"/>
        </w:rPr>
        <w:t xml:space="preserve">Les </w:t>
      </w:r>
      <w:r w:rsidRPr="0079259C">
        <w:rPr>
          <w:i/>
          <w:sz w:val="22"/>
          <w:szCs w:val="22"/>
          <w:lang w:val="fr-FR"/>
        </w:rPr>
        <w:t xml:space="preserve">Conseils sur l'emploi d’une approche systématique en réponse aux déclins d’oiseaux d’eau </w:t>
      </w:r>
      <w:r w:rsidR="0033553A" w:rsidRPr="0079259C">
        <w:rPr>
          <w:i/>
          <w:sz w:val="22"/>
          <w:szCs w:val="22"/>
          <w:lang w:val="fr-FR"/>
        </w:rPr>
        <w:t>: liste</w:t>
      </w:r>
      <w:r w:rsidRPr="0079259C">
        <w:rPr>
          <w:i/>
          <w:sz w:val="22"/>
          <w:szCs w:val="22"/>
          <w:lang w:val="fr-FR"/>
        </w:rPr>
        <w:t xml:space="preserve"> de vérification des actions potentielles </w:t>
      </w:r>
      <w:bookmarkStart w:id="1" w:name="_Hlk515567214"/>
      <w:r w:rsidRPr="0079259C">
        <w:rPr>
          <w:sz w:val="22"/>
          <w:szCs w:val="22"/>
          <w:lang w:val="fr-FR"/>
        </w:rPr>
        <w:t>tels que présentés dans le document AEWA/MOP</w:t>
      </w:r>
      <w:r w:rsidR="0079259C">
        <w:rPr>
          <w:sz w:val="22"/>
          <w:szCs w:val="22"/>
          <w:lang w:val="fr-FR"/>
        </w:rPr>
        <w:t> </w:t>
      </w:r>
      <w:bookmarkStart w:id="2" w:name="_GoBack"/>
      <w:bookmarkEnd w:id="2"/>
      <w:r w:rsidRPr="0079259C">
        <w:rPr>
          <w:sz w:val="22"/>
          <w:szCs w:val="22"/>
          <w:lang w:val="fr-FR"/>
        </w:rPr>
        <w:t>7.</w:t>
      </w:r>
      <w:r w:rsidR="00A112E5" w:rsidRPr="0079259C">
        <w:rPr>
          <w:sz w:val="22"/>
          <w:szCs w:val="22"/>
          <w:lang w:val="fr-FR"/>
        </w:rPr>
        <w:t>34</w:t>
      </w:r>
      <w:bookmarkEnd w:id="1"/>
      <w:r w:rsidR="0079259C">
        <w:rPr>
          <w:sz w:val="22"/>
          <w:szCs w:val="22"/>
          <w:lang w:val="fr-FR"/>
        </w:rPr>
        <w:t> </w:t>
      </w:r>
      <w:r w:rsidR="006F34F9" w:rsidRPr="0079259C">
        <w:rPr>
          <w:sz w:val="22"/>
          <w:szCs w:val="22"/>
          <w:lang w:val="fr-FR"/>
        </w:rPr>
        <w:t>Rev.1</w:t>
      </w:r>
      <w:r w:rsidR="0079259C">
        <w:rPr>
          <w:sz w:val="22"/>
          <w:szCs w:val="22"/>
          <w:lang w:val="fr-FR"/>
        </w:rPr>
        <w:t>,</w:t>
      </w:r>
    </w:p>
    <w:p w:rsidR="00AE1F7E" w:rsidRPr="0079259C" w:rsidRDefault="005B0901" w:rsidP="0079259C">
      <w:pPr>
        <w:pStyle w:val="ListParagraph"/>
        <w:numPr>
          <w:ilvl w:val="0"/>
          <w:numId w:val="16"/>
        </w:numPr>
        <w:spacing w:line="276" w:lineRule="auto"/>
        <w:ind w:left="1080"/>
        <w:jc w:val="both"/>
        <w:rPr>
          <w:sz w:val="22"/>
          <w:szCs w:val="22"/>
          <w:lang w:val="fr-FR"/>
        </w:rPr>
      </w:pPr>
      <w:r w:rsidRPr="0079259C">
        <w:rPr>
          <w:sz w:val="22"/>
          <w:szCs w:val="22"/>
          <w:lang w:val="fr-FR"/>
        </w:rPr>
        <w:t xml:space="preserve">Les </w:t>
      </w:r>
      <w:r w:rsidRPr="0079259C">
        <w:rPr>
          <w:i/>
          <w:sz w:val="22"/>
          <w:szCs w:val="22"/>
          <w:lang w:val="fr-FR"/>
        </w:rPr>
        <w:t>Lignes directrices de conservation n</w:t>
      </w:r>
      <w:r w:rsidRPr="0079259C">
        <w:rPr>
          <w:i/>
          <w:sz w:val="22"/>
          <w:szCs w:val="22"/>
          <w:vertAlign w:val="superscript"/>
          <w:lang w:val="fr-FR"/>
        </w:rPr>
        <w:t>o</w:t>
      </w:r>
      <w:r w:rsidRPr="0079259C">
        <w:rPr>
          <w:i/>
          <w:sz w:val="22"/>
          <w:szCs w:val="22"/>
          <w:lang w:val="fr-FR"/>
        </w:rPr>
        <w:t xml:space="preserve"> 9 révisées sur </w:t>
      </w:r>
      <w:r w:rsidR="00DD46AD" w:rsidRPr="0079259C">
        <w:rPr>
          <w:i/>
          <w:sz w:val="22"/>
          <w:szCs w:val="22"/>
          <w:lang w:val="fr-FR"/>
        </w:rPr>
        <w:t>le suivi</w:t>
      </w:r>
      <w:r w:rsidRPr="0079259C">
        <w:rPr>
          <w:i/>
          <w:sz w:val="22"/>
          <w:szCs w:val="22"/>
          <w:lang w:val="fr-FR"/>
        </w:rPr>
        <w:t xml:space="preserve"> des oiseaux d’eau</w:t>
      </w:r>
      <w:r w:rsidRPr="0079259C">
        <w:rPr>
          <w:sz w:val="22"/>
          <w:szCs w:val="22"/>
          <w:lang w:val="fr-FR"/>
        </w:rPr>
        <w:t xml:space="preserve"> telles que présentées dans le document AEWA/MOP</w:t>
      </w:r>
      <w:r w:rsidR="006B7BFC" w:rsidRPr="0079259C">
        <w:rPr>
          <w:sz w:val="22"/>
          <w:szCs w:val="22"/>
          <w:lang w:val="fr-FR"/>
        </w:rPr>
        <w:t xml:space="preserve"> </w:t>
      </w:r>
      <w:r w:rsidRPr="0079259C">
        <w:rPr>
          <w:sz w:val="22"/>
          <w:szCs w:val="22"/>
          <w:lang w:val="fr-FR"/>
        </w:rPr>
        <w:t>7.</w:t>
      </w:r>
      <w:r w:rsidR="00A112E5" w:rsidRPr="0079259C">
        <w:rPr>
          <w:sz w:val="22"/>
          <w:szCs w:val="22"/>
          <w:lang w:val="fr-FR"/>
        </w:rPr>
        <w:t>35</w:t>
      </w:r>
      <w:r w:rsidR="00926B31" w:rsidRPr="0079259C">
        <w:rPr>
          <w:sz w:val="22"/>
          <w:szCs w:val="22"/>
          <w:lang w:val="fr-FR"/>
        </w:rPr>
        <w:t xml:space="preserve"> </w:t>
      </w:r>
      <w:r w:rsidRPr="0079259C">
        <w:rPr>
          <w:sz w:val="22"/>
          <w:szCs w:val="22"/>
          <w:lang w:val="fr-FR"/>
        </w:rPr>
        <w:t>;</w:t>
      </w:r>
    </w:p>
    <w:p w:rsidR="00926B31" w:rsidRPr="0033553A" w:rsidRDefault="00926B31" w:rsidP="00A17999">
      <w:pPr>
        <w:ind w:left="720"/>
        <w:jc w:val="both"/>
        <w:rPr>
          <w:sz w:val="22"/>
          <w:szCs w:val="22"/>
          <w:lang w:val="fr-FR"/>
        </w:rPr>
      </w:pPr>
    </w:p>
    <w:p w:rsidR="00AE1F7E" w:rsidRPr="006B7BFC" w:rsidRDefault="00DA3796" w:rsidP="006B7BFC">
      <w:pPr>
        <w:pStyle w:val="ListParagraph"/>
        <w:numPr>
          <w:ilvl w:val="0"/>
          <w:numId w:val="6"/>
        </w:numPr>
        <w:tabs>
          <w:tab w:val="clear" w:pos="928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r>
        <w:rPr>
          <w:i/>
          <w:sz w:val="22"/>
          <w:szCs w:val="22"/>
          <w:lang w:val="fr-FR" w:eastAsia="en-GB"/>
        </w:rPr>
        <w:t xml:space="preserve">Demande </w:t>
      </w:r>
      <w:r w:rsidR="009D5A2A" w:rsidRPr="00DA3796">
        <w:rPr>
          <w:sz w:val="22"/>
          <w:szCs w:val="22"/>
          <w:lang w:val="fr-FR" w:eastAsia="en-GB"/>
        </w:rPr>
        <w:t>aux</w:t>
      </w:r>
      <w:r w:rsidRPr="00DA3796">
        <w:rPr>
          <w:sz w:val="22"/>
          <w:szCs w:val="22"/>
          <w:lang w:val="fr-FR" w:eastAsia="en-GB"/>
        </w:rPr>
        <w:t xml:space="preserve"> Parties contractantes d’u</w:t>
      </w:r>
      <w:r w:rsidR="009D5A2A" w:rsidRPr="00DA3796">
        <w:rPr>
          <w:sz w:val="22"/>
          <w:szCs w:val="22"/>
          <w:lang w:val="fr-FR" w:eastAsia="en-GB"/>
        </w:rPr>
        <w:t>tiliser ces lignes directrices d'une manière pratique qui conduise à un minimum de bureaucratie s</w:t>
      </w:r>
      <w:r w:rsidRPr="00DA3796">
        <w:rPr>
          <w:sz w:val="22"/>
          <w:szCs w:val="22"/>
          <w:lang w:val="fr-FR" w:eastAsia="en-GB"/>
        </w:rPr>
        <w:t>upplémentaire et qui reconnaisse</w:t>
      </w:r>
      <w:r w:rsidR="009D5A2A" w:rsidRPr="00DA3796">
        <w:rPr>
          <w:sz w:val="22"/>
          <w:szCs w:val="22"/>
          <w:lang w:val="fr-FR" w:eastAsia="en-GB"/>
        </w:rPr>
        <w:t xml:space="preserve"> les différentes conditions sociales, économiques et environnementales dans la zone de l'Accord</w:t>
      </w:r>
      <w:r>
        <w:rPr>
          <w:i/>
          <w:sz w:val="22"/>
          <w:szCs w:val="22"/>
          <w:lang w:val="fr-FR" w:eastAsia="en-GB"/>
        </w:rPr>
        <w:t xml:space="preserve"> </w:t>
      </w:r>
      <w:r w:rsidR="005B0901" w:rsidRPr="006B7BFC">
        <w:rPr>
          <w:sz w:val="22"/>
          <w:szCs w:val="22"/>
          <w:lang w:val="fr-FR" w:eastAsia="en-GB"/>
        </w:rPr>
        <w:t>;</w:t>
      </w:r>
    </w:p>
    <w:p w:rsidR="00AD6C69" w:rsidRPr="0033553A" w:rsidRDefault="00AD6C69" w:rsidP="006B7BFC">
      <w:pPr>
        <w:tabs>
          <w:tab w:val="num" w:pos="928"/>
        </w:tabs>
        <w:spacing w:line="276" w:lineRule="auto"/>
        <w:jc w:val="both"/>
        <w:rPr>
          <w:sz w:val="22"/>
          <w:szCs w:val="22"/>
          <w:lang w:val="fr-FR" w:eastAsia="en-GB"/>
        </w:rPr>
      </w:pPr>
    </w:p>
    <w:p w:rsidR="00304FAF" w:rsidRPr="006B7BFC" w:rsidRDefault="009D5A2A" w:rsidP="006B7BFC">
      <w:pPr>
        <w:pStyle w:val="ListParagraph"/>
        <w:numPr>
          <w:ilvl w:val="0"/>
          <w:numId w:val="6"/>
        </w:numPr>
        <w:tabs>
          <w:tab w:val="clear" w:pos="928"/>
          <w:tab w:val="num" w:pos="709"/>
        </w:tabs>
        <w:spacing w:line="280" w:lineRule="auto"/>
        <w:ind w:left="0" w:firstLine="0"/>
        <w:jc w:val="both"/>
        <w:rPr>
          <w:sz w:val="22"/>
          <w:szCs w:val="22"/>
          <w:lang w:val="fr-FR" w:eastAsia="en-GB"/>
        </w:rPr>
      </w:pPr>
      <w:r w:rsidRPr="008C5AFB">
        <w:rPr>
          <w:i/>
          <w:sz w:val="22"/>
          <w:szCs w:val="22"/>
          <w:lang w:val="fr-FR" w:eastAsia="en-GB"/>
        </w:rPr>
        <w:t xml:space="preserve">Charge </w:t>
      </w:r>
      <w:r w:rsidRPr="00DA3796">
        <w:rPr>
          <w:sz w:val="22"/>
          <w:szCs w:val="22"/>
          <w:lang w:val="fr-FR" w:eastAsia="en-GB"/>
        </w:rPr>
        <w:t>le Secrétariat de diffuser ces lignes directrices à tous les Etats de l'aire de répartition, ainsi qu'aux organisations internationales gouvernementales et non gouvernementales concernées, et de promouvoir et de surveiller leur utilisation dans la mesure du possible</w:t>
      </w:r>
      <w:r w:rsidR="00DA3796">
        <w:rPr>
          <w:sz w:val="22"/>
          <w:szCs w:val="22"/>
          <w:lang w:val="fr-FR" w:eastAsia="en-GB"/>
        </w:rPr>
        <w:t xml:space="preserve"> </w:t>
      </w:r>
      <w:r w:rsidR="006B7BFC">
        <w:rPr>
          <w:sz w:val="22"/>
          <w:szCs w:val="22"/>
          <w:lang w:val="fr-FR" w:eastAsia="en-GB"/>
        </w:rPr>
        <w:t>;</w:t>
      </w:r>
    </w:p>
    <w:p w:rsidR="00A112E5" w:rsidRPr="00C9248F" w:rsidRDefault="00A112E5" w:rsidP="00C9248F">
      <w:pPr>
        <w:tabs>
          <w:tab w:val="num" w:pos="928"/>
        </w:tabs>
        <w:spacing w:line="280" w:lineRule="auto"/>
        <w:jc w:val="both"/>
        <w:rPr>
          <w:sz w:val="22"/>
          <w:szCs w:val="22"/>
          <w:lang w:val="fr-FR" w:eastAsia="en-GB"/>
        </w:rPr>
      </w:pPr>
    </w:p>
    <w:p w:rsidR="00C9248F" w:rsidRDefault="009D5A2A" w:rsidP="006B7BFC">
      <w:pPr>
        <w:pStyle w:val="ListParagraph"/>
        <w:numPr>
          <w:ilvl w:val="0"/>
          <w:numId w:val="6"/>
        </w:numPr>
        <w:tabs>
          <w:tab w:val="clear" w:pos="928"/>
          <w:tab w:val="left" w:pos="70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2"/>
          <w:szCs w:val="22"/>
          <w:lang w:val="fr-FR"/>
        </w:rPr>
      </w:pPr>
      <w:r w:rsidRPr="008C5AFB">
        <w:rPr>
          <w:i/>
          <w:sz w:val="22"/>
          <w:szCs w:val="22"/>
          <w:lang w:val="fr-FR"/>
        </w:rPr>
        <w:t xml:space="preserve">Rappelle </w:t>
      </w:r>
      <w:r w:rsidRPr="00F86E87">
        <w:rPr>
          <w:sz w:val="22"/>
          <w:szCs w:val="22"/>
          <w:lang w:val="fr-FR"/>
        </w:rPr>
        <w:t xml:space="preserve">aux Parties l'obligation d'informer le secrétariat de l'Accord de toute dérogation accordée en vertu </w:t>
      </w:r>
      <w:r w:rsidR="006F34F9">
        <w:rPr>
          <w:sz w:val="22"/>
          <w:szCs w:val="22"/>
          <w:lang w:val="fr-FR"/>
        </w:rPr>
        <w:t xml:space="preserve">des </w:t>
      </w:r>
      <w:r w:rsidRPr="00F86E87">
        <w:rPr>
          <w:sz w:val="22"/>
          <w:szCs w:val="22"/>
          <w:lang w:val="fr-FR"/>
        </w:rPr>
        <w:t>dispositions des paragraphes 2.1.1.1 et 2.1.2 du Plan d'action de l'AEWA et de le faire dès que possible</w:t>
      </w:r>
      <w:r w:rsidR="00A17999">
        <w:rPr>
          <w:sz w:val="22"/>
          <w:szCs w:val="22"/>
          <w:lang w:val="fr-FR"/>
        </w:rPr>
        <w:t> </w:t>
      </w:r>
      <w:r w:rsidR="00A17999">
        <w:rPr>
          <w:i/>
          <w:sz w:val="22"/>
          <w:szCs w:val="22"/>
          <w:lang w:val="fr-FR"/>
        </w:rPr>
        <w:t>;</w:t>
      </w:r>
    </w:p>
    <w:p w:rsidR="009D5A2A" w:rsidRPr="00023ED3" w:rsidRDefault="009D5A2A" w:rsidP="00023ED3">
      <w:pPr>
        <w:pStyle w:val="ListParagraph"/>
        <w:rPr>
          <w:sz w:val="22"/>
          <w:szCs w:val="22"/>
          <w:lang w:val="fr-FR"/>
        </w:rPr>
      </w:pPr>
    </w:p>
    <w:p w:rsidR="00A17999" w:rsidRDefault="009D5A2A" w:rsidP="009D5A2A">
      <w:pPr>
        <w:pStyle w:val="ListParagraph"/>
        <w:numPr>
          <w:ilvl w:val="0"/>
          <w:numId w:val="6"/>
        </w:numPr>
        <w:tabs>
          <w:tab w:val="clear" w:pos="928"/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sz w:val="22"/>
          <w:szCs w:val="22"/>
          <w:lang w:val="fr-FR"/>
        </w:rPr>
      </w:pPr>
      <w:r w:rsidRPr="00F86E87">
        <w:rPr>
          <w:i/>
          <w:sz w:val="22"/>
          <w:szCs w:val="22"/>
          <w:lang w:val="fr-FR"/>
        </w:rPr>
        <w:t>Réitère</w:t>
      </w:r>
      <w:r w:rsidRPr="00567C41">
        <w:rPr>
          <w:sz w:val="22"/>
          <w:szCs w:val="22"/>
          <w:lang w:val="fr-FR"/>
        </w:rPr>
        <w:t xml:space="preserve"> la demande formulée au paragraphe 4 de la Résolution 6.5, à </w:t>
      </w:r>
      <w:r>
        <w:rPr>
          <w:sz w:val="22"/>
          <w:szCs w:val="22"/>
          <w:lang w:val="fr-FR"/>
        </w:rPr>
        <w:t>s</w:t>
      </w:r>
      <w:r w:rsidR="00A17999">
        <w:rPr>
          <w:sz w:val="22"/>
          <w:szCs w:val="22"/>
          <w:lang w:val="fr-FR"/>
        </w:rPr>
        <w:t>avoir que le Comité technique :</w:t>
      </w:r>
    </w:p>
    <w:p w:rsidR="00A17999" w:rsidRDefault="0079259C" w:rsidP="00A17999">
      <w:pPr>
        <w:pStyle w:val="ListParagraph"/>
        <w:numPr>
          <w:ilvl w:val="0"/>
          <w:numId w:val="12"/>
        </w:num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M</w:t>
      </w:r>
      <w:r w:rsidR="009D5A2A" w:rsidRPr="00A17999">
        <w:rPr>
          <w:i/>
          <w:sz w:val="22"/>
          <w:szCs w:val="22"/>
          <w:lang w:val="fr-FR"/>
        </w:rPr>
        <w:t>ette en œuvre</w:t>
      </w:r>
      <w:r w:rsidR="009D5A2A" w:rsidRPr="00A17999">
        <w:rPr>
          <w:sz w:val="22"/>
          <w:szCs w:val="22"/>
          <w:lang w:val="fr-FR"/>
        </w:rPr>
        <w:t xml:space="preserve"> son programme glissant de révision et de mise à jour des lignes directrices existantes en matière de conservation, le cas échéant ; et </w:t>
      </w:r>
    </w:p>
    <w:p w:rsidR="009D5A2A" w:rsidRPr="00A17999" w:rsidRDefault="0079259C" w:rsidP="00A17999">
      <w:pPr>
        <w:pStyle w:val="ListParagraph"/>
        <w:numPr>
          <w:ilvl w:val="0"/>
          <w:numId w:val="12"/>
        </w:num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2"/>
          <w:szCs w:val="22"/>
          <w:lang w:val="fr-FR"/>
        </w:rPr>
      </w:pPr>
      <w:r>
        <w:rPr>
          <w:i/>
          <w:sz w:val="22"/>
          <w:szCs w:val="22"/>
          <w:lang w:val="fr-FR"/>
        </w:rPr>
        <w:t>T</w:t>
      </w:r>
      <w:r w:rsidR="009D5A2A" w:rsidRPr="00A17999">
        <w:rPr>
          <w:i/>
          <w:sz w:val="22"/>
          <w:szCs w:val="22"/>
          <w:lang w:val="fr-FR"/>
        </w:rPr>
        <w:t>ravaille à la réalisation</w:t>
      </w:r>
      <w:r w:rsidR="009D5A2A" w:rsidRPr="00A17999">
        <w:rPr>
          <w:sz w:val="22"/>
          <w:szCs w:val="22"/>
          <w:lang w:val="fr-FR"/>
        </w:rPr>
        <w:t xml:space="preserve"> de ce programme, si les ressources le permettent ;</w:t>
      </w:r>
    </w:p>
    <w:p w:rsidR="009D5A2A" w:rsidRDefault="009D5A2A" w:rsidP="009D5A2A">
      <w:pPr>
        <w:pStyle w:val="ListParagraph"/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/>
        <w:jc w:val="both"/>
        <w:rPr>
          <w:sz w:val="22"/>
          <w:szCs w:val="22"/>
          <w:lang w:val="fr-FR"/>
        </w:rPr>
      </w:pPr>
    </w:p>
    <w:p w:rsidR="009D5A2A" w:rsidRPr="00A17999" w:rsidRDefault="009D5A2A" w:rsidP="00A17999">
      <w:pPr>
        <w:pStyle w:val="ListParagraph"/>
        <w:numPr>
          <w:ilvl w:val="0"/>
          <w:numId w:val="6"/>
        </w:numPr>
        <w:tabs>
          <w:tab w:val="clear" w:pos="928"/>
          <w:tab w:val="num" w:pos="568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both"/>
        <w:rPr>
          <w:sz w:val="22"/>
          <w:szCs w:val="22"/>
          <w:lang w:val="fr-FR"/>
        </w:rPr>
      </w:pPr>
      <w:r w:rsidRPr="00A17999">
        <w:rPr>
          <w:i/>
          <w:sz w:val="22"/>
          <w:szCs w:val="22"/>
          <w:lang w:val="fr-FR"/>
        </w:rPr>
        <w:t>Demande</w:t>
      </w:r>
      <w:r w:rsidRPr="00A17999">
        <w:rPr>
          <w:sz w:val="22"/>
          <w:szCs w:val="22"/>
          <w:lang w:val="fr-FR"/>
        </w:rPr>
        <w:t xml:space="preserve"> au Comité technique d'examiner comment diffuser au mieux les informations nouvelles ou d'actualité relatives aux Lignes directrices de conservation existantes aux Parties et à d'autres parties prenantes, y compris par le biais des plates-formes de publication existantes et des médias sociaux et autres ;</w:t>
      </w:r>
      <w:r w:rsidR="00DD46AD">
        <w:rPr>
          <w:sz w:val="22"/>
          <w:szCs w:val="22"/>
          <w:lang w:val="fr-FR"/>
        </w:rPr>
        <w:t xml:space="preserve"> si les ressources le permette</w:t>
      </w:r>
      <w:r w:rsidR="006651C2" w:rsidRPr="00A17999">
        <w:rPr>
          <w:sz w:val="22"/>
          <w:szCs w:val="22"/>
          <w:lang w:val="fr-FR"/>
        </w:rPr>
        <w:t>n</w:t>
      </w:r>
      <w:r w:rsidR="00751F69" w:rsidRPr="00A17999">
        <w:rPr>
          <w:sz w:val="22"/>
          <w:szCs w:val="22"/>
          <w:lang w:val="fr-FR"/>
        </w:rPr>
        <w:t>t</w:t>
      </w:r>
      <w:r w:rsidR="006651C2" w:rsidRPr="00A17999">
        <w:rPr>
          <w:sz w:val="22"/>
          <w:szCs w:val="22"/>
          <w:lang w:val="fr-FR"/>
        </w:rPr>
        <w:t>,</w:t>
      </w:r>
      <w:r w:rsidRPr="00A17999">
        <w:rPr>
          <w:sz w:val="22"/>
          <w:szCs w:val="22"/>
          <w:lang w:val="fr-FR"/>
        </w:rPr>
        <w:t xml:space="preserve"> de faire des recommandations au Comité permanent à cet effet ; et de toujours indiquer clairement dans l'élaboration de ces mécanismes que ces informations ne font pas partie des Lignes directrices de conservation pertinentes ou qu'elles ne les remplacent pas</w:t>
      </w:r>
      <w:r w:rsidR="0079259C">
        <w:rPr>
          <w:sz w:val="22"/>
          <w:szCs w:val="22"/>
          <w:lang w:val="fr-FR"/>
        </w:rPr>
        <w:t xml:space="preserve"> </w:t>
      </w:r>
      <w:r w:rsidRPr="00A17999">
        <w:rPr>
          <w:sz w:val="22"/>
          <w:szCs w:val="22"/>
          <w:lang w:val="fr-FR"/>
        </w:rPr>
        <w:t>;</w:t>
      </w:r>
    </w:p>
    <w:p w:rsidR="00751F69" w:rsidRPr="00751F69" w:rsidRDefault="00751F69" w:rsidP="00751F69">
      <w:pPr>
        <w:pStyle w:val="ListParagraph"/>
        <w:rPr>
          <w:sz w:val="22"/>
          <w:szCs w:val="22"/>
          <w:lang w:val="fr-FR"/>
        </w:rPr>
      </w:pPr>
    </w:p>
    <w:p w:rsidR="00751F69" w:rsidRDefault="00973215" w:rsidP="00B81C0F">
      <w:p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7.</w:t>
      </w:r>
      <w:r>
        <w:rPr>
          <w:sz w:val="22"/>
          <w:szCs w:val="22"/>
          <w:lang w:val="fr-FR"/>
        </w:rPr>
        <w:tab/>
      </w:r>
      <w:r w:rsidR="00751F69" w:rsidRPr="00A17999">
        <w:rPr>
          <w:i/>
          <w:sz w:val="22"/>
          <w:szCs w:val="22"/>
          <w:lang w:val="fr-FR"/>
        </w:rPr>
        <w:t>Encourage</w:t>
      </w:r>
      <w:r w:rsidR="00751F69" w:rsidRPr="00751F69">
        <w:rPr>
          <w:sz w:val="22"/>
          <w:szCs w:val="22"/>
          <w:lang w:val="fr-FR"/>
        </w:rPr>
        <w:t xml:space="preserve"> les Parties à veiller à ce que les mesures de conservation s'appuient sur les données probantes les plus solides disponibles, y compris l'utilisation de ces données pour évaluer l'efficacité probable des mesures proposées et, lorsque les ressources le permettent, pour évaluer l'efficacité des mesures qui sont prises, y compris la diffusion des conclusions de ces mesures le plus efficacement possible, par exemple par le biais de banques de données en ligne ; et</w:t>
      </w:r>
    </w:p>
    <w:p w:rsidR="00973215" w:rsidRDefault="00973215" w:rsidP="00B81C0F">
      <w:p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</w:p>
    <w:p w:rsidR="00973215" w:rsidRPr="00B81C0F" w:rsidRDefault="00973215" w:rsidP="00B81C0F">
      <w:pPr>
        <w:tabs>
          <w:tab w:val="left" w:pos="7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2"/>
          <w:szCs w:val="22"/>
          <w:lang w:val="fr-FR"/>
        </w:rPr>
      </w:pPr>
      <w:r>
        <w:rPr>
          <w:sz w:val="22"/>
          <w:szCs w:val="22"/>
          <w:lang w:val="fr-FR"/>
        </w:rPr>
        <w:t>8.</w:t>
      </w:r>
      <w:r w:rsidRPr="00973215">
        <w:rPr>
          <w:i/>
          <w:sz w:val="22"/>
          <w:szCs w:val="22"/>
          <w:lang w:val="fr-FR"/>
        </w:rPr>
        <w:t xml:space="preserve"> </w:t>
      </w:r>
      <w:r>
        <w:rPr>
          <w:i/>
          <w:sz w:val="22"/>
          <w:szCs w:val="22"/>
          <w:lang w:val="fr-FR"/>
        </w:rPr>
        <w:tab/>
      </w:r>
      <w:r w:rsidRPr="006B7BFC">
        <w:rPr>
          <w:i/>
          <w:sz w:val="22"/>
          <w:szCs w:val="22"/>
          <w:lang w:val="fr-FR"/>
        </w:rPr>
        <w:t>Prie instamment</w:t>
      </w:r>
      <w:r w:rsidRPr="006B7BFC">
        <w:rPr>
          <w:sz w:val="22"/>
          <w:szCs w:val="22"/>
          <w:lang w:val="fr-FR"/>
        </w:rPr>
        <w:t xml:space="preserve"> toutes les Parties contractantes en Afrique d’identifier au niveau national les périodes de reproduction et de migration </w:t>
      </w:r>
      <w:proofErr w:type="spellStart"/>
      <w:r w:rsidRPr="006B7BFC">
        <w:rPr>
          <w:sz w:val="22"/>
          <w:szCs w:val="22"/>
          <w:lang w:val="fr-FR"/>
        </w:rPr>
        <w:t>pré-nuptiale</w:t>
      </w:r>
      <w:proofErr w:type="spellEnd"/>
      <w:r w:rsidRPr="006B7BFC">
        <w:rPr>
          <w:sz w:val="22"/>
          <w:szCs w:val="22"/>
          <w:lang w:val="fr-FR"/>
        </w:rPr>
        <w:t xml:space="preserve"> pour toutes les espèces inscrites à l’AEWA et leurs populations respectives présentes sur leurs territoires et d’appliquer ces connaissances à</w:t>
      </w:r>
      <w:r w:rsidR="0079259C">
        <w:rPr>
          <w:sz w:val="22"/>
          <w:szCs w:val="22"/>
          <w:lang w:val="fr-FR"/>
        </w:rPr>
        <w:t xml:space="preserve"> la mise en œuvre du paragraphe </w:t>
      </w:r>
      <w:r w:rsidRPr="006B7BFC">
        <w:rPr>
          <w:sz w:val="22"/>
          <w:szCs w:val="22"/>
          <w:lang w:val="fr-FR"/>
        </w:rPr>
        <w:t>2.1. .2 (a) du Plan d'action de l'AEWA.</w:t>
      </w:r>
    </w:p>
    <w:p w:rsidR="00A112E5" w:rsidRPr="00C9248F" w:rsidRDefault="00A112E5" w:rsidP="006B7BFC">
      <w:pPr>
        <w:tabs>
          <w:tab w:val="left" w:pos="709"/>
        </w:tabs>
        <w:spacing w:line="276" w:lineRule="auto"/>
        <w:ind w:left="709" w:hanging="709"/>
        <w:jc w:val="both"/>
        <w:rPr>
          <w:sz w:val="22"/>
          <w:szCs w:val="22"/>
          <w:lang w:val="fr-FR" w:eastAsia="en-GB"/>
        </w:rPr>
      </w:pPr>
    </w:p>
    <w:sectPr w:rsidR="00A112E5" w:rsidRPr="00C9248F" w:rsidSect="006322FF">
      <w:footerReference w:type="default" r:id="rId8"/>
      <w:headerReference w:type="first" r:id="rId9"/>
      <w:pgSz w:w="11906" w:h="16838" w:code="9"/>
      <w:pgMar w:top="1021" w:right="1134" w:bottom="851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1C7D" w:rsidRDefault="00631C7D">
      <w:r>
        <w:separator/>
      </w:r>
    </w:p>
  </w:endnote>
  <w:endnote w:type="continuationSeparator" w:id="0">
    <w:p w:rsidR="00631C7D" w:rsidRDefault="00631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-829645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6C69" w:rsidRPr="00D67192" w:rsidRDefault="00D67192" w:rsidP="00D67192">
        <w:pPr>
          <w:pStyle w:val="Footer"/>
          <w:jc w:val="center"/>
          <w:rPr>
            <w:sz w:val="20"/>
            <w:szCs w:val="20"/>
          </w:rPr>
        </w:pPr>
        <w:r w:rsidRPr="00D67192">
          <w:rPr>
            <w:sz w:val="20"/>
            <w:szCs w:val="20"/>
          </w:rPr>
          <w:fldChar w:fldCharType="begin"/>
        </w:r>
        <w:r w:rsidRPr="00D67192">
          <w:rPr>
            <w:sz w:val="20"/>
            <w:szCs w:val="20"/>
          </w:rPr>
          <w:instrText xml:space="preserve"> PAGE   \* MERGEFORMAT </w:instrText>
        </w:r>
        <w:r w:rsidRPr="00D67192">
          <w:rPr>
            <w:sz w:val="20"/>
            <w:szCs w:val="20"/>
          </w:rPr>
          <w:fldChar w:fldCharType="separate"/>
        </w:r>
        <w:r w:rsidR="00A17999">
          <w:rPr>
            <w:noProof/>
            <w:sz w:val="20"/>
            <w:szCs w:val="20"/>
          </w:rPr>
          <w:t>2</w:t>
        </w:r>
        <w:r w:rsidRPr="00D67192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1C7D" w:rsidRDefault="00631C7D">
      <w:r>
        <w:separator/>
      </w:r>
    </w:p>
  </w:footnote>
  <w:footnote w:type="continuationSeparator" w:id="0">
    <w:p w:rsidR="00631C7D" w:rsidRDefault="00631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bottom w:val="single" w:sz="8" w:space="0" w:color="auto"/>
      </w:tblBorders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1985"/>
      <w:gridCol w:w="5647"/>
      <w:gridCol w:w="2007"/>
    </w:tblGrid>
    <w:tr w:rsidR="006322FF" w:rsidRPr="00F94759" w:rsidTr="001560FC">
      <w:trPr>
        <w:trHeight w:val="1256"/>
        <w:jc w:val="center"/>
      </w:trPr>
      <w:tc>
        <w:tcPr>
          <w:tcW w:w="1985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322FF" w:rsidRPr="00F94759" w:rsidRDefault="006322FF" w:rsidP="006322FF">
          <w:pPr>
            <w:suppressAutoHyphens/>
            <w:autoSpaceDN w:val="0"/>
            <w:textAlignment w:val="baseline"/>
          </w:pPr>
          <w:bookmarkStart w:id="3" w:name="_Hlk533006132"/>
          <w:r w:rsidRPr="00F94759"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67340AD0" wp14:editId="528FC2C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797643" cy="684000"/>
                <wp:effectExtent l="0" t="0" r="2540" b="1905"/>
                <wp:wrapTight wrapText="bothSides">
                  <wp:wrapPolygon edited="0">
                    <wp:start x="0" y="0"/>
                    <wp:lineTo x="0" y="21058"/>
                    <wp:lineTo x="21153" y="21058"/>
                    <wp:lineTo x="21153" y="0"/>
                    <wp:lineTo x="0" y="0"/>
                  </wp:wrapPolygon>
                </wp:wrapTight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7643" cy="68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6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322FF" w:rsidRPr="00DD46AD" w:rsidRDefault="006322FF" w:rsidP="006322FF">
          <w:pPr>
            <w:suppressAutoHyphens/>
            <w:autoSpaceDN w:val="0"/>
            <w:ind w:left="113"/>
            <w:jc w:val="center"/>
            <w:textAlignment w:val="baseline"/>
            <w:rPr>
              <w:i/>
              <w:caps/>
              <w:sz w:val="22"/>
              <w:szCs w:val="22"/>
              <w:lang w:val="fr-FR"/>
            </w:rPr>
          </w:pPr>
          <w:r w:rsidRPr="00DD46AD">
            <w:rPr>
              <w:i/>
              <w:caps/>
              <w:sz w:val="22"/>
              <w:szCs w:val="22"/>
              <w:lang w:val="fr-FR"/>
            </w:rPr>
            <w:t>Accord sur la Conservation des Oiseaux</w:t>
          </w:r>
        </w:p>
        <w:p w:rsidR="006322FF" w:rsidRPr="00F94759" w:rsidRDefault="006322FF" w:rsidP="006322FF">
          <w:pPr>
            <w:tabs>
              <w:tab w:val="left" w:pos="2415"/>
            </w:tabs>
            <w:suppressAutoHyphens/>
            <w:autoSpaceDN w:val="0"/>
            <w:ind w:left="113"/>
            <w:jc w:val="center"/>
            <w:textAlignment w:val="baseline"/>
          </w:pPr>
          <w:r w:rsidRPr="007C2B11">
            <w:rPr>
              <w:i/>
              <w:caps/>
              <w:sz w:val="22"/>
              <w:szCs w:val="22"/>
            </w:rPr>
            <w:t>d’eau migrateurs d’Afrique-Eurasie</w:t>
          </w:r>
        </w:p>
      </w:tc>
      <w:tc>
        <w:tcPr>
          <w:tcW w:w="200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322FF" w:rsidRPr="00F94759" w:rsidRDefault="006322FF" w:rsidP="006322FF">
          <w:pPr>
            <w:suppressAutoHyphens/>
            <w:autoSpaceDN w:val="0"/>
            <w:jc w:val="right"/>
            <w:textAlignment w:val="baseline"/>
          </w:pPr>
          <w:r w:rsidRPr="00F94759"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702F1CE2" wp14:editId="5A7401D6">
                <wp:simplePos x="0" y="0"/>
                <wp:positionH relativeFrom="column">
                  <wp:posOffset>556260</wp:posOffset>
                </wp:positionH>
                <wp:positionV relativeFrom="paragraph">
                  <wp:posOffset>0</wp:posOffset>
                </wp:positionV>
                <wp:extent cx="649918" cy="684000"/>
                <wp:effectExtent l="0" t="0" r="0" b="1905"/>
                <wp:wrapTight wrapText="bothSides">
                  <wp:wrapPolygon edited="0">
                    <wp:start x="0" y="0"/>
                    <wp:lineTo x="0" y="21058"/>
                    <wp:lineTo x="20903" y="21058"/>
                    <wp:lineTo x="20903" y="0"/>
                    <wp:lineTo x="0" y="0"/>
                  </wp:wrapPolygon>
                </wp:wrapTight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9918" cy="68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6322FF" w:rsidRPr="0079259C" w:rsidTr="001560FC">
      <w:trPr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:rsidR="006322FF" w:rsidRPr="00DD46AD" w:rsidRDefault="006322FF" w:rsidP="006322FF">
          <w:pPr>
            <w:suppressAutoHyphens/>
            <w:autoSpaceDN w:val="0"/>
            <w:ind w:left="113"/>
            <w:jc w:val="center"/>
            <w:textAlignment w:val="baseline"/>
            <w:rPr>
              <w:lang w:val="fr-FR"/>
            </w:rPr>
          </w:pPr>
          <w:r w:rsidRPr="00DD46AD">
            <w:rPr>
              <w:b/>
              <w:bCs/>
              <w:sz w:val="26"/>
              <w:szCs w:val="26"/>
              <w:lang w:val="fr-FR"/>
            </w:rPr>
            <w:t>7</w:t>
          </w:r>
          <w:r w:rsidRPr="00DD46AD">
            <w:rPr>
              <w:b/>
              <w:bCs/>
              <w:sz w:val="26"/>
              <w:szCs w:val="26"/>
              <w:vertAlign w:val="superscript"/>
              <w:lang w:val="fr-FR"/>
            </w:rPr>
            <w:t>ème</w:t>
          </w:r>
          <w:r w:rsidRPr="00DD46AD">
            <w:rPr>
              <w:b/>
              <w:bCs/>
              <w:sz w:val="26"/>
              <w:szCs w:val="26"/>
              <w:lang w:val="fr-FR"/>
            </w:rPr>
            <w:t xml:space="preserve"> </w:t>
          </w:r>
          <w:r w:rsidRPr="00DD46AD">
            <w:rPr>
              <w:b/>
              <w:bCs/>
              <w:caps/>
              <w:sz w:val="26"/>
              <w:szCs w:val="26"/>
              <w:lang w:val="fr-FR"/>
            </w:rPr>
            <w:t>Session de la réunion des Parties contractantes</w:t>
          </w:r>
        </w:p>
        <w:p w:rsidR="006322FF" w:rsidRPr="00DD46AD" w:rsidRDefault="006322FF" w:rsidP="006322FF">
          <w:pPr>
            <w:suppressAutoHyphens/>
            <w:autoSpaceDN w:val="0"/>
            <w:ind w:left="113"/>
            <w:jc w:val="center"/>
            <w:textAlignment w:val="baseline"/>
            <w:rPr>
              <w:lang w:val="fr-FR"/>
            </w:rPr>
          </w:pPr>
          <w:r w:rsidRPr="00DD46AD">
            <w:rPr>
              <w:i/>
              <w:iCs/>
              <w:lang w:val="fr-FR"/>
            </w:rPr>
            <w:t>4-8 décembre 2018, Durban, Afrique du Sud</w:t>
          </w:r>
        </w:p>
      </w:tc>
    </w:tr>
    <w:tr w:rsidR="006322FF" w:rsidRPr="0079259C" w:rsidTr="001560FC">
      <w:trPr>
        <w:trHeight w:val="702"/>
        <w:jc w:val="center"/>
      </w:trPr>
      <w:tc>
        <w:tcPr>
          <w:tcW w:w="9639" w:type="dxa"/>
          <w:gridSpan w:val="3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6322FF" w:rsidRPr="00DD46AD" w:rsidRDefault="006322FF" w:rsidP="006322FF">
          <w:pPr>
            <w:suppressAutoHyphens/>
            <w:autoSpaceDN w:val="0"/>
            <w:ind w:left="113"/>
            <w:jc w:val="center"/>
            <w:textAlignment w:val="baseline"/>
            <w:rPr>
              <w:lang w:val="fr-FR"/>
            </w:rPr>
          </w:pPr>
          <w:r w:rsidRPr="004414A3">
            <w:rPr>
              <w:i/>
              <w:color w:val="000000"/>
              <w:lang w:val="fr-FR"/>
            </w:rPr>
            <w:t xml:space="preserve">« Par-delà 2020 : </w:t>
          </w:r>
          <w:proofErr w:type="spellStart"/>
          <w:r w:rsidRPr="004414A3">
            <w:rPr>
              <w:i/>
              <w:color w:val="000000"/>
              <w:lang w:val="fr-FR"/>
            </w:rPr>
            <w:t>Faҫonner</w:t>
          </w:r>
          <w:proofErr w:type="spellEnd"/>
          <w:r w:rsidRPr="004414A3">
            <w:rPr>
              <w:i/>
              <w:color w:val="000000"/>
              <w:lang w:val="fr-FR"/>
            </w:rPr>
            <w:t xml:space="preserve"> la conservation des voies de migration pour l’avenir »</w:t>
          </w:r>
        </w:p>
      </w:tc>
    </w:tr>
    <w:bookmarkEnd w:id="3"/>
  </w:tbl>
  <w:p w:rsidR="00D67192" w:rsidRPr="006322FF" w:rsidRDefault="00D67192">
    <w:pPr>
      <w:pStyle w:val="Header"/>
      <w:rPr>
        <w:sz w:val="20"/>
        <w:szCs w:val="20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65D23"/>
    <w:multiLevelType w:val="hybridMultilevel"/>
    <w:tmpl w:val="8BEC5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377C"/>
    <w:multiLevelType w:val="hybridMultilevel"/>
    <w:tmpl w:val="877C4742"/>
    <w:lvl w:ilvl="0" w:tplc="F8C0871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E49D9"/>
    <w:multiLevelType w:val="hybridMultilevel"/>
    <w:tmpl w:val="AA82B916"/>
    <w:lvl w:ilvl="0" w:tplc="F8C08712">
      <w:start w:val="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E79BD"/>
    <w:multiLevelType w:val="hybridMultilevel"/>
    <w:tmpl w:val="354E5B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127DAF"/>
    <w:multiLevelType w:val="multilevel"/>
    <w:tmpl w:val="11F68F8C"/>
    <w:lvl w:ilvl="0">
      <w:start w:val="1"/>
      <w:numFmt w:val="decimal"/>
      <w:lvlText w:val="%1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09" w:hanging="709"/>
      </w:pPr>
      <w:rPr>
        <w:rFonts w:hint="default"/>
      </w:rPr>
    </w:lvl>
    <w:lvl w:ilvl="3">
      <w:start w:val="1"/>
      <w:numFmt w:val="lowerRoman"/>
      <w:lvlText w:val="%4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 w15:restartNumberingAfterBreak="0">
    <w:nsid w:val="369C401F"/>
    <w:multiLevelType w:val="hybridMultilevel"/>
    <w:tmpl w:val="9E7450B2"/>
    <w:lvl w:ilvl="0" w:tplc="040C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92C00CA"/>
    <w:multiLevelType w:val="hybridMultilevel"/>
    <w:tmpl w:val="FEB615C8"/>
    <w:lvl w:ilvl="0" w:tplc="00000017">
      <w:start w:val="1"/>
      <w:numFmt w:val="lowerLetter"/>
      <w:lvlText w:val="%1)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F374A"/>
    <w:multiLevelType w:val="hybridMultilevel"/>
    <w:tmpl w:val="0E74F86E"/>
    <w:lvl w:ilvl="0" w:tplc="7BC4AB1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0E033D"/>
    <w:multiLevelType w:val="hybridMultilevel"/>
    <w:tmpl w:val="BEF8A7F8"/>
    <w:lvl w:ilvl="0" w:tplc="7A8CB5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F402A2"/>
    <w:multiLevelType w:val="hybridMultilevel"/>
    <w:tmpl w:val="765AF3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20693A"/>
    <w:multiLevelType w:val="hybridMultilevel"/>
    <w:tmpl w:val="3DF44DCA"/>
    <w:lvl w:ilvl="0" w:tplc="00000017">
      <w:start w:val="1"/>
      <w:numFmt w:val="lowerLetter"/>
      <w:lvlText w:val="%1)"/>
      <w:lvlJc w:val="left"/>
      <w:pPr>
        <w:ind w:left="1440" w:hanging="360"/>
      </w:pPr>
    </w:lvl>
    <w:lvl w:ilvl="1" w:tplc="10000019" w:tentative="1">
      <w:start w:val="1"/>
      <w:numFmt w:val="lowerLetter"/>
      <w:lvlText w:val="%2."/>
      <w:lvlJc w:val="left"/>
      <w:pPr>
        <w:ind w:left="2160" w:hanging="360"/>
      </w:pPr>
    </w:lvl>
    <w:lvl w:ilvl="2" w:tplc="1000001B" w:tentative="1">
      <w:start w:val="1"/>
      <w:numFmt w:val="lowerRoman"/>
      <w:lvlText w:val="%3."/>
      <w:lvlJc w:val="right"/>
      <w:pPr>
        <w:ind w:left="2880" w:hanging="180"/>
      </w:pPr>
    </w:lvl>
    <w:lvl w:ilvl="3" w:tplc="1000000F">
      <w:start w:val="1"/>
      <w:numFmt w:val="decimal"/>
      <w:lvlText w:val="%4."/>
      <w:lvlJc w:val="left"/>
      <w:pPr>
        <w:ind w:left="3600" w:hanging="360"/>
      </w:pPr>
    </w:lvl>
    <w:lvl w:ilvl="4" w:tplc="10000019" w:tentative="1">
      <w:start w:val="1"/>
      <w:numFmt w:val="lowerLetter"/>
      <w:lvlText w:val="%5."/>
      <w:lvlJc w:val="left"/>
      <w:pPr>
        <w:ind w:left="4320" w:hanging="360"/>
      </w:pPr>
    </w:lvl>
    <w:lvl w:ilvl="5" w:tplc="1000001B" w:tentative="1">
      <w:start w:val="1"/>
      <w:numFmt w:val="lowerRoman"/>
      <w:lvlText w:val="%6."/>
      <w:lvlJc w:val="right"/>
      <w:pPr>
        <w:ind w:left="5040" w:hanging="180"/>
      </w:pPr>
    </w:lvl>
    <w:lvl w:ilvl="6" w:tplc="1000000F" w:tentative="1">
      <w:start w:val="1"/>
      <w:numFmt w:val="decimal"/>
      <w:lvlText w:val="%7."/>
      <w:lvlJc w:val="left"/>
      <w:pPr>
        <w:ind w:left="5760" w:hanging="360"/>
      </w:pPr>
    </w:lvl>
    <w:lvl w:ilvl="7" w:tplc="10000019" w:tentative="1">
      <w:start w:val="1"/>
      <w:numFmt w:val="lowerLetter"/>
      <w:lvlText w:val="%8."/>
      <w:lvlJc w:val="left"/>
      <w:pPr>
        <w:ind w:left="6480" w:hanging="360"/>
      </w:pPr>
    </w:lvl>
    <w:lvl w:ilvl="8" w:tplc="100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6316D0E"/>
    <w:multiLevelType w:val="multilevel"/>
    <w:tmpl w:val="5A7A7220"/>
    <w:lvl w:ilvl="0">
      <w:start w:val="1"/>
      <w:numFmt w:val="decimal"/>
      <w:lvlRestart w:val="0"/>
      <w:pStyle w:val="Heading1"/>
      <w:lvlText w:val="%1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360" w:hanging="360"/>
      </w:pPr>
      <w:rPr>
        <w:rFonts w:ascii="Garamond" w:hAnsi="Garamond" w:hint="default"/>
        <w:b/>
        <w:i w:val="0"/>
        <w:sz w:val="24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720" w:hanging="360"/>
      </w:pPr>
      <w:rPr>
        <w:rFonts w:ascii="Garamond" w:hAnsi="Garamond" w:hint="default"/>
        <w:b w:val="0"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hint="default"/>
      </w:rPr>
    </w:lvl>
  </w:abstractNum>
  <w:abstractNum w:abstractNumId="12" w15:restartNumberingAfterBreak="0">
    <w:nsid w:val="6BB07A4B"/>
    <w:multiLevelType w:val="hybridMultilevel"/>
    <w:tmpl w:val="A572AA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73D4E"/>
    <w:multiLevelType w:val="hybridMultilevel"/>
    <w:tmpl w:val="472837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AB3D7A"/>
    <w:multiLevelType w:val="hybridMultilevel"/>
    <w:tmpl w:val="BA889CFE"/>
    <w:lvl w:ilvl="0" w:tplc="040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2ECE081C">
      <w:start w:val="2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B28AAA6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193602"/>
    <w:multiLevelType w:val="hybridMultilevel"/>
    <w:tmpl w:val="7020DF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9"/>
  </w:num>
  <w:num w:numId="4">
    <w:abstractNumId w:val="12"/>
  </w:num>
  <w:num w:numId="5">
    <w:abstractNumId w:val="11"/>
  </w:num>
  <w:num w:numId="6">
    <w:abstractNumId w:val="14"/>
  </w:num>
  <w:num w:numId="7">
    <w:abstractNumId w:val="7"/>
  </w:num>
  <w:num w:numId="8">
    <w:abstractNumId w:val="5"/>
  </w:num>
  <w:num w:numId="9">
    <w:abstractNumId w:val="8"/>
  </w:num>
  <w:num w:numId="10">
    <w:abstractNumId w:val="4"/>
  </w:num>
  <w:num w:numId="11">
    <w:abstractNumId w:val="0"/>
  </w:num>
  <w:num w:numId="12">
    <w:abstractNumId w:val="13"/>
  </w:num>
  <w:num w:numId="13">
    <w:abstractNumId w:val="1"/>
  </w:num>
  <w:num w:numId="14">
    <w:abstractNumId w:val="2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5FDE"/>
    <w:rsid w:val="00016E7B"/>
    <w:rsid w:val="00020888"/>
    <w:rsid w:val="00023ED3"/>
    <w:rsid w:val="00046B01"/>
    <w:rsid w:val="0004731F"/>
    <w:rsid w:val="00051C54"/>
    <w:rsid w:val="00053571"/>
    <w:rsid w:val="00054FD8"/>
    <w:rsid w:val="00060494"/>
    <w:rsid w:val="0006129C"/>
    <w:rsid w:val="00071A9E"/>
    <w:rsid w:val="000977BB"/>
    <w:rsid w:val="000A14AD"/>
    <w:rsid w:val="000A51FB"/>
    <w:rsid w:val="000A5A47"/>
    <w:rsid w:val="000A6F3A"/>
    <w:rsid w:val="000B656B"/>
    <w:rsid w:val="000C263A"/>
    <w:rsid w:val="000C6C45"/>
    <w:rsid w:val="000D5979"/>
    <w:rsid w:val="000E153E"/>
    <w:rsid w:val="000E3D08"/>
    <w:rsid w:val="000F2170"/>
    <w:rsid w:val="000F22CC"/>
    <w:rsid w:val="00104C13"/>
    <w:rsid w:val="00105C6B"/>
    <w:rsid w:val="00111DB3"/>
    <w:rsid w:val="00125BB9"/>
    <w:rsid w:val="00125FAA"/>
    <w:rsid w:val="00132F2E"/>
    <w:rsid w:val="001352CE"/>
    <w:rsid w:val="00162511"/>
    <w:rsid w:val="00163D0E"/>
    <w:rsid w:val="0016427F"/>
    <w:rsid w:val="00167D59"/>
    <w:rsid w:val="0017712F"/>
    <w:rsid w:val="00180A4D"/>
    <w:rsid w:val="00182DCC"/>
    <w:rsid w:val="00185CD4"/>
    <w:rsid w:val="00186687"/>
    <w:rsid w:val="00196E67"/>
    <w:rsid w:val="001A00B6"/>
    <w:rsid w:val="001A51B7"/>
    <w:rsid w:val="001B186D"/>
    <w:rsid w:val="001D15CC"/>
    <w:rsid w:val="001D21F7"/>
    <w:rsid w:val="001D519A"/>
    <w:rsid w:val="001E0C2A"/>
    <w:rsid w:val="001E63A5"/>
    <w:rsid w:val="001F1D9A"/>
    <w:rsid w:val="001F2EE5"/>
    <w:rsid w:val="0020640C"/>
    <w:rsid w:val="00207325"/>
    <w:rsid w:val="00215143"/>
    <w:rsid w:val="002304D1"/>
    <w:rsid w:val="00243B4B"/>
    <w:rsid w:val="00244CDF"/>
    <w:rsid w:val="00252DF2"/>
    <w:rsid w:val="00260D5D"/>
    <w:rsid w:val="002661B3"/>
    <w:rsid w:val="00267DA0"/>
    <w:rsid w:val="00286103"/>
    <w:rsid w:val="002A3D00"/>
    <w:rsid w:val="002B0E88"/>
    <w:rsid w:val="002C58BF"/>
    <w:rsid w:val="002E4C1F"/>
    <w:rsid w:val="002E6092"/>
    <w:rsid w:val="002F0141"/>
    <w:rsid w:val="002F3BC5"/>
    <w:rsid w:val="002F7147"/>
    <w:rsid w:val="00303606"/>
    <w:rsid w:val="00304FAF"/>
    <w:rsid w:val="003072A9"/>
    <w:rsid w:val="00312BA0"/>
    <w:rsid w:val="00316D81"/>
    <w:rsid w:val="00320735"/>
    <w:rsid w:val="003209C2"/>
    <w:rsid w:val="00322001"/>
    <w:rsid w:val="003251E0"/>
    <w:rsid w:val="00332F2C"/>
    <w:rsid w:val="003332C4"/>
    <w:rsid w:val="00335022"/>
    <w:rsid w:val="0033553A"/>
    <w:rsid w:val="003412DF"/>
    <w:rsid w:val="00345FA1"/>
    <w:rsid w:val="00353767"/>
    <w:rsid w:val="0035440D"/>
    <w:rsid w:val="003715A5"/>
    <w:rsid w:val="00376C90"/>
    <w:rsid w:val="00381660"/>
    <w:rsid w:val="003830FC"/>
    <w:rsid w:val="00383FCF"/>
    <w:rsid w:val="00393891"/>
    <w:rsid w:val="003A134C"/>
    <w:rsid w:val="003A33FF"/>
    <w:rsid w:val="003A596F"/>
    <w:rsid w:val="003B2918"/>
    <w:rsid w:val="003B4398"/>
    <w:rsid w:val="003B58AA"/>
    <w:rsid w:val="003B7A22"/>
    <w:rsid w:val="003C320A"/>
    <w:rsid w:val="003C4A2F"/>
    <w:rsid w:val="003C6E09"/>
    <w:rsid w:val="003D030A"/>
    <w:rsid w:val="003D13D0"/>
    <w:rsid w:val="003D48A5"/>
    <w:rsid w:val="003E0DB9"/>
    <w:rsid w:val="003E207D"/>
    <w:rsid w:val="0041027E"/>
    <w:rsid w:val="0042019D"/>
    <w:rsid w:val="00423640"/>
    <w:rsid w:val="004256C2"/>
    <w:rsid w:val="004313BF"/>
    <w:rsid w:val="004370A6"/>
    <w:rsid w:val="004374E9"/>
    <w:rsid w:val="00446E4B"/>
    <w:rsid w:val="00455009"/>
    <w:rsid w:val="004623B2"/>
    <w:rsid w:val="0049360A"/>
    <w:rsid w:val="004944D1"/>
    <w:rsid w:val="00497689"/>
    <w:rsid w:val="004A5FDE"/>
    <w:rsid w:val="004B57A6"/>
    <w:rsid w:val="004B75C0"/>
    <w:rsid w:val="004C26D2"/>
    <w:rsid w:val="004C4E42"/>
    <w:rsid w:val="004D647E"/>
    <w:rsid w:val="004F13A5"/>
    <w:rsid w:val="004F4E6A"/>
    <w:rsid w:val="004F5C38"/>
    <w:rsid w:val="005018C8"/>
    <w:rsid w:val="00506661"/>
    <w:rsid w:val="00517C62"/>
    <w:rsid w:val="005426DD"/>
    <w:rsid w:val="00551530"/>
    <w:rsid w:val="00551700"/>
    <w:rsid w:val="00551B72"/>
    <w:rsid w:val="00565AA8"/>
    <w:rsid w:val="00567628"/>
    <w:rsid w:val="005714B0"/>
    <w:rsid w:val="00573282"/>
    <w:rsid w:val="00575367"/>
    <w:rsid w:val="005970C7"/>
    <w:rsid w:val="00597566"/>
    <w:rsid w:val="005A0AC0"/>
    <w:rsid w:val="005A7949"/>
    <w:rsid w:val="005B0901"/>
    <w:rsid w:val="005B689B"/>
    <w:rsid w:val="005C43C3"/>
    <w:rsid w:val="005C5EE6"/>
    <w:rsid w:val="005D0005"/>
    <w:rsid w:val="005D54ED"/>
    <w:rsid w:val="005E2BFF"/>
    <w:rsid w:val="00601DD4"/>
    <w:rsid w:val="0060207D"/>
    <w:rsid w:val="00603ECA"/>
    <w:rsid w:val="006059D0"/>
    <w:rsid w:val="006075EE"/>
    <w:rsid w:val="006107B2"/>
    <w:rsid w:val="00611867"/>
    <w:rsid w:val="006122CD"/>
    <w:rsid w:val="00616D1B"/>
    <w:rsid w:val="006230B0"/>
    <w:rsid w:val="006264D8"/>
    <w:rsid w:val="006318A6"/>
    <w:rsid w:val="00631C7D"/>
    <w:rsid w:val="006322FF"/>
    <w:rsid w:val="00634F66"/>
    <w:rsid w:val="00636ECB"/>
    <w:rsid w:val="00641E62"/>
    <w:rsid w:val="006524AB"/>
    <w:rsid w:val="006556ED"/>
    <w:rsid w:val="00655E24"/>
    <w:rsid w:val="006566F2"/>
    <w:rsid w:val="00657A1D"/>
    <w:rsid w:val="0066160A"/>
    <w:rsid w:val="006651C2"/>
    <w:rsid w:val="0066689B"/>
    <w:rsid w:val="00671A79"/>
    <w:rsid w:val="00673033"/>
    <w:rsid w:val="0067485C"/>
    <w:rsid w:val="0068422D"/>
    <w:rsid w:val="0069010A"/>
    <w:rsid w:val="00697DC3"/>
    <w:rsid w:val="006A4A6F"/>
    <w:rsid w:val="006B6B98"/>
    <w:rsid w:val="006B7BFC"/>
    <w:rsid w:val="006D0329"/>
    <w:rsid w:val="006D24EE"/>
    <w:rsid w:val="006E0905"/>
    <w:rsid w:val="006E0B28"/>
    <w:rsid w:val="006E5C40"/>
    <w:rsid w:val="006F3344"/>
    <w:rsid w:val="006F34F9"/>
    <w:rsid w:val="00703647"/>
    <w:rsid w:val="00737D14"/>
    <w:rsid w:val="00745B84"/>
    <w:rsid w:val="00751B27"/>
    <w:rsid w:val="00751F69"/>
    <w:rsid w:val="00757F53"/>
    <w:rsid w:val="00767C3A"/>
    <w:rsid w:val="00772C93"/>
    <w:rsid w:val="0077356B"/>
    <w:rsid w:val="00782700"/>
    <w:rsid w:val="00786AF1"/>
    <w:rsid w:val="0079259C"/>
    <w:rsid w:val="0079491B"/>
    <w:rsid w:val="0079698D"/>
    <w:rsid w:val="007E054A"/>
    <w:rsid w:val="007E1121"/>
    <w:rsid w:val="007E443A"/>
    <w:rsid w:val="007E6557"/>
    <w:rsid w:val="007F2189"/>
    <w:rsid w:val="007F520A"/>
    <w:rsid w:val="008115B4"/>
    <w:rsid w:val="0082215E"/>
    <w:rsid w:val="00822276"/>
    <w:rsid w:val="008235E1"/>
    <w:rsid w:val="008345C9"/>
    <w:rsid w:val="00837EA4"/>
    <w:rsid w:val="008443A0"/>
    <w:rsid w:val="00847AB2"/>
    <w:rsid w:val="008608C1"/>
    <w:rsid w:val="008650A4"/>
    <w:rsid w:val="00871A75"/>
    <w:rsid w:val="00877B63"/>
    <w:rsid w:val="00895DB9"/>
    <w:rsid w:val="00896669"/>
    <w:rsid w:val="008A29B1"/>
    <w:rsid w:val="008B1AE8"/>
    <w:rsid w:val="008B3285"/>
    <w:rsid w:val="008B7939"/>
    <w:rsid w:val="008D17FB"/>
    <w:rsid w:val="008D305B"/>
    <w:rsid w:val="008E38DB"/>
    <w:rsid w:val="008E791B"/>
    <w:rsid w:val="008F0DEA"/>
    <w:rsid w:val="008F4E75"/>
    <w:rsid w:val="008F573E"/>
    <w:rsid w:val="008F5A3E"/>
    <w:rsid w:val="009029A1"/>
    <w:rsid w:val="00903E6E"/>
    <w:rsid w:val="009164F2"/>
    <w:rsid w:val="009256A6"/>
    <w:rsid w:val="00926B31"/>
    <w:rsid w:val="00927250"/>
    <w:rsid w:val="00935DFA"/>
    <w:rsid w:val="00944063"/>
    <w:rsid w:val="0094693C"/>
    <w:rsid w:val="00960705"/>
    <w:rsid w:val="0096757D"/>
    <w:rsid w:val="0096780E"/>
    <w:rsid w:val="00973215"/>
    <w:rsid w:val="00980C80"/>
    <w:rsid w:val="00990AB9"/>
    <w:rsid w:val="00994B00"/>
    <w:rsid w:val="00995095"/>
    <w:rsid w:val="009D1D09"/>
    <w:rsid w:val="009D5A2A"/>
    <w:rsid w:val="00A04BA7"/>
    <w:rsid w:val="00A07EE3"/>
    <w:rsid w:val="00A112E5"/>
    <w:rsid w:val="00A13B54"/>
    <w:rsid w:val="00A15368"/>
    <w:rsid w:val="00A15BC4"/>
    <w:rsid w:val="00A17999"/>
    <w:rsid w:val="00A36A12"/>
    <w:rsid w:val="00A44FC5"/>
    <w:rsid w:val="00A50CC4"/>
    <w:rsid w:val="00A550C8"/>
    <w:rsid w:val="00A84DF2"/>
    <w:rsid w:val="00A852E5"/>
    <w:rsid w:val="00A86EF9"/>
    <w:rsid w:val="00AB7B63"/>
    <w:rsid w:val="00AC1EB4"/>
    <w:rsid w:val="00AC3AC4"/>
    <w:rsid w:val="00AC55DC"/>
    <w:rsid w:val="00AD5FBE"/>
    <w:rsid w:val="00AD6C69"/>
    <w:rsid w:val="00AE13A9"/>
    <w:rsid w:val="00AE18A9"/>
    <w:rsid w:val="00AE1F7E"/>
    <w:rsid w:val="00AE44EE"/>
    <w:rsid w:val="00AF7358"/>
    <w:rsid w:val="00AF7A81"/>
    <w:rsid w:val="00B03E26"/>
    <w:rsid w:val="00B04408"/>
    <w:rsid w:val="00B07D39"/>
    <w:rsid w:val="00B30BE0"/>
    <w:rsid w:val="00B37E95"/>
    <w:rsid w:val="00B43617"/>
    <w:rsid w:val="00B4548C"/>
    <w:rsid w:val="00B51146"/>
    <w:rsid w:val="00B53055"/>
    <w:rsid w:val="00B56DEB"/>
    <w:rsid w:val="00B57E4F"/>
    <w:rsid w:val="00B667BF"/>
    <w:rsid w:val="00B72C8E"/>
    <w:rsid w:val="00B7575B"/>
    <w:rsid w:val="00B7623D"/>
    <w:rsid w:val="00B77837"/>
    <w:rsid w:val="00B80F39"/>
    <w:rsid w:val="00B81C0F"/>
    <w:rsid w:val="00B86D30"/>
    <w:rsid w:val="00B9472A"/>
    <w:rsid w:val="00BA52AD"/>
    <w:rsid w:val="00BA6CED"/>
    <w:rsid w:val="00BA790F"/>
    <w:rsid w:val="00BB60C5"/>
    <w:rsid w:val="00BC6B49"/>
    <w:rsid w:val="00BC7025"/>
    <w:rsid w:val="00BD7F2A"/>
    <w:rsid w:val="00BE11A7"/>
    <w:rsid w:val="00C10107"/>
    <w:rsid w:val="00C110F6"/>
    <w:rsid w:val="00C1396F"/>
    <w:rsid w:val="00C170E1"/>
    <w:rsid w:val="00C31A30"/>
    <w:rsid w:val="00C37179"/>
    <w:rsid w:val="00C60CA7"/>
    <w:rsid w:val="00C645F5"/>
    <w:rsid w:val="00C72EF1"/>
    <w:rsid w:val="00C83EC9"/>
    <w:rsid w:val="00C9248F"/>
    <w:rsid w:val="00CA73F7"/>
    <w:rsid w:val="00CB1CAA"/>
    <w:rsid w:val="00CC3F9D"/>
    <w:rsid w:val="00CC40FA"/>
    <w:rsid w:val="00CC509F"/>
    <w:rsid w:val="00CE340A"/>
    <w:rsid w:val="00CF563A"/>
    <w:rsid w:val="00CF5F07"/>
    <w:rsid w:val="00D17FDB"/>
    <w:rsid w:val="00D33405"/>
    <w:rsid w:val="00D43494"/>
    <w:rsid w:val="00D43CB0"/>
    <w:rsid w:val="00D47320"/>
    <w:rsid w:val="00D604E7"/>
    <w:rsid w:val="00D62588"/>
    <w:rsid w:val="00D67192"/>
    <w:rsid w:val="00D70485"/>
    <w:rsid w:val="00D801A7"/>
    <w:rsid w:val="00D97245"/>
    <w:rsid w:val="00DA2E04"/>
    <w:rsid w:val="00DA3796"/>
    <w:rsid w:val="00DB0982"/>
    <w:rsid w:val="00DB6E97"/>
    <w:rsid w:val="00DB6FF8"/>
    <w:rsid w:val="00DC3F68"/>
    <w:rsid w:val="00DD46AD"/>
    <w:rsid w:val="00DD7178"/>
    <w:rsid w:val="00DE6C76"/>
    <w:rsid w:val="00DF26A5"/>
    <w:rsid w:val="00E02643"/>
    <w:rsid w:val="00E043A4"/>
    <w:rsid w:val="00E32E05"/>
    <w:rsid w:val="00E3714C"/>
    <w:rsid w:val="00E41928"/>
    <w:rsid w:val="00E55F1B"/>
    <w:rsid w:val="00E62524"/>
    <w:rsid w:val="00E719DA"/>
    <w:rsid w:val="00E76AEC"/>
    <w:rsid w:val="00E965A8"/>
    <w:rsid w:val="00EA1BA4"/>
    <w:rsid w:val="00EB196B"/>
    <w:rsid w:val="00EB40C9"/>
    <w:rsid w:val="00EB76A7"/>
    <w:rsid w:val="00EC5C49"/>
    <w:rsid w:val="00EC6CCC"/>
    <w:rsid w:val="00EC7C77"/>
    <w:rsid w:val="00EE19A4"/>
    <w:rsid w:val="00EE6297"/>
    <w:rsid w:val="00EF01DD"/>
    <w:rsid w:val="00EF13A0"/>
    <w:rsid w:val="00EF2950"/>
    <w:rsid w:val="00F02CD1"/>
    <w:rsid w:val="00F10449"/>
    <w:rsid w:val="00F1400B"/>
    <w:rsid w:val="00F5168D"/>
    <w:rsid w:val="00F627E9"/>
    <w:rsid w:val="00F81B26"/>
    <w:rsid w:val="00F85886"/>
    <w:rsid w:val="00F85A49"/>
    <w:rsid w:val="00FA1954"/>
    <w:rsid w:val="00FA2143"/>
    <w:rsid w:val="00FA4E61"/>
    <w:rsid w:val="00FB4E10"/>
    <w:rsid w:val="00FC5960"/>
    <w:rsid w:val="00FE4106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99A2529"/>
  <w15:docId w15:val="{80AD9FC3-75EB-4A47-91CD-934EC3685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A5FD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F0DEA"/>
    <w:pPr>
      <w:keepNext/>
      <w:numPr>
        <w:numId w:val="5"/>
      </w:numPr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8F0DEA"/>
    <w:pPr>
      <w:keepNext/>
      <w:numPr>
        <w:ilvl w:val="1"/>
        <w:numId w:val="5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9">
    <w:name w:val="heading 9"/>
    <w:basedOn w:val="Normal"/>
    <w:next w:val="Normal"/>
    <w:qFormat/>
    <w:rsid w:val="004A5FDE"/>
    <w:pPr>
      <w:keepNext/>
      <w:widowControl w:val="0"/>
      <w:tabs>
        <w:tab w:val="left" w:pos="720"/>
      </w:tabs>
      <w:spacing w:line="260" w:lineRule="atLeast"/>
      <w:ind w:left="720" w:right="-427" w:hanging="720"/>
      <w:jc w:val="center"/>
      <w:outlineLvl w:val="8"/>
    </w:pPr>
    <w:rPr>
      <w:b/>
      <w:kern w:val="14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627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627E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F627E9"/>
    <w:rPr>
      <w:sz w:val="22"/>
    </w:rPr>
  </w:style>
  <w:style w:type="table" w:styleId="TableGrid">
    <w:name w:val="Table Grid"/>
    <w:basedOn w:val="TableNormal"/>
    <w:uiPriority w:val="59"/>
    <w:rsid w:val="008F0D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8F0DEA"/>
    <w:rPr>
      <w:sz w:val="20"/>
      <w:szCs w:val="20"/>
    </w:rPr>
  </w:style>
  <w:style w:type="character" w:styleId="FootnoteReference">
    <w:name w:val="footnote reference"/>
    <w:semiHidden/>
    <w:rsid w:val="008F0DEA"/>
    <w:rPr>
      <w:vertAlign w:val="superscript"/>
    </w:rPr>
  </w:style>
  <w:style w:type="character" w:styleId="PageNumber">
    <w:name w:val="page number"/>
    <w:basedOn w:val="DefaultParagraphFont"/>
    <w:rsid w:val="008F0DEA"/>
  </w:style>
  <w:style w:type="paragraph" w:styleId="Title">
    <w:name w:val="Title"/>
    <w:basedOn w:val="Normal"/>
    <w:qFormat/>
    <w:rsid w:val="004A5FDE"/>
    <w:pPr>
      <w:spacing w:line="240" w:lineRule="exact"/>
      <w:ind w:right="-427"/>
      <w:jc w:val="center"/>
    </w:pPr>
    <w:rPr>
      <w:b/>
    </w:rPr>
  </w:style>
  <w:style w:type="paragraph" w:styleId="BodyText">
    <w:name w:val="Body Text"/>
    <w:basedOn w:val="Normal"/>
    <w:rsid w:val="004A5FDE"/>
    <w:pPr>
      <w:autoSpaceDE w:val="0"/>
      <w:autoSpaceDN w:val="0"/>
      <w:adjustRightInd w:val="0"/>
    </w:pPr>
    <w:rPr>
      <w:b/>
      <w:sz w:val="28"/>
      <w:szCs w:val="28"/>
      <w:lang w:val="en-GB" w:eastAsia="en-GB"/>
    </w:rPr>
  </w:style>
  <w:style w:type="paragraph" w:styleId="BalloonText">
    <w:name w:val="Balloon Text"/>
    <w:basedOn w:val="Normal"/>
    <w:semiHidden/>
    <w:rsid w:val="004A5FDE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rsid w:val="006E5C40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6E5C40"/>
    <w:rPr>
      <w:sz w:val="24"/>
      <w:szCs w:val="24"/>
      <w:lang w:val="en-US" w:eastAsia="en-US"/>
    </w:rPr>
  </w:style>
  <w:style w:type="character" w:customStyle="1" w:styleId="BodyText2Char">
    <w:name w:val="Body Text 2 Char"/>
    <w:link w:val="BodyText2"/>
    <w:rsid w:val="003B7A22"/>
    <w:rPr>
      <w:sz w:val="22"/>
      <w:szCs w:val="24"/>
      <w:lang w:eastAsia="en-US"/>
    </w:rPr>
  </w:style>
  <w:style w:type="character" w:customStyle="1" w:styleId="FooterChar">
    <w:name w:val="Footer Char"/>
    <w:link w:val="Footer"/>
    <w:uiPriority w:val="99"/>
    <w:rsid w:val="000C6C45"/>
    <w:rPr>
      <w:sz w:val="24"/>
      <w:szCs w:val="24"/>
      <w:lang w:val="en-US" w:eastAsia="en-US"/>
    </w:rPr>
  </w:style>
  <w:style w:type="character" w:styleId="CommentReference">
    <w:name w:val="annotation reference"/>
    <w:semiHidden/>
    <w:rsid w:val="00F1400B"/>
    <w:rPr>
      <w:sz w:val="16"/>
      <w:szCs w:val="16"/>
    </w:rPr>
  </w:style>
  <w:style w:type="paragraph" w:styleId="CommentText">
    <w:name w:val="annotation text"/>
    <w:basedOn w:val="Normal"/>
    <w:semiHidden/>
    <w:rsid w:val="00F140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1400B"/>
    <w:rPr>
      <w:b/>
      <w:bCs/>
    </w:rPr>
  </w:style>
  <w:style w:type="character" w:styleId="Emphasis">
    <w:name w:val="Emphasis"/>
    <w:qFormat/>
    <w:rsid w:val="00B57E4F"/>
    <w:rPr>
      <w:i/>
      <w:iCs/>
    </w:rPr>
  </w:style>
  <w:style w:type="paragraph" w:styleId="ListParagraph">
    <w:name w:val="List Paragraph"/>
    <w:basedOn w:val="Normal"/>
    <w:uiPriority w:val="34"/>
    <w:qFormat/>
    <w:rsid w:val="004F5C38"/>
    <w:pPr>
      <w:ind w:left="720"/>
    </w:pPr>
  </w:style>
  <w:style w:type="character" w:customStyle="1" w:styleId="FootnoteTextChar">
    <w:name w:val="Footnote Text Char"/>
    <w:link w:val="FootnoteText"/>
    <w:uiPriority w:val="99"/>
    <w:semiHidden/>
    <w:rsid w:val="00BC6B49"/>
    <w:rPr>
      <w:lang w:val="en-US" w:eastAsia="en-US"/>
    </w:rPr>
  </w:style>
  <w:style w:type="character" w:styleId="Hyperlink">
    <w:name w:val="Hyperlink"/>
    <w:uiPriority w:val="99"/>
    <w:unhideWhenUsed/>
    <w:rsid w:val="0035440D"/>
    <w:rPr>
      <w:color w:val="0000FF"/>
      <w:u w:val="single"/>
    </w:rPr>
  </w:style>
  <w:style w:type="paragraph" w:customStyle="1" w:styleId="Default">
    <w:name w:val="Default"/>
    <w:rsid w:val="0035440D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HeaderChar">
    <w:name w:val="Header Char"/>
    <w:link w:val="Header"/>
    <w:uiPriority w:val="99"/>
    <w:rsid w:val="00CC40FA"/>
    <w:rPr>
      <w:sz w:val="24"/>
      <w:szCs w:val="24"/>
      <w:lang w:val="en-US" w:eastAsia="en-US"/>
    </w:rPr>
  </w:style>
  <w:style w:type="paragraph" w:styleId="Revision">
    <w:name w:val="Revision"/>
    <w:hidden/>
    <w:uiPriority w:val="99"/>
    <w:semiHidden/>
    <w:rsid w:val="00FB4E10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6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E995-7D6A-449B-800E-D1120F766E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914</Words>
  <Characters>5072</Characters>
  <Application>Microsoft Office Word</Application>
  <DocSecurity>0</DocSecurity>
  <Lines>42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The quick brown fox jumps over the lazy dog</vt:lpstr>
      <vt:lpstr>The quick brown fox jumps over the lazy dog</vt:lpstr>
      <vt:lpstr>The quick brown fox jumps over the lazy dog</vt:lpstr>
    </vt:vector>
  </TitlesOfParts>
  <Company>aewa</Company>
  <LinksUpToDate>false</LinksUpToDate>
  <CharactersWithSpaces>5975</CharactersWithSpaces>
  <SharedDoc>false</SharedDoc>
  <HLinks>
    <vt:vector size="24" baseType="variant">
      <vt:variant>
        <vt:i4>2883637</vt:i4>
      </vt:variant>
      <vt:variant>
        <vt:i4>9</vt:i4>
      </vt:variant>
      <vt:variant>
        <vt:i4>0</vt:i4>
      </vt:variant>
      <vt:variant>
        <vt:i4>5</vt:i4>
      </vt:variant>
      <vt:variant>
        <vt:lpwstr>http://archive.ramsar.org/cda/en/ramsar-pubs-handbooks/main/ramsar/1-30-33_4000_0</vt:lpwstr>
      </vt:variant>
      <vt:variant>
        <vt:lpwstr/>
      </vt:variant>
      <vt:variant>
        <vt:i4>3145814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http://ec.europa.eu/environment/nature/conservation/species/guidance/pdf/guidance_en.pdf</vt:lpwstr>
      </vt:variant>
      <vt:variant>
        <vt:lpwstr/>
      </vt:variant>
      <vt:variant>
        <vt:i4>4980856</vt:i4>
      </vt:variant>
      <vt:variant>
        <vt:i4>3</vt:i4>
      </vt:variant>
      <vt:variant>
        <vt:i4>0</vt:i4>
      </vt:variant>
      <vt:variant>
        <vt:i4>5</vt:i4>
      </vt:variant>
      <vt:variant>
        <vt:lpwstr>http://assets.panda.org/downloads/wetlands_management_guide_2008.pdf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https://sora.unm.edu/sites/default/files/journals/iwsgb/n068/p00003-p00005.pdf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quick brown fox jumps over the lazy dog</dc:title>
  <dc:creator>jkremer</dc:creator>
  <cp:lastModifiedBy>Christina Irven</cp:lastModifiedBy>
  <cp:revision>3</cp:revision>
  <cp:lastPrinted>2018-06-13T10:21:00Z</cp:lastPrinted>
  <dcterms:created xsi:type="dcterms:W3CDTF">2018-12-20T13:58:00Z</dcterms:created>
  <dcterms:modified xsi:type="dcterms:W3CDTF">2018-12-21T13:33:00Z</dcterms:modified>
</cp:coreProperties>
</file>