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5CAF" w14:textId="5BECF03D" w:rsidR="00CD0925" w:rsidRDefault="00CD0925" w:rsidP="00566F74">
      <w:pPr>
        <w:pStyle w:val="berschrift1"/>
        <w:numPr>
          <w:ilvl w:val="0"/>
          <w:numId w:val="0"/>
        </w:numPr>
        <w:spacing w:line="276" w:lineRule="auto"/>
      </w:pPr>
      <w:bookmarkStart w:id="0" w:name="_Hlk513643711"/>
    </w:p>
    <w:p w14:paraId="6782A314" w14:textId="56EDAFD9" w:rsidR="00CD0925" w:rsidRPr="00DC4618" w:rsidRDefault="00566F74" w:rsidP="00566F74">
      <w:pPr>
        <w:tabs>
          <w:tab w:val="left" w:pos="4185"/>
        </w:tabs>
        <w:spacing w:line="276" w:lineRule="auto"/>
        <w:jc w:val="center"/>
        <w:rPr>
          <w:lang w:val="fr-FR"/>
        </w:rPr>
      </w:pPr>
      <w:r>
        <w:rPr>
          <w:lang w:val="fr-FR"/>
        </w:rPr>
        <w:t xml:space="preserve"> </w:t>
      </w:r>
      <w:r w:rsidR="00612DF5" w:rsidRPr="00612DF5">
        <w:rPr>
          <w:lang w:val="fr-FR"/>
        </w:rPr>
        <w:t>RÉSOLUTION 7.</w:t>
      </w:r>
      <w:r w:rsidR="00F46962">
        <w:rPr>
          <w:lang w:val="fr-FR"/>
        </w:rPr>
        <w:t>4</w:t>
      </w:r>
    </w:p>
    <w:p w14:paraId="19B719B3" w14:textId="77777777" w:rsidR="00CD0925" w:rsidRPr="00DC4618" w:rsidRDefault="00CD0925" w:rsidP="00566F74">
      <w:pPr>
        <w:spacing w:line="276" w:lineRule="auto"/>
        <w:ind w:right="-81"/>
        <w:jc w:val="center"/>
        <w:rPr>
          <w:b/>
          <w:bCs/>
          <w:lang w:val="fr-FR"/>
        </w:rPr>
      </w:pPr>
    </w:p>
    <w:p w14:paraId="5BED2DD4" w14:textId="77777777" w:rsidR="00DC4618" w:rsidRDefault="00612DF5" w:rsidP="00566F74">
      <w:pPr>
        <w:pStyle w:val="berschrift9"/>
        <w:spacing w:before="0" w:line="276" w:lineRule="auto"/>
        <w:ind w:right="-81"/>
        <w:jc w:val="center"/>
        <w:rPr>
          <w:rFonts w:ascii="Times New Roman" w:hAnsi="Times New Roman" w:cs="Times New Roman"/>
          <w:b/>
          <w:bCs/>
          <w:i w:val="0"/>
          <w:sz w:val="24"/>
          <w:szCs w:val="24"/>
          <w:lang w:val="fr-FR"/>
        </w:rPr>
      </w:pPr>
      <w:r w:rsidRPr="00423D04">
        <w:rPr>
          <w:rFonts w:ascii="Times New Roman" w:hAnsi="Times New Roman" w:cs="Times New Roman"/>
          <w:b/>
          <w:bCs/>
          <w:i w:val="0"/>
          <w:sz w:val="24"/>
          <w:szCs w:val="24"/>
          <w:lang w:val="fr-FR"/>
        </w:rPr>
        <w:t xml:space="preserve">ADOPTION DE L’INTERPRÉTATION ET </w:t>
      </w:r>
      <w:r w:rsidR="000D3F17">
        <w:rPr>
          <w:rFonts w:ascii="Times New Roman" w:hAnsi="Times New Roman" w:cs="Times New Roman"/>
          <w:b/>
          <w:bCs/>
          <w:i w:val="0"/>
          <w:sz w:val="24"/>
          <w:szCs w:val="24"/>
          <w:lang w:val="fr-FR"/>
        </w:rPr>
        <w:t>D’</w:t>
      </w:r>
      <w:r w:rsidRPr="00423D04">
        <w:rPr>
          <w:rFonts w:ascii="Times New Roman" w:hAnsi="Times New Roman" w:cs="Times New Roman"/>
          <w:b/>
          <w:bCs/>
          <w:i w:val="0"/>
          <w:sz w:val="24"/>
          <w:szCs w:val="24"/>
          <w:lang w:val="fr-FR"/>
        </w:rPr>
        <w:t>AMENDEMENT</w:t>
      </w:r>
      <w:r w:rsidR="00A3316A">
        <w:rPr>
          <w:rFonts w:ascii="Times New Roman" w:hAnsi="Times New Roman" w:cs="Times New Roman"/>
          <w:b/>
          <w:bCs/>
          <w:i w:val="0"/>
          <w:sz w:val="24"/>
          <w:szCs w:val="24"/>
          <w:lang w:val="fr-FR"/>
        </w:rPr>
        <w:t>S</w:t>
      </w:r>
      <w:r w:rsidRPr="00423D04">
        <w:rPr>
          <w:rFonts w:ascii="Times New Roman" w:hAnsi="Times New Roman" w:cs="Times New Roman"/>
          <w:b/>
          <w:bCs/>
          <w:i w:val="0"/>
          <w:sz w:val="24"/>
          <w:szCs w:val="24"/>
          <w:lang w:val="fr-FR"/>
        </w:rPr>
        <w:t xml:space="preserve"> DE L’INTERPRÉTATION DES TERMES UTILISÉS DANS LE CONTEXTE DU TABLEAU 1 </w:t>
      </w:r>
    </w:p>
    <w:p w14:paraId="20619CEE" w14:textId="15A7A838" w:rsidR="00CD0925" w:rsidRPr="00DC4618" w:rsidRDefault="00612DF5" w:rsidP="00566F74">
      <w:pPr>
        <w:pStyle w:val="berschrift9"/>
        <w:spacing w:before="0" w:line="276" w:lineRule="auto"/>
        <w:ind w:right="-81"/>
        <w:jc w:val="center"/>
        <w:rPr>
          <w:rFonts w:ascii="Times New Roman" w:hAnsi="Times New Roman" w:cs="Times New Roman"/>
          <w:b/>
          <w:bCs/>
          <w:i w:val="0"/>
          <w:sz w:val="24"/>
          <w:szCs w:val="24"/>
          <w:lang w:val="fr-FR"/>
        </w:rPr>
      </w:pPr>
      <w:r w:rsidRPr="00423D04">
        <w:rPr>
          <w:rFonts w:ascii="Times New Roman" w:hAnsi="Times New Roman" w:cs="Times New Roman"/>
          <w:b/>
          <w:bCs/>
          <w:i w:val="0"/>
          <w:sz w:val="24"/>
          <w:szCs w:val="24"/>
          <w:lang w:val="fr-FR"/>
        </w:rPr>
        <w:t>DE L’ANNEXE 3 DE L’AEWA</w:t>
      </w:r>
    </w:p>
    <w:p w14:paraId="5BCE1314" w14:textId="77777777" w:rsidR="00CD0925" w:rsidRPr="00DC4618" w:rsidRDefault="00CD0925" w:rsidP="00566F74">
      <w:pPr>
        <w:spacing w:line="276" w:lineRule="auto"/>
        <w:jc w:val="center"/>
        <w:rPr>
          <w:b/>
          <w:sz w:val="22"/>
          <w:szCs w:val="22"/>
          <w:lang w:val="fr-FR"/>
        </w:rPr>
      </w:pPr>
    </w:p>
    <w:p w14:paraId="0BBEBE16" w14:textId="77777777" w:rsidR="00CD0925" w:rsidRPr="00DC4618" w:rsidRDefault="00CD0925" w:rsidP="00566F74">
      <w:pPr>
        <w:spacing w:line="276" w:lineRule="auto"/>
        <w:jc w:val="both"/>
        <w:rPr>
          <w:b/>
          <w:sz w:val="22"/>
          <w:szCs w:val="22"/>
          <w:lang w:val="fr-FR"/>
        </w:rPr>
      </w:pPr>
    </w:p>
    <w:p w14:paraId="2F8F00F9" w14:textId="118771D5" w:rsidR="00CD0925" w:rsidRPr="00DC4618" w:rsidRDefault="00612DF5" w:rsidP="00566F74">
      <w:pPr>
        <w:spacing w:line="276" w:lineRule="auto"/>
        <w:ind w:firstLine="720"/>
        <w:jc w:val="both"/>
        <w:rPr>
          <w:sz w:val="22"/>
          <w:szCs w:val="22"/>
          <w:lang w:val="fr-FR"/>
        </w:rPr>
      </w:pPr>
      <w:r w:rsidRPr="00423D04">
        <w:rPr>
          <w:i/>
          <w:sz w:val="22"/>
          <w:szCs w:val="22"/>
          <w:lang w:val="fr-FR"/>
        </w:rPr>
        <w:t>R</w:t>
      </w:r>
      <w:r w:rsidR="004609D9" w:rsidRPr="00423D04">
        <w:rPr>
          <w:i/>
          <w:sz w:val="22"/>
          <w:szCs w:val="22"/>
          <w:lang w:val="fr-FR"/>
        </w:rPr>
        <w:t>appelant</w:t>
      </w:r>
      <w:r w:rsidRPr="00423D04">
        <w:rPr>
          <w:sz w:val="22"/>
          <w:szCs w:val="22"/>
          <w:lang w:val="fr-FR"/>
        </w:rPr>
        <w:t xml:space="preserve"> </w:t>
      </w:r>
      <w:r w:rsidR="004609D9" w:rsidRPr="00423D04">
        <w:rPr>
          <w:sz w:val="22"/>
          <w:szCs w:val="22"/>
          <w:lang w:val="fr-FR"/>
        </w:rPr>
        <w:t xml:space="preserve">les </w:t>
      </w:r>
      <w:r w:rsidRPr="00423D04">
        <w:rPr>
          <w:sz w:val="22"/>
          <w:szCs w:val="22"/>
          <w:lang w:val="fr-FR"/>
        </w:rPr>
        <w:t>R</w:t>
      </w:r>
      <w:r w:rsidR="004609D9" w:rsidRPr="00423D04">
        <w:rPr>
          <w:sz w:val="22"/>
          <w:szCs w:val="22"/>
          <w:lang w:val="fr-FR"/>
        </w:rPr>
        <w:t>é</w:t>
      </w:r>
      <w:r w:rsidRPr="00423D04">
        <w:rPr>
          <w:sz w:val="22"/>
          <w:szCs w:val="22"/>
          <w:lang w:val="fr-FR"/>
        </w:rPr>
        <w:t>solu</w:t>
      </w:r>
      <w:bookmarkEnd w:id="0"/>
      <w:r w:rsidRPr="00423D04">
        <w:rPr>
          <w:sz w:val="22"/>
          <w:szCs w:val="22"/>
          <w:lang w:val="fr-FR"/>
        </w:rPr>
        <w:t xml:space="preserve">tions 3.3 </w:t>
      </w:r>
      <w:r w:rsidR="004609D9" w:rsidRPr="00423D04">
        <w:rPr>
          <w:sz w:val="22"/>
          <w:szCs w:val="22"/>
          <w:lang w:val="fr-FR"/>
        </w:rPr>
        <w:t>et</w:t>
      </w:r>
      <w:r w:rsidRPr="00423D04">
        <w:rPr>
          <w:sz w:val="22"/>
          <w:szCs w:val="22"/>
          <w:lang w:val="fr-FR"/>
        </w:rPr>
        <w:t xml:space="preserve"> 5.7 </w:t>
      </w:r>
      <w:r w:rsidR="004609D9" w:rsidRPr="00423D04">
        <w:rPr>
          <w:sz w:val="22"/>
          <w:szCs w:val="22"/>
          <w:lang w:val="fr-FR"/>
        </w:rPr>
        <w:t>qui ont adopté des conseils sur l’interprétation</w:t>
      </w:r>
      <w:r w:rsidRPr="00423D04">
        <w:rPr>
          <w:sz w:val="22"/>
          <w:szCs w:val="22"/>
          <w:lang w:val="fr-FR"/>
        </w:rPr>
        <w:t xml:space="preserve"> </w:t>
      </w:r>
      <w:r w:rsidR="004609D9" w:rsidRPr="00423D04">
        <w:rPr>
          <w:sz w:val="22"/>
          <w:szCs w:val="22"/>
          <w:lang w:val="fr-FR"/>
        </w:rPr>
        <w:t>du terme de</w:t>
      </w:r>
      <w:r w:rsidRPr="00423D04">
        <w:rPr>
          <w:sz w:val="22"/>
          <w:szCs w:val="22"/>
          <w:lang w:val="fr-FR"/>
        </w:rPr>
        <w:t xml:space="preserve"> </w:t>
      </w:r>
      <w:r w:rsidR="004609D9" w:rsidRPr="00423D04">
        <w:rPr>
          <w:sz w:val="22"/>
          <w:szCs w:val="22"/>
          <w:lang w:val="fr-FR"/>
        </w:rPr>
        <w:t>« </w:t>
      </w:r>
      <w:r w:rsidR="004609D9" w:rsidRPr="00423D04">
        <w:rPr>
          <w:i/>
          <w:sz w:val="22"/>
          <w:szCs w:val="22"/>
          <w:lang w:val="fr-FR"/>
        </w:rPr>
        <w:t>déclin significatif à long terme</w:t>
      </w:r>
      <w:r w:rsidR="004609D9" w:rsidRPr="00423D04">
        <w:rPr>
          <w:sz w:val="22"/>
          <w:szCs w:val="22"/>
          <w:lang w:val="fr-FR"/>
        </w:rPr>
        <w:t> »</w:t>
      </w:r>
      <w:r w:rsidRPr="00423D04">
        <w:rPr>
          <w:sz w:val="22"/>
          <w:szCs w:val="22"/>
          <w:lang w:val="fr-FR"/>
        </w:rPr>
        <w:t xml:space="preserve"> </w:t>
      </w:r>
      <w:r w:rsidR="004609D9" w:rsidRPr="00423D04">
        <w:rPr>
          <w:sz w:val="22"/>
          <w:szCs w:val="22"/>
          <w:lang w:val="fr-FR"/>
        </w:rPr>
        <w:t>dans le</w:t>
      </w:r>
      <w:r w:rsidRPr="00423D04">
        <w:rPr>
          <w:sz w:val="22"/>
          <w:szCs w:val="22"/>
          <w:lang w:val="fr-FR"/>
        </w:rPr>
        <w:t xml:space="preserve"> context</w:t>
      </w:r>
      <w:r w:rsidR="004609D9" w:rsidRPr="00423D04">
        <w:rPr>
          <w:sz w:val="22"/>
          <w:szCs w:val="22"/>
          <w:lang w:val="fr-FR"/>
        </w:rPr>
        <w:t>e du</w:t>
      </w:r>
      <w:r w:rsidRPr="00423D04">
        <w:rPr>
          <w:sz w:val="22"/>
          <w:szCs w:val="22"/>
          <w:lang w:val="fr-FR"/>
        </w:rPr>
        <w:t xml:space="preserve"> Table</w:t>
      </w:r>
      <w:r w:rsidR="004609D9" w:rsidRPr="00423D04">
        <w:rPr>
          <w:sz w:val="22"/>
          <w:szCs w:val="22"/>
          <w:lang w:val="fr-FR"/>
        </w:rPr>
        <w:t>au</w:t>
      </w:r>
      <w:r w:rsidRPr="00423D04">
        <w:rPr>
          <w:sz w:val="22"/>
          <w:szCs w:val="22"/>
          <w:lang w:val="fr-FR"/>
        </w:rPr>
        <w:t xml:space="preserve"> 1 </w:t>
      </w:r>
      <w:r w:rsidR="004609D9" w:rsidRPr="00423D04">
        <w:rPr>
          <w:sz w:val="22"/>
          <w:szCs w:val="22"/>
          <w:lang w:val="fr-FR"/>
        </w:rPr>
        <w:t>du Plan d’action de l’</w:t>
      </w:r>
      <w:r w:rsidRPr="00423D04">
        <w:rPr>
          <w:sz w:val="22"/>
          <w:szCs w:val="22"/>
          <w:lang w:val="fr-FR"/>
        </w:rPr>
        <w:t>AEWA,</w:t>
      </w:r>
    </w:p>
    <w:p w14:paraId="1C252607" w14:textId="77777777" w:rsidR="00CD0925" w:rsidRPr="00DC4618" w:rsidRDefault="00CD0925" w:rsidP="00CD0925">
      <w:pPr>
        <w:spacing w:line="276" w:lineRule="auto"/>
        <w:ind w:firstLine="720"/>
        <w:jc w:val="both"/>
        <w:rPr>
          <w:sz w:val="22"/>
          <w:szCs w:val="22"/>
          <w:lang w:val="fr-FR"/>
        </w:rPr>
      </w:pPr>
    </w:p>
    <w:p w14:paraId="58309EA7" w14:textId="3025BA8C" w:rsidR="00CD0925" w:rsidRPr="003A67F0" w:rsidRDefault="004609D9" w:rsidP="00423D04">
      <w:pPr>
        <w:spacing w:line="280" w:lineRule="auto"/>
        <w:ind w:firstLine="720"/>
        <w:jc w:val="both"/>
        <w:rPr>
          <w:i/>
          <w:sz w:val="22"/>
          <w:szCs w:val="22"/>
          <w:lang w:val="fr-FR"/>
        </w:rPr>
      </w:pPr>
      <w:r w:rsidRPr="00423D04">
        <w:rPr>
          <w:i/>
          <w:sz w:val="22"/>
          <w:szCs w:val="22"/>
          <w:lang w:val="fr-FR"/>
        </w:rPr>
        <w:t xml:space="preserve">Reconnaissant </w:t>
      </w:r>
      <w:r w:rsidRPr="00423D04">
        <w:rPr>
          <w:sz w:val="22"/>
          <w:szCs w:val="22"/>
          <w:lang w:val="fr-FR"/>
        </w:rPr>
        <w:t xml:space="preserve">les avantages </w:t>
      </w:r>
      <w:r w:rsidR="00423D04" w:rsidRPr="00423D04">
        <w:rPr>
          <w:sz w:val="22"/>
          <w:szCs w:val="22"/>
          <w:lang w:val="fr-FR"/>
        </w:rPr>
        <w:t xml:space="preserve">qu’il y a </w:t>
      </w:r>
      <w:r w:rsidRPr="00423D04">
        <w:rPr>
          <w:sz w:val="22"/>
          <w:szCs w:val="22"/>
          <w:lang w:val="fr-FR"/>
        </w:rPr>
        <w:t xml:space="preserve">à rendre explicite la différence entre les populations </w:t>
      </w:r>
      <w:r w:rsidR="00A3316A">
        <w:rPr>
          <w:sz w:val="22"/>
          <w:szCs w:val="22"/>
          <w:lang w:val="fr-FR"/>
        </w:rPr>
        <w:t>figurant</w:t>
      </w:r>
      <w:r w:rsidRPr="00423D04">
        <w:rPr>
          <w:sz w:val="22"/>
          <w:szCs w:val="22"/>
          <w:lang w:val="fr-FR"/>
        </w:rPr>
        <w:t xml:space="preserve"> sur la liste </w:t>
      </w:r>
      <w:r w:rsidR="002C40AC">
        <w:rPr>
          <w:sz w:val="22"/>
          <w:szCs w:val="22"/>
          <w:lang w:val="fr-FR"/>
        </w:rPr>
        <w:t>sur la base</w:t>
      </w:r>
      <w:r w:rsidRPr="00423D04">
        <w:rPr>
          <w:sz w:val="22"/>
          <w:szCs w:val="22"/>
          <w:lang w:val="fr-FR"/>
        </w:rPr>
        <w:t xml:space="preserve"> d’un déclin à long terme et celles </w:t>
      </w:r>
      <w:r w:rsidR="00A3316A">
        <w:rPr>
          <w:sz w:val="22"/>
          <w:szCs w:val="22"/>
          <w:lang w:val="fr-FR"/>
        </w:rPr>
        <w:t xml:space="preserve">y </w:t>
      </w:r>
      <w:r w:rsidR="00A3316A" w:rsidRPr="003A67F0">
        <w:rPr>
          <w:sz w:val="22"/>
          <w:szCs w:val="22"/>
          <w:lang w:val="fr-FR"/>
        </w:rPr>
        <w:t>figurant</w:t>
      </w:r>
      <w:r w:rsidRPr="003A67F0">
        <w:rPr>
          <w:sz w:val="22"/>
          <w:szCs w:val="22"/>
          <w:lang w:val="fr-FR"/>
        </w:rPr>
        <w:t xml:space="preserve"> </w:t>
      </w:r>
      <w:r w:rsidR="00A3316A" w:rsidRPr="003A67F0">
        <w:rPr>
          <w:sz w:val="22"/>
          <w:szCs w:val="22"/>
          <w:lang w:val="fr-FR"/>
        </w:rPr>
        <w:t>du fait</w:t>
      </w:r>
      <w:r w:rsidRPr="003A67F0">
        <w:rPr>
          <w:sz w:val="22"/>
          <w:szCs w:val="22"/>
          <w:lang w:val="fr-FR"/>
        </w:rPr>
        <w:t xml:space="preserve"> d’un déclin rapide à court terme,</w:t>
      </w:r>
    </w:p>
    <w:p w14:paraId="5C434AC7" w14:textId="77777777" w:rsidR="00CD0925" w:rsidRPr="003A67F0" w:rsidRDefault="00CD0925" w:rsidP="00CD0925">
      <w:pPr>
        <w:spacing w:line="276" w:lineRule="auto"/>
        <w:jc w:val="both"/>
        <w:rPr>
          <w:sz w:val="22"/>
          <w:szCs w:val="22"/>
          <w:lang w:val="fr-FR"/>
        </w:rPr>
      </w:pPr>
    </w:p>
    <w:p w14:paraId="1C989388" w14:textId="44229C8A"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Reconnaissant </w:t>
      </w:r>
      <w:r w:rsidRPr="003A67F0">
        <w:rPr>
          <w:sz w:val="22"/>
          <w:szCs w:val="22"/>
          <w:lang w:val="fr-FR"/>
        </w:rPr>
        <w:t xml:space="preserve">que l’utilisation des 7,5 au lieu des </w:t>
      </w:r>
      <w:r w:rsidR="00A3316A" w:rsidRPr="003A67F0">
        <w:rPr>
          <w:sz w:val="22"/>
          <w:szCs w:val="22"/>
          <w:lang w:val="fr-FR"/>
        </w:rPr>
        <w:t>3</w:t>
      </w:r>
      <w:r w:rsidRPr="003A67F0">
        <w:rPr>
          <w:sz w:val="22"/>
          <w:szCs w:val="22"/>
          <w:lang w:val="fr-FR"/>
        </w:rPr>
        <w:t xml:space="preserve"> générations requises par les critères pertinents d’autres processus d’évaluation internationaux tels que la Liste rouge de l’UICN, la Liste rouge européenne des oiseaux et </w:t>
      </w:r>
      <w:r w:rsidR="002C40AC" w:rsidRPr="003A67F0">
        <w:rPr>
          <w:sz w:val="22"/>
          <w:szCs w:val="22"/>
          <w:lang w:val="fr-FR"/>
        </w:rPr>
        <w:t>l’</w:t>
      </w:r>
      <w:r w:rsidR="00B13388" w:rsidRPr="003A67F0">
        <w:rPr>
          <w:sz w:val="22"/>
          <w:szCs w:val="22"/>
          <w:lang w:val="fr-FR"/>
        </w:rPr>
        <w:t>A</w:t>
      </w:r>
      <w:r w:rsidRPr="003A67F0">
        <w:rPr>
          <w:sz w:val="22"/>
          <w:szCs w:val="22"/>
          <w:lang w:val="fr-FR"/>
        </w:rPr>
        <w:t>rticle 12 de la Directive Oiseaux de l’UE</w:t>
      </w:r>
      <w:r w:rsidR="002C40AC" w:rsidRPr="003A67F0">
        <w:rPr>
          <w:sz w:val="22"/>
          <w:szCs w:val="22"/>
          <w:lang w:val="fr-FR"/>
        </w:rPr>
        <w:t xml:space="preserve">, </w:t>
      </w:r>
      <w:r w:rsidRPr="003A67F0">
        <w:rPr>
          <w:sz w:val="22"/>
          <w:szCs w:val="22"/>
          <w:lang w:val="fr-FR"/>
        </w:rPr>
        <w:t>et souhaitant minimiser les interprétation</w:t>
      </w:r>
      <w:r w:rsidR="00423D04" w:rsidRPr="003A67F0">
        <w:rPr>
          <w:sz w:val="22"/>
          <w:szCs w:val="22"/>
          <w:lang w:val="fr-FR"/>
        </w:rPr>
        <w:t>s contradictoires de</w:t>
      </w:r>
      <w:r w:rsidRPr="003A67F0">
        <w:rPr>
          <w:sz w:val="22"/>
          <w:szCs w:val="22"/>
          <w:lang w:val="fr-FR"/>
        </w:rPr>
        <w:t xml:space="preserve"> l’état des populations,</w:t>
      </w:r>
    </w:p>
    <w:p w14:paraId="246076B7" w14:textId="77777777" w:rsidR="00CD0925" w:rsidRPr="003A67F0" w:rsidRDefault="00CD0925" w:rsidP="00CD0925">
      <w:pPr>
        <w:spacing w:line="276" w:lineRule="auto"/>
        <w:ind w:firstLine="720"/>
        <w:jc w:val="both"/>
        <w:rPr>
          <w:sz w:val="22"/>
          <w:szCs w:val="22"/>
          <w:lang w:val="fr-FR"/>
        </w:rPr>
      </w:pPr>
    </w:p>
    <w:p w14:paraId="23B707B3" w14:textId="6D5C9E9C"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Souhaitant </w:t>
      </w:r>
      <w:r w:rsidRPr="003A67F0">
        <w:rPr>
          <w:sz w:val="22"/>
          <w:szCs w:val="22"/>
          <w:lang w:val="fr-FR"/>
        </w:rPr>
        <w:t xml:space="preserve">renforcer la </w:t>
      </w:r>
      <w:r w:rsidR="00A3316A" w:rsidRPr="003A67F0">
        <w:rPr>
          <w:sz w:val="22"/>
          <w:szCs w:val="22"/>
          <w:lang w:val="fr-FR"/>
        </w:rPr>
        <w:t>fiab</w:t>
      </w:r>
      <w:r w:rsidR="00127CEB" w:rsidRPr="003A67F0">
        <w:rPr>
          <w:sz w:val="22"/>
          <w:szCs w:val="22"/>
          <w:lang w:val="fr-FR"/>
        </w:rPr>
        <w:t>i</w:t>
      </w:r>
      <w:r w:rsidR="00A3316A" w:rsidRPr="003A67F0">
        <w:rPr>
          <w:sz w:val="22"/>
          <w:szCs w:val="22"/>
          <w:lang w:val="fr-FR"/>
        </w:rPr>
        <w:t>lité</w:t>
      </w:r>
      <w:r w:rsidRPr="003A67F0">
        <w:rPr>
          <w:sz w:val="22"/>
          <w:szCs w:val="22"/>
          <w:lang w:val="fr-FR"/>
        </w:rPr>
        <w:t xml:space="preserve"> de l’alerte rapide pour les populations déclinant rapidement,</w:t>
      </w:r>
    </w:p>
    <w:p w14:paraId="3FAF20DD" w14:textId="77777777" w:rsidR="00CD0925" w:rsidRPr="003A67F0" w:rsidRDefault="00CD0925" w:rsidP="00CD0925">
      <w:pPr>
        <w:spacing w:line="276" w:lineRule="auto"/>
        <w:ind w:firstLine="720"/>
        <w:jc w:val="both"/>
        <w:rPr>
          <w:sz w:val="22"/>
          <w:szCs w:val="22"/>
          <w:lang w:val="fr-FR"/>
        </w:rPr>
      </w:pPr>
    </w:p>
    <w:p w14:paraId="3C8C9906" w14:textId="7EDC3072"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Remerciant </w:t>
      </w:r>
      <w:r w:rsidRPr="003A67F0">
        <w:rPr>
          <w:sz w:val="22"/>
          <w:szCs w:val="22"/>
          <w:lang w:val="fr-FR"/>
        </w:rPr>
        <w:t>le Comité technique pour le travail qu’il a réalisé pendant la dernière période triennale en réexaminant les conseils précédemment adoptés sur l’interprétation du terme de « </w:t>
      </w:r>
      <w:r w:rsidRPr="003A67F0">
        <w:rPr>
          <w:i/>
          <w:sz w:val="22"/>
          <w:szCs w:val="22"/>
          <w:lang w:val="fr-FR"/>
        </w:rPr>
        <w:t>déclin significatif à long terme</w:t>
      </w:r>
      <w:r w:rsidRPr="003A67F0">
        <w:rPr>
          <w:sz w:val="22"/>
          <w:szCs w:val="22"/>
          <w:lang w:val="fr-FR"/>
        </w:rPr>
        <w:t> » et</w:t>
      </w:r>
      <w:r w:rsidR="00ED79B3" w:rsidRPr="003A67F0">
        <w:rPr>
          <w:sz w:val="22"/>
          <w:szCs w:val="22"/>
          <w:lang w:val="fr-FR"/>
        </w:rPr>
        <w:t xml:space="preserve"> en</w:t>
      </w:r>
      <w:r w:rsidRPr="003A67F0">
        <w:rPr>
          <w:sz w:val="22"/>
          <w:szCs w:val="22"/>
          <w:lang w:val="fr-FR"/>
        </w:rPr>
        <w:t xml:space="preserve"> proposant l’établissement d’une nouvelle catégorie </w:t>
      </w:r>
      <w:r w:rsidR="00ED79B3" w:rsidRPr="003A67F0">
        <w:rPr>
          <w:sz w:val="22"/>
          <w:szCs w:val="22"/>
          <w:lang w:val="fr-FR"/>
        </w:rPr>
        <w:t>pour les clés de</w:t>
      </w:r>
      <w:r w:rsidRPr="003A67F0">
        <w:rPr>
          <w:sz w:val="22"/>
          <w:szCs w:val="22"/>
          <w:lang w:val="fr-FR"/>
        </w:rPr>
        <w:t xml:space="preserve"> classification </w:t>
      </w:r>
      <w:r w:rsidR="00ED79B3" w:rsidRPr="003A67F0">
        <w:rPr>
          <w:sz w:val="22"/>
          <w:szCs w:val="22"/>
          <w:lang w:val="fr-FR"/>
        </w:rPr>
        <w:t>du</w:t>
      </w:r>
      <w:r w:rsidRPr="003A67F0">
        <w:rPr>
          <w:sz w:val="22"/>
          <w:szCs w:val="22"/>
          <w:lang w:val="fr-FR"/>
        </w:rPr>
        <w:t xml:space="preserve"> Table</w:t>
      </w:r>
      <w:r w:rsidR="00ED79B3" w:rsidRPr="003A67F0">
        <w:rPr>
          <w:sz w:val="22"/>
          <w:szCs w:val="22"/>
          <w:lang w:val="fr-FR"/>
        </w:rPr>
        <w:t>au</w:t>
      </w:r>
      <w:r w:rsidRPr="003A67F0">
        <w:rPr>
          <w:sz w:val="22"/>
          <w:szCs w:val="22"/>
          <w:lang w:val="fr-FR"/>
        </w:rPr>
        <w:t xml:space="preserve"> 1 </w:t>
      </w:r>
      <w:r w:rsidR="00ED79B3" w:rsidRPr="003A67F0">
        <w:rPr>
          <w:sz w:val="22"/>
          <w:szCs w:val="22"/>
          <w:lang w:val="fr-FR"/>
        </w:rPr>
        <w:t>de l’Annexe 3 de l’</w:t>
      </w:r>
      <w:r w:rsidRPr="003A67F0">
        <w:rPr>
          <w:sz w:val="22"/>
          <w:szCs w:val="22"/>
          <w:lang w:val="fr-FR"/>
        </w:rPr>
        <w:t>AEWA</w:t>
      </w:r>
      <w:r w:rsidR="00ED79B3" w:rsidRPr="003A67F0">
        <w:rPr>
          <w:sz w:val="22"/>
          <w:szCs w:val="22"/>
          <w:lang w:val="fr-FR"/>
        </w:rPr>
        <w:t>, bas</w:t>
      </w:r>
      <w:r w:rsidR="00A3316A" w:rsidRPr="003A67F0">
        <w:rPr>
          <w:sz w:val="22"/>
          <w:szCs w:val="22"/>
          <w:lang w:val="fr-FR"/>
        </w:rPr>
        <w:t>é</w:t>
      </w:r>
      <w:r w:rsidR="00ED79B3" w:rsidRPr="003A67F0">
        <w:rPr>
          <w:sz w:val="22"/>
          <w:szCs w:val="22"/>
          <w:lang w:val="fr-FR"/>
        </w:rPr>
        <w:t xml:space="preserve">e </w:t>
      </w:r>
      <w:r w:rsidR="00A3316A" w:rsidRPr="003A67F0">
        <w:rPr>
          <w:sz w:val="22"/>
          <w:szCs w:val="22"/>
          <w:lang w:val="fr-FR"/>
        </w:rPr>
        <w:t xml:space="preserve">sur </w:t>
      </w:r>
      <w:r w:rsidR="00ED79B3" w:rsidRPr="003A67F0">
        <w:rPr>
          <w:sz w:val="22"/>
          <w:szCs w:val="22"/>
          <w:lang w:val="fr-FR"/>
        </w:rPr>
        <w:t>un déclin rapide à court terme</w:t>
      </w:r>
      <w:r w:rsidRPr="003A67F0">
        <w:rPr>
          <w:sz w:val="22"/>
          <w:szCs w:val="22"/>
          <w:lang w:val="fr-FR"/>
        </w:rPr>
        <w:t xml:space="preserve"> (document AEWA/MOP 7.</w:t>
      </w:r>
      <w:r w:rsidR="00F46962" w:rsidRPr="003A67F0">
        <w:rPr>
          <w:sz w:val="22"/>
          <w:szCs w:val="22"/>
          <w:lang w:val="fr-FR"/>
        </w:rPr>
        <w:t>20</w:t>
      </w:r>
      <w:r w:rsidRPr="003A67F0">
        <w:rPr>
          <w:sz w:val="22"/>
          <w:szCs w:val="22"/>
          <w:lang w:val="fr-FR"/>
        </w:rPr>
        <w:t>),</w:t>
      </w:r>
    </w:p>
    <w:p w14:paraId="78D753BE" w14:textId="77777777" w:rsidR="00CD0925" w:rsidRPr="003A67F0" w:rsidRDefault="00CD0925" w:rsidP="00CD0925">
      <w:pPr>
        <w:spacing w:line="276" w:lineRule="auto"/>
        <w:ind w:firstLine="720"/>
        <w:jc w:val="both"/>
        <w:rPr>
          <w:sz w:val="22"/>
          <w:szCs w:val="22"/>
          <w:lang w:val="fr-FR"/>
        </w:rPr>
      </w:pPr>
    </w:p>
    <w:p w14:paraId="77B494AF" w14:textId="140FCB5B" w:rsidR="00CD0925" w:rsidRPr="00DC4618" w:rsidRDefault="00ED79B3" w:rsidP="00423D04">
      <w:pPr>
        <w:spacing w:line="280" w:lineRule="auto"/>
        <w:ind w:firstLine="720"/>
        <w:jc w:val="both"/>
        <w:rPr>
          <w:sz w:val="22"/>
          <w:szCs w:val="22"/>
          <w:lang w:val="fr-FR"/>
        </w:rPr>
      </w:pPr>
      <w:r w:rsidRPr="003A67F0">
        <w:rPr>
          <w:i/>
          <w:sz w:val="22"/>
          <w:szCs w:val="22"/>
          <w:lang w:val="fr-FR"/>
        </w:rPr>
        <w:t>Tenant compte</w:t>
      </w:r>
      <w:r w:rsidRPr="003A67F0">
        <w:rPr>
          <w:sz w:val="22"/>
          <w:szCs w:val="22"/>
          <w:lang w:val="fr-FR"/>
        </w:rPr>
        <w:t xml:space="preserve"> de </w:t>
      </w:r>
      <w:r w:rsidR="002848D6" w:rsidRPr="003A67F0">
        <w:rPr>
          <w:sz w:val="22"/>
          <w:szCs w:val="22"/>
          <w:lang w:val="fr-FR"/>
        </w:rPr>
        <w:t>l’a</w:t>
      </w:r>
      <w:r w:rsidR="00F46962" w:rsidRPr="003A67F0">
        <w:rPr>
          <w:sz w:val="22"/>
          <w:szCs w:val="22"/>
          <w:lang w:val="fr-FR"/>
        </w:rPr>
        <w:t xml:space="preserve">vant-projet de Résolution </w:t>
      </w:r>
      <w:r w:rsidRPr="003A67F0">
        <w:rPr>
          <w:sz w:val="22"/>
          <w:szCs w:val="22"/>
          <w:lang w:val="fr-FR"/>
        </w:rPr>
        <w:t>7.</w:t>
      </w:r>
      <w:r w:rsidR="00F46962" w:rsidRPr="003A67F0">
        <w:rPr>
          <w:sz w:val="22"/>
          <w:szCs w:val="22"/>
          <w:lang w:val="fr-FR"/>
        </w:rPr>
        <w:t>3]</w:t>
      </w:r>
      <w:r w:rsidRPr="003A67F0">
        <w:rPr>
          <w:sz w:val="22"/>
          <w:szCs w:val="22"/>
          <w:lang w:val="fr-FR"/>
        </w:rPr>
        <w:t xml:space="preserve"> sur l’adoption des amendements aux annexes de l’AEWA qui, entre autres, ont amendé la catégorie 3(c) de la colonne A et la catégorie 2(c) de la colonne B</w:t>
      </w:r>
      <w:r w:rsidR="00A3316A" w:rsidRPr="003A67F0">
        <w:rPr>
          <w:sz w:val="22"/>
          <w:szCs w:val="22"/>
          <w:lang w:val="fr-FR"/>
        </w:rPr>
        <w:t>,</w:t>
      </w:r>
      <w:r w:rsidRPr="003A67F0">
        <w:rPr>
          <w:sz w:val="22"/>
          <w:szCs w:val="22"/>
          <w:lang w:val="fr-FR"/>
        </w:rPr>
        <w:t xml:space="preserve"> </w:t>
      </w:r>
      <w:r w:rsidR="00A3316A" w:rsidRPr="003A67F0">
        <w:rPr>
          <w:sz w:val="22"/>
          <w:szCs w:val="22"/>
          <w:lang w:val="fr-FR"/>
        </w:rPr>
        <w:t>en se basant</w:t>
      </w:r>
      <w:r w:rsidRPr="003A67F0">
        <w:rPr>
          <w:sz w:val="22"/>
          <w:szCs w:val="22"/>
          <w:lang w:val="fr-FR"/>
        </w:rPr>
        <w:t xml:space="preserve"> </w:t>
      </w:r>
      <w:r w:rsidR="00A3316A" w:rsidRPr="003A67F0">
        <w:rPr>
          <w:sz w:val="22"/>
          <w:szCs w:val="22"/>
          <w:lang w:val="fr-FR"/>
        </w:rPr>
        <w:t xml:space="preserve">sur </w:t>
      </w:r>
      <w:r w:rsidRPr="003A67F0">
        <w:rPr>
          <w:sz w:val="22"/>
          <w:szCs w:val="22"/>
          <w:lang w:val="fr-FR"/>
        </w:rPr>
        <w:t>un déclin (significatif) à long terme, et ont établi une nouvelle catégorie 3(e) de la colonne A et une catégorie 2(e) de la colonne B</w:t>
      </w:r>
      <w:r w:rsidR="00A3316A" w:rsidRPr="003A67F0">
        <w:rPr>
          <w:sz w:val="22"/>
          <w:szCs w:val="22"/>
          <w:lang w:val="fr-FR"/>
        </w:rPr>
        <w:t xml:space="preserve">, en se basant sur </w:t>
      </w:r>
      <w:r w:rsidRPr="003A67F0">
        <w:rPr>
          <w:sz w:val="22"/>
          <w:szCs w:val="22"/>
          <w:lang w:val="fr-FR"/>
        </w:rPr>
        <w:t>un déclin rapide à court terme</w:t>
      </w:r>
      <w:r w:rsidR="00A3316A" w:rsidRPr="003A67F0">
        <w:rPr>
          <w:sz w:val="22"/>
          <w:szCs w:val="22"/>
          <w:lang w:val="fr-FR"/>
        </w:rPr>
        <w:t>,</w:t>
      </w:r>
      <w:r w:rsidRPr="003A67F0">
        <w:rPr>
          <w:sz w:val="22"/>
          <w:szCs w:val="22"/>
          <w:lang w:val="fr-FR"/>
        </w:rPr>
        <w:t xml:space="preserve"> utilisé</w:t>
      </w:r>
      <w:r w:rsidR="00A3316A" w:rsidRPr="003A67F0">
        <w:rPr>
          <w:sz w:val="22"/>
          <w:szCs w:val="22"/>
          <w:lang w:val="fr-FR"/>
        </w:rPr>
        <w:t>es</w:t>
      </w:r>
      <w:r w:rsidRPr="003A67F0">
        <w:rPr>
          <w:sz w:val="22"/>
          <w:szCs w:val="22"/>
          <w:lang w:val="fr-FR"/>
        </w:rPr>
        <w:t xml:space="preserve"> lors de la classification des populations au Tableau 1 de l’Annexe</w:t>
      </w:r>
      <w:r w:rsidRPr="006B113F">
        <w:rPr>
          <w:sz w:val="22"/>
          <w:szCs w:val="22"/>
          <w:lang w:val="fr-FR"/>
        </w:rPr>
        <w:t xml:space="preserve"> 3 de l’AEWA</w:t>
      </w:r>
      <w:r w:rsidR="00DC4618">
        <w:rPr>
          <w:sz w:val="22"/>
          <w:szCs w:val="22"/>
          <w:lang w:val="fr-FR"/>
        </w:rPr>
        <w:t>,</w:t>
      </w:r>
    </w:p>
    <w:p w14:paraId="65B8F6BB" w14:textId="77777777" w:rsidR="00CD0925" w:rsidRPr="00DC4618" w:rsidRDefault="00CD0925" w:rsidP="00CD0925">
      <w:pPr>
        <w:spacing w:line="276" w:lineRule="auto"/>
        <w:jc w:val="right"/>
        <w:rPr>
          <w:i/>
          <w:sz w:val="22"/>
          <w:szCs w:val="22"/>
          <w:lang w:val="fr-FR"/>
        </w:rPr>
      </w:pPr>
    </w:p>
    <w:p w14:paraId="03DE5933" w14:textId="77777777" w:rsidR="00CD0925" w:rsidRPr="00DC4618" w:rsidRDefault="00CD0925" w:rsidP="00CD0925">
      <w:pPr>
        <w:spacing w:line="276" w:lineRule="auto"/>
        <w:jc w:val="both"/>
        <w:rPr>
          <w:i/>
          <w:sz w:val="22"/>
          <w:szCs w:val="22"/>
          <w:lang w:val="fr-FR"/>
        </w:rPr>
      </w:pPr>
    </w:p>
    <w:p w14:paraId="0410B746" w14:textId="3BED8FE5" w:rsidR="00CD0925" w:rsidRPr="004F5E23" w:rsidRDefault="00ED79B3" w:rsidP="00423D04">
      <w:pPr>
        <w:spacing w:line="280" w:lineRule="auto"/>
        <w:jc w:val="both"/>
        <w:rPr>
          <w:sz w:val="22"/>
          <w:szCs w:val="22"/>
          <w:lang w:val="en-GB"/>
        </w:rPr>
      </w:pPr>
      <w:r w:rsidRPr="00423D04">
        <w:rPr>
          <w:i/>
          <w:iCs/>
          <w:sz w:val="22"/>
          <w:szCs w:val="22"/>
          <w:lang w:val="fr-FR"/>
        </w:rPr>
        <w:t>La Réunion des Parties :</w:t>
      </w:r>
    </w:p>
    <w:p w14:paraId="7313CAAD" w14:textId="77777777" w:rsidR="00CD0925" w:rsidRPr="00D64003" w:rsidRDefault="00CD0925" w:rsidP="00CD0925">
      <w:pPr>
        <w:tabs>
          <w:tab w:val="num" w:pos="928"/>
        </w:tabs>
        <w:spacing w:line="276" w:lineRule="auto"/>
        <w:ind w:left="568"/>
        <w:jc w:val="both"/>
        <w:rPr>
          <w:sz w:val="22"/>
          <w:szCs w:val="22"/>
          <w:u w:val="single"/>
          <w:lang w:val="en-GB" w:eastAsia="en-GB"/>
        </w:rPr>
      </w:pPr>
    </w:p>
    <w:p w14:paraId="2C56A07E" w14:textId="2D5A5B92" w:rsidR="00765D71" w:rsidRDefault="00ED79B3" w:rsidP="00423D04">
      <w:pPr>
        <w:numPr>
          <w:ilvl w:val="0"/>
          <w:numId w:val="18"/>
        </w:numPr>
        <w:tabs>
          <w:tab w:val="clear" w:pos="928"/>
          <w:tab w:val="num" w:pos="0"/>
          <w:tab w:val="num" w:pos="709"/>
        </w:tabs>
        <w:spacing w:line="280" w:lineRule="auto"/>
        <w:ind w:left="0" w:firstLine="0"/>
        <w:jc w:val="both"/>
        <w:rPr>
          <w:sz w:val="22"/>
          <w:szCs w:val="22"/>
          <w:lang w:val="fr-FR"/>
        </w:rPr>
      </w:pPr>
      <w:r w:rsidRPr="00423D04">
        <w:rPr>
          <w:i/>
          <w:iCs/>
          <w:sz w:val="22"/>
          <w:szCs w:val="22"/>
          <w:lang w:val="fr-FR"/>
        </w:rPr>
        <w:t xml:space="preserve">Adopte </w:t>
      </w:r>
      <w:r w:rsidRPr="00423D04">
        <w:rPr>
          <w:sz w:val="22"/>
          <w:szCs w:val="22"/>
          <w:lang w:val="fr-FR"/>
        </w:rPr>
        <w:t xml:space="preserve">la définition et </w:t>
      </w:r>
      <w:r w:rsidR="00423D04" w:rsidRPr="00423D04">
        <w:rPr>
          <w:sz w:val="22"/>
          <w:szCs w:val="22"/>
          <w:lang w:val="fr-FR"/>
        </w:rPr>
        <w:t>l</w:t>
      </w:r>
      <w:r w:rsidRPr="00423D04">
        <w:rPr>
          <w:sz w:val="22"/>
          <w:szCs w:val="22"/>
          <w:lang w:val="fr-FR"/>
        </w:rPr>
        <w:t>es conseils d’interprétation des termes « </w:t>
      </w:r>
      <w:r w:rsidRPr="00423D04">
        <w:rPr>
          <w:i/>
          <w:sz w:val="22"/>
          <w:szCs w:val="22"/>
          <w:lang w:val="fr-FR"/>
        </w:rPr>
        <w:t>déclin à long terme</w:t>
      </w:r>
      <w:r w:rsidRPr="00423D04">
        <w:rPr>
          <w:sz w:val="22"/>
          <w:szCs w:val="22"/>
          <w:lang w:val="fr-FR"/>
        </w:rPr>
        <w:t> » et « </w:t>
      </w:r>
      <w:r w:rsidRPr="00423D04">
        <w:rPr>
          <w:i/>
          <w:sz w:val="22"/>
          <w:szCs w:val="22"/>
          <w:lang w:val="fr-FR"/>
        </w:rPr>
        <w:t>déclin rapide à court terme</w:t>
      </w:r>
      <w:r w:rsidRPr="00423D04">
        <w:rPr>
          <w:sz w:val="22"/>
          <w:szCs w:val="22"/>
          <w:lang w:val="fr-FR"/>
        </w:rPr>
        <w:t> »</w:t>
      </w:r>
      <w:r w:rsidRPr="00423D04">
        <w:rPr>
          <w:i/>
          <w:sz w:val="22"/>
          <w:szCs w:val="22"/>
          <w:lang w:val="fr-FR"/>
        </w:rPr>
        <w:t xml:space="preserve"> </w:t>
      </w:r>
      <w:r w:rsidRPr="00423D04">
        <w:rPr>
          <w:sz w:val="22"/>
          <w:szCs w:val="22"/>
          <w:lang w:val="fr-FR"/>
        </w:rPr>
        <w:t>tels qu</w:t>
      </w:r>
      <w:r w:rsidR="00ED7DF1" w:rsidRPr="00423D04">
        <w:rPr>
          <w:sz w:val="22"/>
          <w:szCs w:val="22"/>
          <w:lang w:val="fr-FR"/>
        </w:rPr>
        <w:t>’</w:t>
      </w:r>
      <w:r w:rsidRPr="00423D04">
        <w:rPr>
          <w:sz w:val="22"/>
          <w:szCs w:val="22"/>
          <w:lang w:val="fr-FR"/>
        </w:rPr>
        <w:t>énoncés dans l’Appendice I de cette résolution pour remplacer la définition et les conseils précédemment adoptés par la Résolution 5.7.</w:t>
      </w:r>
    </w:p>
    <w:p w14:paraId="7E77CD52" w14:textId="77777777" w:rsidR="00DC4618" w:rsidRPr="00DC4618" w:rsidRDefault="00DC4618" w:rsidP="00423D04">
      <w:pPr>
        <w:numPr>
          <w:ilvl w:val="0"/>
          <w:numId w:val="18"/>
        </w:numPr>
        <w:tabs>
          <w:tab w:val="clear" w:pos="928"/>
          <w:tab w:val="num" w:pos="0"/>
          <w:tab w:val="num" w:pos="709"/>
        </w:tabs>
        <w:spacing w:line="280" w:lineRule="auto"/>
        <w:ind w:left="0" w:firstLine="0"/>
        <w:jc w:val="both"/>
        <w:rPr>
          <w:sz w:val="22"/>
          <w:szCs w:val="22"/>
          <w:lang w:val="fr-FR"/>
        </w:rPr>
        <w:sectPr w:rsidR="00DC4618" w:rsidRPr="00DC4618" w:rsidSect="00566F74">
          <w:headerReference w:type="first" r:id="rId8"/>
          <w:pgSz w:w="11900" w:h="16820" w:code="9"/>
          <w:pgMar w:top="851" w:right="1134" w:bottom="851" w:left="1134" w:header="850" w:footer="567" w:gutter="0"/>
          <w:cols w:space="708"/>
          <w:titlePg/>
          <w:docGrid w:linePitch="360"/>
        </w:sectPr>
      </w:pPr>
    </w:p>
    <w:p w14:paraId="034E9216" w14:textId="350414C7" w:rsidR="00765D71" w:rsidRPr="00F46962" w:rsidRDefault="00ED7DF1" w:rsidP="00B67F6C">
      <w:pPr>
        <w:tabs>
          <w:tab w:val="num" w:pos="928"/>
        </w:tabs>
        <w:spacing w:line="280" w:lineRule="auto"/>
        <w:jc w:val="center"/>
        <w:rPr>
          <w:lang w:val="fr-FR"/>
        </w:rPr>
      </w:pPr>
      <w:r w:rsidRPr="00F46962">
        <w:rPr>
          <w:lang w:val="fr-FR"/>
        </w:rPr>
        <w:lastRenderedPageBreak/>
        <w:t>APPENDICE I</w:t>
      </w:r>
    </w:p>
    <w:p w14:paraId="789DEC4F" w14:textId="77777777" w:rsidR="00DC4618" w:rsidRPr="00DC4618" w:rsidRDefault="00DC4618" w:rsidP="00B67F6C">
      <w:pPr>
        <w:tabs>
          <w:tab w:val="num" w:pos="928"/>
        </w:tabs>
        <w:spacing w:line="280" w:lineRule="auto"/>
        <w:jc w:val="center"/>
        <w:rPr>
          <w:b/>
          <w:lang w:val="fr-FR"/>
        </w:rPr>
      </w:pPr>
    </w:p>
    <w:p w14:paraId="2CE1883B" w14:textId="1E099ACD" w:rsidR="00CD0925" w:rsidRPr="00DC4618" w:rsidRDefault="00ED7DF1" w:rsidP="00F46962">
      <w:pPr>
        <w:shd w:val="clear" w:color="auto" w:fill="DBE5F1" w:themeFill="accent1" w:themeFillTint="33"/>
        <w:tabs>
          <w:tab w:val="num" w:pos="928"/>
        </w:tabs>
        <w:jc w:val="both"/>
        <w:rPr>
          <w:b/>
          <w:lang w:val="fr-FR"/>
        </w:rPr>
      </w:pPr>
      <w:r w:rsidRPr="00423D04">
        <w:rPr>
          <w:b/>
          <w:lang w:val="fr-FR"/>
        </w:rPr>
        <w:t>Définition et conseils d’interprétation des termes « </w:t>
      </w:r>
      <w:r w:rsidRPr="00423D04">
        <w:rPr>
          <w:b/>
          <w:i/>
          <w:lang w:val="fr-FR"/>
        </w:rPr>
        <w:t>déclin à long terme</w:t>
      </w:r>
      <w:r w:rsidRPr="00423D04">
        <w:rPr>
          <w:b/>
          <w:lang w:val="fr-FR"/>
        </w:rPr>
        <w:t> » et « </w:t>
      </w:r>
      <w:r w:rsidRPr="00423D04">
        <w:rPr>
          <w:b/>
          <w:i/>
          <w:lang w:val="fr-FR"/>
        </w:rPr>
        <w:t>déclin rapide à court terme</w:t>
      </w:r>
      <w:r w:rsidRPr="00423D04">
        <w:rPr>
          <w:b/>
          <w:lang w:val="fr-FR"/>
        </w:rPr>
        <w:t> » des populations d’oiseaux d’eau</w:t>
      </w:r>
    </w:p>
    <w:p w14:paraId="63341B98" w14:textId="77777777" w:rsidR="00CD0925" w:rsidRPr="00DC4618" w:rsidRDefault="00CD0925" w:rsidP="00CD0925">
      <w:pPr>
        <w:autoSpaceDE w:val="0"/>
        <w:autoSpaceDN w:val="0"/>
        <w:adjustRightInd w:val="0"/>
        <w:rPr>
          <w:bCs/>
          <w:sz w:val="20"/>
          <w:szCs w:val="20"/>
          <w:lang w:val="fr-FR"/>
        </w:rPr>
      </w:pPr>
    </w:p>
    <w:p w14:paraId="4425E572" w14:textId="03284A7F" w:rsidR="00CD0925" w:rsidRPr="00DC4618" w:rsidRDefault="00ED7DF1" w:rsidP="00423D04">
      <w:pPr>
        <w:autoSpaceDE w:val="0"/>
        <w:autoSpaceDN w:val="0"/>
        <w:adjustRightInd w:val="0"/>
        <w:spacing w:line="280" w:lineRule="auto"/>
        <w:jc w:val="both"/>
        <w:rPr>
          <w:b/>
          <w:bCs/>
          <w:lang w:val="fr-FR"/>
        </w:rPr>
      </w:pPr>
      <w:r w:rsidRPr="00423D04">
        <w:rPr>
          <w:b/>
          <w:bCs/>
          <w:lang w:val="fr-FR"/>
        </w:rPr>
        <w:t>Définitions</w:t>
      </w:r>
    </w:p>
    <w:p w14:paraId="0E16F9C9" w14:textId="77777777" w:rsidR="00C00DA1" w:rsidRPr="00DC4618" w:rsidRDefault="00C00DA1" w:rsidP="00C00DA1">
      <w:pPr>
        <w:autoSpaceDE w:val="0"/>
        <w:autoSpaceDN w:val="0"/>
        <w:adjustRightInd w:val="0"/>
        <w:spacing w:line="276" w:lineRule="auto"/>
        <w:jc w:val="both"/>
        <w:rPr>
          <w:sz w:val="20"/>
          <w:szCs w:val="20"/>
          <w:lang w:val="fr-FR"/>
        </w:rPr>
      </w:pPr>
    </w:p>
    <w:p w14:paraId="7CE02040" w14:textId="1E93F239" w:rsidR="00CD0925" w:rsidRPr="00DC4618" w:rsidRDefault="00ED7DF1" w:rsidP="001A0EE5">
      <w:pPr>
        <w:pStyle w:val="StandardWeb"/>
        <w:spacing w:before="0" w:beforeAutospacing="0" w:after="0" w:afterAutospacing="0" w:line="276" w:lineRule="auto"/>
        <w:jc w:val="both"/>
        <w:rPr>
          <w:sz w:val="22"/>
          <w:szCs w:val="22"/>
          <w:lang w:val="fr-FR"/>
        </w:rPr>
      </w:pPr>
      <w:bookmarkStart w:id="1" w:name="_Hlk511231796"/>
      <w:r w:rsidRPr="00423D04">
        <w:rPr>
          <w:sz w:val="22"/>
          <w:szCs w:val="22"/>
          <w:lang w:val="fr-FR"/>
        </w:rPr>
        <w:t>Une population en « </w:t>
      </w:r>
      <w:r w:rsidRPr="00423D04">
        <w:rPr>
          <w:rFonts w:ascii="Times New Roman,Italic" w:hAnsi="Times New Roman,Italic"/>
          <w:i/>
          <w:sz w:val="22"/>
          <w:szCs w:val="22"/>
          <w:lang w:val="fr-FR"/>
        </w:rPr>
        <w:t>déclin à long terme</w:t>
      </w:r>
      <w:r w:rsidRPr="00423D04">
        <w:rPr>
          <w:rFonts w:ascii="Times New Roman,Italic" w:hAnsi="Times New Roman,Italic"/>
          <w:sz w:val="22"/>
          <w:szCs w:val="22"/>
          <w:lang w:val="fr-FR"/>
        </w:rPr>
        <w:t xml:space="preserve"> » est une population </w:t>
      </w:r>
      <w:r w:rsidR="001A24BC">
        <w:rPr>
          <w:rFonts w:ascii="Times New Roman,Italic" w:hAnsi="Times New Roman,Italic"/>
          <w:sz w:val="22"/>
          <w:szCs w:val="22"/>
          <w:lang w:val="fr-FR"/>
        </w:rPr>
        <w:t>pour laquelle</w:t>
      </w:r>
      <w:r w:rsidRPr="00423D04">
        <w:rPr>
          <w:rFonts w:ascii="Times New Roman,Italic" w:hAnsi="Times New Roman,Italic"/>
          <w:sz w:val="22"/>
          <w:szCs w:val="22"/>
          <w:lang w:val="fr-FR"/>
        </w:rPr>
        <w:t xml:space="preserve"> les meilleures données, informations et évaluations disponibles indiquent qu’elle a décliné d’au moins</w:t>
      </w:r>
      <w:r w:rsidRPr="00423D04">
        <w:rPr>
          <w:sz w:val="22"/>
          <w:szCs w:val="22"/>
          <w:lang w:val="fr-FR"/>
        </w:rPr>
        <w:t xml:space="preserve"> 10 % en termes d</w:t>
      </w:r>
      <w:r w:rsidR="00423D04" w:rsidRPr="00423D04">
        <w:rPr>
          <w:sz w:val="22"/>
          <w:szCs w:val="22"/>
          <w:lang w:val="fr-FR"/>
        </w:rPr>
        <w:t>’effectif</w:t>
      </w:r>
      <w:r w:rsidRPr="00423D04">
        <w:rPr>
          <w:sz w:val="22"/>
          <w:szCs w:val="22"/>
          <w:lang w:val="fr-FR"/>
        </w:rPr>
        <w:t xml:space="preserve"> ou d’aire de répartition sur une période de trois générations.</w:t>
      </w:r>
      <w:bookmarkEnd w:id="1"/>
    </w:p>
    <w:p w14:paraId="6A86589A" w14:textId="77777777" w:rsidR="00615DF8" w:rsidRPr="00DC4618" w:rsidRDefault="00615DF8" w:rsidP="00F46962">
      <w:pPr>
        <w:pStyle w:val="StandardWeb"/>
        <w:spacing w:before="0" w:beforeAutospacing="0" w:after="0" w:afterAutospacing="0" w:line="276" w:lineRule="auto"/>
        <w:rPr>
          <w:sz w:val="22"/>
          <w:szCs w:val="22"/>
          <w:lang w:val="fr-FR"/>
        </w:rPr>
      </w:pPr>
    </w:p>
    <w:p w14:paraId="3D422F49" w14:textId="1197DCF1" w:rsidR="00CD0925" w:rsidRPr="00DC4618" w:rsidRDefault="00ED7DF1" w:rsidP="00F46962">
      <w:pPr>
        <w:autoSpaceDE w:val="0"/>
        <w:autoSpaceDN w:val="0"/>
        <w:adjustRightInd w:val="0"/>
        <w:spacing w:line="276" w:lineRule="auto"/>
        <w:jc w:val="both"/>
        <w:rPr>
          <w:sz w:val="22"/>
          <w:szCs w:val="22"/>
          <w:lang w:val="fr-FR"/>
        </w:rPr>
      </w:pPr>
      <w:r w:rsidRPr="00423D04">
        <w:rPr>
          <w:rStyle w:val="tw4winMark"/>
          <w:rFonts w:ascii="Times New Roman" w:hAnsi="Times New Roman" w:cs="Times New Roman"/>
          <w:noProof w:val="0"/>
          <w:vanish w:val="0"/>
          <w:color w:val="auto"/>
          <w:szCs w:val="22"/>
          <w:vertAlign w:val="baseline"/>
          <w:lang w:val="fr-FR"/>
        </w:rPr>
        <w:t xml:space="preserve">Une population en </w:t>
      </w:r>
      <w:r w:rsidRPr="0007496B">
        <w:rPr>
          <w:rStyle w:val="tw4winMark"/>
          <w:rFonts w:ascii="Times New Roman" w:hAnsi="Times New Roman" w:cs="Times New Roman"/>
          <w:i/>
          <w:noProof w:val="0"/>
          <w:vanish w:val="0"/>
          <w:color w:val="auto"/>
          <w:szCs w:val="22"/>
          <w:vertAlign w:val="baseline"/>
          <w:lang w:val="fr-FR"/>
        </w:rPr>
        <w:t>« déclin rapide à court terme »</w:t>
      </w:r>
      <w:r w:rsidRPr="00423D04">
        <w:rPr>
          <w:rStyle w:val="tw4winMark"/>
          <w:rFonts w:ascii="Times New Roman" w:hAnsi="Times New Roman" w:cs="Times New Roman"/>
          <w:noProof w:val="0"/>
          <w:vanish w:val="0"/>
          <w:color w:val="auto"/>
          <w:szCs w:val="22"/>
          <w:vertAlign w:val="baseline"/>
          <w:lang w:val="fr-FR"/>
        </w:rPr>
        <w:t xml:space="preserve"> est une population </w:t>
      </w:r>
      <w:r w:rsidR="001A24BC">
        <w:rPr>
          <w:rStyle w:val="tw4winMark"/>
          <w:rFonts w:ascii="Times New Roman" w:hAnsi="Times New Roman" w:cs="Times New Roman"/>
          <w:noProof w:val="0"/>
          <w:vanish w:val="0"/>
          <w:color w:val="auto"/>
          <w:szCs w:val="22"/>
          <w:vertAlign w:val="baseline"/>
          <w:lang w:val="fr-FR"/>
        </w:rPr>
        <w:t>pour laquelle</w:t>
      </w:r>
      <w:r w:rsidRPr="00423D04">
        <w:rPr>
          <w:rStyle w:val="tw4winMark"/>
          <w:rFonts w:ascii="Times New Roman" w:hAnsi="Times New Roman" w:cs="Times New Roman"/>
          <w:noProof w:val="0"/>
          <w:vanish w:val="0"/>
          <w:color w:val="auto"/>
          <w:szCs w:val="22"/>
          <w:vertAlign w:val="baseline"/>
          <w:lang w:val="fr-FR"/>
        </w:rPr>
        <w:t xml:space="preserve"> les meilleures données, informations et évaluations disponibles indiquent qu’elle a décliné </w:t>
      </w:r>
      <w:r w:rsidR="00423D04" w:rsidRPr="00423D04">
        <w:rPr>
          <w:rStyle w:val="tw4winMark"/>
          <w:rFonts w:ascii="Times New Roman" w:hAnsi="Times New Roman" w:cs="Times New Roman"/>
          <w:noProof w:val="0"/>
          <w:vanish w:val="0"/>
          <w:color w:val="auto"/>
          <w:szCs w:val="22"/>
          <w:vertAlign w:val="baseline"/>
          <w:lang w:val="fr-FR"/>
        </w:rPr>
        <w:t xml:space="preserve">en passant </w:t>
      </w:r>
      <w:r w:rsidRPr="00423D04">
        <w:rPr>
          <w:rStyle w:val="tw4winMark"/>
          <w:rFonts w:ascii="Times New Roman" w:hAnsi="Times New Roman" w:cs="Times New Roman"/>
          <w:noProof w:val="0"/>
          <w:vanish w:val="0"/>
          <w:color w:val="auto"/>
          <w:szCs w:val="22"/>
          <w:vertAlign w:val="baseline"/>
          <w:lang w:val="fr-FR"/>
        </w:rPr>
        <w:t xml:space="preserve">à un taux au moins équivalent à </w:t>
      </w:r>
      <w:r w:rsidR="00423D04" w:rsidRPr="00423D04">
        <w:rPr>
          <w:rStyle w:val="tw4winMark"/>
          <w:rFonts w:ascii="Times New Roman" w:hAnsi="Times New Roman" w:cs="Times New Roman"/>
          <w:noProof w:val="0"/>
          <w:vanish w:val="0"/>
          <w:color w:val="auto"/>
          <w:szCs w:val="22"/>
          <w:vertAlign w:val="baseline"/>
          <w:lang w:val="fr-FR"/>
        </w:rPr>
        <w:t xml:space="preserve">celui du </w:t>
      </w:r>
      <w:r w:rsidRPr="00423D04">
        <w:rPr>
          <w:rStyle w:val="tw4winMark"/>
          <w:rFonts w:ascii="Times New Roman" w:hAnsi="Times New Roman" w:cs="Times New Roman"/>
          <w:noProof w:val="0"/>
          <w:vanish w:val="0"/>
          <w:color w:val="auto"/>
          <w:szCs w:val="22"/>
          <w:vertAlign w:val="baseline"/>
          <w:lang w:val="fr-FR"/>
        </w:rPr>
        <w:t xml:space="preserve">déclin à long terme prévu de </w:t>
      </w:r>
      <w:r w:rsidRPr="00423D04">
        <w:rPr>
          <w:rStyle w:val="tw4winMark"/>
          <w:rFonts w:ascii="Times New Roman" w:hAnsi="Times New Roman" w:cs="Times New Roman"/>
          <w:noProof w:val="0"/>
          <w:vanish w:val="0"/>
          <w:color w:val="auto"/>
          <w:szCs w:val="22"/>
          <w:u w:val="single"/>
          <w:vertAlign w:val="baseline"/>
          <w:lang w:val="fr-FR"/>
        </w:rPr>
        <w:t>30 % sur trois générations</w:t>
      </w:r>
      <w:r w:rsidRPr="00423D04">
        <w:rPr>
          <w:rStyle w:val="tw4winMark"/>
          <w:rFonts w:ascii="Times New Roman" w:hAnsi="Times New Roman" w:cs="Times New Roman"/>
          <w:noProof w:val="0"/>
          <w:vanish w:val="0"/>
          <w:color w:val="auto"/>
          <w:szCs w:val="22"/>
          <w:vertAlign w:val="baseline"/>
          <w:lang w:val="fr-FR"/>
        </w:rPr>
        <w:t xml:space="preserve"> sur la base des données les plus récentes de ces 10 dernières années.</w:t>
      </w:r>
    </w:p>
    <w:p w14:paraId="2F1CDD0F" w14:textId="77777777" w:rsidR="00CD0925" w:rsidRPr="00DC4618" w:rsidRDefault="00CD0925" w:rsidP="00CD0925">
      <w:pPr>
        <w:autoSpaceDE w:val="0"/>
        <w:autoSpaceDN w:val="0"/>
        <w:adjustRightInd w:val="0"/>
        <w:jc w:val="both"/>
        <w:rPr>
          <w:sz w:val="20"/>
          <w:szCs w:val="20"/>
          <w:lang w:val="fr-FR"/>
        </w:rPr>
      </w:pPr>
    </w:p>
    <w:p w14:paraId="0159649D" w14:textId="637B5ED4" w:rsidR="00CD0925" w:rsidRPr="00DC4618" w:rsidRDefault="00ED7DF1" w:rsidP="00423D04">
      <w:pPr>
        <w:autoSpaceDE w:val="0"/>
        <w:autoSpaceDN w:val="0"/>
        <w:adjustRightInd w:val="0"/>
        <w:spacing w:after="120"/>
        <w:jc w:val="both"/>
        <w:rPr>
          <w:sz w:val="22"/>
          <w:szCs w:val="22"/>
          <w:lang w:val="fr-FR"/>
        </w:rPr>
      </w:pPr>
      <w:r w:rsidRPr="00423D04">
        <w:rPr>
          <w:b/>
          <w:bCs/>
          <w:iCs/>
          <w:lang w:val="fr-FR"/>
        </w:rPr>
        <w:t>Conseils pour l’application de cette définition</w:t>
      </w:r>
    </w:p>
    <w:p w14:paraId="5D759E8B" w14:textId="70F0BF7D" w:rsidR="00CD0925" w:rsidRPr="00DC4618" w:rsidRDefault="006C1CD7" w:rsidP="00423D04">
      <w:pPr>
        <w:numPr>
          <w:ilvl w:val="0"/>
          <w:numId w:val="19"/>
        </w:numPr>
        <w:autoSpaceDE w:val="0"/>
        <w:autoSpaceDN w:val="0"/>
        <w:adjustRightInd w:val="0"/>
        <w:spacing w:line="280" w:lineRule="auto"/>
        <w:jc w:val="both"/>
        <w:rPr>
          <w:sz w:val="22"/>
          <w:szCs w:val="22"/>
          <w:lang w:val="fr-FR"/>
        </w:rPr>
      </w:pPr>
      <w:r w:rsidRPr="00423D04">
        <w:rPr>
          <w:sz w:val="22"/>
          <w:szCs w:val="22"/>
          <w:lang w:val="fr-FR"/>
        </w:rPr>
        <w:t>Lorsqu’il n’y a que de maigres estimations quantitatives des tendances à l’échelle internationale</w:t>
      </w:r>
      <w:r w:rsidR="00ED7DF1" w:rsidRPr="00423D04">
        <w:rPr>
          <w:sz w:val="22"/>
          <w:szCs w:val="22"/>
          <w:lang w:val="fr-FR"/>
        </w:rPr>
        <w:t xml:space="preserve">, </w:t>
      </w:r>
      <w:r w:rsidRPr="00423D04">
        <w:rPr>
          <w:sz w:val="22"/>
          <w:szCs w:val="22"/>
          <w:lang w:val="fr-FR"/>
        </w:rPr>
        <w:t xml:space="preserve">les tendances </w:t>
      </w:r>
      <w:r w:rsidR="00ED7DF1" w:rsidRPr="00423D04">
        <w:rPr>
          <w:sz w:val="22"/>
          <w:szCs w:val="22"/>
          <w:lang w:val="fr-FR"/>
        </w:rPr>
        <w:t>international</w:t>
      </w:r>
      <w:r w:rsidRPr="00423D04">
        <w:rPr>
          <w:sz w:val="22"/>
          <w:szCs w:val="22"/>
          <w:lang w:val="fr-FR"/>
        </w:rPr>
        <w:t>es doivent être évaluées sur la base des meilleures connaissances d’experts</w:t>
      </w:r>
      <w:r w:rsidR="00ED7DF1" w:rsidRPr="00423D04">
        <w:rPr>
          <w:sz w:val="22"/>
          <w:szCs w:val="22"/>
          <w:lang w:val="fr-FR"/>
        </w:rPr>
        <w:t xml:space="preserve"> </w:t>
      </w:r>
      <w:r w:rsidRPr="00423D04">
        <w:rPr>
          <w:sz w:val="22"/>
          <w:szCs w:val="22"/>
          <w:lang w:val="fr-FR"/>
        </w:rPr>
        <w:t>et autres informations disponibles</w:t>
      </w:r>
      <w:r w:rsidR="00ED7DF1" w:rsidRPr="00423D04">
        <w:rPr>
          <w:sz w:val="22"/>
          <w:szCs w:val="22"/>
          <w:lang w:val="fr-FR"/>
        </w:rPr>
        <w:t xml:space="preserve"> </w:t>
      </w:r>
      <w:r w:rsidRPr="00423D04">
        <w:rPr>
          <w:sz w:val="22"/>
          <w:szCs w:val="22"/>
          <w:lang w:val="fr-FR"/>
        </w:rPr>
        <w:t>en gardant à l’esprit le taux de déclin indiqué dans la définition ci-dessus</w:t>
      </w:r>
      <w:r w:rsidR="00ED7DF1" w:rsidRPr="00423D04">
        <w:rPr>
          <w:sz w:val="22"/>
          <w:szCs w:val="22"/>
          <w:lang w:val="fr-FR"/>
        </w:rPr>
        <w:t>.</w:t>
      </w:r>
    </w:p>
    <w:p w14:paraId="04502D97" w14:textId="77777777" w:rsidR="00CD0925" w:rsidRPr="00DC4618" w:rsidRDefault="00CD0925" w:rsidP="00CD0925">
      <w:pPr>
        <w:autoSpaceDE w:val="0"/>
        <w:autoSpaceDN w:val="0"/>
        <w:adjustRightInd w:val="0"/>
        <w:spacing w:line="276" w:lineRule="auto"/>
        <w:jc w:val="both"/>
        <w:rPr>
          <w:sz w:val="16"/>
          <w:szCs w:val="16"/>
          <w:lang w:val="fr-FR"/>
        </w:rPr>
      </w:pPr>
    </w:p>
    <w:p w14:paraId="12F1B8CC" w14:textId="14AD3346" w:rsidR="00CD0925" w:rsidRPr="00DC4618" w:rsidRDefault="006C1CD7" w:rsidP="00423D04">
      <w:pPr>
        <w:numPr>
          <w:ilvl w:val="0"/>
          <w:numId w:val="19"/>
        </w:numPr>
        <w:autoSpaceDE w:val="0"/>
        <w:autoSpaceDN w:val="0"/>
        <w:adjustRightInd w:val="0"/>
        <w:spacing w:line="280" w:lineRule="auto"/>
        <w:jc w:val="both"/>
        <w:rPr>
          <w:sz w:val="22"/>
          <w:szCs w:val="22"/>
          <w:lang w:val="fr-FR"/>
        </w:rPr>
      </w:pPr>
      <w:r w:rsidRPr="00423D04">
        <w:rPr>
          <w:sz w:val="22"/>
          <w:szCs w:val="22"/>
          <w:lang w:val="fr-FR"/>
        </w:rPr>
        <w:t xml:space="preserve">Lorsqu’une population biogéographique affiche différentes tendances dans différents pays, si les données le permettent, le taux de changement de la population doit être calculé </w:t>
      </w:r>
      <w:r w:rsidRPr="00423D04">
        <w:rPr>
          <w:sz w:val="22"/>
          <w:szCs w:val="22"/>
          <w:u w:val="single"/>
          <w:lang w:val="fr-FR"/>
        </w:rPr>
        <w:t>en utilisant les tendances nationales pondérées en fonction de la moyenne géométrique de l’estimation de la population nationale</w:t>
      </w:r>
      <w:r w:rsidRPr="00423D04">
        <w:rPr>
          <w:sz w:val="22"/>
          <w:szCs w:val="22"/>
          <w:lang w:val="fr-FR"/>
        </w:rPr>
        <w:t>.</w:t>
      </w:r>
      <w:r w:rsidR="00CD0925" w:rsidRPr="00DC4618">
        <w:rPr>
          <w:sz w:val="22"/>
          <w:szCs w:val="22"/>
          <w:lang w:val="fr-FR"/>
        </w:rPr>
        <w:t xml:space="preserve"> </w:t>
      </w:r>
    </w:p>
    <w:p w14:paraId="5E4B33C3" w14:textId="77777777" w:rsidR="00CD0925" w:rsidRPr="00DC4618" w:rsidRDefault="00CD0925" w:rsidP="00CD0925">
      <w:pPr>
        <w:autoSpaceDE w:val="0"/>
        <w:autoSpaceDN w:val="0"/>
        <w:adjustRightInd w:val="0"/>
        <w:spacing w:line="276" w:lineRule="auto"/>
        <w:jc w:val="both"/>
        <w:rPr>
          <w:sz w:val="16"/>
          <w:szCs w:val="16"/>
          <w:lang w:val="fr-FR"/>
        </w:rPr>
      </w:pPr>
    </w:p>
    <w:p w14:paraId="060DAEE3" w14:textId="090257AD" w:rsidR="00CD0925" w:rsidRPr="00DC4618" w:rsidRDefault="006C1CD7" w:rsidP="009F5D43">
      <w:pPr>
        <w:numPr>
          <w:ilvl w:val="0"/>
          <w:numId w:val="19"/>
        </w:numPr>
        <w:autoSpaceDE w:val="0"/>
        <w:autoSpaceDN w:val="0"/>
        <w:adjustRightInd w:val="0"/>
        <w:spacing w:line="280" w:lineRule="auto"/>
        <w:jc w:val="both"/>
        <w:rPr>
          <w:sz w:val="22"/>
          <w:szCs w:val="22"/>
          <w:lang w:val="fr-FR"/>
        </w:rPr>
      </w:pPr>
      <w:r w:rsidRPr="00423D04">
        <w:rPr>
          <w:sz w:val="22"/>
          <w:szCs w:val="22"/>
          <w:lang w:val="fr-FR"/>
        </w:rPr>
        <w:t xml:space="preserve">Les informations sur les tendances des populations biogéographiques </w:t>
      </w:r>
      <w:r w:rsidR="001A18F7" w:rsidRPr="00423D04">
        <w:rPr>
          <w:sz w:val="22"/>
          <w:szCs w:val="22"/>
          <w:lang w:val="fr-FR"/>
        </w:rPr>
        <w:t>à l’échelle</w:t>
      </w:r>
      <w:r w:rsidRPr="00423D04">
        <w:rPr>
          <w:sz w:val="22"/>
          <w:szCs w:val="22"/>
          <w:lang w:val="fr-FR"/>
        </w:rPr>
        <w:t xml:space="preserve"> international</w:t>
      </w:r>
      <w:r w:rsidR="001A18F7" w:rsidRPr="00423D04">
        <w:rPr>
          <w:sz w:val="22"/>
          <w:szCs w:val="22"/>
          <w:lang w:val="fr-FR"/>
        </w:rPr>
        <w:t>e ne sont pas toujours disponibles sur</w:t>
      </w:r>
      <w:r w:rsidRPr="00423D04">
        <w:rPr>
          <w:sz w:val="22"/>
          <w:szCs w:val="22"/>
          <w:lang w:val="fr-FR"/>
        </w:rPr>
        <w:t xml:space="preserve"> </w:t>
      </w:r>
      <w:r w:rsidR="001A18F7" w:rsidRPr="00423D04">
        <w:rPr>
          <w:sz w:val="22"/>
          <w:szCs w:val="22"/>
          <w:u w:val="single"/>
          <w:lang w:val="fr-FR"/>
        </w:rPr>
        <w:t>trois</w:t>
      </w:r>
      <w:r w:rsidRPr="00423D04">
        <w:rPr>
          <w:sz w:val="22"/>
          <w:szCs w:val="22"/>
          <w:lang w:val="fr-FR"/>
        </w:rPr>
        <w:t xml:space="preserve"> g</w:t>
      </w:r>
      <w:r w:rsidR="001A18F7" w:rsidRPr="00423D04">
        <w:rPr>
          <w:sz w:val="22"/>
          <w:szCs w:val="22"/>
          <w:lang w:val="fr-FR"/>
        </w:rPr>
        <w:t>é</w:t>
      </w:r>
      <w:r w:rsidRPr="00423D04">
        <w:rPr>
          <w:sz w:val="22"/>
          <w:szCs w:val="22"/>
          <w:lang w:val="fr-FR"/>
        </w:rPr>
        <w:t>n</w:t>
      </w:r>
      <w:r w:rsidR="001A18F7" w:rsidRPr="00423D04">
        <w:rPr>
          <w:sz w:val="22"/>
          <w:szCs w:val="22"/>
          <w:lang w:val="fr-FR"/>
        </w:rPr>
        <w:t>é</w:t>
      </w:r>
      <w:r w:rsidRPr="00423D04">
        <w:rPr>
          <w:sz w:val="22"/>
          <w:szCs w:val="22"/>
          <w:lang w:val="fr-FR"/>
        </w:rPr>
        <w:t>rations.</w:t>
      </w:r>
      <w:r w:rsidR="00CD0925" w:rsidRPr="00DC4618">
        <w:rPr>
          <w:sz w:val="22"/>
          <w:szCs w:val="22"/>
          <w:lang w:val="fr-FR"/>
        </w:rPr>
        <w:t xml:space="preserve"> </w:t>
      </w:r>
      <w:r w:rsidR="001A18F7" w:rsidRPr="009F5D43">
        <w:rPr>
          <w:sz w:val="22"/>
          <w:szCs w:val="22"/>
          <w:lang w:val="fr-FR"/>
        </w:rPr>
        <w:t xml:space="preserve">Dans </w:t>
      </w:r>
      <w:r w:rsidR="009F5D43" w:rsidRPr="009F5D43">
        <w:rPr>
          <w:sz w:val="22"/>
          <w:szCs w:val="22"/>
          <w:lang w:val="fr-FR"/>
        </w:rPr>
        <w:t>de telles</w:t>
      </w:r>
      <w:r w:rsidR="001A18F7" w:rsidRPr="009F5D43">
        <w:rPr>
          <w:sz w:val="22"/>
          <w:szCs w:val="22"/>
          <w:lang w:val="fr-FR"/>
        </w:rPr>
        <w:t xml:space="preserve"> situations, des taux équivalents de déclin peuvent être utilisés sur des périodes plus courtes, mais </w:t>
      </w:r>
      <w:r w:rsidR="00A3316A">
        <w:rPr>
          <w:sz w:val="22"/>
          <w:szCs w:val="22"/>
          <w:lang w:val="fr-FR"/>
        </w:rPr>
        <w:t>pas inférieure</w:t>
      </w:r>
      <w:r w:rsidR="001A18F7" w:rsidRPr="009F5D43">
        <w:rPr>
          <w:sz w:val="22"/>
          <w:szCs w:val="22"/>
          <w:lang w:val="fr-FR"/>
        </w:rPr>
        <w:t xml:space="preserve"> </w:t>
      </w:r>
      <w:r w:rsidR="00A3316A">
        <w:rPr>
          <w:sz w:val="22"/>
          <w:szCs w:val="22"/>
          <w:lang w:val="fr-FR"/>
        </w:rPr>
        <w:t>à</w:t>
      </w:r>
      <w:r w:rsidR="001A18F7" w:rsidRPr="009F5D43">
        <w:rPr>
          <w:sz w:val="22"/>
          <w:szCs w:val="22"/>
          <w:lang w:val="fr-FR"/>
        </w:rPr>
        <w:t xml:space="preserve"> </w:t>
      </w:r>
      <w:r w:rsidR="001A18F7" w:rsidRPr="009F5D43">
        <w:rPr>
          <w:sz w:val="22"/>
          <w:szCs w:val="22"/>
          <w:u w:val="single"/>
          <w:lang w:val="fr-FR"/>
        </w:rPr>
        <w:t>10</w:t>
      </w:r>
      <w:r w:rsidR="001A18F7" w:rsidRPr="009F5D43">
        <w:rPr>
          <w:sz w:val="22"/>
          <w:szCs w:val="22"/>
          <w:lang w:val="fr-FR"/>
        </w:rPr>
        <w:t xml:space="preserve"> ans, et bas</w:t>
      </w:r>
      <w:r w:rsidR="009F5D43" w:rsidRPr="009F5D43">
        <w:rPr>
          <w:sz w:val="22"/>
          <w:szCs w:val="22"/>
          <w:lang w:val="fr-FR"/>
        </w:rPr>
        <w:t>és</w:t>
      </w:r>
      <w:r w:rsidR="001A18F7" w:rsidRPr="009F5D43">
        <w:rPr>
          <w:sz w:val="22"/>
          <w:szCs w:val="22"/>
          <w:lang w:val="fr-FR"/>
        </w:rPr>
        <w:t xml:space="preserve"> </w:t>
      </w:r>
      <w:r w:rsidR="009F5D43" w:rsidRPr="009F5D43">
        <w:rPr>
          <w:sz w:val="22"/>
          <w:szCs w:val="22"/>
          <w:lang w:val="fr-FR"/>
        </w:rPr>
        <w:t xml:space="preserve">sur </w:t>
      </w:r>
      <w:r w:rsidR="001A18F7" w:rsidRPr="009F5D43">
        <w:rPr>
          <w:sz w:val="22"/>
          <w:szCs w:val="22"/>
          <w:lang w:val="fr-FR"/>
        </w:rPr>
        <w:t xml:space="preserve">un déclin soutenu à un taux </w:t>
      </w:r>
      <w:r w:rsidR="009F5D43" w:rsidRPr="009F5D43">
        <w:rPr>
          <w:sz w:val="22"/>
          <w:szCs w:val="22"/>
          <w:lang w:val="fr-FR"/>
        </w:rPr>
        <w:t xml:space="preserve">annuel </w:t>
      </w:r>
      <w:r w:rsidR="001A18F7" w:rsidRPr="009F5D43">
        <w:rPr>
          <w:sz w:val="22"/>
          <w:szCs w:val="22"/>
          <w:lang w:val="fr-FR"/>
        </w:rPr>
        <w:t>qui produirait</w:t>
      </w:r>
      <w:r w:rsidR="009F5D43" w:rsidRPr="009F5D43">
        <w:rPr>
          <w:sz w:val="22"/>
          <w:szCs w:val="22"/>
          <w:lang w:val="fr-FR"/>
        </w:rPr>
        <w:t xml:space="preserve"> un déclin de</w:t>
      </w:r>
      <w:r w:rsidR="001A18F7" w:rsidRPr="009F5D43">
        <w:rPr>
          <w:sz w:val="22"/>
          <w:szCs w:val="22"/>
          <w:lang w:val="fr-FR"/>
        </w:rPr>
        <w:t xml:space="preserve"> </w:t>
      </w:r>
      <w:r w:rsidR="001A18F7" w:rsidRPr="009F5D43">
        <w:rPr>
          <w:sz w:val="22"/>
          <w:szCs w:val="22"/>
          <w:u w:val="single"/>
          <w:lang w:val="fr-FR"/>
        </w:rPr>
        <w:t xml:space="preserve">10 </w:t>
      </w:r>
      <w:r w:rsidR="001A18F7" w:rsidRPr="009F5D43">
        <w:rPr>
          <w:sz w:val="22"/>
          <w:szCs w:val="22"/>
          <w:lang w:val="fr-FR"/>
        </w:rPr>
        <w:t>% sur trois générations.</w:t>
      </w:r>
    </w:p>
    <w:p w14:paraId="55FAF548" w14:textId="77777777" w:rsidR="00CD0925" w:rsidRPr="00DC4618" w:rsidRDefault="00CD0925" w:rsidP="00CD0925">
      <w:pPr>
        <w:autoSpaceDE w:val="0"/>
        <w:autoSpaceDN w:val="0"/>
        <w:adjustRightInd w:val="0"/>
        <w:spacing w:line="276" w:lineRule="auto"/>
        <w:jc w:val="both"/>
        <w:rPr>
          <w:sz w:val="16"/>
          <w:szCs w:val="16"/>
          <w:lang w:val="fr-FR"/>
        </w:rPr>
      </w:pPr>
    </w:p>
    <w:p w14:paraId="17A0BB8D" w14:textId="42C3BC83" w:rsidR="00CD0925" w:rsidRPr="00DC4618" w:rsidRDefault="001A18F7" w:rsidP="009F5D43">
      <w:pPr>
        <w:numPr>
          <w:ilvl w:val="0"/>
          <w:numId w:val="19"/>
        </w:numPr>
        <w:autoSpaceDE w:val="0"/>
        <w:autoSpaceDN w:val="0"/>
        <w:adjustRightInd w:val="0"/>
        <w:spacing w:line="280" w:lineRule="auto"/>
        <w:jc w:val="both"/>
        <w:rPr>
          <w:sz w:val="22"/>
          <w:szCs w:val="22"/>
          <w:u w:val="single"/>
          <w:lang w:val="fr-FR"/>
        </w:rPr>
      </w:pPr>
      <w:r w:rsidRPr="009F5D43">
        <w:rPr>
          <w:sz w:val="22"/>
          <w:szCs w:val="22"/>
          <w:u w:val="single"/>
          <w:lang w:val="fr-FR"/>
        </w:rPr>
        <w:t>La population doit être classée comme présentant un déclin rapide à court terme si le taux de changement de la population à court terme (c’est-à-dire 10 ans) est équivalent à 30</w:t>
      </w:r>
      <w:r w:rsidR="009F5D43" w:rsidRPr="009F5D43">
        <w:rPr>
          <w:sz w:val="22"/>
          <w:szCs w:val="22"/>
          <w:u w:val="single"/>
          <w:lang w:val="fr-FR"/>
        </w:rPr>
        <w:t xml:space="preserve"> </w:t>
      </w:r>
      <w:r w:rsidRPr="009F5D43">
        <w:rPr>
          <w:sz w:val="22"/>
          <w:szCs w:val="22"/>
          <w:u w:val="single"/>
          <w:lang w:val="fr-FR"/>
        </w:rPr>
        <w:t>% sur une période de 3 générations.</w:t>
      </w:r>
      <w:r w:rsidR="00CD0925" w:rsidRPr="00DC4618">
        <w:rPr>
          <w:sz w:val="22"/>
          <w:szCs w:val="22"/>
          <w:u w:val="single"/>
          <w:lang w:val="fr-FR"/>
        </w:rPr>
        <w:t xml:space="preserve"> </w:t>
      </w:r>
    </w:p>
    <w:p w14:paraId="0C47D563" w14:textId="77777777" w:rsidR="00CD0925" w:rsidRPr="00DC4618" w:rsidRDefault="00CD0925" w:rsidP="00CD0925">
      <w:pPr>
        <w:autoSpaceDE w:val="0"/>
        <w:autoSpaceDN w:val="0"/>
        <w:adjustRightInd w:val="0"/>
        <w:spacing w:line="276" w:lineRule="auto"/>
        <w:ind w:left="360"/>
        <w:jc w:val="both"/>
        <w:rPr>
          <w:sz w:val="16"/>
          <w:szCs w:val="16"/>
          <w:lang w:val="fr-FR"/>
        </w:rPr>
      </w:pPr>
    </w:p>
    <w:p w14:paraId="3AD1DD2E" w14:textId="263E4343" w:rsidR="00CD0925" w:rsidRPr="00DC4618" w:rsidRDefault="001A18F7" w:rsidP="009F5D43">
      <w:pPr>
        <w:numPr>
          <w:ilvl w:val="0"/>
          <w:numId w:val="19"/>
        </w:numPr>
        <w:autoSpaceDE w:val="0"/>
        <w:autoSpaceDN w:val="0"/>
        <w:adjustRightInd w:val="0"/>
        <w:spacing w:line="280" w:lineRule="auto"/>
        <w:jc w:val="both"/>
        <w:rPr>
          <w:sz w:val="22"/>
          <w:szCs w:val="22"/>
          <w:lang w:val="fr-FR"/>
        </w:rPr>
      </w:pPr>
      <w:r w:rsidRPr="009F5D43">
        <w:rPr>
          <w:sz w:val="22"/>
          <w:szCs w:val="22"/>
          <w:lang w:val="fr-FR"/>
        </w:rPr>
        <w:t xml:space="preserve">La délimitation des taux de déclin résultant de fluctuations naturelles doit être basée sur les meilleures connaissances d’experts, </w:t>
      </w:r>
      <w:r w:rsidR="0007496B">
        <w:rPr>
          <w:sz w:val="22"/>
          <w:szCs w:val="22"/>
          <w:lang w:val="fr-FR"/>
        </w:rPr>
        <w:t>y compris</w:t>
      </w:r>
      <w:r w:rsidRPr="009F5D43">
        <w:rPr>
          <w:sz w:val="22"/>
          <w:szCs w:val="22"/>
          <w:lang w:val="fr-FR"/>
        </w:rPr>
        <w:t xml:space="preserve"> des informations sur la disponibilité d’habita</w:t>
      </w:r>
      <w:r w:rsidR="0007496B">
        <w:rPr>
          <w:sz w:val="22"/>
          <w:szCs w:val="22"/>
          <w:lang w:val="fr-FR"/>
        </w:rPr>
        <w:t>t</w:t>
      </w:r>
      <w:r w:rsidRPr="009F5D43">
        <w:rPr>
          <w:sz w:val="22"/>
          <w:szCs w:val="22"/>
          <w:lang w:val="fr-FR"/>
        </w:rPr>
        <w:t>s adéquats.</w:t>
      </w:r>
      <w:r w:rsidR="00CD0925" w:rsidRPr="00DC4618">
        <w:rPr>
          <w:sz w:val="22"/>
          <w:szCs w:val="22"/>
          <w:lang w:val="fr-FR"/>
        </w:rPr>
        <w:t xml:space="preserve"> </w:t>
      </w:r>
    </w:p>
    <w:p w14:paraId="201EF99E" w14:textId="77777777" w:rsidR="00CD0925" w:rsidRPr="00DC4618" w:rsidRDefault="00CD0925" w:rsidP="00CD0925">
      <w:pPr>
        <w:autoSpaceDE w:val="0"/>
        <w:autoSpaceDN w:val="0"/>
        <w:adjustRightInd w:val="0"/>
        <w:spacing w:line="276" w:lineRule="auto"/>
        <w:jc w:val="both"/>
        <w:rPr>
          <w:sz w:val="16"/>
          <w:szCs w:val="16"/>
          <w:lang w:val="fr-FR"/>
        </w:rPr>
      </w:pPr>
    </w:p>
    <w:p w14:paraId="5F5AD5F3" w14:textId="258990B7" w:rsidR="00CD0925" w:rsidRPr="00DC4618" w:rsidRDefault="00CD0925" w:rsidP="009F5D43">
      <w:pPr>
        <w:autoSpaceDE w:val="0"/>
        <w:autoSpaceDN w:val="0"/>
        <w:adjustRightInd w:val="0"/>
        <w:spacing w:line="280" w:lineRule="auto"/>
        <w:ind w:left="720" w:hanging="360"/>
        <w:jc w:val="both"/>
        <w:rPr>
          <w:sz w:val="22"/>
          <w:szCs w:val="22"/>
          <w:lang w:val="fr-FR"/>
        </w:rPr>
      </w:pPr>
      <w:r w:rsidRPr="00DC4618">
        <w:rPr>
          <w:sz w:val="22"/>
          <w:szCs w:val="22"/>
          <w:lang w:val="fr-FR"/>
        </w:rPr>
        <w:t>6.</w:t>
      </w:r>
      <w:r w:rsidRPr="00DC4618">
        <w:rPr>
          <w:sz w:val="22"/>
          <w:szCs w:val="22"/>
          <w:lang w:val="fr-FR"/>
        </w:rPr>
        <w:tab/>
      </w:r>
      <w:r w:rsidR="006A6481" w:rsidRPr="009F5D43">
        <w:rPr>
          <w:sz w:val="22"/>
          <w:szCs w:val="22"/>
          <w:lang w:val="fr-FR"/>
        </w:rPr>
        <w:t xml:space="preserve">Le plus grand soin doit être apporté </w:t>
      </w:r>
      <w:r w:rsidR="00A3316A">
        <w:rPr>
          <w:sz w:val="22"/>
          <w:szCs w:val="22"/>
          <w:lang w:val="fr-FR"/>
        </w:rPr>
        <w:t>à ne pas</w:t>
      </w:r>
      <w:r w:rsidR="009F5D43" w:rsidRPr="009F5D43">
        <w:rPr>
          <w:sz w:val="22"/>
          <w:szCs w:val="22"/>
          <w:lang w:val="fr-FR"/>
        </w:rPr>
        <w:t xml:space="preserve"> appliquer cette définition </w:t>
      </w:r>
      <w:r w:rsidR="00A3316A">
        <w:rPr>
          <w:sz w:val="22"/>
          <w:szCs w:val="22"/>
          <w:lang w:val="fr-FR"/>
        </w:rPr>
        <w:t xml:space="preserve">sans discernement </w:t>
      </w:r>
      <w:r w:rsidR="009F5D43" w:rsidRPr="009F5D43">
        <w:rPr>
          <w:sz w:val="22"/>
          <w:szCs w:val="22"/>
          <w:lang w:val="fr-FR"/>
        </w:rPr>
        <w:t xml:space="preserve">à des données de </w:t>
      </w:r>
      <w:r w:rsidR="001A24BC">
        <w:rPr>
          <w:sz w:val="22"/>
          <w:szCs w:val="22"/>
          <w:lang w:val="fr-FR"/>
        </w:rPr>
        <w:t>suivi</w:t>
      </w:r>
      <w:r w:rsidR="001A18F7" w:rsidRPr="009F5D43">
        <w:rPr>
          <w:sz w:val="22"/>
          <w:szCs w:val="22"/>
          <w:lang w:val="fr-FR"/>
        </w:rPr>
        <w:t>.</w:t>
      </w:r>
      <w:r w:rsidRPr="00DC4618">
        <w:rPr>
          <w:sz w:val="22"/>
          <w:szCs w:val="22"/>
          <w:lang w:val="fr-FR"/>
        </w:rPr>
        <w:t xml:space="preserve"> </w:t>
      </w:r>
      <w:r w:rsidR="006A6481" w:rsidRPr="009F5D43">
        <w:rPr>
          <w:sz w:val="22"/>
          <w:szCs w:val="22"/>
          <w:lang w:val="fr-FR"/>
        </w:rPr>
        <w:t xml:space="preserve">Dans certains cas, un changement de l’aire de répartition </w:t>
      </w:r>
      <w:bookmarkStart w:id="2" w:name="_GoBack"/>
      <w:bookmarkEnd w:id="2"/>
      <w:r w:rsidR="006A6481" w:rsidRPr="009F5D43">
        <w:rPr>
          <w:sz w:val="22"/>
          <w:szCs w:val="22"/>
          <w:lang w:val="fr-FR"/>
        </w:rPr>
        <w:t xml:space="preserve">ou de la distribution d’une population </w:t>
      </w:r>
      <w:r w:rsidR="00A3316A">
        <w:rPr>
          <w:sz w:val="22"/>
          <w:szCs w:val="22"/>
          <w:lang w:val="fr-FR"/>
        </w:rPr>
        <w:t xml:space="preserve">pourra </w:t>
      </w:r>
      <w:r w:rsidR="006A6481" w:rsidRPr="009F5D43">
        <w:rPr>
          <w:sz w:val="22"/>
          <w:szCs w:val="22"/>
          <w:lang w:val="fr-FR"/>
        </w:rPr>
        <w:t xml:space="preserve">résulter dans une baisse des effectifs comptés, du fait qu’une plus grande proportion de la population sera présente dans des zones moins </w:t>
      </w:r>
      <w:r w:rsidR="001A24BC">
        <w:rPr>
          <w:sz w:val="22"/>
          <w:szCs w:val="22"/>
          <w:lang w:val="fr-FR"/>
        </w:rPr>
        <w:t>suivies</w:t>
      </w:r>
      <w:r w:rsidR="006A6481" w:rsidRPr="009F5D43">
        <w:rPr>
          <w:sz w:val="22"/>
          <w:szCs w:val="22"/>
          <w:lang w:val="fr-FR"/>
        </w:rPr>
        <w:t>.</w:t>
      </w:r>
      <w:r w:rsidRPr="00DC4618">
        <w:rPr>
          <w:sz w:val="22"/>
          <w:szCs w:val="22"/>
          <w:lang w:val="fr-FR"/>
        </w:rPr>
        <w:t xml:space="preserve"> </w:t>
      </w:r>
      <w:r w:rsidR="006A6481" w:rsidRPr="009F5D43">
        <w:rPr>
          <w:sz w:val="22"/>
          <w:szCs w:val="22"/>
          <w:lang w:val="fr-FR"/>
        </w:rPr>
        <w:t>Des seuils plus bas peuvent être appropriés pour les aires de répartition en baisse lorsqu’elles s</w:t>
      </w:r>
      <w:r w:rsidR="009F5D43" w:rsidRPr="009F5D43">
        <w:rPr>
          <w:sz w:val="22"/>
          <w:szCs w:val="22"/>
          <w:lang w:val="fr-FR"/>
        </w:rPr>
        <w:t>’</w:t>
      </w:r>
      <w:r w:rsidR="006A6481" w:rsidRPr="009F5D43">
        <w:rPr>
          <w:sz w:val="22"/>
          <w:szCs w:val="22"/>
          <w:lang w:val="fr-FR"/>
        </w:rPr>
        <w:t>accompagn</w:t>
      </w:r>
      <w:r w:rsidR="009F5D43" w:rsidRPr="009F5D43">
        <w:rPr>
          <w:sz w:val="22"/>
          <w:szCs w:val="22"/>
          <w:lang w:val="fr-FR"/>
        </w:rPr>
        <w:t>ent</w:t>
      </w:r>
      <w:r w:rsidR="006A6481" w:rsidRPr="009F5D43">
        <w:rPr>
          <w:sz w:val="22"/>
          <w:szCs w:val="22"/>
          <w:lang w:val="fr-FR"/>
        </w:rPr>
        <w:t xml:space="preserve"> d</w:t>
      </w:r>
      <w:r w:rsidR="00A3316A">
        <w:rPr>
          <w:sz w:val="22"/>
          <w:szCs w:val="22"/>
          <w:lang w:val="fr-FR"/>
        </w:rPr>
        <w:t>’un</w:t>
      </w:r>
      <w:r w:rsidR="006A6481" w:rsidRPr="009F5D43">
        <w:rPr>
          <w:sz w:val="22"/>
          <w:szCs w:val="22"/>
          <w:lang w:val="fr-FR"/>
        </w:rPr>
        <w:t>e baisse des effectifs d’une population.</w:t>
      </w:r>
      <w:r w:rsidRPr="00DC4618">
        <w:rPr>
          <w:sz w:val="22"/>
          <w:szCs w:val="22"/>
          <w:lang w:val="fr-FR"/>
        </w:rPr>
        <w:t xml:space="preserve"> </w:t>
      </w:r>
      <w:r w:rsidR="00A3316A" w:rsidRPr="00DC4618">
        <w:rPr>
          <w:sz w:val="22"/>
          <w:szCs w:val="22"/>
          <w:lang w:val="fr-FR"/>
        </w:rPr>
        <w:t>L</w:t>
      </w:r>
      <w:r w:rsidR="006A6481" w:rsidRPr="009F5D43">
        <w:rPr>
          <w:sz w:val="22"/>
          <w:szCs w:val="22"/>
          <w:lang w:val="fr-FR"/>
        </w:rPr>
        <w:t>es données brutes de comptage nécessitent toujours l’interprétation d’experts.</w:t>
      </w:r>
    </w:p>
    <w:p w14:paraId="3ACEA3EB" w14:textId="77777777" w:rsidR="00CD0925" w:rsidRPr="00DC4618" w:rsidRDefault="00CD0925" w:rsidP="00CD0925">
      <w:pPr>
        <w:autoSpaceDE w:val="0"/>
        <w:autoSpaceDN w:val="0"/>
        <w:adjustRightInd w:val="0"/>
        <w:spacing w:line="276" w:lineRule="auto"/>
        <w:jc w:val="both"/>
        <w:rPr>
          <w:sz w:val="16"/>
          <w:szCs w:val="16"/>
          <w:lang w:val="fr-FR"/>
        </w:rPr>
      </w:pPr>
    </w:p>
    <w:p w14:paraId="247343A4" w14:textId="5732EDD9" w:rsidR="00CD0925" w:rsidRPr="00DC4618" w:rsidRDefault="00CD0925" w:rsidP="009F5D43">
      <w:pPr>
        <w:autoSpaceDE w:val="0"/>
        <w:autoSpaceDN w:val="0"/>
        <w:adjustRightInd w:val="0"/>
        <w:spacing w:line="280" w:lineRule="auto"/>
        <w:ind w:left="720" w:hanging="360"/>
        <w:jc w:val="both"/>
        <w:rPr>
          <w:sz w:val="22"/>
          <w:szCs w:val="22"/>
          <w:lang w:val="fr-FR"/>
        </w:rPr>
      </w:pPr>
      <w:r w:rsidRPr="00DC4618">
        <w:rPr>
          <w:sz w:val="22"/>
          <w:szCs w:val="22"/>
          <w:lang w:val="fr-FR"/>
        </w:rPr>
        <w:t>7.</w:t>
      </w:r>
      <w:r w:rsidRPr="00DC4618">
        <w:rPr>
          <w:sz w:val="22"/>
          <w:szCs w:val="22"/>
          <w:lang w:val="fr-FR"/>
        </w:rPr>
        <w:tab/>
      </w:r>
      <w:r w:rsidR="006A6481" w:rsidRPr="009F5D43">
        <w:rPr>
          <w:sz w:val="22"/>
          <w:szCs w:val="22"/>
          <w:lang w:val="fr-FR"/>
        </w:rPr>
        <w:t>La moyenne géométrique</w:t>
      </w:r>
      <w:r w:rsidR="00DF7318">
        <w:rPr>
          <w:sz w:val="22"/>
          <w:szCs w:val="22"/>
          <w:lang w:val="fr-FR"/>
        </w:rPr>
        <w:t xml:space="preserve"> des catégories de taille </w:t>
      </w:r>
      <w:r w:rsidR="006A6481" w:rsidRPr="009F5D43">
        <w:rPr>
          <w:sz w:val="22"/>
          <w:szCs w:val="22"/>
          <w:lang w:val="fr-FR"/>
        </w:rPr>
        <w:t>doit généralement être prise comme base de calcul de la tendance d’une population.</w:t>
      </w:r>
      <w:r w:rsidRPr="00DC4618">
        <w:rPr>
          <w:sz w:val="22"/>
          <w:szCs w:val="22"/>
          <w:lang w:val="fr-FR"/>
        </w:rPr>
        <w:t xml:space="preserve"> </w:t>
      </w:r>
      <w:r w:rsidR="006A6481" w:rsidRPr="009F5D43">
        <w:rPr>
          <w:sz w:val="22"/>
          <w:szCs w:val="22"/>
          <w:lang w:val="fr-FR"/>
        </w:rPr>
        <w:t xml:space="preserve">Selon les définitions des critères de la Liste rouge de l’UICN, la longueur des générations </w:t>
      </w:r>
      <w:r w:rsidR="006A6481" w:rsidRPr="009F5D43">
        <w:rPr>
          <w:sz w:val="22"/>
          <w:szCs w:val="22"/>
          <w:u w:val="single"/>
          <w:lang w:val="fr-FR"/>
        </w:rPr>
        <w:t>est</w:t>
      </w:r>
      <w:r w:rsidR="001A24BC">
        <w:rPr>
          <w:sz w:val="22"/>
          <w:szCs w:val="22"/>
          <w:u w:val="single"/>
          <w:lang w:val="fr-FR"/>
        </w:rPr>
        <w:t xml:space="preserve"> l’âge moyen des parents de la cohorte</w:t>
      </w:r>
      <w:r w:rsidR="006A6481" w:rsidRPr="009F5D43">
        <w:rPr>
          <w:sz w:val="22"/>
          <w:szCs w:val="22"/>
          <w:u w:val="single"/>
          <w:lang w:val="fr-FR"/>
        </w:rPr>
        <w:t xml:space="preserve"> actuelle (</w:t>
      </w:r>
      <w:r w:rsidR="00931B71" w:rsidRPr="009F5D43">
        <w:rPr>
          <w:sz w:val="22"/>
          <w:szCs w:val="22"/>
          <w:u w:val="single"/>
          <w:lang w:val="fr-FR"/>
        </w:rPr>
        <w:t>c’est-à-dire des nouveaux nés de la</w:t>
      </w:r>
      <w:r w:rsidR="006A6481" w:rsidRPr="009F5D43">
        <w:rPr>
          <w:sz w:val="22"/>
          <w:szCs w:val="22"/>
          <w:u w:val="single"/>
          <w:lang w:val="fr-FR"/>
        </w:rPr>
        <w:t xml:space="preserve"> population)</w:t>
      </w:r>
      <w:r w:rsidR="006A6481" w:rsidRPr="009F5D43">
        <w:rPr>
          <w:sz w:val="22"/>
          <w:szCs w:val="22"/>
          <w:lang w:val="fr-FR"/>
        </w:rPr>
        <w:t>.</w:t>
      </w:r>
      <w:r w:rsidRPr="00DC4618">
        <w:rPr>
          <w:sz w:val="22"/>
          <w:szCs w:val="22"/>
          <w:lang w:val="fr-FR"/>
        </w:rPr>
        <w:t xml:space="preserve"> </w:t>
      </w:r>
      <w:r w:rsidR="00931B71" w:rsidRPr="009F5D43">
        <w:rPr>
          <w:sz w:val="22"/>
          <w:szCs w:val="22"/>
          <w:lang w:val="fr-FR"/>
        </w:rPr>
        <w:t>Chaque déclin significatif à long terme révélé par les calculs susmentionnés sera examiné, analysé et approuvé par le Comité technique.</w:t>
      </w:r>
    </w:p>
    <w:p w14:paraId="74F6B92D" w14:textId="77777777" w:rsidR="00CD0925" w:rsidRPr="00DC4618" w:rsidRDefault="00CD0925" w:rsidP="00CD0925">
      <w:pPr>
        <w:autoSpaceDE w:val="0"/>
        <w:autoSpaceDN w:val="0"/>
        <w:adjustRightInd w:val="0"/>
        <w:spacing w:line="276" w:lineRule="auto"/>
        <w:jc w:val="both"/>
        <w:rPr>
          <w:sz w:val="16"/>
          <w:szCs w:val="16"/>
          <w:lang w:val="fr-FR"/>
        </w:rPr>
      </w:pPr>
    </w:p>
    <w:p w14:paraId="5CC33EB6" w14:textId="7472708E" w:rsidR="00E14E9C" w:rsidRPr="00DC4618" w:rsidRDefault="00CD0925" w:rsidP="00F74ADF">
      <w:pPr>
        <w:autoSpaceDE w:val="0"/>
        <w:autoSpaceDN w:val="0"/>
        <w:adjustRightInd w:val="0"/>
        <w:spacing w:line="280" w:lineRule="auto"/>
        <w:ind w:left="720" w:hanging="360"/>
        <w:jc w:val="both"/>
        <w:rPr>
          <w:lang w:val="fr-FR"/>
        </w:rPr>
      </w:pPr>
      <w:r w:rsidRPr="00DC4618">
        <w:rPr>
          <w:sz w:val="22"/>
          <w:szCs w:val="22"/>
          <w:lang w:val="fr-FR"/>
        </w:rPr>
        <w:lastRenderedPageBreak/>
        <w:t xml:space="preserve">8. </w:t>
      </w:r>
      <w:r w:rsidRPr="00DC4618">
        <w:rPr>
          <w:sz w:val="22"/>
          <w:szCs w:val="22"/>
          <w:lang w:val="fr-FR"/>
        </w:rPr>
        <w:tab/>
      </w:r>
      <w:r w:rsidR="00931B71" w:rsidRPr="009F5D43">
        <w:rPr>
          <w:sz w:val="22"/>
          <w:szCs w:val="22"/>
          <w:lang w:val="fr-FR"/>
        </w:rPr>
        <w:t>Lorsque l’on sait que la taille d’une population est réduite (&lt;100</w:t>
      </w:r>
      <w:r w:rsidR="00DF7318">
        <w:rPr>
          <w:sz w:val="22"/>
          <w:szCs w:val="22"/>
          <w:lang w:val="fr-FR"/>
        </w:rPr>
        <w:t xml:space="preserve"> </w:t>
      </w:r>
      <w:r w:rsidR="00931B71" w:rsidRPr="009F5D43">
        <w:rPr>
          <w:sz w:val="22"/>
          <w:szCs w:val="22"/>
          <w:lang w:val="fr-FR"/>
        </w:rPr>
        <w:t>000), le jugement d’experts sur l’état des tendances doit être demandé par mesure de précaution.</w:t>
      </w:r>
      <w:r w:rsidRPr="00DC4618">
        <w:rPr>
          <w:sz w:val="22"/>
          <w:szCs w:val="22"/>
          <w:lang w:val="fr-FR"/>
        </w:rPr>
        <w:t xml:space="preserve"> </w:t>
      </w:r>
      <w:r w:rsidR="00931B71" w:rsidRPr="00F74ADF">
        <w:rPr>
          <w:sz w:val="22"/>
          <w:szCs w:val="22"/>
          <w:lang w:val="fr-FR"/>
        </w:rPr>
        <w:t>Ceci est particulièrement important compte tenu des découvertes récentes sur la faible variation génétique d</w:t>
      </w:r>
      <w:r w:rsidR="009F5D43" w:rsidRPr="00F74ADF">
        <w:rPr>
          <w:sz w:val="22"/>
          <w:szCs w:val="22"/>
          <w:lang w:val="fr-FR"/>
        </w:rPr>
        <w:t>’un certain nombre de</w:t>
      </w:r>
      <w:r w:rsidR="00931B71" w:rsidRPr="00F74ADF">
        <w:rPr>
          <w:sz w:val="22"/>
          <w:szCs w:val="22"/>
          <w:lang w:val="fr-FR"/>
        </w:rPr>
        <w:t xml:space="preserve"> populations d’oiseaux d’eau </w:t>
      </w:r>
      <w:r w:rsidR="00423D04" w:rsidRPr="00F74ADF">
        <w:rPr>
          <w:sz w:val="22"/>
          <w:szCs w:val="22"/>
          <w:lang w:val="fr-FR"/>
        </w:rPr>
        <w:t>–</w:t>
      </w:r>
      <w:r w:rsidR="00931B71" w:rsidRPr="00F74ADF">
        <w:rPr>
          <w:sz w:val="22"/>
          <w:szCs w:val="22"/>
          <w:lang w:val="fr-FR"/>
        </w:rPr>
        <w:t xml:space="preserve"> </w:t>
      </w:r>
      <w:r w:rsidR="00423D04" w:rsidRPr="00F74ADF">
        <w:rPr>
          <w:sz w:val="22"/>
          <w:szCs w:val="22"/>
          <w:lang w:val="fr-FR"/>
        </w:rPr>
        <w:t xml:space="preserve">la conséquence étant que la taille effective de la </w:t>
      </w:r>
      <w:r w:rsidR="00931B71" w:rsidRPr="00F74ADF">
        <w:rPr>
          <w:sz w:val="22"/>
          <w:szCs w:val="22"/>
          <w:lang w:val="fr-FR"/>
        </w:rPr>
        <w:t xml:space="preserve">population </w:t>
      </w:r>
      <w:r w:rsidR="00423D04" w:rsidRPr="00F74ADF">
        <w:rPr>
          <w:sz w:val="22"/>
          <w:szCs w:val="22"/>
          <w:lang w:val="fr-FR"/>
        </w:rPr>
        <w:t>est</w:t>
      </w:r>
      <w:r w:rsidR="00931B71" w:rsidRPr="00F74ADF">
        <w:rPr>
          <w:sz w:val="22"/>
          <w:szCs w:val="22"/>
          <w:lang w:val="fr-FR"/>
        </w:rPr>
        <w:t xml:space="preserve"> </w:t>
      </w:r>
      <w:r w:rsidR="00423D04" w:rsidRPr="00F74ADF">
        <w:rPr>
          <w:sz w:val="22"/>
          <w:szCs w:val="22"/>
          <w:lang w:val="fr-FR"/>
        </w:rPr>
        <w:t xml:space="preserve">beaucoup plus </w:t>
      </w:r>
      <w:r w:rsidR="00F74ADF" w:rsidRPr="00F74ADF">
        <w:rPr>
          <w:sz w:val="22"/>
          <w:szCs w:val="22"/>
          <w:lang w:val="fr-FR"/>
        </w:rPr>
        <w:t xml:space="preserve">petite </w:t>
      </w:r>
      <w:r w:rsidR="00931B71" w:rsidRPr="00F74ADF">
        <w:rPr>
          <w:sz w:val="22"/>
          <w:szCs w:val="22"/>
          <w:lang w:val="fr-FR"/>
        </w:rPr>
        <w:t>(</w:t>
      </w:r>
      <w:r w:rsidR="00423D04" w:rsidRPr="00F74ADF">
        <w:rPr>
          <w:sz w:val="22"/>
          <w:szCs w:val="22"/>
          <w:lang w:val="fr-FR"/>
        </w:rPr>
        <w:t>éventuellement</w:t>
      </w:r>
      <w:r w:rsidR="00A3316A">
        <w:rPr>
          <w:sz w:val="22"/>
          <w:szCs w:val="22"/>
          <w:lang w:val="fr-FR"/>
        </w:rPr>
        <w:t xml:space="preserve"> de</w:t>
      </w:r>
      <w:r w:rsidR="00931B71" w:rsidRPr="00F74ADF">
        <w:rPr>
          <w:sz w:val="22"/>
          <w:szCs w:val="22"/>
          <w:lang w:val="fr-FR"/>
        </w:rPr>
        <w:t xml:space="preserve"> 10</w:t>
      </w:r>
      <w:r w:rsidR="00A3316A">
        <w:rPr>
          <w:sz w:val="22"/>
          <w:szCs w:val="22"/>
          <w:lang w:val="fr-FR"/>
        </w:rPr>
        <w:t xml:space="preserve"> fois</w:t>
      </w:r>
      <w:r w:rsidR="00931B71" w:rsidRPr="00F74ADF">
        <w:rPr>
          <w:sz w:val="22"/>
          <w:szCs w:val="22"/>
          <w:lang w:val="fr-FR"/>
        </w:rPr>
        <w:t>)</w:t>
      </w:r>
      <w:r w:rsidR="00423D04" w:rsidRPr="00F74ADF">
        <w:rPr>
          <w:sz w:val="22"/>
          <w:szCs w:val="22"/>
          <w:lang w:val="fr-FR"/>
        </w:rPr>
        <w:t xml:space="preserve"> que la taille de la population observée</w:t>
      </w:r>
      <w:r w:rsidR="00931B71" w:rsidRPr="00F74ADF">
        <w:rPr>
          <w:sz w:val="22"/>
          <w:szCs w:val="22"/>
          <w:lang w:val="fr-FR"/>
        </w:rPr>
        <w:t>.</w:t>
      </w:r>
      <w:r w:rsidRPr="00DC4618">
        <w:rPr>
          <w:sz w:val="22"/>
          <w:szCs w:val="22"/>
          <w:lang w:val="fr-FR"/>
        </w:rPr>
        <w:t xml:space="preserve"> </w:t>
      </w:r>
      <w:r w:rsidR="00423D04" w:rsidRPr="00F74ADF">
        <w:rPr>
          <w:sz w:val="22"/>
          <w:szCs w:val="22"/>
          <w:lang w:val="fr-FR"/>
        </w:rPr>
        <w:t xml:space="preserve">Dans ces cas, une population peut devenir non viable à long terme (en raison de la vulnérabilité aux événements environnementaux changeants) </w:t>
      </w:r>
      <w:r w:rsidR="00A3316A">
        <w:rPr>
          <w:sz w:val="22"/>
          <w:szCs w:val="22"/>
          <w:lang w:val="fr-FR"/>
        </w:rPr>
        <w:t>pour</w:t>
      </w:r>
      <w:r w:rsidR="00F74ADF" w:rsidRPr="00F74ADF">
        <w:rPr>
          <w:sz w:val="22"/>
          <w:szCs w:val="22"/>
          <w:lang w:val="fr-FR"/>
        </w:rPr>
        <w:t xml:space="preserve"> une</w:t>
      </w:r>
      <w:r w:rsidR="00423D04" w:rsidRPr="00F74ADF">
        <w:rPr>
          <w:sz w:val="22"/>
          <w:szCs w:val="22"/>
          <w:lang w:val="fr-FR"/>
        </w:rPr>
        <w:t xml:space="preserve"> taille de</w:t>
      </w:r>
      <w:r w:rsidR="00F74ADF" w:rsidRPr="00F74ADF">
        <w:rPr>
          <w:sz w:val="22"/>
          <w:szCs w:val="22"/>
          <w:lang w:val="fr-FR"/>
        </w:rPr>
        <w:t xml:space="preserve"> </w:t>
      </w:r>
      <w:r w:rsidR="00423D04" w:rsidRPr="00F74ADF">
        <w:rPr>
          <w:sz w:val="22"/>
          <w:szCs w:val="22"/>
          <w:lang w:val="fr-FR"/>
        </w:rPr>
        <w:t xml:space="preserve">population plus </w:t>
      </w:r>
      <w:r w:rsidR="00F74ADF" w:rsidRPr="00F74ADF">
        <w:rPr>
          <w:sz w:val="22"/>
          <w:szCs w:val="22"/>
          <w:lang w:val="fr-FR"/>
        </w:rPr>
        <w:t>élevée</w:t>
      </w:r>
      <w:r w:rsidR="00423D04" w:rsidRPr="00F74ADF">
        <w:rPr>
          <w:sz w:val="22"/>
          <w:szCs w:val="22"/>
          <w:lang w:val="fr-FR"/>
        </w:rPr>
        <w:t xml:space="preserve"> qu’on ne </w:t>
      </w:r>
      <w:r w:rsidR="00F74ADF" w:rsidRPr="00F74ADF">
        <w:rPr>
          <w:sz w:val="22"/>
          <w:szCs w:val="22"/>
          <w:lang w:val="fr-FR"/>
        </w:rPr>
        <w:t xml:space="preserve">le </w:t>
      </w:r>
      <w:r w:rsidR="00423D04" w:rsidRPr="00F74ADF">
        <w:rPr>
          <w:sz w:val="22"/>
          <w:szCs w:val="22"/>
          <w:lang w:val="fr-FR"/>
        </w:rPr>
        <w:t xml:space="preserve">pensait </w:t>
      </w:r>
      <w:r w:rsidR="00F74ADF" w:rsidRPr="00F74ADF">
        <w:rPr>
          <w:sz w:val="22"/>
          <w:szCs w:val="22"/>
          <w:lang w:val="fr-FR"/>
        </w:rPr>
        <w:t>auparavant</w:t>
      </w:r>
      <w:r w:rsidR="00423D04" w:rsidRPr="00F74ADF">
        <w:rPr>
          <w:sz w:val="22"/>
          <w:szCs w:val="22"/>
          <w:lang w:val="fr-FR"/>
        </w:rPr>
        <w:t>.</w:t>
      </w:r>
    </w:p>
    <w:sectPr w:rsidR="00E14E9C" w:rsidRPr="00DC4618" w:rsidSect="00056A22">
      <w:footerReference w:type="default" r:id="rId9"/>
      <w:headerReference w:type="first" r:id="rId10"/>
      <w:footerReference w:type="first" r:id="rId11"/>
      <w:pgSz w:w="11907" w:h="16840" w:code="9"/>
      <w:pgMar w:top="1021" w:right="1134"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BE47" w14:textId="77777777" w:rsidR="00CA705D" w:rsidRDefault="00CA705D">
      <w:r>
        <w:separator/>
      </w:r>
    </w:p>
  </w:endnote>
  <w:endnote w:type="continuationSeparator" w:id="0">
    <w:p w14:paraId="7A6B98F9" w14:textId="77777777" w:rsidR="00CA705D" w:rsidRDefault="00CA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393B1EA7" w:rsidR="006A6481" w:rsidRPr="0005480D" w:rsidRDefault="006A6481">
        <w:pPr>
          <w:pStyle w:val="Fuzeile"/>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sidR="000F0B56">
          <w:rPr>
            <w:noProof/>
            <w:sz w:val="20"/>
            <w:szCs w:val="20"/>
          </w:rPr>
          <w:t>3</w:t>
        </w:r>
        <w:r w:rsidRPr="0005480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135678"/>
      <w:docPartObj>
        <w:docPartGallery w:val="Page Numbers (Bottom of Page)"/>
        <w:docPartUnique/>
      </w:docPartObj>
    </w:sdtPr>
    <w:sdtEndPr>
      <w:rPr>
        <w:noProof/>
        <w:sz w:val="20"/>
        <w:szCs w:val="20"/>
      </w:rPr>
    </w:sdtEndPr>
    <w:sdtContent>
      <w:p w14:paraId="08F58C12" w14:textId="6C234183" w:rsidR="006A6481" w:rsidRPr="007B77D9" w:rsidRDefault="006A6481">
        <w:pPr>
          <w:pStyle w:val="Fuzeile"/>
          <w:jc w:val="center"/>
          <w:rPr>
            <w:sz w:val="20"/>
            <w:szCs w:val="20"/>
          </w:rPr>
        </w:pPr>
        <w:r w:rsidRPr="007B77D9">
          <w:rPr>
            <w:sz w:val="20"/>
            <w:szCs w:val="20"/>
          </w:rPr>
          <w:fldChar w:fldCharType="begin"/>
        </w:r>
        <w:r w:rsidRPr="007B77D9">
          <w:rPr>
            <w:sz w:val="20"/>
            <w:szCs w:val="20"/>
          </w:rPr>
          <w:instrText xml:space="preserve"> PAGE   \* MERGEFORMAT </w:instrText>
        </w:r>
        <w:r w:rsidRPr="007B77D9">
          <w:rPr>
            <w:sz w:val="20"/>
            <w:szCs w:val="20"/>
          </w:rPr>
          <w:fldChar w:fldCharType="separate"/>
        </w:r>
        <w:r w:rsidR="000F0B56">
          <w:rPr>
            <w:noProof/>
            <w:sz w:val="20"/>
            <w:szCs w:val="20"/>
          </w:rPr>
          <w:t>2</w:t>
        </w:r>
        <w:r w:rsidRPr="007B77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7EFE" w14:textId="77777777" w:rsidR="00CA705D" w:rsidRDefault="00CA705D">
      <w:r>
        <w:separator/>
      </w:r>
    </w:p>
  </w:footnote>
  <w:footnote w:type="continuationSeparator" w:id="0">
    <w:p w14:paraId="79A67169" w14:textId="77777777" w:rsidR="00CA705D" w:rsidRDefault="00CA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566F74" w:rsidRPr="00F94759" w14:paraId="46B6B733" w14:textId="77777777" w:rsidTr="001560FC">
      <w:trPr>
        <w:trHeight w:val="1256"/>
        <w:jc w:val="center"/>
      </w:trPr>
      <w:tc>
        <w:tcPr>
          <w:tcW w:w="1985" w:type="dxa"/>
          <w:shd w:val="clear" w:color="auto" w:fill="auto"/>
          <w:tcMar>
            <w:top w:w="0" w:type="dxa"/>
            <w:left w:w="108" w:type="dxa"/>
            <w:bottom w:w="0" w:type="dxa"/>
            <w:right w:w="108" w:type="dxa"/>
          </w:tcMar>
        </w:tcPr>
        <w:p w14:paraId="1165586D" w14:textId="77777777" w:rsidR="00566F74" w:rsidRPr="00F94759" w:rsidRDefault="00566F74" w:rsidP="00566F74">
          <w:pPr>
            <w:suppressAutoHyphens/>
            <w:autoSpaceDN w:val="0"/>
            <w:textAlignment w:val="baseline"/>
          </w:pPr>
          <w:r w:rsidRPr="00F94759">
            <w:rPr>
              <w:noProof/>
            </w:rPr>
            <w:drawing>
              <wp:anchor distT="0" distB="0" distL="114300" distR="114300" simplePos="0" relativeHeight="251660288" behindDoc="1" locked="0" layoutInCell="1" allowOverlap="1" wp14:anchorId="347CBC8F" wp14:editId="305A7AD7">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77FDFA8D" w14:textId="77777777" w:rsidR="00566F74" w:rsidRPr="001A24BC" w:rsidRDefault="00566F74" w:rsidP="00566F74">
          <w:pPr>
            <w:suppressAutoHyphens/>
            <w:autoSpaceDN w:val="0"/>
            <w:ind w:left="113"/>
            <w:jc w:val="center"/>
            <w:textAlignment w:val="baseline"/>
            <w:rPr>
              <w:i/>
              <w:caps/>
              <w:sz w:val="22"/>
              <w:szCs w:val="22"/>
              <w:lang w:val="fr-FR"/>
            </w:rPr>
          </w:pPr>
          <w:r w:rsidRPr="001A24BC">
            <w:rPr>
              <w:i/>
              <w:caps/>
              <w:sz w:val="22"/>
              <w:szCs w:val="22"/>
              <w:lang w:val="fr-FR"/>
            </w:rPr>
            <w:t>Accord sur la Conservation des Oiseaux</w:t>
          </w:r>
        </w:p>
        <w:p w14:paraId="6581F2D3" w14:textId="77777777" w:rsidR="00566F74" w:rsidRPr="00F94759" w:rsidRDefault="00566F74" w:rsidP="00566F74">
          <w:pPr>
            <w:tabs>
              <w:tab w:val="left" w:pos="2415"/>
            </w:tabs>
            <w:suppressAutoHyphens/>
            <w:autoSpaceDN w:val="0"/>
            <w:ind w:left="113"/>
            <w:jc w:val="center"/>
            <w:textAlignment w:val="baseline"/>
          </w:pPr>
          <w:r w:rsidRPr="007C2B11">
            <w:rPr>
              <w:i/>
              <w:caps/>
              <w:sz w:val="22"/>
              <w:szCs w:val="22"/>
            </w:rPr>
            <w:t>d’eau migrateurs d’Afrique-Eurasie</w:t>
          </w:r>
        </w:p>
      </w:tc>
      <w:tc>
        <w:tcPr>
          <w:tcW w:w="2007" w:type="dxa"/>
          <w:shd w:val="clear" w:color="auto" w:fill="auto"/>
          <w:tcMar>
            <w:top w:w="0" w:type="dxa"/>
            <w:left w:w="108" w:type="dxa"/>
            <w:bottom w:w="0" w:type="dxa"/>
            <w:right w:w="108" w:type="dxa"/>
          </w:tcMar>
        </w:tcPr>
        <w:p w14:paraId="454D6F61" w14:textId="77777777" w:rsidR="00566F74" w:rsidRPr="00F94759" w:rsidRDefault="00566F74" w:rsidP="00566F74">
          <w:pPr>
            <w:suppressAutoHyphens/>
            <w:autoSpaceDN w:val="0"/>
            <w:jc w:val="right"/>
            <w:textAlignment w:val="baseline"/>
          </w:pPr>
          <w:r w:rsidRPr="00F94759">
            <w:rPr>
              <w:noProof/>
            </w:rPr>
            <w:drawing>
              <wp:anchor distT="0" distB="0" distL="114300" distR="114300" simplePos="0" relativeHeight="251659264" behindDoc="1" locked="0" layoutInCell="1" allowOverlap="1" wp14:anchorId="1A27491F" wp14:editId="702CFAE2">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566F74" w:rsidRPr="001A24BC" w14:paraId="29F31D09" w14:textId="77777777" w:rsidTr="001560FC">
      <w:trPr>
        <w:jc w:val="center"/>
      </w:trPr>
      <w:tc>
        <w:tcPr>
          <w:tcW w:w="9639" w:type="dxa"/>
          <w:gridSpan w:val="3"/>
          <w:shd w:val="clear" w:color="auto" w:fill="auto"/>
          <w:tcMar>
            <w:top w:w="0" w:type="dxa"/>
            <w:left w:w="108" w:type="dxa"/>
            <w:bottom w:w="0" w:type="dxa"/>
            <w:right w:w="108" w:type="dxa"/>
          </w:tcMar>
        </w:tcPr>
        <w:p w14:paraId="6A9F0CFF" w14:textId="77777777" w:rsidR="00566F74" w:rsidRPr="001A24BC" w:rsidRDefault="00566F74" w:rsidP="00566F74">
          <w:pPr>
            <w:suppressAutoHyphens/>
            <w:autoSpaceDN w:val="0"/>
            <w:ind w:left="113"/>
            <w:jc w:val="center"/>
            <w:textAlignment w:val="baseline"/>
            <w:rPr>
              <w:lang w:val="fr-FR"/>
            </w:rPr>
          </w:pPr>
          <w:r w:rsidRPr="001A24BC">
            <w:rPr>
              <w:b/>
              <w:bCs/>
              <w:sz w:val="26"/>
              <w:szCs w:val="26"/>
              <w:lang w:val="fr-FR"/>
            </w:rPr>
            <w:t>7</w:t>
          </w:r>
          <w:r w:rsidRPr="001A24BC">
            <w:rPr>
              <w:b/>
              <w:bCs/>
              <w:sz w:val="26"/>
              <w:szCs w:val="26"/>
              <w:vertAlign w:val="superscript"/>
              <w:lang w:val="fr-FR"/>
            </w:rPr>
            <w:t>ème</w:t>
          </w:r>
          <w:r w:rsidRPr="001A24BC">
            <w:rPr>
              <w:b/>
              <w:bCs/>
              <w:sz w:val="26"/>
              <w:szCs w:val="26"/>
              <w:lang w:val="fr-FR"/>
            </w:rPr>
            <w:t xml:space="preserve"> </w:t>
          </w:r>
          <w:r w:rsidRPr="001A24BC">
            <w:rPr>
              <w:b/>
              <w:bCs/>
              <w:caps/>
              <w:sz w:val="26"/>
              <w:szCs w:val="26"/>
              <w:lang w:val="fr-FR"/>
            </w:rPr>
            <w:t>Session de la réunion des Parties contractantes</w:t>
          </w:r>
        </w:p>
        <w:p w14:paraId="72C27AEF" w14:textId="77777777" w:rsidR="00566F74" w:rsidRPr="001A24BC" w:rsidRDefault="00566F74" w:rsidP="00566F74">
          <w:pPr>
            <w:suppressAutoHyphens/>
            <w:autoSpaceDN w:val="0"/>
            <w:ind w:left="113"/>
            <w:jc w:val="center"/>
            <w:textAlignment w:val="baseline"/>
            <w:rPr>
              <w:lang w:val="fr-FR"/>
            </w:rPr>
          </w:pPr>
          <w:r w:rsidRPr="001A24BC">
            <w:rPr>
              <w:i/>
              <w:iCs/>
              <w:lang w:val="fr-FR"/>
            </w:rPr>
            <w:t>4-8 décembre 2018, Durban, Afrique du Sud</w:t>
          </w:r>
        </w:p>
      </w:tc>
    </w:tr>
    <w:tr w:rsidR="00566F74" w:rsidRPr="001A24BC" w14:paraId="15D200FE" w14:textId="77777777" w:rsidTr="001560FC">
      <w:trPr>
        <w:trHeight w:val="702"/>
        <w:jc w:val="center"/>
      </w:trPr>
      <w:tc>
        <w:tcPr>
          <w:tcW w:w="9639" w:type="dxa"/>
          <w:gridSpan w:val="3"/>
          <w:shd w:val="clear" w:color="auto" w:fill="auto"/>
          <w:tcMar>
            <w:top w:w="0" w:type="dxa"/>
            <w:left w:w="108" w:type="dxa"/>
            <w:bottom w:w="0" w:type="dxa"/>
            <w:right w:w="108" w:type="dxa"/>
          </w:tcMar>
          <w:vAlign w:val="center"/>
        </w:tcPr>
        <w:p w14:paraId="6EAD9FA2" w14:textId="77777777" w:rsidR="00566F74" w:rsidRPr="001A24BC" w:rsidRDefault="00566F74" w:rsidP="00566F74">
          <w:pPr>
            <w:suppressAutoHyphens/>
            <w:autoSpaceDN w:val="0"/>
            <w:ind w:left="113"/>
            <w:jc w:val="center"/>
            <w:textAlignment w:val="baseline"/>
            <w:rPr>
              <w:lang w:val="fr-FR"/>
            </w:rPr>
          </w:pPr>
          <w:r w:rsidRPr="004414A3">
            <w:rPr>
              <w:i/>
              <w:color w:val="000000"/>
              <w:lang w:val="fr-FR"/>
            </w:rPr>
            <w:t xml:space="preserve">« Par-delà 2020 : </w:t>
          </w:r>
          <w:proofErr w:type="spellStart"/>
          <w:r w:rsidRPr="004414A3">
            <w:rPr>
              <w:i/>
              <w:color w:val="000000"/>
              <w:lang w:val="fr-FR"/>
            </w:rPr>
            <w:t>Faҫonner</w:t>
          </w:r>
          <w:proofErr w:type="spellEnd"/>
          <w:r w:rsidRPr="004414A3">
            <w:rPr>
              <w:i/>
              <w:color w:val="000000"/>
              <w:lang w:val="fr-FR"/>
            </w:rPr>
            <w:t xml:space="preserve"> la conservation des voies de migration pour l’avenir »</w:t>
          </w:r>
        </w:p>
      </w:tc>
    </w:tr>
  </w:tbl>
  <w:p w14:paraId="602AB849" w14:textId="77777777" w:rsidR="006A6481" w:rsidRPr="00DC4618" w:rsidRDefault="006A6481" w:rsidP="00F841F9">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94A9" w14:textId="77777777" w:rsidR="006A6481" w:rsidRDefault="006A64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316D0E"/>
    <w:multiLevelType w:val="multilevel"/>
    <w:tmpl w:val="32566F1E"/>
    <w:lvl w:ilvl="0">
      <w:start w:val="1"/>
      <w:numFmt w:val="decimal"/>
      <w:lvlRestart w:val="0"/>
      <w:pStyle w:val="berschrift1"/>
      <w:lvlText w:val="%1"/>
      <w:lvlJc w:val="left"/>
      <w:pPr>
        <w:tabs>
          <w:tab w:val="num" w:pos="360"/>
        </w:tabs>
        <w:ind w:left="0" w:firstLine="0"/>
      </w:pPr>
      <w:rPr>
        <w:rFonts w:ascii="Garamond" w:hAnsi="Garamond" w:hint="default"/>
        <w:b/>
        <w:i w:val="0"/>
        <w:sz w:val="24"/>
      </w:rPr>
    </w:lvl>
    <w:lvl w:ilvl="1">
      <w:start w:val="1"/>
      <w:numFmt w:val="decimal"/>
      <w:pStyle w:val="berschrift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5"/>
  </w:num>
  <w:num w:numId="5">
    <w:abstractNumId w:val="12"/>
  </w:num>
  <w:num w:numId="6">
    <w:abstractNumId w:val="1"/>
  </w:num>
  <w:num w:numId="7">
    <w:abstractNumId w:val="18"/>
  </w:num>
  <w:num w:numId="8">
    <w:abstractNumId w:val="8"/>
  </w:num>
  <w:num w:numId="9">
    <w:abstractNumId w:val="4"/>
  </w:num>
  <w:num w:numId="10">
    <w:abstractNumId w:val="3"/>
  </w:num>
  <w:num w:numId="11">
    <w:abstractNumId w:val="2"/>
  </w:num>
  <w:num w:numId="12">
    <w:abstractNumId w:val="14"/>
  </w:num>
  <w:num w:numId="13">
    <w:abstractNumId w:val="7"/>
  </w:num>
  <w:num w:numId="14">
    <w:abstractNumId w:val="13"/>
  </w:num>
  <w:num w:numId="15">
    <w:abstractNumId w:val="10"/>
  </w:num>
  <w:num w:numId="16">
    <w:abstractNumId w:val="6"/>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Jumps" w:val="no"/>
    <w:docVar w:name="WfLastSegment" w:val=" 12342"/>
    <w:docVar w:name="WfRevTM" w:val="C:\Users\Zwerver\Documents\AEWA\Wordfast\TM-AEWA.txt"/>
    <w:docVar w:name="WfStyleNames" w:val=",1 / 1.1 / 1.1.1,1 / a / i,3D-effecten voor tabel 1,3D-effecten voor tabel 2,3D-effecten voor tabel 3,Aanhef,Adres envelop,Afsluiting,Afzender,Artikel/sectie,Ballontekst,Berichtkop,Bibliografie,Bijschrift,Bloktekst,Bronvermelding,Citaat,Datum,Documentstructuur,Donkere lijst,Donkere lijst - accent 1,Donkere lijst - accent 2,Donkere lijst - accent 3,Donkere lijst - accent 4,Donkere lijst - accent 5,Donkere lijst - accent 6,Duidelijk citaat,Eenvoudige tabel 1,Eenvoudige tabel 2,Eenvoudige tabel 3,Eigentijdse tabel,Eindnootmarkering,Eindnoottekst,Elegante tabel,E-mailhandtekening,Geen afstand,Geen lijst,Gemiddeld raster 1,Gemiddeld raster 1 - accent 1,Gemiddeld raster 1 - accent 2,Gemiddeld raster 1 - accent 3,Gemiddeld raster 1 - accent 4,Gemiddeld raster 1 - accent 5,Gemiddeld raster 1 - accent 6,Gemiddeld raster 2,Gemiddeld raster 2 - accent 1,Gemiddeld raster 2 - accent 2,Gemiddeld raster 2 - accent 3,Gemiddeld raster 2 - accent 4,Gemiddeld raster 2 - accent 5,Gemiddeld raster 2 - accent 6,Gemiddeld raster 3,Gemiddeld raster 3 - accent 1,Gemiddeld raster 3 - accent 2,Gemiddeld raster 3 - accent 3,Gemiddeld raster 3 - accent 4,Gemiddeld raster 3 - accent 5,Gemiddeld raster 3 - accent 6,Gemiddelde arcering 1,Gemiddelde arcering 1 - accent 1,Gemiddelde arcering 1 - accent 2,Gemiddelde arcering 1 - accent 3,Gemiddelde arcering 1 - accent 4,Gemiddelde arcering 1 - accent 5,Gemiddelde arcering 1 - accent 6,Gemiddelde arcering 2,Gemiddelde arcering 2 - accent 1,Gemiddelde arcering 2 - accent 2,Gemiddelde arcering 2 - accent 3,Gemiddelde arcering 2 - accent 4,Gemiddelde arcering 2 - accent 5,Gemiddelde arcering 2 - accent 6,Gemiddelde lijst 1,Gemiddelde lijst 1 - accent 1,Gemiddelde lijst 1 - accent 2,Gemiddelde lijst 1 - accent 3,Gemiddelde lijst 1 - accent 4,Gemiddelde lijst 1 - accent 5,Gemiddelde lijst 1 - accent 6,Gemiddelde lijst 2,Gemiddelde lijst 2 - accent 1,Gemiddelde lijst 2 - accent 2,Gemiddelde lijst 2 - accent 3,Gemiddelde lijst 2 - accent 4,Gemiddelde lijst 2 - accent 5,Gemiddelde lijst 2 - accent 6,GevolgdeHyperlink,Handtekening,HTML - vooraf opgemaakt,HTML Code,HTML Definition,HTML Variable,HTML-acroniem,HTML-adres,HTML-citaat,HTML-schrijfmachine,HTML-toetsenbord,HTML-voorbeeld,Hyperlink,Index 1,Index 2,Index 3,Index 4,Index 5,Index 6,Index 7,Index 8,Index 9,Indexkop,Inhopg 1,Inhopg 2,Inhopg 3,Inhopg 4,Inhopg 5,Inhopg 6,Inhopg 7,Inhopg 8,Inhopg 9,Intensieve benadrukking,Intensieve verwijzing,Klassieke tabel 1,Klassieke tabel 2,Klassieke tabel 3,Klassieke tabel 4,Kleurrijk raster,Kleurrijk raster - accent 1,Kleurrijk raster - accent 2,Kleurrijk raster - accent 3,Kleurrijk raster - accent 4,Kleurrijk raster - accent 5,Kleurrijk raster - accent 6,Kleurrijke arcering,Kleurrijke arcering - accent 1,Kleurrijke arcering - accent 2,Kleurrijke arcering - accent 3,Kleurrijke arcering - accent 4,Kleurrijke arcering - accent 5,Kleurrijke arcering - accent 6,Kleurrijke lijst,Kleurrijke lijst - accent 1,Kleurrijke lijst - accent 2,Kleurrijke lijst - accent 3,Kleurrijke lijst - accent 4,Kleurrijke lijst - accent 5,Kleurrijke lijst - accent 6,Kleurrijke tabel 1,Kleurrijke tabel 2,Kleurrijke tabel 3,Kop 1,Kop 2,Kop 3,Kop 4,Kop 5,Kop 6,Kop 7,Kop 8,Kop 9,Kop bronvermelding,Kop van inhoudsopgave,Koptekst,Licht raster,Licht raster - accent 1,Licht raster - accent 2,Licht raster - accent 3,Licht raster - accent 4,Licht raster - accent 5,Licht raster - accent 6,Lichte arcering,Lichte arcering - accent 1,Lichte arcering - accent 2,Lichte arcering - accent 3,Lichte arcering - accent 4,Lichte arcering - accent 5,Lichte arcering - accent 6,Lichte lijst,Lichte lijst - accent 1,Lichte lijst - accent 2,Lichte lijst - accent 3,Lichte lijst - accent 4,Lichte lijst - accent 5,Lichte lijst - accent 6,Lijst,Lijst 2,Lijst 3,Lijst 4,Lijst 5,Lijst met afbeeldingen,Lijst opsom.teken,Lijst opsom.teken 2,Lijst opsom.teken 3,Lijst opsom.teken 4,Lijst opsom.teken 5,Lijstalinea,Lijstnummering,Lijstnummering 2,Lijstnummering 3,Lijstnummering 4,Lijstnummering 5,Lijstvoortzetting,Lijstvoortzetting 2,Lijstvoortzetting 3,Lijstvoortzetting 4,Lijstvoortzetting 5,Macrotekst,Nadruk,Normaal (web),Notitiekop,Ondertitel,Onderwerp van opmerking,Paginanummer,Platte tekst,Platte tekst 2,Platte tekst 3,Platte tekst eerste inspringing,Platte tekst eerste inspringing 2,Platte tekst inspringen,Platte tekst inspringen 2,Platte tekst inspringen 3,Professionele tabel,Regelnummer,Standaard,Standaardalinea-lettertype,Standaardinspringing,Standaardtabel,Subtiele benadrukking,Subtiele verwijzing,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able Grid1,Tekst opmerking,Tekst van tijdelijke aanduiding,Tekst zonder opmaak,Titel,Titel van boek,tw4winMark,Unresolved Mention,Verfijnde tabel 1,Verfijnde tabel 2,Verwijzing opmerking,Voetnootmarkering,Voetnoottekst,Voettekst,Webtabel 1,Webtabel 2,Webtabel 3,Zwaar,"/>
    <w:docVar w:name="WfStyles" w:val="267"/>
    <w:docVar w:name="WfTags" w:val="no00"/>
  </w:docVars>
  <w:rsids>
    <w:rsidRoot w:val="00B61FA1"/>
    <w:rsid w:val="00001541"/>
    <w:rsid w:val="00016E7B"/>
    <w:rsid w:val="0005480D"/>
    <w:rsid w:val="00056A22"/>
    <w:rsid w:val="00060494"/>
    <w:rsid w:val="0006129C"/>
    <w:rsid w:val="0007496B"/>
    <w:rsid w:val="000977BB"/>
    <w:rsid w:val="000A5A47"/>
    <w:rsid w:val="000D3F17"/>
    <w:rsid w:val="000D4F56"/>
    <w:rsid w:val="000E153E"/>
    <w:rsid w:val="000E5469"/>
    <w:rsid w:val="000F0B56"/>
    <w:rsid w:val="001024AC"/>
    <w:rsid w:val="00104B6D"/>
    <w:rsid w:val="00104C13"/>
    <w:rsid w:val="0010660A"/>
    <w:rsid w:val="00127CEB"/>
    <w:rsid w:val="00145E99"/>
    <w:rsid w:val="00147B09"/>
    <w:rsid w:val="001524B5"/>
    <w:rsid w:val="00163DA9"/>
    <w:rsid w:val="00167D59"/>
    <w:rsid w:val="00171B8C"/>
    <w:rsid w:val="00182DCC"/>
    <w:rsid w:val="00186687"/>
    <w:rsid w:val="00196E67"/>
    <w:rsid w:val="001A00B6"/>
    <w:rsid w:val="001A0EE5"/>
    <w:rsid w:val="001A18F7"/>
    <w:rsid w:val="001A24BC"/>
    <w:rsid w:val="001B186D"/>
    <w:rsid w:val="001D13CD"/>
    <w:rsid w:val="001D21F7"/>
    <w:rsid w:val="001E72CB"/>
    <w:rsid w:val="001F1D9A"/>
    <w:rsid w:val="00207325"/>
    <w:rsid w:val="002345D0"/>
    <w:rsid w:val="002364D1"/>
    <w:rsid w:val="002848D6"/>
    <w:rsid w:val="00286103"/>
    <w:rsid w:val="00290986"/>
    <w:rsid w:val="002A32DC"/>
    <w:rsid w:val="002A3D00"/>
    <w:rsid w:val="002C40AC"/>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596F"/>
    <w:rsid w:val="003A67F0"/>
    <w:rsid w:val="003B2918"/>
    <w:rsid w:val="003B4398"/>
    <w:rsid w:val="003C320A"/>
    <w:rsid w:val="003E0DB9"/>
    <w:rsid w:val="003F09F2"/>
    <w:rsid w:val="00402787"/>
    <w:rsid w:val="00407D1C"/>
    <w:rsid w:val="00420A79"/>
    <w:rsid w:val="00423D04"/>
    <w:rsid w:val="004313BF"/>
    <w:rsid w:val="004370A6"/>
    <w:rsid w:val="00440D5E"/>
    <w:rsid w:val="00455618"/>
    <w:rsid w:val="004609D9"/>
    <w:rsid w:val="004623B2"/>
    <w:rsid w:val="00463221"/>
    <w:rsid w:val="0048183F"/>
    <w:rsid w:val="00497689"/>
    <w:rsid w:val="004B57A6"/>
    <w:rsid w:val="004B75C0"/>
    <w:rsid w:val="004F4E6A"/>
    <w:rsid w:val="004F71B1"/>
    <w:rsid w:val="00517C62"/>
    <w:rsid w:val="00523D53"/>
    <w:rsid w:val="005305AD"/>
    <w:rsid w:val="005426DD"/>
    <w:rsid w:val="005540F3"/>
    <w:rsid w:val="00566F74"/>
    <w:rsid w:val="00567628"/>
    <w:rsid w:val="00575367"/>
    <w:rsid w:val="00592A8C"/>
    <w:rsid w:val="005970C7"/>
    <w:rsid w:val="005B3A7C"/>
    <w:rsid w:val="005C7F7C"/>
    <w:rsid w:val="005D54ED"/>
    <w:rsid w:val="005E62BD"/>
    <w:rsid w:val="005F1012"/>
    <w:rsid w:val="005F11C9"/>
    <w:rsid w:val="006075EE"/>
    <w:rsid w:val="006122CD"/>
    <w:rsid w:val="00612DF5"/>
    <w:rsid w:val="00615DF8"/>
    <w:rsid w:val="006308A2"/>
    <w:rsid w:val="00652900"/>
    <w:rsid w:val="00657A1D"/>
    <w:rsid w:val="00660412"/>
    <w:rsid w:val="0069010A"/>
    <w:rsid w:val="006A4A6F"/>
    <w:rsid w:val="006A6481"/>
    <w:rsid w:val="006B113F"/>
    <w:rsid w:val="006B6B98"/>
    <w:rsid w:val="006C0E5D"/>
    <w:rsid w:val="006C1CD7"/>
    <w:rsid w:val="0070257F"/>
    <w:rsid w:val="00702AA0"/>
    <w:rsid w:val="00703647"/>
    <w:rsid w:val="007040C0"/>
    <w:rsid w:val="0070448A"/>
    <w:rsid w:val="00704B4A"/>
    <w:rsid w:val="007372B1"/>
    <w:rsid w:val="0074524A"/>
    <w:rsid w:val="0076580D"/>
    <w:rsid w:val="00765D71"/>
    <w:rsid w:val="00786AF1"/>
    <w:rsid w:val="0079698D"/>
    <w:rsid w:val="00796B72"/>
    <w:rsid w:val="007B115F"/>
    <w:rsid w:val="007B77D9"/>
    <w:rsid w:val="007C0034"/>
    <w:rsid w:val="007E054A"/>
    <w:rsid w:val="007E1121"/>
    <w:rsid w:val="007E5503"/>
    <w:rsid w:val="007F17F6"/>
    <w:rsid w:val="008115B4"/>
    <w:rsid w:val="0082215E"/>
    <w:rsid w:val="008235E1"/>
    <w:rsid w:val="008241FA"/>
    <w:rsid w:val="008650A4"/>
    <w:rsid w:val="008718D7"/>
    <w:rsid w:val="00875C4C"/>
    <w:rsid w:val="0087707B"/>
    <w:rsid w:val="008851A9"/>
    <w:rsid w:val="008B3285"/>
    <w:rsid w:val="008D305B"/>
    <w:rsid w:val="008F0DEA"/>
    <w:rsid w:val="008F4E75"/>
    <w:rsid w:val="00903E6E"/>
    <w:rsid w:val="009164F2"/>
    <w:rsid w:val="00931B71"/>
    <w:rsid w:val="00942798"/>
    <w:rsid w:val="00954FD8"/>
    <w:rsid w:val="00960705"/>
    <w:rsid w:val="0096757D"/>
    <w:rsid w:val="0096780E"/>
    <w:rsid w:val="00990AB9"/>
    <w:rsid w:val="00991A11"/>
    <w:rsid w:val="009E320C"/>
    <w:rsid w:val="009F4CCD"/>
    <w:rsid w:val="009F5D43"/>
    <w:rsid w:val="009F6DE5"/>
    <w:rsid w:val="00A03E91"/>
    <w:rsid w:val="00A13B54"/>
    <w:rsid w:val="00A3316A"/>
    <w:rsid w:val="00A36A12"/>
    <w:rsid w:val="00A41B26"/>
    <w:rsid w:val="00A43C8F"/>
    <w:rsid w:val="00A61241"/>
    <w:rsid w:val="00A84DF2"/>
    <w:rsid w:val="00A86EF9"/>
    <w:rsid w:val="00AC55DC"/>
    <w:rsid w:val="00AD596C"/>
    <w:rsid w:val="00B03C0A"/>
    <w:rsid w:val="00B04408"/>
    <w:rsid w:val="00B13388"/>
    <w:rsid w:val="00B30BE0"/>
    <w:rsid w:val="00B37692"/>
    <w:rsid w:val="00B37E95"/>
    <w:rsid w:val="00B56DEB"/>
    <w:rsid w:val="00B607DF"/>
    <w:rsid w:val="00B61FA1"/>
    <w:rsid w:val="00B67F6C"/>
    <w:rsid w:val="00B71F68"/>
    <w:rsid w:val="00B9739E"/>
    <w:rsid w:val="00BA790F"/>
    <w:rsid w:val="00BB60C5"/>
    <w:rsid w:val="00BB7DD5"/>
    <w:rsid w:val="00BD17AE"/>
    <w:rsid w:val="00C00DA1"/>
    <w:rsid w:val="00C10107"/>
    <w:rsid w:val="00C305FD"/>
    <w:rsid w:val="00C31A30"/>
    <w:rsid w:val="00C37179"/>
    <w:rsid w:val="00C645F5"/>
    <w:rsid w:val="00C72EF1"/>
    <w:rsid w:val="00C814F7"/>
    <w:rsid w:val="00C83EC9"/>
    <w:rsid w:val="00C851CC"/>
    <w:rsid w:val="00CA10E0"/>
    <w:rsid w:val="00CA705D"/>
    <w:rsid w:val="00CB1CAA"/>
    <w:rsid w:val="00CC3F9D"/>
    <w:rsid w:val="00CC509F"/>
    <w:rsid w:val="00CD0925"/>
    <w:rsid w:val="00CF5F07"/>
    <w:rsid w:val="00CF739E"/>
    <w:rsid w:val="00D34AE2"/>
    <w:rsid w:val="00D50E2A"/>
    <w:rsid w:val="00D5242E"/>
    <w:rsid w:val="00D801A7"/>
    <w:rsid w:val="00DA2E04"/>
    <w:rsid w:val="00DB6FF8"/>
    <w:rsid w:val="00DC4618"/>
    <w:rsid w:val="00DC4D6C"/>
    <w:rsid w:val="00DE6C76"/>
    <w:rsid w:val="00DF26A5"/>
    <w:rsid w:val="00DF4618"/>
    <w:rsid w:val="00DF6ADB"/>
    <w:rsid w:val="00DF7318"/>
    <w:rsid w:val="00E02643"/>
    <w:rsid w:val="00E043A4"/>
    <w:rsid w:val="00E14E9C"/>
    <w:rsid w:val="00E30B78"/>
    <w:rsid w:val="00E55F1B"/>
    <w:rsid w:val="00E719DA"/>
    <w:rsid w:val="00E762B8"/>
    <w:rsid w:val="00E965A8"/>
    <w:rsid w:val="00EA1BA4"/>
    <w:rsid w:val="00EB38A4"/>
    <w:rsid w:val="00ED79B3"/>
    <w:rsid w:val="00ED7DF1"/>
    <w:rsid w:val="00EE02FE"/>
    <w:rsid w:val="00F30ED7"/>
    <w:rsid w:val="00F46962"/>
    <w:rsid w:val="00F55236"/>
    <w:rsid w:val="00F627E9"/>
    <w:rsid w:val="00F6704C"/>
    <w:rsid w:val="00F71854"/>
    <w:rsid w:val="00F74ADF"/>
    <w:rsid w:val="00F81B26"/>
    <w:rsid w:val="00F841F9"/>
    <w:rsid w:val="00F8588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C33EA3"/>
  <w15:docId w15:val="{D294CAA4-70F1-45C8-94EC-D55DB4FD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0257F"/>
    <w:rPr>
      <w:sz w:val="24"/>
      <w:szCs w:val="24"/>
    </w:rPr>
  </w:style>
  <w:style w:type="paragraph" w:styleId="berschrift1">
    <w:name w:val="heading 1"/>
    <w:basedOn w:val="Standard"/>
    <w:next w:val="Standard"/>
    <w:qFormat/>
    <w:rsid w:val="008F0DEA"/>
    <w:pPr>
      <w:keepNext/>
      <w:numPr>
        <w:numId w:val="5"/>
      </w:numPr>
      <w:outlineLvl w:val="0"/>
    </w:pPr>
    <w:rPr>
      <w:b/>
      <w:bCs/>
      <w:lang w:val="en-GB"/>
    </w:rPr>
  </w:style>
  <w:style w:type="paragraph" w:styleId="berschrift2">
    <w:name w:val="heading 2"/>
    <w:basedOn w:val="Standard"/>
    <w:next w:val="Standard"/>
    <w:qFormat/>
    <w:rsid w:val="008F0DEA"/>
    <w:pPr>
      <w:keepNext/>
      <w:numPr>
        <w:ilvl w:val="1"/>
        <w:numId w:val="5"/>
      </w:numPr>
      <w:spacing w:before="240" w:after="60"/>
      <w:outlineLvl w:val="1"/>
    </w:pPr>
    <w:rPr>
      <w:rFonts w:ascii="Arial" w:hAnsi="Arial"/>
      <w:b/>
      <w:bCs/>
      <w:i/>
      <w:iCs/>
      <w:sz w:val="28"/>
      <w:szCs w:val="28"/>
    </w:rPr>
  </w:style>
  <w:style w:type="paragraph" w:styleId="berschrift9">
    <w:name w:val="heading 9"/>
    <w:basedOn w:val="Standard"/>
    <w:next w:val="Standard"/>
    <w:link w:val="berschrift9Zchn"/>
    <w:semiHidden/>
    <w:unhideWhenUsed/>
    <w:qFormat/>
    <w:rsid w:val="00CD09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27E9"/>
    <w:pPr>
      <w:tabs>
        <w:tab w:val="center" w:pos="4320"/>
        <w:tab w:val="right" w:pos="8640"/>
      </w:tabs>
    </w:pPr>
  </w:style>
  <w:style w:type="paragraph" w:styleId="Fuzeile">
    <w:name w:val="footer"/>
    <w:basedOn w:val="Standard"/>
    <w:link w:val="FuzeileZchn"/>
    <w:uiPriority w:val="99"/>
    <w:rsid w:val="00F627E9"/>
    <w:pPr>
      <w:tabs>
        <w:tab w:val="center" w:pos="4320"/>
        <w:tab w:val="right" w:pos="8640"/>
      </w:tabs>
    </w:pPr>
  </w:style>
  <w:style w:type="paragraph" w:styleId="Textkrper2">
    <w:name w:val="Body Text 2"/>
    <w:basedOn w:val="Standard"/>
    <w:rsid w:val="00F627E9"/>
    <w:rPr>
      <w:lang w:val="en-GB"/>
    </w:rPr>
  </w:style>
  <w:style w:type="table" w:styleId="Tabellenraster">
    <w:name w:val="Table Grid"/>
    <w:basedOn w:val="NormaleTabelle"/>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8F0DEA"/>
    <w:rPr>
      <w:sz w:val="20"/>
      <w:szCs w:val="20"/>
    </w:rPr>
  </w:style>
  <w:style w:type="character" w:styleId="Funotenzeichen">
    <w:name w:val="footnote reference"/>
    <w:basedOn w:val="Absatz-Standardschriftart"/>
    <w:semiHidden/>
    <w:rsid w:val="008F0DEA"/>
    <w:rPr>
      <w:vertAlign w:val="superscript"/>
    </w:rPr>
  </w:style>
  <w:style w:type="character" w:styleId="Seitenzahl">
    <w:name w:val="page number"/>
    <w:basedOn w:val="Absatz-Standardschriftart"/>
    <w:rsid w:val="008F0DEA"/>
  </w:style>
  <w:style w:type="paragraph" w:styleId="Sprechblasentext">
    <w:name w:val="Balloon Text"/>
    <w:basedOn w:val="Standard"/>
    <w:link w:val="SprechblasentextZchn"/>
    <w:rsid w:val="00B61FA1"/>
    <w:rPr>
      <w:rFonts w:ascii="Tahoma" w:hAnsi="Tahoma" w:cs="Tahoma"/>
      <w:sz w:val="16"/>
      <w:szCs w:val="16"/>
    </w:rPr>
  </w:style>
  <w:style w:type="character" w:customStyle="1" w:styleId="SprechblasentextZchn">
    <w:name w:val="Sprechblasentext Zchn"/>
    <w:basedOn w:val="Absatz-Standardschriftart"/>
    <w:link w:val="Sprechblasentext"/>
    <w:rsid w:val="00B61FA1"/>
    <w:rPr>
      <w:rFonts w:ascii="Tahoma" w:hAnsi="Tahoma" w:cs="Tahoma"/>
      <w:sz w:val="16"/>
      <w:szCs w:val="16"/>
    </w:rPr>
  </w:style>
  <w:style w:type="paragraph" w:styleId="Listenabsatz">
    <w:name w:val="List Paragraph"/>
    <w:basedOn w:val="Standard"/>
    <w:uiPriority w:val="34"/>
    <w:qFormat/>
    <w:rsid w:val="0070257F"/>
    <w:pPr>
      <w:ind w:left="720"/>
    </w:pPr>
  </w:style>
  <w:style w:type="character" w:customStyle="1" w:styleId="FuzeileZchn">
    <w:name w:val="Fußzeile Zchn"/>
    <w:basedOn w:val="Absatz-Standardschriftart"/>
    <w:link w:val="Fuzeile"/>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NormaleTabelle"/>
    <w:next w:val="Tabellenraster"/>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171B8C"/>
    <w:rPr>
      <w:color w:val="808080"/>
      <w:shd w:val="clear" w:color="auto" w:fill="E6E6E6"/>
    </w:rPr>
  </w:style>
  <w:style w:type="character" w:customStyle="1" w:styleId="berschrift9Zchn">
    <w:name w:val="Überschrift 9 Zchn"/>
    <w:basedOn w:val="Absatz-Standardschriftart"/>
    <w:link w:val="berschrift9"/>
    <w:semiHidden/>
    <w:rsid w:val="00CD0925"/>
    <w:rPr>
      <w:rFonts w:asciiTheme="majorHAnsi" w:eastAsiaTheme="majorEastAsia" w:hAnsiTheme="majorHAnsi" w:cstheme="majorBidi"/>
      <w:i/>
      <w:iCs/>
      <w:color w:val="272727" w:themeColor="text1" w:themeTint="D8"/>
      <w:sz w:val="21"/>
      <w:szCs w:val="21"/>
    </w:rPr>
  </w:style>
  <w:style w:type="paragraph" w:styleId="Textkrper">
    <w:name w:val="Body Text"/>
    <w:basedOn w:val="Standard"/>
    <w:link w:val="TextkrperZchn"/>
    <w:semiHidden/>
    <w:unhideWhenUsed/>
    <w:rsid w:val="00CD0925"/>
    <w:pPr>
      <w:spacing w:after="120"/>
    </w:pPr>
  </w:style>
  <w:style w:type="character" w:customStyle="1" w:styleId="TextkrperZchn">
    <w:name w:val="Textkörper Zchn"/>
    <w:basedOn w:val="Absatz-Standardschriftart"/>
    <w:link w:val="Textkrper"/>
    <w:semiHidden/>
    <w:rsid w:val="00CD0925"/>
    <w:rPr>
      <w:sz w:val="24"/>
      <w:szCs w:val="24"/>
    </w:rPr>
  </w:style>
  <w:style w:type="paragraph" w:styleId="StandardWeb">
    <w:name w:val="Normal (Web)"/>
    <w:basedOn w:val="Standard"/>
    <w:uiPriority w:val="99"/>
    <w:unhideWhenUsed/>
    <w:rsid w:val="00CD0925"/>
    <w:pPr>
      <w:spacing w:before="100" w:beforeAutospacing="1" w:after="100" w:afterAutospacing="1"/>
    </w:pPr>
    <w:rPr>
      <w:sz w:val="20"/>
      <w:szCs w:val="20"/>
      <w:lang w:val="en-GB"/>
    </w:rPr>
  </w:style>
  <w:style w:type="character" w:styleId="Kommentarzeichen">
    <w:name w:val="annotation reference"/>
    <w:basedOn w:val="Absatz-Standardschriftart"/>
    <w:semiHidden/>
    <w:unhideWhenUsed/>
    <w:rsid w:val="00163DA9"/>
    <w:rPr>
      <w:sz w:val="16"/>
      <w:szCs w:val="16"/>
    </w:rPr>
  </w:style>
  <w:style w:type="paragraph" w:styleId="Kommentartext">
    <w:name w:val="annotation text"/>
    <w:basedOn w:val="Standard"/>
    <w:link w:val="KommentartextZchn"/>
    <w:semiHidden/>
    <w:unhideWhenUsed/>
    <w:rsid w:val="00163DA9"/>
    <w:rPr>
      <w:sz w:val="20"/>
      <w:szCs w:val="20"/>
    </w:rPr>
  </w:style>
  <w:style w:type="character" w:customStyle="1" w:styleId="KommentartextZchn">
    <w:name w:val="Kommentartext Zchn"/>
    <w:basedOn w:val="Absatz-Standardschriftart"/>
    <w:link w:val="Kommentartext"/>
    <w:semiHidden/>
    <w:rsid w:val="00163DA9"/>
  </w:style>
  <w:style w:type="paragraph" w:styleId="Kommentarthema">
    <w:name w:val="annotation subject"/>
    <w:basedOn w:val="Kommentartext"/>
    <w:next w:val="Kommentartext"/>
    <w:link w:val="KommentarthemaZchn"/>
    <w:semiHidden/>
    <w:unhideWhenUsed/>
    <w:rsid w:val="00163DA9"/>
    <w:rPr>
      <w:b/>
      <w:bCs/>
    </w:rPr>
  </w:style>
  <w:style w:type="character" w:customStyle="1" w:styleId="KommentarthemaZchn">
    <w:name w:val="Kommentarthema Zchn"/>
    <w:basedOn w:val="KommentartextZchn"/>
    <w:link w:val="Kommentarthema"/>
    <w:semiHidden/>
    <w:rsid w:val="00163DA9"/>
    <w:rPr>
      <w:b/>
      <w:bCs/>
    </w:rPr>
  </w:style>
  <w:style w:type="character" w:customStyle="1" w:styleId="tw4winMark">
    <w:name w:val="tw4winMark"/>
    <w:basedOn w:val="Absatz-Standardschriftart"/>
    <w:rsid w:val="00612DF5"/>
    <w:rPr>
      <w:rFonts w:ascii="Courier New" w:hAnsi="Courier New" w:cs="Courier New"/>
      <w:b w:val="0"/>
      <w:i w:val="0"/>
      <w:dstrike w:val="0"/>
      <w:noProof/>
      <w:vanish/>
      <w:color w:val="800080"/>
      <w:sz w:val="22"/>
      <w:effect w:val="none"/>
      <w:vertAlign w:val="subscript"/>
      <w:lang w:val="en-GB"/>
    </w:rPr>
  </w:style>
  <w:style w:type="character" w:customStyle="1" w:styleId="FunotentextZchn">
    <w:name w:val="Fußnotentext Zchn"/>
    <w:basedOn w:val="Absatz-Standardschriftart"/>
    <w:link w:val="Funotentext"/>
    <w:uiPriority w:val="99"/>
    <w:rsid w:val="00DC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DB18-0960-49BE-8886-5DF7D908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aewa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Dunia Sforzin (UNEP/AEWA Secretariat)</dc:creator>
  <cp:lastModifiedBy>Birgit Drerup</cp:lastModifiedBy>
  <cp:revision>3</cp:revision>
  <cp:lastPrinted>2018-12-07T13:10:00Z</cp:lastPrinted>
  <dcterms:created xsi:type="dcterms:W3CDTF">2018-12-20T13:02:00Z</dcterms:created>
  <dcterms:modified xsi:type="dcterms:W3CDTF">2018-12-21T08:56:00Z</dcterms:modified>
</cp:coreProperties>
</file>