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2A" w:rsidRPr="0033553A" w:rsidRDefault="00BD7F2A" w:rsidP="0060207D">
      <w:pPr>
        <w:tabs>
          <w:tab w:val="left" w:pos="4185"/>
        </w:tabs>
        <w:jc w:val="center"/>
        <w:rPr>
          <w:lang w:val="fr-FR"/>
        </w:rPr>
      </w:pPr>
      <w:bookmarkStart w:id="0" w:name="_Hlk513643711"/>
    </w:p>
    <w:p w:rsidR="004A5FDE" w:rsidRPr="0033553A" w:rsidRDefault="00745B84" w:rsidP="0060207D">
      <w:pPr>
        <w:tabs>
          <w:tab w:val="left" w:pos="4185"/>
        </w:tabs>
        <w:jc w:val="center"/>
        <w:rPr>
          <w:lang w:val="fr-FR"/>
        </w:rPr>
      </w:pPr>
      <w:r w:rsidRPr="0033553A">
        <w:rPr>
          <w:lang w:val="fr-FR"/>
        </w:rPr>
        <w:t xml:space="preserve"> AVANT-PROJET DE RÉSOLUTION 7.</w:t>
      </w:r>
      <w:r w:rsidR="00A112E5">
        <w:rPr>
          <w:lang w:val="fr-FR"/>
        </w:rPr>
        <w:t>8</w:t>
      </w:r>
    </w:p>
    <w:p w:rsidR="004A5FDE" w:rsidRPr="0033553A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fr-FR"/>
        </w:rPr>
      </w:pPr>
    </w:p>
    <w:p w:rsidR="00BD7F2A" w:rsidRPr="0033553A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fr-FR"/>
        </w:rPr>
      </w:pPr>
    </w:p>
    <w:p w:rsidR="00980C80" w:rsidRPr="0033553A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bCs/>
          <w:sz w:val="24"/>
          <w:szCs w:val="24"/>
          <w:lang w:val="fr-FR"/>
        </w:rPr>
      </w:pPr>
      <w:r w:rsidRPr="0033553A">
        <w:rPr>
          <w:bCs/>
          <w:sz w:val="24"/>
          <w:szCs w:val="24"/>
          <w:lang w:val="fr-FR"/>
        </w:rPr>
        <w:t>ADOPTION DE CONSEILS DANS LE CONTEXTE DE LA MISE EN ŒUVRE</w:t>
      </w:r>
      <w:r w:rsidR="00A550C8" w:rsidRPr="0033553A">
        <w:rPr>
          <w:bCs/>
          <w:sz w:val="24"/>
          <w:szCs w:val="24"/>
          <w:lang w:val="fr-FR"/>
        </w:rPr>
        <w:t xml:space="preserve"> </w:t>
      </w:r>
    </w:p>
    <w:p w:rsidR="004A5FDE" w:rsidRPr="0033553A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bCs/>
          <w:sz w:val="24"/>
          <w:szCs w:val="24"/>
          <w:lang w:val="fr-FR"/>
        </w:rPr>
      </w:pPr>
      <w:r w:rsidRPr="0033553A">
        <w:rPr>
          <w:bCs/>
          <w:sz w:val="24"/>
          <w:szCs w:val="24"/>
          <w:lang w:val="fr-FR"/>
        </w:rPr>
        <w:t>DU PLAN D’ACTION DE L’AEWA</w:t>
      </w:r>
    </w:p>
    <w:p w:rsidR="003D030A" w:rsidRPr="0033553A" w:rsidRDefault="003D030A" w:rsidP="003D030A">
      <w:pPr>
        <w:jc w:val="both"/>
        <w:rPr>
          <w:b/>
          <w:sz w:val="22"/>
          <w:szCs w:val="22"/>
          <w:lang w:val="fr-FR"/>
        </w:rPr>
      </w:pPr>
    </w:p>
    <w:p w:rsidR="00782700" w:rsidRPr="0033553A" w:rsidRDefault="00782700" w:rsidP="003D030A">
      <w:pPr>
        <w:jc w:val="both"/>
        <w:rPr>
          <w:b/>
          <w:sz w:val="22"/>
          <w:szCs w:val="22"/>
          <w:lang w:val="fr-FR"/>
        </w:rPr>
      </w:pPr>
    </w:p>
    <w:p w:rsidR="004A5FDE" w:rsidRPr="0033553A" w:rsidRDefault="00745B84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8A29B1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>de conseils sur la mise en œuvre des dispositions de l’AEWA relatives aux espèces non indigènes, afin d’aider à la mise en œuvre 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F85A49">
      <w:pPr>
        <w:spacing w:line="280" w:lineRule="auto"/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>le Partenariat pour la surveillance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à la surveillance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C9248F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F85A4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EC6C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FC5960" w:rsidRPr="0033553A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a.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32</w:t>
      </w:r>
    </w:p>
    <w:p w:rsidR="00EC6CCC" w:rsidRPr="0033553A" w:rsidRDefault="00EC6CCC" w:rsidP="00EC6CCC">
      <w:pPr>
        <w:spacing w:line="276" w:lineRule="auto"/>
        <w:ind w:left="720"/>
        <w:jc w:val="both"/>
        <w:rPr>
          <w:sz w:val="22"/>
          <w:szCs w:val="22"/>
          <w:lang w:val="fr-FR"/>
        </w:rPr>
      </w:pPr>
    </w:p>
    <w:p w:rsidR="006B7BFC" w:rsidRDefault="005B0901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  <w:sectPr w:rsidR="006B7BFC" w:rsidSect="00047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851" w:left="1134" w:header="851" w:footer="510" w:gutter="0"/>
          <w:cols w:space="708"/>
          <w:docGrid w:linePitch="360"/>
        </w:sectPr>
      </w:pPr>
      <w:r w:rsidRPr="009D1D09">
        <w:rPr>
          <w:sz w:val="22"/>
          <w:szCs w:val="22"/>
          <w:lang w:val="fr-FR"/>
        </w:rPr>
        <w:t>b.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33</w:t>
      </w:r>
    </w:p>
    <w:p w:rsidR="00EC6CCC" w:rsidRPr="0033553A" w:rsidRDefault="00EC6CCC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8443A0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c.</w:t>
      </w:r>
      <w:r w:rsidR="008E38DB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33553A">
        <w:rPr>
          <w:i/>
          <w:sz w:val="22"/>
          <w:szCs w:val="22"/>
          <w:lang w:val="fr-FR"/>
        </w:rPr>
        <w:t>: liste</w:t>
      </w:r>
      <w:r w:rsidRPr="0033553A">
        <w:rPr>
          <w:i/>
          <w:sz w:val="22"/>
          <w:szCs w:val="22"/>
          <w:lang w:val="fr-FR"/>
        </w:rPr>
        <w:t xml:space="preserve"> de vérification des actions potentielles </w:t>
      </w:r>
      <w:bookmarkStart w:id="2" w:name="_Hlk515567214"/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34</w:t>
      </w:r>
      <w:bookmarkEnd w:id="2"/>
    </w:p>
    <w:p w:rsidR="006B7BFC" w:rsidRDefault="006B7BFC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Default="005B090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33553A">
        <w:rPr>
          <w:sz w:val="22"/>
          <w:szCs w:val="22"/>
          <w:lang w:val="fr-FR"/>
        </w:rPr>
        <w:t>d.</w:t>
      </w:r>
      <w:r w:rsidR="00BA6CED" w:rsidRPr="0033553A">
        <w:rPr>
          <w:sz w:val="22"/>
          <w:szCs w:val="22"/>
          <w:lang w:val="fr-FR"/>
        </w:rPr>
        <w:t xml:space="preserve"> </w:t>
      </w:r>
      <w:r w:rsidR="00737D14" w:rsidRPr="0033553A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>Lignes directrices de conservation n</w:t>
      </w:r>
      <w:r w:rsidRPr="0033553A">
        <w:rPr>
          <w:i/>
          <w:sz w:val="22"/>
          <w:szCs w:val="22"/>
          <w:vertAlign w:val="superscript"/>
          <w:lang w:val="fr-FR"/>
        </w:rPr>
        <w:t>o</w:t>
      </w:r>
      <w:r w:rsidRPr="0033553A">
        <w:rPr>
          <w:i/>
          <w:sz w:val="22"/>
          <w:szCs w:val="22"/>
          <w:lang w:val="fr-FR"/>
        </w:rPr>
        <w:t xml:space="preserve"> 9 révisées sur la surveillance des oiseaux d’eau</w:t>
      </w:r>
      <w:r w:rsidRPr="0033553A">
        <w:rPr>
          <w:sz w:val="22"/>
          <w:szCs w:val="22"/>
          <w:lang w:val="fr-FR"/>
        </w:rPr>
        <w:t xml:space="preserve"> telles que présentées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35</w:t>
      </w:r>
      <w:r w:rsidR="00926B31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;</w:t>
      </w:r>
    </w:p>
    <w:p w:rsidR="00926B31" w:rsidRPr="0033553A" w:rsidRDefault="00926B3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5B0901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6B7BFC">
        <w:rPr>
          <w:i/>
          <w:sz w:val="22"/>
          <w:szCs w:val="22"/>
          <w:lang w:val="fr-FR" w:eastAsia="en-GB"/>
        </w:rPr>
        <w:t xml:space="preserve">Exhorte </w:t>
      </w:r>
      <w:r w:rsidRPr="006B7BFC">
        <w:rPr>
          <w:sz w:val="22"/>
          <w:szCs w:val="22"/>
          <w:lang w:val="fr-FR" w:eastAsia="en-GB"/>
        </w:rPr>
        <w:t>les Parties à mettre en œuvre ces conseils et lignes directrices et de présenter leur rapport sans délai au Secrétariat PNUE/AEWA lorsqu’ils appliquent des dérogations aux dispositions des paragraphes 2.1.1 et 2.1.2 du Plan d’action de l’AEWA</w:t>
      </w:r>
      <w:r w:rsidR="00926B31" w:rsidRPr="006B7BFC">
        <w:rPr>
          <w:sz w:val="22"/>
          <w:szCs w:val="22"/>
          <w:lang w:val="fr-FR" w:eastAsia="en-GB"/>
        </w:rPr>
        <w:t xml:space="preserve"> </w:t>
      </w:r>
      <w:r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5B0901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6B7BFC">
        <w:rPr>
          <w:i/>
          <w:sz w:val="22"/>
          <w:szCs w:val="22"/>
          <w:lang w:val="fr-FR" w:eastAsia="en-GB"/>
        </w:rPr>
        <w:t xml:space="preserve">Demande </w:t>
      </w:r>
      <w:r w:rsidRPr="006B7BFC">
        <w:rPr>
          <w:sz w:val="22"/>
          <w:szCs w:val="22"/>
          <w:lang w:val="fr-FR" w:eastAsia="en-GB"/>
        </w:rPr>
        <w:t>au Comité technique et au Secrétariat d</w:t>
      </w:r>
      <w:r w:rsidR="00F85A49" w:rsidRPr="006B7BFC">
        <w:rPr>
          <w:sz w:val="22"/>
          <w:szCs w:val="22"/>
          <w:lang w:val="fr-FR" w:eastAsia="en-GB"/>
        </w:rPr>
        <w:t>’</w:t>
      </w:r>
      <w:r w:rsidRPr="006B7BFC">
        <w:rPr>
          <w:sz w:val="22"/>
          <w:szCs w:val="22"/>
          <w:lang w:val="fr-FR" w:eastAsia="en-GB"/>
        </w:rPr>
        <w:t>e</w:t>
      </w:r>
      <w:r w:rsidR="00F85A49" w:rsidRPr="006B7BFC">
        <w:rPr>
          <w:sz w:val="22"/>
          <w:szCs w:val="22"/>
          <w:lang w:val="fr-FR" w:eastAsia="en-GB"/>
        </w:rPr>
        <w:t>ntretenir</w:t>
      </w:r>
      <w:r w:rsidRPr="006B7BFC">
        <w:rPr>
          <w:sz w:val="22"/>
          <w:szCs w:val="22"/>
          <w:lang w:val="fr-FR" w:eastAsia="en-GB"/>
        </w:rPr>
        <w:t xml:space="preserve"> le manuel de conseils sur l</w:t>
      </w:r>
      <w:r w:rsidR="00F85A49" w:rsidRPr="006B7BFC">
        <w:rPr>
          <w:sz w:val="22"/>
          <w:szCs w:val="22"/>
          <w:lang w:val="fr-FR" w:eastAsia="en-GB"/>
        </w:rPr>
        <w:t>’emploi d’une approche systématique en réponse aux déclins des oiseaux d’eau</w:t>
      </w:r>
      <w:r w:rsidRPr="006B7BFC">
        <w:rPr>
          <w:sz w:val="22"/>
          <w:szCs w:val="22"/>
          <w:lang w:val="fr-FR" w:eastAsia="en-GB"/>
        </w:rPr>
        <w:t xml:space="preserve">, </w:t>
      </w:r>
      <w:r w:rsidR="00F85A49" w:rsidRPr="006B7BFC">
        <w:rPr>
          <w:sz w:val="22"/>
          <w:szCs w:val="22"/>
          <w:lang w:val="fr-FR" w:eastAsia="en-GB"/>
        </w:rPr>
        <w:t>ainsi que les</w:t>
      </w:r>
      <w:r w:rsidR="003830FC" w:rsidRPr="006B7BFC">
        <w:rPr>
          <w:sz w:val="22"/>
          <w:szCs w:val="22"/>
          <w:lang w:val="fr-FR" w:eastAsia="en-GB"/>
        </w:rPr>
        <w:t xml:space="preserve"> types</w:t>
      </w:r>
      <w:r w:rsidR="00F85A49" w:rsidRPr="006B7BFC">
        <w:rPr>
          <w:sz w:val="22"/>
          <w:szCs w:val="22"/>
          <w:lang w:val="fr-FR" w:eastAsia="en-GB"/>
        </w:rPr>
        <w:t xml:space="preserve"> de conseils</w:t>
      </w:r>
      <w:r w:rsidR="003830FC" w:rsidRPr="006B7BFC">
        <w:rPr>
          <w:sz w:val="22"/>
          <w:szCs w:val="22"/>
          <w:lang w:val="fr-FR" w:eastAsia="en-GB"/>
        </w:rPr>
        <w:t xml:space="preserve"> similaires</w:t>
      </w:r>
      <w:r w:rsidR="00F85A49" w:rsidRPr="006B7BFC">
        <w:rPr>
          <w:sz w:val="22"/>
          <w:szCs w:val="22"/>
          <w:lang w:val="fr-FR" w:eastAsia="en-GB"/>
        </w:rPr>
        <w:t xml:space="preserve">, </w:t>
      </w:r>
      <w:r w:rsidRPr="006B7BFC">
        <w:rPr>
          <w:sz w:val="22"/>
          <w:szCs w:val="22"/>
          <w:lang w:val="fr-FR" w:eastAsia="en-GB"/>
        </w:rPr>
        <w:t>pr</w:t>
      </w:r>
      <w:r w:rsidR="00F85A49" w:rsidRPr="006B7BFC">
        <w:rPr>
          <w:sz w:val="22"/>
          <w:szCs w:val="22"/>
          <w:lang w:val="fr-FR" w:eastAsia="en-GB"/>
        </w:rPr>
        <w:t>écédemment adoptés</w:t>
      </w:r>
      <w:r w:rsidRPr="006B7BFC">
        <w:rPr>
          <w:sz w:val="22"/>
          <w:szCs w:val="22"/>
          <w:lang w:val="fr-FR" w:eastAsia="en-GB"/>
        </w:rPr>
        <w:t xml:space="preserve"> </w:t>
      </w:r>
      <w:r w:rsidR="00F85A49" w:rsidRPr="006B7BFC">
        <w:rPr>
          <w:sz w:val="22"/>
          <w:szCs w:val="22"/>
          <w:lang w:val="fr-FR" w:eastAsia="en-GB"/>
        </w:rPr>
        <w:t>par la Réunion des</w:t>
      </w:r>
      <w:r w:rsidRPr="006B7BFC">
        <w:rPr>
          <w:sz w:val="22"/>
          <w:szCs w:val="22"/>
          <w:lang w:val="fr-FR" w:eastAsia="en-GB"/>
        </w:rPr>
        <w:t xml:space="preserve"> Parties, </w:t>
      </w:r>
      <w:r w:rsidR="00F85A49" w:rsidRPr="006B7BFC">
        <w:rPr>
          <w:sz w:val="22"/>
          <w:szCs w:val="22"/>
          <w:lang w:val="fr-FR" w:eastAsia="en-GB"/>
        </w:rPr>
        <w:t>en tant que conseils continus</w:t>
      </w:r>
      <w:r w:rsidRPr="006B7BFC">
        <w:rPr>
          <w:sz w:val="22"/>
          <w:szCs w:val="22"/>
          <w:lang w:val="fr-FR" w:eastAsia="en-GB"/>
        </w:rPr>
        <w:t xml:space="preserve"> </w:t>
      </w:r>
      <w:r w:rsidR="003830FC" w:rsidRPr="006B7BFC">
        <w:rPr>
          <w:sz w:val="22"/>
          <w:szCs w:val="22"/>
          <w:lang w:val="fr-FR" w:eastAsia="en-GB"/>
        </w:rPr>
        <w:t>disponibles</w:t>
      </w:r>
      <w:r w:rsidR="00F85A49" w:rsidRPr="006B7BFC">
        <w:rPr>
          <w:sz w:val="22"/>
          <w:szCs w:val="22"/>
          <w:lang w:val="fr-FR" w:eastAsia="en-GB"/>
        </w:rPr>
        <w:t xml:space="preserve"> sur le site Internet de l’AEWA, et de les mettre à jour</w:t>
      </w:r>
      <w:r w:rsidRPr="006B7BFC">
        <w:rPr>
          <w:sz w:val="22"/>
          <w:szCs w:val="22"/>
          <w:lang w:val="fr-FR" w:eastAsia="en-GB"/>
        </w:rPr>
        <w:t xml:space="preserve"> </w:t>
      </w:r>
      <w:r w:rsidR="00F85A49" w:rsidRPr="006B7BFC">
        <w:rPr>
          <w:sz w:val="22"/>
          <w:szCs w:val="22"/>
          <w:lang w:val="fr-FR" w:eastAsia="en-GB"/>
        </w:rPr>
        <w:t>lorsque cela est nécessaire et possible</w:t>
      </w:r>
      <w:r w:rsidR="006B7BFC">
        <w:rPr>
          <w:sz w:val="22"/>
          <w:szCs w:val="22"/>
          <w:lang w:val="fr-FR" w:eastAsia="en-GB"/>
        </w:rPr>
        <w:t> 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Pr="006B7BFC" w:rsidRDefault="00C9248F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6B7BFC">
        <w:rPr>
          <w:i/>
          <w:sz w:val="22"/>
          <w:szCs w:val="22"/>
          <w:lang w:val="fr-FR"/>
        </w:rPr>
        <w:t>Prie instamment</w:t>
      </w:r>
      <w:r w:rsidRPr="006B7BFC">
        <w:rPr>
          <w:sz w:val="22"/>
          <w:szCs w:val="22"/>
          <w:lang w:val="fr-FR"/>
        </w:rPr>
        <w:t xml:space="preserve"> toutes les Parties contractantes en Afrique d’identifier au niveau national les périodes de reproduction et de migration </w:t>
      </w:r>
      <w:proofErr w:type="spellStart"/>
      <w:r w:rsidRPr="006B7BFC">
        <w:rPr>
          <w:sz w:val="22"/>
          <w:szCs w:val="22"/>
          <w:lang w:val="fr-FR"/>
        </w:rPr>
        <w:t>pré-nuptiale</w:t>
      </w:r>
      <w:proofErr w:type="spellEnd"/>
      <w:r w:rsidRPr="006B7BFC">
        <w:rPr>
          <w:sz w:val="22"/>
          <w:szCs w:val="22"/>
          <w:lang w:val="fr-FR"/>
        </w:rPr>
        <w:t xml:space="preserve"> pour toutes les espèces inscrites à l’AEWA et leurs populations respectives présentes sur leurs territoires et d’appliquer ces connaissances à la mise en œuvre du paragraphe 2.1. .2 (a) du Plan d'action de l'AEWA.</w:t>
      </w:r>
    </w:p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04731F">
      <w:headerReference w:type="default" r:id="rId14"/>
      <w:footerReference w:type="default" r:id="rId15"/>
      <w:pgSz w:w="11906" w:h="16838" w:code="9"/>
      <w:pgMar w:top="1021" w:right="1134" w:bottom="85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A7" w:rsidRDefault="00EB76A7">
      <w:r>
        <w:separator/>
      </w:r>
    </w:p>
  </w:endnote>
  <w:endnote w:type="continuationSeparator" w:id="0">
    <w:p w:rsidR="00EB76A7" w:rsidRDefault="00EB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9" w:rsidRDefault="00AD6C69">
    <w:pPr>
      <w:pStyle w:val="Footer"/>
      <w:jc w:val="center"/>
    </w:pPr>
  </w:p>
  <w:p w:rsidR="00C60CA7" w:rsidRPr="002F485E" w:rsidRDefault="00C60CA7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432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D6C69" w:rsidRPr="00AD6C69" w:rsidRDefault="00935DFA">
        <w:pPr>
          <w:pStyle w:val="Footer"/>
          <w:jc w:val="center"/>
          <w:rPr>
            <w:sz w:val="20"/>
            <w:szCs w:val="20"/>
          </w:rPr>
        </w:pPr>
        <w:r w:rsidRPr="00AD6C69">
          <w:rPr>
            <w:sz w:val="20"/>
            <w:szCs w:val="20"/>
          </w:rPr>
          <w:fldChar w:fldCharType="begin"/>
        </w:r>
        <w:r w:rsidR="00AD6C69" w:rsidRPr="00AD6C69">
          <w:rPr>
            <w:sz w:val="20"/>
            <w:szCs w:val="20"/>
          </w:rPr>
          <w:instrText xml:space="preserve"> PAGE   \* MERGEFORMAT </w:instrText>
        </w:r>
        <w:r w:rsidRPr="00AD6C69">
          <w:rPr>
            <w:sz w:val="20"/>
            <w:szCs w:val="20"/>
          </w:rPr>
          <w:fldChar w:fldCharType="separate"/>
        </w:r>
        <w:r w:rsidR="00071A9E">
          <w:rPr>
            <w:noProof/>
            <w:sz w:val="20"/>
            <w:szCs w:val="20"/>
          </w:rPr>
          <w:t>2</w:t>
        </w:r>
        <w:r w:rsidRPr="00AD6C69">
          <w:rPr>
            <w:noProof/>
            <w:sz w:val="20"/>
            <w:szCs w:val="20"/>
          </w:rPr>
          <w:fldChar w:fldCharType="end"/>
        </w:r>
      </w:p>
    </w:sdtContent>
  </w:sdt>
  <w:p w:rsidR="00AD6C69" w:rsidRPr="002F485E" w:rsidRDefault="00AD6C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A7" w:rsidRDefault="00EB76A7">
      <w:r>
        <w:separator/>
      </w:r>
    </w:p>
  </w:footnote>
  <w:footnote w:type="continuationSeparator" w:id="0">
    <w:p w:rsidR="00EB76A7" w:rsidRDefault="00EB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1"/>
      <w:gridCol w:w="4748"/>
      <w:gridCol w:w="2589"/>
    </w:tblGrid>
    <w:tr w:rsidR="00A112E5" w:rsidRPr="00A112E5" w:rsidTr="00C9248F">
      <w:trPr>
        <w:trHeight w:val="1256"/>
      </w:trPr>
      <w:tc>
        <w:tcPr>
          <w:tcW w:w="1194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suppressAutoHyphens/>
            <w:autoSpaceDN w:val="0"/>
            <w:textAlignment w:val="baseline"/>
            <w:rPr>
              <w:lang w:val="fr-FR"/>
            </w:rPr>
          </w:pPr>
          <w:r w:rsidRPr="00A112E5">
            <w:rPr>
              <w:noProof/>
            </w:rPr>
            <w:drawing>
              <wp:inline distT="0" distB="0" distL="0" distR="0" wp14:anchorId="4312C3CB" wp14:editId="41EE1FCF">
                <wp:extent cx="657225" cy="581025"/>
                <wp:effectExtent l="0" t="0" r="9525" b="9525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8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A112E5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134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DR8</w:t>
          </w:r>
        </w:p>
        <w:p w:rsidR="00A112E5" w:rsidRPr="00A112E5" w:rsidRDefault="00A112E5" w:rsidP="00A112E5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A112E5" w:rsidRPr="00A112E5" w:rsidRDefault="00A112E5" w:rsidP="00A112E5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A112E5" w:rsidRPr="00A112E5" w:rsidRDefault="00DC3F68" w:rsidP="00A112E5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29</w:t>
          </w:r>
          <w:r w:rsidR="00A112E5" w:rsidRPr="00A112E5">
            <w:rPr>
              <w:i/>
              <w:iCs/>
              <w:sz w:val="20"/>
              <w:szCs w:val="20"/>
              <w:lang w:val="fr-FR"/>
            </w:rPr>
            <w:t xml:space="preserve"> août 2018</w:t>
          </w:r>
        </w:p>
        <w:p w:rsidR="00A112E5" w:rsidRPr="00A112E5" w:rsidRDefault="00A112E5" w:rsidP="00A112E5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A112E5" w:rsidRPr="005C5EE6" w:rsidTr="00C9248F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autoSpaceDN w:val="0"/>
            <w:jc w:val="center"/>
            <w:rPr>
              <w:sz w:val="22"/>
              <w:lang w:val="fr-FR"/>
            </w:rPr>
          </w:pPr>
          <w:r w:rsidRPr="00A112E5">
            <w:rPr>
              <w:b/>
              <w:bCs/>
              <w:sz w:val="26"/>
              <w:szCs w:val="26"/>
              <w:lang w:val="fr-FR"/>
            </w:rPr>
            <w:t>7</w:t>
          </w:r>
          <w:r w:rsidRPr="00A112E5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112E5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112E5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A112E5" w:rsidRPr="00A112E5" w:rsidRDefault="005C5EE6" w:rsidP="00A112E5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="00A112E5" w:rsidRPr="00A112E5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="00A112E5" w:rsidRPr="00A112E5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</w:t>
          </w:r>
          <w:r>
            <w:rPr>
              <w:i/>
              <w:iCs/>
              <w:lang w:val="fr-FR"/>
            </w:rPr>
            <w:t>2018</w:t>
          </w:r>
          <w:bookmarkStart w:id="1" w:name="_GoBack"/>
          <w:bookmarkEnd w:id="1"/>
          <w:r w:rsidR="00A112E5" w:rsidRPr="00A112E5">
            <w:rPr>
              <w:i/>
              <w:iCs/>
              <w:lang w:val="fr-FR"/>
            </w:rPr>
            <w:t>, Durban, Afrique du Sud</w:t>
          </w:r>
        </w:p>
      </w:tc>
    </w:tr>
    <w:tr w:rsidR="00A112E5" w:rsidRPr="005C5EE6" w:rsidTr="00C9248F">
      <w:trPr>
        <w:trHeight w:val="702"/>
      </w:trPr>
      <w:tc>
        <w:tcPr>
          <w:tcW w:w="5000" w:type="pct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12E5" w:rsidRPr="00A112E5" w:rsidRDefault="00A112E5" w:rsidP="00A112E5">
          <w:pPr>
            <w:autoSpaceDN w:val="0"/>
            <w:jc w:val="center"/>
            <w:rPr>
              <w:b/>
              <w:bCs/>
              <w:i/>
              <w:color w:val="000000" w:themeColor="text1"/>
              <w:highlight w:val="yellow"/>
              <w:lang w:val="fr-FR"/>
            </w:rPr>
          </w:pPr>
          <w:r w:rsidRPr="00A112E5">
            <w:rPr>
              <w:i/>
              <w:color w:val="000000"/>
              <w:sz w:val="22"/>
              <w:lang w:val="fr-FR"/>
            </w:rPr>
            <w:t>“Par-delà 2020 : Façonner la conservation des voies de migration pour l’avenir”</w:t>
          </w:r>
        </w:p>
      </w:tc>
    </w:tr>
  </w:tbl>
  <w:p w:rsidR="00AD6C69" w:rsidRPr="00926B31" w:rsidRDefault="00AD6C6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7E" w:rsidRPr="002F485E" w:rsidRDefault="00AE1F7E" w:rsidP="00C6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DE"/>
    <w:rsid w:val="00016E7B"/>
    <w:rsid w:val="00020888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C5EE6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703647"/>
    <w:rsid w:val="00737D14"/>
    <w:rsid w:val="00745B84"/>
    <w:rsid w:val="00751B27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A3E"/>
    <w:rsid w:val="00903E6E"/>
    <w:rsid w:val="009164F2"/>
    <w:rsid w:val="009256A6"/>
    <w:rsid w:val="00926B31"/>
    <w:rsid w:val="00935DFA"/>
    <w:rsid w:val="00944063"/>
    <w:rsid w:val="0094693C"/>
    <w:rsid w:val="00960705"/>
    <w:rsid w:val="0096757D"/>
    <w:rsid w:val="0096780E"/>
    <w:rsid w:val="00980C80"/>
    <w:rsid w:val="00990AB9"/>
    <w:rsid w:val="00994B00"/>
    <w:rsid w:val="00995095"/>
    <w:rsid w:val="009D1D09"/>
    <w:rsid w:val="00A04BA7"/>
    <w:rsid w:val="00A07EE3"/>
    <w:rsid w:val="00A112E5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70485"/>
    <w:rsid w:val="00D801A7"/>
    <w:rsid w:val="00D97245"/>
    <w:rsid w:val="00DA2E04"/>
    <w:rsid w:val="00DB0982"/>
    <w:rsid w:val="00DB6E97"/>
    <w:rsid w:val="00DB6FF8"/>
    <w:rsid w:val="00DC3F6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DAE19FB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00EB-51B2-4BB7-8609-72111657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3549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Jolanta Kremer</cp:lastModifiedBy>
  <cp:revision>4</cp:revision>
  <cp:lastPrinted>2018-06-13T10:21:00Z</cp:lastPrinted>
  <dcterms:created xsi:type="dcterms:W3CDTF">2018-08-30T14:24:00Z</dcterms:created>
  <dcterms:modified xsi:type="dcterms:W3CDTF">2018-10-16T16:17:00Z</dcterms:modified>
</cp:coreProperties>
</file>