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2A" w:rsidRPr="0033553A" w:rsidRDefault="00BD7F2A" w:rsidP="0060207D">
      <w:pPr>
        <w:tabs>
          <w:tab w:val="left" w:pos="4185"/>
        </w:tabs>
        <w:jc w:val="center"/>
        <w:rPr>
          <w:lang w:val="fr-FR"/>
        </w:rPr>
      </w:pPr>
      <w:bookmarkStart w:id="0" w:name="_Hlk513643711"/>
    </w:p>
    <w:p w:rsidR="004A5FDE" w:rsidRPr="0033553A" w:rsidRDefault="00745B84" w:rsidP="0060207D">
      <w:pPr>
        <w:tabs>
          <w:tab w:val="left" w:pos="4185"/>
        </w:tabs>
        <w:jc w:val="center"/>
        <w:rPr>
          <w:lang w:val="fr-FR"/>
        </w:rPr>
      </w:pPr>
      <w:r w:rsidRPr="0033553A">
        <w:rPr>
          <w:lang w:val="fr-FR"/>
        </w:rPr>
        <w:t xml:space="preserve"> AVANT-PROJET DE RÉSOLUTION 7.</w:t>
      </w:r>
      <w:r w:rsidR="00A112E5">
        <w:rPr>
          <w:lang w:val="fr-FR"/>
        </w:rPr>
        <w:t>8</w:t>
      </w:r>
    </w:p>
    <w:p w:rsidR="004A5FDE" w:rsidRPr="0033553A" w:rsidRDefault="004A5FDE" w:rsidP="00132F2E">
      <w:pPr>
        <w:spacing w:line="240" w:lineRule="exact"/>
        <w:ind w:right="-81"/>
        <w:jc w:val="center"/>
        <w:rPr>
          <w:b/>
          <w:bCs/>
          <w:sz w:val="12"/>
          <w:szCs w:val="12"/>
          <w:lang w:val="fr-FR"/>
        </w:rPr>
      </w:pPr>
    </w:p>
    <w:p w:rsidR="00BD7F2A" w:rsidRPr="0033553A" w:rsidRDefault="00BD7F2A" w:rsidP="00FA4E61">
      <w:pPr>
        <w:pStyle w:val="Heading9"/>
        <w:widowControl/>
        <w:tabs>
          <w:tab w:val="clear" w:pos="720"/>
        </w:tabs>
        <w:spacing w:line="276" w:lineRule="auto"/>
        <w:ind w:left="0" w:right="-81" w:firstLine="0"/>
        <w:rPr>
          <w:bCs/>
          <w:sz w:val="12"/>
          <w:szCs w:val="12"/>
          <w:lang w:val="fr-FR"/>
        </w:rPr>
      </w:pPr>
    </w:p>
    <w:p w:rsidR="00980C80" w:rsidRPr="0033553A" w:rsidRDefault="00745B84" w:rsidP="00F85A49">
      <w:pPr>
        <w:pStyle w:val="Heading9"/>
        <w:widowControl/>
        <w:tabs>
          <w:tab w:val="clear" w:pos="720"/>
        </w:tabs>
        <w:spacing w:line="280" w:lineRule="auto"/>
        <w:ind w:left="0" w:right="-81" w:firstLine="0"/>
        <w:rPr>
          <w:bCs/>
          <w:sz w:val="24"/>
          <w:szCs w:val="24"/>
          <w:lang w:val="fr-FR"/>
        </w:rPr>
      </w:pPr>
      <w:r w:rsidRPr="0033553A">
        <w:rPr>
          <w:bCs/>
          <w:sz w:val="24"/>
          <w:szCs w:val="24"/>
          <w:lang w:val="fr-FR"/>
        </w:rPr>
        <w:t>ADOPTION DE CONSEILS DANS LE CONTEXTE DE LA MISE EN ŒUVRE</w:t>
      </w:r>
      <w:r w:rsidR="00A550C8" w:rsidRPr="0033553A">
        <w:rPr>
          <w:bCs/>
          <w:sz w:val="24"/>
          <w:szCs w:val="24"/>
          <w:lang w:val="fr-FR"/>
        </w:rPr>
        <w:t xml:space="preserve"> </w:t>
      </w:r>
    </w:p>
    <w:p w:rsidR="004A5FDE" w:rsidRPr="0033553A" w:rsidRDefault="00745B84" w:rsidP="00F85A49">
      <w:pPr>
        <w:pStyle w:val="Heading9"/>
        <w:widowControl/>
        <w:tabs>
          <w:tab w:val="clear" w:pos="720"/>
        </w:tabs>
        <w:spacing w:line="280" w:lineRule="auto"/>
        <w:ind w:left="0" w:right="-81" w:firstLine="0"/>
        <w:rPr>
          <w:bCs/>
          <w:sz w:val="24"/>
          <w:szCs w:val="24"/>
          <w:lang w:val="fr-FR"/>
        </w:rPr>
      </w:pPr>
      <w:r w:rsidRPr="0033553A">
        <w:rPr>
          <w:bCs/>
          <w:sz w:val="24"/>
          <w:szCs w:val="24"/>
          <w:lang w:val="fr-FR"/>
        </w:rPr>
        <w:t>DU PLAN D’ACTION DE L’AEWA</w:t>
      </w:r>
    </w:p>
    <w:p w:rsidR="003D030A" w:rsidRPr="0033553A" w:rsidRDefault="003D030A" w:rsidP="003D030A">
      <w:pPr>
        <w:jc w:val="both"/>
        <w:rPr>
          <w:b/>
          <w:sz w:val="22"/>
          <w:szCs w:val="22"/>
          <w:lang w:val="fr-FR"/>
        </w:rPr>
      </w:pPr>
    </w:p>
    <w:p w:rsidR="00782700" w:rsidRPr="0033553A" w:rsidRDefault="00782700" w:rsidP="003D030A">
      <w:pPr>
        <w:jc w:val="both"/>
        <w:rPr>
          <w:b/>
          <w:sz w:val="22"/>
          <w:szCs w:val="22"/>
          <w:lang w:val="fr-FR"/>
        </w:rPr>
      </w:pPr>
    </w:p>
    <w:p w:rsidR="004A5FDE" w:rsidRPr="0033553A" w:rsidRDefault="00745B84" w:rsidP="00F85A49">
      <w:pPr>
        <w:spacing w:line="280" w:lineRule="auto"/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Rappelant</w:t>
      </w:r>
      <w:r w:rsidRPr="0033553A">
        <w:rPr>
          <w:sz w:val="22"/>
          <w:szCs w:val="22"/>
          <w:lang w:val="fr-FR"/>
        </w:rPr>
        <w:t xml:space="preserve"> la Résolution 4.3 qui demande au Comité technique</w:t>
      </w:r>
      <w:bookmarkEnd w:id="0"/>
      <w:r w:rsidRPr="0033553A">
        <w:rPr>
          <w:sz w:val="22"/>
          <w:szCs w:val="22"/>
          <w:lang w:val="fr-FR"/>
        </w:rPr>
        <w:t>, entre autres, d’examiner les motifs d</w:t>
      </w:r>
      <w:r w:rsidR="00322001" w:rsidRPr="0033553A">
        <w:rPr>
          <w:sz w:val="22"/>
          <w:szCs w:val="22"/>
          <w:lang w:val="fr-FR"/>
        </w:rPr>
        <w:t>e dérogations</w:t>
      </w:r>
      <w:r w:rsidRPr="0033553A">
        <w:rPr>
          <w:sz w:val="22"/>
          <w:szCs w:val="22"/>
          <w:lang w:val="fr-FR"/>
        </w:rPr>
        <w:t xml:space="preserve"> cités au paragraphe 2.1.3 a-e du </w:t>
      </w:r>
      <w:r w:rsidR="00322001" w:rsidRPr="0033553A">
        <w:rPr>
          <w:sz w:val="22"/>
          <w:szCs w:val="22"/>
          <w:lang w:val="fr-FR"/>
        </w:rPr>
        <w:t>Plan d’action de l’</w:t>
      </w:r>
      <w:r w:rsidRPr="0033553A">
        <w:rPr>
          <w:sz w:val="22"/>
          <w:szCs w:val="22"/>
          <w:lang w:val="fr-FR"/>
        </w:rPr>
        <w:t xml:space="preserve">AEWA </w:t>
      </w:r>
      <w:r w:rsidR="00322001" w:rsidRPr="0033553A">
        <w:rPr>
          <w:sz w:val="22"/>
          <w:szCs w:val="22"/>
          <w:lang w:val="fr-FR"/>
        </w:rPr>
        <w:t>et de fournir des conseils</w:t>
      </w:r>
      <w:r w:rsidRPr="0033553A">
        <w:rPr>
          <w:sz w:val="22"/>
          <w:szCs w:val="22"/>
          <w:lang w:val="fr-FR"/>
        </w:rPr>
        <w:t>,</w:t>
      </w:r>
    </w:p>
    <w:p w:rsidR="004A5FDE" w:rsidRPr="0033553A" w:rsidRDefault="004A5FDE" w:rsidP="00FA4E61">
      <w:pPr>
        <w:spacing w:line="276" w:lineRule="auto"/>
        <w:jc w:val="both"/>
        <w:rPr>
          <w:sz w:val="22"/>
          <w:szCs w:val="22"/>
          <w:lang w:val="fr-FR"/>
        </w:rPr>
      </w:pPr>
    </w:p>
    <w:p w:rsidR="008A29B1" w:rsidRPr="0033553A" w:rsidRDefault="00322001" w:rsidP="00F85A49">
      <w:pPr>
        <w:spacing w:line="280" w:lineRule="auto"/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 xml:space="preserve">Remerciant </w:t>
      </w:r>
      <w:r w:rsidRPr="0033553A">
        <w:rPr>
          <w:sz w:val="22"/>
          <w:szCs w:val="22"/>
          <w:lang w:val="fr-FR"/>
        </w:rPr>
        <w:t xml:space="preserve">le Comité technique pour son travail détaillé sur cette requête et la compilation de conseils sur l’application de dérogations aux interdictions </w:t>
      </w:r>
      <w:r w:rsidR="003830FC">
        <w:rPr>
          <w:sz w:val="22"/>
          <w:szCs w:val="22"/>
          <w:lang w:val="fr-FR"/>
        </w:rPr>
        <w:t>consignées</w:t>
      </w:r>
      <w:r w:rsidRPr="0033553A">
        <w:rPr>
          <w:sz w:val="22"/>
          <w:szCs w:val="22"/>
          <w:lang w:val="fr-FR"/>
        </w:rPr>
        <w:t xml:space="preserve"> aux paragraphes 2.1.1 et 2.1.2, conformément au paragraphe 2.1.3,</w:t>
      </w:r>
    </w:p>
    <w:p w:rsidR="00601DD4" w:rsidRPr="0033553A" w:rsidRDefault="00601DD4" w:rsidP="00FA4E6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6F3344" w:rsidRPr="0033553A" w:rsidRDefault="00322001" w:rsidP="00F85A49">
      <w:pPr>
        <w:spacing w:line="280" w:lineRule="auto"/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Remerciant en outre</w:t>
      </w:r>
      <w:r w:rsidRPr="0033553A">
        <w:rPr>
          <w:sz w:val="22"/>
          <w:szCs w:val="22"/>
          <w:lang w:val="fr-FR"/>
        </w:rPr>
        <w:t xml:space="preserve"> le Comité technique de son initiative d’élabor</w:t>
      </w:r>
      <w:r w:rsidR="003830FC">
        <w:rPr>
          <w:sz w:val="22"/>
          <w:szCs w:val="22"/>
          <w:lang w:val="fr-FR"/>
        </w:rPr>
        <w:t xml:space="preserve">ation </w:t>
      </w:r>
      <w:r w:rsidRPr="0033553A">
        <w:rPr>
          <w:sz w:val="22"/>
          <w:szCs w:val="22"/>
          <w:lang w:val="fr-FR"/>
        </w:rPr>
        <w:t>de conseils sur la mise en œuvre des dispositions de l’AEWA relatives aux espèces non indigènes, afin d’aider à la mise en œuvre des paragraphes 2.5, 3.3, 4.3.10 et 4.3.11 du Plan d’action de l’AEWA,</w:t>
      </w:r>
    </w:p>
    <w:p w:rsidR="008E38DB" w:rsidRPr="0033553A" w:rsidRDefault="008E38DB" w:rsidP="00FA4E6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8E38DB" w:rsidRPr="0033553A" w:rsidRDefault="00322001" w:rsidP="00F85A49">
      <w:pPr>
        <w:spacing w:line="280" w:lineRule="auto"/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Rappelant</w:t>
      </w:r>
      <w:r w:rsidRPr="0033553A">
        <w:rPr>
          <w:sz w:val="22"/>
          <w:szCs w:val="22"/>
          <w:lang w:val="fr-FR"/>
        </w:rPr>
        <w:t xml:space="preserve"> la Résolution 5.6, qui demande au Comité technique de continuer à </w:t>
      </w:r>
      <w:r w:rsidR="00F85A49" w:rsidRPr="0033553A">
        <w:rPr>
          <w:sz w:val="22"/>
          <w:szCs w:val="22"/>
          <w:lang w:val="fr-FR"/>
        </w:rPr>
        <w:t>développer</w:t>
      </w:r>
      <w:r w:rsidRPr="0033553A">
        <w:rPr>
          <w:sz w:val="22"/>
          <w:szCs w:val="22"/>
          <w:lang w:val="fr-FR"/>
        </w:rPr>
        <w:t xml:space="preserve"> des idées sur la façon de </w:t>
      </w:r>
      <w:r w:rsidR="003830FC">
        <w:rPr>
          <w:sz w:val="22"/>
          <w:szCs w:val="22"/>
          <w:lang w:val="fr-FR"/>
        </w:rPr>
        <w:t>s’attaquer aux</w:t>
      </w:r>
      <w:r w:rsidRPr="0033553A">
        <w:rPr>
          <w:sz w:val="22"/>
          <w:szCs w:val="22"/>
          <w:lang w:val="fr-FR"/>
        </w:rPr>
        <w:t xml:space="preserve"> déclins multi-espèces régiona</w:t>
      </w:r>
      <w:r w:rsidR="003830FC">
        <w:rPr>
          <w:sz w:val="22"/>
          <w:szCs w:val="22"/>
          <w:lang w:val="fr-FR"/>
        </w:rPr>
        <w:t>ux</w:t>
      </w:r>
      <w:r w:rsidRPr="0033553A">
        <w:rPr>
          <w:sz w:val="22"/>
          <w:szCs w:val="22"/>
          <w:lang w:val="fr-FR"/>
        </w:rPr>
        <w:t xml:space="preserve"> et </w:t>
      </w:r>
      <w:r w:rsidRPr="0033553A">
        <w:rPr>
          <w:i/>
          <w:sz w:val="22"/>
          <w:szCs w:val="22"/>
          <w:lang w:val="fr-FR"/>
        </w:rPr>
        <w:t xml:space="preserve">remerciant </w:t>
      </w:r>
      <w:r w:rsidRPr="0033553A">
        <w:rPr>
          <w:sz w:val="22"/>
          <w:szCs w:val="22"/>
          <w:lang w:val="fr-FR"/>
        </w:rPr>
        <w:t>le Comité de l’élaboration d’un manuel de conseils sur ces questions au cours de la dernière période triennale,</w:t>
      </w:r>
    </w:p>
    <w:p w:rsidR="006F3344" w:rsidRPr="0033553A" w:rsidRDefault="006F3344" w:rsidP="00FA4E6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BA6CED" w:rsidRPr="0033553A" w:rsidRDefault="00BA6CED" w:rsidP="00F85A49">
      <w:pPr>
        <w:spacing w:line="280" w:lineRule="auto"/>
        <w:jc w:val="both"/>
        <w:rPr>
          <w:i/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ab/>
      </w:r>
      <w:r w:rsidR="00322001" w:rsidRPr="0033553A">
        <w:rPr>
          <w:i/>
          <w:sz w:val="22"/>
          <w:szCs w:val="22"/>
          <w:lang w:val="fr-FR"/>
        </w:rPr>
        <w:t xml:space="preserve">Remerciant </w:t>
      </w:r>
      <w:r w:rsidR="00322001" w:rsidRPr="0033553A">
        <w:rPr>
          <w:sz w:val="22"/>
          <w:szCs w:val="22"/>
          <w:lang w:val="fr-FR"/>
        </w:rPr>
        <w:t>le Partenariat pour la surveillance des oiseaux d'eau d'Afrique-Eurasie d’</w:t>
      </w:r>
      <w:r w:rsidR="005B0901" w:rsidRPr="0033553A">
        <w:rPr>
          <w:sz w:val="22"/>
          <w:szCs w:val="22"/>
          <w:lang w:val="fr-FR"/>
        </w:rPr>
        <w:t>avoir aidé</w:t>
      </w:r>
      <w:r w:rsidR="00322001" w:rsidRPr="0033553A">
        <w:rPr>
          <w:sz w:val="22"/>
          <w:szCs w:val="22"/>
          <w:lang w:val="fr-FR"/>
        </w:rPr>
        <w:t xml:space="preserve"> le Comité technique à réviser </w:t>
      </w:r>
      <w:r w:rsidR="005B0901" w:rsidRPr="0033553A">
        <w:rPr>
          <w:sz w:val="22"/>
          <w:szCs w:val="22"/>
          <w:lang w:val="fr-FR"/>
        </w:rPr>
        <w:t>les Lignes directrices de conservation n</w:t>
      </w:r>
      <w:r w:rsidR="005B0901" w:rsidRPr="0033553A">
        <w:rPr>
          <w:sz w:val="22"/>
          <w:szCs w:val="22"/>
          <w:vertAlign w:val="superscript"/>
          <w:lang w:val="fr-FR"/>
        </w:rPr>
        <w:t>o</w:t>
      </w:r>
      <w:r w:rsidR="005B0901" w:rsidRPr="0033553A">
        <w:rPr>
          <w:sz w:val="22"/>
          <w:szCs w:val="22"/>
          <w:lang w:val="fr-FR"/>
        </w:rPr>
        <w:t xml:space="preserve"> 9 de l’AEWA, relatives à la surveillance des oiseaux d’eau, et le gouvernement des Pays-Bas d’avoir alloué des ressources financières à ce travail,</w:t>
      </w:r>
      <w:r w:rsidRPr="0033553A">
        <w:rPr>
          <w:sz w:val="22"/>
          <w:szCs w:val="22"/>
          <w:lang w:val="fr-FR"/>
        </w:rPr>
        <w:t xml:space="preserve"> </w:t>
      </w:r>
      <w:r w:rsidRPr="0033553A">
        <w:rPr>
          <w:i/>
          <w:sz w:val="22"/>
          <w:szCs w:val="22"/>
          <w:lang w:val="fr-FR"/>
        </w:rPr>
        <w:t xml:space="preserve"> </w:t>
      </w:r>
    </w:p>
    <w:p w:rsidR="00C9248F" w:rsidRPr="00C9248F" w:rsidRDefault="00C9248F" w:rsidP="00C9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  <w:lang w:val="fr-FR"/>
        </w:rPr>
      </w:pPr>
    </w:p>
    <w:p w:rsidR="00C9248F" w:rsidRPr="00C9248F" w:rsidRDefault="00C9248F" w:rsidP="006B7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0"/>
          <w:lang w:val="fr-FR"/>
        </w:rPr>
      </w:pPr>
      <w:r w:rsidRPr="00C9248F">
        <w:rPr>
          <w:sz w:val="22"/>
          <w:szCs w:val="20"/>
          <w:lang w:val="fr-FR"/>
        </w:rPr>
        <w:tab/>
      </w:r>
      <w:r w:rsidRPr="00C9248F">
        <w:rPr>
          <w:i/>
          <w:sz w:val="22"/>
          <w:szCs w:val="20"/>
          <w:lang w:val="fr-FR"/>
        </w:rPr>
        <w:t>Rappelant en outre</w:t>
      </w:r>
      <w:r w:rsidRPr="00C9248F">
        <w:rPr>
          <w:sz w:val="22"/>
          <w:szCs w:val="20"/>
          <w:lang w:val="fr-FR"/>
        </w:rPr>
        <w:t xml:space="preserve"> la résolution 5.10 qui a notamment adopté des directives sur la définition des périodes de reproduction et de migration </w:t>
      </w:r>
      <w:proofErr w:type="spellStart"/>
      <w:r w:rsidRPr="00C9248F">
        <w:rPr>
          <w:sz w:val="22"/>
          <w:szCs w:val="20"/>
          <w:lang w:val="fr-FR"/>
        </w:rPr>
        <w:t>pré-nuptiale</w:t>
      </w:r>
      <w:proofErr w:type="spellEnd"/>
      <w:r w:rsidRPr="00C9248F">
        <w:rPr>
          <w:sz w:val="22"/>
          <w:szCs w:val="20"/>
          <w:lang w:val="fr-FR"/>
        </w:rPr>
        <w:t xml:space="preserve"> des oiseaux d'eau migrateurs d'Afrique-Eurasie en ce qui concerne la mise en œuvre du paragraphe 2.1.2 a) du Plan d'action de l'AEWA, principalement utilisé pour les migrants paléarctiques alors que les migrants intra-africains bénéficieraient d'un travail plus ciblé.</w:t>
      </w:r>
    </w:p>
    <w:p w:rsidR="00671A79" w:rsidRPr="00C9248F" w:rsidRDefault="00671A79" w:rsidP="00C9248F">
      <w:pPr>
        <w:spacing w:line="276" w:lineRule="auto"/>
        <w:jc w:val="both"/>
        <w:rPr>
          <w:i/>
          <w:szCs w:val="22"/>
          <w:lang w:val="fr-FR"/>
        </w:rPr>
      </w:pPr>
    </w:p>
    <w:p w:rsidR="00AE1F7E" w:rsidRPr="0033553A" w:rsidRDefault="00AE1F7E" w:rsidP="00FA4E61">
      <w:pPr>
        <w:spacing w:line="276" w:lineRule="auto"/>
        <w:jc w:val="both"/>
        <w:rPr>
          <w:i/>
          <w:sz w:val="22"/>
          <w:szCs w:val="22"/>
          <w:lang w:val="fr-FR"/>
        </w:rPr>
      </w:pPr>
    </w:p>
    <w:p w:rsidR="004A5FDE" w:rsidRPr="0033553A" w:rsidRDefault="005B0901" w:rsidP="00F85A49">
      <w:pPr>
        <w:spacing w:line="280" w:lineRule="auto"/>
        <w:jc w:val="both"/>
        <w:rPr>
          <w:sz w:val="22"/>
          <w:szCs w:val="22"/>
          <w:lang w:val="fr-FR"/>
        </w:rPr>
      </w:pPr>
      <w:r w:rsidRPr="0033553A">
        <w:rPr>
          <w:i/>
          <w:iCs/>
          <w:sz w:val="22"/>
          <w:szCs w:val="22"/>
          <w:lang w:val="fr-FR"/>
        </w:rPr>
        <w:t>La Réunion des Parties :</w:t>
      </w:r>
    </w:p>
    <w:p w:rsidR="004A5FDE" w:rsidRPr="0033553A" w:rsidRDefault="004A5FDE" w:rsidP="00FA4E61">
      <w:pPr>
        <w:spacing w:line="276" w:lineRule="auto"/>
        <w:jc w:val="both"/>
        <w:rPr>
          <w:sz w:val="22"/>
          <w:szCs w:val="22"/>
          <w:lang w:val="fr-FR"/>
        </w:rPr>
      </w:pPr>
    </w:p>
    <w:p w:rsidR="009256A6" w:rsidRPr="0033553A" w:rsidRDefault="005B0901" w:rsidP="00F85A49">
      <w:pPr>
        <w:numPr>
          <w:ilvl w:val="0"/>
          <w:numId w:val="6"/>
        </w:numPr>
        <w:tabs>
          <w:tab w:val="clear" w:pos="928"/>
          <w:tab w:val="num" w:pos="0"/>
          <w:tab w:val="num" w:pos="709"/>
        </w:tabs>
        <w:spacing w:line="280" w:lineRule="auto"/>
        <w:ind w:left="0" w:firstLine="0"/>
        <w:jc w:val="both"/>
        <w:rPr>
          <w:sz w:val="22"/>
          <w:szCs w:val="22"/>
          <w:lang w:val="fr-FR"/>
        </w:rPr>
      </w:pPr>
      <w:r w:rsidRPr="0033553A">
        <w:rPr>
          <w:i/>
          <w:iCs/>
          <w:sz w:val="22"/>
          <w:szCs w:val="22"/>
          <w:lang w:val="fr-FR"/>
        </w:rPr>
        <w:t xml:space="preserve">Adopte </w:t>
      </w:r>
      <w:r w:rsidRPr="0033553A">
        <w:rPr>
          <w:iCs/>
          <w:sz w:val="22"/>
          <w:szCs w:val="22"/>
          <w:lang w:val="fr-FR"/>
        </w:rPr>
        <w:t xml:space="preserve">ce qui suit </w:t>
      </w:r>
      <w:r w:rsidRPr="0033553A">
        <w:rPr>
          <w:sz w:val="22"/>
          <w:szCs w:val="22"/>
          <w:lang w:val="fr-FR"/>
        </w:rPr>
        <w:t>:</w:t>
      </w:r>
      <w:r w:rsidR="004A5FDE" w:rsidRPr="0033553A">
        <w:rPr>
          <w:sz w:val="22"/>
          <w:szCs w:val="22"/>
          <w:lang w:val="fr-FR"/>
        </w:rPr>
        <w:t xml:space="preserve"> </w:t>
      </w:r>
    </w:p>
    <w:p w:rsidR="009256A6" w:rsidRPr="0033553A" w:rsidRDefault="009256A6" w:rsidP="00EC6CCC">
      <w:pPr>
        <w:spacing w:line="276" w:lineRule="auto"/>
        <w:jc w:val="both"/>
        <w:rPr>
          <w:i/>
          <w:sz w:val="22"/>
          <w:szCs w:val="22"/>
          <w:lang w:val="fr-FR"/>
        </w:rPr>
      </w:pPr>
    </w:p>
    <w:p w:rsidR="00FC5960" w:rsidRPr="0033553A" w:rsidRDefault="005B0901" w:rsidP="00F85A49">
      <w:pPr>
        <w:spacing w:line="280" w:lineRule="auto"/>
        <w:ind w:left="720"/>
        <w:jc w:val="both"/>
        <w:rPr>
          <w:sz w:val="22"/>
          <w:szCs w:val="22"/>
          <w:lang w:val="fr-FR"/>
        </w:rPr>
      </w:pPr>
      <w:r w:rsidRPr="009D1D09">
        <w:rPr>
          <w:sz w:val="22"/>
          <w:szCs w:val="22"/>
          <w:lang w:val="fr-FR"/>
        </w:rPr>
        <w:t>a.</w:t>
      </w:r>
      <w:r w:rsidR="009256A6" w:rsidRPr="0033553A">
        <w:rPr>
          <w:i/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 xml:space="preserve">Conseils pour l’observation des conditions du paragraphe 2.1.3 du Plan d’action de l’AEWA, </w:t>
      </w:r>
      <w:r w:rsidRPr="0033553A">
        <w:rPr>
          <w:sz w:val="22"/>
          <w:szCs w:val="22"/>
          <w:lang w:val="fr-FR"/>
        </w:rPr>
        <w:t>tels que présentés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32</w:t>
      </w:r>
    </w:p>
    <w:p w:rsidR="00EC6CCC" w:rsidRPr="0033553A" w:rsidRDefault="00EC6CCC" w:rsidP="00EC6CCC">
      <w:pPr>
        <w:spacing w:line="276" w:lineRule="auto"/>
        <w:ind w:left="720"/>
        <w:jc w:val="both"/>
        <w:rPr>
          <w:sz w:val="22"/>
          <w:szCs w:val="22"/>
          <w:lang w:val="fr-FR"/>
        </w:rPr>
      </w:pPr>
    </w:p>
    <w:p w:rsidR="006B7BFC" w:rsidRDefault="005B0901" w:rsidP="006B7BFC">
      <w:pPr>
        <w:spacing w:line="280" w:lineRule="auto"/>
        <w:ind w:left="720"/>
        <w:jc w:val="both"/>
        <w:rPr>
          <w:sz w:val="22"/>
          <w:szCs w:val="22"/>
          <w:lang w:val="fr-FR"/>
        </w:rPr>
        <w:sectPr w:rsidR="006B7BFC" w:rsidSect="000473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1" w:right="1134" w:bottom="851" w:left="1134" w:header="851" w:footer="510" w:gutter="0"/>
          <w:cols w:space="708"/>
          <w:docGrid w:linePitch="360"/>
        </w:sectPr>
      </w:pPr>
      <w:r w:rsidRPr="009D1D09">
        <w:rPr>
          <w:sz w:val="22"/>
          <w:szCs w:val="22"/>
          <w:lang w:val="fr-FR"/>
        </w:rPr>
        <w:t>b.</w:t>
      </w:r>
      <w:r w:rsidR="009256A6" w:rsidRPr="0033553A">
        <w:rPr>
          <w:i/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 xml:space="preserve">Conseils sur les dispositions de l’AEWA relatives aux espèces non indigènes, </w:t>
      </w:r>
      <w:r w:rsidRPr="0033553A">
        <w:rPr>
          <w:sz w:val="22"/>
          <w:szCs w:val="22"/>
          <w:lang w:val="fr-FR"/>
        </w:rPr>
        <w:t>tels que présentés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33</w:t>
      </w:r>
    </w:p>
    <w:p w:rsidR="00EC6CCC" w:rsidRPr="0033553A" w:rsidRDefault="00EC6CCC" w:rsidP="006B7BFC">
      <w:pPr>
        <w:spacing w:line="280" w:lineRule="auto"/>
        <w:ind w:left="720"/>
        <w:jc w:val="both"/>
        <w:rPr>
          <w:sz w:val="22"/>
          <w:szCs w:val="22"/>
          <w:lang w:val="fr-FR"/>
        </w:rPr>
      </w:pPr>
    </w:p>
    <w:p w:rsidR="008443A0" w:rsidRDefault="005B0901" w:rsidP="00F85A49">
      <w:pPr>
        <w:spacing w:line="280" w:lineRule="auto"/>
        <w:ind w:left="720"/>
        <w:jc w:val="both"/>
        <w:rPr>
          <w:sz w:val="22"/>
          <w:szCs w:val="22"/>
          <w:lang w:val="fr-FR"/>
        </w:rPr>
      </w:pPr>
      <w:r w:rsidRPr="009D1D09">
        <w:rPr>
          <w:sz w:val="22"/>
          <w:szCs w:val="22"/>
          <w:lang w:val="fr-FR"/>
        </w:rPr>
        <w:t>c.</w:t>
      </w:r>
      <w:r w:rsidR="008E38DB" w:rsidRPr="0033553A">
        <w:rPr>
          <w:i/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 xml:space="preserve">Conseils sur l'emploi d’une approche systématique en réponse aux déclins d’oiseaux d’eau </w:t>
      </w:r>
      <w:r w:rsidR="0033553A" w:rsidRPr="0033553A">
        <w:rPr>
          <w:i/>
          <w:sz w:val="22"/>
          <w:szCs w:val="22"/>
          <w:lang w:val="fr-FR"/>
        </w:rPr>
        <w:t>: liste</w:t>
      </w:r>
      <w:r w:rsidRPr="0033553A">
        <w:rPr>
          <w:i/>
          <w:sz w:val="22"/>
          <w:szCs w:val="22"/>
          <w:lang w:val="fr-FR"/>
        </w:rPr>
        <w:t xml:space="preserve"> de vérification des actions potentielles </w:t>
      </w:r>
      <w:bookmarkStart w:id="2" w:name="_Hlk515567214"/>
      <w:r w:rsidRPr="0033553A">
        <w:rPr>
          <w:sz w:val="22"/>
          <w:szCs w:val="22"/>
          <w:lang w:val="fr-FR"/>
        </w:rPr>
        <w:t>tels que présentés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34</w:t>
      </w:r>
      <w:bookmarkEnd w:id="2"/>
    </w:p>
    <w:p w:rsidR="006B7BFC" w:rsidRDefault="006B7BFC" w:rsidP="00F85A49">
      <w:pPr>
        <w:spacing w:line="280" w:lineRule="auto"/>
        <w:ind w:left="720"/>
        <w:jc w:val="both"/>
        <w:rPr>
          <w:sz w:val="22"/>
          <w:szCs w:val="22"/>
          <w:lang w:val="fr-FR"/>
        </w:rPr>
      </w:pPr>
    </w:p>
    <w:p w:rsidR="00AE1F7E" w:rsidRDefault="005B0901" w:rsidP="00926B31">
      <w:pPr>
        <w:spacing w:line="280" w:lineRule="auto"/>
        <w:ind w:left="720"/>
        <w:jc w:val="both"/>
        <w:rPr>
          <w:sz w:val="22"/>
          <w:szCs w:val="22"/>
          <w:lang w:val="fr-FR"/>
        </w:rPr>
      </w:pPr>
      <w:r w:rsidRPr="0033553A">
        <w:rPr>
          <w:sz w:val="22"/>
          <w:szCs w:val="22"/>
          <w:lang w:val="fr-FR"/>
        </w:rPr>
        <w:t>d.</w:t>
      </w:r>
      <w:r w:rsidR="00BA6CED" w:rsidRPr="0033553A">
        <w:rPr>
          <w:sz w:val="22"/>
          <w:szCs w:val="22"/>
          <w:lang w:val="fr-FR"/>
        </w:rPr>
        <w:t xml:space="preserve"> </w:t>
      </w:r>
      <w:r w:rsidR="00737D14" w:rsidRPr="0033553A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 xml:space="preserve">Les </w:t>
      </w:r>
      <w:r w:rsidRPr="0033553A">
        <w:rPr>
          <w:i/>
          <w:sz w:val="22"/>
          <w:szCs w:val="22"/>
          <w:lang w:val="fr-FR"/>
        </w:rPr>
        <w:t>Lignes directrices de conservation n</w:t>
      </w:r>
      <w:r w:rsidRPr="0033553A">
        <w:rPr>
          <w:i/>
          <w:sz w:val="22"/>
          <w:szCs w:val="22"/>
          <w:vertAlign w:val="superscript"/>
          <w:lang w:val="fr-FR"/>
        </w:rPr>
        <w:t>o</w:t>
      </w:r>
      <w:r w:rsidRPr="0033553A">
        <w:rPr>
          <w:i/>
          <w:sz w:val="22"/>
          <w:szCs w:val="22"/>
          <w:lang w:val="fr-FR"/>
        </w:rPr>
        <w:t xml:space="preserve"> 9 révisées sur la surveillance des oiseaux d’eau</w:t>
      </w:r>
      <w:r w:rsidRPr="0033553A">
        <w:rPr>
          <w:sz w:val="22"/>
          <w:szCs w:val="22"/>
          <w:lang w:val="fr-FR"/>
        </w:rPr>
        <w:t xml:space="preserve"> telles que présentées dans le document AEWA/MOP</w:t>
      </w:r>
      <w:r w:rsidR="006B7BFC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7.</w:t>
      </w:r>
      <w:r w:rsidR="00A112E5">
        <w:rPr>
          <w:sz w:val="22"/>
          <w:szCs w:val="22"/>
          <w:lang w:val="fr-FR"/>
        </w:rPr>
        <w:t>35</w:t>
      </w:r>
      <w:r w:rsidR="00926B31">
        <w:rPr>
          <w:sz w:val="22"/>
          <w:szCs w:val="22"/>
          <w:lang w:val="fr-FR"/>
        </w:rPr>
        <w:t xml:space="preserve"> </w:t>
      </w:r>
      <w:r w:rsidRPr="0033553A">
        <w:rPr>
          <w:sz w:val="22"/>
          <w:szCs w:val="22"/>
          <w:lang w:val="fr-FR"/>
        </w:rPr>
        <w:t>;</w:t>
      </w:r>
    </w:p>
    <w:p w:rsidR="00926B31" w:rsidRPr="0033553A" w:rsidRDefault="00926B31" w:rsidP="00926B31">
      <w:pPr>
        <w:spacing w:line="280" w:lineRule="auto"/>
        <w:ind w:left="720"/>
        <w:jc w:val="both"/>
        <w:rPr>
          <w:sz w:val="22"/>
          <w:szCs w:val="22"/>
          <w:lang w:val="fr-FR"/>
        </w:rPr>
      </w:pPr>
    </w:p>
    <w:p w:rsidR="00AE1F7E" w:rsidRPr="006B7BFC" w:rsidRDefault="005B0901" w:rsidP="006B7BFC">
      <w:pPr>
        <w:pStyle w:val="ListParagraph"/>
        <w:numPr>
          <w:ilvl w:val="0"/>
          <w:numId w:val="6"/>
        </w:numPr>
        <w:tabs>
          <w:tab w:val="clear" w:pos="928"/>
        </w:tabs>
        <w:spacing w:line="280" w:lineRule="auto"/>
        <w:ind w:left="0" w:firstLine="0"/>
        <w:jc w:val="both"/>
        <w:rPr>
          <w:sz w:val="22"/>
          <w:szCs w:val="22"/>
          <w:lang w:val="fr-FR" w:eastAsia="en-GB"/>
        </w:rPr>
      </w:pPr>
      <w:r w:rsidRPr="006B7BFC">
        <w:rPr>
          <w:i/>
          <w:sz w:val="22"/>
          <w:szCs w:val="22"/>
          <w:lang w:val="fr-FR" w:eastAsia="en-GB"/>
        </w:rPr>
        <w:t xml:space="preserve">Exhorte </w:t>
      </w:r>
      <w:r w:rsidRPr="006B7BFC">
        <w:rPr>
          <w:sz w:val="22"/>
          <w:szCs w:val="22"/>
          <w:lang w:val="fr-FR" w:eastAsia="en-GB"/>
        </w:rPr>
        <w:t>les Parties à mettre en œuvre ces conseils et lignes directrices et de présenter leur rapport sans délai au Secrétariat PNUE/AEWA lorsqu’ils appliquent des dérogations aux dispositions des paragraphes 2.1.1 et 2.1.2 du Plan d’action de l’AEWA</w:t>
      </w:r>
      <w:r w:rsidR="00926B31" w:rsidRPr="006B7BFC">
        <w:rPr>
          <w:sz w:val="22"/>
          <w:szCs w:val="22"/>
          <w:lang w:val="fr-FR" w:eastAsia="en-GB"/>
        </w:rPr>
        <w:t xml:space="preserve"> </w:t>
      </w:r>
      <w:r w:rsidRPr="006B7BFC">
        <w:rPr>
          <w:sz w:val="22"/>
          <w:szCs w:val="22"/>
          <w:lang w:val="fr-FR" w:eastAsia="en-GB"/>
        </w:rPr>
        <w:t>;</w:t>
      </w:r>
    </w:p>
    <w:p w:rsidR="00AD6C69" w:rsidRPr="0033553A" w:rsidRDefault="00AD6C69" w:rsidP="006B7BFC">
      <w:pPr>
        <w:tabs>
          <w:tab w:val="num" w:pos="928"/>
        </w:tabs>
        <w:spacing w:line="276" w:lineRule="auto"/>
        <w:jc w:val="both"/>
        <w:rPr>
          <w:sz w:val="22"/>
          <w:szCs w:val="22"/>
          <w:lang w:val="fr-FR" w:eastAsia="en-GB"/>
        </w:rPr>
      </w:pPr>
    </w:p>
    <w:p w:rsidR="00304FAF" w:rsidRPr="006B7BFC" w:rsidRDefault="005B0901" w:rsidP="006B7BFC">
      <w:pPr>
        <w:pStyle w:val="ListParagraph"/>
        <w:numPr>
          <w:ilvl w:val="0"/>
          <w:numId w:val="6"/>
        </w:numPr>
        <w:tabs>
          <w:tab w:val="clear" w:pos="928"/>
          <w:tab w:val="num" w:pos="709"/>
        </w:tabs>
        <w:spacing w:line="280" w:lineRule="auto"/>
        <w:ind w:left="0" w:firstLine="0"/>
        <w:jc w:val="both"/>
        <w:rPr>
          <w:sz w:val="22"/>
          <w:szCs w:val="22"/>
          <w:lang w:val="fr-FR" w:eastAsia="en-GB"/>
        </w:rPr>
      </w:pPr>
      <w:r w:rsidRPr="006B7BFC">
        <w:rPr>
          <w:i/>
          <w:sz w:val="22"/>
          <w:szCs w:val="22"/>
          <w:lang w:val="fr-FR" w:eastAsia="en-GB"/>
        </w:rPr>
        <w:t xml:space="preserve">Demande </w:t>
      </w:r>
      <w:r w:rsidRPr="006B7BFC">
        <w:rPr>
          <w:sz w:val="22"/>
          <w:szCs w:val="22"/>
          <w:lang w:val="fr-FR" w:eastAsia="en-GB"/>
        </w:rPr>
        <w:t>au Comité technique et au Secrétariat d</w:t>
      </w:r>
      <w:r w:rsidR="00F85A49" w:rsidRPr="006B7BFC">
        <w:rPr>
          <w:sz w:val="22"/>
          <w:szCs w:val="22"/>
          <w:lang w:val="fr-FR" w:eastAsia="en-GB"/>
        </w:rPr>
        <w:t>’</w:t>
      </w:r>
      <w:r w:rsidRPr="006B7BFC">
        <w:rPr>
          <w:sz w:val="22"/>
          <w:szCs w:val="22"/>
          <w:lang w:val="fr-FR" w:eastAsia="en-GB"/>
        </w:rPr>
        <w:t>e</w:t>
      </w:r>
      <w:r w:rsidR="00F85A49" w:rsidRPr="006B7BFC">
        <w:rPr>
          <w:sz w:val="22"/>
          <w:szCs w:val="22"/>
          <w:lang w:val="fr-FR" w:eastAsia="en-GB"/>
        </w:rPr>
        <w:t>ntretenir</w:t>
      </w:r>
      <w:r w:rsidRPr="006B7BFC">
        <w:rPr>
          <w:sz w:val="22"/>
          <w:szCs w:val="22"/>
          <w:lang w:val="fr-FR" w:eastAsia="en-GB"/>
        </w:rPr>
        <w:t xml:space="preserve"> le manuel de conseils sur l</w:t>
      </w:r>
      <w:r w:rsidR="00F85A49" w:rsidRPr="006B7BFC">
        <w:rPr>
          <w:sz w:val="22"/>
          <w:szCs w:val="22"/>
          <w:lang w:val="fr-FR" w:eastAsia="en-GB"/>
        </w:rPr>
        <w:t>’emploi d’une approche systématique en réponse aux déclins des oiseaux d’eau</w:t>
      </w:r>
      <w:r w:rsidRPr="006B7BFC">
        <w:rPr>
          <w:sz w:val="22"/>
          <w:szCs w:val="22"/>
          <w:lang w:val="fr-FR" w:eastAsia="en-GB"/>
        </w:rPr>
        <w:t xml:space="preserve">, </w:t>
      </w:r>
      <w:r w:rsidR="00F85A49" w:rsidRPr="006B7BFC">
        <w:rPr>
          <w:sz w:val="22"/>
          <w:szCs w:val="22"/>
          <w:lang w:val="fr-FR" w:eastAsia="en-GB"/>
        </w:rPr>
        <w:t>ainsi que les</w:t>
      </w:r>
      <w:r w:rsidR="003830FC" w:rsidRPr="006B7BFC">
        <w:rPr>
          <w:sz w:val="22"/>
          <w:szCs w:val="22"/>
          <w:lang w:val="fr-FR" w:eastAsia="en-GB"/>
        </w:rPr>
        <w:t xml:space="preserve"> types</w:t>
      </w:r>
      <w:r w:rsidR="00F85A49" w:rsidRPr="006B7BFC">
        <w:rPr>
          <w:sz w:val="22"/>
          <w:szCs w:val="22"/>
          <w:lang w:val="fr-FR" w:eastAsia="en-GB"/>
        </w:rPr>
        <w:t xml:space="preserve"> de conseils</w:t>
      </w:r>
      <w:r w:rsidR="003830FC" w:rsidRPr="006B7BFC">
        <w:rPr>
          <w:sz w:val="22"/>
          <w:szCs w:val="22"/>
          <w:lang w:val="fr-FR" w:eastAsia="en-GB"/>
        </w:rPr>
        <w:t xml:space="preserve"> similaires</w:t>
      </w:r>
      <w:r w:rsidR="00F85A49" w:rsidRPr="006B7BFC">
        <w:rPr>
          <w:sz w:val="22"/>
          <w:szCs w:val="22"/>
          <w:lang w:val="fr-FR" w:eastAsia="en-GB"/>
        </w:rPr>
        <w:t xml:space="preserve">, </w:t>
      </w:r>
      <w:r w:rsidRPr="006B7BFC">
        <w:rPr>
          <w:sz w:val="22"/>
          <w:szCs w:val="22"/>
          <w:lang w:val="fr-FR" w:eastAsia="en-GB"/>
        </w:rPr>
        <w:t>pr</w:t>
      </w:r>
      <w:r w:rsidR="00F85A49" w:rsidRPr="006B7BFC">
        <w:rPr>
          <w:sz w:val="22"/>
          <w:szCs w:val="22"/>
          <w:lang w:val="fr-FR" w:eastAsia="en-GB"/>
        </w:rPr>
        <w:t>écédemment adoptés</w:t>
      </w:r>
      <w:r w:rsidRPr="006B7BFC">
        <w:rPr>
          <w:sz w:val="22"/>
          <w:szCs w:val="22"/>
          <w:lang w:val="fr-FR" w:eastAsia="en-GB"/>
        </w:rPr>
        <w:t xml:space="preserve"> </w:t>
      </w:r>
      <w:r w:rsidR="00F85A49" w:rsidRPr="006B7BFC">
        <w:rPr>
          <w:sz w:val="22"/>
          <w:szCs w:val="22"/>
          <w:lang w:val="fr-FR" w:eastAsia="en-GB"/>
        </w:rPr>
        <w:t>par la Réunion des</w:t>
      </w:r>
      <w:r w:rsidRPr="006B7BFC">
        <w:rPr>
          <w:sz w:val="22"/>
          <w:szCs w:val="22"/>
          <w:lang w:val="fr-FR" w:eastAsia="en-GB"/>
        </w:rPr>
        <w:t xml:space="preserve"> Parties, </w:t>
      </w:r>
      <w:r w:rsidR="00F85A49" w:rsidRPr="006B7BFC">
        <w:rPr>
          <w:sz w:val="22"/>
          <w:szCs w:val="22"/>
          <w:lang w:val="fr-FR" w:eastAsia="en-GB"/>
        </w:rPr>
        <w:t>en tant que conseils continus</w:t>
      </w:r>
      <w:r w:rsidRPr="006B7BFC">
        <w:rPr>
          <w:sz w:val="22"/>
          <w:szCs w:val="22"/>
          <w:lang w:val="fr-FR" w:eastAsia="en-GB"/>
        </w:rPr>
        <w:t xml:space="preserve"> </w:t>
      </w:r>
      <w:r w:rsidR="003830FC" w:rsidRPr="006B7BFC">
        <w:rPr>
          <w:sz w:val="22"/>
          <w:szCs w:val="22"/>
          <w:lang w:val="fr-FR" w:eastAsia="en-GB"/>
        </w:rPr>
        <w:t>disponibles</w:t>
      </w:r>
      <w:r w:rsidR="00F85A49" w:rsidRPr="006B7BFC">
        <w:rPr>
          <w:sz w:val="22"/>
          <w:szCs w:val="22"/>
          <w:lang w:val="fr-FR" w:eastAsia="en-GB"/>
        </w:rPr>
        <w:t xml:space="preserve"> sur le site Internet de l’AEWA, et de les mettre à jour</w:t>
      </w:r>
      <w:r w:rsidRPr="006B7BFC">
        <w:rPr>
          <w:sz w:val="22"/>
          <w:szCs w:val="22"/>
          <w:lang w:val="fr-FR" w:eastAsia="en-GB"/>
        </w:rPr>
        <w:t xml:space="preserve"> </w:t>
      </w:r>
      <w:r w:rsidR="00F85A49" w:rsidRPr="006B7BFC">
        <w:rPr>
          <w:sz w:val="22"/>
          <w:szCs w:val="22"/>
          <w:lang w:val="fr-FR" w:eastAsia="en-GB"/>
        </w:rPr>
        <w:t>lorsque cela est nécessaire et possible</w:t>
      </w:r>
      <w:r w:rsidR="006B7BFC">
        <w:rPr>
          <w:sz w:val="22"/>
          <w:szCs w:val="22"/>
          <w:lang w:val="fr-FR" w:eastAsia="en-GB"/>
        </w:rPr>
        <w:t> ;</w:t>
      </w:r>
    </w:p>
    <w:p w:rsidR="00A112E5" w:rsidRPr="00C9248F" w:rsidRDefault="00A112E5" w:rsidP="00C9248F">
      <w:pPr>
        <w:tabs>
          <w:tab w:val="num" w:pos="928"/>
        </w:tabs>
        <w:spacing w:line="280" w:lineRule="auto"/>
        <w:jc w:val="both"/>
        <w:rPr>
          <w:sz w:val="22"/>
          <w:szCs w:val="22"/>
          <w:lang w:val="fr-FR" w:eastAsia="en-GB"/>
        </w:rPr>
      </w:pPr>
    </w:p>
    <w:p w:rsidR="00C9248F" w:rsidRPr="006B7BFC" w:rsidRDefault="00C9248F" w:rsidP="006B7BFC">
      <w:pPr>
        <w:pStyle w:val="ListParagraph"/>
        <w:numPr>
          <w:ilvl w:val="0"/>
          <w:numId w:val="6"/>
        </w:numPr>
        <w:tabs>
          <w:tab w:val="clear" w:pos="928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2"/>
          <w:szCs w:val="22"/>
          <w:lang w:val="fr-FR"/>
        </w:rPr>
      </w:pPr>
      <w:r w:rsidRPr="006B7BFC">
        <w:rPr>
          <w:i/>
          <w:sz w:val="22"/>
          <w:szCs w:val="22"/>
          <w:lang w:val="fr-FR"/>
        </w:rPr>
        <w:t>Prie instamment</w:t>
      </w:r>
      <w:r w:rsidRPr="006B7BFC">
        <w:rPr>
          <w:sz w:val="22"/>
          <w:szCs w:val="22"/>
          <w:lang w:val="fr-FR"/>
        </w:rPr>
        <w:t xml:space="preserve"> toutes les Parties contractantes en Afrique d’identifier au niveau national les périodes de reproduction et de migration </w:t>
      </w:r>
      <w:proofErr w:type="spellStart"/>
      <w:r w:rsidRPr="006B7BFC">
        <w:rPr>
          <w:sz w:val="22"/>
          <w:szCs w:val="22"/>
          <w:lang w:val="fr-FR"/>
        </w:rPr>
        <w:t>pré-nuptiale</w:t>
      </w:r>
      <w:proofErr w:type="spellEnd"/>
      <w:r w:rsidRPr="006B7BFC">
        <w:rPr>
          <w:sz w:val="22"/>
          <w:szCs w:val="22"/>
          <w:lang w:val="fr-FR"/>
        </w:rPr>
        <w:t xml:space="preserve"> pour toutes les espèces inscrites à l’AEWA et leurs populations respectives présentes sur leurs territoires et d’appliquer ces connaissances à la mise en œuvre du paragraphe 2.1. .2 (a) du Plan d'action de l'AEWA.</w:t>
      </w:r>
    </w:p>
    <w:p w:rsidR="00A112E5" w:rsidRPr="00C9248F" w:rsidRDefault="00A112E5" w:rsidP="006B7BFC">
      <w:p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  <w:lang w:val="fr-FR" w:eastAsia="en-GB"/>
        </w:rPr>
      </w:pPr>
    </w:p>
    <w:sectPr w:rsidR="00A112E5" w:rsidRPr="00C9248F" w:rsidSect="0004731F">
      <w:headerReference w:type="default" r:id="rId14"/>
      <w:footerReference w:type="default" r:id="rId15"/>
      <w:pgSz w:w="11906" w:h="16838" w:code="9"/>
      <w:pgMar w:top="1021" w:right="1134" w:bottom="851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6A7" w:rsidRDefault="00EB76A7">
      <w:r>
        <w:separator/>
      </w:r>
    </w:p>
  </w:endnote>
  <w:endnote w:type="continuationSeparator" w:id="0">
    <w:p w:rsidR="00EB76A7" w:rsidRDefault="00EB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F68" w:rsidRDefault="00DC3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9" w:rsidRDefault="00AD6C69">
    <w:pPr>
      <w:pStyle w:val="Footer"/>
      <w:jc w:val="center"/>
    </w:pPr>
  </w:p>
  <w:p w:rsidR="00C60CA7" w:rsidRPr="002F485E" w:rsidRDefault="00C60CA7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F68" w:rsidRDefault="00DC3F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4320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D6C69" w:rsidRPr="00AD6C69" w:rsidRDefault="00935DFA">
        <w:pPr>
          <w:pStyle w:val="Footer"/>
          <w:jc w:val="center"/>
          <w:rPr>
            <w:sz w:val="20"/>
            <w:szCs w:val="20"/>
          </w:rPr>
        </w:pPr>
        <w:r w:rsidRPr="00AD6C69">
          <w:rPr>
            <w:sz w:val="20"/>
            <w:szCs w:val="20"/>
          </w:rPr>
          <w:fldChar w:fldCharType="begin"/>
        </w:r>
        <w:r w:rsidR="00AD6C69" w:rsidRPr="00AD6C69">
          <w:rPr>
            <w:sz w:val="20"/>
            <w:szCs w:val="20"/>
          </w:rPr>
          <w:instrText xml:space="preserve"> PAGE   \* MERGEFORMAT </w:instrText>
        </w:r>
        <w:r w:rsidRPr="00AD6C69">
          <w:rPr>
            <w:sz w:val="20"/>
            <w:szCs w:val="20"/>
          </w:rPr>
          <w:fldChar w:fldCharType="separate"/>
        </w:r>
        <w:r w:rsidR="00071A9E">
          <w:rPr>
            <w:noProof/>
            <w:sz w:val="20"/>
            <w:szCs w:val="20"/>
          </w:rPr>
          <w:t>2</w:t>
        </w:r>
        <w:r w:rsidRPr="00AD6C69">
          <w:rPr>
            <w:noProof/>
            <w:sz w:val="20"/>
            <w:szCs w:val="20"/>
          </w:rPr>
          <w:fldChar w:fldCharType="end"/>
        </w:r>
      </w:p>
    </w:sdtContent>
  </w:sdt>
  <w:p w:rsidR="00AD6C69" w:rsidRPr="002F485E" w:rsidRDefault="00AD6C69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6A7" w:rsidRDefault="00EB76A7">
      <w:r>
        <w:separator/>
      </w:r>
    </w:p>
  </w:footnote>
  <w:footnote w:type="continuationSeparator" w:id="0">
    <w:p w:rsidR="00EB76A7" w:rsidRDefault="00EB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F68" w:rsidRDefault="00DC3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301"/>
      <w:gridCol w:w="4748"/>
      <w:gridCol w:w="2589"/>
    </w:tblGrid>
    <w:tr w:rsidR="00A112E5" w:rsidRPr="00A112E5" w:rsidTr="00C9248F">
      <w:trPr>
        <w:trHeight w:val="1256"/>
      </w:trPr>
      <w:tc>
        <w:tcPr>
          <w:tcW w:w="1194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112E5" w:rsidRPr="00A112E5" w:rsidRDefault="00A112E5" w:rsidP="00A112E5">
          <w:pPr>
            <w:suppressAutoHyphens/>
            <w:autoSpaceDN w:val="0"/>
            <w:textAlignment w:val="baseline"/>
            <w:rPr>
              <w:lang w:val="fr-FR"/>
            </w:rPr>
          </w:pPr>
          <w:r w:rsidRPr="00A112E5">
            <w:rPr>
              <w:noProof/>
            </w:rPr>
            <w:drawing>
              <wp:inline distT="0" distB="0" distL="0" distR="0" wp14:anchorId="4312C3CB" wp14:editId="41EE1FCF">
                <wp:extent cx="828675" cy="695328"/>
                <wp:effectExtent l="0" t="0" r="9525" b="9522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9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112E5" w:rsidRPr="00A112E5" w:rsidRDefault="00A112E5" w:rsidP="00A112E5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A112E5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1343" w:type="pc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112E5" w:rsidRPr="00A112E5" w:rsidRDefault="00A112E5" w:rsidP="00A112E5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A112E5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A112E5">
            <w:rPr>
              <w:bCs/>
              <w:i/>
              <w:iCs/>
              <w:sz w:val="20"/>
              <w:szCs w:val="20"/>
              <w:lang w:val="fr-FR"/>
            </w:rPr>
            <w:t>AEWA/MOP7</w:t>
          </w:r>
          <w:r>
            <w:rPr>
              <w:bCs/>
              <w:i/>
              <w:iCs/>
              <w:sz w:val="20"/>
              <w:szCs w:val="20"/>
              <w:lang w:val="fr-FR"/>
            </w:rPr>
            <w:t xml:space="preserve"> DR8</w:t>
          </w:r>
        </w:p>
        <w:p w:rsidR="00A112E5" w:rsidRPr="00A112E5" w:rsidRDefault="00A112E5" w:rsidP="00A112E5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A112E5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22</w:t>
          </w:r>
          <w:r w:rsidRPr="00A112E5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A112E5" w:rsidRPr="00A112E5" w:rsidRDefault="00A112E5" w:rsidP="00A112E5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A112E5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:rsidR="00A112E5" w:rsidRPr="00A112E5" w:rsidRDefault="00DC3F68" w:rsidP="00A112E5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29</w:t>
          </w:r>
          <w:bookmarkStart w:id="1" w:name="_GoBack"/>
          <w:bookmarkEnd w:id="1"/>
          <w:r w:rsidR="00A112E5" w:rsidRPr="00A112E5">
            <w:rPr>
              <w:i/>
              <w:iCs/>
              <w:sz w:val="20"/>
              <w:szCs w:val="20"/>
              <w:lang w:val="fr-FR"/>
            </w:rPr>
            <w:t xml:space="preserve"> août 2018</w:t>
          </w:r>
        </w:p>
        <w:p w:rsidR="00A112E5" w:rsidRPr="00A112E5" w:rsidRDefault="00A112E5" w:rsidP="00A112E5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A112E5" w:rsidRPr="00DC3F68" w:rsidTr="00C9248F">
      <w:tc>
        <w:tcPr>
          <w:tcW w:w="5000" w:type="pct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112E5" w:rsidRPr="00A112E5" w:rsidRDefault="00A112E5" w:rsidP="00A112E5">
          <w:pPr>
            <w:autoSpaceDN w:val="0"/>
            <w:jc w:val="center"/>
            <w:rPr>
              <w:sz w:val="22"/>
              <w:lang w:val="fr-FR"/>
            </w:rPr>
          </w:pPr>
          <w:r w:rsidRPr="00A112E5">
            <w:rPr>
              <w:b/>
              <w:bCs/>
              <w:sz w:val="26"/>
              <w:szCs w:val="26"/>
              <w:lang w:val="fr-FR"/>
            </w:rPr>
            <w:t>7</w:t>
          </w:r>
          <w:r w:rsidRPr="00A112E5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A112E5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A112E5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A112E5" w:rsidRPr="00A112E5" w:rsidRDefault="00A112E5" w:rsidP="00A112E5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A112E5">
            <w:rPr>
              <w:i/>
              <w:iCs/>
              <w:lang w:val="fr-FR"/>
            </w:rPr>
            <w:t>4 - 8 décembre, Durban, Afrique du Sud</w:t>
          </w:r>
        </w:p>
      </w:tc>
    </w:tr>
    <w:tr w:rsidR="00A112E5" w:rsidRPr="00DC3F68" w:rsidTr="00C9248F">
      <w:trPr>
        <w:trHeight w:val="702"/>
      </w:trPr>
      <w:tc>
        <w:tcPr>
          <w:tcW w:w="5000" w:type="pct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112E5" w:rsidRPr="00A112E5" w:rsidRDefault="00A112E5" w:rsidP="00A112E5">
          <w:pPr>
            <w:autoSpaceDN w:val="0"/>
            <w:jc w:val="center"/>
            <w:rPr>
              <w:b/>
              <w:bCs/>
              <w:i/>
              <w:color w:val="000000" w:themeColor="text1"/>
              <w:highlight w:val="yellow"/>
              <w:lang w:val="fr-FR"/>
            </w:rPr>
          </w:pPr>
          <w:r w:rsidRPr="00A112E5">
            <w:rPr>
              <w:i/>
              <w:color w:val="000000"/>
              <w:sz w:val="22"/>
              <w:lang w:val="fr-FR"/>
            </w:rPr>
            <w:t>“Par-delà 2020 : Façonner la conservation des voies de migration pour l’avenir”</w:t>
          </w:r>
        </w:p>
      </w:tc>
    </w:tr>
  </w:tbl>
  <w:p w:rsidR="00AD6C69" w:rsidRPr="00926B31" w:rsidRDefault="00AD6C69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F68" w:rsidRDefault="00DC3F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7E" w:rsidRPr="002F485E" w:rsidRDefault="00AE1F7E" w:rsidP="00C60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69C401F"/>
    <w:multiLevelType w:val="hybridMultilevel"/>
    <w:tmpl w:val="9E7450B2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3F374A"/>
    <w:multiLevelType w:val="hybridMultilevel"/>
    <w:tmpl w:val="0E74F86E"/>
    <w:lvl w:ilvl="0" w:tplc="7BC4A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033D"/>
    <w:multiLevelType w:val="hybridMultilevel"/>
    <w:tmpl w:val="BEF8A7F8"/>
    <w:lvl w:ilvl="0" w:tplc="7A8C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316D0E"/>
    <w:multiLevelType w:val="multilevel"/>
    <w:tmpl w:val="5A7A7220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7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3D7A"/>
    <w:multiLevelType w:val="hybridMultilevel"/>
    <w:tmpl w:val="55F29FA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ECE081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DE"/>
    <w:rsid w:val="00016E7B"/>
    <w:rsid w:val="00020888"/>
    <w:rsid w:val="00046B01"/>
    <w:rsid w:val="0004731F"/>
    <w:rsid w:val="00051C54"/>
    <w:rsid w:val="00053571"/>
    <w:rsid w:val="00054FD8"/>
    <w:rsid w:val="00060494"/>
    <w:rsid w:val="0006129C"/>
    <w:rsid w:val="00071A9E"/>
    <w:rsid w:val="000977BB"/>
    <w:rsid w:val="000A14AD"/>
    <w:rsid w:val="000A51FB"/>
    <w:rsid w:val="000A5A47"/>
    <w:rsid w:val="000A6F3A"/>
    <w:rsid w:val="000B656B"/>
    <w:rsid w:val="000C263A"/>
    <w:rsid w:val="000C6C45"/>
    <w:rsid w:val="000D5979"/>
    <w:rsid w:val="000E153E"/>
    <w:rsid w:val="000E3D08"/>
    <w:rsid w:val="000F2170"/>
    <w:rsid w:val="000F22CC"/>
    <w:rsid w:val="00104C13"/>
    <w:rsid w:val="00105C6B"/>
    <w:rsid w:val="00111DB3"/>
    <w:rsid w:val="00125BB9"/>
    <w:rsid w:val="00125FAA"/>
    <w:rsid w:val="00132F2E"/>
    <w:rsid w:val="001352CE"/>
    <w:rsid w:val="00162511"/>
    <w:rsid w:val="00163D0E"/>
    <w:rsid w:val="0016427F"/>
    <w:rsid w:val="00167D59"/>
    <w:rsid w:val="0017712F"/>
    <w:rsid w:val="00180A4D"/>
    <w:rsid w:val="00182DCC"/>
    <w:rsid w:val="00185CD4"/>
    <w:rsid w:val="00186687"/>
    <w:rsid w:val="00196E67"/>
    <w:rsid w:val="001A00B6"/>
    <w:rsid w:val="001A51B7"/>
    <w:rsid w:val="001B186D"/>
    <w:rsid w:val="001D15CC"/>
    <w:rsid w:val="001D21F7"/>
    <w:rsid w:val="001D519A"/>
    <w:rsid w:val="001E0C2A"/>
    <w:rsid w:val="001F1D9A"/>
    <w:rsid w:val="001F2EE5"/>
    <w:rsid w:val="0020640C"/>
    <w:rsid w:val="00207325"/>
    <w:rsid w:val="00215143"/>
    <w:rsid w:val="002304D1"/>
    <w:rsid w:val="00243B4B"/>
    <w:rsid w:val="00244CDF"/>
    <w:rsid w:val="00252DF2"/>
    <w:rsid w:val="00260D5D"/>
    <w:rsid w:val="002661B3"/>
    <w:rsid w:val="00267DA0"/>
    <w:rsid w:val="00286103"/>
    <w:rsid w:val="002A3D00"/>
    <w:rsid w:val="002C58BF"/>
    <w:rsid w:val="002E4C1F"/>
    <w:rsid w:val="002E6092"/>
    <w:rsid w:val="002F0141"/>
    <w:rsid w:val="002F3BC5"/>
    <w:rsid w:val="002F7147"/>
    <w:rsid w:val="00303606"/>
    <w:rsid w:val="00304FAF"/>
    <w:rsid w:val="003072A9"/>
    <w:rsid w:val="00312BA0"/>
    <w:rsid w:val="00316D81"/>
    <w:rsid w:val="00320735"/>
    <w:rsid w:val="003209C2"/>
    <w:rsid w:val="00322001"/>
    <w:rsid w:val="003251E0"/>
    <w:rsid w:val="00332F2C"/>
    <w:rsid w:val="003332C4"/>
    <w:rsid w:val="00335022"/>
    <w:rsid w:val="0033553A"/>
    <w:rsid w:val="003412DF"/>
    <w:rsid w:val="00345FA1"/>
    <w:rsid w:val="00353767"/>
    <w:rsid w:val="0035440D"/>
    <w:rsid w:val="003715A5"/>
    <w:rsid w:val="00376C90"/>
    <w:rsid w:val="00381660"/>
    <w:rsid w:val="003830FC"/>
    <w:rsid w:val="00383FCF"/>
    <w:rsid w:val="00393891"/>
    <w:rsid w:val="003A134C"/>
    <w:rsid w:val="003A33FF"/>
    <w:rsid w:val="003A596F"/>
    <w:rsid w:val="003B2918"/>
    <w:rsid w:val="003B4398"/>
    <w:rsid w:val="003B58AA"/>
    <w:rsid w:val="003B7A22"/>
    <w:rsid w:val="003C320A"/>
    <w:rsid w:val="003C4A2F"/>
    <w:rsid w:val="003C6E09"/>
    <w:rsid w:val="003D030A"/>
    <w:rsid w:val="003D13D0"/>
    <w:rsid w:val="003D48A5"/>
    <w:rsid w:val="003E0DB9"/>
    <w:rsid w:val="003E207D"/>
    <w:rsid w:val="0041027E"/>
    <w:rsid w:val="0042019D"/>
    <w:rsid w:val="00423640"/>
    <w:rsid w:val="004256C2"/>
    <w:rsid w:val="004313BF"/>
    <w:rsid w:val="004370A6"/>
    <w:rsid w:val="004374E9"/>
    <w:rsid w:val="00446E4B"/>
    <w:rsid w:val="00455009"/>
    <w:rsid w:val="004623B2"/>
    <w:rsid w:val="0049360A"/>
    <w:rsid w:val="004944D1"/>
    <w:rsid w:val="00497689"/>
    <w:rsid w:val="004A5FDE"/>
    <w:rsid w:val="004B57A6"/>
    <w:rsid w:val="004B75C0"/>
    <w:rsid w:val="004C26D2"/>
    <w:rsid w:val="004C4E42"/>
    <w:rsid w:val="004D647E"/>
    <w:rsid w:val="004F13A5"/>
    <w:rsid w:val="004F4E6A"/>
    <w:rsid w:val="004F5C38"/>
    <w:rsid w:val="005018C8"/>
    <w:rsid w:val="00506661"/>
    <w:rsid w:val="00517C62"/>
    <w:rsid w:val="005426DD"/>
    <w:rsid w:val="00551530"/>
    <w:rsid w:val="00551700"/>
    <w:rsid w:val="00551B72"/>
    <w:rsid w:val="00565AA8"/>
    <w:rsid w:val="00567628"/>
    <w:rsid w:val="005714B0"/>
    <w:rsid w:val="00573282"/>
    <w:rsid w:val="00575367"/>
    <w:rsid w:val="005970C7"/>
    <w:rsid w:val="00597566"/>
    <w:rsid w:val="005A0AC0"/>
    <w:rsid w:val="005A7949"/>
    <w:rsid w:val="005B0901"/>
    <w:rsid w:val="005B689B"/>
    <w:rsid w:val="005C43C3"/>
    <w:rsid w:val="005D0005"/>
    <w:rsid w:val="005D54ED"/>
    <w:rsid w:val="005E2BFF"/>
    <w:rsid w:val="00601DD4"/>
    <w:rsid w:val="0060207D"/>
    <w:rsid w:val="00603ECA"/>
    <w:rsid w:val="006059D0"/>
    <w:rsid w:val="006075EE"/>
    <w:rsid w:val="006107B2"/>
    <w:rsid w:val="00611867"/>
    <w:rsid w:val="006122CD"/>
    <w:rsid w:val="00616D1B"/>
    <w:rsid w:val="006230B0"/>
    <w:rsid w:val="006264D8"/>
    <w:rsid w:val="006318A6"/>
    <w:rsid w:val="00634F66"/>
    <w:rsid w:val="00636ECB"/>
    <w:rsid w:val="00641E62"/>
    <w:rsid w:val="006524AB"/>
    <w:rsid w:val="006556ED"/>
    <w:rsid w:val="00655E24"/>
    <w:rsid w:val="006566F2"/>
    <w:rsid w:val="00657A1D"/>
    <w:rsid w:val="0066160A"/>
    <w:rsid w:val="0066689B"/>
    <w:rsid w:val="00671A79"/>
    <w:rsid w:val="00673033"/>
    <w:rsid w:val="0067485C"/>
    <w:rsid w:val="0068422D"/>
    <w:rsid w:val="0069010A"/>
    <w:rsid w:val="00697DC3"/>
    <w:rsid w:val="006A4A6F"/>
    <w:rsid w:val="006B6B98"/>
    <w:rsid w:val="006B7BFC"/>
    <w:rsid w:val="006D0329"/>
    <w:rsid w:val="006D24EE"/>
    <w:rsid w:val="006E0905"/>
    <w:rsid w:val="006E0B28"/>
    <w:rsid w:val="006E5C40"/>
    <w:rsid w:val="006F3344"/>
    <w:rsid w:val="00703647"/>
    <w:rsid w:val="00737D14"/>
    <w:rsid w:val="00745B84"/>
    <w:rsid w:val="00751B27"/>
    <w:rsid w:val="00757F53"/>
    <w:rsid w:val="00767C3A"/>
    <w:rsid w:val="00772C93"/>
    <w:rsid w:val="0077356B"/>
    <w:rsid w:val="00782700"/>
    <w:rsid w:val="00786AF1"/>
    <w:rsid w:val="0079491B"/>
    <w:rsid w:val="0079698D"/>
    <w:rsid w:val="007E054A"/>
    <w:rsid w:val="007E1121"/>
    <w:rsid w:val="007E443A"/>
    <w:rsid w:val="007E6557"/>
    <w:rsid w:val="007F2189"/>
    <w:rsid w:val="007F520A"/>
    <w:rsid w:val="008115B4"/>
    <w:rsid w:val="0082215E"/>
    <w:rsid w:val="00822276"/>
    <w:rsid w:val="008235E1"/>
    <w:rsid w:val="00837EA4"/>
    <w:rsid w:val="008443A0"/>
    <w:rsid w:val="00847AB2"/>
    <w:rsid w:val="008650A4"/>
    <w:rsid w:val="00871A75"/>
    <w:rsid w:val="00877B63"/>
    <w:rsid w:val="00895DB9"/>
    <w:rsid w:val="00896669"/>
    <w:rsid w:val="008A29B1"/>
    <w:rsid w:val="008B1AE8"/>
    <w:rsid w:val="008B3285"/>
    <w:rsid w:val="008B7939"/>
    <w:rsid w:val="008D17FB"/>
    <w:rsid w:val="008D305B"/>
    <w:rsid w:val="008E38DB"/>
    <w:rsid w:val="008E791B"/>
    <w:rsid w:val="008F0DEA"/>
    <w:rsid w:val="008F4E75"/>
    <w:rsid w:val="008F5A3E"/>
    <w:rsid w:val="00903E6E"/>
    <w:rsid w:val="009164F2"/>
    <w:rsid w:val="009256A6"/>
    <w:rsid w:val="00926B31"/>
    <w:rsid w:val="00935DFA"/>
    <w:rsid w:val="00944063"/>
    <w:rsid w:val="0094693C"/>
    <w:rsid w:val="00960705"/>
    <w:rsid w:val="0096757D"/>
    <w:rsid w:val="0096780E"/>
    <w:rsid w:val="00980C80"/>
    <w:rsid w:val="00990AB9"/>
    <w:rsid w:val="00994B00"/>
    <w:rsid w:val="00995095"/>
    <w:rsid w:val="009D1D09"/>
    <w:rsid w:val="00A04BA7"/>
    <w:rsid w:val="00A07EE3"/>
    <w:rsid w:val="00A112E5"/>
    <w:rsid w:val="00A13B54"/>
    <w:rsid w:val="00A15368"/>
    <w:rsid w:val="00A15BC4"/>
    <w:rsid w:val="00A36A12"/>
    <w:rsid w:val="00A44FC5"/>
    <w:rsid w:val="00A50CC4"/>
    <w:rsid w:val="00A550C8"/>
    <w:rsid w:val="00A84DF2"/>
    <w:rsid w:val="00A852E5"/>
    <w:rsid w:val="00A86EF9"/>
    <w:rsid w:val="00AB7B63"/>
    <w:rsid w:val="00AC1EB4"/>
    <w:rsid w:val="00AC3AC4"/>
    <w:rsid w:val="00AC55DC"/>
    <w:rsid w:val="00AD5FBE"/>
    <w:rsid w:val="00AD6C69"/>
    <w:rsid w:val="00AE13A9"/>
    <w:rsid w:val="00AE18A9"/>
    <w:rsid w:val="00AE1F7E"/>
    <w:rsid w:val="00AE44EE"/>
    <w:rsid w:val="00AF7358"/>
    <w:rsid w:val="00AF7A81"/>
    <w:rsid w:val="00B03E26"/>
    <w:rsid w:val="00B04408"/>
    <w:rsid w:val="00B30BE0"/>
    <w:rsid w:val="00B37E95"/>
    <w:rsid w:val="00B4548C"/>
    <w:rsid w:val="00B51146"/>
    <w:rsid w:val="00B53055"/>
    <w:rsid w:val="00B56DEB"/>
    <w:rsid w:val="00B57E4F"/>
    <w:rsid w:val="00B72C8E"/>
    <w:rsid w:val="00B7575B"/>
    <w:rsid w:val="00B7623D"/>
    <w:rsid w:val="00B77837"/>
    <w:rsid w:val="00B80F39"/>
    <w:rsid w:val="00B86D30"/>
    <w:rsid w:val="00B9472A"/>
    <w:rsid w:val="00BA52AD"/>
    <w:rsid w:val="00BA6CED"/>
    <w:rsid w:val="00BA790F"/>
    <w:rsid w:val="00BB60C5"/>
    <w:rsid w:val="00BC6B49"/>
    <w:rsid w:val="00BC7025"/>
    <w:rsid w:val="00BD7F2A"/>
    <w:rsid w:val="00BE11A7"/>
    <w:rsid w:val="00C10107"/>
    <w:rsid w:val="00C1396F"/>
    <w:rsid w:val="00C170E1"/>
    <w:rsid w:val="00C31A30"/>
    <w:rsid w:val="00C37179"/>
    <w:rsid w:val="00C60CA7"/>
    <w:rsid w:val="00C645F5"/>
    <w:rsid w:val="00C72EF1"/>
    <w:rsid w:val="00C83EC9"/>
    <w:rsid w:val="00C9248F"/>
    <w:rsid w:val="00CA73F7"/>
    <w:rsid w:val="00CB1CAA"/>
    <w:rsid w:val="00CC3F9D"/>
    <w:rsid w:val="00CC40FA"/>
    <w:rsid w:val="00CC509F"/>
    <w:rsid w:val="00CE340A"/>
    <w:rsid w:val="00CF563A"/>
    <w:rsid w:val="00CF5F07"/>
    <w:rsid w:val="00D17FDB"/>
    <w:rsid w:val="00D33405"/>
    <w:rsid w:val="00D43494"/>
    <w:rsid w:val="00D43CB0"/>
    <w:rsid w:val="00D47320"/>
    <w:rsid w:val="00D604E7"/>
    <w:rsid w:val="00D62588"/>
    <w:rsid w:val="00D70485"/>
    <w:rsid w:val="00D801A7"/>
    <w:rsid w:val="00D97245"/>
    <w:rsid w:val="00DA2E04"/>
    <w:rsid w:val="00DB0982"/>
    <w:rsid w:val="00DB6E97"/>
    <w:rsid w:val="00DB6FF8"/>
    <w:rsid w:val="00DC3F68"/>
    <w:rsid w:val="00DE6C76"/>
    <w:rsid w:val="00DF26A5"/>
    <w:rsid w:val="00E02643"/>
    <w:rsid w:val="00E043A4"/>
    <w:rsid w:val="00E32E05"/>
    <w:rsid w:val="00E3714C"/>
    <w:rsid w:val="00E41928"/>
    <w:rsid w:val="00E55F1B"/>
    <w:rsid w:val="00E62524"/>
    <w:rsid w:val="00E719DA"/>
    <w:rsid w:val="00E76AEC"/>
    <w:rsid w:val="00E965A8"/>
    <w:rsid w:val="00EA1BA4"/>
    <w:rsid w:val="00EB196B"/>
    <w:rsid w:val="00EB40C9"/>
    <w:rsid w:val="00EB76A7"/>
    <w:rsid w:val="00EC5C49"/>
    <w:rsid w:val="00EC6CCC"/>
    <w:rsid w:val="00EC7C77"/>
    <w:rsid w:val="00EE19A4"/>
    <w:rsid w:val="00EE6297"/>
    <w:rsid w:val="00EF01DD"/>
    <w:rsid w:val="00EF13A0"/>
    <w:rsid w:val="00EF2950"/>
    <w:rsid w:val="00F1400B"/>
    <w:rsid w:val="00F5168D"/>
    <w:rsid w:val="00F627E9"/>
    <w:rsid w:val="00F81B26"/>
    <w:rsid w:val="00F85886"/>
    <w:rsid w:val="00F85A49"/>
    <w:rsid w:val="00FA1954"/>
    <w:rsid w:val="00FA2143"/>
    <w:rsid w:val="00FA4E61"/>
    <w:rsid w:val="00FB4E10"/>
    <w:rsid w:val="00FC5960"/>
    <w:rsid w:val="00FE410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8AF99FB"/>
  <w15:docId w15:val="{80AD9FC3-75EB-4A47-91CD-934EC368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F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4A5FDE"/>
    <w:pPr>
      <w:keepNext/>
      <w:widowControl w:val="0"/>
      <w:tabs>
        <w:tab w:val="left" w:pos="720"/>
      </w:tabs>
      <w:spacing w:line="260" w:lineRule="atLeast"/>
      <w:ind w:left="720" w:right="-427" w:hanging="720"/>
      <w:jc w:val="center"/>
      <w:outlineLvl w:val="8"/>
    </w:pPr>
    <w:rPr>
      <w:b/>
      <w:kern w:val="1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627E9"/>
    <w:rPr>
      <w:sz w:val="22"/>
    </w:rPr>
  </w:style>
  <w:style w:type="table" w:styleId="TableGrid">
    <w:name w:val="Table Grid"/>
    <w:basedOn w:val="TableNormal"/>
    <w:uiPriority w:val="59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F0DEA"/>
    <w:rPr>
      <w:sz w:val="20"/>
      <w:szCs w:val="20"/>
    </w:rPr>
  </w:style>
  <w:style w:type="character" w:styleId="FootnoteReference">
    <w:name w:val="footnote reference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Title">
    <w:name w:val="Title"/>
    <w:basedOn w:val="Normal"/>
    <w:qFormat/>
    <w:rsid w:val="004A5FDE"/>
    <w:pPr>
      <w:spacing w:line="240" w:lineRule="exact"/>
      <w:ind w:right="-427"/>
      <w:jc w:val="center"/>
    </w:pPr>
    <w:rPr>
      <w:b/>
    </w:rPr>
  </w:style>
  <w:style w:type="paragraph" w:styleId="BodyText">
    <w:name w:val="Body Text"/>
    <w:basedOn w:val="Normal"/>
    <w:rsid w:val="004A5FDE"/>
    <w:pPr>
      <w:autoSpaceDE w:val="0"/>
      <w:autoSpaceDN w:val="0"/>
      <w:adjustRightInd w:val="0"/>
    </w:pPr>
    <w:rPr>
      <w:b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4A5F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E5C4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E5C40"/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3B7A22"/>
    <w:rPr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C45"/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F1400B"/>
    <w:rPr>
      <w:sz w:val="16"/>
      <w:szCs w:val="16"/>
    </w:rPr>
  </w:style>
  <w:style w:type="paragraph" w:styleId="CommentText">
    <w:name w:val="annotation text"/>
    <w:basedOn w:val="Normal"/>
    <w:semiHidden/>
    <w:rsid w:val="00F140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400B"/>
    <w:rPr>
      <w:b/>
      <w:bCs/>
    </w:rPr>
  </w:style>
  <w:style w:type="character" w:styleId="Emphasis">
    <w:name w:val="Emphasis"/>
    <w:qFormat/>
    <w:rsid w:val="00B57E4F"/>
    <w:rPr>
      <w:i/>
      <w:iCs/>
    </w:rPr>
  </w:style>
  <w:style w:type="paragraph" w:styleId="ListParagraph">
    <w:name w:val="List Paragraph"/>
    <w:basedOn w:val="Normal"/>
    <w:uiPriority w:val="34"/>
    <w:qFormat/>
    <w:rsid w:val="004F5C38"/>
    <w:pPr>
      <w:ind w:left="720"/>
    </w:pPr>
  </w:style>
  <w:style w:type="character" w:customStyle="1" w:styleId="FootnoteTextChar">
    <w:name w:val="Footnote Text Char"/>
    <w:link w:val="FootnoteText"/>
    <w:uiPriority w:val="99"/>
    <w:semiHidden/>
    <w:rsid w:val="00BC6B49"/>
    <w:rPr>
      <w:lang w:val="en-US" w:eastAsia="en-US"/>
    </w:rPr>
  </w:style>
  <w:style w:type="character" w:styleId="Hyperlink">
    <w:name w:val="Hyperlink"/>
    <w:uiPriority w:val="99"/>
    <w:unhideWhenUsed/>
    <w:rsid w:val="0035440D"/>
    <w:rPr>
      <w:color w:val="0000FF"/>
      <w:u w:val="single"/>
    </w:rPr>
  </w:style>
  <w:style w:type="paragraph" w:customStyle="1" w:styleId="Default">
    <w:name w:val="Default"/>
    <w:rsid w:val="003544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C40F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B4E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63DF-2993-4A0D-A315-CC58D72A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3010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quick brown fox jumps over the lazy dog</vt:lpstr>
      <vt:lpstr>The quick brown fox jumps over the lazy dog</vt:lpstr>
      <vt:lpstr>The quick brown fox jumps over the lazy dog</vt:lpstr>
    </vt:vector>
  </TitlesOfParts>
  <Company>aewa</Company>
  <LinksUpToDate>false</LinksUpToDate>
  <CharactersWithSpaces>3549</CharactersWithSpaces>
  <SharedDoc>false</SharedDoc>
  <HLinks>
    <vt:vector size="24" baseType="variant"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http://archive.ramsar.org/cda/en/ramsar-pubs-handbooks/main/ramsar/1-30-33_4000_0</vt:lpwstr>
      </vt:variant>
      <vt:variant>
        <vt:lpwstr/>
      </vt:variant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http://ec.europa.eu/environment/nature/conservation/species/guidance/pdf/guidance_en.pdf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http://assets.panda.org/downloads/wetlands_management_guide_2008.pdf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https://sora.unm.edu/sites/default/files/journals/iwsgb/n068/p00003-p00005.pdf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jkremer</dc:creator>
  <cp:lastModifiedBy>Jolanta Kremer</cp:lastModifiedBy>
  <cp:revision>3</cp:revision>
  <cp:lastPrinted>2018-06-13T10:21:00Z</cp:lastPrinted>
  <dcterms:created xsi:type="dcterms:W3CDTF">2018-08-30T14:24:00Z</dcterms:created>
  <dcterms:modified xsi:type="dcterms:W3CDTF">2018-08-30T14:55:00Z</dcterms:modified>
</cp:coreProperties>
</file>