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FFC7" w14:textId="77777777" w:rsidR="00BD7F2A" w:rsidRDefault="00BD7F2A" w:rsidP="0060207D">
      <w:pPr>
        <w:tabs>
          <w:tab w:val="left" w:pos="4185"/>
        </w:tabs>
        <w:jc w:val="center"/>
        <w:rPr>
          <w:lang w:val="en-GB"/>
        </w:rPr>
      </w:pPr>
    </w:p>
    <w:p w14:paraId="4CE121DC" w14:textId="5BFFD7C1" w:rsidR="004A5FDE" w:rsidRPr="003715A5" w:rsidRDefault="000E3D08" w:rsidP="0060207D">
      <w:pPr>
        <w:tabs>
          <w:tab w:val="left" w:pos="4185"/>
        </w:tabs>
        <w:jc w:val="center"/>
        <w:rPr>
          <w:lang w:val="en-GB"/>
        </w:rPr>
      </w:pPr>
      <w:r>
        <w:rPr>
          <w:lang w:val="en-GB"/>
        </w:rPr>
        <w:t xml:space="preserve">DRAFT </w:t>
      </w:r>
      <w:r w:rsidR="004A5FDE" w:rsidRPr="003715A5">
        <w:rPr>
          <w:lang w:val="en-GB"/>
        </w:rPr>
        <w:t xml:space="preserve">RESOLUTION </w:t>
      </w:r>
      <w:r w:rsidR="00BC6B49" w:rsidRPr="003715A5">
        <w:rPr>
          <w:lang w:val="en-GB"/>
        </w:rPr>
        <w:t>7</w:t>
      </w:r>
      <w:r w:rsidR="0041027E">
        <w:rPr>
          <w:lang w:val="en-GB"/>
        </w:rPr>
        <w:t>.</w:t>
      </w:r>
      <w:r w:rsidR="006D2601">
        <w:rPr>
          <w:lang w:val="en-GB"/>
        </w:rPr>
        <w:t>8</w:t>
      </w:r>
    </w:p>
    <w:p w14:paraId="73DCC8C4" w14:textId="77777777" w:rsidR="004A5FDE" w:rsidRPr="00634F66" w:rsidRDefault="004A5FDE" w:rsidP="00132F2E">
      <w:pPr>
        <w:spacing w:line="240" w:lineRule="exact"/>
        <w:ind w:right="-81"/>
        <w:jc w:val="center"/>
        <w:rPr>
          <w:b/>
          <w:bCs/>
          <w:sz w:val="12"/>
          <w:szCs w:val="12"/>
          <w:lang w:val="en-GB"/>
        </w:rPr>
      </w:pPr>
    </w:p>
    <w:p w14:paraId="515B46E1" w14:textId="77777777" w:rsidR="00BD7F2A" w:rsidRPr="00634F66" w:rsidRDefault="00BD7F2A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12"/>
          <w:szCs w:val="12"/>
          <w:lang w:val="en-GB"/>
        </w:rPr>
      </w:pPr>
    </w:p>
    <w:p w14:paraId="6858E303" w14:textId="09BDCC82" w:rsidR="00980C80" w:rsidRDefault="006E5C40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24"/>
          <w:szCs w:val="24"/>
          <w:lang w:val="en-GB"/>
        </w:rPr>
      </w:pPr>
      <w:r w:rsidRPr="003715A5">
        <w:rPr>
          <w:bCs/>
          <w:sz w:val="24"/>
          <w:szCs w:val="24"/>
          <w:lang w:val="en-GB"/>
        </w:rPr>
        <w:t xml:space="preserve">ADOPTION OF </w:t>
      </w:r>
      <w:r w:rsidR="004A5FDE" w:rsidRPr="003715A5">
        <w:rPr>
          <w:bCs/>
          <w:sz w:val="24"/>
          <w:szCs w:val="24"/>
          <w:lang w:val="en-GB"/>
        </w:rPr>
        <w:t xml:space="preserve">GUIDANCE </w:t>
      </w:r>
      <w:r w:rsidR="00D62588" w:rsidRPr="003715A5">
        <w:rPr>
          <w:bCs/>
          <w:sz w:val="24"/>
          <w:szCs w:val="24"/>
          <w:lang w:val="en-GB"/>
        </w:rPr>
        <w:t>IN THE CONTEXT OF</w:t>
      </w:r>
      <w:r w:rsidR="004A5FDE" w:rsidRPr="003715A5">
        <w:rPr>
          <w:bCs/>
          <w:sz w:val="24"/>
          <w:szCs w:val="24"/>
          <w:lang w:val="en-GB"/>
        </w:rPr>
        <w:t xml:space="preserve"> </w:t>
      </w:r>
      <w:r w:rsidR="00A550C8" w:rsidRPr="003715A5">
        <w:rPr>
          <w:bCs/>
          <w:sz w:val="24"/>
          <w:szCs w:val="24"/>
          <w:lang w:val="en-GB"/>
        </w:rPr>
        <w:t xml:space="preserve">IMPLEMENTATION OF </w:t>
      </w:r>
    </w:p>
    <w:p w14:paraId="780EEADB" w14:textId="543DF829" w:rsidR="004A5FDE" w:rsidRPr="003715A5" w:rsidRDefault="004A5FDE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24"/>
          <w:szCs w:val="24"/>
          <w:lang w:val="en-GB"/>
        </w:rPr>
      </w:pPr>
      <w:r w:rsidRPr="003715A5">
        <w:rPr>
          <w:bCs/>
          <w:sz w:val="24"/>
          <w:szCs w:val="24"/>
          <w:lang w:val="en-GB"/>
        </w:rPr>
        <w:t>THE AEWA ACTION PLAN</w:t>
      </w:r>
    </w:p>
    <w:p w14:paraId="6F54C3E0" w14:textId="77777777" w:rsidR="003D030A" w:rsidRPr="003715A5" w:rsidRDefault="003D030A" w:rsidP="003D030A">
      <w:pPr>
        <w:jc w:val="both"/>
        <w:rPr>
          <w:b/>
          <w:sz w:val="22"/>
          <w:szCs w:val="22"/>
          <w:lang w:val="en-GB"/>
        </w:rPr>
      </w:pPr>
    </w:p>
    <w:p w14:paraId="21EB4D02" w14:textId="77777777" w:rsidR="00782700" w:rsidRPr="003715A5" w:rsidRDefault="00782700" w:rsidP="003D030A">
      <w:pPr>
        <w:jc w:val="both"/>
        <w:rPr>
          <w:b/>
          <w:sz w:val="22"/>
          <w:szCs w:val="22"/>
          <w:lang w:val="en-GB"/>
        </w:rPr>
      </w:pPr>
    </w:p>
    <w:p w14:paraId="5AF5F71A" w14:textId="01639BBC" w:rsidR="004A5FDE" w:rsidRPr="003715A5" w:rsidRDefault="004A5FDE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3715A5">
        <w:rPr>
          <w:i/>
          <w:sz w:val="22"/>
          <w:szCs w:val="22"/>
          <w:lang w:val="en-GB"/>
        </w:rPr>
        <w:t>Recalling</w:t>
      </w:r>
      <w:r w:rsidRPr="003715A5">
        <w:rPr>
          <w:sz w:val="22"/>
          <w:szCs w:val="22"/>
          <w:lang w:val="en-GB"/>
        </w:rPr>
        <w:t xml:space="preserve"> </w:t>
      </w:r>
      <w:r w:rsidR="00A550C8" w:rsidRPr="003715A5">
        <w:rPr>
          <w:sz w:val="22"/>
          <w:szCs w:val="22"/>
          <w:lang w:val="en-GB"/>
        </w:rPr>
        <w:t xml:space="preserve">Resolution 4.3 which requested the Technical Committee, amongst other things, to </w:t>
      </w:r>
      <w:r w:rsidR="00751B27">
        <w:rPr>
          <w:sz w:val="22"/>
          <w:szCs w:val="22"/>
          <w:lang w:val="en-GB"/>
        </w:rPr>
        <w:t xml:space="preserve">review the </w:t>
      </w:r>
      <w:r w:rsidR="004D647E">
        <w:rPr>
          <w:sz w:val="22"/>
          <w:szCs w:val="22"/>
          <w:lang w:val="en-GB"/>
        </w:rPr>
        <w:t>purposes</w:t>
      </w:r>
      <w:r w:rsidR="00751B27">
        <w:rPr>
          <w:sz w:val="22"/>
          <w:szCs w:val="22"/>
          <w:lang w:val="en-GB"/>
        </w:rPr>
        <w:t xml:space="preserve"> for exemptions listed in paragraph 2.1.3</w:t>
      </w:r>
      <w:r w:rsidR="00616D1B">
        <w:rPr>
          <w:sz w:val="22"/>
          <w:szCs w:val="22"/>
          <w:lang w:val="en-GB"/>
        </w:rPr>
        <w:t xml:space="preserve"> a-e </w:t>
      </w:r>
      <w:r w:rsidR="004D647E">
        <w:rPr>
          <w:sz w:val="22"/>
          <w:szCs w:val="22"/>
          <w:lang w:val="en-GB"/>
        </w:rPr>
        <w:t xml:space="preserve">of the AEWA Action Plan </w:t>
      </w:r>
      <w:r w:rsidR="00616D1B">
        <w:rPr>
          <w:sz w:val="22"/>
          <w:szCs w:val="22"/>
          <w:lang w:val="en-GB"/>
        </w:rPr>
        <w:t>and provide advice</w:t>
      </w:r>
      <w:r w:rsidR="00FA4E61">
        <w:rPr>
          <w:sz w:val="22"/>
          <w:szCs w:val="22"/>
          <w:lang w:val="en-GB"/>
        </w:rPr>
        <w:t>,</w:t>
      </w:r>
    </w:p>
    <w:p w14:paraId="2915952F" w14:textId="77777777" w:rsidR="004A5FDE" w:rsidRPr="003715A5" w:rsidRDefault="004A5FDE" w:rsidP="00FA4E61">
      <w:pPr>
        <w:spacing w:line="276" w:lineRule="auto"/>
        <w:jc w:val="both"/>
        <w:rPr>
          <w:sz w:val="22"/>
          <w:szCs w:val="22"/>
          <w:lang w:val="en-GB"/>
        </w:rPr>
      </w:pPr>
    </w:p>
    <w:p w14:paraId="3C0905C4" w14:textId="0C3D18C4" w:rsidR="008A29B1" w:rsidRPr="003715A5" w:rsidRDefault="004D647E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Thanking </w:t>
      </w:r>
      <w:r>
        <w:rPr>
          <w:sz w:val="22"/>
          <w:szCs w:val="22"/>
          <w:lang w:val="en-GB"/>
        </w:rPr>
        <w:t xml:space="preserve">the Technical Committee for </w:t>
      </w:r>
      <w:r w:rsidR="00EC6CCC">
        <w:rPr>
          <w:sz w:val="22"/>
          <w:szCs w:val="22"/>
          <w:lang w:val="en-GB"/>
        </w:rPr>
        <w:t>its</w:t>
      </w:r>
      <w:r>
        <w:rPr>
          <w:sz w:val="22"/>
          <w:szCs w:val="22"/>
          <w:lang w:val="en-GB"/>
        </w:rPr>
        <w:t xml:space="preserve"> comprehensive work on this request and the compilation </w:t>
      </w:r>
      <w:r w:rsidR="00681E90">
        <w:rPr>
          <w:sz w:val="22"/>
          <w:szCs w:val="22"/>
          <w:lang w:val="en-GB"/>
        </w:rPr>
        <w:t>of guidance</w:t>
      </w:r>
      <w:r>
        <w:rPr>
          <w:sz w:val="22"/>
          <w:szCs w:val="22"/>
          <w:lang w:val="en-GB"/>
        </w:rPr>
        <w:t xml:space="preserve"> on the application of exemptions from the prohibitions laid down in paragraphs 2.1.1 and 2.1.2 as per paragraph 2.1.3</w:t>
      </w:r>
      <w:r w:rsidR="00AE44EE" w:rsidRPr="003715A5">
        <w:rPr>
          <w:sz w:val="22"/>
          <w:szCs w:val="22"/>
          <w:lang w:val="en-GB"/>
        </w:rPr>
        <w:t>,</w:t>
      </w:r>
    </w:p>
    <w:p w14:paraId="744EF9E9" w14:textId="7309C3BE" w:rsidR="00601DD4" w:rsidRDefault="00601DD4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8A74AFB" w14:textId="7913BC8B" w:rsidR="006F3344" w:rsidRDefault="006F3344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6F3344">
        <w:rPr>
          <w:i/>
          <w:sz w:val="22"/>
          <w:szCs w:val="22"/>
          <w:lang w:val="en-GB"/>
        </w:rPr>
        <w:t>Further thanking</w:t>
      </w:r>
      <w:r w:rsidRPr="006F3344">
        <w:rPr>
          <w:sz w:val="22"/>
          <w:szCs w:val="22"/>
          <w:lang w:val="en-GB"/>
        </w:rPr>
        <w:t xml:space="preserve"> the Technical Committee for </w:t>
      </w:r>
      <w:r w:rsidR="00EC6CCC">
        <w:rPr>
          <w:sz w:val="22"/>
          <w:szCs w:val="22"/>
          <w:lang w:val="en-GB"/>
        </w:rPr>
        <w:t>its</w:t>
      </w:r>
      <w:r w:rsidRPr="006F3344">
        <w:rPr>
          <w:sz w:val="22"/>
          <w:szCs w:val="22"/>
          <w:lang w:val="en-GB"/>
        </w:rPr>
        <w:t xml:space="preserve"> initiative to develop guidance on implementation of the AEWA’s provisions on non-native species</w:t>
      </w:r>
      <w:r w:rsidR="00AE1F7E">
        <w:rPr>
          <w:sz w:val="22"/>
          <w:szCs w:val="22"/>
          <w:lang w:val="en-GB"/>
        </w:rPr>
        <w:t>,</w:t>
      </w:r>
      <w:r w:rsidRPr="006F3344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in order to</w:t>
      </w:r>
      <w:proofErr w:type="gramEnd"/>
      <w:r>
        <w:rPr>
          <w:sz w:val="22"/>
          <w:szCs w:val="22"/>
          <w:lang w:val="en-GB"/>
        </w:rPr>
        <w:t xml:space="preserve"> assist with the implementation of paragraphs 2.5, 3.3, 4.3.10 and 4.3.11 of the AEWA Action Plan</w:t>
      </w:r>
      <w:r w:rsidR="00AE1F7E">
        <w:rPr>
          <w:sz w:val="22"/>
          <w:szCs w:val="22"/>
          <w:lang w:val="en-GB"/>
        </w:rPr>
        <w:t>,</w:t>
      </w:r>
    </w:p>
    <w:p w14:paraId="1864FD87" w14:textId="755ED15F" w:rsidR="008E38DB" w:rsidRDefault="008E38DB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1932598" w14:textId="2BC9A027" w:rsidR="008E38DB" w:rsidRDefault="008E38DB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EC6CCC">
        <w:rPr>
          <w:i/>
          <w:sz w:val="22"/>
          <w:szCs w:val="22"/>
          <w:lang w:val="en-GB"/>
        </w:rPr>
        <w:t>Recalling</w:t>
      </w:r>
      <w:r>
        <w:rPr>
          <w:sz w:val="22"/>
          <w:szCs w:val="22"/>
          <w:lang w:val="en-GB"/>
        </w:rPr>
        <w:t xml:space="preserve"> Resolution 5.6 which requested the Technical Committee to continue to develop ideas as </w:t>
      </w:r>
      <w:r w:rsidR="00AE1F7E">
        <w:rPr>
          <w:sz w:val="22"/>
          <w:szCs w:val="22"/>
          <w:lang w:val="en-GB"/>
        </w:rPr>
        <w:t xml:space="preserve">to </w:t>
      </w:r>
      <w:r>
        <w:rPr>
          <w:sz w:val="22"/>
          <w:szCs w:val="22"/>
          <w:lang w:val="en-GB"/>
        </w:rPr>
        <w:t xml:space="preserve">how to address multi-species and regional scale declines and </w:t>
      </w:r>
      <w:r w:rsidRPr="00EC6CCC">
        <w:rPr>
          <w:i/>
          <w:sz w:val="22"/>
          <w:szCs w:val="22"/>
          <w:lang w:val="en-GB"/>
        </w:rPr>
        <w:t xml:space="preserve">thanking </w:t>
      </w:r>
      <w:r>
        <w:rPr>
          <w:sz w:val="22"/>
          <w:szCs w:val="22"/>
          <w:lang w:val="en-GB"/>
        </w:rPr>
        <w:t>the Committee for developing a guide to guidance on these issues in the past triennium</w:t>
      </w:r>
      <w:r w:rsidR="00AE1F7E">
        <w:rPr>
          <w:sz w:val="22"/>
          <w:szCs w:val="22"/>
          <w:lang w:val="en-GB"/>
        </w:rPr>
        <w:t>,</w:t>
      </w:r>
    </w:p>
    <w:p w14:paraId="4D7547F0" w14:textId="77777777" w:rsidR="006F3344" w:rsidRPr="003715A5" w:rsidRDefault="006F3344" w:rsidP="00FA4E61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4A9C7AFE" w14:textId="0535135D" w:rsidR="00BA6CED" w:rsidRDefault="00BA6CED" w:rsidP="00FA4E61">
      <w:pPr>
        <w:spacing w:line="276" w:lineRule="auto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  <w:t xml:space="preserve">Thanking </w:t>
      </w:r>
      <w:r w:rsidRPr="00EC6CCC">
        <w:rPr>
          <w:sz w:val="22"/>
          <w:szCs w:val="22"/>
          <w:lang w:val="en-GB"/>
        </w:rPr>
        <w:t>the African-Eurasian Waterbird Monitoring Partnership for</w:t>
      </w:r>
      <w:r>
        <w:rPr>
          <w:sz w:val="22"/>
          <w:szCs w:val="22"/>
          <w:lang w:val="en-GB"/>
        </w:rPr>
        <w:t xml:space="preserve"> supporting the Technical Committee in revising the AEWA Conservation Guidelines No. 9 on Waterbird Monitoring and the</w:t>
      </w:r>
      <w:r w:rsidR="00DB0C8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Government of the Netherlands for providing financial resources for this work</w:t>
      </w:r>
      <w:r w:rsidR="00AE1F7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 </w:t>
      </w:r>
    </w:p>
    <w:p w14:paraId="0497D681" w14:textId="500CC12B" w:rsidR="00503E2E" w:rsidRDefault="00503E2E" w:rsidP="00FA4E61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145B7234" w14:textId="0FBF00E5" w:rsidR="00503E2E" w:rsidRPr="003715A5" w:rsidRDefault="00503E2E" w:rsidP="00FA4E61">
      <w:pPr>
        <w:spacing w:line="276" w:lineRule="auto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  <w:t xml:space="preserve">Further recalling </w:t>
      </w:r>
      <w:r w:rsidRPr="00555CA7">
        <w:rPr>
          <w:sz w:val="22"/>
          <w:szCs w:val="22"/>
          <w:lang w:val="en-GB"/>
        </w:rPr>
        <w:t>Resolution 5.10</w:t>
      </w:r>
      <w:r>
        <w:rPr>
          <w:sz w:val="22"/>
          <w:szCs w:val="22"/>
          <w:lang w:val="en-GB"/>
        </w:rPr>
        <w:t xml:space="preserve"> that, </w:t>
      </w:r>
      <w:r w:rsidRPr="00555CA7">
        <w:rPr>
          <w:i/>
          <w:sz w:val="22"/>
          <w:szCs w:val="22"/>
          <w:lang w:val="en-GB"/>
        </w:rPr>
        <w:t>inter alia</w:t>
      </w:r>
      <w:r>
        <w:rPr>
          <w:sz w:val="22"/>
          <w:szCs w:val="22"/>
          <w:lang w:val="en-GB"/>
        </w:rPr>
        <w:t>, adopted guidance on defining periods of breeding and pre-nuptial migration for migratory African-Eurasian waterbirds</w:t>
      </w:r>
      <w:r w:rsidR="00DB0C8B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with respect to the implementation of paragraph 2.1.2(a) of the AEWA Action Plan, which </w:t>
      </w:r>
      <w:r w:rsidR="00555CA7">
        <w:rPr>
          <w:sz w:val="22"/>
          <w:szCs w:val="22"/>
          <w:lang w:val="en-GB"/>
        </w:rPr>
        <w:t>can be primarily utilised for Palearctic migrants while intra-African migrants would benefit from further focused work</w:t>
      </w:r>
      <w:r w:rsidR="00DB0C8B">
        <w:rPr>
          <w:sz w:val="22"/>
          <w:szCs w:val="22"/>
          <w:lang w:val="en-GB"/>
        </w:rPr>
        <w:t>,</w:t>
      </w:r>
    </w:p>
    <w:p w14:paraId="0F3E2FE5" w14:textId="556C70E2" w:rsidR="00AE1F7E" w:rsidRDefault="00AE1F7E" w:rsidP="00FA4E61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3C3371AF" w14:textId="77777777" w:rsidR="00DC3D6A" w:rsidRPr="003715A5" w:rsidRDefault="00DC3D6A" w:rsidP="00FA4E61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4B28D8BE" w14:textId="77777777" w:rsidR="004A5FDE" w:rsidRPr="003715A5" w:rsidRDefault="004A5FDE" w:rsidP="00FA4E61">
      <w:pPr>
        <w:spacing w:line="276" w:lineRule="auto"/>
        <w:jc w:val="both"/>
        <w:rPr>
          <w:sz w:val="22"/>
          <w:szCs w:val="22"/>
          <w:lang w:val="en-GB"/>
        </w:rPr>
      </w:pPr>
      <w:r w:rsidRPr="003715A5">
        <w:rPr>
          <w:i/>
          <w:iCs/>
          <w:sz w:val="22"/>
          <w:szCs w:val="22"/>
          <w:lang w:val="en-GB"/>
        </w:rPr>
        <w:t>The Meeting of the Parties</w:t>
      </w:r>
      <w:r w:rsidRPr="003715A5">
        <w:rPr>
          <w:sz w:val="22"/>
          <w:szCs w:val="22"/>
          <w:lang w:val="en-GB"/>
        </w:rPr>
        <w:t>:</w:t>
      </w:r>
    </w:p>
    <w:p w14:paraId="790FDDE4" w14:textId="77777777" w:rsidR="004A5FDE" w:rsidRPr="003715A5" w:rsidRDefault="004A5FDE" w:rsidP="00FA4E61">
      <w:pPr>
        <w:spacing w:line="276" w:lineRule="auto"/>
        <w:jc w:val="both"/>
        <w:rPr>
          <w:sz w:val="22"/>
          <w:szCs w:val="22"/>
          <w:lang w:val="en-GB"/>
        </w:rPr>
      </w:pPr>
    </w:p>
    <w:p w14:paraId="3E90788E" w14:textId="77777777" w:rsidR="009256A6" w:rsidRDefault="004A5FDE" w:rsidP="00FA4E61">
      <w:pPr>
        <w:numPr>
          <w:ilvl w:val="0"/>
          <w:numId w:val="6"/>
        </w:numPr>
        <w:tabs>
          <w:tab w:val="clear" w:pos="928"/>
          <w:tab w:val="num" w:pos="0"/>
          <w:tab w:val="num" w:pos="709"/>
        </w:tabs>
        <w:spacing w:line="276" w:lineRule="auto"/>
        <w:ind w:left="0" w:firstLine="0"/>
        <w:jc w:val="both"/>
        <w:rPr>
          <w:sz w:val="22"/>
          <w:szCs w:val="22"/>
          <w:lang w:val="en-GB"/>
        </w:rPr>
      </w:pPr>
      <w:r w:rsidRPr="00895DB9">
        <w:rPr>
          <w:i/>
          <w:iCs/>
          <w:sz w:val="22"/>
          <w:szCs w:val="22"/>
          <w:lang w:val="en-GB"/>
        </w:rPr>
        <w:t xml:space="preserve">Adopts </w:t>
      </w:r>
      <w:r w:rsidRPr="00895DB9">
        <w:rPr>
          <w:sz w:val="22"/>
          <w:szCs w:val="22"/>
          <w:lang w:val="en-GB"/>
        </w:rPr>
        <w:t>the</w:t>
      </w:r>
      <w:r w:rsidR="009256A6">
        <w:rPr>
          <w:sz w:val="22"/>
          <w:szCs w:val="22"/>
          <w:lang w:val="en-GB"/>
        </w:rPr>
        <w:t xml:space="preserve"> following:</w:t>
      </w:r>
      <w:r w:rsidRPr="00895DB9">
        <w:rPr>
          <w:sz w:val="22"/>
          <w:szCs w:val="22"/>
          <w:lang w:val="en-GB"/>
        </w:rPr>
        <w:t xml:space="preserve"> </w:t>
      </w:r>
    </w:p>
    <w:p w14:paraId="0E51D4AC" w14:textId="77777777" w:rsidR="009256A6" w:rsidRDefault="009256A6" w:rsidP="00EC6CCC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2568BA3A" w14:textId="579E70B6" w:rsidR="00FC5960" w:rsidRDefault="009256A6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a. </w:t>
      </w:r>
      <w:r w:rsidR="002304D1" w:rsidRPr="00895DB9">
        <w:rPr>
          <w:i/>
          <w:sz w:val="22"/>
          <w:szCs w:val="22"/>
          <w:lang w:val="en-GB"/>
        </w:rPr>
        <w:t xml:space="preserve">Guidance on </w:t>
      </w:r>
      <w:r>
        <w:rPr>
          <w:i/>
          <w:sz w:val="22"/>
          <w:szCs w:val="22"/>
          <w:lang w:val="en-GB"/>
        </w:rPr>
        <w:t xml:space="preserve">Satisfying the Conditions </w:t>
      </w:r>
      <w:r w:rsidR="00EE6297">
        <w:rPr>
          <w:i/>
          <w:sz w:val="22"/>
          <w:szCs w:val="22"/>
          <w:lang w:val="en-GB"/>
        </w:rPr>
        <w:t xml:space="preserve">of </w:t>
      </w:r>
      <w:r w:rsidR="007F2189">
        <w:rPr>
          <w:i/>
          <w:sz w:val="22"/>
          <w:szCs w:val="22"/>
          <w:lang w:val="en-GB"/>
        </w:rPr>
        <w:t>P</w:t>
      </w:r>
      <w:r w:rsidR="00EE6297">
        <w:rPr>
          <w:i/>
          <w:sz w:val="22"/>
          <w:szCs w:val="22"/>
          <w:lang w:val="en-GB"/>
        </w:rPr>
        <w:t xml:space="preserve">aragraph 2.1.3 of the AEWA Action Plan </w:t>
      </w:r>
      <w:r w:rsidR="002304D1" w:rsidRPr="00895DB9">
        <w:rPr>
          <w:sz w:val="22"/>
          <w:szCs w:val="22"/>
          <w:lang w:val="en-GB"/>
        </w:rPr>
        <w:t>as presented in document AEWA/MOP</w:t>
      </w:r>
      <w:r w:rsidR="00BF17C5">
        <w:rPr>
          <w:sz w:val="22"/>
          <w:szCs w:val="22"/>
          <w:lang w:val="en-GB"/>
        </w:rPr>
        <w:t xml:space="preserve"> </w:t>
      </w:r>
      <w:r w:rsidR="007F2189">
        <w:rPr>
          <w:sz w:val="22"/>
          <w:szCs w:val="22"/>
          <w:lang w:val="en-GB"/>
        </w:rPr>
        <w:t>7</w:t>
      </w:r>
      <w:r w:rsidR="002304D1" w:rsidRPr="00895DB9">
        <w:rPr>
          <w:sz w:val="22"/>
          <w:szCs w:val="22"/>
          <w:lang w:val="en-GB"/>
        </w:rPr>
        <w:t>.</w:t>
      </w:r>
      <w:r w:rsidR="00DB0C8B">
        <w:rPr>
          <w:sz w:val="22"/>
          <w:szCs w:val="22"/>
          <w:lang w:val="en-GB"/>
        </w:rPr>
        <w:t>32</w:t>
      </w:r>
      <w:r w:rsidR="00503E2E">
        <w:rPr>
          <w:sz w:val="22"/>
          <w:szCs w:val="22"/>
          <w:lang w:val="en-GB"/>
        </w:rPr>
        <w:t>,</w:t>
      </w:r>
    </w:p>
    <w:p w14:paraId="528D15F4" w14:textId="77777777" w:rsidR="00EC6CCC" w:rsidRDefault="00EC6CCC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</w:pPr>
    </w:p>
    <w:p w14:paraId="79959316" w14:textId="7456E250" w:rsidR="00DB0C8B" w:rsidRDefault="009256A6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  <w:sectPr w:rsidR="00DB0C8B" w:rsidSect="000473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1134" w:bottom="851" w:left="1134" w:header="851" w:footer="510" w:gutter="0"/>
          <w:cols w:space="708"/>
          <w:docGrid w:linePitch="360"/>
        </w:sectPr>
      </w:pPr>
      <w:r>
        <w:rPr>
          <w:i/>
          <w:sz w:val="22"/>
          <w:szCs w:val="22"/>
          <w:lang w:val="en-GB"/>
        </w:rPr>
        <w:t>b</w:t>
      </w:r>
      <w:r w:rsidR="00737D14">
        <w:rPr>
          <w:i/>
          <w:sz w:val="22"/>
          <w:szCs w:val="22"/>
          <w:lang w:val="en-GB"/>
        </w:rPr>
        <w:t>.</w:t>
      </w:r>
      <w:r>
        <w:rPr>
          <w:i/>
          <w:sz w:val="22"/>
          <w:szCs w:val="22"/>
          <w:lang w:val="en-GB"/>
        </w:rPr>
        <w:t xml:space="preserve"> </w:t>
      </w:r>
      <w:r w:rsidR="008E38DB" w:rsidRPr="00895DB9">
        <w:rPr>
          <w:i/>
          <w:sz w:val="22"/>
          <w:szCs w:val="22"/>
          <w:lang w:val="en-GB"/>
        </w:rPr>
        <w:t xml:space="preserve">Guidance on </w:t>
      </w:r>
      <w:r w:rsidR="008E38DB">
        <w:rPr>
          <w:i/>
          <w:sz w:val="22"/>
          <w:szCs w:val="22"/>
          <w:lang w:val="en-GB"/>
        </w:rPr>
        <w:t>AEWA’s Provisions on Non-native Species</w:t>
      </w:r>
      <w:r w:rsidR="00EC6CCC">
        <w:rPr>
          <w:i/>
          <w:sz w:val="22"/>
          <w:szCs w:val="22"/>
          <w:lang w:val="en-GB"/>
        </w:rPr>
        <w:t>,</w:t>
      </w:r>
      <w:r w:rsidR="008E38DB">
        <w:rPr>
          <w:i/>
          <w:sz w:val="22"/>
          <w:szCs w:val="22"/>
          <w:lang w:val="en-GB"/>
        </w:rPr>
        <w:t xml:space="preserve"> </w:t>
      </w:r>
      <w:r w:rsidR="008E38DB" w:rsidRPr="00895DB9">
        <w:rPr>
          <w:sz w:val="22"/>
          <w:szCs w:val="22"/>
          <w:lang w:val="en-GB"/>
        </w:rPr>
        <w:t xml:space="preserve">as presented in document </w:t>
      </w:r>
      <w:r w:rsidR="00BF17C5">
        <w:rPr>
          <w:sz w:val="22"/>
          <w:szCs w:val="22"/>
          <w:lang w:val="en-GB"/>
        </w:rPr>
        <w:br w:type="textWrapping" w:clear="all"/>
      </w:r>
      <w:r w:rsidR="008E38DB" w:rsidRPr="00895DB9">
        <w:rPr>
          <w:sz w:val="22"/>
          <w:szCs w:val="22"/>
          <w:lang w:val="en-GB"/>
        </w:rPr>
        <w:t>AEWA/MOP</w:t>
      </w:r>
      <w:r w:rsidR="00BF17C5">
        <w:rPr>
          <w:sz w:val="22"/>
          <w:szCs w:val="22"/>
          <w:lang w:val="en-GB"/>
        </w:rPr>
        <w:t xml:space="preserve"> </w:t>
      </w:r>
      <w:r w:rsidR="008E38DB">
        <w:rPr>
          <w:sz w:val="22"/>
          <w:szCs w:val="22"/>
          <w:lang w:val="en-GB"/>
        </w:rPr>
        <w:t>7</w:t>
      </w:r>
      <w:r w:rsidR="008E38DB" w:rsidRPr="00895DB9">
        <w:rPr>
          <w:sz w:val="22"/>
          <w:szCs w:val="22"/>
          <w:lang w:val="en-GB"/>
        </w:rPr>
        <w:t>.</w:t>
      </w:r>
      <w:r w:rsidR="00DB0C8B">
        <w:rPr>
          <w:sz w:val="22"/>
          <w:szCs w:val="22"/>
          <w:lang w:val="en-GB"/>
        </w:rPr>
        <w:t>33</w:t>
      </w:r>
      <w:r w:rsidR="00503E2E">
        <w:rPr>
          <w:sz w:val="22"/>
          <w:szCs w:val="22"/>
          <w:lang w:val="en-GB"/>
        </w:rPr>
        <w:t>,</w:t>
      </w:r>
    </w:p>
    <w:p w14:paraId="5F0D6B2D" w14:textId="4434FBFE" w:rsidR="008443A0" w:rsidRDefault="008E38DB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lastRenderedPageBreak/>
        <w:t>c</w:t>
      </w:r>
      <w:r w:rsidR="00737D14">
        <w:rPr>
          <w:i/>
          <w:sz w:val="22"/>
          <w:szCs w:val="22"/>
          <w:lang w:val="en-GB"/>
        </w:rPr>
        <w:t>.</w:t>
      </w:r>
      <w:r>
        <w:rPr>
          <w:i/>
          <w:sz w:val="22"/>
          <w:szCs w:val="22"/>
          <w:lang w:val="en-GB"/>
        </w:rPr>
        <w:t xml:space="preserve"> </w:t>
      </w:r>
      <w:r w:rsidR="008443A0">
        <w:rPr>
          <w:i/>
          <w:sz w:val="22"/>
          <w:szCs w:val="22"/>
          <w:lang w:val="en-GB"/>
        </w:rPr>
        <w:t xml:space="preserve">Guidance on Taking a Systematic Approach to responding to Waterbird Declines: A Checklist of Potential Actions </w:t>
      </w:r>
      <w:bookmarkStart w:id="1" w:name="_Hlk515567214"/>
      <w:r w:rsidR="008443A0" w:rsidRPr="00895DB9">
        <w:rPr>
          <w:sz w:val="22"/>
          <w:szCs w:val="22"/>
          <w:lang w:val="en-GB"/>
        </w:rPr>
        <w:t>as presented in document AEWA/MOP</w:t>
      </w:r>
      <w:r w:rsidR="00BF17C5">
        <w:rPr>
          <w:sz w:val="22"/>
          <w:szCs w:val="22"/>
          <w:lang w:val="en-GB"/>
        </w:rPr>
        <w:t xml:space="preserve"> </w:t>
      </w:r>
      <w:r w:rsidR="008443A0">
        <w:rPr>
          <w:sz w:val="22"/>
          <w:szCs w:val="22"/>
          <w:lang w:val="en-GB"/>
        </w:rPr>
        <w:t>7</w:t>
      </w:r>
      <w:r w:rsidR="008443A0" w:rsidRPr="00895DB9">
        <w:rPr>
          <w:sz w:val="22"/>
          <w:szCs w:val="22"/>
          <w:lang w:val="en-GB"/>
        </w:rPr>
        <w:t>.</w:t>
      </w:r>
      <w:r w:rsidR="00DC3D6A">
        <w:rPr>
          <w:sz w:val="22"/>
          <w:szCs w:val="22"/>
          <w:lang w:val="en-GB"/>
        </w:rPr>
        <w:t>34</w:t>
      </w:r>
      <w:bookmarkEnd w:id="1"/>
      <w:r w:rsidR="00503E2E">
        <w:rPr>
          <w:sz w:val="22"/>
          <w:szCs w:val="22"/>
          <w:lang w:val="en-GB"/>
        </w:rPr>
        <w:t>,</w:t>
      </w:r>
    </w:p>
    <w:p w14:paraId="5E7C028A" w14:textId="77777777" w:rsidR="00503E2E" w:rsidRDefault="00503E2E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</w:pPr>
    </w:p>
    <w:p w14:paraId="4DCE2AD1" w14:textId="7D093C46" w:rsidR="00AE1F7E" w:rsidRDefault="00737D14" w:rsidP="00681E90">
      <w:pPr>
        <w:tabs>
          <w:tab w:val="left" w:pos="720"/>
        </w:tabs>
        <w:spacing w:line="276" w:lineRule="auto"/>
        <w:ind w:left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d.</w:t>
      </w:r>
      <w:r w:rsidR="00BA6CE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BA6CED">
        <w:rPr>
          <w:sz w:val="22"/>
          <w:szCs w:val="22"/>
          <w:lang w:val="en-GB"/>
        </w:rPr>
        <w:t xml:space="preserve">Revised </w:t>
      </w:r>
      <w:r w:rsidR="00BA6CED" w:rsidRPr="00EC6CCC">
        <w:rPr>
          <w:i/>
          <w:sz w:val="22"/>
          <w:szCs w:val="22"/>
          <w:lang w:val="en-GB"/>
        </w:rPr>
        <w:t>Conservation Guidelines No. 9 on Waterbird Monitoring</w:t>
      </w:r>
      <w:r w:rsidR="00BA6CED">
        <w:rPr>
          <w:sz w:val="22"/>
          <w:szCs w:val="22"/>
          <w:lang w:val="en-GB"/>
        </w:rPr>
        <w:t xml:space="preserve"> </w:t>
      </w:r>
      <w:r w:rsidR="00BA6CED" w:rsidRPr="00895DB9">
        <w:rPr>
          <w:sz w:val="22"/>
          <w:szCs w:val="22"/>
          <w:lang w:val="en-GB"/>
        </w:rPr>
        <w:t>as presented in document AEWA/MOP</w:t>
      </w:r>
      <w:r w:rsidR="00BF17C5">
        <w:rPr>
          <w:sz w:val="22"/>
          <w:szCs w:val="22"/>
          <w:lang w:val="en-GB"/>
        </w:rPr>
        <w:t xml:space="preserve"> </w:t>
      </w:r>
      <w:r w:rsidR="00BA6CED">
        <w:rPr>
          <w:sz w:val="22"/>
          <w:szCs w:val="22"/>
          <w:lang w:val="en-GB"/>
        </w:rPr>
        <w:t>7</w:t>
      </w:r>
      <w:r w:rsidR="00BA6CED" w:rsidRPr="00895DB9">
        <w:rPr>
          <w:sz w:val="22"/>
          <w:szCs w:val="22"/>
          <w:lang w:val="en-GB"/>
        </w:rPr>
        <w:t>.</w:t>
      </w:r>
      <w:r w:rsidR="00DC3D6A">
        <w:rPr>
          <w:sz w:val="22"/>
          <w:szCs w:val="22"/>
          <w:lang w:val="en-GB"/>
        </w:rPr>
        <w:t>35</w:t>
      </w:r>
      <w:r w:rsidR="00AE1F7E">
        <w:rPr>
          <w:sz w:val="22"/>
          <w:szCs w:val="22"/>
          <w:lang w:val="en-GB"/>
        </w:rPr>
        <w:t>;</w:t>
      </w:r>
    </w:p>
    <w:p w14:paraId="4B94C4AE" w14:textId="77777777" w:rsidR="00DB0C8B" w:rsidRDefault="00DB0C8B" w:rsidP="00EC6CCC">
      <w:pPr>
        <w:spacing w:line="276" w:lineRule="auto"/>
        <w:ind w:left="720"/>
        <w:jc w:val="both"/>
        <w:rPr>
          <w:sz w:val="22"/>
          <w:szCs w:val="22"/>
          <w:lang w:val="en-GB"/>
        </w:rPr>
      </w:pPr>
    </w:p>
    <w:p w14:paraId="05ADAEE0" w14:textId="665A33E7" w:rsidR="00AE1F7E" w:rsidRDefault="00304FAF" w:rsidP="00681E90">
      <w:pPr>
        <w:tabs>
          <w:tab w:val="num" w:pos="709"/>
        </w:tabs>
        <w:spacing w:line="276" w:lineRule="auto"/>
        <w:jc w:val="both"/>
        <w:rPr>
          <w:sz w:val="22"/>
          <w:szCs w:val="22"/>
          <w:lang w:val="en-GB" w:eastAsia="en-GB"/>
        </w:rPr>
      </w:pPr>
      <w:r w:rsidRPr="00AD6C69">
        <w:rPr>
          <w:sz w:val="22"/>
          <w:szCs w:val="22"/>
          <w:lang w:val="en-GB" w:eastAsia="en-GB"/>
        </w:rPr>
        <w:t>2</w:t>
      </w:r>
      <w:r>
        <w:rPr>
          <w:i/>
          <w:sz w:val="22"/>
          <w:szCs w:val="22"/>
          <w:lang w:val="en-GB" w:eastAsia="en-GB"/>
        </w:rPr>
        <w:t>.</w:t>
      </w:r>
      <w:r w:rsidR="00BF17C5">
        <w:rPr>
          <w:i/>
          <w:sz w:val="22"/>
          <w:szCs w:val="22"/>
          <w:lang w:val="en-GB" w:eastAsia="en-GB"/>
        </w:rPr>
        <w:tab/>
      </w:r>
      <w:r w:rsidR="002304D1" w:rsidRPr="00EC6CCC">
        <w:rPr>
          <w:i/>
          <w:sz w:val="22"/>
          <w:szCs w:val="22"/>
          <w:lang w:val="en-GB" w:eastAsia="en-GB"/>
        </w:rPr>
        <w:t xml:space="preserve">Urges </w:t>
      </w:r>
      <w:r w:rsidR="002304D1" w:rsidRPr="00EC6CCC">
        <w:rPr>
          <w:sz w:val="22"/>
          <w:szCs w:val="22"/>
          <w:lang w:val="en-GB" w:eastAsia="en-GB"/>
        </w:rPr>
        <w:t>Parties to implement th</w:t>
      </w:r>
      <w:r w:rsidR="00BA6CED" w:rsidRPr="00EC6CCC">
        <w:rPr>
          <w:sz w:val="22"/>
          <w:szCs w:val="22"/>
          <w:lang w:val="en-GB" w:eastAsia="en-GB"/>
        </w:rPr>
        <w:t>ese</w:t>
      </w:r>
      <w:r w:rsidR="002304D1" w:rsidRPr="00EC6CCC">
        <w:rPr>
          <w:sz w:val="22"/>
          <w:szCs w:val="22"/>
          <w:lang w:val="en-GB" w:eastAsia="en-GB"/>
        </w:rPr>
        <w:t xml:space="preserve"> guidance</w:t>
      </w:r>
      <w:r w:rsidR="00BA6CED" w:rsidRPr="00EC6CCC">
        <w:rPr>
          <w:sz w:val="22"/>
          <w:szCs w:val="22"/>
          <w:lang w:val="en-GB" w:eastAsia="en-GB"/>
        </w:rPr>
        <w:t>s</w:t>
      </w:r>
      <w:r w:rsidR="00611867" w:rsidRPr="00EC6CCC">
        <w:rPr>
          <w:sz w:val="22"/>
          <w:szCs w:val="22"/>
          <w:lang w:val="en-GB" w:eastAsia="en-GB"/>
        </w:rPr>
        <w:t xml:space="preserve"> </w:t>
      </w:r>
      <w:r w:rsidR="00BA6CED" w:rsidRPr="00EC6CCC">
        <w:rPr>
          <w:sz w:val="22"/>
          <w:szCs w:val="22"/>
          <w:lang w:val="en-GB" w:eastAsia="en-GB"/>
        </w:rPr>
        <w:t xml:space="preserve">and to report to the </w:t>
      </w:r>
      <w:r w:rsidR="00AE1F7E">
        <w:rPr>
          <w:sz w:val="22"/>
          <w:szCs w:val="22"/>
          <w:lang w:val="en-GB" w:eastAsia="en-GB"/>
        </w:rPr>
        <w:t>UNEP/</w:t>
      </w:r>
      <w:r w:rsidR="00BA6CED" w:rsidRPr="00EC6CCC">
        <w:rPr>
          <w:sz w:val="22"/>
          <w:szCs w:val="22"/>
          <w:lang w:val="en-GB" w:eastAsia="en-GB"/>
        </w:rPr>
        <w:t xml:space="preserve">AEWA Secretariat without delay </w:t>
      </w:r>
      <w:r w:rsidR="00611867" w:rsidRPr="00EC6CCC">
        <w:rPr>
          <w:sz w:val="22"/>
          <w:szCs w:val="22"/>
          <w:lang w:val="en-GB" w:eastAsia="en-GB"/>
        </w:rPr>
        <w:t>when applying exemptions to the provisions of paragraphs 2.1.1 and 2.1.2 of the AEWA Action Plan</w:t>
      </w:r>
      <w:r w:rsidRPr="00EC6CCC">
        <w:rPr>
          <w:sz w:val="22"/>
          <w:szCs w:val="22"/>
          <w:lang w:val="en-GB" w:eastAsia="en-GB"/>
        </w:rPr>
        <w:t>;</w:t>
      </w:r>
    </w:p>
    <w:p w14:paraId="0F0B3960" w14:textId="3CA4DA7D" w:rsidR="00AD6C69" w:rsidRDefault="00AD6C69" w:rsidP="00304FAF">
      <w:pPr>
        <w:tabs>
          <w:tab w:val="num" w:pos="928"/>
        </w:tabs>
        <w:spacing w:line="276" w:lineRule="auto"/>
        <w:jc w:val="both"/>
        <w:rPr>
          <w:sz w:val="22"/>
          <w:szCs w:val="22"/>
          <w:lang w:val="en-GB" w:eastAsia="en-GB"/>
        </w:rPr>
      </w:pPr>
    </w:p>
    <w:p w14:paraId="710065D4" w14:textId="2D86031B" w:rsidR="00555CA7" w:rsidRDefault="00304FAF" w:rsidP="00681E90">
      <w:pPr>
        <w:tabs>
          <w:tab w:val="left" w:pos="142"/>
          <w:tab w:val="num" w:pos="709"/>
        </w:tabs>
        <w:spacing w:line="276" w:lineRule="auto"/>
        <w:jc w:val="both"/>
        <w:rPr>
          <w:sz w:val="22"/>
          <w:szCs w:val="22"/>
          <w:lang w:val="en-GB" w:eastAsia="en-GB"/>
        </w:rPr>
      </w:pPr>
      <w:r w:rsidRPr="00681E90">
        <w:rPr>
          <w:i/>
          <w:iCs/>
          <w:sz w:val="22"/>
          <w:szCs w:val="22"/>
          <w:lang w:val="en-GB"/>
        </w:rPr>
        <w:t>3.</w:t>
      </w:r>
      <w:r w:rsidR="00BF17C5">
        <w:rPr>
          <w:i/>
          <w:iCs/>
          <w:sz w:val="22"/>
          <w:szCs w:val="22"/>
          <w:lang w:val="en-GB"/>
        </w:rPr>
        <w:tab/>
      </w:r>
      <w:r w:rsidRPr="00681E90">
        <w:rPr>
          <w:i/>
          <w:iCs/>
          <w:sz w:val="22"/>
          <w:szCs w:val="22"/>
          <w:lang w:val="en-GB"/>
        </w:rPr>
        <w:t>Requests the Technical Committee and the Secretariat to maintain</w:t>
      </w:r>
      <w:r w:rsidR="00AE1F7E" w:rsidRPr="00681E90">
        <w:rPr>
          <w:i/>
          <w:iCs/>
          <w:sz w:val="22"/>
          <w:szCs w:val="22"/>
          <w:lang w:val="en-GB"/>
        </w:rPr>
        <w:t xml:space="preserve"> the guide to guidance on taking a</w:t>
      </w:r>
      <w:r w:rsidR="00AE1F7E" w:rsidRPr="00AD6C69">
        <w:rPr>
          <w:sz w:val="22"/>
          <w:szCs w:val="22"/>
          <w:lang w:val="en-GB" w:eastAsia="en-GB"/>
        </w:rPr>
        <w:t xml:space="preserve"> systematic approach to waterbird declines, as well as other similar types of guidance</w:t>
      </w:r>
      <w:r w:rsidR="00AD6C69">
        <w:rPr>
          <w:sz w:val="22"/>
          <w:szCs w:val="22"/>
          <w:lang w:val="en-GB" w:eastAsia="en-GB"/>
        </w:rPr>
        <w:t>,</w:t>
      </w:r>
      <w:r w:rsidR="00AE1F7E" w:rsidRPr="00AD6C69">
        <w:rPr>
          <w:sz w:val="22"/>
          <w:szCs w:val="22"/>
          <w:lang w:val="en-GB" w:eastAsia="en-GB"/>
        </w:rPr>
        <w:t xml:space="preserve"> previously adopted by the Meeting of the Parties,</w:t>
      </w:r>
      <w:r w:rsidRPr="00AD6C69">
        <w:rPr>
          <w:sz w:val="22"/>
          <w:szCs w:val="22"/>
          <w:lang w:val="en-GB" w:eastAsia="en-GB"/>
        </w:rPr>
        <w:t xml:space="preserve"> as rolling guidance on the AEWA website and </w:t>
      </w:r>
      <w:r w:rsidR="00AD6C69">
        <w:rPr>
          <w:sz w:val="22"/>
          <w:szCs w:val="22"/>
          <w:lang w:val="en-GB" w:eastAsia="en-GB"/>
        </w:rPr>
        <w:t xml:space="preserve">to </w:t>
      </w:r>
      <w:r w:rsidRPr="00AD6C69">
        <w:rPr>
          <w:sz w:val="22"/>
          <w:szCs w:val="22"/>
          <w:lang w:val="en-GB" w:eastAsia="en-GB"/>
        </w:rPr>
        <w:t xml:space="preserve">update </w:t>
      </w:r>
      <w:r w:rsidR="00AD6C69">
        <w:rPr>
          <w:sz w:val="22"/>
          <w:szCs w:val="22"/>
          <w:lang w:val="en-GB" w:eastAsia="en-GB"/>
        </w:rPr>
        <w:t xml:space="preserve">it </w:t>
      </w:r>
      <w:r w:rsidRPr="00AD6C69">
        <w:rPr>
          <w:sz w:val="22"/>
          <w:szCs w:val="22"/>
          <w:lang w:val="en-GB" w:eastAsia="en-GB"/>
        </w:rPr>
        <w:t>whenever necessary and possible</w:t>
      </w:r>
      <w:r w:rsidR="00555CA7">
        <w:rPr>
          <w:sz w:val="22"/>
          <w:szCs w:val="22"/>
          <w:lang w:val="en-GB" w:eastAsia="en-GB"/>
        </w:rPr>
        <w:t>;</w:t>
      </w:r>
    </w:p>
    <w:p w14:paraId="7FDAA755" w14:textId="77777777" w:rsidR="00555CA7" w:rsidRDefault="00555CA7" w:rsidP="00AD6C69">
      <w:pPr>
        <w:tabs>
          <w:tab w:val="num" w:pos="928"/>
        </w:tabs>
        <w:spacing w:line="276" w:lineRule="auto"/>
        <w:jc w:val="both"/>
        <w:rPr>
          <w:sz w:val="22"/>
          <w:szCs w:val="22"/>
          <w:lang w:val="en-GB" w:eastAsia="en-GB"/>
        </w:rPr>
      </w:pPr>
    </w:p>
    <w:p w14:paraId="5CF0DF4F" w14:textId="3A02F126" w:rsidR="00304FAF" w:rsidRPr="00AD6C69" w:rsidRDefault="00555CA7" w:rsidP="00681E90">
      <w:pPr>
        <w:tabs>
          <w:tab w:val="num" w:pos="709"/>
        </w:tabs>
        <w:spacing w:line="276" w:lineRule="auto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4.</w:t>
      </w:r>
      <w:r w:rsidR="00BF17C5">
        <w:rPr>
          <w:sz w:val="22"/>
          <w:szCs w:val="22"/>
          <w:lang w:val="en-GB" w:eastAsia="en-GB"/>
        </w:rPr>
        <w:tab/>
      </w:r>
      <w:r w:rsidRPr="00555CA7">
        <w:rPr>
          <w:i/>
          <w:sz w:val="22"/>
          <w:szCs w:val="22"/>
          <w:lang w:val="en-GB" w:eastAsia="en-GB"/>
        </w:rPr>
        <w:t>Urges</w:t>
      </w:r>
      <w:r>
        <w:rPr>
          <w:sz w:val="22"/>
          <w:szCs w:val="22"/>
          <w:lang w:val="en-GB" w:eastAsia="en-GB"/>
        </w:rPr>
        <w:t xml:space="preserve"> all Contracting Parties in Africa to identify at national level</w:t>
      </w:r>
      <w:r w:rsidR="00DC3D6A">
        <w:rPr>
          <w:sz w:val="22"/>
          <w:szCs w:val="22"/>
          <w:lang w:val="en-GB" w:eastAsia="en-GB"/>
        </w:rPr>
        <w:t>,</w:t>
      </w:r>
      <w:r>
        <w:rPr>
          <w:sz w:val="22"/>
          <w:szCs w:val="22"/>
          <w:lang w:val="en-GB" w:eastAsia="en-GB"/>
        </w:rPr>
        <w:t xml:space="preserve"> the periods of breeding </w:t>
      </w:r>
      <w:r w:rsidRPr="00681E90">
        <w:rPr>
          <w:sz w:val="22"/>
          <w:szCs w:val="22"/>
          <w:lang w:val="en-GB" w:eastAsia="en-GB"/>
        </w:rPr>
        <w:t xml:space="preserve">and </w:t>
      </w:r>
      <w:r w:rsidR="00CC25CE" w:rsidRPr="00681E90">
        <w:rPr>
          <w:sz w:val="22"/>
          <w:szCs w:val="22"/>
          <w:lang w:val="en-GB" w:eastAsia="en-GB"/>
        </w:rPr>
        <w:t xml:space="preserve">of </w:t>
      </w:r>
      <w:r w:rsidRPr="00681E90">
        <w:rPr>
          <w:sz w:val="22"/>
          <w:szCs w:val="22"/>
          <w:lang w:val="en-GB" w:eastAsia="en-GB"/>
        </w:rPr>
        <w:t>pre</w:t>
      </w:r>
      <w:r>
        <w:rPr>
          <w:sz w:val="22"/>
          <w:szCs w:val="22"/>
          <w:lang w:val="en-GB" w:eastAsia="en-GB"/>
        </w:rPr>
        <w:t>-nuptial migration for all AEWA-listed species and their respective populations occurring on their territories and apply this knowledge in the context of implementation of paragraph 2.1.2(a) of the AEWA Action Plan.</w:t>
      </w:r>
    </w:p>
    <w:p w14:paraId="7E17B166" w14:textId="1AD720EF" w:rsidR="000E3D08" w:rsidRDefault="000E3D08" w:rsidP="00FA4E61">
      <w:pPr>
        <w:spacing w:after="120" w:line="276" w:lineRule="auto"/>
        <w:jc w:val="both"/>
        <w:rPr>
          <w:sz w:val="22"/>
          <w:szCs w:val="22"/>
          <w:lang w:val="en-GB"/>
        </w:rPr>
      </w:pPr>
    </w:p>
    <w:p w14:paraId="050BCEA3" w14:textId="77777777" w:rsidR="00697DC3" w:rsidRPr="003715A5" w:rsidRDefault="00697DC3" w:rsidP="00FA4E61">
      <w:pPr>
        <w:spacing w:line="276" w:lineRule="auto"/>
        <w:rPr>
          <w:sz w:val="22"/>
          <w:szCs w:val="22"/>
          <w:lang w:val="en-GB"/>
        </w:rPr>
      </w:pPr>
    </w:p>
    <w:sectPr w:rsidR="00697DC3" w:rsidRPr="003715A5" w:rsidSect="0004731F">
      <w:headerReference w:type="default" r:id="rId14"/>
      <w:footerReference w:type="default" r:id="rId15"/>
      <w:pgSz w:w="11906" w:h="16838" w:code="9"/>
      <w:pgMar w:top="1021" w:right="1134" w:bottom="851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7101" w14:textId="77777777" w:rsidR="00D64160" w:rsidRDefault="00D64160">
      <w:r>
        <w:separator/>
      </w:r>
    </w:p>
  </w:endnote>
  <w:endnote w:type="continuationSeparator" w:id="0">
    <w:p w14:paraId="050F727B" w14:textId="77777777" w:rsidR="00D64160" w:rsidRDefault="00D6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E27A" w14:textId="77777777" w:rsidR="003A5F4F" w:rsidRDefault="003A5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2776" w14:textId="427C5069" w:rsidR="00AD6C69" w:rsidRDefault="00AD6C69">
    <w:pPr>
      <w:pStyle w:val="Footer"/>
      <w:jc w:val="center"/>
    </w:pPr>
  </w:p>
  <w:p w14:paraId="62D8A4AA" w14:textId="1B07B885" w:rsidR="00C60CA7" w:rsidRPr="002F485E" w:rsidRDefault="00C60CA7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53F6" w14:textId="77777777" w:rsidR="003A5F4F" w:rsidRDefault="003A5F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4320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0501D62" w14:textId="58DA380E" w:rsidR="00AD6C69" w:rsidRPr="00AD6C69" w:rsidRDefault="00AD6C69">
        <w:pPr>
          <w:pStyle w:val="Footer"/>
          <w:jc w:val="center"/>
          <w:rPr>
            <w:sz w:val="20"/>
            <w:szCs w:val="20"/>
          </w:rPr>
        </w:pPr>
        <w:r w:rsidRPr="00AD6C69">
          <w:rPr>
            <w:sz w:val="20"/>
            <w:szCs w:val="20"/>
          </w:rPr>
          <w:fldChar w:fldCharType="begin"/>
        </w:r>
        <w:r w:rsidRPr="00AD6C69">
          <w:rPr>
            <w:sz w:val="20"/>
            <w:szCs w:val="20"/>
          </w:rPr>
          <w:instrText xml:space="preserve"> PAGE   \* MERGEFORMAT </w:instrText>
        </w:r>
        <w:r w:rsidRPr="00AD6C69">
          <w:rPr>
            <w:sz w:val="20"/>
            <w:szCs w:val="20"/>
          </w:rPr>
          <w:fldChar w:fldCharType="separate"/>
        </w:r>
        <w:r w:rsidR="009726C6">
          <w:rPr>
            <w:noProof/>
            <w:sz w:val="20"/>
            <w:szCs w:val="20"/>
          </w:rPr>
          <w:t>2</w:t>
        </w:r>
        <w:r w:rsidRPr="00AD6C69">
          <w:rPr>
            <w:noProof/>
            <w:sz w:val="20"/>
            <w:szCs w:val="20"/>
          </w:rPr>
          <w:fldChar w:fldCharType="end"/>
        </w:r>
      </w:p>
    </w:sdtContent>
  </w:sdt>
  <w:p w14:paraId="4C843428" w14:textId="77777777" w:rsidR="00AD6C69" w:rsidRPr="002F485E" w:rsidRDefault="00AD6C6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6493" w14:textId="77777777" w:rsidR="00D64160" w:rsidRDefault="00D64160">
      <w:r>
        <w:separator/>
      </w:r>
    </w:p>
  </w:footnote>
  <w:footnote w:type="continuationSeparator" w:id="0">
    <w:p w14:paraId="526AA1A6" w14:textId="77777777" w:rsidR="00D64160" w:rsidRDefault="00D6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C142" w14:textId="77777777" w:rsidR="003A5F4F" w:rsidRDefault="003A5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6D2601" w:rsidRPr="006D2601" w14:paraId="73CD2020" w14:textId="77777777" w:rsidTr="006D2601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B9CC74A" w14:textId="77777777" w:rsidR="006D2601" w:rsidRPr="006D2601" w:rsidRDefault="006D2601" w:rsidP="006D2601">
          <w:pPr>
            <w:suppressAutoHyphens/>
            <w:autoSpaceDN w:val="0"/>
            <w:textAlignment w:val="baseline"/>
          </w:pPr>
          <w:r w:rsidRPr="006D2601">
            <w:rPr>
              <w:noProof/>
              <w:lang w:val="en-GB" w:eastAsia="en-GB"/>
            </w:rPr>
            <w:drawing>
              <wp:inline distT="0" distB="0" distL="0" distR="0" wp14:anchorId="0B7B6743" wp14:editId="183530E9">
                <wp:extent cx="853436" cy="711202"/>
                <wp:effectExtent l="0" t="0" r="3814" b="0"/>
                <wp:docPr id="1" name="Picture 1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896545F" w14:textId="77777777" w:rsidR="006D2601" w:rsidRPr="006D2601" w:rsidRDefault="006D2601" w:rsidP="006D2601">
          <w:pPr>
            <w:suppressAutoHyphens/>
            <w:autoSpaceDN w:val="0"/>
            <w:jc w:val="center"/>
            <w:textAlignment w:val="baseline"/>
            <w:rPr>
              <w:i/>
              <w:caps/>
            </w:rPr>
          </w:pPr>
          <w:r w:rsidRPr="006D2601"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4A2FAF55" w14:textId="77777777" w:rsidR="006D2601" w:rsidRPr="006D2601" w:rsidRDefault="006D2601" w:rsidP="006D2601">
          <w:pPr>
            <w:tabs>
              <w:tab w:val="left" w:pos="2415"/>
            </w:tabs>
            <w:suppressAutoHyphens/>
            <w:autoSpaceDN w:val="0"/>
            <w:jc w:val="center"/>
            <w:textAlignment w:val="baseline"/>
          </w:pPr>
          <w:r w:rsidRPr="006D2601"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661C28" w14:textId="3CD23F7B" w:rsidR="006D2601" w:rsidRPr="006D2601" w:rsidRDefault="006D2601" w:rsidP="006D2601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en-GB"/>
            </w:rPr>
          </w:pPr>
          <w:r w:rsidRPr="006D2601">
            <w:rPr>
              <w:i/>
              <w:iCs/>
              <w:sz w:val="20"/>
              <w:szCs w:val="20"/>
              <w:lang w:val="en-GB"/>
            </w:rPr>
            <w:t xml:space="preserve">Doc. </w:t>
          </w:r>
          <w:r w:rsidRPr="006D2601">
            <w:rPr>
              <w:bCs/>
              <w:i/>
              <w:iCs/>
              <w:sz w:val="20"/>
              <w:szCs w:val="20"/>
              <w:lang w:val="en-GB"/>
            </w:rPr>
            <w:t xml:space="preserve">AEWA/MOP7 </w:t>
          </w:r>
          <w:r>
            <w:rPr>
              <w:bCs/>
              <w:i/>
              <w:iCs/>
              <w:sz w:val="20"/>
              <w:szCs w:val="20"/>
              <w:lang w:val="en-GB"/>
            </w:rPr>
            <w:t>DR8</w:t>
          </w:r>
        </w:p>
        <w:p w14:paraId="425300EC" w14:textId="55BAAB43" w:rsidR="006D2601" w:rsidRPr="006D2601" w:rsidRDefault="006D2601" w:rsidP="006D2601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en-GB"/>
            </w:rPr>
          </w:pPr>
          <w:r w:rsidRPr="006D2601">
            <w:rPr>
              <w:i/>
              <w:iCs/>
              <w:sz w:val="20"/>
              <w:szCs w:val="20"/>
              <w:lang w:val="en-GB"/>
            </w:rPr>
            <w:t xml:space="preserve">Agenda item: </w:t>
          </w:r>
          <w:r>
            <w:rPr>
              <w:i/>
              <w:iCs/>
              <w:sz w:val="20"/>
              <w:szCs w:val="20"/>
              <w:lang w:val="en-GB"/>
            </w:rPr>
            <w:t>22</w:t>
          </w:r>
        </w:p>
        <w:p w14:paraId="05574823" w14:textId="77777777" w:rsidR="006D2601" w:rsidRPr="006D2601" w:rsidRDefault="006D2601" w:rsidP="006D2601">
          <w:pPr>
            <w:suppressAutoHyphens/>
            <w:autoSpaceDN w:val="0"/>
            <w:spacing w:line="276" w:lineRule="auto"/>
            <w:jc w:val="right"/>
            <w:textAlignment w:val="baseline"/>
          </w:pPr>
          <w:r w:rsidRPr="006D2601">
            <w:rPr>
              <w:i/>
              <w:iCs/>
              <w:sz w:val="20"/>
              <w:szCs w:val="20"/>
            </w:rPr>
            <w:t xml:space="preserve">Original: </w:t>
          </w:r>
          <w:r w:rsidRPr="006D2601">
            <w:rPr>
              <w:bCs/>
              <w:i/>
              <w:iCs/>
              <w:sz w:val="20"/>
              <w:szCs w:val="20"/>
            </w:rPr>
            <w:t>English</w:t>
          </w:r>
        </w:p>
        <w:p w14:paraId="0077177F" w14:textId="7AD57BCA" w:rsidR="006D2601" w:rsidRPr="006D2601" w:rsidRDefault="00BF17C5" w:rsidP="006D2601">
          <w:pPr>
            <w:suppressAutoHyphens/>
            <w:autoSpaceDN w:val="0"/>
            <w:spacing w:line="276" w:lineRule="auto"/>
            <w:jc w:val="right"/>
            <w:textAlignment w:val="baseline"/>
          </w:pPr>
          <w:r w:rsidRPr="00681E90">
            <w:rPr>
              <w:i/>
              <w:iCs/>
              <w:sz w:val="20"/>
              <w:szCs w:val="20"/>
            </w:rPr>
            <w:t xml:space="preserve">29 </w:t>
          </w:r>
          <w:r w:rsidR="006D2601" w:rsidRPr="00681E90">
            <w:rPr>
              <w:i/>
              <w:iCs/>
              <w:sz w:val="20"/>
              <w:szCs w:val="20"/>
            </w:rPr>
            <w:t>August 2018</w:t>
          </w:r>
        </w:p>
      </w:tc>
    </w:tr>
    <w:tr w:rsidR="006D2601" w:rsidRPr="006D2601" w14:paraId="76D9AA5F" w14:textId="77777777" w:rsidTr="006D2601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F566649" w14:textId="77777777" w:rsidR="006D2601" w:rsidRPr="006D2601" w:rsidRDefault="006D2601" w:rsidP="006D2601">
          <w:pPr>
            <w:suppressAutoHyphens/>
            <w:autoSpaceDN w:val="0"/>
            <w:jc w:val="center"/>
            <w:textAlignment w:val="baseline"/>
          </w:pPr>
          <w:r w:rsidRPr="006D2601">
            <w:rPr>
              <w:b/>
              <w:bCs/>
              <w:sz w:val="26"/>
              <w:szCs w:val="26"/>
            </w:rPr>
            <w:t>7</w:t>
          </w:r>
          <w:r w:rsidRPr="006D2601">
            <w:rPr>
              <w:b/>
              <w:bCs/>
              <w:sz w:val="26"/>
              <w:szCs w:val="26"/>
              <w:vertAlign w:val="superscript"/>
            </w:rPr>
            <w:t>th</w:t>
          </w:r>
          <w:r w:rsidRPr="006D2601">
            <w:rPr>
              <w:b/>
              <w:bCs/>
              <w:sz w:val="26"/>
              <w:szCs w:val="26"/>
            </w:rPr>
            <w:t xml:space="preserve"> </w:t>
          </w:r>
          <w:r w:rsidRPr="006D2601"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509ECADF" w14:textId="5364A78F" w:rsidR="006D2601" w:rsidRPr="006D2601" w:rsidRDefault="003A5F4F" w:rsidP="006D2601">
          <w:pPr>
            <w:suppressAutoHyphens/>
            <w:autoSpaceDN w:val="0"/>
            <w:jc w:val="center"/>
            <w:textAlignment w:val="baseline"/>
          </w:pPr>
          <w:r>
            <w:rPr>
              <w:i/>
              <w:iCs/>
            </w:rPr>
            <w:t>0</w:t>
          </w:r>
          <w:r w:rsidR="006D2601" w:rsidRPr="006D2601">
            <w:rPr>
              <w:i/>
              <w:iCs/>
            </w:rPr>
            <w:t>4-</w:t>
          </w:r>
          <w:r>
            <w:rPr>
              <w:i/>
              <w:iCs/>
            </w:rPr>
            <w:t>0</w:t>
          </w:r>
          <w:bookmarkStart w:id="0" w:name="_GoBack"/>
          <w:bookmarkEnd w:id="0"/>
          <w:r w:rsidR="006D2601" w:rsidRPr="006D2601">
            <w:rPr>
              <w:i/>
              <w:iCs/>
            </w:rPr>
            <w:t>8 December 2018, Durban, South Africa</w:t>
          </w:r>
        </w:p>
      </w:tc>
    </w:tr>
    <w:tr w:rsidR="006D2601" w:rsidRPr="006D2601" w14:paraId="547AF0F9" w14:textId="77777777" w:rsidTr="006D2601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69E4CB" w14:textId="77777777" w:rsidR="006D2601" w:rsidRPr="006D2601" w:rsidRDefault="006D2601" w:rsidP="006D2601">
          <w:pPr>
            <w:suppressAutoHyphens/>
            <w:autoSpaceDN w:val="0"/>
            <w:jc w:val="center"/>
            <w:textAlignment w:val="baseline"/>
            <w:rPr>
              <w:i/>
            </w:rPr>
          </w:pPr>
          <w:r w:rsidRPr="006D2601">
            <w:rPr>
              <w:i/>
            </w:rPr>
            <w:t>“Beyond 2020: Shaping flyway conservation for the future”</w:t>
          </w:r>
        </w:p>
      </w:tc>
    </w:tr>
  </w:tbl>
  <w:p w14:paraId="1C1AF7DB" w14:textId="51A34B46" w:rsidR="00AD6C69" w:rsidRDefault="00AD6C69" w:rsidP="006D2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01353" w14:textId="77777777" w:rsidR="003A5F4F" w:rsidRDefault="003A5F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8A50" w14:textId="77777777" w:rsidR="00AE1F7E" w:rsidRPr="002F485E" w:rsidRDefault="00AE1F7E" w:rsidP="00C6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69C401F"/>
    <w:multiLevelType w:val="hybridMultilevel"/>
    <w:tmpl w:val="9E7450B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F374A"/>
    <w:multiLevelType w:val="hybridMultilevel"/>
    <w:tmpl w:val="0E74F86E"/>
    <w:lvl w:ilvl="0" w:tplc="7BC4A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16D0E"/>
    <w:multiLevelType w:val="multilevel"/>
    <w:tmpl w:val="5A7A722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DE"/>
    <w:rsid w:val="00016E7B"/>
    <w:rsid w:val="00020888"/>
    <w:rsid w:val="00046B01"/>
    <w:rsid w:val="0004731F"/>
    <w:rsid w:val="00051C54"/>
    <w:rsid w:val="00053571"/>
    <w:rsid w:val="00054FD8"/>
    <w:rsid w:val="00060494"/>
    <w:rsid w:val="0006129C"/>
    <w:rsid w:val="000977BB"/>
    <w:rsid w:val="000A14AD"/>
    <w:rsid w:val="000A51FB"/>
    <w:rsid w:val="000A5A47"/>
    <w:rsid w:val="000A6F3A"/>
    <w:rsid w:val="000B656B"/>
    <w:rsid w:val="000C263A"/>
    <w:rsid w:val="000C6C45"/>
    <w:rsid w:val="000D5979"/>
    <w:rsid w:val="000E153E"/>
    <w:rsid w:val="000E3D08"/>
    <w:rsid w:val="000F2170"/>
    <w:rsid w:val="000F22CC"/>
    <w:rsid w:val="00104C13"/>
    <w:rsid w:val="00105C6B"/>
    <w:rsid w:val="00111DB3"/>
    <w:rsid w:val="00125BB9"/>
    <w:rsid w:val="00125FAA"/>
    <w:rsid w:val="00132F2E"/>
    <w:rsid w:val="001352CE"/>
    <w:rsid w:val="00162511"/>
    <w:rsid w:val="00163D0E"/>
    <w:rsid w:val="0016427F"/>
    <w:rsid w:val="00167D59"/>
    <w:rsid w:val="0017712F"/>
    <w:rsid w:val="00180A4D"/>
    <w:rsid w:val="00182DCC"/>
    <w:rsid w:val="00185CD4"/>
    <w:rsid w:val="00186687"/>
    <w:rsid w:val="00196E67"/>
    <w:rsid w:val="001A00B6"/>
    <w:rsid w:val="001A51B7"/>
    <w:rsid w:val="001B186D"/>
    <w:rsid w:val="001D15CC"/>
    <w:rsid w:val="001D21F7"/>
    <w:rsid w:val="001D519A"/>
    <w:rsid w:val="001E0C2A"/>
    <w:rsid w:val="001F1D9A"/>
    <w:rsid w:val="001F2EE5"/>
    <w:rsid w:val="0020640C"/>
    <w:rsid w:val="00207325"/>
    <w:rsid w:val="00215143"/>
    <w:rsid w:val="002304D1"/>
    <w:rsid w:val="00243B4B"/>
    <w:rsid w:val="00244CDF"/>
    <w:rsid w:val="00252DF2"/>
    <w:rsid w:val="00260D5D"/>
    <w:rsid w:val="002661B3"/>
    <w:rsid w:val="00267DA0"/>
    <w:rsid w:val="00286103"/>
    <w:rsid w:val="002A3D00"/>
    <w:rsid w:val="002C58BF"/>
    <w:rsid w:val="002E4C1F"/>
    <w:rsid w:val="002E6092"/>
    <w:rsid w:val="002F0141"/>
    <w:rsid w:val="002F3BC5"/>
    <w:rsid w:val="002F7147"/>
    <w:rsid w:val="00303606"/>
    <w:rsid w:val="00304FAF"/>
    <w:rsid w:val="003072A9"/>
    <w:rsid w:val="00312BA0"/>
    <w:rsid w:val="00316D81"/>
    <w:rsid w:val="00320735"/>
    <w:rsid w:val="003209C2"/>
    <w:rsid w:val="003251E0"/>
    <w:rsid w:val="00332F2C"/>
    <w:rsid w:val="003332C4"/>
    <w:rsid w:val="00335022"/>
    <w:rsid w:val="003412DF"/>
    <w:rsid w:val="00345FA1"/>
    <w:rsid w:val="00353767"/>
    <w:rsid w:val="0035440D"/>
    <w:rsid w:val="003715A5"/>
    <w:rsid w:val="00376C90"/>
    <w:rsid w:val="00381660"/>
    <w:rsid w:val="00383FCF"/>
    <w:rsid w:val="00393891"/>
    <w:rsid w:val="003A134C"/>
    <w:rsid w:val="003A33FF"/>
    <w:rsid w:val="003A596F"/>
    <w:rsid w:val="003A5F4F"/>
    <w:rsid w:val="003B2918"/>
    <w:rsid w:val="003B4398"/>
    <w:rsid w:val="003B58AA"/>
    <w:rsid w:val="003B7A22"/>
    <w:rsid w:val="003C320A"/>
    <w:rsid w:val="003C6E09"/>
    <w:rsid w:val="003D030A"/>
    <w:rsid w:val="003D13D0"/>
    <w:rsid w:val="003D48A5"/>
    <w:rsid w:val="003D7640"/>
    <w:rsid w:val="003E0DB9"/>
    <w:rsid w:val="003E207D"/>
    <w:rsid w:val="0041027E"/>
    <w:rsid w:val="0042019D"/>
    <w:rsid w:val="00423640"/>
    <w:rsid w:val="004256C2"/>
    <w:rsid w:val="004313BF"/>
    <w:rsid w:val="004370A6"/>
    <w:rsid w:val="004374E9"/>
    <w:rsid w:val="00446E4B"/>
    <w:rsid w:val="00455009"/>
    <w:rsid w:val="004623B2"/>
    <w:rsid w:val="0049360A"/>
    <w:rsid w:val="004944D1"/>
    <w:rsid w:val="00497689"/>
    <w:rsid w:val="004A5FDE"/>
    <w:rsid w:val="004B57A6"/>
    <w:rsid w:val="004B75C0"/>
    <w:rsid w:val="004C26D2"/>
    <w:rsid w:val="004C4E42"/>
    <w:rsid w:val="004D647E"/>
    <w:rsid w:val="004F13A5"/>
    <w:rsid w:val="004F4E6A"/>
    <w:rsid w:val="004F5C38"/>
    <w:rsid w:val="005018C8"/>
    <w:rsid w:val="00503E2E"/>
    <w:rsid w:val="00506661"/>
    <w:rsid w:val="00517C62"/>
    <w:rsid w:val="00535992"/>
    <w:rsid w:val="005426DD"/>
    <w:rsid w:val="00551530"/>
    <w:rsid w:val="00551700"/>
    <w:rsid w:val="00555CA7"/>
    <w:rsid w:val="00565AA8"/>
    <w:rsid w:val="00567628"/>
    <w:rsid w:val="005714B0"/>
    <w:rsid w:val="00573282"/>
    <w:rsid w:val="00575367"/>
    <w:rsid w:val="005970C7"/>
    <w:rsid w:val="00597566"/>
    <w:rsid w:val="005A0AC0"/>
    <w:rsid w:val="005A7949"/>
    <w:rsid w:val="005B689B"/>
    <w:rsid w:val="005C43C3"/>
    <w:rsid w:val="005D0005"/>
    <w:rsid w:val="005D54ED"/>
    <w:rsid w:val="005E2BFF"/>
    <w:rsid w:val="00601DD4"/>
    <w:rsid w:val="0060207D"/>
    <w:rsid w:val="00603ECA"/>
    <w:rsid w:val="006059D0"/>
    <w:rsid w:val="006075EE"/>
    <w:rsid w:val="006107B2"/>
    <w:rsid w:val="00611867"/>
    <w:rsid w:val="006122CD"/>
    <w:rsid w:val="00616D1B"/>
    <w:rsid w:val="006230B0"/>
    <w:rsid w:val="006264D8"/>
    <w:rsid w:val="006318A6"/>
    <w:rsid w:val="00634F66"/>
    <w:rsid w:val="00636ECB"/>
    <w:rsid w:val="00641E62"/>
    <w:rsid w:val="006524AB"/>
    <w:rsid w:val="006556ED"/>
    <w:rsid w:val="00655E24"/>
    <w:rsid w:val="006566F2"/>
    <w:rsid w:val="00657A1D"/>
    <w:rsid w:val="0066160A"/>
    <w:rsid w:val="0066689B"/>
    <w:rsid w:val="00671A79"/>
    <w:rsid w:val="00673033"/>
    <w:rsid w:val="0067485C"/>
    <w:rsid w:val="00681E90"/>
    <w:rsid w:val="0068422D"/>
    <w:rsid w:val="0069010A"/>
    <w:rsid w:val="00697DC3"/>
    <w:rsid w:val="006A4A6F"/>
    <w:rsid w:val="006B6B98"/>
    <w:rsid w:val="006D0329"/>
    <w:rsid w:val="006D24EE"/>
    <w:rsid w:val="006D2601"/>
    <w:rsid w:val="006E0905"/>
    <w:rsid w:val="006E0B28"/>
    <w:rsid w:val="006E5C40"/>
    <w:rsid w:val="006F3344"/>
    <w:rsid w:val="00703647"/>
    <w:rsid w:val="00737D14"/>
    <w:rsid w:val="00751B27"/>
    <w:rsid w:val="00757F53"/>
    <w:rsid w:val="00767C3A"/>
    <w:rsid w:val="00772C93"/>
    <w:rsid w:val="0077356B"/>
    <w:rsid w:val="00782700"/>
    <w:rsid w:val="00786AF1"/>
    <w:rsid w:val="0079491B"/>
    <w:rsid w:val="0079698D"/>
    <w:rsid w:val="007E054A"/>
    <w:rsid w:val="007E1121"/>
    <w:rsid w:val="007E6557"/>
    <w:rsid w:val="007F2189"/>
    <w:rsid w:val="007F520A"/>
    <w:rsid w:val="008115B4"/>
    <w:rsid w:val="0082215E"/>
    <w:rsid w:val="00822276"/>
    <w:rsid w:val="008235E1"/>
    <w:rsid w:val="00837EA4"/>
    <w:rsid w:val="008443A0"/>
    <w:rsid w:val="00847AB2"/>
    <w:rsid w:val="008650A4"/>
    <w:rsid w:val="00871A75"/>
    <w:rsid w:val="00877B63"/>
    <w:rsid w:val="00895DB9"/>
    <w:rsid w:val="00896669"/>
    <w:rsid w:val="008A29B1"/>
    <w:rsid w:val="008B1AE8"/>
    <w:rsid w:val="008B3285"/>
    <w:rsid w:val="008B7939"/>
    <w:rsid w:val="008D17FB"/>
    <w:rsid w:val="008D305B"/>
    <w:rsid w:val="008E38DB"/>
    <w:rsid w:val="008E791B"/>
    <w:rsid w:val="008F0DEA"/>
    <w:rsid w:val="008F4E75"/>
    <w:rsid w:val="008F5A3E"/>
    <w:rsid w:val="00903E6E"/>
    <w:rsid w:val="009164F2"/>
    <w:rsid w:val="009256A6"/>
    <w:rsid w:val="00944063"/>
    <w:rsid w:val="0094693C"/>
    <w:rsid w:val="00960705"/>
    <w:rsid w:val="0096757D"/>
    <w:rsid w:val="0096780E"/>
    <w:rsid w:val="009726C6"/>
    <w:rsid w:val="00980C80"/>
    <w:rsid w:val="00990AB9"/>
    <w:rsid w:val="00994B00"/>
    <w:rsid w:val="00995095"/>
    <w:rsid w:val="00A04BA7"/>
    <w:rsid w:val="00A07EE3"/>
    <w:rsid w:val="00A13B54"/>
    <w:rsid w:val="00A15368"/>
    <w:rsid w:val="00A15BC4"/>
    <w:rsid w:val="00A36A12"/>
    <w:rsid w:val="00A44FC5"/>
    <w:rsid w:val="00A50CC4"/>
    <w:rsid w:val="00A550C8"/>
    <w:rsid w:val="00A84DF2"/>
    <w:rsid w:val="00A852E5"/>
    <w:rsid w:val="00A86EF9"/>
    <w:rsid w:val="00AB7B63"/>
    <w:rsid w:val="00AC1EB4"/>
    <w:rsid w:val="00AC3AC4"/>
    <w:rsid w:val="00AC55DC"/>
    <w:rsid w:val="00AD5FBE"/>
    <w:rsid w:val="00AD6C69"/>
    <w:rsid w:val="00AE18A9"/>
    <w:rsid w:val="00AE1F7E"/>
    <w:rsid w:val="00AE44EE"/>
    <w:rsid w:val="00AF7358"/>
    <w:rsid w:val="00AF7A81"/>
    <w:rsid w:val="00B03E26"/>
    <w:rsid w:val="00B04408"/>
    <w:rsid w:val="00B30BE0"/>
    <w:rsid w:val="00B37E95"/>
    <w:rsid w:val="00B4548C"/>
    <w:rsid w:val="00B51146"/>
    <w:rsid w:val="00B53055"/>
    <w:rsid w:val="00B56DEB"/>
    <w:rsid w:val="00B57E4F"/>
    <w:rsid w:val="00B72C8E"/>
    <w:rsid w:val="00B7575B"/>
    <w:rsid w:val="00B7623D"/>
    <w:rsid w:val="00B773B7"/>
    <w:rsid w:val="00B77837"/>
    <w:rsid w:val="00B80F39"/>
    <w:rsid w:val="00B86D30"/>
    <w:rsid w:val="00B9472A"/>
    <w:rsid w:val="00BA52AD"/>
    <w:rsid w:val="00BA6CED"/>
    <w:rsid w:val="00BA790F"/>
    <w:rsid w:val="00BB60C5"/>
    <w:rsid w:val="00BC6B49"/>
    <w:rsid w:val="00BC7025"/>
    <w:rsid w:val="00BD7F2A"/>
    <w:rsid w:val="00BE11A7"/>
    <w:rsid w:val="00BF17C5"/>
    <w:rsid w:val="00C10107"/>
    <w:rsid w:val="00C1396F"/>
    <w:rsid w:val="00C170E1"/>
    <w:rsid w:val="00C31A30"/>
    <w:rsid w:val="00C37179"/>
    <w:rsid w:val="00C60CA7"/>
    <w:rsid w:val="00C645F5"/>
    <w:rsid w:val="00C72EF1"/>
    <w:rsid w:val="00C83EC9"/>
    <w:rsid w:val="00CA6FBB"/>
    <w:rsid w:val="00CA73F7"/>
    <w:rsid w:val="00CB1CAA"/>
    <w:rsid w:val="00CC25CE"/>
    <w:rsid w:val="00CC3F9D"/>
    <w:rsid w:val="00CC40FA"/>
    <w:rsid w:val="00CC509F"/>
    <w:rsid w:val="00CE340A"/>
    <w:rsid w:val="00CF2349"/>
    <w:rsid w:val="00CF34C8"/>
    <w:rsid w:val="00CF563A"/>
    <w:rsid w:val="00CF5F07"/>
    <w:rsid w:val="00D17FDB"/>
    <w:rsid w:val="00D43494"/>
    <w:rsid w:val="00D43CB0"/>
    <w:rsid w:val="00D47320"/>
    <w:rsid w:val="00D604E7"/>
    <w:rsid w:val="00D62588"/>
    <w:rsid w:val="00D64160"/>
    <w:rsid w:val="00D70485"/>
    <w:rsid w:val="00D801A7"/>
    <w:rsid w:val="00D97245"/>
    <w:rsid w:val="00DA2E04"/>
    <w:rsid w:val="00DB0982"/>
    <w:rsid w:val="00DB0C8B"/>
    <w:rsid w:val="00DB6E97"/>
    <w:rsid w:val="00DB6FF8"/>
    <w:rsid w:val="00DC3D6A"/>
    <w:rsid w:val="00DE6C76"/>
    <w:rsid w:val="00DF26A5"/>
    <w:rsid w:val="00E02643"/>
    <w:rsid w:val="00E043A4"/>
    <w:rsid w:val="00E32E05"/>
    <w:rsid w:val="00E3714C"/>
    <w:rsid w:val="00E41928"/>
    <w:rsid w:val="00E55F1B"/>
    <w:rsid w:val="00E62524"/>
    <w:rsid w:val="00E719DA"/>
    <w:rsid w:val="00E76AEC"/>
    <w:rsid w:val="00E965A8"/>
    <w:rsid w:val="00EA1BA4"/>
    <w:rsid w:val="00EB196B"/>
    <w:rsid w:val="00EB40C9"/>
    <w:rsid w:val="00EC5C49"/>
    <w:rsid w:val="00EC6CCC"/>
    <w:rsid w:val="00EC7C77"/>
    <w:rsid w:val="00EE19A4"/>
    <w:rsid w:val="00EE6297"/>
    <w:rsid w:val="00EF01DD"/>
    <w:rsid w:val="00EF13A0"/>
    <w:rsid w:val="00EF2950"/>
    <w:rsid w:val="00F04B2C"/>
    <w:rsid w:val="00F1400B"/>
    <w:rsid w:val="00F5168D"/>
    <w:rsid w:val="00F627E9"/>
    <w:rsid w:val="00F81B26"/>
    <w:rsid w:val="00F85886"/>
    <w:rsid w:val="00FA1954"/>
    <w:rsid w:val="00FA2143"/>
    <w:rsid w:val="00FA4E61"/>
    <w:rsid w:val="00FB4E10"/>
    <w:rsid w:val="00FC5960"/>
    <w:rsid w:val="00FE41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1DA7A1"/>
  <w15:docId w15:val="{A663403F-9DA8-40A0-8ECE-36DA7C61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F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4A5FDE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sz w:val="22"/>
      <w:lang w:val="x-none"/>
    </w:r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F0DEA"/>
    <w:rPr>
      <w:sz w:val="20"/>
      <w:szCs w:val="20"/>
    </w:rPr>
  </w:style>
  <w:style w:type="character" w:styleId="FootnoteReference">
    <w:name w:val="footnote reference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Title">
    <w:name w:val="Title"/>
    <w:basedOn w:val="Normal"/>
    <w:qFormat/>
    <w:rsid w:val="004A5FDE"/>
    <w:pPr>
      <w:spacing w:line="240" w:lineRule="exact"/>
      <w:ind w:right="-427"/>
      <w:jc w:val="center"/>
    </w:pPr>
    <w:rPr>
      <w:b/>
    </w:rPr>
  </w:style>
  <w:style w:type="paragraph" w:styleId="BodyText">
    <w:name w:val="Body Text"/>
    <w:basedOn w:val="Normal"/>
    <w:rsid w:val="004A5FDE"/>
    <w:pPr>
      <w:autoSpaceDE w:val="0"/>
      <w:autoSpaceDN w:val="0"/>
      <w:adjustRightInd w:val="0"/>
    </w:pPr>
    <w:rPr>
      <w:b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4A5F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5C4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E5C40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3B7A22"/>
    <w:rPr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C45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F1400B"/>
    <w:rPr>
      <w:sz w:val="16"/>
      <w:szCs w:val="16"/>
    </w:rPr>
  </w:style>
  <w:style w:type="paragraph" w:styleId="CommentText">
    <w:name w:val="annotation text"/>
    <w:basedOn w:val="Normal"/>
    <w:semiHidden/>
    <w:rsid w:val="00F140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00B"/>
    <w:rPr>
      <w:b/>
      <w:bCs/>
    </w:rPr>
  </w:style>
  <w:style w:type="character" w:styleId="Emphasis">
    <w:name w:val="Emphasis"/>
    <w:qFormat/>
    <w:rsid w:val="00B57E4F"/>
    <w:rPr>
      <w:i/>
      <w:iCs/>
    </w:rPr>
  </w:style>
  <w:style w:type="paragraph" w:styleId="ListParagraph">
    <w:name w:val="List Paragraph"/>
    <w:basedOn w:val="Normal"/>
    <w:uiPriority w:val="34"/>
    <w:qFormat/>
    <w:rsid w:val="004F5C38"/>
    <w:pPr>
      <w:ind w:left="720"/>
    </w:pPr>
  </w:style>
  <w:style w:type="character" w:customStyle="1" w:styleId="FootnoteTextChar">
    <w:name w:val="Footnote Text Char"/>
    <w:link w:val="FootnoteText"/>
    <w:semiHidden/>
    <w:rsid w:val="00BC6B49"/>
    <w:rPr>
      <w:lang w:val="en-US" w:eastAsia="en-US"/>
    </w:rPr>
  </w:style>
  <w:style w:type="character" w:styleId="Hyperlink">
    <w:name w:val="Hyperlink"/>
    <w:uiPriority w:val="99"/>
    <w:unhideWhenUsed/>
    <w:rsid w:val="0035440D"/>
    <w:rPr>
      <w:color w:val="0000FF"/>
      <w:u w:val="single"/>
    </w:rPr>
  </w:style>
  <w:style w:type="paragraph" w:customStyle="1" w:styleId="Default">
    <w:name w:val="Default"/>
    <w:rsid w:val="003544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C40F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4E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08E7-1F91-4DF4-8EF2-B0855451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quick brown fox jumps over the lazy dog</vt:lpstr>
      <vt:lpstr>The quick brown fox jumps over the lazy dog</vt:lpstr>
      <vt:lpstr>The quick brown fox jumps over the lazy dog</vt:lpstr>
    </vt:vector>
  </TitlesOfParts>
  <Company>aewa</Company>
  <LinksUpToDate>false</LinksUpToDate>
  <CharactersWithSpaces>3088</CharactersWithSpaces>
  <SharedDoc>false</SharedDoc>
  <HLinks>
    <vt:vector size="24" baseType="variant"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http://archive.ramsar.org/cda/en/ramsar-pubs-handbooks/main/ramsar/1-30-33_4000_0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http://ec.europa.eu/environment/nature/conservation/species/guidance/pdf/guidance_en.pdf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http://assets.panda.org/downloads/wetlands_management_guide_2008.pdf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https://sora.unm.edu/sites/default/files/journals/iwsgb/n068/p00003-p00005.pdf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jkremer</dc:creator>
  <cp:keywords/>
  <cp:lastModifiedBy>Jolanta Kremer</cp:lastModifiedBy>
  <cp:revision>4</cp:revision>
  <cp:lastPrinted>2018-06-04T06:03:00Z</cp:lastPrinted>
  <dcterms:created xsi:type="dcterms:W3CDTF">2018-08-29T10:38:00Z</dcterms:created>
  <dcterms:modified xsi:type="dcterms:W3CDTF">2018-10-16T15:29:00Z</dcterms:modified>
</cp:coreProperties>
</file>