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FA" w:rsidRDefault="00195BFA" w:rsidP="00195BF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B2CBF" w:rsidRPr="00195BFA" w:rsidRDefault="00195BFA" w:rsidP="00195BF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BFA">
        <w:rPr>
          <w:rFonts w:ascii="Times New Roman" w:hAnsi="Times New Roman" w:cs="Times New Roman"/>
          <w:b/>
          <w:sz w:val="24"/>
          <w:szCs w:val="24"/>
          <w:lang w:val="fr-FR"/>
        </w:rPr>
        <w:t>RAPPORT DU DEPOSITAIRE</w:t>
      </w:r>
    </w:p>
    <w:p w:rsidR="007B041E" w:rsidRPr="00195BFA" w:rsidRDefault="007B041E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0B2CBF" w:rsidRPr="00195BFA" w:rsidRDefault="000B2CBF" w:rsidP="00195BF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>Le présent rapport fournit les informations les plus récentes sur l'adhésion des États de l'aire de répartition à l'Accord et sur les réserves faites par les Partie</w:t>
      </w:r>
      <w:r w:rsidR="00B47D57" w:rsidRPr="00195BFA">
        <w:rPr>
          <w:rFonts w:ascii="Times New Roman" w:hAnsi="Times New Roman" w:cs="Times New Roman"/>
          <w:lang w:val="fr-FR"/>
        </w:rPr>
        <w:t>s dans les 90 jours suivant la S</w:t>
      </w:r>
      <w:r w:rsidRPr="00195BFA">
        <w:rPr>
          <w:rFonts w:ascii="Times New Roman" w:hAnsi="Times New Roman" w:cs="Times New Roman"/>
          <w:lang w:val="fr-FR"/>
        </w:rPr>
        <w:t>ession de la 6e Réunion des Parties à l'AEWA, tenue</w:t>
      </w:r>
      <w:r w:rsidR="00B47D57" w:rsidRPr="00195BFA">
        <w:rPr>
          <w:rFonts w:ascii="Times New Roman" w:hAnsi="Times New Roman" w:cs="Times New Roman"/>
          <w:lang w:val="fr-FR"/>
        </w:rPr>
        <w:t xml:space="preserve"> à Bonn du 9 au 14 novembre 2015</w:t>
      </w:r>
      <w:r w:rsidRPr="00195BFA">
        <w:rPr>
          <w:rFonts w:ascii="Times New Roman" w:hAnsi="Times New Roman" w:cs="Times New Roman"/>
          <w:lang w:val="fr-FR"/>
        </w:rPr>
        <w:t>.</w:t>
      </w:r>
    </w:p>
    <w:p w:rsidR="000B2CBF" w:rsidRPr="00195BFA" w:rsidRDefault="000B2CBF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>En</w:t>
      </w:r>
      <w:r w:rsidR="00B47D57" w:rsidRPr="00195BFA">
        <w:rPr>
          <w:rFonts w:ascii="Times New Roman" w:hAnsi="Times New Roman" w:cs="Times New Roman"/>
          <w:lang w:val="fr-FR"/>
        </w:rPr>
        <w:t xml:space="preserve"> 2016, le Bélarus a adhéré à l'A</w:t>
      </w:r>
      <w:r w:rsidRPr="00195BFA">
        <w:rPr>
          <w:rFonts w:ascii="Times New Roman" w:hAnsi="Times New Roman" w:cs="Times New Roman"/>
          <w:lang w:val="fr-FR"/>
        </w:rPr>
        <w:t>ccord.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En 2016, la République tchèque, le Danemark, l'Uni</w:t>
      </w:r>
      <w:r w:rsidR="00E72254" w:rsidRPr="00195BFA">
        <w:rPr>
          <w:rFonts w:ascii="Times New Roman" w:hAnsi="Times New Roman" w:cs="Times New Roman"/>
          <w:lang w:val="fr-FR"/>
        </w:rPr>
        <w:t>on européenne, la Suède et le B</w:t>
      </w:r>
      <w:r w:rsidRPr="00195BFA">
        <w:rPr>
          <w:rFonts w:ascii="Times New Roman" w:hAnsi="Times New Roman" w:cs="Times New Roman"/>
          <w:lang w:val="fr-FR"/>
        </w:rPr>
        <w:t>é</w:t>
      </w:r>
      <w:r w:rsidR="00E72254" w:rsidRPr="00195BFA">
        <w:rPr>
          <w:rFonts w:ascii="Times New Roman" w:hAnsi="Times New Roman" w:cs="Times New Roman"/>
          <w:lang w:val="fr-FR"/>
        </w:rPr>
        <w:t>larus</w:t>
      </w:r>
      <w:r w:rsidRPr="00195BFA">
        <w:rPr>
          <w:rFonts w:ascii="Times New Roman" w:hAnsi="Times New Roman" w:cs="Times New Roman"/>
          <w:lang w:val="fr-FR"/>
        </w:rPr>
        <w:t xml:space="preserve"> ont émis des réserves.</w:t>
      </w:r>
    </w:p>
    <w:p w:rsidR="000B2CBF" w:rsidRPr="00195BFA" w:rsidRDefault="000B2CBF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0B2CBF" w:rsidRPr="00195BFA" w:rsidRDefault="000B2CBF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 xml:space="preserve">En </w:t>
      </w:r>
      <w:r w:rsidR="00B47D57" w:rsidRPr="00195BFA">
        <w:rPr>
          <w:rFonts w:ascii="Times New Roman" w:hAnsi="Times New Roman" w:cs="Times New Roman"/>
          <w:lang w:val="fr-FR"/>
        </w:rPr>
        <w:t>2017, le Botswana a adhéré à l'A</w:t>
      </w:r>
      <w:r w:rsidRPr="00195BFA">
        <w:rPr>
          <w:rFonts w:ascii="Times New Roman" w:hAnsi="Times New Roman" w:cs="Times New Roman"/>
          <w:lang w:val="fr-FR"/>
        </w:rPr>
        <w:t>ccord.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En 2017, la traduction en arabe du texte de</w:t>
      </w:r>
      <w:r w:rsidR="00B47D57" w:rsidRPr="00195BFA">
        <w:rPr>
          <w:rFonts w:ascii="Times New Roman" w:hAnsi="Times New Roman" w:cs="Times New Roman"/>
          <w:lang w:val="fr-FR"/>
        </w:rPr>
        <w:t xml:space="preserve"> l'A</w:t>
      </w:r>
      <w:r w:rsidRPr="00195BFA">
        <w:rPr>
          <w:rFonts w:ascii="Times New Roman" w:hAnsi="Times New Roman" w:cs="Times New Roman"/>
          <w:lang w:val="fr-FR"/>
        </w:rPr>
        <w:t>ccord a été approuvée.</w:t>
      </w:r>
    </w:p>
    <w:p w:rsidR="000B2CBF" w:rsidRPr="00195BFA" w:rsidRDefault="000B2CBF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0B2CBF" w:rsidRPr="00195BFA" w:rsidRDefault="000B2CBF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>En 2018, le retrait des réserves par la République tchèque est entré en vigueur.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 xml:space="preserve">En 2018, </w:t>
      </w:r>
      <w:r w:rsidR="00CE3BDE" w:rsidRPr="00195BFA">
        <w:rPr>
          <w:rFonts w:ascii="Times New Roman" w:hAnsi="Times New Roman" w:cs="Times New Roman"/>
          <w:lang w:val="fr-FR"/>
        </w:rPr>
        <w:t>l’</w:t>
      </w:r>
      <w:proofErr w:type="spellStart"/>
      <w:r w:rsidRPr="00195BFA">
        <w:rPr>
          <w:rFonts w:ascii="Times New Roman" w:hAnsi="Times New Roman" w:cs="Times New Roman"/>
          <w:lang w:val="fr-FR"/>
        </w:rPr>
        <w:t>Eswatini</w:t>
      </w:r>
      <w:proofErr w:type="spellEnd"/>
      <w:r w:rsidRPr="00195BFA">
        <w:rPr>
          <w:rFonts w:ascii="Times New Roman" w:hAnsi="Times New Roman" w:cs="Times New Roman"/>
          <w:lang w:val="fr-FR"/>
        </w:rPr>
        <w:t xml:space="preserve"> a été enr</w:t>
      </w:r>
      <w:r w:rsidR="00E72254" w:rsidRPr="00195BFA">
        <w:rPr>
          <w:rFonts w:ascii="Times New Roman" w:hAnsi="Times New Roman" w:cs="Times New Roman"/>
          <w:lang w:val="fr-FR"/>
        </w:rPr>
        <w:t>egistré comme</w:t>
      </w:r>
      <w:r w:rsidRPr="00195BFA">
        <w:rPr>
          <w:rFonts w:ascii="Times New Roman" w:hAnsi="Times New Roman" w:cs="Times New Roman"/>
          <w:lang w:val="fr-FR"/>
        </w:rPr>
        <w:t xml:space="preserve"> le nouveau nom du Swaziland.</w:t>
      </w:r>
    </w:p>
    <w:p w:rsidR="00616ADA" w:rsidRPr="00195BFA" w:rsidRDefault="00616ADA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616ADA" w:rsidRPr="00195BFA" w:rsidRDefault="00616ADA" w:rsidP="00195BFA">
      <w:pPr>
        <w:pBdr>
          <w:bottom w:val="single" w:sz="18" w:space="0" w:color="FF8A00"/>
        </w:pBd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</w:pPr>
      <w:r w:rsidRPr="00195BFA"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  <w:t xml:space="preserve">Parties 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113"/>
        <w:gridCol w:w="3096"/>
      </w:tblGrid>
      <w:tr w:rsidR="00616ADA" w:rsidRPr="00195BFA" w:rsidTr="00195BFA">
        <w:trPr>
          <w:tblHeader/>
        </w:trPr>
        <w:tc>
          <w:tcPr>
            <w:tcW w:w="1759" w:type="pct"/>
            <w:tcBorders>
              <w:bottom w:val="single" w:sz="6" w:space="0" w:color="FF8A00"/>
              <w:right w:val="single" w:sz="48" w:space="0" w:color="FFFFFF"/>
            </w:tcBorders>
            <w:shd w:val="clear" w:color="auto" w:fill="EAECEF"/>
            <w:tcMar>
              <w:top w:w="45" w:type="dxa"/>
              <w:left w:w="45" w:type="dxa"/>
              <w:bottom w:w="45" w:type="dxa"/>
              <w:right w:w="225" w:type="dxa"/>
            </w:tcMar>
            <w:hideMark/>
          </w:tcPr>
          <w:p w:rsidR="00616ADA" w:rsidRPr="00195BFA" w:rsidRDefault="00616ADA" w:rsidP="00195BFA">
            <w:pPr>
              <w:spacing w:after="375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  <w:t>Partie</w:t>
            </w:r>
          </w:p>
        </w:tc>
        <w:tc>
          <w:tcPr>
            <w:tcW w:w="1625" w:type="pct"/>
            <w:tcBorders>
              <w:bottom w:val="single" w:sz="6" w:space="0" w:color="FF8A00"/>
              <w:right w:val="single" w:sz="48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16ADA" w:rsidRPr="00195BFA" w:rsidRDefault="00616ADA" w:rsidP="00195BFA">
            <w:pPr>
              <w:spacing w:after="375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  <w:t>Ratification</w:t>
            </w:r>
          </w:p>
        </w:tc>
        <w:tc>
          <w:tcPr>
            <w:tcW w:w="1616" w:type="pct"/>
            <w:tcBorders>
              <w:bottom w:val="single" w:sz="6" w:space="0" w:color="FF8A00"/>
              <w:right w:val="single" w:sz="48" w:space="0" w:color="FFFFFF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16ADA" w:rsidRPr="00195BFA" w:rsidRDefault="00616ADA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  <w:t>Entrée en vigueur</w:t>
            </w:r>
          </w:p>
        </w:tc>
      </w:tr>
      <w:tr w:rsidR="00616ADA" w:rsidRPr="00195BFA" w:rsidTr="00195BFA">
        <w:tc>
          <w:tcPr>
            <w:tcW w:w="1759" w:type="pct"/>
            <w:tcBorders>
              <w:bottom w:val="single" w:sz="6" w:space="0" w:color="E5E5E5"/>
              <w:right w:val="single" w:sz="48" w:space="0" w:color="FFFFFF"/>
            </w:tcBorders>
            <w:shd w:val="clear" w:color="auto" w:fill="EAECEF"/>
            <w:tcMar>
              <w:top w:w="45" w:type="dxa"/>
              <w:left w:w="45" w:type="dxa"/>
              <w:bottom w:w="45" w:type="dxa"/>
              <w:right w:w="225" w:type="dxa"/>
            </w:tcMar>
            <w:hideMark/>
          </w:tcPr>
          <w:p w:rsidR="00616ADA" w:rsidRPr="00195BFA" w:rsidRDefault="00616ADA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lang w:val="nl-NL" w:eastAsia="nl-NL"/>
              </w:rPr>
              <w:t>Bélarus</w:t>
            </w:r>
          </w:p>
        </w:tc>
        <w:tc>
          <w:tcPr>
            <w:tcW w:w="1625" w:type="pct"/>
            <w:tcBorders>
              <w:bottom w:val="single" w:sz="6" w:space="0" w:color="E5E5E5"/>
              <w:right w:val="single" w:sz="48" w:space="0" w:color="FFFFFF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16ADA" w:rsidRPr="00195BFA" w:rsidRDefault="00E72254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616ADA" w:rsidRPr="00195BFA">
              <w:rPr>
                <w:rFonts w:ascii="Times New Roman" w:eastAsia="Times New Roman" w:hAnsi="Times New Roman" w:cs="Times New Roman"/>
                <w:lang w:val="nl-NL" w:eastAsia="nl-NL"/>
              </w:rPr>
              <w:t xml:space="preserve">15-01-2016  </w:t>
            </w:r>
          </w:p>
        </w:tc>
        <w:tc>
          <w:tcPr>
            <w:tcW w:w="1616" w:type="pct"/>
            <w:tcBorders>
              <w:bottom w:val="single" w:sz="6" w:space="0" w:color="E5E5E5"/>
              <w:right w:val="single" w:sz="48" w:space="0" w:color="FFFFFF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16ADA" w:rsidRPr="00195BFA" w:rsidRDefault="00E72254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616ADA" w:rsidRPr="00195BFA">
              <w:rPr>
                <w:rFonts w:ascii="Times New Roman" w:eastAsia="Times New Roman" w:hAnsi="Times New Roman" w:cs="Times New Roman"/>
                <w:lang w:val="nl-NL" w:eastAsia="nl-NL"/>
              </w:rPr>
              <w:t>01-04-2016</w:t>
            </w:r>
          </w:p>
        </w:tc>
      </w:tr>
      <w:tr w:rsidR="00616ADA" w:rsidRPr="00195BFA" w:rsidTr="00195BFA">
        <w:tc>
          <w:tcPr>
            <w:tcW w:w="1759" w:type="pct"/>
            <w:tcBorders>
              <w:bottom w:val="single" w:sz="6" w:space="0" w:color="E5E5E5"/>
              <w:right w:val="single" w:sz="48" w:space="0" w:color="FFFFFF"/>
            </w:tcBorders>
            <w:shd w:val="clear" w:color="auto" w:fill="EAECEF"/>
            <w:tcMar>
              <w:top w:w="45" w:type="dxa"/>
              <w:left w:w="45" w:type="dxa"/>
              <w:bottom w:w="45" w:type="dxa"/>
              <w:right w:w="225" w:type="dxa"/>
            </w:tcMar>
            <w:hideMark/>
          </w:tcPr>
          <w:p w:rsidR="00616ADA" w:rsidRPr="00195BFA" w:rsidRDefault="00616ADA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lang w:val="nl-NL" w:eastAsia="nl-NL"/>
              </w:rPr>
              <w:t>Botswana</w:t>
            </w:r>
          </w:p>
        </w:tc>
        <w:tc>
          <w:tcPr>
            <w:tcW w:w="1625" w:type="pct"/>
            <w:tcBorders>
              <w:bottom w:val="single" w:sz="6" w:space="0" w:color="E5E5E5"/>
              <w:right w:val="single" w:sz="48" w:space="0" w:color="FFFFFF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16ADA" w:rsidRPr="00195BFA" w:rsidRDefault="00E72254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616ADA" w:rsidRPr="00195BFA">
              <w:rPr>
                <w:rFonts w:ascii="Times New Roman" w:eastAsia="Times New Roman" w:hAnsi="Times New Roman" w:cs="Times New Roman"/>
                <w:lang w:val="nl-NL" w:eastAsia="nl-NL"/>
              </w:rPr>
              <w:t xml:space="preserve">22-08-2017 </w:t>
            </w:r>
          </w:p>
        </w:tc>
        <w:tc>
          <w:tcPr>
            <w:tcW w:w="1616" w:type="pct"/>
            <w:tcBorders>
              <w:bottom w:val="single" w:sz="6" w:space="0" w:color="E5E5E5"/>
              <w:right w:val="single" w:sz="48" w:space="0" w:color="FFFFFF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16ADA" w:rsidRPr="00195BFA" w:rsidRDefault="00E72254" w:rsidP="0019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195BFA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616ADA" w:rsidRPr="00195BFA">
              <w:rPr>
                <w:rFonts w:ascii="Times New Roman" w:eastAsia="Times New Roman" w:hAnsi="Times New Roman" w:cs="Times New Roman"/>
                <w:lang w:val="nl-NL" w:eastAsia="nl-NL"/>
              </w:rPr>
              <w:t>01-11-2017</w:t>
            </w:r>
          </w:p>
        </w:tc>
      </w:tr>
    </w:tbl>
    <w:p w:rsidR="00616ADA" w:rsidRPr="00195BFA" w:rsidRDefault="00616ADA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616ADA" w:rsidRPr="00195BFA" w:rsidRDefault="00616ADA" w:rsidP="00195BFA">
      <w:pPr>
        <w:pBdr>
          <w:bottom w:val="single" w:sz="18" w:space="0" w:color="FF8A00"/>
        </w:pBd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67C00"/>
          <w:lang w:val="fr-FR" w:eastAsia="nl-NL"/>
        </w:rPr>
      </w:pPr>
      <w:r w:rsidRPr="00195BFA">
        <w:rPr>
          <w:rFonts w:ascii="Times New Roman" w:eastAsia="Times New Roman" w:hAnsi="Times New Roman" w:cs="Times New Roman"/>
          <w:b/>
          <w:bCs/>
          <w:color w:val="E67C00"/>
          <w:lang w:val="fr-FR" w:eastAsia="nl-NL"/>
        </w:rPr>
        <w:t>Réservations, déclarations and objections</w:t>
      </w:r>
    </w:p>
    <w:p w:rsidR="008B6035" w:rsidRPr="00195BFA" w:rsidRDefault="00616ADA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eastAsia="Times New Roman" w:hAnsi="Times New Roman" w:cs="Times New Roman"/>
          <w:b/>
          <w:bCs/>
          <w:color w:val="000000"/>
          <w:lang w:val="fr-FR" w:eastAsia="nl-NL"/>
        </w:rPr>
        <w:t>Bélarus, 15-01-2016</w:t>
      </w:r>
    </w:p>
    <w:p w:rsidR="00B47D57" w:rsidRPr="00195BFA" w:rsidRDefault="00B47D57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>Conformément a l'article XV de la Convention, la République de Biélorussie n'appliquera pas</w:t>
      </w:r>
    </w:p>
    <w:p w:rsidR="00B47D57" w:rsidRDefault="00B47D57" w:rsidP="00195BFA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proofErr w:type="gramStart"/>
      <w:r w:rsidRPr="00195BFA">
        <w:rPr>
          <w:rFonts w:ascii="Times New Roman" w:hAnsi="Times New Roman" w:cs="Times New Roman"/>
          <w:lang w:val="fr-FR"/>
        </w:rPr>
        <w:t>l'annexe</w:t>
      </w:r>
      <w:proofErr w:type="gramEnd"/>
      <w:r w:rsidRPr="00195BFA">
        <w:rPr>
          <w:rFonts w:ascii="Times New Roman" w:hAnsi="Times New Roman" w:cs="Times New Roman"/>
          <w:lang w:val="fr-FR"/>
        </w:rPr>
        <w:t xml:space="preserve"> 3 à ladite Convention en ce qui concerne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:</w:t>
      </w:r>
    </w:p>
    <w:p w:rsidR="00195BFA" w:rsidRPr="00195BFA" w:rsidRDefault="00195BFA" w:rsidP="00195BFA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B47D57" w:rsidRPr="00195BFA" w:rsidRDefault="00B47D57" w:rsidP="00195BF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fr-FR"/>
        </w:rPr>
      </w:pPr>
      <w:proofErr w:type="gramStart"/>
      <w:r w:rsidRPr="00195BFA">
        <w:rPr>
          <w:rFonts w:ascii="Times New Roman" w:hAnsi="Times New Roman" w:cs="Times New Roman"/>
          <w:lang w:val="fr-FR"/>
        </w:rPr>
        <w:t>l'interdiction</w:t>
      </w:r>
      <w:proofErr w:type="gramEnd"/>
      <w:r w:rsidRPr="00195BFA">
        <w:rPr>
          <w:rFonts w:ascii="Times New Roman" w:hAnsi="Times New Roman" w:cs="Times New Roman"/>
          <w:lang w:val="fr-FR"/>
        </w:rPr>
        <w:t xml:space="preserve"> mentionnée au paragraphe 2.1.2(a) de l'annexe 3 de prélever les oiseaux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appartenant aux populations énumérées dans la colonne B du tableau 1 de ladite annexe durant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les différentes phases de la reproduction et de l'élevage des jeunes et pendant leur retour vers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les lieux de reproduction, dans la mesure où ledit prélèvement a un effet défavorable sur l'état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de conservation de la population concernée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;</w:t>
      </w:r>
    </w:p>
    <w:p w:rsidR="00195BFA" w:rsidRPr="00195BFA" w:rsidRDefault="00195BFA" w:rsidP="00195BFA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B47D57" w:rsidRPr="00195BFA" w:rsidRDefault="00B47D57" w:rsidP="00195BF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fr-FR"/>
        </w:rPr>
      </w:pPr>
      <w:proofErr w:type="gramStart"/>
      <w:r w:rsidRPr="00195BFA">
        <w:rPr>
          <w:rFonts w:ascii="Times New Roman" w:hAnsi="Times New Roman" w:cs="Times New Roman"/>
          <w:lang w:val="fr-FR"/>
        </w:rPr>
        <w:t>l'interdiction</w:t>
      </w:r>
      <w:proofErr w:type="gramEnd"/>
      <w:r w:rsidRPr="00195BFA">
        <w:rPr>
          <w:rFonts w:ascii="Times New Roman" w:hAnsi="Times New Roman" w:cs="Times New Roman"/>
          <w:lang w:val="fr-FR"/>
        </w:rPr>
        <w:t xml:space="preserve"> mentionnée au paragraphe 2.1.2(b) de l'annexe 3 d'utiliser tous les modes de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prélèvement systématique et tous les moyens capables d'engendrer des destructions massives,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ainsi que la disparition locale ou des perturbations significatives des populations énumérées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dans la colonne B du tableau 1 de ladite annexe 3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;</w:t>
      </w:r>
    </w:p>
    <w:p w:rsidR="00195BFA" w:rsidRPr="00195BFA" w:rsidRDefault="00195BFA" w:rsidP="00195BFA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195BFA" w:rsidRDefault="00B47D57" w:rsidP="00195BFA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fr-FR"/>
        </w:rPr>
        <w:sectPr w:rsidR="00195BFA" w:rsidSect="00195BFA">
          <w:head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proofErr w:type="gramStart"/>
      <w:r w:rsidRPr="00195BFA">
        <w:rPr>
          <w:rFonts w:ascii="Times New Roman" w:hAnsi="Times New Roman" w:cs="Times New Roman"/>
          <w:lang w:val="fr-FR"/>
        </w:rPr>
        <w:t>le</w:t>
      </w:r>
      <w:proofErr w:type="gramEnd"/>
      <w:r w:rsidRPr="00195BFA">
        <w:rPr>
          <w:rFonts w:ascii="Times New Roman" w:hAnsi="Times New Roman" w:cs="Times New Roman"/>
          <w:lang w:val="fr-FR"/>
        </w:rPr>
        <w:t xml:space="preserve"> paragraphe 4.1.4 de l'annexe 3.</w:t>
      </w:r>
    </w:p>
    <w:p w:rsidR="00B47D57" w:rsidRPr="00FD1906" w:rsidRDefault="00B47D57" w:rsidP="00195B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1906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Le</w:t>
      </w:r>
      <w:r w:rsidR="00E72254" w:rsidRPr="00FD1906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FD19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réserves concernant les amendements aux Annexes de l'Accord, tels qu'</w:t>
      </w:r>
      <w:r w:rsidR="00A54896" w:rsidRPr="00FD1906">
        <w:rPr>
          <w:rFonts w:ascii="Times New Roman" w:hAnsi="Times New Roman" w:cs="Times New Roman"/>
          <w:b/>
          <w:sz w:val="24"/>
          <w:szCs w:val="24"/>
          <w:lang w:val="fr-FR"/>
        </w:rPr>
        <w:t>adoptes lors de</w:t>
      </w:r>
      <w:r w:rsidRPr="00FD19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6ème Session de la Réunion des Parties à l'Accord, (Bonn, Allemagne, 9-14 novembre 2015)</w:t>
      </w:r>
      <w:r w:rsidR="00FD19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D1906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7B041E" w:rsidRPr="00195BFA" w:rsidRDefault="007B041E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B47D57" w:rsidRPr="00195BFA" w:rsidRDefault="00A54896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  <w:r w:rsidRPr="00195BFA">
        <w:rPr>
          <w:rFonts w:ascii="Times New Roman" w:hAnsi="Times New Roman" w:cs="Times New Roman"/>
          <w:b/>
          <w:lang w:val="fr-FR"/>
        </w:rPr>
        <w:t>République tchèque, 11-02-2016</w:t>
      </w:r>
    </w:p>
    <w:p w:rsidR="00C158FA" w:rsidRPr="00195BFA" w:rsidRDefault="00A54896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 xml:space="preserve">En vertu de l'article X de l'Accord la République tchèque fait une réserve </w:t>
      </w:r>
      <w:proofErr w:type="spellStart"/>
      <w:r w:rsidRPr="00195BFA">
        <w:rPr>
          <w:rFonts w:ascii="Times New Roman" w:hAnsi="Times New Roman" w:cs="Times New Roman"/>
          <w:lang w:val="fr-FR"/>
        </w:rPr>
        <w:t>a</w:t>
      </w:r>
      <w:proofErr w:type="spellEnd"/>
      <w:r w:rsidRPr="00195BFA">
        <w:rPr>
          <w:rFonts w:ascii="Times New Roman" w:hAnsi="Times New Roman" w:cs="Times New Roman"/>
          <w:lang w:val="fr-FR"/>
        </w:rPr>
        <w:t xml:space="preserve"> l'égard des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amendements aux annexes de l'Accord tels qu'adoptes lors de la sixième session de la Réunion des Parties (Bonn, Allemagne, 9 au 14 novembre 2015), en raison de son impossibilité à accomplir la procédure d'approbation interne dans le délai prévu de quatre-vingt-dix jours.</w:t>
      </w:r>
    </w:p>
    <w:p w:rsidR="007B041E" w:rsidRPr="00195BFA" w:rsidRDefault="007B041E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A54896" w:rsidRPr="00195BFA" w:rsidRDefault="00A54896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  <w:r w:rsidRPr="00195BFA">
        <w:rPr>
          <w:rFonts w:ascii="Times New Roman" w:hAnsi="Times New Roman" w:cs="Times New Roman"/>
          <w:b/>
          <w:lang w:val="fr-FR"/>
        </w:rPr>
        <w:t>Danemark, 21-01-2016</w:t>
      </w:r>
    </w:p>
    <w:p w:rsidR="00C158FA" w:rsidRPr="00195BFA" w:rsidRDefault="00C158FA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 xml:space="preserve">Par conséquent, le Danemark voudrait faire ainsi une réserve par rapport à l'inclusion de la population Sibérie occidentale/Europe du Nord du Harelde </w:t>
      </w:r>
      <w:proofErr w:type="spellStart"/>
      <w:r w:rsidRPr="00195BFA">
        <w:rPr>
          <w:rFonts w:ascii="Times New Roman" w:hAnsi="Times New Roman" w:cs="Times New Roman"/>
          <w:lang w:val="fr-FR"/>
        </w:rPr>
        <w:t>kakawi</w:t>
      </w:r>
      <w:proofErr w:type="spellEnd"/>
      <w:r w:rsidRPr="00195BFA">
        <w:rPr>
          <w:rFonts w:ascii="Times New Roman" w:hAnsi="Times New Roman" w:cs="Times New Roman"/>
          <w:lang w:val="fr-FR"/>
        </w:rPr>
        <w:t xml:space="preserve"> et la population Sibérie occidentale &amp; Europe du Nord/NO Europe du Macreuse brune en catégorie 1b de la colonne A du tableau 1 de l'Accord.</w:t>
      </w:r>
    </w:p>
    <w:p w:rsidR="00C158FA" w:rsidRPr="00195BFA" w:rsidRDefault="00C158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lang w:val="fr-FR"/>
        </w:rPr>
      </w:pPr>
    </w:p>
    <w:p w:rsidR="00C158FA" w:rsidRPr="00195BFA" w:rsidRDefault="00C158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  <w:r w:rsidRPr="00195BFA">
        <w:rPr>
          <w:rFonts w:ascii="Times New Roman" w:hAnsi="Times New Roman" w:cs="Times New Roman"/>
          <w:b/>
          <w:bCs/>
          <w:lang w:val="fr-FR"/>
        </w:rPr>
        <w:t xml:space="preserve">Union européenne, </w:t>
      </w:r>
      <w:r w:rsidRPr="00195BFA">
        <w:rPr>
          <w:rFonts w:ascii="Times New Roman" w:hAnsi="Times New Roman" w:cs="Times New Roman"/>
          <w:b/>
          <w:lang w:val="fr-FR"/>
        </w:rPr>
        <w:t>18-01-2016</w:t>
      </w:r>
    </w:p>
    <w:p w:rsidR="00C158FA" w:rsidRPr="00195BFA" w:rsidRDefault="00C158FA" w:rsidP="00195BFA">
      <w:pPr>
        <w:spacing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 xml:space="preserve">L'Union européenne voudrait faire ainsi une réserve par rapport à l'inclusion de la population Sibérie occidentale/Europe du Nord du Harelde </w:t>
      </w:r>
      <w:proofErr w:type="spellStart"/>
      <w:r w:rsidRPr="00195BFA">
        <w:rPr>
          <w:rFonts w:ascii="Times New Roman" w:hAnsi="Times New Roman" w:cs="Times New Roman"/>
          <w:lang w:val="fr-FR"/>
        </w:rPr>
        <w:t>kakawi</w:t>
      </w:r>
      <w:proofErr w:type="spellEnd"/>
      <w:r w:rsidRPr="00195BFA">
        <w:rPr>
          <w:rFonts w:ascii="Times New Roman" w:hAnsi="Times New Roman" w:cs="Times New Roman"/>
          <w:lang w:val="fr-FR"/>
        </w:rPr>
        <w:t xml:space="preserve"> et la population Sibérie occidentale &amp; Europe du Nord/NO Europe du Macreuse brune en catégorie 1b de la colonne A du tableau 1 de l'Accord et la population Europe du Nord-Ouest &amp; Europe centrale du Harle huppé et la population du Chevalier gambette en catégorie 3c de la colonne A du tableau 1 de l’Accord.</w:t>
      </w:r>
    </w:p>
    <w:p w:rsidR="00C158FA" w:rsidRPr="00195BFA" w:rsidRDefault="00C158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7B041E" w:rsidRPr="00195BFA" w:rsidRDefault="007B041E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  <w:r w:rsidRPr="00195BFA">
        <w:rPr>
          <w:rFonts w:ascii="Times New Roman" w:hAnsi="Times New Roman" w:cs="Times New Roman"/>
          <w:b/>
          <w:lang w:val="fr-FR"/>
        </w:rPr>
        <w:t>Suède, 11-02-2016</w:t>
      </w:r>
    </w:p>
    <w:p w:rsidR="00F21842" w:rsidRPr="00195BFA" w:rsidRDefault="007B041E" w:rsidP="00195B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F302F"/>
          <w:lang w:val="fr-FR"/>
        </w:rPr>
      </w:pPr>
      <w:r w:rsidRPr="00195BFA">
        <w:rPr>
          <w:rFonts w:ascii="Times New Roman" w:hAnsi="Times New Roman" w:cs="Times New Roman"/>
          <w:color w:val="2F302F"/>
          <w:lang w:val="fr-FR"/>
        </w:rPr>
        <w:t xml:space="preserve">Le Suède voudrait faire une réserve par rapport </w:t>
      </w:r>
      <w:r w:rsidRPr="00195BFA">
        <w:rPr>
          <w:rFonts w:ascii="Times New Roman" w:hAnsi="Times New Roman" w:cs="Times New Roman"/>
          <w:lang w:val="fr-FR"/>
        </w:rPr>
        <w:t>à</w:t>
      </w:r>
      <w:r w:rsidRPr="00195BFA">
        <w:rPr>
          <w:rFonts w:ascii="Times New Roman" w:hAnsi="Times New Roman" w:cs="Times New Roman"/>
          <w:color w:val="2F302F"/>
          <w:lang w:val="fr-FR"/>
        </w:rPr>
        <w:t xml:space="preserve"> l'inclusion de la population Sibérie</w:t>
      </w:r>
      <w:r w:rsidR="00195BFA">
        <w:rPr>
          <w:rFonts w:ascii="Times New Roman" w:hAnsi="Times New Roman" w:cs="Times New Roman"/>
          <w:color w:val="2F302F"/>
          <w:lang w:val="fr-FR"/>
        </w:rPr>
        <w:t xml:space="preserve"> </w:t>
      </w:r>
      <w:r w:rsidRPr="00195BFA">
        <w:rPr>
          <w:rFonts w:ascii="Times New Roman" w:hAnsi="Times New Roman" w:cs="Times New Roman"/>
          <w:color w:val="2F302F"/>
          <w:lang w:val="fr-FR"/>
        </w:rPr>
        <w:t xml:space="preserve">occidentale/Europe du Nord du Harelde </w:t>
      </w:r>
      <w:proofErr w:type="spellStart"/>
      <w:r w:rsidRPr="00195BFA">
        <w:rPr>
          <w:rFonts w:ascii="Times New Roman" w:hAnsi="Times New Roman" w:cs="Times New Roman"/>
          <w:color w:val="2F302F"/>
          <w:lang w:val="fr-FR"/>
        </w:rPr>
        <w:t>kakawi</w:t>
      </w:r>
      <w:proofErr w:type="spellEnd"/>
      <w:r w:rsidRPr="00195BFA">
        <w:rPr>
          <w:rFonts w:ascii="Times New Roman" w:hAnsi="Times New Roman" w:cs="Times New Roman"/>
          <w:color w:val="2F302F"/>
          <w:lang w:val="fr-FR"/>
        </w:rPr>
        <w:t xml:space="preserve"> </w:t>
      </w:r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(</w:t>
      </w:r>
      <w:proofErr w:type="spellStart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Melanitta</w:t>
      </w:r>
      <w:proofErr w:type="spellEnd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 xml:space="preserve"> </w:t>
      </w:r>
      <w:proofErr w:type="spellStart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fusca</w:t>
      </w:r>
      <w:proofErr w:type="spellEnd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 xml:space="preserve">) </w:t>
      </w:r>
      <w:r w:rsidRPr="00195BFA">
        <w:rPr>
          <w:rFonts w:ascii="Times New Roman" w:hAnsi="Times New Roman" w:cs="Times New Roman"/>
          <w:color w:val="2F302F"/>
          <w:lang w:val="fr-FR"/>
        </w:rPr>
        <w:t>et la population Sibérie</w:t>
      </w:r>
      <w:r w:rsidR="00195BFA">
        <w:rPr>
          <w:rFonts w:ascii="Times New Roman" w:hAnsi="Times New Roman" w:cs="Times New Roman"/>
          <w:color w:val="2F302F"/>
          <w:lang w:val="fr-FR"/>
        </w:rPr>
        <w:t xml:space="preserve"> </w:t>
      </w:r>
      <w:r w:rsidRPr="00195BFA">
        <w:rPr>
          <w:rFonts w:ascii="Times New Roman" w:hAnsi="Times New Roman" w:cs="Times New Roman"/>
          <w:color w:val="2F302F"/>
          <w:lang w:val="fr-FR"/>
        </w:rPr>
        <w:t xml:space="preserve">occidentale &amp; Europe du Nord/NO Europe du Macreuse brune </w:t>
      </w:r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(</w:t>
      </w:r>
      <w:proofErr w:type="spellStart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Clangula</w:t>
      </w:r>
      <w:proofErr w:type="spellEnd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 xml:space="preserve"> </w:t>
      </w:r>
      <w:proofErr w:type="spellStart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hyemalis</w:t>
      </w:r>
      <w:proofErr w:type="spellEnd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 xml:space="preserve">) </w:t>
      </w:r>
      <w:r w:rsidRPr="00195BFA">
        <w:rPr>
          <w:rFonts w:ascii="Times New Roman" w:hAnsi="Times New Roman" w:cs="Times New Roman"/>
          <w:color w:val="2F302F"/>
          <w:lang w:val="fr-FR"/>
        </w:rPr>
        <w:t>en catégorie 1b</w:t>
      </w:r>
      <w:r w:rsidR="00195BFA">
        <w:rPr>
          <w:rFonts w:ascii="Times New Roman" w:hAnsi="Times New Roman" w:cs="Times New Roman"/>
          <w:color w:val="2F302F"/>
          <w:lang w:val="fr-FR"/>
        </w:rPr>
        <w:t xml:space="preserve"> </w:t>
      </w:r>
      <w:r w:rsidRPr="00195BFA">
        <w:rPr>
          <w:rFonts w:ascii="Times New Roman" w:hAnsi="Times New Roman" w:cs="Times New Roman"/>
          <w:color w:val="2F302F"/>
          <w:lang w:val="fr-FR"/>
        </w:rPr>
        <w:t xml:space="preserve">de la colonne A du tableau 1 de </w:t>
      </w:r>
      <w:r w:rsidRPr="00195BFA">
        <w:rPr>
          <w:rFonts w:ascii="Times New Roman" w:hAnsi="Times New Roman" w:cs="Times New Roman"/>
          <w:color w:val="444545"/>
          <w:lang w:val="fr-FR"/>
        </w:rPr>
        <w:t xml:space="preserve">l'Accord, </w:t>
      </w:r>
      <w:r w:rsidRPr="00195BFA">
        <w:rPr>
          <w:rFonts w:ascii="Times New Roman" w:hAnsi="Times New Roman" w:cs="Times New Roman"/>
          <w:color w:val="2F302F"/>
          <w:lang w:val="fr-FR"/>
        </w:rPr>
        <w:t xml:space="preserve">ainsi que la population Europe du Nord-Ouest </w:t>
      </w:r>
      <w:r w:rsidRPr="00195BFA">
        <w:rPr>
          <w:rFonts w:ascii="Times New Roman" w:hAnsi="Times New Roman" w:cs="Times New Roman"/>
          <w:color w:val="444545"/>
          <w:lang w:val="fr-FR"/>
        </w:rPr>
        <w:t xml:space="preserve">&amp; </w:t>
      </w:r>
      <w:r w:rsidRPr="00195BFA">
        <w:rPr>
          <w:rFonts w:ascii="Times New Roman" w:hAnsi="Times New Roman" w:cs="Times New Roman"/>
          <w:color w:val="2F302F"/>
          <w:lang w:val="fr-FR"/>
        </w:rPr>
        <w:t>Europe</w:t>
      </w:r>
      <w:r w:rsidR="00195BFA">
        <w:rPr>
          <w:rFonts w:ascii="Times New Roman" w:hAnsi="Times New Roman" w:cs="Times New Roman"/>
          <w:color w:val="2F302F"/>
          <w:lang w:val="fr-FR"/>
        </w:rPr>
        <w:t xml:space="preserve"> </w:t>
      </w:r>
      <w:r w:rsidRPr="00195BFA">
        <w:rPr>
          <w:rFonts w:ascii="Times New Roman" w:hAnsi="Times New Roman" w:cs="Times New Roman"/>
          <w:color w:val="2F302F"/>
          <w:lang w:val="fr-FR"/>
        </w:rPr>
        <w:t xml:space="preserve">centrale du Harle huppé </w:t>
      </w:r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(</w:t>
      </w:r>
      <w:proofErr w:type="spellStart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Mergus</w:t>
      </w:r>
      <w:proofErr w:type="spellEnd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 xml:space="preserve"> </w:t>
      </w:r>
      <w:proofErr w:type="spellStart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>serrator</w:t>
      </w:r>
      <w:proofErr w:type="spellEnd"/>
      <w:r w:rsidRPr="00195BFA">
        <w:rPr>
          <w:rFonts w:ascii="Times New Roman" w:hAnsi="Times New Roman" w:cs="Times New Roman"/>
          <w:i/>
          <w:iCs/>
          <w:color w:val="2F302F"/>
          <w:lang w:val="fr-FR"/>
        </w:rPr>
        <w:t xml:space="preserve">) </w:t>
      </w:r>
      <w:r w:rsidRPr="00195BFA">
        <w:rPr>
          <w:rFonts w:ascii="Times New Roman" w:hAnsi="Times New Roman" w:cs="Times New Roman"/>
          <w:color w:val="2F302F"/>
          <w:lang w:val="fr-FR"/>
        </w:rPr>
        <w:t>en catégorie 3c de la colonne A du tableau 1 de l'Accord.</w:t>
      </w:r>
    </w:p>
    <w:p w:rsidR="00F21842" w:rsidRPr="00195BFA" w:rsidRDefault="00F21842" w:rsidP="00195BFA">
      <w:pPr>
        <w:spacing w:line="276" w:lineRule="auto"/>
        <w:contextualSpacing/>
        <w:jc w:val="both"/>
        <w:rPr>
          <w:rFonts w:ascii="Times New Roman" w:hAnsi="Times New Roman" w:cs="Times New Roman"/>
          <w:color w:val="2F302F"/>
          <w:lang w:val="fr-FR"/>
        </w:rPr>
      </w:pPr>
    </w:p>
    <w:p w:rsidR="00F21842" w:rsidRPr="00195BFA" w:rsidRDefault="00F21842" w:rsidP="00195BFA">
      <w:pPr>
        <w:spacing w:line="276" w:lineRule="auto"/>
        <w:contextualSpacing/>
        <w:jc w:val="both"/>
        <w:rPr>
          <w:rFonts w:ascii="Times New Roman" w:hAnsi="Times New Roman" w:cs="Times New Roman"/>
          <w:color w:val="2F302F"/>
          <w:lang w:val="fr-FR"/>
        </w:rPr>
      </w:pPr>
    </w:p>
    <w:p w:rsidR="00282798" w:rsidRPr="00FD1906" w:rsidRDefault="00282798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1906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FD1906" w:rsidRPr="00FD1906">
        <w:rPr>
          <w:rFonts w:ascii="Times New Roman" w:hAnsi="Times New Roman" w:cs="Times New Roman"/>
          <w:b/>
          <w:sz w:val="24"/>
          <w:szCs w:val="24"/>
          <w:lang w:val="fr-FR"/>
        </w:rPr>
        <w:t>etrait d’objection</w:t>
      </w:r>
      <w:r w:rsidR="00FD19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0" w:name="_GoBack"/>
      <w:bookmarkEnd w:id="0"/>
      <w:r w:rsidRPr="00FD1906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282798" w:rsidRPr="00195BFA" w:rsidRDefault="00282798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282798" w:rsidRPr="00195BFA" w:rsidRDefault="00282798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  <w:r w:rsidRPr="00195BFA">
        <w:rPr>
          <w:rFonts w:ascii="Times New Roman" w:hAnsi="Times New Roman" w:cs="Times New Roman"/>
          <w:b/>
          <w:lang w:val="fr-FR"/>
        </w:rPr>
        <w:t>République tchèque, 22-12-2017</w:t>
      </w:r>
    </w:p>
    <w:p w:rsidR="002D0F46" w:rsidRPr="00195BFA" w:rsidRDefault="002D0F46" w:rsidP="00195BF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>En référence aux notifications de dépositaire No. 03/2012 du 31 août 2012 et No. 05/2016 du 19 février 2016.</w:t>
      </w:r>
    </w:p>
    <w:p w:rsidR="002D0F46" w:rsidRPr="00195BFA" w:rsidRDefault="002D0F46" w:rsidP="00195B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D0F46" w:rsidRPr="00195BFA" w:rsidRDefault="002D0F46" w:rsidP="00195B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t>Le gouvernement de la République tchèque retire les réserves faites en vertu de l’article X de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l’Accord sur la conservation des oiseaux d’eau migrateurs d’Afrique-Eurasie en raison de son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impossibilité à accomplir dans le délai prévu de quatre-vingt-dix jours la procédure d’approbation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interne des amendements aux annexes de l’Accord tels qu’adoptés lors de la cinquième session (La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Rochelle, France, 14 au 18 mai 2012) et de la sixième session (Bonn, Allemagne, 9 au</w:t>
      </w:r>
      <w:r w:rsidR="00195BFA">
        <w:rPr>
          <w:rFonts w:ascii="Times New Roman" w:hAnsi="Times New Roman" w:cs="Times New Roman"/>
          <w:lang w:val="fr-FR"/>
        </w:rPr>
        <w:t xml:space="preserve"> </w:t>
      </w:r>
      <w:r w:rsidRPr="00195BFA">
        <w:rPr>
          <w:rFonts w:ascii="Times New Roman" w:hAnsi="Times New Roman" w:cs="Times New Roman"/>
          <w:lang w:val="fr-FR"/>
        </w:rPr>
        <w:t>14 novembre 20</w:t>
      </w:r>
      <w:r w:rsidR="00F21842" w:rsidRPr="00195BFA">
        <w:rPr>
          <w:rFonts w:ascii="Times New Roman" w:hAnsi="Times New Roman" w:cs="Times New Roman"/>
          <w:lang w:val="fr-FR"/>
        </w:rPr>
        <w:t>15</w:t>
      </w:r>
      <w:r w:rsidRPr="00195BFA">
        <w:rPr>
          <w:rFonts w:ascii="Times New Roman" w:hAnsi="Times New Roman" w:cs="Times New Roman"/>
          <w:lang w:val="fr-FR"/>
        </w:rPr>
        <w:t>) de la Réunion des Parties. Conformément au paragraphe 6 de l’article X de l’Accord, les amendements entreront en vigueur pour la République tchèque le trentième jour après la date du retrait de la réserve.</w:t>
      </w:r>
    </w:p>
    <w:p w:rsidR="002D0F46" w:rsidRPr="00195BFA" w:rsidRDefault="002D0F46" w:rsidP="00195B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fr-FR"/>
        </w:rPr>
      </w:pPr>
    </w:p>
    <w:p w:rsidR="00282798" w:rsidRPr="00195BFA" w:rsidRDefault="002D0F46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  <w:r w:rsidRPr="00195BFA">
        <w:rPr>
          <w:rFonts w:ascii="Times New Roman" w:hAnsi="Times New Roman" w:cs="Times New Roman"/>
          <w:lang w:val="fr-FR"/>
        </w:rPr>
        <w:t>Les amendements sont entrés en vigueur pour la République tchèque le 21 janvier 2018.</w:t>
      </w:r>
    </w:p>
    <w:p w:rsidR="002D0F46" w:rsidRDefault="002D0F46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195BFA" w:rsidRDefault="00195B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195BFA" w:rsidRDefault="00195B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195BFA" w:rsidRDefault="00195B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195BFA" w:rsidRDefault="00195B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195BFA" w:rsidRDefault="00195B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195BFA" w:rsidRPr="00195BFA" w:rsidRDefault="00195BFA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282798" w:rsidRPr="00195BFA" w:rsidRDefault="00282798" w:rsidP="00195BFA">
      <w:pPr>
        <w:pBdr>
          <w:bottom w:val="single" w:sz="18" w:space="0" w:color="FF8A00"/>
        </w:pBd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67C00"/>
          <w:lang w:val="fr-FR" w:eastAsia="nl-NL"/>
        </w:rPr>
      </w:pPr>
    </w:p>
    <w:p w:rsidR="00282798" w:rsidRPr="00195BFA" w:rsidRDefault="00282798" w:rsidP="00195BF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fr-FR"/>
        </w:rPr>
      </w:pPr>
    </w:p>
    <w:p w:rsidR="008B6035" w:rsidRPr="00195BFA" w:rsidRDefault="008B6035" w:rsidP="00195BFA">
      <w:pPr>
        <w:spacing w:line="276" w:lineRule="auto"/>
        <w:contextualSpacing/>
        <w:rPr>
          <w:rFonts w:ascii="Times New Roman" w:hAnsi="Times New Roman" w:cs="Times New Roman"/>
          <w:lang w:val="fr-FR"/>
        </w:rPr>
      </w:pPr>
      <w:r w:rsidRPr="00195BFA">
        <w:rPr>
          <w:rFonts w:ascii="Times New Roman" w:hAnsi="Times New Roman" w:cs="Times New Roman"/>
          <w:lang w:val="fr-FR"/>
        </w:rPr>
        <w:lastRenderedPageBreak/>
        <w:t>Pour un état présent complet et des informations complémentaires, veuillez consulter la base de données des traités en ligne du R</w:t>
      </w:r>
      <w:r w:rsidR="00195BFA">
        <w:rPr>
          <w:rFonts w:ascii="Times New Roman" w:hAnsi="Times New Roman" w:cs="Times New Roman"/>
          <w:lang w:val="fr-FR"/>
        </w:rPr>
        <w:t>oyaume des Pays-Bas à l'adresse :</w:t>
      </w:r>
      <w:r w:rsidR="00195BFA" w:rsidRPr="00195BFA">
        <w:rPr>
          <w:rFonts w:ascii="Times New Roman" w:hAnsi="Times New Roman" w:cs="Times New Roman"/>
          <w:lang w:val="fr-FR"/>
        </w:rPr>
        <w:t xml:space="preserve"> </w:t>
      </w:r>
      <w:hyperlink r:id="rId8" w:history="1">
        <w:r w:rsidR="00195BFA" w:rsidRPr="00195BFA">
          <w:rPr>
            <w:rStyle w:val="Hyperlink"/>
            <w:rFonts w:ascii="Times New Roman" w:hAnsi="Times New Roman" w:cs="Times New Roman"/>
            <w:u w:val="none"/>
            <w:lang w:val="fr-FR"/>
          </w:rPr>
          <w:t>https://treatydatabase.overheid.nl/en/Verdrag/Details/007342</w:t>
        </w:r>
      </w:hyperlink>
    </w:p>
    <w:p w:rsidR="00195BFA" w:rsidRPr="00195BFA" w:rsidRDefault="00195BFA" w:rsidP="00195BFA">
      <w:pPr>
        <w:spacing w:line="276" w:lineRule="auto"/>
        <w:contextualSpacing/>
        <w:rPr>
          <w:rFonts w:ascii="Times New Roman" w:hAnsi="Times New Roman" w:cs="Times New Roman"/>
          <w:lang w:val="fr-FR"/>
        </w:rPr>
      </w:pPr>
    </w:p>
    <w:sectPr w:rsidR="00195BFA" w:rsidRPr="00195BFA" w:rsidSect="00195BF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FA" w:rsidRDefault="00195BFA" w:rsidP="00195BFA">
      <w:pPr>
        <w:spacing w:after="0" w:line="240" w:lineRule="auto"/>
      </w:pPr>
      <w:r>
        <w:separator/>
      </w:r>
    </w:p>
  </w:endnote>
  <w:endnote w:type="continuationSeparator" w:id="0">
    <w:p w:rsidR="00195BFA" w:rsidRDefault="00195BFA" w:rsidP="001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792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D1906" w:rsidRPr="00FD1906" w:rsidRDefault="00FD190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D19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19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D19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D19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D19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FA" w:rsidRDefault="00195BFA" w:rsidP="00195BFA">
      <w:pPr>
        <w:spacing w:after="0" w:line="240" w:lineRule="auto"/>
      </w:pPr>
      <w:r>
        <w:separator/>
      </w:r>
    </w:p>
  </w:footnote>
  <w:footnote w:type="continuationSeparator" w:id="0">
    <w:p w:rsidR="00195BFA" w:rsidRDefault="00195BFA" w:rsidP="001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195BFA" w:rsidRPr="00195BFA" w:rsidTr="00195BFA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5BFA" w:rsidRPr="00195BFA" w:rsidRDefault="00195BFA" w:rsidP="00195BFA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D01BFCC" wp14:editId="17279AA7">
                <wp:extent cx="828675" cy="695325"/>
                <wp:effectExtent l="0" t="0" r="9525" b="9525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81" cy="69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5BFA" w:rsidRPr="00195BFA" w:rsidRDefault="00195BFA" w:rsidP="00195BFA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5BFA" w:rsidRPr="00195BFA" w:rsidRDefault="00195BFA" w:rsidP="00195BFA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195BFA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8 Rev.1</w:t>
          </w:r>
        </w:p>
        <w:p w:rsidR="00195BFA" w:rsidRPr="00195BFA" w:rsidRDefault="00195BFA" w:rsidP="00195BFA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9c</w:t>
          </w:r>
          <w:r w:rsidRPr="00195BFA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195BFA" w:rsidRPr="00195BFA" w:rsidRDefault="00195BFA" w:rsidP="00195BFA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195BFA" w:rsidRPr="00195BFA" w:rsidRDefault="00195BFA" w:rsidP="00195BFA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07 novembre</w:t>
          </w:r>
          <w:r w:rsidRPr="00195BF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195BFA" w:rsidRPr="00195BFA" w:rsidRDefault="00195BFA" w:rsidP="00195BFA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</w:p>
      </w:tc>
    </w:tr>
    <w:tr w:rsidR="00195BFA" w:rsidRPr="00195BFA" w:rsidTr="00195BFA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5BFA" w:rsidRPr="00195BFA" w:rsidRDefault="00195BFA" w:rsidP="00195BFA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195BF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195BF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195BFA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195BFA" w:rsidRPr="00195BFA" w:rsidRDefault="00195BFA" w:rsidP="00195BFA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04-08 décembre 2018, Durban, Afrique du Sud</w:t>
          </w:r>
        </w:p>
      </w:tc>
    </w:tr>
    <w:tr w:rsidR="00195BFA" w:rsidRPr="00195BFA" w:rsidTr="00195BFA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95BFA" w:rsidRPr="00195BFA" w:rsidRDefault="00195BFA" w:rsidP="00195BFA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000000" w:themeColor="text1"/>
              <w:sz w:val="24"/>
              <w:szCs w:val="24"/>
              <w:highlight w:val="yellow"/>
              <w:lang w:val="fr-FR"/>
            </w:rPr>
          </w:pPr>
          <w:r w:rsidRPr="00195BFA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“Par-delà 2020 : </w:t>
          </w:r>
          <w:proofErr w:type="spellStart"/>
          <w:r w:rsidRPr="00195BFA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>Faҫonner</w:t>
          </w:r>
          <w:proofErr w:type="spellEnd"/>
          <w:r w:rsidRPr="00195BFA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 la conservation des voies de migration pour l’avenir”</w:t>
          </w:r>
        </w:p>
      </w:tc>
    </w:tr>
  </w:tbl>
  <w:p w:rsidR="00195BFA" w:rsidRPr="00195BFA" w:rsidRDefault="00195BF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FA" w:rsidRPr="00195BFA" w:rsidRDefault="00195B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E86"/>
    <w:multiLevelType w:val="hybridMultilevel"/>
    <w:tmpl w:val="5CA6BE9A"/>
    <w:lvl w:ilvl="0" w:tplc="90CEA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199F"/>
    <w:multiLevelType w:val="hybridMultilevel"/>
    <w:tmpl w:val="17A4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BF"/>
    <w:rsid w:val="000B2CBF"/>
    <w:rsid w:val="00195BFA"/>
    <w:rsid w:val="00282798"/>
    <w:rsid w:val="002D0F46"/>
    <w:rsid w:val="00616ADA"/>
    <w:rsid w:val="00735109"/>
    <w:rsid w:val="007B041E"/>
    <w:rsid w:val="00895661"/>
    <w:rsid w:val="008B6035"/>
    <w:rsid w:val="00A54896"/>
    <w:rsid w:val="00B47D57"/>
    <w:rsid w:val="00B902C5"/>
    <w:rsid w:val="00C158FA"/>
    <w:rsid w:val="00CE3BDE"/>
    <w:rsid w:val="00E72254"/>
    <w:rsid w:val="00F21842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DFFD4"/>
  <w15:chartTrackingRefBased/>
  <w15:docId w15:val="{B4D1AE28-4862-4911-B69D-20513583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FA"/>
  </w:style>
  <w:style w:type="paragraph" w:styleId="Footer">
    <w:name w:val="footer"/>
    <w:basedOn w:val="Normal"/>
    <w:link w:val="FooterChar"/>
    <w:uiPriority w:val="99"/>
    <w:unhideWhenUsed/>
    <w:rsid w:val="001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FA"/>
  </w:style>
  <w:style w:type="paragraph" w:styleId="ListParagraph">
    <w:name w:val="List Paragraph"/>
    <w:basedOn w:val="Normal"/>
    <w:uiPriority w:val="34"/>
    <w:qFormat/>
    <w:rsid w:val="00195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ydatabase.overheid.nl/en/Verdrag/Details/00734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Groen, Mark</dc:creator>
  <cp:keywords/>
  <dc:description/>
  <cp:lastModifiedBy>Jolanta Kremer</cp:lastModifiedBy>
  <cp:revision>3</cp:revision>
  <dcterms:created xsi:type="dcterms:W3CDTF">2018-11-06T09:42:00Z</dcterms:created>
  <dcterms:modified xsi:type="dcterms:W3CDTF">2018-11-07T14:20:00Z</dcterms:modified>
</cp:coreProperties>
</file>