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6865" w14:textId="77777777" w:rsidR="00623D5A" w:rsidRDefault="00623D5A" w:rsidP="00C00DA1">
      <w:pPr>
        <w:tabs>
          <w:tab w:val="left" w:pos="4185"/>
        </w:tabs>
        <w:jc w:val="center"/>
        <w:rPr>
          <w:lang w:val="en-GB"/>
        </w:rPr>
      </w:pPr>
    </w:p>
    <w:p w14:paraId="6782A314" w14:textId="2697DA7B" w:rsidR="00CD0925" w:rsidRPr="00C00DA1" w:rsidRDefault="00CD0925" w:rsidP="00C00DA1">
      <w:pPr>
        <w:tabs>
          <w:tab w:val="left" w:pos="4185"/>
        </w:tabs>
        <w:jc w:val="center"/>
        <w:rPr>
          <w:lang w:val="en-GB"/>
        </w:rPr>
      </w:pPr>
      <w:r w:rsidRPr="00C00DA1">
        <w:rPr>
          <w:lang w:val="en-GB"/>
        </w:rPr>
        <w:t>RESOLUTION 7.</w:t>
      </w:r>
      <w:r w:rsidR="004433DE">
        <w:rPr>
          <w:lang w:val="en-GB"/>
        </w:rPr>
        <w:t>4</w:t>
      </w:r>
    </w:p>
    <w:p w14:paraId="19B719B3" w14:textId="77777777" w:rsidR="00CD0925" w:rsidRPr="00C00DA1" w:rsidRDefault="00CD0925" w:rsidP="00C00DA1">
      <w:pPr>
        <w:spacing w:line="240" w:lineRule="exact"/>
        <w:ind w:right="-81"/>
        <w:jc w:val="center"/>
        <w:rPr>
          <w:b/>
          <w:bCs/>
          <w:lang w:val="en-GB"/>
        </w:rPr>
      </w:pPr>
    </w:p>
    <w:p w14:paraId="20619CEE" w14:textId="60C4741E" w:rsidR="00CD0925" w:rsidRPr="00C00DA1" w:rsidRDefault="00CD0925" w:rsidP="00C00DA1">
      <w:pPr>
        <w:pStyle w:val="Heading9"/>
        <w:spacing w:line="276" w:lineRule="auto"/>
        <w:ind w:right="-8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</w:pP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ADOPTION AND AMENDMENTS OF </w:t>
      </w:r>
      <w:r w:rsidR="008B2266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DEFINITIONS AND </w:t>
      </w: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>INTERPRETATION OF TERMS USED IN THE CONTEXT OF TABLE 1 OF THE AEWA ANNEX 3</w:t>
      </w:r>
    </w:p>
    <w:p w14:paraId="5BCE1314" w14:textId="77777777" w:rsidR="00CD0925" w:rsidRPr="00C00DA1" w:rsidRDefault="00CD0925" w:rsidP="00C00DA1">
      <w:pPr>
        <w:jc w:val="center"/>
        <w:rPr>
          <w:b/>
          <w:sz w:val="22"/>
          <w:szCs w:val="22"/>
          <w:lang w:val="en-GB"/>
        </w:rPr>
      </w:pPr>
    </w:p>
    <w:p w14:paraId="0BBEBE16" w14:textId="77777777" w:rsidR="00CD0925" w:rsidRPr="00A50CC4" w:rsidRDefault="00CD0925" w:rsidP="00CD0925">
      <w:pPr>
        <w:jc w:val="both"/>
        <w:rPr>
          <w:b/>
          <w:sz w:val="22"/>
          <w:szCs w:val="22"/>
          <w:lang w:val="en-GB"/>
        </w:rPr>
      </w:pPr>
    </w:p>
    <w:p w14:paraId="2F8F00F9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>Recalling</w:t>
      </w:r>
      <w:r w:rsidRPr="00A540D0">
        <w:rPr>
          <w:sz w:val="22"/>
          <w:szCs w:val="22"/>
          <w:lang w:val="en-GB"/>
        </w:rPr>
        <w:t xml:space="preserve"> Resolutions 3.3 and 5.7 that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 in the context of Table 1 of the AEWA Action Plan,</w:t>
      </w:r>
    </w:p>
    <w:p w14:paraId="1C252607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8309EA7" w14:textId="6BA7923D" w:rsidR="00CD0925" w:rsidRPr="00D64003" w:rsidRDefault="00CD0925" w:rsidP="00CD0925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Recognising </w:t>
      </w:r>
      <w:r>
        <w:rPr>
          <w:sz w:val="22"/>
          <w:szCs w:val="22"/>
          <w:lang w:val="en-GB"/>
        </w:rPr>
        <w:t xml:space="preserve">the benefits of </w:t>
      </w:r>
      <w:r w:rsidR="000F2424">
        <w:rPr>
          <w:sz w:val="22"/>
          <w:szCs w:val="22"/>
          <w:lang w:val="en-GB"/>
        </w:rPr>
        <w:t xml:space="preserve">explicitly </w:t>
      </w:r>
      <w:r>
        <w:rPr>
          <w:sz w:val="22"/>
          <w:szCs w:val="22"/>
          <w:lang w:val="en-GB"/>
        </w:rPr>
        <w:t xml:space="preserve">making the difference between </w:t>
      </w:r>
      <w:r w:rsidR="004433DE">
        <w:rPr>
          <w:sz w:val="22"/>
          <w:szCs w:val="22"/>
          <w:lang w:val="en-GB"/>
        </w:rPr>
        <w:t xml:space="preserve">those </w:t>
      </w:r>
      <w:r>
        <w:rPr>
          <w:sz w:val="22"/>
          <w:szCs w:val="22"/>
          <w:lang w:val="en-GB"/>
        </w:rPr>
        <w:t>populations listed</w:t>
      </w:r>
      <w:r w:rsidR="004433DE">
        <w:rPr>
          <w:sz w:val="22"/>
          <w:szCs w:val="22"/>
          <w:lang w:val="en-GB"/>
        </w:rPr>
        <w:t>, that are</w:t>
      </w:r>
      <w:r>
        <w:rPr>
          <w:sz w:val="22"/>
          <w:szCs w:val="22"/>
          <w:lang w:val="en-GB"/>
        </w:rPr>
        <w:t xml:space="preserve"> based on long-term decline and the ones listed based on rapid short-term decline,</w:t>
      </w:r>
    </w:p>
    <w:p w14:paraId="5C434AC7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</w:p>
    <w:p w14:paraId="1C989388" w14:textId="283E1D5C" w:rsidR="00CD0925" w:rsidRPr="008D026A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F5E23">
        <w:rPr>
          <w:i/>
          <w:sz w:val="22"/>
          <w:szCs w:val="22"/>
          <w:lang w:val="en-GB"/>
        </w:rPr>
        <w:t xml:space="preserve">Recognising </w:t>
      </w:r>
      <w:r w:rsidRPr="004F5E23">
        <w:rPr>
          <w:sz w:val="22"/>
          <w:szCs w:val="22"/>
          <w:lang w:val="en-GB"/>
        </w:rPr>
        <w:t xml:space="preserve">that using 7.5 generations instead of </w:t>
      </w:r>
      <w:r>
        <w:rPr>
          <w:sz w:val="22"/>
          <w:szCs w:val="22"/>
          <w:lang w:val="en-GB"/>
        </w:rPr>
        <w:t>three</w:t>
      </w:r>
      <w:r w:rsidRPr="004F5E23">
        <w:rPr>
          <w:sz w:val="22"/>
          <w:szCs w:val="22"/>
          <w:lang w:val="en-GB"/>
        </w:rPr>
        <w:t xml:space="preserve"> generations required by the relevant criteria of </w:t>
      </w:r>
      <w:r>
        <w:rPr>
          <w:sz w:val="22"/>
          <w:szCs w:val="22"/>
          <w:lang w:val="en-GB"/>
        </w:rPr>
        <w:t>other international assessment processes</w:t>
      </w:r>
      <w:r w:rsidR="004433D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such as </w:t>
      </w:r>
      <w:r w:rsidRPr="004F5E23">
        <w:rPr>
          <w:sz w:val="22"/>
          <w:szCs w:val="22"/>
          <w:lang w:val="en-GB"/>
        </w:rPr>
        <w:t>the IUCN Red List</w:t>
      </w:r>
      <w:r>
        <w:rPr>
          <w:sz w:val="22"/>
          <w:szCs w:val="22"/>
          <w:lang w:val="en-GB"/>
        </w:rPr>
        <w:t>, the European Red List of Birds and the EU Birds Directive Article 12 reporting</w:t>
      </w:r>
      <w:r w:rsidR="004433DE">
        <w:rPr>
          <w:sz w:val="22"/>
          <w:szCs w:val="22"/>
          <w:lang w:val="en-GB"/>
        </w:rPr>
        <w:t>,</w:t>
      </w:r>
      <w:r w:rsidRPr="004F5E23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wishing to minimise </w:t>
      </w:r>
      <w:r w:rsidRPr="008D026A">
        <w:rPr>
          <w:sz w:val="22"/>
          <w:szCs w:val="22"/>
          <w:lang w:val="en-GB"/>
        </w:rPr>
        <w:t>conflicting interpretation of the population status,</w:t>
      </w:r>
    </w:p>
    <w:p w14:paraId="246076B7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23B707B3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Wishing </w:t>
      </w:r>
      <w:r>
        <w:rPr>
          <w:sz w:val="22"/>
          <w:szCs w:val="22"/>
          <w:lang w:val="en-GB"/>
        </w:rPr>
        <w:t>to enhance the robustness of early warning for rapidly declining populations,</w:t>
      </w:r>
    </w:p>
    <w:p w14:paraId="3FAF20DD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C8C9906" w14:textId="71F90CCA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 xml:space="preserve">Thanking </w:t>
      </w:r>
      <w:r w:rsidRPr="00A540D0">
        <w:rPr>
          <w:sz w:val="22"/>
          <w:szCs w:val="22"/>
          <w:lang w:val="en-GB"/>
        </w:rPr>
        <w:t>the Technical Committee for its work over the past triennium on revisiting the earlier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</w:t>
      </w:r>
      <w:r w:rsidR="00B9739E">
        <w:rPr>
          <w:sz w:val="22"/>
          <w:szCs w:val="22"/>
          <w:lang w:val="en-GB"/>
        </w:rPr>
        <w:t xml:space="preserve"> and proposing the establishment of a new category to the key of classification on Table 1 of AEWA Annex 3 based on rapid short-term decline (document AEWA/MOP 7.</w:t>
      </w:r>
      <w:r w:rsidR="00216E4A">
        <w:rPr>
          <w:sz w:val="22"/>
          <w:szCs w:val="22"/>
          <w:lang w:val="en-GB"/>
        </w:rPr>
        <w:t>20</w:t>
      </w:r>
      <w:r w:rsidR="00B9739E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,</w:t>
      </w:r>
    </w:p>
    <w:p w14:paraId="78D753BE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77B494AF" w14:textId="7B878416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proofErr w:type="gramStart"/>
      <w:r w:rsidRPr="00576BFC">
        <w:rPr>
          <w:i/>
          <w:sz w:val="22"/>
          <w:szCs w:val="22"/>
          <w:lang w:val="en-GB"/>
        </w:rPr>
        <w:t>Taking into account</w:t>
      </w:r>
      <w:proofErr w:type="gramEnd"/>
      <w:r>
        <w:rPr>
          <w:sz w:val="22"/>
          <w:szCs w:val="22"/>
          <w:lang w:val="en-GB"/>
        </w:rPr>
        <w:t xml:space="preserve"> Resolution 7.</w:t>
      </w:r>
      <w:r w:rsidR="00BA226B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 xml:space="preserve"> on the adoption of amendments to the AEWA annexes that</w:t>
      </w:r>
      <w:r w:rsidR="00163DA9">
        <w:rPr>
          <w:sz w:val="22"/>
          <w:szCs w:val="22"/>
          <w:lang w:val="en-GB"/>
        </w:rPr>
        <w:t xml:space="preserve">, </w:t>
      </w:r>
      <w:r w:rsidR="00163DA9" w:rsidRPr="005D53DF">
        <w:rPr>
          <w:i/>
          <w:sz w:val="22"/>
          <w:szCs w:val="22"/>
          <w:lang w:val="en-GB"/>
        </w:rPr>
        <w:t>inter alia</w:t>
      </w:r>
      <w:r w:rsidR="00163DA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amended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3(c)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2(c)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(significant) long-term decline and established new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3(e)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2(e)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rapid </w:t>
      </w:r>
      <w:r w:rsidR="00E42DAF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short-term decline used in </w:t>
      </w:r>
      <w:r w:rsidR="00163DA9">
        <w:rPr>
          <w:sz w:val="22"/>
          <w:szCs w:val="22"/>
          <w:lang w:val="en-GB"/>
        </w:rPr>
        <w:t xml:space="preserve">classifying </w:t>
      </w:r>
      <w:r>
        <w:rPr>
          <w:sz w:val="22"/>
          <w:szCs w:val="22"/>
          <w:lang w:val="en-GB"/>
        </w:rPr>
        <w:t>populations on Table 1 of AEWA Annex 3</w:t>
      </w:r>
      <w:r w:rsidR="00C00DA1">
        <w:rPr>
          <w:sz w:val="22"/>
          <w:szCs w:val="22"/>
          <w:lang w:val="en-GB"/>
        </w:rPr>
        <w:t>,</w:t>
      </w:r>
    </w:p>
    <w:p w14:paraId="03DE5933" w14:textId="5D43A38C" w:rsidR="00CD0925" w:rsidRPr="004F5E23" w:rsidRDefault="00CD0925" w:rsidP="00CD0925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0410B746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  <w:r w:rsidRPr="004F5E23">
        <w:rPr>
          <w:i/>
          <w:iCs/>
          <w:sz w:val="22"/>
          <w:szCs w:val="22"/>
          <w:lang w:val="en-GB"/>
        </w:rPr>
        <w:t>The Meeting of the Parties</w:t>
      </w:r>
      <w:r w:rsidRPr="004F5E23">
        <w:rPr>
          <w:sz w:val="22"/>
          <w:szCs w:val="22"/>
          <w:lang w:val="en-GB"/>
        </w:rPr>
        <w:t>:</w:t>
      </w:r>
    </w:p>
    <w:p w14:paraId="7313CAAD" w14:textId="77777777" w:rsidR="00CD0925" w:rsidRPr="00D64003" w:rsidRDefault="00CD0925" w:rsidP="00CD0925">
      <w:pPr>
        <w:tabs>
          <w:tab w:val="num" w:pos="928"/>
        </w:tabs>
        <w:spacing w:line="276" w:lineRule="auto"/>
        <w:ind w:left="568"/>
        <w:jc w:val="both"/>
        <w:rPr>
          <w:sz w:val="22"/>
          <w:szCs w:val="22"/>
          <w:u w:val="single"/>
          <w:lang w:val="en-GB" w:eastAsia="en-GB"/>
        </w:rPr>
      </w:pPr>
    </w:p>
    <w:p w14:paraId="2C56A07E" w14:textId="3427ADF7" w:rsidR="00765D71" w:rsidRDefault="00CD0925" w:rsidP="00CD0925">
      <w:pPr>
        <w:numPr>
          <w:ilvl w:val="0"/>
          <w:numId w:val="18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en-GB"/>
        </w:rPr>
        <w:sectPr w:rsidR="00765D71" w:rsidSect="00F047E8">
          <w:footerReference w:type="default" r:id="rId8"/>
          <w:headerReference w:type="first" r:id="rId9"/>
          <w:pgSz w:w="11907" w:h="16840" w:code="9"/>
          <w:pgMar w:top="1021" w:right="1134" w:bottom="851" w:left="1134" w:header="851" w:footer="510" w:gutter="0"/>
          <w:cols w:space="708"/>
          <w:titlePg/>
          <w:docGrid w:linePitch="360"/>
        </w:sectPr>
      </w:pPr>
      <w:r w:rsidRPr="00D4043D">
        <w:rPr>
          <w:i/>
          <w:iCs/>
          <w:sz w:val="22"/>
          <w:szCs w:val="22"/>
          <w:lang w:val="en-GB"/>
        </w:rPr>
        <w:t xml:space="preserve">Adopts </w:t>
      </w:r>
      <w:r w:rsidRPr="00D4043D">
        <w:rPr>
          <w:sz w:val="22"/>
          <w:szCs w:val="22"/>
          <w:lang w:val="en-GB"/>
        </w:rPr>
        <w:t>the definition of and guidance for interpretation of the term</w:t>
      </w:r>
      <w:r>
        <w:rPr>
          <w:sz w:val="22"/>
          <w:szCs w:val="22"/>
          <w:lang w:val="en-GB"/>
        </w:rPr>
        <w:t>s</w:t>
      </w:r>
      <w:r w:rsidRPr="00D4043D">
        <w:rPr>
          <w:sz w:val="22"/>
          <w:szCs w:val="22"/>
          <w:lang w:val="en-GB"/>
        </w:rPr>
        <w:t xml:space="preserve"> “</w:t>
      </w:r>
      <w:r w:rsidRPr="00D4043D">
        <w:rPr>
          <w:i/>
          <w:sz w:val="22"/>
          <w:szCs w:val="22"/>
          <w:lang w:val="en-GB"/>
        </w:rPr>
        <w:t>long-term decline</w:t>
      </w:r>
      <w:r w:rsidRPr="00D4043D">
        <w:rPr>
          <w:sz w:val="22"/>
          <w:szCs w:val="22"/>
          <w:lang w:val="en-GB"/>
        </w:rPr>
        <w:t xml:space="preserve">” </w:t>
      </w:r>
      <w:r>
        <w:rPr>
          <w:sz w:val="22"/>
          <w:szCs w:val="22"/>
          <w:lang w:val="en-GB"/>
        </w:rPr>
        <w:t>and "</w:t>
      </w:r>
      <w:r>
        <w:rPr>
          <w:i/>
          <w:sz w:val="22"/>
          <w:szCs w:val="22"/>
          <w:lang w:val="en-GB"/>
        </w:rPr>
        <w:t xml:space="preserve">rapid short-term decline" </w:t>
      </w:r>
      <w:r w:rsidRPr="00D4043D">
        <w:rPr>
          <w:sz w:val="22"/>
          <w:szCs w:val="22"/>
          <w:lang w:val="en-GB"/>
        </w:rPr>
        <w:t xml:space="preserve">as </w:t>
      </w:r>
      <w:r w:rsidRPr="00A540D0">
        <w:rPr>
          <w:sz w:val="22"/>
          <w:szCs w:val="22"/>
          <w:lang w:val="en-GB"/>
        </w:rPr>
        <w:t xml:space="preserve">set out in Appendix </w:t>
      </w:r>
      <w:r w:rsidR="00163DA9">
        <w:rPr>
          <w:sz w:val="22"/>
          <w:szCs w:val="22"/>
          <w:lang w:val="en-GB"/>
        </w:rPr>
        <w:t>I</w:t>
      </w:r>
      <w:r w:rsidRPr="00A540D0">
        <w:rPr>
          <w:sz w:val="22"/>
          <w:szCs w:val="22"/>
          <w:lang w:val="en-GB"/>
        </w:rPr>
        <w:t xml:space="preserve"> to this resolution</w:t>
      </w:r>
      <w:r w:rsidR="000F2424">
        <w:rPr>
          <w:sz w:val="22"/>
          <w:szCs w:val="22"/>
          <w:lang w:val="en-GB"/>
        </w:rPr>
        <w:t>,</w:t>
      </w:r>
      <w:r w:rsidRPr="00A540D0">
        <w:rPr>
          <w:sz w:val="22"/>
          <w:szCs w:val="22"/>
          <w:lang w:val="en-GB"/>
        </w:rPr>
        <w:t xml:space="preserve"> to replace the definition and guidance previously adopted by Resolution 5.7.</w:t>
      </w:r>
    </w:p>
    <w:p w14:paraId="6E5EA4B0" w14:textId="269E515E" w:rsidR="00765D71" w:rsidRPr="00216E4A" w:rsidRDefault="00163DA9" w:rsidP="005D53DF">
      <w:pPr>
        <w:tabs>
          <w:tab w:val="num" w:pos="928"/>
        </w:tabs>
        <w:spacing w:line="276" w:lineRule="auto"/>
        <w:jc w:val="center"/>
        <w:rPr>
          <w:b/>
        </w:rPr>
      </w:pPr>
      <w:r w:rsidRPr="00216E4A">
        <w:rPr>
          <w:lang w:val="en-GB"/>
        </w:rPr>
        <w:lastRenderedPageBreak/>
        <w:t>APPENDIX I</w:t>
      </w:r>
    </w:p>
    <w:p w14:paraId="034E9216" w14:textId="77777777" w:rsidR="00765D71" w:rsidRDefault="00765D71" w:rsidP="005D53DF">
      <w:pPr>
        <w:tabs>
          <w:tab w:val="num" w:pos="928"/>
        </w:tabs>
        <w:spacing w:line="276" w:lineRule="auto"/>
        <w:jc w:val="both"/>
        <w:rPr>
          <w:b/>
        </w:rPr>
      </w:pPr>
    </w:p>
    <w:p w14:paraId="2CE1883B" w14:textId="2747A9EC" w:rsidR="00CD0925" w:rsidRPr="00C00DA1" w:rsidRDefault="00CD0925" w:rsidP="00623D5A">
      <w:pPr>
        <w:shd w:val="clear" w:color="auto" w:fill="DBE5F1" w:themeFill="accent1" w:themeFillTint="33"/>
        <w:tabs>
          <w:tab w:val="num" w:pos="928"/>
        </w:tabs>
        <w:jc w:val="center"/>
        <w:rPr>
          <w:b/>
        </w:rPr>
      </w:pPr>
      <w:r w:rsidRPr="00C00DA1">
        <w:rPr>
          <w:b/>
        </w:rPr>
        <w:t>Definition of and Guidance for interpretation of the terms “</w:t>
      </w:r>
      <w:r w:rsidRPr="00C00DA1">
        <w:rPr>
          <w:b/>
          <w:i/>
        </w:rPr>
        <w:t>long-term decline</w:t>
      </w:r>
      <w:r w:rsidRPr="00C00DA1">
        <w:rPr>
          <w:b/>
        </w:rPr>
        <w:t>” and "</w:t>
      </w:r>
      <w:r w:rsidRPr="00C00DA1">
        <w:rPr>
          <w:b/>
          <w:i/>
        </w:rPr>
        <w:t>rapid short-term decline</w:t>
      </w:r>
      <w:r w:rsidRPr="00C00DA1">
        <w:rPr>
          <w:b/>
        </w:rPr>
        <w:t xml:space="preserve">" of </w:t>
      </w:r>
      <w:proofErr w:type="spellStart"/>
      <w:r w:rsidRPr="00C00DA1">
        <w:rPr>
          <w:b/>
        </w:rPr>
        <w:t>waterbird</w:t>
      </w:r>
      <w:proofErr w:type="spellEnd"/>
      <w:r w:rsidRPr="00C00DA1">
        <w:rPr>
          <w:b/>
        </w:rPr>
        <w:t xml:space="preserve"> populations</w:t>
      </w:r>
    </w:p>
    <w:p w14:paraId="63341B98" w14:textId="77777777" w:rsidR="00CD0925" w:rsidRPr="00C00DA1" w:rsidRDefault="00CD0925" w:rsidP="00CD0925">
      <w:pPr>
        <w:autoSpaceDE w:val="0"/>
        <w:autoSpaceDN w:val="0"/>
        <w:adjustRightInd w:val="0"/>
        <w:rPr>
          <w:bCs/>
          <w:sz w:val="20"/>
          <w:szCs w:val="20"/>
          <w:lang w:val="en-GB"/>
        </w:rPr>
      </w:pPr>
    </w:p>
    <w:p w14:paraId="4425E572" w14:textId="2D6EC8B8" w:rsidR="00CD0925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b/>
          <w:bCs/>
          <w:lang w:val="en-GB"/>
        </w:rPr>
      </w:pPr>
      <w:r w:rsidRPr="00A50CC4">
        <w:rPr>
          <w:b/>
          <w:bCs/>
          <w:lang w:val="en-GB"/>
        </w:rPr>
        <w:t>Definition</w:t>
      </w:r>
      <w:r>
        <w:rPr>
          <w:b/>
          <w:bCs/>
          <w:lang w:val="en-GB"/>
        </w:rPr>
        <w:t>s</w:t>
      </w:r>
    </w:p>
    <w:p w14:paraId="0E16F9C9" w14:textId="77777777" w:rsidR="00C00DA1" w:rsidRPr="00C00DA1" w:rsidRDefault="00C00DA1" w:rsidP="00623D5A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  <w:lang w:val="en-GB"/>
        </w:rPr>
      </w:pPr>
    </w:p>
    <w:p w14:paraId="7CE02040" w14:textId="64B91A4E" w:rsidR="00CD0925" w:rsidRDefault="00CD0925" w:rsidP="00623D5A">
      <w:pPr>
        <w:pStyle w:val="NormalWeb"/>
        <w:spacing w:before="0" w:beforeAutospacing="0" w:after="0" w:afterAutospacing="0" w:line="264" w:lineRule="auto"/>
        <w:rPr>
          <w:sz w:val="22"/>
          <w:szCs w:val="22"/>
        </w:rPr>
      </w:pPr>
      <w:bookmarkStart w:id="0" w:name="_Hlk511231796"/>
      <w:r w:rsidRPr="00615DF8">
        <w:rPr>
          <w:sz w:val="22"/>
          <w:szCs w:val="22"/>
        </w:rPr>
        <w:t xml:space="preserve">A population in </w:t>
      </w:r>
      <w:r w:rsidRPr="00615DF8">
        <w:rPr>
          <w:rFonts w:ascii="Times New Roman,Italic" w:hAnsi="Times New Roman,Italic"/>
          <w:sz w:val="22"/>
          <w:szCs w:val="22"/>
        </w:rPr>
        <w:t>'</w:t>
      </w:r>
      <w:r w:rsidRPr="00615DF8">
        <w:rPr>
          <w:rFonts w:ascii="Times New Roman,Italic" w:hAnsi="Times New Roman,Italic"/>
          <w:i/>
          <w:sz w:val="22"/>
          <w:szCs w:val="22"/>
        </w:rPr>
        <w:t>long-term decline</w:t>
      </w:r>
      <w:r w:rsidRPr="00615DF8">
        <w:rPr>
          <w:rFonts w:ascii="Times New Roman,Italic" w:hAnsi="Times New Roman,Italic"/>
          <w:sz w:val="22"/>
          <w:szCs w:val="22"/>
        </w:rPr>
        <w:t xml:space="preserve">', </w:t>
      </w:r>
      <w:r w:rsidRPr="00615DF8">
        <w:rPr>
          <w:sz w:val="22"/>
          <w:szCs w:val="22"/>
        </w:rPr>
        <w:t xml:space="preserve">is one where the best available data, information or assessments indicate that it has declined by at least 10% in numbers or range over a period of </w:t>
      </w:r>
      <w:r w:rsidR="00F6704C">
        <w:rPr>
          <w:sz w:val="22"/>
          <w:szCs w:val="22"/>
        </w:rPr>
        <w:t>three</w:t>
      </w:r>
      <w:r w:rsidRPr="00615DF8">
        <w:rPr>
          <w:sz w:val="22"/>
          <w:szCs w:val="22"/>
        </w:rPr>
        <w:t xml:space="preserve"> generations.</w:t>
      </w:r>
      <w:bookmarkEnd w:id="0"/>
    </w:p>
    <w:p w14:paraId="6A86589A" w14:textId="77777777" w:rsidR="00615DF8" w:rsidRPr="00615DF8" w:rsidRDefault="00615DF8" w:rsidP="00623D5A">
      <w:pPr>
        <w:pStyle w:val="NormalWeb"/>
        <w:spacing w:before="0" w:beforeAutospacing="0" w:after="0" w:afterAutospacing="0" w:line="264" w:lineRule="auto"/>
        <w:rPr>
          <w:sz w:val="22"/>
          <w:szCs w:val="22"/>
        </w:rPr>
      </w:pPr>
    </w:p>
    <w:p w14:paraId="3D422F49" w14:textId="34FE6D91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en-GB"/>
        </w:rPr>
      </w:pPr>
      <w:r w:rsidRPr="0092107F">
        <w:rPr>
          <w:sz w:val="22"/>
          <w:szCs w:val="22"/>
          <w:lang w:val="en-GB"/>
        </w:rPr>
        <w:t xml:space="preserve">A population in </w:t>
      </w:r>
      <w:r w:rsidRPr="0092107F">
        <w:rPr>
          <w:i/>
          <w:sz w:val="22"/>
          <w:szCs w:val="22"/>
          <w:lang w:val="en-GB"/>
        </w:rPr>
        <w:t>'rapid short-term decline'</w:t>
      </w:r>
      <w:r w:rsidRPr="0092107F">
        <w:rPr>
          <w:sz w:val="22"/>
          <w:szCs w:val="22"/>
          <w:lang w:val="en-GB"/>
        </w:rPr>
        <w:t xml:space="preserve"> is one where the best available data, information or assessments indicate that it has declined at least at a rate that is equivalent to a predicted long-term decline of </w:t>
      </w:r>
      <w:r w:rsidRPr="0092107F">
        <w:rPr>
          <w:sz w:val="22"/>
          <w:szCs w:val="22"/>
          <w:u w:val="single"/>
          <w:lang w:val="en-GB"/>
        </w:rPr>
        <w:t xml:space="preserve">30% over </w:t>
      </w:r>
      <w:r w:rsidR="00463221" w:rsidRPr="0092107F">
        <w:rPr>
          <w:sz w:val="22"/>
          <w:szCs w:val="22"/>
          <w:u w:val="single"/>
          <w:lang w:val="en-GB"/>
        </w:rPr>
        <w:t>three</w:t>
      </w:r>
      <w:r w:rsidRPr="0092107F">
        <w:rPr>
          <w:sz w:val="22"/>
          <w:szCs w:val="22"/>
          <w:u w:val="single"/>
          <w:lang w:val="en-GB"/>
        </w:rPr>
        <w:t xml:space="preserve"> generations </w:t>
      </w:r>
      <w:r w:rsidRPr="0092107F">
        <w:rPr>
          <w:sz w:val="22"/>
          <w:szCs w:val="22"/>
          <w:lang w:val="en-GB"/>
        </w:rPr>
        <w:t>based on 10 years of the most recent data.</w:t>
      </w:r>
    </w:p>
    <w:p w14:paraId="2F1CDD0F" w14:textId="77777777" w:rsidR="00CD0925" w:rsidRPr="00C00DA1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  <w:lang w:val="en-GB"/>
        </w:rPr>
      </w:pPr>
    </w:p>
    <w:p w14:paraId="0159649D" w14:textId="32B9C40E" w:rsidR="00CD0925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b/>
          <w:bCs/>
          <w:iCs/>
          <w:lang w:val="en-GB"/>
        </w:rPr>
      </w:pPr>
      <w:r w:rsidRPr="00A50CC4">
        <w:rPr>
          <w:b/>
          <w:bCs/>
          <w:iCs/>
          <w:lang w:val="en-GB"/>
        </w:rPr>
        <w:t>Guidance for the application of this definition</w:t>
      </w:r>
    </w:p>
    <w:p w14:paraId="1BA30F53" w14:textId="77777777" w:rsidR="00A85244" w:rsidRPr="005D51B6" w:rsidRDefault="00A85244" w:rsidP="00623D5A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en-GB"/>
        </w:rPr>
      </w:pPr>
    </w:p>
    <w:p w14:paraId="5D759E8B" w14:textId="04A74DE2" w:rsidR="00CD0925" w:rsidRPr="00A50CC4" w:rsidRDefault="00CD0925" w:rsidP="00623D5A">
      <w:pPr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>Where there are only poor quantitative assessments of trends at the international scale, international trends should be assessed</w:t>
      </w:r>
      <w:r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</w:t>
      </w:r>
      <w:proofErr w:type="gramStart"/>
      <w:r w:rsidRPr="00A50CC4">
        <w:rPr>
          <w:sz w:val="22"/>
          <w:szCs w:val="22"/>
          <w:lang w:val="en-GB"/>
        </w:rPr>
        <w:t>on the basis of</w:t>
      </w:r>
      <w:proofErr w:type="gramEnd"/>
      <w:r w:rsidRPr="00A50CC4">
        <w:rPr>
          <w:sz w:val="22"/>
          <w:szCs w:val="22"/>
          <w:lang w:val="en-GB"/>
        </w:rPr>
        <w:t xml:space="preserve"> best expert knowledge and other available information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bearing in mind the scale of decline indicated in the definition above.</w:t>
      </w:r>
    </w:p>
    <w:p w14:paraId="04502D97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  <w:lang w:val="en-GB"/>
        </w:rPr>
      </w:pPr>
    </w:p>
    <w:p w14:paraId="12F1B8CC" w14:textId="77777777" w:rsidR="00CD0925" w:rsidRPr="00D64003" w:rsidRDefault="00CD0925" w:rsidP="00623D5A">
      <w:pPr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Where one biogeographical population shows different trends in different countries, if data allows, the rate of population change should be calculated </w:t>
      </w:r>
      <w:r w:rsidRPr="00D64003">
        <w:rPr>
          <w:sz w:val="22"/>
          <w:szCs w:val="22"/>
          <w:u w:val="single"/>
          <w:lang w:val="en-GB"/>
        </w:rPr>
        <w:t>using the national trends weighted by the geometric mean of the national population estimate</w:t>
      </w:r>
      <w:r w:rsidRPr="00D64003">
        <w:rPr>
          <w:sz w:val="22"/>
          <w:szCs w:val="22"/>
          <w:lang w:val="en-GB"/>
        </w:rPr>
        <w:t xml:space="preserve">. </w:t>
      </w:r>
    </w:p>
    <w:p w14:paraId="5E4B33C3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  <w:lang w:val="en-GB"/>
        </w:rPr>
      </w:pPr>
    </w:p>
    <w:p w14:paraId="060DAEE3" w14:textId="18E34657" w:rsidR="00CD0925" w:rsidRPr="00D64003" w:rsidRDefault="00CD0925" w:rsidP="00623D5A">
      <w:pPr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Trend information for biogeographical populations at international scales is not always available over </w:t>
      </w:r>
      <w:r w:rsidRPr="00D64003">
        <w:rPr>
          <w:sz w:val="22"/>
          <w:szCs w:val="22"/>
          <w:u w:val="single"/>
          <w:lang w:val="en-GB"/>
        </w:rPr>
        <w:t>three</w:t>
      </w:r>
      <w:r w:rsidRPr="00D64003">
        <w:rPr>
          <w:sz w:val="22"/>
          <w:szCs w:val="22"/>
          <w:lang w:val="en-GB"/>
        </w:rPr>
        <w:t xml:space="preserve"> generations. In such situations, equivalent rates of decline may be used over shorter periods, but not shorter than </w:t>
      </w:r>
      <w:r w:rsidRPr="00463221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 xml:space="preserve"> years, and based on a sustained decline at an annual rate that would produce </w:t>
      </w:r>
      <w:r w:rsidR="00EB4BFE">
        <w:rPr>
          <w:sz w:val="22"/>
          <w:szCs w:val="22"/>
          <w:lang w:val="en-GB"/>
        </w:rPr>
        <w:t xml:space="preserve">a </w:t>
      </w:r>
      <w:r w:rsidR="00E42DAF">
        <w:rPr>
          <w:sz w:val="22"/>
          <w:szCs w:val="22"/>
          <w:lang w:val="en-GB"/>
        </w:rPr>
        <w:br/>
      </w:r>
      <w:r w:rsidRPr="00D64003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>% decline over the three generations.</w:t>
      </w:r>
    </w:p>
    <w:p w14:paraId="55FAF548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  <w:lang w:val="en-GB"/>
        </w:rPr>
      </w:pPr>
    </w:p>
    <w:p w14:paraId="17A0BB8D" w14:textId="49CF16F1" w:rsidR="00CD0925" w:rsidRPr="006852A6" w:rsidRDefault="00CD0925" w:rsidP="00623D5A">
      <w:pPr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u w:val="single"/>
          <w:lang w:val="en-GB"/>
        </w:rPr>
      </w:pPr>
      <w:r w:rsidRPr="006852A6">
        <w:rPr>
          <w:sz w:val="22"/>
          <w:szCs w:val="22"/>
          <w:u w:val="single"/>
          <w:lang w:val="en-GB"/>
        </w:rPr>
        <w:t>The population should be classified as being in rapid short-term decline, if the short-term</w:t>
      </w:r>
      <w:r w:rsidRPr="006852A6">
        <w:rPr>
          <w:sz w:val="22"/>
          <w:szCs w:val="22"/>
          <w:u w:val="single"/>
          <w:lang w:val="en-GB"/>
        </w:rPr>
        <w:br w:type="textWrapping" w:clear="all"/>
        <w:t xml:space="preserve"> (i.e. 10 years) rate of population change is equivalent to </w:t>
      </w:r>
      <w:r w:rsidR="00EB4BFE">
        <w:rPr>
          <w:sz w:val="22"/>
          <w:szCs w:val="22"/>
          <w:u w:val="single"/>
          <w:lang w:val="en-GB"/>
        </w:rPr>
        <w:t xml:space="preserve">a </w:t>
      </w:r>
      <w:r w:rsidRPr="006852A6">
        <w:rPr>
          <w:sz w:val="22"/>
          <w:szCs w:val="22"/>
          <w:u w:val="single"/>
          <w:lang w:val="en-GB"/>
        </w:rPr>
        <w:t xml:space="preserve">30% decline over three generations. </w:t>
      </w:r>
    </w:p>
    <w:p w14:paraId="0C47D563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ind w:left="360"/>
        <w:jc w:val="both"/>
        <w:rPr>
          <w:sz w:val="16"/>
          <w:szCs w:val="16"/>
          <w:lang w:val="en-GB"/>
        </w:rPr>
      </w:pPr>
    </w:p>
    <w:p w14:paraId="3AD1DD2E" w14:textId="77777777" w:rsidR="00CD0925" w:rsidRPr="00A50CC4" w:rsidRDefault="00CD0925" w:rsidP="00623D5A">
      <w:pPr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 xml:space="preserve">The delimitation of decline rates resulting from natural fluctuations should be based on the best expert knowledge, including information on the availability of suitable habitats. </w:t>
      </w:r>
    </w:p>
    <w:p w14:paraId="201EF99E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  <w:lang w:val="en-GB"/>
        </w:rPr>
      </w:pPr>
    </w:p>
    <w:p w14:paraId="5F5AD5F3" w14:textId="490B2B64" w:rsidR="00CD0925" w:rsidRPr="00A50CC4" w:rsidRDefault="00CD0925" w:rsidP="00623D5A">
      <w:pPr>
        <w:autoSpaceDE w:val="0"/>
        <w:autoSpaceDN w:val="0"/>
        <w:adjustRightInd w:val="0"/>
        <w:spacing w:line="264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Care is needed in applying this definition to monitoring data uncritically. There may be instances where a change of a population’s range or distribution results in a decrease in numbers of a population counted, </w:t>
      </w:r>
      <w:proofErr w:type="gramStart"/>
      <w:r w:rsidRPr="00A50CC4">
        <w:rPr>
          <w:sz w:val="22"/>
          <w:szCs w:val="22"/>
          <w:lang w:val="en-GB"/>
        </w:rPr>
        <w:t>as a consequence of</w:t>
      </w:r>
      <w:proofErr w:type="gramEnd"/>
      <w:r w:rsidRPr="00A50CC4">
        <w:rPr>
          <w:sz w:val="22"/>
          <w:szCs w:val="22"/>
          <w:lang w:val="en-GB"/>
        </w:rPr>
        <w:t xml:space="preserve"> a greater proportion of the population now occurring in areas where there is less monitoring. Lower thresholds may be appropriate for </w:t>
      </w:r>
      <w:r w:rsidR="00EB4BFE">
        <w:rPr>
          <w:sz w:val="22"/>
          <w:szCs w:val="22"/>
          <w:lang w:val="en-GB"/>
        </w:rPr>
        <w:t xml:space="preserve">a </w:t>
      </w:r>
      <w:r w:rsidRPr="00A50CC4">
        <w:rPr>
          <w:sz w:val="22"/>
          <w:szCs w:val="22"/>
          <w:lang w:val="en-GB"/>
        </w:rPr>
        <w:t>decreasing range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where it is accompanied by population decrease. Raw count data will always need expert interpretation.</w:t>
      </w:r>
    </w:p>
    <w:p w14:paraId="3ACEA3EB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  <w:lang w:val="en-GB"/>
        </w:rPr>
      </w:pPr>
    </w:p>
    <w:p w14:paraId="247343A4" w14:textId="620E454E" w:rsidR="00CD0925" w:rsidRPr="00A50CC4" w:rsidRDefault="00CD0925" w:rsidP="00623D5A">
      <w:pPr>
        <w:autoSpaceDE w:val="0"/>
        <w:autoSpaceDN w:val="0"/>
        <w:adjustRightInd w:val="0"/>
        <w:spacing w:line="264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The geometric mean of population size ranges should generally be taken as the basis of population trend calculations. Following IUCN Red List criteria definitions, generation length </w:t>
      </w:r>
      <w:r w:rsidRPr="008D6144">
        <w:rPr>
          <w:sz w:val="22"/>
          <w:szCs w:val="22"/>
          <w:u w:val="single"/>
          <w:lang w:val="en-GB"/>
        </w:rPr>
        <w:t xml:space="preserve">is the average age of parents of the current cohort (i.e. </w:t>
      </w:r>
      <w:r w:rsidR="00463221" w:rsidRPr="008D6144">
        <w:rPr>
          <w:sz w:val="22"/>
          <w:szCs w:val="22"/>
          <w:u w:val="single"/>
          <w:lang w:val="en-GB"/>
        </w:rPr>
        <w:t>new-born</w:t>
      </w:r>
      <w:r w:rsidRPr="008D6144">
        <w:rPr>
          <w:sz w:val="22"/>
          <w:szCs w:val="22"/>
          <w:u w:val="single"/>
          <w:lang w:val="en-GB"/>
        </w:rPr>
        <w:t xml:space="preserve"> individuals in the population)</w:t>
      </w:r>
      <w:r w:rsidRPr="00A50CC4">
        <w:rPr>
          <w:sz w:val="22"/>
          <w:szCs w:val="22"/>
          <w:lang w:val="en-GB"/>
        </w:rPr>
        <w:t xml:space="preserve">. Each significant </w:t>
      </w:r>
      <w:bookmarkStart w:id="1" w:name="_GoBack"/>
      <w:bookmarkEnd w:id="1"/>
      <w:r w:rsidR="00E42DAF">
        <w:rPr>
          <w:sz w:val="22"/>
          <w:szCs w:val="22"/>
          <w:lang w:val="en-GB"/>
        </w:rPr>
        <w:br/>
      </w:r>
      <w:r w:rsidRPr="00A50CC4">
        <w:rPr>
          <w:sz w:val="22"/>
          <w:szCs w:val="22"/>
          <w:lang w:val="en-GB"/>
        </w:rPr>
        <w:t>long-term decline revealed by the above-mentioned calculations will be examined, analysed and approved by the Technical Committee.</w:t>
      </w:r>
    </w:p>
    <w:p w14:paraId="74F6B92D" w14:textId="77777777" w:rsidR="00CD0925" w:rsidRPr="00615DF8" w:rsidRDefault="00CD0925" w:rsidP="00623D5A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  <w:lang w:val="en-GB"/>
        </w:rPr>
      </w:pPr>
    </w:p>
    <w:p w14:paraId="5CC33EB6" w14:textId="3E1816E0" w:rsidR="00E14E9C" w:rsidRPr="00CD0925" w:rsidRDefault="00CD0925" w:rsidP="00623D5A">
      <w:pPr>
        <w:autoSpaceDE w:val="0"/>
        <w:autoSpaceDN w:val="0"/>
        <w:adjustRightInd w:val="0"/>
        <w:spacing w:line="264" w:lineRule="auto"/>
        <w:ind w:left="720" w:hanging="360"/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8. </w:t>
      </w:r>
      <w:r>
        <w:rPr>
          <w:sz w:val="22"/>
          <w:szCs w:val="22"/>
          <w:lang w:val="en-GB"/>
        </w:rPr>
        <w:tab/>
      </w:r>
      <w:r w:rsidRPr="00A50CC4">
        <w:rPr>
          <w:sz w:val="22"/>
          <w:szCs w:val="22"/>
          <w:lang w:val="en-GB"/>
        </w:rPr>
        <w:t xml:space="preserve">Where the size of a population is known to be low (&lt;100,000), expert judgments as to trend status should be undertaken on a precautionary basis. This is especially important given recent findings of a low genetic variation of </w:t>
      </w:r>
      <w:proofErr w:type="gramStart"/>
      <w:r w:rsidRPr="00A50CC4">
        <w:rPr>
          <w:sz w:val="22"/>
          <w:szCs w:val="22"/>
          <w:lang w:val="en-GB"/>
        </w:rPr>
        <w:t>a number of</w:t>
      </w:r>
      <w:proofErr w:type="gramEnd"/>
      <w:r w:rsidRPr="00A50CC4">
        <w:rPr>
          <w:sz w:val="22"/>
          <w:szCs w:val="22"/>
          <w:lang w:val="en-GB"/>
        </w:rPr>
        <w:t xml:space="preserve"> </w:t>
      </w:r>
      <w:proofErr w:type="spellStart"/>
      <w:r w:rsidRPr="00A50CC4">
        <w:rPr>
          <w:sz w:val="22"/>
          <w:szCs w:val="22"/>
          <w:lang w:val="en-GB"/>
        </w:rPr>
        <w:t>waterbird</w:t>
      </w:r>
      <w:proofErr w:type="spellEnd"/>
      <w:r w:rsidRPr="00A50CC4">
        <w:rPr>
          <w:sz w:val="22"/>
          <w:szCs w:val="22"/>
          <w:lang w:val="en-GB"/>
        </w:rPr>
        <w:t xml:space="preserve"> populations - the implication being that the effective population size is much (possibly by a factor of 10) smaller than the observed population size. In these cases, a population may become unviable in the long-term (owing to vulnerability to changing environmental events) at a higher population size than previously thought.</w:t>
      </w:r>
    </w:p>
    <w:sectPr w:rsidR="00E14E9C" w:rsidRPr="00CD0925" w:rsidSect="00623D5A">
      <w:footerReference w:type="default" r:id="rId10"/>
      <w:headerReference w:type="first" r:id="rId11"/>
      <w:footerReference w:type="first" r:id="rId12"/>
      <w:pgSz w:w="11907" w:h="16840" w:code="9"/>
      <w:pgMar w:top="1021" w:right="1134" w:bottom="851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92D6" w14:textId="77777777" w:rsidR="00407F43" w:rsidRDefault="00407F43">
      <w:r>
        <w:separator/>
      </w:r>
    </w:p>
  </w:endnote>
  <w:endnote w:type="continuationSeparator" w:id="0">
    <w:p w14:paraId="4573851F" w14:textId="77777777" w:rsidR="00407F43" w:rsidRDefault="004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376031"/>
      <w:docPartObj>
        <w:docPartGallery w:val="Page Numbers (Bottom of Page)"/>
        <w:docPartUnique/>
      </w:docPartObj>
    </w:sdtPr>
    <w:sdtEndPr/>
    <w:sdtContent>
      <w:p w14:paraId="6EBA423D" w14:textId="693F8C84" w:rsidR="00623D5A" w:rsidRDefault="00623D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737F815" w14:textId="7DBA0541" w:rsidR="00623D5A" w:rsidRDefault="00623D5A" w:rsidP="00623D5A">
    <w:pPr>
      <w:pStyle w:val="Footer"/>
      <w:tabs>
        <w:tab w:val="clear" w:pos="4320"/>
        <w:tab w:val="clear" w:pos="8640"/>
        <w:tab w:val="left" w:pos="544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86659"/>
      <w:docPartObj>
        <w:docPartGallery w:val="Page Numbers (Bottom of Page)"/>
        <w:docPartUnique/>
      </w:docPartObj>
    </w:sdtPr>
    <w:sdtEndPr/>
    <w:sdtContent>
      <w:p w14:paraId="714AFA4B" w14:textId="5CA78BC6" w:rsidR="00623D5A" w:rsidRDefault="00623D5A" w:rsidP="00623D5A">
        <w:pPr>
          <w:pStyle w:val="Footer"/>
          <w:jc w:val="center"/>
        </w:pPr>
        <w:r w:rsidRPr="00623D5A">
          <w:rPr>
            <w:sz w:val="20"/>
            <w:szCs w:val="20"/>
          </w:rPr>
          <w:fldChar w:fldCharType="begin"/>
        </w:r>
        <w:r w:rsidRPr="00623D5A">
          <w:rPr>
            <w:sz w:val="20"/>
            <w:szCs w:val="20"/>
          </w:rPr>
          <w:instrText>PAGE   \* MERGEFORMAT</w:instrText>
        </w:r>
        <w:r w:rsidRPr="00623D5A">
          <w:rPr>
            <w:sz w:val="20"/>
            <w:szCs w:val="20"/>
          </w:rPr>
          <w:fldChar w:fldCharType="separate"/>
        </w:r>
        <w:r w:rsidRPr="00623D5A">
          <w:rPr>
            <w:sz w:val="20"/>
            <w:szCs w:val="20"/>
            <w:lang w:val="de-DE"/>
          </w:rPr>
          <w:t>2</w:t>
        </w:r>
        <w:r w:rsidRPr="00623D5A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135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8F58C12" w14:textId="27016311" w:rsidR="007B77D9" w:rsidRPr="007B77D9" w:rsidRDefault="007B77D9">
        <w:pPr>
          <w:pStyle w:val="Footer"/>
          <w:jc w:val="center"/>
          <w:rPr>
            <w:sz w:val="20"/>
            <w:szCs w:val="20"/>
          </w:rPr>
        </w:pPr>
        <w:r w:rsidRPr="007B77D9">
          <w:rPr>
            <w:sz w:val="20"/>
            <w:szCs w:val="20"/>
          </w:rPr>
          <w:fldChar w:fldCharType="begin"/>
        </w:r>
        <w:r w:rsidRPr="007B77D9">
          <w:rPr>
            <w:sz w:val="20"/>
            <w:szCs w:val="20"/>
          </w:rPr>
          <w:instrText xml:space="preserve"> PAGE   \* MERGEFORMAT </w:instrText>
        </w:r>
        <w:r w:rsidRPr="007B77D9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2</w:t>
        </w:r>
        <w:r w:rsidRPr="007B77D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7529" w14:textId="77777777" w:rsidR="00407F43" w:rsidRDefault="00407F43">
      <w:r>
        <w:separator/>
      </w:r>
    </w:p>
  </w:footnote>
  <w:footnote w:type="continuationSeparator" w:id="0">
    <w:p w14:paraId="5E696EDD" w14:textId="77777777" w:rsidR="00407F43" w:rsidRDefault="0040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F047E8" w:rsidRPr="00F94759" w14:paraId="73B287B4" w14:textId="77777777" w:rsidTr="00380445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9E413F" w14:textId="77777777" w:rsidR="00F047E8" w:rsidRPr="00F94759" w:rsidRDefault="00F047E8" w:rsidP="00F047E8">
          <w:pPr>
            <w:suppressAutoHyphens/>
            <w:autoSpaceDN w:val="0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AE4A5A" wp14:editId="52673FE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39E9C1" w14:textId="77777777" w:rsidR="00F047E8" w:rsidRPr="00F047E8" w:rsidRDefault="00F047E8" w:rsidP="00F047E8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  <w:sz w:val="22"/>
              <w:szCs w:val="22"/>
            </w:rPr>
          </w:pPr>
          <w:r w:rsidRPr="00F047E8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18C938C1" w14:textId="77777777" w:rsidR="00F047E8" w:rsidRPr="00F94759" w:rsidRDefault="00F047E8" w:rsidP="00F047E8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F047E8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92FAF5" w14:textId="77777777" w:rsidR="00F047E8" w:rsidRPr="00F94759" w:rsidRDefault="00F047E8" w:rsidP="00F047E8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E0A64D7" wp14:editId="4FCB7E98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047E8" w:rsidRPr="00F94759" w14:paraId="52DD5757" w14:textId="77777777" w:rsidTr="00380445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0D0A97" w14:textId="77777777" w:rsidR="00F047E8" w:rsidRPr="00F94759" w:rsidRDefault="00F047E8" w:rsidP="00F047E8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b/>
              <w:bCs/>
              <w:sz w:val="26"/>
              <w:szCs w:val="26"/>
            </w:rPr>
            <w:t>7</w:t>
          </w:r>
          <w:r w:rsidRPr="00F94759">
            <w:rPr>
              <w:b/>
              <w:bCs/>
              <w:sz w:val="26"/>
              <w:szCs w:val="26"/>
              <w:vertAlign w:val="superscript"/>
            </w:rPr>
            <w:t>th</w:t>
          </w:r>
          <w:r w:rsidRPr="00F94759">
            <w:rPr>
              <w:b/>
              <w:bCs/>
              <w:sz w:val="26"/>
              <w:szCs w:val="26"/>
            </w:rPr>
            <w:t xml:space="preserve"> </w:t>
          </w:r>
          <w:r w:rsidRPr="00F94759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465C029F" w14:textId="77777777" w:rsidR="00F047E8" w:rsidRPr="00F94759" w:rsidRDefault="00F047E8" w:rsidP="00F047E8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iCs/>
            </w:rPr>
            <w:t>4-8 December 2018, Durban, South Africa</w:t>
          </w:r>
        </w:p>
      </w:tc>
    </w:tr>
    <w:tr w:rsidR="00F047E8" w:rsidRPr="00F94759" w14:paraId="2F5DD484" w14:textId="77777777" w:rsidTr="00380445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6C8CAF" w14:textId="77777777" w:rsidR="00F047E8" w:rsidRPr="00F94759" w:rsidRDefault="00F047E8" w:rsidP="00F047E8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lang w:val="en-GB"/>
            </w:rPr>
            <w:t>“</w:t>
          </w:r>
          <w:r w:rsidRPr="00F94759">
            <w:rPr>
              <w:i/>
            </w:rPr>
            <w:t>Beyond 2020: Shaping flyway conservation for the future</w:t>
          </w:r>
          <w:r w:rsidRPr="00F94759">
            <w:rPr>
              <w:i/>
              <w:lang w:val="en-GB"/>
            </w:rPr>
            <w:t>”</w:t>
          </w:r>
        </w:p>
      </w:tc>
    </w:tr>
  </w:tbl>
  <w:p w14:paraId="602AB849" w14:textId="28D757E9" w:rsidR="00CD0925" w:rsidRPr="00F047E8" w:rsidRDefault="00F047E8" w:rsidP="00F047E8">
    <w:pPr>
      <w:pStyle w:val="Header"/>
      <w:tabs>
        <w:tab w:val="left" w:pos="360"/>
      </w:tabs>
      <w:rPr>
        <w:i/>
      </w:rPr>
    </w:pP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94A9" w14:textId="77777777" w:rsidR="000E5469" w:rsidRDefault="000E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173"/>
    <w:multiLevelType w:val="hybridMultilevel"/>
    <w:tmpl w:val="3488C328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0"/>
    <w:multiLevelType w:val="hybridMultilevel"/>
    <w:tmpl w:val="3F4EF562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16E7B"/>
    <w:rsid w:val="0005480D"/>
    <w:rsid w:val="00060494"/>
    <w:rsid w:val="0006129C"/>
    <w:rsid w:val="00062D45"/>
    <w:rsid w:val="000977BB"/>
    <w:rsid w:val="000A5A47"/>
    <w:rsid w:val="000C489B"/>
    <w:rsid w:val="000D4F56"/>
    <w:rsid w:val="000E153E"/>
    <w:rsid w:val="000E5469"/>
    <w:rsid w:val="000F2424"/>
    <w:rsid w:val="001024AC"/>
    <w:rsid w:val="00104B6D"/>
    <w:rsid w:val="00104C13"/>
    <w:rsid w:val="0010660A"/>
    <w:rsid w:val="00111D1B"/>
    <w:rsid w:val="0014449A"/>
    <w:rsid w:val="00145E99"/>
    <w:rsid w:val="00147B09"/>
    <w:rsid w:val="001524B5"/>
    <w:rsid w:val="00163DA9"/>
    <w:rsid w:val="00167D59"/>
    <w:rsid w:val="00171B8C"/>
    <w:rsid w:val="00182DCC"/>
    <w:rsid w:val="00186687"/>
    <w:rsid w:val="00196E67"/>
    <w:rsid w:val="001A00B6"/>
    <w:rsid w:val="001B186D"/>
    <w:rsid w:val="001D13CD"/>
    <w:rsid w:val="001D21F7"/>
    <w:rsid w:val="001E5433"/>
    <w:rsid w:val="001E72CB"/>
    <w:rsid w:val="001F1D9A"/>
    <w:rsid w:val="00207325"/>
    <w:rsid w:val="00216E4A"/>
    <w:rsid w:val="002345D0"/>
    <w:rsid w:val="002364D1"/>
    <w:rsid w:val="00286103"/>
    <w:rsid w:val="002A32DC"/>
    <w:rsid w:val="002A3D00"/>
    <w:rsid w:val="002C522F"/>
    <w:rsid w:val="002C5768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32A53"/>
    <w:rsid w:val="003412DF"/>
    <w:rsid w:val="00346E7F"/>
    <w:rsid w:val="00353767"/>
    <w:rsid w:val="00353994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3F09F2"/>
    <w:rsid w:val="003F2023"/>
    <w:rsid w:val="003F37F6"/>
    <w:rsid w:val="00402787"/>
    <w:rsid w:val="00407D1C"/>
    <w:rsid w:val="00407F43"/>
    <w:rsid w:val="004313BF"/>
    <w:rsid w:val="004370A6"/>
    <w:rsid w:val="00440D5E"/>
    <w:rsid w:val="004433DE"/>
    <w:rsid w:val="004623B2"/>
    <w:rsid w:val="00463221"/>
    <w:rsid w:val="0048183F"/>
    <w:rsid w:val="00493798"/>
    <w:rsid w:val="00497689"/>
    <w:rsid w:val="004B57A6"/>
    <w:rsid w:val="004B75C0"/>
    <w:rsid w:val="004F4E6A"/>
    <w:rsid w:val="004F71B1"/>
    <w:rsid w:val="00517C62"/>
    <w:rsid w:val="00523D53"/>
    <w:rsid w:val="005426DD"/>
    <w:rsid w:val="005540F3"/>
    <w:rsid w:val="00567628"/>
    <w:rsid w:val="00575367"/>
    <w:rsid w:val="00592A8C"/>
    <w:rsid w:val="005970C7"/>
    <w:rsid w:val="005B3A7C"/>
    <w:rsid w:val="005B5360"/>
    <w:rsid w:val="005C7F7C"/>
    <w:rsid w:val="005D53DF"/>
    <w:rsid w:val="005D54ED"/>
    <w:rsid w:val="005E62BD"/>
    <w:rsid w:val="005F1012"/>
    <w:rsid w:val="005F11C9"/>
    <w:rsid w:val="006075EE"/>
    <w:rsid w:val="006122CD"/>
    <w:rsid w:val="00615DF8"/>
    <w:rsid w:val="00623D5A"/>
    <w:rsid w:val="006308A2"/>
    <w:rsid w:val="0065068D"/>
    <w:rsid w:val="00652900"/>
    <w:rsid w:val="00657A1D"/>
    <w:rsid w:val="006852A6"/>
    <w:rsid w:val="0069010A"/>
    <w:rsid w:val="006A4A6F"/>
    <w:rsid w:val="006B6B98"/>
    <w:rsid w:val="006C0E5D"/>
    <w:rsid w:val="0070257F"/>
    <w:rsid w:val="00702AA0"/>
    <w:rsid w:val="00703607"/>
    <w:rsid w:val="00703647"/>
    <w:rsid w:val="007040C0"/>
    <w:rsid w:val="0070448A"/>
    <w:rsid w:val="00704B4A"/>
    <w:rsid w:val="007372B1"/>
    <w:rsid w:val="0074524A"/>
    <w:rsid w:val="00765D71"/>
    <w:rsid w:val="00771007"/>
    <w:rsid w:val="00786AF1"/>
    <w:rsid w:val="0079698D"/>
    <w:rsid w:val="00796B72"/>
    <w:rsid w:val="007B115F"/>
    <w:rsid w:val="007B77D9"/>
    <w:rsid w:val="007C0034"/>
    <w:rsid w:val="007C5C82"/>
    <w:rsid w:val="007E054A"/>
    <w:rsid w:val="007E1121"/>
    <w:rsid w:val="007E5503"/>
    <w:rsid w:val="007F17F6"/>
    <w:rsid w:val="007F546D"/>
    <w:rsid w:val="007F5A13"/>
    <w:rsid w:val="007F70B4"/>
    <w:rsid w:val="008115B4"/>
    <w:rsid w:val="0082215E"/>
    <w:rsid w:val="008222B0"/>
    <w:rsid w:val="008235E1"/>
    <w:rsid w:val="008241FA"/>
    <w:rsid w:val="0084003C"/>
    <w:rsid w:val="00864B13"/>
    <w:rsid w:val="008650A4"/>
    <w:rsid w:val="0087707B"/>
    <w:rsid w:val="008851A9"/>
    <w:rsid w:val="008B2266"/>
    <w:rsid w:val="008B2976"/>
    <w:rsid w:val="008B3285"/>
    <w:rsid w:val="008D305B"/>
    <w:rsid w:val="008F0DEA"/>
    <w:rsid w:val="008F4E75"/>
    <w:rsid w:val="00903E6E"/>
    <w:rsid w:val="009164F2"/>
    <w:rsid w:val="0092107F"/>
    <w:rsid w:val="00942798"/>
    <w:rsid w:val="00943B2D"/>
    <w:rsid w:val="00954FD8"/>
    <w:rsid w:val="00960705"/>
    <w:rsid w:val="0096757D"/>
    <w:rsid w:val="0096780E"/>
    <w:rsid w:val="00990AB9"/>
    <w:rsid w:val="00991A11"/>
    <w:rsid w:val="009A5019"/>
    <w:rsid w:val="009E320C"/>
    <w:rsid w:val="009F6DE5"/>
    <w:rsid w:val="00A13B54"/>
    <w:rsid w:val="00A26BB0"/>
    <w:rsid w:val="00A36A12"/>
    <w:rsid w:val="00A41B26"/>
    <w:rsid w:val="00A43C8F"/>
    <w:rsid w:val="00A46527"/>
    <w:rsid w:val="00A61241"/>
    <w:rsid w:val="00A84DF2"/>
    <w:rsid w:val="00A85244"/>
    <w:rsid w:val="00A86EF9"/>
    <w:rsid w:val="00AC55DC"/>
    <w:rsid w:val="00AD596C"/>
    <w:rsid w:val="00B04408"/>
    <w:rsid w:val="00B15628"/>
    <w:rsid w:val="00B30BE0"/>
    <w:rsid w:val="00B37692"/>
    <w:rsid w:val="00B37E95"/>
    <w:rsid w:val="00B56DEB"/>
    <w:rsid w:val="00B607DF"/>
    <w:rsid w:val="00B61FA1"/>
    <w:rsid w:val="00B71F68"/>
    <w:rsid w:val="00B9739E"/>
    <w:rsid w:val="00BA226B"/>
    <w:rsid w:val="00BA790F"/>
    <w:rsid w:val="00BB60C5"/>
    <w:rsid w:val="00BB6F90"/>
    <w:rsid w:val="00BB7DD5"/>
    <w:rsid w:val="00BD17AE"/>
    <w:rsid w:val="00C00DA1"/>
    <w:rsid w:val="00C10107"/>
    <w:rsid w:val="00C305FD"/>
    <w:rsid w:val="00C31A30"/>
    <w:rsid w:val="00C37179"/>
    <w:rsid w:val="00C645F5"/>
    <w:rsid w:val="00C72EF1"/>
    <w:rsid w:val="00C814F7"/>
    <w:rsid w:val="00C83EC9"/>
    <w:rsid w:val="00C851CC"/>
    <w:rsid w:val="00CA10E0"/>
    <w:rsid w:val="00CB1CAA"/>
    <w:rsid w:val="00CC3F9D"/>
    <w:rsid w:val="00CC509F"/>
    <w:rsid w:val="00CD0925"/>
    <w:rsid w:val="00CF5F07"/>
    <w:rsid w:val="00CF739E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DF6ADB"/>
    <w:rsid w:val="00E02643"/>
    <w:rsid w:val="00E043A4"/>
    <w:rsid w:val="00E14E9C"/>
    <w:rsid w:val="00E30B78"/>
    <w:rsid w:val="00E42DAF"/>
    <w:rsid w:val="00E55F1B"/>
    <w:rsid w:val="00E719DA"/>
    <w:rsid w:val="00E762B8"/>
    <w:rsid w:val="00E965A8"/>
    <w:rsid w:val="00EA1BA4"/>
    <w:rsid w:val="00EB38A4"/>
    <w:rsid w:val="00EB4BFE"/>
    <w:rsid w:val="00EE02FE"/>
    <w:rsid w:val="00F047E8"/>
    <w:rsid w:val="00F30ED7"/>
    <w:rsid w:val="00F55236"/>
    <w:rsid w:val="00F627E9"/>
    <w:rsid w:val="00F6704C"/>
    <w:rsid w:val="00F81B26"/>
    <w:rsid w:val="00F841F9"/>
    <w:rsid w:val="00F85886"/>
    <w:rsid w:val="00FA0517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C33EA3"/>
  <w15:docId w15:val="{DABE564F-1FE7-4B9B-8A71-CF7A559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09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71B8C"/>
    <w:pPr>
      <w:autoSpaceDN w:val="0"/>
      <w:jc w:val="both"/>
      <w:textAlignment w:val="baseline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1B8C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CD0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CD09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D09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D0925"/>
    <w:pPr>
      <w:spacing w:before="100" w:beforeAutospacing="1" w:after="100" w:afterAutospacing="1"/>
    </w:pPr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163D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D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DA9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5D53DF"/>
  </w:style>
  <w:style w:type="character" w:customStyle="1" w:styleId="HeaderChar">
    <w:name w:val="Header Char"/>
    <w:basedOn w:val="DefaultParagraphFont"/>
    <w:link w:val="Header"/>
    <w:uiPriority w:val="99"/>
    <w:rsid w:val="00F04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D4AC-7720-4F9C-A3E8-773AB1F9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833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aewa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Dunia Sforzin (UNEP/AEWA Secretariat)</dc:creator>
  <cp:lastModifiedBy>Jeannine Dicken</cp:lastModifiedBy>
  <cp:revision>8</cp:revision>
  <cp:lastPrinted>2018-12-17T13:59:00Z</cp:lastPrinted>
  <dcterms:created xsi:type="dcterms:W3CDTF">2018-12-17T13:34:00Z</dcterms:created>
  <dcterms:modified xsi:type="dcterms:W3CDTF">2018-12-19T13:31:00Z</dcterms:modified>
</cp:coreProperties>
</file>