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B48" w:rsidRDefault="00CD1B48" w:rsidP="00FF565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F5653" w:rsidRPr="00605B50" w:rsidRDefault="00316B29" w:rsidP="00316B29">
      <w:pPr>
        <w:spacing w:line="2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16B29">
        <w:rPr>
          <w:rFonts w:ascii="Times New Roman" w:hAnsi="Times New Roman" w:cs="Times New Roman"/>
          <w:b/>
          <w:sz w:val="24"/>
          <w:szCs w:val="24"/>
          <w:lang w:val="fr-FR"/>
        </w:rPr>
        <w:t>AVANT-PROJET DE PROPOSITION DE BUDGET 2019-2021</w:t>
      </w:r>
      <w:r w:rsidR="00D65B26" w:rsidRPr="00605B5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FF5653" w:rsidRPr="00605B50" w:rsidRDefault="00316B29" w:rsidP="00316B29">
      <w:pPr>
        <w:spacing w:line="2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16B29">
        <w:rPr>
          <w:rFonts w:ascii="Times New Roman" w:hAnsi="Times New Roman" w:cs="Times New Roman"/>
          <w:b/>
          <w:sz w:val="24"/>
          <w:szCs w:val="24"/>
          <w:lang w:val="fr-FR"/>
        </w:rPr>
        <w:t>Introduction</w:t>
      </w:r>
    </w:p>
    <w:p w:rsidR="00FF5653" w:rsidRPr="00605B50" w:rsidRDefault="00316B29" w:rsidP="00316B29">
      <w:pPr>
        <w:spacing w:line="280" w:lineRule="auto"/>
        <w:jc w:val="both"/>
        <w:rPr>
          <w:rFonts w:ascii="Times New Roman" w:hAnsi="Times New Roman" w:cs="Times New Roman"/>
          <w:lang w:val="fr-FR"/>
        </w:rPr>
      </w:pPr>
      <w:r w:rsidRPr="00316B29">
        <w:rPr>
          <w:rFonts w:ascii="Times New Roman" w:hAnsi="Times New Roman" w:cs="Times New Roman"/>
          <w:lang w:val="fr-FR"/>
        </w:rPr>
        <w:t>Conformément au paragraphe 8 (c) de l</w:t>
      </w:r>
      <w:r w:rsidR="00B06B07">
        <w:rPr>
          <w:rFonts w:ascii="Times New Roman" w:hAnsi="Times New Roman" w:cs="Times New Roman"/>
          <w:lang w:val="fr-FR"/>
        </w:rPr>
        <w:t>’</w:t>
      </w:r>
      <w:r w:rsidRPr="00316B29">
        <w:rPr>
          <w:rFonts w:ascii="Times New Roman" w:hAnsi="Times New Roman" w:cs="Times New Roman"/>
          <w:lang w:val="fr-FR"/>
        </w:rPr>
        <w:t>Article VI de l</w:t>
      </w:r>
      <w:r w:rsidR="00B06B07">
        <w:rPr>
          <w:rFonts w:ascii="Times New Roman" w:hAnsi="Times New Roman" w:cs="Times New Roman"/>
          <w:lang w:val="fr-FR"/>
        </w:rPr>
        <w:t>’</w:t>
      </w:r>
      <w:r w:rsidRPr="00316B29">
        <w:rPr>
          <w:rFonts w:ascii="Times New Roman" w:hAnsi="Times New Roman" w:cs="Times New Roman"/>
          <w:lang w:val="fr-FR"/>
        </w:rPr>
        <w:t>Accord, la Réunion des Parties, à chacune de ses sessions ordinaires, adopte un budget et examine toute question relative aux dispositions financières de l</w:t>
      </w:r>
      <w:r w:rsidR="00B06B07">
        <w:rPr>
          <w:rFonts w:ascii="Times New Roman" w:hAnsi="Times New Roman" w:cs="Times New Roman"/>
          <w:lang w:val="fr-FR"/>
        </w:rPr>
        <w:t>’</w:t>
      </w:r>
      <w:r w:rsidRPr="00316B29">
        <w:rPr>
          <w:rFonts w:ascii="Times New Roman" w:hAnsi="Times New Roman" w:cs="Times New Roman"/>
          <w:lang w:val="fr-FR"/>
        </w:rPr>
        <w:t>Accord.</w:t>
      </w:r>
    </w:p>
    <w:p w:rsidR="00173FF4" w:rsidRPr="00605B50" w:rsidRDefault="00316B29" w:rsidP="00F32F1A">
      <w:pPr>
        <w:spacing w:line="280" w:lineRule="auto"/>
        <w:jc w:val="both"/>
        <w:rPr>
          <w:rFonts w:ascii="Times New Roman" w:hAnsi="Times New Roman" w:cs="Times New Roman"/>
          <w:lang w:val="fr-FR"/>
        </w:rPr>
      </w:pPr>
      <w:r w:rsidRPr="00F32F1A">
        <w:rPr>
          <w:rFonts w:ascii="Times New Roman" w:hAnsi="Times New Roman" w:cs="Times New Roman"/>
          <w:lang w:val="fr-FR"/>
        </w:rPr>
        <w:t>Aux termes de la résolution 6.18, le Secrétariat de l</w:t>
      </w:r>
      <w:r w:rsidR="00B06B07">
        <w:rPr>
          <w:rFonts w:ascii="Times New Roman" w:hAnsi="Times New Roman" w:cs="Times New Roman"/>
          <w:lang w:val="fr-FR"/>
        </w:rPr>
        <w:t>’</w:t>
      </w:r>
      <w:r w:rsidRPr="00F32F1A">
        <w:rPr>
          <w:rFonts w:ascii="Times New Roman" w:hAnsi="Times New Roman" w:cs="Times New Roman"/>
          <w:lang w:val="fr-FR"/>
        </w:rPr>
        <w:t>Accord a été chargé d</w:t>
      </w:r>
      <w:r w:rsidR="00B06B07">
        <w:rPr>
          <w:rFonts w:ascii="Times New Roman" w:hAnsi="Times New Roman" w:cs="Times New Roman"/>
          <w:lang w:val="fr-FR"/>
        </w:rPr>
        <w:t>’</w:t>
      </w:r>
      <w:r w:rsidRPr="00F32F1A">
        <w:rPr>
          <w:rFonts w:ascii="Times New Roman" w:hAnsi="Times New Roman" w:cs="Times New Roman"/>
          <w:lang w:val="fr-FR"/>
        </w:rPr>
        <w:t xml:space="preserve">élaborer une série de scénarios budgétaires </w:t>
      </w:r>
      <w:r w:rsidR="009B5531">
        <w:rPr>
          <w:rFonts w:ascii="Times New Roman" w:hAnsi="Times New Roman" w:cs="Times New Roman"/>
          <w:lang w:val="fr-FR"/>
        </w:rPr>
        <w:t>destinés à être</w:t>
      </w:r>
      <w:r w:rsidRPr="00F32F1A">
        <w:rPr>
          <w:rFonts w:ascii="Times New Roman" w:hAnsi="Times New Roman" w:cs="Times New Roman"/>
          <w:lang w:val="fr-FR"/>
        </w:rPr>
        <w:t xml:space="preserve"> examinés plus avant par les Parties lors de la 7</w:t>
      </w:r>
      <w:r w:rsidRPr="00F32F1A">
        <w:rPr>
          <w:rFonts w:ascii="Times New Roman" w:hAnsi="Times New Roman" w:cs="Times New Roman"/>
          <w:vertAlign w:val="superscript"/>
          <w:lang w:val="fr-FR"/>
        </w:rPr>
        <w:t>ème</w:t>
      </w:r>
      <w:r w:rsidRPr="00F32F1A">
        <w:rPr>
          <w:rFonts w:ascii="Times New Roman" w:hAnsi="Times New Roman" w:cs="Times New Roman"/>
          <w:lang w:val="fr-FR"/>
        </w:rPr>
        <w:t xml:space="preserve"> session de la Réunion des Parties et de décrire les différences entre le barème des contributions des Nations Unies et celui utilisé pour déterminer les contributions versées à l</w:t>
      </w:r>
      <w:r w:rsidR="00B06B07">
        <w:rPr>
          <w:rFonts w:ascii="Times New Roman" w:hAnsi="Times New Roman" w:cs="Times New Roman"/>
          <w:lang w:val="fr-FR"/>
        </w:rPr>
        <w:t>’</w:t>
      </w:r>
      <w:r w:rsidRPr="00F32F1A">
        <w:rPr>
          <w:rFonts w:ascii="Times New Roman" w:hAnsi="Times New Roman" w:cs="Times New Roman"/>
          <w:lang w:val="fr-FR"/>
        </w:rPr>
        <w:t>AEWA</w:t>
      </w:r>
      <w:r w:rsidR="00F32F1A" w:rsidRPr="00F32F1A">
        <w:rPr>
          <w:rFonts w:ascii="Times New Roman" w:hAnsi="Times New Roman" w:cs="Times New Roman"/>
          <w:lang w:val="fr-FR"/>
        </w:rPr>
        <w:t>.</w:t>
      </w:r>
    </w:p>
    <w:p w:rsidR="00D8137C" w:rsidRPr="00605B50" w:rsidRDefault="00F32F1A" w:rsidP="00F32F1A">
      <w:pPr>
        <w:spacing w:after="0" w:line="280" w:lineRule="auto"/>
        <w:jc w:val="both"/>
        <w:rPr>
          <w:rFonts w:ascii="Times New Roman" w:hAnsi="Times New Roman" w:cs="Times New Roman"/>
          <w:lang w:val="fr-FR"/>
        </w:rPr>
      </w:pPr>
      <w:r w:rsidRPr="00F32F1A">
        <w:rPr>
          <w:rFonts w:ascii="Times New Roman" w:hAnsi="Times New Roman" w:cs="Times New Roman"/>
          <w:lang w:val="fr-FR"/>
        </w:rPr>
        <w:t xml:space="preserve">Sur la base du budget 2016-2018 adopté par la MOP6 et </w:t>
      </w:r>
      <w:r w:rsidR="009B5531">
        <w:rPr>
          <w:rFonts w:ascii="Times New Roman" w:hAnsi="Times New Roman" w:cs="Times New Roman"/>
          <w:lang w:val="fr-FR"/>
        </w:rPr>
        <w:t>du</w:t>
      </w:r>
      <w:r w:rsidRPr="00F32F1A">
        <w:rPr>
          <w:rFonts w:ascii="Times New Roman" w:hAnsi="Times New Roman" w:cs="Times New Roman"/>
          <w:lang w:val="fr-FR"/>
        </w:rPr>
        <w:t xml:space="preserve"> rapport financier 2016-2018, la présente proposition inclut quatre différents scénarios pour le budget 2019-2021, qui se résument de façon suivante :</w:t>
      </w:r>
    </w:p>
    <w:p w:rsidR="00D65B26" w:rsidRPr="00605B50" w:rsidRDefault="00D65B26" w:rsidP="00671B10">
      <w:pPr>
        <w:spacing w:after="0"/>
        <w:jc w:val="both"/>
        <w:rPr>
          <w:rFonts w:ascii="Times New Roman" w:hAnsi="Times New Roman" w:cs="Times New Roman"/>
          <w:sz w:val="12"/>
          <w:szCs w:val="12"/>
          <w:lang w:val="fr-FR"/>
        </w:rPr>
      </w:pPr>
    </w:p>
    <w:p w:rsidR="00671B10" w:rsidRPr="00605B50" w:rsidRDefault="00671B10" w:rsidP="00671B10">
      <w:pPr>
        <w:spacing w:after="0"/>
        <w:jc w:val="both"/>
        <w:rPr>
          <w:rFonts w:ascii="Times New Roman" w:hAnsi="Times New Roman" w:cs="Times New Roman"/>
          <w:sz w:val="12"/>
          <w:szCs w:val="12"/>
          <w:lang w:val="fr-FR"/>
        </w:rPr>
      </w:pPr>
    </w:p>
    <w:tbl>
      <w:tblPr>
        <w:tblStyle w:val="TableGrid1"/>
        <w:tblW w:w="5000" w:type="pct"/>
        <w:tblLayout w:type="fixed"/>
        <w:tblLook w:val="04A0" w:firstRow="1" w:lastRow="0" w:firstColumn="1" w:lastColumn="0" w:noHBand="0" w:noVBand="1"/>
      </w:tblPr>
      <w:tblGrid>
        <w:gridCol w:w="1390"/>
        <w:gridCol w:w="2172"/>
        <w:gridCol w:w="6293"/>
      </w:tblGrid>
      <w:tr w:rsidR="00CA0BD0" w:rsidRPr="00B5292F" w:rsidTr="000562DC">
        <w:trPr>
          <w:trHeight w:val="672"/>
        </w:trPr>
        <w:tc>
          <w:tcPr>
            <w:tcW w:w="705" w:type="pct"/>
            <w:shd w:val="clear" w:color="auto" w:fill="F2F2F2" w:themeFill="background1" w:themeFillShade="F2"/>
            <w:vAlign w:val="center"/>
          </w:tcPr>
          <w:p w:rsidR="00CA0BD0" w:rsidRPr="00CA0BD0" w:rsidRDefault="00F32F1A" w:rsidP="00BE22DD">
            <w:pPr>
              <w:rPr>
                <w:rFonts w:ascii="Times New Roman" w:hAnsi="Times New Roman" w:cs="Times New Roman"/>
                <w:b/>
              </w:rPr>
            </w:pPr>
            <w:r w:rsidRPr="00F32F1A">
              <w:rPr>
                <w:rFonts w:ascii="Times New Roman" w:hAnsi="Times New Roman" w:cs="Times New Roman"/>
                <w:b/>
                <w:lang w:val="fr-FR"/>
              </w:rPr>
              <w:t>Scénario budgétaire</w:t>
            </w:r>
          </w:p>
        </w:tc>
        <w:tc>
          <w:tcPr>
            <w:tcW w:w="1102" w:type="pct"/>
            <w:shd w:val="clear" w:color="auto" w:fill="F2F2F2" w:themeFill="background1" w:themeFillShade="F2"/>
            <w:vAlign w:val="center"/>
          </w:tcPr>
          <w:p w:rsidR="00CA0BD0" w:rsidRPr="00CA0BD0" w:rsidRDefault="00F32F1A" w:rsidP="00BE22DD">
            <w:pPr>
              <w:rPr>
                <w:rFonts w:ascii="Times New Roman" w:hAnsi="Times New Roman" w:cs="Times New Roman"/>
                <w:b/>
              </w:rPr>
            </w:pPr>
            <w:r w:rsidRPr="00F32F1A">
              <w:rPr>
                <w:rFonts w:ascii="Times New Roman" w:hAnsi="Times New Roman" w:cs="Times New Roman"/>
                <w:b/>
                <w:lang w:val="fr-FR"/>
              </w:rPr>
              <w:t>Description</w:t>
            </w:r>
          </w:p>
        </w:tc>
        <w:tc>
          <w:tcPr>
            <w:tcW w:w="3193" w:type="pct"/>
            <w:shd w:val="clear" w:color="auto" w:fill="F2F2F2" w:themeFill="background1" w:themeFillShade="F2"/>
            <w:vAlign w:val="center"/>
          </w:tcPr>
          <w:p w:rsidR="00CA0BD0" w:rsidRPr="00605B50" w:rsidRDefault="00F32F1A" w:rsidP="00BE22DD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B06B07">
              <w:rPr>
                <w:rFonts w:ascii="Times New Roman" w:hAnsi="Times New Roman" w:cs="Times New Roman"/>
                <w:b/>
                <w:lang w:val="fr-FR"/>
              </w:rPr>
              <w:t>Augmentation des variables</w:t>
            </w:r>
            <w:r w:rsidRPr="00F32F1A">
              <w:rPr>
                <w:rFonts w:ascii="Times New Roman" w:hAnsi="Times New Roman" w:cs="Times New Roman"/>
                <w:b/>
                <w:lang w:val="fr-FR"/>
              </w:rPr>
              <w:t xml:space="preserve"> par rapport au scénario précédent</w:t>
            </w:r>
          </w:p>
        </w:tc>
      </w:tr>
      <w:tr w:rsidR="00CA0BD0" w:rsidRPr="00CA0BD0" w:rsidTr="000562DC">
        <w:trPr>
          <w:trHeight w:val="595"/>
        </w:trPr>
        <w:tc>
          <w:tcPr>
            <w:tcW w:w="705" w:type="pct"/>
            <w:vAlign w:val="center"/>
          </w:tcPr>
          <w:p w:rsidR="00CA0BD0" w:rsidRPr="00CA0BD0" w:rsidRDefault="00F32F1A" w:rsidP="00BE22DD">
            <w:pPr>
              <w:spacing w:line="280" w:lineRule="auto"/>
              <w:rPr>
                <w:rFonts w:ascii="Times New Roman" w:hAnsi="Times New Roman" w:cs="Times New Roman"/>
              </w:rPr>
            </w:pPr>
            <w:r w:rsidRPr="00F32F1A">
              <w:rPr>
                <w:rFonts w:ascii="Times New Roman" w:hAnsi="Times New Roman" w:cs="Times New Roman"/>
                <w:lang w:val="fr-FR"/>
              </w:rPr>
              <w:t>Scénario 1</w:t>
            </w:r>
          </w:p>
        </w:tc>
        <w:tc>
          <w:tcPr>
            <w:tcW w:w="1102" w:type="pct"/>
            <w:vAlign w:val="center"/>
          </w:tcPr>
          <w:p w:rsidR="00CA0BD0" w:rsidRPr="00CA0BD0" w:rsidRDefault="00F32F1A" w:rsidP="00BE22DD">
            <w:pPr>
              <w:spacing w:line="280" w:lineRule="auto"/>
              <w:rPr>
                <w:rFonts w:ascii="Times New Roman" w:hAnsi="Times New Roman" w:cs="Times New Roman"/>
              </w:rPr>
            </w:pPr>
            <w:r w:rsidRPr="00F32F1A">
              <w:rPr>
                <w:rFonts w:ascii="Times New Roman" w:hAnsi="Times New Roman" w:cs="Times New Roman"/>
                <w:lang w:val="fr-FR"/>
              </w:rPr>
              <w:t>Croissance nominale nulle</w:t>
            </w:r>
          </w:p>
        </w:tc>
        <w:tc>
          <w:tcPr>
            <w:tcW w:w="3193" w:type="pct"/>
            <w:vAlign w:val="center"/>
          </w:tcPr>
          <w:p w:rsidR="00CA0BD0" w:rsidRPr="00CA0BD0" w:rsidRDefault="00F32F1A" w:rsidP="00BE22DD">
            <w:pPr>
              <w:spacing w:line="280" w:lineRule="auto"/>
              <w:rPr>
                <w:rFonts w:ascii="Times New Roman" w:hAnsi="Times New Roman" w:cs="Times New Roman"/>
              </w:rPr>
            </w:pPr>
            <w:r w:rsidRPr="00F32F1A">
              <w:rPr>
                <w:rFonts w:ascii="Times New Roman" w:hAnsi="Times New Roman" w:cs="Times New Roman"/>
                <w:lang w:val="fr-FR"/>
              </w:rPr>
              <w:t>0 % d</w:t>
            </w:r>
            <w:r w:rsidR="00B06B07">
              <w:rPr>
                <w:rFonts w:ascii="Times New Roman" w:hAnsi="Times New Roman" w:cs="Times New Roman"/>
                <w:lang w:val="fr-FR"/>
              </w:rPr>
              <w:t>’</w:t>
            </w:r>
            <w:r w:rsidRPr="00F32F1A">
              <w:rPr>
                <w:rFonts w:ascii="Times New Roman" w:hAnsi="Times New Roman" w:cs="Times New Roman"/>
                <w:lang w:val="fr-FR"/>
              </w:rPr>
              <w:t>augmentation</w:t>
            </w:r>
          </w:p>
        </w:tc>
      </w:tr>
      <w:tr w:rsidR="00CA0BD0" w:rsidRPr="00B5292F" w:rsidTr="000562DC">
        <w:trPr>
          <w:trHeight w:val="1114"/>
        </w:trPr>
        <w:tc>
          <w:tcPr>
            <w:tcW w:w="705" w:type="pct"/>
          </w:tcPr>
          <w:p w:rsidR="00CA0BD0" w:rsidRPr="00CA0BD0" w:rsidRDefault="00F32F1A" w:rsidP="00BE22DD">
            <w:pPr>
              <w:spacing w:line="280" w:lineRule="auto"/>
              <w:rPr>
                <w:rFonts w:ascii="Times New Roman" w:hAnsi="Times New Roman" w:cs="Times New Roman"/>
              </w:rPr>
            </w:pPr>
            <w:r w:rsidRPr="00F32F1A">
              <w:rPr>
                <w:rFonts w:ascii="Times New Roman" w:hAnsi="Times New Roman" w:cs="Times New Roman"/>
                <w:lang w:val="fr-FR"/>
              </w:rPr>
              <w:t>Scénario 2</w:t>
            </w:r>
          </w:p>
        </w:tc>
        <w:tc>
          <w:tcPr>
            <w:tcW w:w="1102" w:type="pct"/>
          </w:tcPr>
          <w:p w:rsidR="00CA0BD0" w:rsidRPr="00605B50" w:rsidRDefault="00CC236A" w:rsidP="00BE22DD">
            <w:pPr>
              <w:spacing w:line="280" w:lineRule="auto"/>
              <w:rPr>
                <w:rFonts w:ascii="Times New Roman" w:hAnsi="Times New Roman" w:cs="Times New Roman"/>
                <w:lang w:val="fr-FR"/>
              </w:rPr>
            </w:pPr>
            <w:r w:rsidRPr="00CC236A">
              <w:rPr>
                <w:rFonts w:ascii="Times New Roman" w:hAnsi="Times New Roman" w:cs="Times New Roman"/>
                <w:lang w:val="fr-FR"/>
              </w:rPr>
              <w:t>C</w:t>
            </w:r>
            <w:r w:rsidR="00F32F1A" w:rsidRPr="00CC236A">
              <w:rPr>
                <w:rFonts w:ascii="Times New Roman" w:hAnsi="Times New Roman" w:cs="Times New Roman"/>
                <w:lang w:val="fr-FR"/>
              </w:rPr>
              <w:t xml:space="preserve">roissance </w:t>
            </w:r>
            <w:r w:rsidRPr="00CC236A">
              <w:rPr>
                <w:rFonts w:ascii="Times New Roman" w:hAnsi="Times New Roman" w:cs="Times New Roman"/>
                <w:lang w:val="fr-FR"/>
              </w:rPr>
              <w:t xml:space="preserve">réelle </w:t>
            </w:r>
            <w:r w:rsidR="00F32F1A" w:rsidRPr="00CC236A">
              <w:rPr>
                <w:rFonts w:ascii="Times New Roman" w:hAnsi="Times New Roman" w:cs="Times New Roman"/>
                <w:lang w:val="fr-FR"/>
              </w:rPr>
              <w:t xml:space="preserve">nulle avec augmentation </w:t>
            </w:r>
            <w:r w:rsidRPr="00CC236A">
              <w:rPr>
                <w:rFonts w:ascii="Times New Roman" w:hAnsi="Times New Roman" w:cs="Times New Roman"/>
                <w:lang w:val="fr-FR"/>
              </w:rPr>
              <w:t xml:space="preserve">de </w:t>
            </w:r>
            <w:r w:rsidR="00F32F1A" w:rsidRPr="00CC236A">
              <w:rPr>
                <w:rFonts w:ascii="Times New Roman" w:hAnsi="Times New Roman" w:cs="Times New Roman"/>
                <w:lang w:val="fr-FR"/>
              </w:rPr>
              <w:t>4</w:t>
            </w:r>
            <w:r w:rsidRPr="00CC236A">
              <w:rPr>
                <w:rFonts w:ascii="Times New Roman" w:hAnsi="Times New Roman" w:cs="Times New Roman"/>
                <w:lang w:val="fr-FR"/>
              </w:rPr>
              <w:t>,</w:t>
            </w:r>
            <w:r w:rsidR="00F32F1A" w:rsidRPr="00CC236A">
              <w:rPr>
                <w:rFonts w:ascii="Times New Roman" w:hAnsi="Times New Roman" w:cs="Times New Roman"/>
                <w:lang w:val="fr-FR"/>
              </w:rPr>
              <w:t>04</w:t>
            </w:r>
            <w:r w:rsidRPr="00CC236A">
              <w:rPr>
                <w:rFonts w:ascii="Times New Roman" w:hAnsi="Times New Roman" w:cs="Times New Roman"/>
                <w:lang w:val="fr-FR"/>
              </w:rPr>
              <w:t> </w:t>
            </w:r>
            <w:r w:rsidR="00F32F1A" w:rsidRPr="00CC236A">
              <w:rPr>
                <w:rFonts w:ascii="Times New Roman" w:hAnsi="Times New Roman" w:cs="Times New Roman"/>
                <w:lang w:val="fr-FR"/>
              </w:rPr>
              <w:t>%</w:t>
            </w:r>
            <w:r w:rsidRPr="00CC236A">
              <w:rPr>
                <w:rFonts w:ascii="Times New Roman" w:hAnsi="Times New Roman" w:cs="Times New Roman"/>
                <w:lang w:val="fr-FR"/>
              </w:rPr>
              <w:t xml:space="preserve"> par rapport au</w:t>
            </w:r>
            <w:r w:rsidR="00F32F1A" w:rsidRPr="00CC236A">
              <w:rPr>
                <w:rFonts w:ascii="Times New Roman" w:hAnsi="Times New Roman" w:cs="Times New Roman"/>
                <w:lang w:val="fr-FR"/>
              </w:rPr>
              <w:t xml:space="preserve"> scénario 1</w:t>
            </w:r>
          </w:p>
        </w:tc>
        <w:tc>
          <w:tcPr>
            <w:tcW w:w="3193" w:type="pct"/>
          </w:tcPr>
          <w:p w:rsidR="00CA0BD0" w:rsidRPr="00605B50" w:rsidRDefault="00CC236A" w:rsidP="00BE22DD">
            <w:pPr>
              <w:spacing w:line="280" w:lineRule="auto"/>
              <w:rPr>
                <w:rFonts w:ascii="Times New Roman" w:hAnsi="Times New Roman" w:cs="Times New Roman"/>
                <w:lang w:val="fr-FR"/>
              </w:rPr>
            </w:pPr>
            <w:r w:rsidRPr="00CC236A">
              <w:rPr>
                <w:rFonts w:ascii="Times New Roman" w:hAnsi="Times New Roman" w:cs="Times New Roman"/>
                <w:lang w:val="fr-FR"/>
              </w:rPr>
              <w:t>+ 2</w:t>
            </w:r>
            <w:r w:rsidR="00B06B07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CC236A">
              <w:rPr>
                <w:rFonts w:ascii="Times New Roman" w:hAnsi="Times New Roman" w:cs="Times New Roman"/>
                <w:lang w:val="fr-FR"/>
              </w:rPr>
              <w:t>% par an selon le taux d</w:t>
            </w:r>
            <w:r w:rsidR="00B06B07">
              <w:rPr>
                <w:rFonts w:ascii="Times New Roman" w:hAnsi="Times New Roman" w:cs="Times New Roman"/>
                <w:lang w:val="fr-FR"/>
              </w:rPr>
              <w:t>’</w:t>
            </w:r>
            <w:r w:rsidRPr="00CC236A">
              <w:rPr>
                <w:rFonts w:ascii="Times New Roman" w:hAnsi="Times New Roman" w:cs="Times New Roman"/>
                <w:lang w:val="fr-FR"/>
              </w:rPr>
              <w:t>inflation estimé</w:t>
            </w:r>
            <w:r w:rsidRPr="00605B50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</w:tr>
      <w:tr w:rsidR="00CA0BD0" w:rsidRPr="00CA0BD0" w:rsidTr="000562DC">
        <w:trPr>
          <w:trHeight w:val="1399"/>
        </w:trPr>
        <w:tc>
          <w:tcPr>
            <w:tcW w:w="705" w:type="pct"/>
          </w:tcPr>
          <w:p w:rsidR="00CA0BD0" w:rsidRPr="00CA0BD0" w:rsidRDefault="00CC236A" w:rsidP="00BE22DD">
            <w:pPr>
              <w:spacing w:line="280" w:lineRule="auto"/>
              <w:rPr>
                <w:rFonts w:ascii="Times New Roman" w:hAnsi="Times New Roman" w:cs="Times New Roman"/>
              </w:rPr>
            </w:pPr>
            <w:r w:rsidRPr="00CC236A">
              <w:rPr>
                <w:rFonts w:ascii="Times New Roman" w:hAnsi="Times New Roman" w:cs="Times New Roman"/>
                <w:lang w:val="fr-FR"/>
              </w:rPr>
              <w:t>Scénario 3</w:t>
            </w:r>
          </w:p>
        </w:tc>
        <w:tc>
          <w:tcPr>
            <w:tcW w:w="1102" w:type="pct"/>
          </w:tcPr>
          <w:p w:rsidR="00CA0BD0" w:rsidRPr="00605B50" w:rsidRDefault="00CC236A" w:rsidP="00BE22DD">
            <w:pPr>
              <w:spacing w:line="280" w:lineRule="auto"/>
              <w:rPr>
                <w:rFonts w:ascii="Times New Roman" w:hAnsi="Times New Roman" w:cs="Times New Roman"/>
                <w:lang w:val="fr-FR"/>
              </w:rPr>
            </w:pPr>
            <w:r w:rsidRPr="00CC236A">
              <w:rPr>
                <w:rFonts w:ascii="Times New Roman" w:hAnsi="Times New Roman" w:cs="Times New Roman"/>
                <w:lang w:val="fr-FR"/>
              </w:rPr>
              <w:t>Augmentation de</w:t>
            </w:r>
            <w:r w:rsidR="00B06B07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CC236A">
              <w:rPr>
                <w:rFonts w:ascii="Times New Roman" w:hAnsi="Times New Roman" w:cs="Times New Roman"/>
                <w:lang w:val="fr-FR"/>
              </w:rPr>
              <w:t>4,79</w:t>
            </w:r>
            <w:r w:rsidR="00B06B07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CC236A">
              <w:rPr>
                <w:rFonts w:ascii="Times New Roman" w:hAnsi="Times New Roman" w:cs="Times New Roman"/>
                <w:lang w:val="fr-FR"/>
              </w:rPr>
              <w:t>% par rapport au scénario 2</w:t>
            </w:r>
          </w:p>
        </w:tc>
        <w:tc>
          <w:tcPr>
            <w:tcW w:w="3193" w:type="pct"/>
          </w:tcPr>
          <w:p w:rsidR="00CA0BD0" w:rsidRPr="00605B50" w:rsidRDefault="00CC236A" w:rsidP="00CC236A">
            <w:pPr>
              <w:spacing w:line="280" w:lineRule="auto"/>
              <w:rPr>
                <w:rFonts w:ascii="Times New Roman" w:hAnsi="Times New Roman" w:cs="Times New Roman"/>
                <w:lang w:val="fr-FR"/>
              </w:rPr>
            </w:pPr>
            <w:r w:rsidRPr="00CC236A">
              <w:rPr>
                <w:rFonts w:ascii="Times New Roman" w:hAnsi="Times New Roman" w:cs="Times New Roman"/>
                <w:lang w:val="fr-FR"/>
              </w:rPr>
              <w:t>Taux d</w:t>
            </w:r>
            <w:r w:rsidR="00B06B07">
              <w:rPr>
                <w:rFonts w:ascii="Times New Roman" w:hAnsi="Times New Roman" w:cs="Times New Roman"/>
                <w:lang w:val="fr-FR"/>
              </w:rPr>
              <w:t>’</w:t>
            </w:r>
            <w:r w:rsidRPr="00CC236A">
              <w:rPr>
                <w:rFonts w:ascii="Times New Roman" w:hAnsi="Times New Roman" w:cs="Times New Roman"/>
                <w:lang w:val="fr-FR"/>
              </w:rPr>
              <w:t>inflation</w:t>
            </w:r>
            <w:r w:rsidR="00B06B07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CC236A">
              <w:rPr>
                <w:rFonts w:ascii="Times New Roman" w:hAnsi="Times New Roman" w:cs="Times New Roman"/>
                <w:lang w:val="fr-FR"/>
              </w:rPr>
              <w:t>de + 2% par an (croissance réelle nulle)</w:t>
            </w:r>
          </w:p>
          <w:p w:rsidR="00CA0BD0" w:rsidRPr="00CA0BD0" w:rsidRDefault="00CC236A" w:rsidP="00CC236A">
            <w:pPr>
              <w:spacing w:line="280" w:lineRule="auto"/>
              <w:rPr>
                <w:rFonts w:ascii="Times New Roman" w:hAnsi="Times New Roman" w:cs="Times New Roman"/>
                <w:lang w:val="fr-FR"/>
              </w:rPr>
            </w:pPr>
            <w:r w:rsidRPr="00CC236A">
              <w:rPr>
                <w:rFonts w:ascii="Times New Roman" w:hAnsi="Times New Roman" w:cs="Times New Roman"/>
                <w:lang w:val="fr-FR"/>
              </w:rPr>
              <w:t xml:space="preserve">+ 30 % Assistant chargé de </w:t>
            </w:r>
            <w:r w:rsidR="00BB71AA">
              <w:rPr>
                <w:rFonts w:ascii="Times New Roman" w:hAnsi="Times New Roman" w:cs="Times New Roman"/>
                <w:lang w:val="fr-FR"/>
              </w:rPr>
              <w:t>l</w:t>
            </w:r>
            <w:r w:rsidR="00B06B07">
              <w:rPr>
                <w:rFonts w:ascii="Times New Roman" w:hAnsi="Times New Roman" w:cs="Times New Roman"/>
                <w:lang w:val="fr-FR"/>
              </w:rPr>
              <w:t>’</w:t>
            </w:r>
            <w:r w:rsidRPr="00CC236A">
              <w:rPr>
                <w:rFonts w:ascii="Times New Roman" w:hAnsi="Times New Roman" w:cs="Times New Roman"/>
                <w:lang w:val="fr-FR"/>
              </w:rPr>
              <w:t xml:space="preserve">information (G-5) </w:t>
            </w:r>
          </w:p>
          <w:p w:rsidR="00CA0BD0" w:rsidRPr="00CC6736" w:rsidRDefault="00CC236A" w:rsidP="00CC236A">
            <w:pPr>
              <w:spacing w:line="280" w:lineRule="auto"/>
              <w:rPr>
                <w:rFonts w:ascii="Times New Roman" w:hAnsi="Times New Roman" w:cs="Times New Roman"/>
                <w:lang w:val="fr-FR"/>
              </w:rPr>
            </w:pPr>
            <w:r w:rsidRPr="00CC236A">
              <w:rPr>
                <w:rFonts w:ascii="Times New Roman" w:hAnsi="Times New Roman" w:cs="Times New Roman"/>
                <w:lang w:val="fr-FR"/>
              </w:rPr>
              <w:t>+ 30 % Assistant de gestion de programme (G-5)</w:t>
            </w:r>
          </w:p>
          <w:p w:rsidR="00CA0BD0" w:rsidRPr="00CA0BD0" w:rsidRDefault="00CC236A" w:rsidP="00BE22DD">
            <w:pPr>
              <w:spacing w:line="280" w:lineRule="auto"/>
              <w:rPr>
                <w:rFonts w:ascii="Times New Roman" w:hAnsi="Times New Roman" w:cs="Times New Roman"/>
              </w:rPr>
            </w:pPr>
            <w:r w:rsidRPr="000562DC">
              <w:rPr>
                <w:rFonts w:ascii="Times New Roman" w:hAnsi="Times New Roman" w:cs="Times New Roman"/>
                <w:lang w:val="fr-FR"/>
              </w:rPr>
              <w:t>+ 5 % </w:t>
            </w:r>
            <w:r w:rsidR="000562DC" w:rsidRPr="000562DC">
              <w:rPr>
                <w:rFonts w:ascii="Times New Roman" w:hAnsi="Times New Roman" w:cs="Times New Roman"/>
                <w:lang w:val="fr-FR"/>
              </w:rPr>
              <w:t xml:space="preserve">coûts </w:t>
            </w:r>
            <w:r w:rsidRPr="000562DC">
              <w:rPr>
                <w:rFonts w:ascii="Times New Roman" w:hAnsi="Times New Roman" w:cs="Times New Roman"/>
                <w:lang w:val="fr-FR"/>
              </w:rPr>
              <w:t>d</w:t>
            </w:r>
            <w:r w:rsidR="009B5531">
              <w:rPr>
                <w:rFonts w:ascii="Times New Roman" w:hAnsi="Times New Roman" w:cs="Times New Roman"/>
                <w:lang w:val="fr-FR"/>
              </w:rPr>
              <w:t>e fonctionnement</w:t>
            </w:r>
            <w:r w:rsidRPr="000562DC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</w:tr>
      <w:tr w:rsidR="00CA0BD0" w:rsidRPr="00B5292F" w:rsidTr="000562DC">
        <w:tc>
          <w:tcPr>
            <w:tcW w:w="705" w:type="pct"/>
          </w:tcPr>
          <w:p w:rsidR="00CA0BD0" w:rsidRPr="00CA0BD0" w:rsidRDefault="000562DC" w:rsidP="00BE22DD">
            <w:pPr>
              <w:spacing w:line="280" w:lineRule="auto"/>
              <w:rPr>
                <w:rFonts w:ascii="Times New Roman" w:hAnsi="Times New Roman" w:cs="Times New Roman"/>
              </w:rPr>
            </w:pPr>
            <w:r w:rsidRPr="000562DC">
              <w:rPr>
                <w:rFonts w:ascii="Times New Roman" w:hAnsi="Times New Roman" w:cs="Times New Roman"/>
                <w:lang w:val="fr-FR"/>
              </w:rPr>
              <w:t>Scénario 4</w:t>
            </w:r>
          </w:p>
        </w:tc>
        <w:tc>
          <w:tcPr>
            <w:tcW w:w="1102" w:type="pct"/>
          </w:tcPr>
          <w:p w:rsidR="00CA0BD0" w:rsidRPr="00605B50" w:rsidRDefault="000562DC" w:rsidP="00BE22DD">
            <w:pPr>
              <w:spacing w:line="280" w:lineRule="auto"/>
              <w:rPr>
                <w:rFonts w:ascii="Times New Roman" w:hAnsi="Times New Roman" w:cs="Times New Roman"/>
                <w:lang w:val="fr-FR"/>
              </w:rPr>
            </w:pPr>
            <w:r w:rsidRPr="000562DC">
              <w:rPr>
                <w:rFonts w:ascii="Times New Roman" w:hAnsi="Times New Roman" w:cs="Times New Roman"/>
                <w:lang w:val="fr-FR"/>
              </w:rPr>
              <w:t>Augmentation de 23</w:t>
            </w:r>
            <w:r w:rsidR="00B06B07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0562DC">
              <w:rPr>
                <w:rFonts w:ascii="Times New Roman" w:hAnsi="Times New Roman" w:cs="Times New Roman"/>
                <w:lang w:val="fr-FR"/>
              </w:rPr>
              <w:t>% par rapport au scénario 3</w:t>
            </w:r>
          </w:p>
        </w:tc>
        <w:tc>
          <w:tcPr>
            <w:tcW w:w="3193" w:type="pct"/>
          </w:tcPr>
          <w:p w:rsidR="00CA0BD0" w:rsidRPr="00605B50" w:rsidRDefault="000562DC" w:rsidP="000562DC">
            <w:pPr>
              <w:spacing w:line="280" w:lineRule="auto"/>
              <w:rPr>
                <w:rFonts w:ascii="Times New Roman" w:hAnsi="Times New Roman" w:cs="Times New Roman"/>
                <w:lang w:val="fr-FR"/>
              </w:rPr>
            </w:pPr>
            <w:r w:rsidRPr="000562DC">
              <w:rPr>
                <w:rFonts w:ascii="Times New Roman" w:hAnsi="Times New Roman" w:cs="Times New Roman"/>
                <w:lang w:val="fr-FR"/>
              </w:rPr>
              <w:t>+ 50 % Coordinateur de l</w:t>
            </w:r>
            <w:r w:rsidR="00B06B07">
              <w:rPr>
                <w:rFonts w:ascii="Times New Roman" w:hAnsi="Times New Roman" w:cs="Times New Roman"/>
                <w:lang w:val="fr-FR"/>
              </w:rPr>
              <w:t>’</w:t>
            </w:r>
            <w:r w:rsidRPr="000562DC">
              <w:rPr>
                <w:rFonts w:ascii="Times New Roman" w:hAnsi="Times New Roman" w:cs="Times New Roman"/>
                <w:lang w:val="fr-FR"/>
              </w:rPr>
              <w:t>Initiative africaine 50 % (P-2)</w:t>
            </w:r>
          </w:p>
          <w:p w:rsidR="00CA0BD0" w:rsidRPr="00605B50" w:rsidRDefault="000562DC" w:rsidP="000562DC">
            <w:pPr>
              <w:spacing w:line="280" w:lineRule="auto"/>
              <w:rPr>
                <w:rFonts w:ascii="Times New Roman" w:hAnsi="Times New Roman" w:cs="Times New Roman"/>
                <w:lang w:val="fr-FR"/>
              </w:rPr>
            </w:pPr>
            <w:r w:rsidRPr="000562DC">
              <w:rPr>
                <w:rFonts w:ascii="Times New Roman" w:hAnsi="Times New Roman" w:cs="Times New Roman"/>
                <w:lang w:val="fr-FR"/>
              </w:rPr>
              <w:t>+ Revalorisation du poste de Secrétaire exécutif (de P-4 à P-5)</w:t>
            </w:r>
          </w:p>
          <w:p w:rsidR="00CA0BD0" w:rsidRPr="00605B50" w:rsidRDefault="000562DC" w:rsidP="000562DC">
            <w:pPr>
              <w:tabs>
                <w:tab w:val="left" w:pos="166"/>
              </w:tabs>
              <w:spacing w:line="280" w:lineRule="auto"/>
              <w:ind w:left="177" w:hanging="177"/>
              <w:rPr>
                <w:rFonts w:ascii="Times New Roman" w:hAnsi="Times New Roman" w:cs="Times New Roman"/>
                <w:lang w:val="fr-FR"/>
              </w:rPr>
            </w:pPr>
            <w:r w:rsidRPr="000562DC">
              <w:rPr>
                <w:rFonts w:ascii="Times New Roman" w:hAnsi="Times New Roman" w:cs="Times New Roman"/>
                <w:lang w:val="fr-FR"/>
              </w:rPr>
              <w:t>+ Revalorisation du poste de Chef de l</w:t>
            </w:r>
            <w:r w:rsidR="00B06B07">
              <w:rPr>
                <w:rFonts w:ascii="Times New Roman" w:hAnsi="Times New Roman" w:cs="Times New Roman"/>
                <w:lang w:val="fr-FR"/>
              </w:rPr>
              <w:t>’</w:t>
            </w:r>
            <w:r w:rsidRPr="000562DC">
              <w:rPr>
                <w:rFonts w:ascii="Times New Roman" w:hAnsi="Times New Roman" w:cs="Times New Roman"/>
                <w:lang w:val="fr-FR"/>
              </w:rPr>
              <w:t>unité Science, Mise en œuvre et Conformité (P-3 à P-4) ;</w:t>
            </w:r>
          </w:p>
          <w:p w:rsidR="00CA0BD0" w:rsidRPr="00605B50" w:rsidRDefault="000562DC" w:rsidP="000562DC">
            <w:pPr>
              <w:spacing w:line="280" w:lineRule="auto"/>
              <w:rPr>
                <w:rFonts w:ascii="Times New Roman" w:hAnsi="Times New Roman" w:cs="Times New Roman"/>
                <w:lang w:val="fr-FR"/>
              </w:rPr>
            </w:pPr>
            <w:r w:rsidRPr="00BB71AA">
              <w:rPr>
                <w:rFonts w:ascii="Times New Roman" w:hAnsi="Times New Roman" w:cs="Times New Roman"/>
                <w:lang w:val="fr-FR"/>
              </w:rPr>
              <w:t>+ Revalorisation du poste d</w:t>
            </w:r>
            <w:r w:rsidR="00B06B07" w:rsidRPr="00BB71AA">
              <w:rPr>
                <w:rFonts w:ascii="Times New Roman" w:hAnsi="Times New Roman" w:cs="Times New Roman"/>
                <w:lang w:val="fr-FR"/>
              </w:rPr>
              <w:t>’</w:t>
            </w:r>
            <w:r w:rsidRPr="00BB71AA">
              <w:rPr>
                <w:rFonts w:ascii="Times New Roman" w:hAnsi="Times New Roman" w:cs="Times New Roman"/>
                <w:lang w:val="fr-FR"/>
              </w:rPr>
              <w:t>A</w:t>
            </w:r>
            <w:r w:rsidR="00BB71AA" w:rsidRPr="00BB71AA">
              <w:rPr>
                <w:rFonts w:ascii="Times New Roman" w:hAnsi="Times New Roman" w:cs="Times New Roman"/>
                <w:lang w:val="fr-FR"/>
              </w:rPr>
              <w:t>gent de soutien à la</w:t>
            </w:r>
            <w:r w:rsidR="00AF75D1" w:rsidRPr="00BB71AA">
              <w:rPr>
                <w:rFonts w:ascii="Times New Roman" w:hAnsi="Times New Roman" w:cs="Times New Roman"/>
                <w:lang w:val="fr-FR"/>
              </w:rPr>
              <w:t xml:space="preserve"> direction</w:t>
            </w:r>
            <w:r w:rsidRPr="00BB71AA">
              <w:rPr>
                <w:rFonts w:ascii="Times New Roman" w:hAnsi="Times New Roman" w:cs="Times New Roman"/>
                <w:lang w:val="fr-FR"/>
              </w:rPr>
              <w:t xml:space="preserve"> (P-</w:t>
            </w:r>
            <w:r w:rsidRPr="000562DC">
              <w:rPr>
                <w:rFonts w:ascii="Times New Roman" w:hAnsi="Times New Roman" w:cs="Times New Roman"/>
                <w:lang w:val="fr-FR"/>
              </w:rPr>
              <w:t>2 à P-3)</w:t>
            </w:r>
          </w:p>
          <w:p w:rsidR="005802FD" w:rsidRPr="00605B50" w:rsidRDefault="000562DC" w:rsidP="000562DC">
            <w:pPr>
              <w:spacing w:line="280" w:lineRule="auto"/>
              <w:rPr>
                <w:rFonts w:ascii="Times New Roman" w:hAnsi="Times New Roman" w:cs="Times New Roman"/>
                <w:lang w:val="fr-FR"/>
              </w:rPr>
            </w:pPr>
            <w:r w:rsidRPr="000562DC">
              <w:rPr>
                <w:rFonts w:ascii="Times New Roman" w:hAnsi="Times New Roman" w:cs="Times New Roman"/>
                <w:lang w:val="fr-FR"/>
              </w:rPr>
              <w:t>+ Études internationales obligatoires (art.</w:t>
            </w:r>
            <w:r w:rsidR="005802FD" w:rsidRPr="00605B50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0562DC">
              <w:rPr>
                <w:rFonts w:ascii="Times New Roman" w:hAnsi="Times New Roman" w:cs="Times New Roman"/>
                <w:lang w:val="fr-FR"/>
              </w:rPr>
              <w:t>7.4 de l</w:t>
            </w:r>
            <w:r w:rsidR="00B06B07">
              <w:rPr>
                <w:rFonts w:ascii="Times New Roman" w:hAnsi="Times New Roman" w:cs="Times New Roman"/>
                <w:lang w:val="fr-FR"/>
              </w:rPr>
              <w:t>’</w:t>
            </w:r>
            <w:r w:rsidRPr="000562DC">
              <w:rPr>
                <w:rFonts w:ascii="Times New Roman" w:hAnsi="Times New Roman" w:cs="Times New Roman"/>
                <w:lang w:val="fr-FR"/>
              </w:rPr>
              <w:t>AEWA)</w:t>
            </w:r>
          </w:p>
          <w:p w:rsidR="00895AC7" w:rsidRPr="00605B50" w:rsidRDefault="00895AC7" w:rsidP="00671B10">
            <w:pPr>
              <w:spacing w:line="276" w:lineRule="auto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:rsidR="00DF216F" w:rsidRPr="00605B50" w:rsidRDefault="00DF216F" w:rsidP="00DF216F">
      <w:pPr>
        <w:tabs>
          <w:tab w:val="left" w:pos="5520"/>
        </w:tabs>
        <w:spacing w:after="0"/>
        <w:jc w:val="both"/>
        <w:rPr>
          <w:rFonts w:ascii="Times New Roman" w:hAnsi="Times New Roman" w:cs="Times New Roman"/>
          <w:lang w:val="fr-FR"/>
        </w:rPr>
      </w:pPr>
    </w:p>
    <w:p w:rsidR="00B5292F" w:rsidRDefault="000562DC" w:rsidP="000562DC">
      <w:pPr>
        <w:spacing w:after="0" w:line="280" w:lineRule="auto"/>
        <w:jc w:val="both"/>
        <w:rPr>
          <w:rFonts w:ascii="Times New Roman" w:hAnsi="Times New Roman" w:cs="Times New Roman"/>
          <w:i/>
          <w:lang w:val="fr-FR"/>
        </w:rPr>
        <w:sectPr w:rsidR="00B5292F" w:rsidSect="00144A01">
          <w:headerReference w:type="default" r:id="rId8"/>
          <w:footerReference w:type="default" r:id="rId9"/>
          <w:headerReference w:type="first" r:id="rId10"/>
          <w:pgSz w:w="11907" w:h="16840" w:code="9"/>
          <w:pgMar w:top="1134" w:right="1134" w:bottom="1134" w:left="1134" w:header="720" w:footer="510" w:gutter="0"/>
          <w:cols w:space="720"/>
          <w:titlePg/>
          <w:docGrid w:linePitch="360"/>
        </w:sectPr>
      </w:pPr>
      <w:r w:rsidRPr="000562DC">
        <w:rPr>
          <w:rFonts w:ascii="Times New Roman" w:hAnsi="Times New Roman" w:cs="Times New Roman"/>
          <w:lang w:val="fr-FR"/>
        </w:rPr>
        <w:t>Les détails de chaque scénario et les justifications des diverses propositions sont exposés dans le présent document.</w:t>
      </w:r>
      <w:r w:rsidR="00DF216F" w:rsidRPr="00605B50">
        <w:rPr>
          <w:rFonts w:ascii="Times New Roman" w:hAnsi="Times New Roman" w:cs="Times New Roman"/>
          <w:i/>
          <w:lang w:val="fr-FR"/>
        </w:rPr>
        <w:t xml:space="preserve"> </w:t>
      </w:r>
    </w:p>
    <w:p w:rsidR="00EE5D58" w:rsidRPr="00B5292F" w:rsidRDefault="000562DC" w:rsidP="000562DC">
      <w:pPr>
        <w:spacing w:after="0" w:line="28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292F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Actions requises de la Réunion des Parties</w:t>
      </w:r>
    </w:p>
    <w:p w:rsidR="00FC6423" w:rsidRPr="00605B50" w:rsidRDefault="00FC6423" w:rsidP="00FC6423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:rsidR="00EE5D58" w:rsidRPr="00605B50" w:rsidRDefault="000562DC" w:rsidP="000562DC">
      <w:pPr>
        <w:spacing w:after="0" w:line="280" w:lineRule="auto"/>
        <w:jc w:val="both"/>
        <w:rPr>
          <w:rFonts w:ascii="Times New Roman" w:hAnsi="Times New Roman" w:cs="Times New Roman"/>
          <w:lang w:val="fr-FR"/>
        </w:rPr>
      </w:pPr>
      <w:r w:rsidRPr="000562DC">
        <w:rPr>
          <w:rFonts w:ascii="Times New Roman" w:hAnsi="Times New Roman" w:cs="Times New Roman"/>
          <w:lang w:val="fr-FR"/>
        </w:rPr>
        <w:t>La Réunion des Parties est chargée d</w:t>
      </w:r>
      <w:r w:rsidR="00B06B07">
        <w:rPr>
          <w:rFonts w:ascii="Times New Roman" w:hAnsi="Times New Roman" w:cs="Times New Roman"/>
          <w:lang w:val="fr-FR"/>
        </w:rPr>
        <w:t>’</w:t>
      </w:r>
      <w:r w:rsidRPr="000562DC">
        <w:rPr>
          <w:rFonts w:ascii="Times New Roman" w:hAnsi="Times New Roman" w:cs="Times New Roman"/>
          <w:lang w:val="fr-FR"/>
        </w:rPr>
        <w:t>examiner et d</w:t>
      </w:r>
      <w:r w:rsidR="00B06B07">
        <w:rPr>
          <w:rFonts w:ascii="Times New Roman" w:hAnsi="Times New Roman" w:cs="Times New Roman"/>
          <w:lang w:val="fr-FR"/>
        </w:rPr>
        <w:t>’</w:t>
      </w:r>
      <w:r w:rsidRPr="000562DC">
        <w:rPr>
          <w:rFonts w:ascii="Times New Roman" w:hAnsi="Times New Roman" w:cs="Times New Roman"/>
          <w:lang w:val="fr-FR"/>
        </w:rPr>
        <w:t>adopter un budget pour</w:t>
      </w:r>
      <w:r w:rsidR="00B06B07">
        <w:rPr>
          <w:rFonts w:ascii="Times New Roman" w:hAnsi="Times New Roman" w:cs="Times New Roman"/>
          <w:lang w:val="fr-FR"/>
        </w:rPr>
        <w:t xml:space="preserve"> </w:t>
      </w:r>
      <w:r w:rsidRPr="000562DC">
        <w:rPr>
          <w:rFonts w:ascii="Times New Roman" w:hAnsi="Times New Roman" w:cs="Times New Roman"/>
          <w:lang w:val="fr-FR"/>
        </w:rPr>
        <w:t>2019-2021 et l</w:t>
      </w:r>
      <w:r w:rsidR="00B06B07">
        <w:rPr>
          <w:rFonts w:ascii="Times New Roman" w:hAnsi="Times New Roman" w:cs="Times New Roman"/>
          <w:lang w:val="fr-FR"/>
        </w:rPr>
        <w:t>’</w:t>
      </w:r>
      <w:r w:rsidRPr="000562DC">
        <w:rPr>
          <w:rFonts w:ascii="Times New Roman" w:hAnsi="Times New Roman" w:cs="Times New Roman"/>
          <w:lang w:val="fr-FR"/>
        </w:rPr>
        <w:t>avant-projet de résolution AEWA/ MOP7 DR12 sur les Questions financières et administratives.</w:t>
      </w:r>
    </w:p>
    <w:p w:rsidR="00BC31C5" w:rsidRPr="00605B50" w:rsidRDefault="00BC31C5" w:rsidP="004914A3">
      <w:pPr>
        <w:spacing w:after="0" w:line="360" w:lineRule="auto"/>
        <w:jc w:val="both"/>
        <w:rPr>
          <w:rFonts w:ascii="Times New Roman" w:hAnsi="Times New Roman" w:cs="Times New Roman"/>
          <w:i/>
          <w:lang w:val="fr-FR"/>
        </w:rPr>
      </w:pPr>
    </w:p>
    <w:p w:rsidR="00290B3B" w:rsidRPr="00605B50" w:rsidRDefault="00290B3B" w:rsidP="00895AC7">
      <w:pPr>
        <w:spacing w:line="276" w:lineRule="auto"/>
        <w:rPr>
          <w:rFonts w:ascii="Times New Roman" w:hAnsi="Times New Roman" w:cs="Times New Roman"/>
          <w:i/>
          <w:lang w:val="fr-FR"/>
        </w:rPr>
      </w:pPr>
      <w:r w:rsidRPr="00605B50">
        <w:rPr>
          <w:rFonts w:ascii="Times New Roman" w:hAnsi="Times New Roman" w:cs="Times New Roman"/>
          <w:i/>
          <w:lang w:val="fr-FR"/>
        </w:rPr>
        <w:br w:type="page"/>
      </w:r>
    </w:p>
    <w:p w:rsidR="002833F9" w:rsidRPr="00605B50" w:rsidRDefault="000562DC" w:rsidP="000562DC">
      <w:pPr>
        <w:shd w:val="clear" w:color="auto" w:fill="D9E2F3" w:themeFill="accent1" w:themeFillTint="33"/>
        <w:spacing w:line="260" w:lineRule="auto"/>
        <w:jc w:val="both"/>
        <w:rPr>
          <w:rFonts w:ascii="Times New Roman" w:hAnsi="Times New Roman" w:cs="Times New Roman"/>
          <w:b/>
          <w:lang w:val="fr-FR"/>
        </w:rPr>
      </w:pPr>
      <w:r w:rsidRPr="000562DC">
        <w:rPr>
          <w:rFonts w:ascii="Times New Roman" w:hAnsi="Times New Roman" w:cs="Times New Roman"/>
          <w:b/>
          <w:lang w:val="fr-FR"/>
        </w:rPr>
        <w:lastRenderedPageBreak/>
        <w:t>Avant-projet de scénarios budgétaire</w:t>
      </w:r>
      <w:r w:rsidR="007B3B30">
        <w:rPr>
          <w:rFonts w:ascii="Times New Roman" w:hAnsi="Times New Roman" w:cs="Times New Roman"/>
          <w:b/>
          <w:lang w:val="fr-FR"/>
        </w:rPr>
        <w:t>s</w:t>
      </w:r>
      <w:r w:rsidRPr="000562DC">
        <w:rPr>
          <w:rFonts w:ascii="Times New Roman" w:hAnsi="Times New Roman" w:cs="Times New Roman"/>
          <w:b/>
          <w:lang w:val="fr-FR"/>
        </w:rPr>
        <w:t xml:space="preserve"> pour la période triennale 2019-2021</w:t>
      </w:r>
    </w:p>
    <w:p w:rsidR="002833F9" w:rsidRPr="00605B50" w:rsidRDefault="002833F9" w:rsidP="009611AD">
      <w:pPr>
        <w:jc w:val="both"/>
        <w:rPr>
          <w:rFonts w:ascii="Times New Roman" w:hAnsi="Times New Roman" w:cs="Times New Roman"/>
          <w:lang w:val="fr-FR"/>
        </w:rPr>
      </w:pPr>
    </w:p>
    <w:p w:rsidR="002833F9" w:rsidRPr="00605B50" w:rsidRDefault="000562DC" w:rsidP="009611AD">
      <w:pPr>
        <w:pStyle w:val="ListParagraph"/>
        <w:numPr>
          <w:ilvl w:val="0"/>
          <w:numId w:val="4"/>
        </w:numPr>
        <w:ind w:left="360"/>
        <w:jc w:val="both"/>
        <w:rPr>
          <w:b/>
          <w:lang w:val="fr-FR"/>
        </w:rPr>
      </w:pPr>
      <w:r w:rsidRPr="000562DC">
        <w:rPr>
          <w:b/>
          <w:lang w:val="fr-FR"/>
        </w:rPr>
        <w:t>Éléments et considérations essentiels pour l</w:t>
      </w:r>
      <w:r w:rsidR="00B06B07">
        <w:rPr>
          <w:b/>
          <w:lang w:val="fr-FR"/>
        </w:rPr>
        <w:t>’</w:t>
      </w:r>
      <w:r w:rsidRPr="000562DC">
        <w:rPr>
          <w:b/>
          <w:lang w:val="fr-FR"/>
        </w:rPr>
        <w:t>avant-projet de proposition de budget 2019-2021</w:t>
      </w:r>
    </w:p>
    <w:p w:rsidR="00D368AB" w:rsidRPr="00605B50" w:rsidRDefault="00D368AB" w:rsidP="009611AD">
      <w:pPr>
        <w:jc w:val="both"/>
        <w:rPr>
          <w:rFonts w:ascii="Times New Roman" w:hAnsi="Times New Roman" w:cs="Times New Roman"/>
          <w:lang w:val="fr-FR"/>
        </w:rPr>
      </w:pPr>
    </w:p>
    <w:p w:rsidR="00D368AB" w:rsidRPr="00605B50" w:rsidRDefault="000562DC" w:rsidP="000562DC">
      <w:pPr>
        <w:spacing w:after="0" w:line="260" w:lineRule="auto"/>
        <w:jc w:val="both"/>
        <w:rPr>
          <w:rFonts w:ascii="Times New Roman" w:hAnsi="Times New Roman" w:cs="Times New Roman"/>
          <w:u w:val="single"/>
          <w:lang w:val="fr-FR"/>
        </w:rPr>
      </w:pPr>
      <w:r w:rsidRPr="000562DC">
        <w:rPr>
          <w:rFonts w:ascii="Times New Roman" w:hAnsi="Times New Roman" w:cs="Times New Roman"/>
          <w:u w:val="single"/>
          <w:lang w:val="fr-FR"/>
        </w:rPr>
        <w:t>Introduction générale</w:t>
      </w:r>
    </w:p>
    <w:p w:rsidR="004914A3" w:rsidRPr="00605B50" w:rsidRDefault="000562DC" w:rsidP="00221EE4">
      <w:pPr>
        <w:spacing w:after="0" w:line="280" w:lineRule="auto"/>
        <w:jc w:val="both"/>
        <w:rPr>
          <w:rFonts w:ascii="Times New Roman" w:hAnsi="Times New Roman" w:cs="Times New Roman"/>
          <w:lang w:val="fr-FR"/>
        </w:rPr>
      </w:pPr>
      <w:r w:rsidRPr="00221EE4">
        <w:rPr>
          <w:rFonts w:ascii="Times New Roman" w:hAnsi="Times New Roman" w:cs="Times New Roman"/>
          <w:lang w:val="fr-FR"/>
        </w:rPr>
        <w:t xml:space="preserve">Le </w:t>
      </w:r>
      <w:r w:rsidR="00221EE4" w:rsidRPr="00221EE4">
        <w:rPr>
          <w:rFonts w:ascii="Times New Roman" w:hAnsi="Times New Roman" w:cs="Times New Roman"/>
          <w:lang w:val="fr-FR"/>
        </w:rPr>
        <w:t>budget principal de l</w:t>
      </w:r>
      <w:r w:rsidR="00B06B07">
        <w:rPr>
          <w:rFonts w:ascii="Times New Roman" w:hAnsi="Times New Roman" w:cs="Times New Roman"/>
          <w:lang w:val="fr-FR"/>
        </w:rPr>
        <w:t>’</w:t>
      </w:r>
      <w:r w:rsidR="00221EE4" w:rsidRPr="00221EE4">
        <w:rPr>
          <w:rFonts w:ascii="Times New Roman" w:hAnsi="Times New Roman" w:cs="Times New Roman"/>
          <w:lang w:val="fr-FR"/>
        </w:rPr>
        <w:t xml:space="preserve">AEWA </w:t>
      </w:r>
      <w:r w:rsidRPr="00221EE4">
        <w:rPr>
          <w:rFonts w:ascii="Times New Roman" w:hAnsi="Times New Roman" w:cs="Times New Roman"/>
          <w:lang w:val="fr-FR"/>
        </w:rPr>
        <w:t>n</w:t>
      </w:r>
      <w:r w:rsidR="00B06B07">
        <w:rPr>
          <w:rFonts w:ascii="Times New Roman" w:hAnsi="Times New Roman" w:cs="Times New Roman"/>
          <w:lang w:val="fr-FR"/>
        </w:rPr>
        <w:t>’</w:t>
      </w:r>
      <w:r w:rsidRPr="00221EE4">
        <w:rPr>
          <w:rFonts w:ascii="Times New Roman" w:hAnsi="Times New Roman" w:cs="Times New Roman"/>
          <w:lang w:val="fr-FR"/>
        </w:rPr>
        <w:t xml:space="preserve">a pas été augmenté depuis </w:t>
      </w:r>
      <w:r w:rsidR="00221EE4" w:rsidRPr="00221EE4">
        <w:rPr>
          <w:rFonts w:ascii="Times New Roman" w:hAnsi="Times New Roman" w:cs="Times New Roman"/>
          <w:lang w:val="fr-FR"/>
        </w:rPr>
        <w:t xml:space="preserve">la </w:t>
      </w:r>
      <w:r w:rsidRPr="00221EE4">
        <w:rPr>
          <w:rFonts w:ascii="Times New Roman" w:hAnsi="Times New Roman" w:cs="Times New Roman"/>
          <w:lang w:val="fr-FR"/>
        </w:rPr>
        <w:t xml:space="preserve">MOP4 en 2008. Les budgets adoptés par </w:t>
      </w:r>
      <w:r w:rsidR="00221EE4" w:rsidRPr="00221EE4">
        <w:rPr>
          <w:rFonts w:ascii="Times New Roman" w:hAnsi="Times New Roman" w:cs="Times New Roman"/>
          <w:lang w:val="fr-FR"/>
        </w:rPr>
        <w:t xml:space="preserve">la </w:t>
      </w:r>
      <w:r w:rsidRPr="00221EE4">
        <w:rPr>
          <w:rFonts w:ascii="Times New Roman" w:hAnsi="Times New Roman" w:cs="Times New Roman"/>
          <w:lang w:val="fr-FR"/>
        </w:rPr>
        <w:t xml:space="preserve">MOP4, </w:t>
      </w:r>
      <w:r w:rsidR="00221EE4" w:rsidRPr="00221EE4">
        <w:rPr>
          <w:rFonts w:ascii="Times New Roman" w:hAnsi="Times New Roman" w:cs="Times New Roman"/>
          <w:lang w:val="fr-FR"/>
        </w:rPr>
        <w:t xml:space="preserve">la </w:t>
      </w:r>
      <w:r w:rsidRPr="00221EE4">
        <w:rPr>
          <w:rFonts w:ascii="Times New Roman" w:hAnsi="Times New Roman" w:cs="Times New Roman"/>
          <w:lang w:val="fr-FR"/>
        </w:rPr>
        <w:t xml:space="preserve">MOP5 et </w:t>
      </w:r>
      <w:r w:rsidR="00221EE4" w:rsidRPr="00221EE4">
        <w:rPr>
          <w:rFonts w:ascii="Times New Roman" w:hAnsi="Times New Roman" w:cs="Times New Roman"/>
          <w:lang w:val="fr-FR"/>
        </w:rPr>
        <w:t xml:space="preserve">la </w:t>
      </w:r>
      <w:r w:rsidRPr="00221EE4">
        <w:rPr>
          <w:rFonts w:ascii="Times New Roman" w:hAnsi="Times New Roman" w:cs="Times New Roman"/>
          <w:lang w:val="fr-FR"/>
        </w:rPr>
        <w:t xml:space="preserve">MOP6 </w:t>
      </w:r>
      <w:r w:rsidR="00221EE4" w:rsidRPr="00221EE4">
        <w:rPr>
          <w:rFonts w:ascii="Times New Roman" w:hAnsi="Times New Roman" w:cs="Times New Roman"/>
          <w:lang w:val="fr-FR"/>
        </w:rPr>
        <w:t>suffisaient</w:t>
      </w:r>
      <w:r w:rsidRPr="00221EE4">
        <w:rPr>
          <w:rFonts w:ascii="Times New Roman" w:hAnsi="Times New Roman" w:cs="Times New Roman"/>
          <w:lang w:val="fr-FR"/>
        </w:rPr>
        <w:t xml:space="preserve">, presque exclusivement, </w:t>
      </w:r>
      <w:r w:rsidR="00221EE4" w:rsidRPr="00221EE4">
        <w:rPr>
          <w:rFonts w:ascii="Times New Roman" w:hAnsi="Times New Roman" w:cs="Times New Roman"/>
          <w:lang w:val="fr-FR"/>
        </w:rPr>
        <w:t xml:space="preserve">à couvrir </w:t>
      </w:r>
      <w:r w:rsidRPr="00221EE4">
        <w:rPr>
          <w:rFonts w:ascii="Times New Roman" w:hAnsi="Times New Roman" w:cs="Times New Roman"/>
          <w:lang w:val="fr-FR"/>
        </w:rPr>
        <w:t xml:space="preserve">les </w:t>
      </w:r>
      <w:r w:rsidR="00221EE4" w:rsidRPr="00221EE4">
        <w:rPr>
          <w:rFonts w:ascii="Times New Roman" w:hAnsi="Times New Roman" w:cs="Times New Roman"/>
          <w:lang w:val="fr-FR"/>
        </w:rPr>
        <w:t xml:space="preserve">coûts relatifs au fonctionnement de base de </w:t>
      </w:r>
      <w:r w:rsidR="00B06B07">
        <w:rPr>
          <w:rFonts w:ascii="Times New Roman" w:hAnsi="Times New Roman" w:cs="Times New Roman"/>
          <w:lang w:val="fr-FR"/>
        </w:rPr>
        <w:t>l’</w:t>
      </w:r>
      <w:r w:rsidR="00221EE4" w:rsidRPr="00221EE4">
        <w:rPr>
          <w:rFonts w:ascii="Times New Roman" w:hAnsi="Times New Roman" w:cs="Times New Roman"/>
          <w:lang w:val="fr-FR"/>
        </w:rPr>
        <w:t>Accord.</w:t>
      </w:r>
      <w:r w:rsidR="000B2CE9" w:rsidRPr="00605B50">
        <w:rPr>
          <w:rFonts w:ascii="Times New Roman" w:hAnsi="Times New Roman" w:cs="Times New Roman"/>
          <w:lang w:val="fr-FR"/>
        </w:rPr>
        <w:t xml:space="preserve"> </w:t>
      </w:r>
      <w:r w:rsidR="00221EE4" w:rsidRPr="00221EE4">
        <w:rPr>
          <w:rFonts w:ascii="Times New Roman" w:hAnsi="Times New Roman" w:cs="Times New Roman"/>
          <w:lang w:val="fr-FR"/>
        </w:rPr>
        <w:t>Il s</w:t>
      </w:r>
      <w:r w:rsidR="00B06B07">
        <w:rPr>
          <w:rFonts w:ascii="Times New Roman" w:hAnsi="Times New Roman" w:cs="Times New Roman"/>
          <w:lang w:val="fr-FR"/>
        </w:rPr>
        <w:t>’</w:t>
      </w:r>
      <w:r w:rsidR="00221EE4" w:rsidRPr="00221EE4">
        <w:rPr>
          <w:rFonts w:ascii="Times New Roman" w:hAnsi="Times New Roman" w:cs="Times New Roman"/>
          <w:lang w:val="fr-FR"/>
        </w:rPr>
        <w:t xml:space="preserve">agissait en particulier des salaires de la plupart des postes à durée déterminée et des frais </w:t>
      </w:r>
      <w:r w:rsidR="007B3B30">
        <w:rPr>
          <w:rFonts w:ascii="Times New Roman" w:hAnsi="Times New Roman" w:cs="Times New Roman"/>
          <w:lang w:val="fr-FR"/>
        </w:rPr>
        <w:t>de fonctionnement</w:t>
      </w:r>
      <w:r w:rsidR="00221EE4" w:rsidRPr="00221EE4">
        <w:rPr>
          <w:rFonts w:ascii="Times New Roman" w:hAnsi="Times New Roman" w:cs="Times New Roman"/>
          <w:lang w:val="fr-FR"/>
        </w:rPr>
        <w:t xml:space="preserve"> du Secrétariat, ainsi qu</w:t>
      </w:r>
      <w:r w:rsidR="00B06B07">
        <w:rPr>
          <w:rFonts w:ascii="Times New Roman" w:hAnsi="Times New Roman" w:cs="Times New Roman"/>
          <w:lang w:val="fr-FR"/>
        </w:rPr>
        <w:t>’</w:t>
      </w:r>
      <w:r w:rsidR="00221EE4" w:rsidRPr="00221EE4">
        <w:rPr>
          <w:rFonts w:ascii="Times New Roman" w:hAnsi="Times New Roman" w:cs="Times New Roman"/>
          <w:lang w:val="fr-FR"/>
        </w:rPr>
        <w:t>une partie des coûts liés à l</w:t>
      </w:r>
      <w:r w:rsidR="00B06B07">
        <w:rPr>
          <w:rFonts w:ascii="Times New Roman" w:hAnsi="Times New Roman" w:cs="Times New Roman"/>
          <w:lang w:val="fr-FR"/>
        </w:rPr>
        <w:t>’</w:t>
      </w:r>
      <w:r w:rsidR="00221EE4" w:rsidRPr="00221EE4">
        <w:rPr>
          <w:rFonts w:ascii="Times New Roman" w:hAnsi="Times New Roman" w:cs="Times New Roman"/>
          <w:lang w:val="fr-FR"/>
        </w:rPr>
        <w:t>organisation logistique des réunions des organes de l</w:t>
      </w:r>
      <w:r w:rsidR="00B06B07">
        <w:rPr>
          <w:rFonts w:ascii="Times New Roman" w:hAnsi="Times New Roman" w:cs="Times New Roman"/>
          <w:lang w:val="fr-FR"/>
        </w:rPr>
        <w:t>’</w:t>
      </w:r>
      <w:r w:rsidR="00221EE4" w:rsidRPr="00221EE4">
        <w:rPr>
          <w:rFonts w:ascii="Times New Roman" w:hAnsi="Times New Roman" w:cs="Times New Roman"/>
          <w:lang w:val="fr-FR"/>
        </w:rPr>
        <w:t>Accord (Réunion des Parties, Comité permanent et Comité technique).</w:t>
      </w:r>
      <w:r w:rsidR="00D368AB" w:rsidRPr="00605B50">
        <w:rPr>
          <w:rFonts w:ascii="Times New Roman" w:hAnsi="Times New Roman" w:cs="Times New Roman"/>
          <w:lang w:val="fr-FR"/>
        </w:rPr>
        <w:t xml:space="preserve"> </w:t>
      </w:r>
    </w:p>
    <w:p w:rsidR="00FC6423" w:rsidRPr="00605B50" w:rsidRDefault="00221EE4" w:rsidP="00A4407A">
      <w:pPr>
        <w:spacing w:line="280" w:lineRule="auto"/>
        <w:jc w:val="both"/>
        <w:rPr>
          <w:rFonts w:ascii="Times New Roman" w:hAnsi="Times New Roman" w:cs="Times New Roman"/>
          <w:lang w:val="fr-FR"/>
        </w:rPr>
      </w:pPr>
      <w:r w:rsidRPr="00A4407A">
        <w:rPr>
          <w:rFonts w:ascii="Times New Roman" w:hAnsi="Times New Roman" w:cs="Times New Roman"/>
          <w:lang w:val="fr-FR"/>
        </w:rPr>
        <w:t>Afin d</w:t>
      </w:r>
      <w:r w:rsidR="00B06B07">
        <w:rPr>
          <w:rFonts w:ascii="Times New Roman" w:hAnsi="Times New Roman" w:cs="Times New Roman"/>
          <w:lang w:val="fr-FR"/>
        </w:rPr>
        <w:t>’</w:t>
      </w:r>
      <w:r w:rsidRPr="00A4407A">
        <w:rPr>
          <w:rFonts w:ascii="Times New Roman" w:hAnsi="Times New Roman" w:cs="Times New Roman"/>
          <w:lang w:val="fr-FR"/>
        </w:rPr>
        <w:t>être en mesure de fonctionner pendant dix années consécutives en s</w:t>
      </w:r>
      <w:r w:rsidR="00B06B07">
        <w:rPr>
          <w:rFonts w:ascii="Times New Roman" w:hAnsi="Times New Roman" w:cs="Times New Roman"/>
          <w:lang w:val="fr-FR"/>
        </w:rPr>
        <w:t>’</w:t>
      </w:r>
      <w:r w:rsidRPr="00A4407A">
        <w:rPr>
          <w:rFonts w:ascii="Times New Roman" w:hAnsi="Times New Roman" w:cs="Times New Roman"/>
          <w:lang w:val="fr-FR"/>
        </w:rPr>
        <w:t>appuyant sur</w:t>
      </w:r>
      <w:r w:rsidR="00B06B07">
        <w:rPr>
          <w:rFonts w:ascii="Times New Roman" w:hAnsi="Times New Roman" w:cs="Times New Roman"/>
          <w:lang w:val="fr-FR"/>
        </w:rPr>
        <w:t xml:space="preserve"> </w:t>
      </w:r>
      <w:r w:rsidRPr="00A4407A">
        <w:rPr>
          <w:rFonts w:ascii="Times New Roman" w:hAnsi="Times New Roman" w:cs="Times New Roman"/>
          <w:lang w:val="fr-FR"/>
        </w:rPr>
        <w:t>un budget ayant une croissance nominale nulle, le Secrétariat a dû couvrir les coûts salariaux de 2,5 postes</w:t>
      </w:r>
      <w:r w:rsidRPr="00A4407A">
        <w:rPr>
          <w:rStyle w:val="FootnoteReference"/>
          <w:rFonts w:ascii="Times New Roman" w:hAnsi="Times New Roman" w:cs="Times New Roman"/>
          <w:lang w:val="fr-FR"/>
        </w:rPr>
        <w:footnoteReference w:id="1"/>
      </w:r>
      <w:r w:rsidRPr="00A4407A">
        <w:rPr>
          <w:rFonts w:ascii="Times New Roman" w:hAnsi="Times New Roman" w:cs="Times New Roman"/>
          <w:lang w:val="fr-FR"/>
        </w:rPr>
        <w:t xml:space="preserve"> P-2 et 1,85 postes</w:t>
      </w:r>
      <w:r w:rsidRPr="00A4407A">
        <w:rPr>
          <w:rStyle w:val="FootnoteReference"/>
          <w:rFonts w:ascii="Times New Roman" w:hAnsi="Times New Roman" w:cs="Times New Roman"/>
          <w:lang w:val="fr-FR"/>
        </w:rPr>
        <w:footnoteReference w:id="2"/>
      </w:r>
      <w:r w:rsidRPr="00A4407A">
        <w:rPr>
          <w:rFonts w:ascii="Times New Roman" w:hAnsi="Times New Roman" w:cs="Times New Roman"/>
          <w:lang w:val="fr-FR"/>
        </w:rPr>
        <w:t xml:space="preserve"> G-5 à l</w:t>
      </w:r>
      <w:r w:rsidR="00B06B07">
        <w:rPr>
          <w:rFonts w:ascii="Times New Roman" w:hAnsi="Times New Roman" w:cs="Times New Roman"/>
          <w:lang w:val="fr-FR"/>
        </w:rPr>
        <w:t>’</w:t>
      </w:r>
      <w:r w:rsidRPr="00A4407A">
        <w:rPr>
          <w:rFonts w:ascii="Times New Roman" w:hAnsi="Times New Roman" w:cs="Times New Roman"/>
          <w:lang w:val="fr-FR"/>
        </w:rPr>
        <w:t>aide d</w:t>
      </w:r>
      <w:r w:rsidR="00B06B07">
        <w:rPr>
          <w:rFonts w:ascii="Times New Roman" w:hAnsi="Times New Roman" w:cs="Times New Roman"/>
          <w:lang w:val="fr-FR"/>
        </w:rPr>
        <w:t>’</w:t>
      </w:r>
      <w:r w:rsidRPr="00A4407A">
        <w:rPr>
          <w:rFonts w:ascii="Times New Roman" w:hAnsi="Times New Roman" w:cs="Times New Roman"/>
          <w:lang w:val="fr-FR"/>
        </w:rPr>
        <w:t>autres sources de financement</w:t>
      </w:r>
      <w:r w:rsidR="00BB71AA">
        <w:rPr>
          <w:rFonts w:ascii="Times New Roman" w:hAnsi="Times New Roman" w:cs="Times New Roman"/>
          <w:lang w:val="fr-FR"/>
        </w:rPr>
        <w:t xml:space="preserve"> et</w:t>
      </w:r>
      <w:r w:rsidRPr="00A4407A">
        <w:rPr>
          <w:rFonts w:ascii="Times New Roman" w:hAnsi="Times New Roman" w:cs="Times New Roman"/>
          <w:lang w:val="fr-FR"/>
        </w:rPr>
        <w:t xml:space="preserve"> de </w:t>
      </w:r>
      <w:r w:rsidR="00A4407A" w:rsidRPr="00A4407A">
        <w:rPr>
          <w:rFonts w:ascii="Times New Roman" w:hAnsi="Times New Roman" w:cs="Times New Roman"/>
          <w:lang w:val="fr-FR"/>
        </w:rPr>
        <w:t xml:space="preserve">levées de fonds </w:t>
      </w:r>
      <w:r w:rsidRPr="00A4407A">
        <w:rPr>
          <w:rFonts w:ascii="Times New Roman" w:hAnsi="Times New Roman" w:cs="Times New Roman"/>
          <w:lang w:val="fr-FR"/>
        </w:rPr>
        <w:t xml:space="preserve">pour les réunions régulières des </w:t>
      </w:r>
      <w:r w:rsidR="00A4407A" w:rsidRPr="00A4407A">
        <w:rPr>
          <w:rFonts w:ascii="Times New Roman" w:hAnsi="Times New Roman" w:cs="Times New Roman"/>
          <w:lang w:val="fr-FR"/>
        </w:rPr>
        <w:t>organes</w:t>
      </w:r>
      <w:r w:rsidRPr="00A4407A">
        <w:rPr>
          <w:rFonts w:ascii="Times New Roman" w:hAnsi="Times New Roman" w:cs="Times New Roman"/>
          <w:lang w:val="fr-FR"/>
        </w:rPr>
        <w:t xml:space="preserve"> de l</w:t>
      </w:r>
      <w:r w:rsidR="00B06B07">
        <w:rPr>
          <w:rFonts w:ascii="Times New Roman" w:hAnsi="Times New Roman" w:cs="Times New Roman"/>
          <w:lang w:val="fr-FR"/>
        </w:rPr>
        <w:t>’</w:t>
      </w:r>
      <w:r w:rsidRPr="00A4407A">
        <w:rPr>
          <w:rFonts w:ascii="Times New Roman" w:hAnsi="Times New Roman" w:cs="Times New Roman"/>
          <w:lang w:val="fr-FR"/>
        </w:rPr>
        <w:t>accord</w:t>
      </w:r>
      <w:r w:rsidR="00BB71AA">
        <w:rPr>
          <w:rFonts w:ascii="Times New Roman" w:hAnsi="Times New Roman" w:cs="Times New Roman"/>
          <w:lang w:val="fr-FR"/>
        </w:rPr>
        <w:t>,</w:t>
      </w:r>
      <w:r w:rsidRPr="00A4407A">
        <w:rPr>
          <w:rFonts w:ascii="Times New Roman" w:hAnsi="Times New Roman" w:cs="Times New Roman"/>
          <w:lang w:val="fr-FR"/>
        </w:rPr>
        <w:t xml:space="preserve"> et </w:t>
      </w:r>
      <w:r w:rsidR="007B3B30">
        <w:rPr>
          <w:rFonts w:ascii="Times New Roman" w:hAnsi="Times New Roman" w:cs="Times New Roman"/>
          <w:lang w:val="fr-FR"/>
        </w:rPr>
        <w:t xml:space="preserve">il </w:t>
      </w:r>
      <w:r w:rsidR="00A4407A" w:rsidRPr="00A4407A">
        <w:rPr>
          <w:rFonts w:ascii="Times New Roman" w:hAnsi="Times New Roman" w:cs="Times New Roman"/>
          <w:lang w:val="fr-FR"/>
        </w:rPr>
        <w:t xml:space="preserve">a dû réduire </w:t>
      </w:r>
      <w:r w:rsidRPr="00A4407A">
        <w:rPr>
          <w:rFonts w:ascii="Times New Roman" w:hAnsi="Times New Roman" w:cs="Times New Roman"/>
          <w:lang w:val="fr-FR"/>
        </w:rPr>
        <w:t>ses frais d</w:t>
      </w:r>
      <w:r w:rsidR="00A4407A" w:rsidRPr="00A4407A">
        <w:rPr>
          <w:rFonts w:ascii="Times New Roman" w:hAnsi="Times New Roman" w:cs="Times New Roman"/>
          <w:lang w:val="fr-FR"/>
        </w:rPr>
        <w:t>e fonctionnement</w:t>
      </w:r>
      <w:r w:rsidR="00B06B07">
        <w:rPr>
          <w:rFonts w:ascii="Times New Roman" w:hAnsi="Times New Roman" w:cs="Times New Roman"/>
          <w:lang w:val="fr-FR"/>
        </w:rPr>
        <w:t xml:space="preserve"> </w:t>
      </w:r>
      <w:r w:rsidRPr="00A4407A">
        <w:rPr>
          <w:rFonts w:ascii="Times New Roman" w:hAnsi="Times New Roman" w:cs="Times New Roman"/>
          <w:lang w:val="fr-FR"/>
        </w:rPr>
        <w:t>à un minimum.</w:t>
      </w:r>
      <w:r w:rsidR="005F77D0" w:rsidRPr="00605B50">
        <w:rPr>
          <w:rFonts w:ascii="Times New Roman" w:hAnsi="Times New Roman" w:cs="Times New Roman"/>
          <w:lang w:val="fr-FR"/>
        </w:rPr>
        <w:t xml:space="preserve"> </w:t>
      </w:r>
    </w:p>
    <w:p w:rsidR="00FC6423" w:rsidRPr="00605B50" w:rsidRDefault="00A4407A" w:rsidP="00556FDF">
      <w:pPr>
        <w:spacing w:line="280" w:lineRule="auto"/>
        <w:jc w:val="both"/>
        <w:rPr>
          <w:rFonts w:ascii="Times New Roman" w:hAnsi="Times New Roman" w:cs="Times New Roman"/>
          <w:lang w:val="fr-FR"/>
        </w:rPr>
      </w:pPr>
      <w:r w:rsidRPr="000826F6">
        <w:rPr>
          <w:rFonts w:ascii="Times New Roman" w:hAnsi="Times New Roman" w:cs="Times New Roman"/>
          <w:lang w:val="fr-FR"/>
        </w:rPr>
        <w:t xml:space="preserve">Les coûts liés </w:t>
      </w:r>
      <w:r w:rsidR="00BB71AA">
        <w:rPr>
          <w:rFonts w:ascii="Times New Roman" w:hAnsi="Times New Roman" w:cs="Times New Roman"/>
          <w:lang w:val="fr-FR"/>
        </w:rPr>
        <w:t>à d’</w:t>
      </w:r>
      <w:r w:rsidRPr="000826F6">
        <w:rPr>
          <w:rFonts w:ascii="Times New Roman" w:hAnsi="Times New Roman" w:cs="Times New Roman"/>
          <w:lang w:val="fr-FR"/>
        </w:rPr>
        <w:t xml:space="preserve">importantes prestations </w:t>
      </w:r>
      <w:r w:rsidR="00D228BC">
        <w:rPr>
          <w:rFonts w:ascii="Times New Roman" w:hAnsi="Times New Roman" w:cs="Times New Roman"/>
          <w:lang w:val="fr-FR"/>
        </w:rPr>
        <w:t xml:space="preserve">lors </w:t>
      </w:r>
      <w:r w:rsidRPr="000826F6">
        <w:rPr>
          <w:rFonts w:ascii="Times New Roman" w:hAnsi="Times New Roman" w:cs="Times New Roman"/>
          <w:lang w:val="fr-FR"/>
        </w:rPr>
        <w:t>des réunions</w:t>
      </w:r>
      <w:r w:rsidR="00BB71AA">
        <w:rPr>
          <w:rFonts w:ascii="Times New Roman" w:hAnsi="Times New Roman" w:cs="Times New Roman"/>
          <w:lang w:val="fr-FR"/>
        </w:rPr>
        <w:t>,</w:t>
      </w:r>
      <w:r w:rsidRPr="000826F6">
        <w:rPr>
          <w:rFonts w:ascii="Times New Roman" w:hAnsi="Times New Roman" w:cs="Times New Roman"/>
          <w:lang w:val="fr-FR"/>
        </w:rPr>
        <w:t xml:space="preserve"> telles que la production de documents, l</w:t>
      </w:r>
      <w:r w:rsidR="00B06B07">
        <w:rPr>
          <w:rFonts w:ascii="Times New Roman" w:hAnsi="Times New Roman" w:cs="Times New Roman"/>
          <w:lang w:val="fr-FR"/>
        </w:rPr>
        <w:t>’</w:t>
      </w:r>
      <w:r w:rsidRPr="000826F6">
        <w:rPr>
          <w:rFonts w:ascii="Times New Roman" w:hAnsi="Times New Roman" w:cs="Times New Roman"/>
          <w:lang w:val="fr-FR"/>
        </w:rPr>
        <w:t>interprétation simultanée et les rédactions de rapport</w:t>
      </w:r>
      <w:r w:rsidR="00BB71AA">
        <w:rPr>
          <w:rFonts w:ascii="Times New Roman" w:hAnsi="Times New Roman" w:cs="Times New Roman"/>
          <w:lang w:val="fr-FR"/>
        </w:rPr>
        <w:t>,</w:t>
      </w:r>
      <w:r w:rsidRPr="000826F6">
        <w:rPr>
          <w:rFonts w:ascii="Times New Roman" w:hAnsi="Times New Roman" w:cs="Times New Roman"/>
          <w:lang w:val="fr-FR"/>
        </w:rPr>
        <w:t xml:space="preserve"> ont été </w:t>
      </w:r>
      <w:r w:rsidR="00BB71AA">
        <w:rPr>
          <w:rFonts w:ascii="Times New Roman" w:hAnsi="Times New Roman" w:cs="Times New Roman"/>
          <w:lang w:val="fr-FR"/>
        </w:rPr>
        <w:t>s</w:t>
      </w:r>
      <w:r w:rsidR="0058656E">
        <w:rPr>
          <w:rFonts w:ascii="Times New Roman" w:hAnsi="Times New Roman" w:cs="Times New Roman"/>
          <w:lang w:val="fr-FR"/>
        </w:rPr>
        <w:t>u</w:t>
      </w:r>
      <w:r w:rsidR="00BB71AA">
        <w:rPr>
          <w:rFonts w:ascii="Times New Roman" w:hAnsi="Times New Roman" w:cs="Times New Roman"/>
          <w:lang w:val="fr-FR"/>
        </w:rPr>
        <w:t>pprim</w:t>
      </w:r>
      <w:r w:rsidRPr="000826F6">
        <w:rPr>
          <w:rFonts w:ascii="Times New Roman" w:hAnsi="Times New Roman" w:cs="Times New Roman"/>
          <w:lang w:val="fr-FR"/>
        </w:rPr>
        <w:t xml:space="preserve">és </w:t>
      </w:r>
      <w:r w:rsidR="000826F6" w:rsidRPr="000826F6">
        <w:rPr>
          <w:rFonts w:ascii="Times New Roman" w:hAnsi="Times New Roman" w:cs="Times New Roman"/>
          <w:lang w:val="fr-FR"/>
        </w:rPr>
        <w:t>pour les</w:t>
      </w:r>
      <w:r w:rsidRPr="000826F6">
        <w:rPr>
          <w:rFonts w:ascii="Times New Roman" w:hAnsi="Times New Roman" w:cs="Times New Roman"/>
          <w:lang w:val="fr-FR"/>
        </w:rPr>
        <w:t xml:space="preserve"> trois dernières MOP ainsi que toutes les lignes budgétaires </w:t>
      </w:r>
      <w:r w:rsidR="000826F6" w:rsidRPr="000826F6">
        <w:rPr>
          <w:rFonts w:ascii="Times New Roman" w:hAnsi="Times New Roman" w:cs="Times New Roman"/>
          <w:lang w:val="fr-FR"/>
        </w:rPr>
        <w:t>lié</w:t>
      </w:r>
      <w:r w:rsidR="007B3B30">
        <w:rPr>
          <w:rFonts w:ascii="Times New Roman" w:hAnsi="Times New Roman" w:cs="Times New Roman"/>
          <w:lang w:val="fr-FR"/>
        </w:rPr>
        <w:t>e</w:t>
      </w:r>
      <w:r w:rsidR="000826F6" w:rsidRPr="000826F6">
        <w:rPr>
          <w:rFonts w:ascii="Times New Roman" w:hAnsi="Times New Roman" w:cs="Times New Roman"/>
          <w:lang w:val="fr-FR"/>
        </w:rPr>
        <w:t>s à des programmes tels que les Fonds de petites subventions, la mise en œuvre du Plan d</w:t>
      </w:r>
      <w:r w:rsidR="00B06B07">
        <w:rPr>
          <w:rFonts w:ascii="Times New Roman" w:hAnsi="Times New Roman" w:cs="Times New Roman"/>
          <w:lang w:val="fr-FR"/>
        </w:rPr>
        <w:t>’</w:t>
      </w:r>
      <w:r w:rsidR="000826F6" w:rsidRPr="000826F6">
        <w:rPr>
          <w:rFonts w:ascii="Times New Roman" w:hAnsi="Times New Roman" w:cs="Times New Roman"/>
          <w:lang w:val="fr-FR"/>
        </w:rPr>
        <w:t>action pour l</w:t>
      </w:r>
      <w:r w:rsidR="00B06B07">
        <w:rPr>
          <w:rFonts w:ascii="Times New Roman" w:hAnsi="Times New Roman" w:cs="Times New Roman"/>
          <w:lang w:val="fr-FR"/>
        </w:rPr>
        <w:t>’</w:t>
      </w:r>
      <w:r w:rsidR="000826F6" w:rsidRPr="000826F6">
        <w:rPr>
          <w:rFonts w:ascii="Times New Roman" w:hAnsi="Times New Roman" w:cs="Times New Roman"/>
          <w:lang w:val="fr-FR"/>
        </w:rPr>
        <w:t>Afrique ou les ateliers visant le renforcement des capacités</w:t>
      </w:r>
      <w:r w:rsidRPr="000826F6">
        <w:rPr>
          <w:rFonts w:ascii="Times New Roman" w:hAnsi="Times New Roman" w:cs="Times New Roman"/>
          <w:lang w:val="fr-FR"/>
        </w:rPr>
        <w:t>.</w:t>
      </w:r>
      <w:r w:rsidR="00B06B07" w:rsidRPr="00605B50">
        <w:rPr>
          <w:rFonts w:ascii="Times New Roman" w:hAnsi="Times New Roman" w:cs="Times New Roman"/>
          <w:lang w:val="fr-FR"/>
        </w:rPr>
        <w:t xml:space="preserve"> </w:t>
      </w:r>
      <w:r w:rsidR="000826F6" w:rsidRPr="00556FDF">
        <w:rPr>
          <w:rFonts w:ascii="Times New Roman" w:hAnsi="Times New Roman" w:cs="Times New Roman"/>
          <w:lang w:val="fr-FR"/>
        </w:rPr>
        <w:t>En outre, pour assurer la continuation des</w:t>
      </w:r>
      <w:r w:rsidR="00B06B07">
        <w:rPr>
          <w:rFonts w:ascii="Times New Roman" w:hAnsi="Times New Roman" w:cs="Times New Roman"/>
          <w:lang w:val="fr-FR"/>
        </w:rPr>
        <w:t xml:space="preserve"> </w:t>
      </w:r>
      <w:r w:rsidR="000826F6" w:rsidRPr="00556FDF">
        <w:rPr>
          <w:rFonts w:ascii="Times New Roman" w:hAnsi="Times New Roman" w:cs="Times New Roman"/>
          <w:lang w:val="fr-FR"/>
        </w:rPr>
        <w:t>toutes les opérations d</w:t>
      </w:r>
      <w:r w:rsidR="00556FDF" w:rsidRPr="00556FDF">
        <w:rPr>
          <w:rFonts w:ascii="Times New Roman" w:hAnsi="Times New Roman" w:cs="Times New Roman"/>
          <w:lang w:val="fr-FR"/>
        </w:rPr>
        <w:t>u</w:t>
      </w:r>
      <w:r w:rsidR="000826F6" w:rsidRPr="00556FDF">
        <w:rPr>
          <w:rFonts w:ascii="Times New Roman" w:hAnsi="Times New Roman" w:cs="Times New Roman"/>
          <w:lang w:val="fr-FR"/>
        </w:rPr>
        <w:t xml:space="preserve"> Secrétariat, le budget a dû être complété </w:t>
      </w:r>
      <w:r w:rsidR="00556FDF" w:rsidRPr="00556FDF">
        <w:rPr>
          <w:rFonts w:ascii="Times New Roman" w:hAnsi="Times New Roman" w:cs="Times New Roman"/>
          <w:lang w:val="fr-FR"/>
        </w:rPr>
        <w:t>à l</w:t>
      </w:r>
      <w:r w:rsidR="00B06B07">
        <w:rPr>
          <w:rFonts w:ascii="Times New Roman" w:hAnsi="Times New Roman" w:cs="Times New Roman"/>
          <w:lang w:val="fr-FR"/>
        </w:rPr>
        <w:t>’</w:t>
      </w:r>
      <w:r w:rsidR="00556FDF" w:rsidRPr="00556FDF">
        <w:rPr>
          <w:rFonts w:ascii="Times New Roman" w:hAnsi="Times New Roman" w:cs="Times New Roman"/>
          <w:lang w:val="fr-FR"/>
        </w:rPr>
        <w:t>aide d</w:t>
      </w:r>
      <w:r w:rsidR="00B06B07">
        <w:rPr>
          <w:rFonts w:ascii="Times New Roman" w:hAnsi="Times New Roman" w:cs="Times New Roman"/>
          <w:lang w:val="fr-FR"/>
        </w:rPr>
        <w:t>’</w:t>
      </w:r>
      <w:r w:rsidR="00556FDF" w:rsidRPr="00556FDF">
        <w:rPr>
          <w:rFonts w:ascii="Times New Roman" w:hAnsi="Times New Roman" w:cs="Times New Roman"/>
          <w:lang w:val="fr-FR"/>
        </w:rPr>
        <w:t>un versement unique prélevé sur la réserve du Fonds d</w:t>
      </w:r>
      <w:r w:rsidR="00B06B07">
        <w:rPr>
          <w:rFonts w:ascii="Times New Roman" w:hAnsi="Times New Roman" w:cs="Times New Roman"/>
          <w:lang w:val="fr-FR"/>
        </w:rPr>
        <w:t>’</w:t>
      </w:r>
      <w:r w:rsidR="00556FDF" w:rsidRPr="00556FDF">
        <w:rPr>
          <w:rFonts w:ascii="Times New Roman" w:hAnsi="Times New Roman" w:cs="Times New Roman"/>
          <w:lang w:val="fr-FR"/>
        </w:rPr>
        <w:t xml:space="preserve">affectation spéciale </w:t>
      </w:r>
      <w:r w:rsidR="00BB71AA">
        <w:rPr>
          <w:rFonts w:ascii="Times New Roman" w:hAnsi="Times New Roman" w:cs="Times New Roman"/>
          <w:lang w:val="fr-FR"/>
        </w:rPr>
        <w:t xml:space="preserve">et se montant </w:t>
      </w:r>
      <w:r w:rsidR="00556FDF" w:rsidRPr="00556FDF">
        <w:rPr>
          <w:rFonts w:ascii="Times New Roman" w:hAnsi="Times New Roman" w:cs="Times New Roman"/>
          <w:lang w:val="fr-FR"/>
        </w:rPr>
        <w:t xml:space="preserve">respectivement </w:t>
      </w:r>
      <w:r w:rsidR="00BB71AA">
        <w:rPr>
          <w:rFonts w:ascii="Times New Roman" w:hAnsi="Times New Roman" w:cs="Times New Roman"/>
          <w:lang w:val="fr-FR"/>
        </w:rPr>
        <w:t xml:space="preserve">à </w:t>
      </w:r>
      <w:r w:rsidR="000826F6" w:rsidRPr="00556FDF">
        <w:rPr>
          <w:rFonts w:ascii="Times New Roman" w:hAnsi="Times New Roman" w:cs="Times New Roman"/>
          <w:lang w:val="fr-FR"/>
        </w:rPr>
        <w:t>140</w:t>
      </w:r>
      <w:r w:rsidR="00556FDF" w:rsidRPr="00556FDF">
        <w:rPr>
          <w:rFonts w:ascii="Times New Roman" w:hAnsi="Times New Roman" w:cs="Times New Roman"/>
          <w:lang w:val="fr-FR"/>
        </w:rPr>
        <w:t> </w:t>
      </w:r>
      <w:r w:rsidR="000826F6" w:rsidRPr="00556FDF">
        <w:rPr>
          <w:rFonts w:ascii="Times New Roman" w:hAnsi="Times New Roman" w:cs="Times New Roman"/>
          <w:lang w:val="fr-FR"/>
        </w:rPr>
        <w:t>00</w:t>
      </w:r>
      <w:r w:rsidR="007B3B30">
        <w:rPr>
          <w:rFonts w:ascii="Times New Roman" w:hAnsi="Times New Roman" w:cs="Times New Roman"/>
          <w:lang w:val="fr-FR"/>
        </w:rPr>
        <w:t>0</w:t>
      </w:r>
      <w:r w:rsidR="000826F6" w:rsidRPr="00556FDF">
        <w:rPr>
          <w:rFonts w:ascii="Times New Roman" w:hAnsi="Times New Roman" w:cs="Times New Roman"/>
          <w:lang w:val="fr-FR"/>
        </w:rPr>
        <w:t xml:space="preserve"> EUR, </w:t>
      </w:r>
      <w:r w:rsidR="00556FDF" w:rsidRPr="00556FDF">
        <w:rPr>
          <w:rFonts w:ascii="Times New Roman" w:hAnsi="Times New Roman" w:cs="Times New Roman"/>
          <w:lang w:val="fr-FR"/>
        </w:rPr>
        <w:t xml:space="preserve">de </w:t>
      </w:r>
      <w:r w:rsidR="000826F6" w:rsidRPr="00556FDF">
        <w:rPr>
          <w:rFonts w:ascii="Times New Roman" w:hAnsi="Times New Roman" w:cs="Times New Roman"/>
          <w:lang w:val="fr-FR"/>
        </w:rPr>
        <w:t>370</w:t>
      </w:r>
      <w:r w:rsidR="00556FDF" w:rsidRPr="00556FDF">
        <w:rPr>
          <w:rFonts w:ascii="Times New Roman" w:hAnsi="Times New Roman" w:cs="Times New Roman"/>
          <w:lang w:val="fr-FR"/>
        </w:rPr>
        <w:t> </w:t>
      </w:r>
      <w:r w:rsidR="000826F6" w:rsidRPr="00556FDF">
        <w:rPr>
          <w:rFonts w:ascii="Times New Roman" w:hAnsi="Times New Roman" w:cs="Times New Roman"/>
          <w:lang w:val="fr-FR"/>
        </w:rPr>
        <w:t>00</w:t>
      </w:r>
      <w:r w:rsidR="006F15F6">
        <w:rPr>
          <w:rFonts w:ascii="Times New Roman" w:hAnsi="Times New Roman" w:cs="Times New Roman"/>
          <w:lang w:val="fr-FR"/>
        </w:rPr>
        <w:t>0</w:t>
      </w:r>
      <w:r w:rsidR="000826F6" w:rsidRPr="00556FDF">
        <w:rPr>
          <w:rFonts w:ascii="Times New Roman" w:hAnsi="Times New Roman" w:cs="Times New Roman"/>
          <w:lang w:val="fr-FR"/>
        </w:rPr>
        <w:t xml:space="preserve"> EUR et de 310</w:t>
      </w:r>
      <w:r w:rsidR="00556FDF" w:rsidRPr="00556FDF">
        <w:rPr>
          <w:rFonts w:ascii="Times New Roman" w:hAnsi="Times New Roman" w:cs="Times New Roman"/>
          <w:lang w:val="fr-FR"/>
        </w:rPr>
        <w:t> </w:t>
      </w:r>
      <w:r w:rsidR="000826F6" w:rsidRPr="00556FDF">
        <w:rPr>
          <w:rFonts w:ascii="Times New Roman" w:hAnsi="Times New Roman" w:cs="Times New Roman"/>
          <w:lang w:val="fr-FR"/>
        </w:rPr>
        <w:t xml:space="preserve">000 EUR </w:t>
      </w:r>
      <w:r w:rsidR="00556FDF" w:rsidRPr="00556FDF">
        <w:rPr>
          <w:rFonts w:ascii="Times New Roman" w:hAnsi="Times New Roman" w:cs="Times New Roman"/>
          <w:lang w:val="fr-FR"/>
        </w:rPr>
        <w:t xml:space="preserve">lors de la MOP4, de la </w:t>
      </w:r>
      <w:r w:rsidR="000826F6" w:rsidRPr="00556FDF">
        <w:rPr>
          <w:rFonts w:ascii="Times New Roman" w:hAnsi="Times New Roman" w:cs="Times New Roman"/>
          <w:lang w:val="fr-FR"/>
        </w:rPr>
        <w:t xml:space="preserve">MOP5 et </w:t>
      </w:r>
      <w:r w:rsidR="00556FDF" w:rsidRPr="00556FDF">
        <w:rPr>
          <w:rFonts w:ascii="Times New Roman" w:hAnsi="Times New Roman" w:cs="Times New Roman"/>
          <w:lang w:val="fr-FR"/>
        </w:rPr>
        <w:t>de la</w:t>
      </w:r>
      <w:r w:rsidR="000826F6" w:rsidRPr="00556FDF">
        <w:rPr>
          <w:rFonts w:ascii="Times New Roman" w:hAnsi="Times New Roman" w:cs="Times New Roman"/>
          <w:lang w:val="fr-FR"/>
        </w:rPr>
        <w:t xml:space="preserve"> MOP6 </w:t>
      </w:r>
      <w:r w:rsidR="007B3B30">
        <w:rPr>
          <w:rFonts w:ascii="Times New Roman" w:hAnsi="Times New Roman" w:cs="Times New Roman"/>
          <w:lang w:val="fr-FR"/>
        </w:rPr>
        <w:t xml:space="preserve">afin de </w:t>
      </w:r>
      <w:r w:rsidR="000826F6" w:rsidRPr="00556FDF">
        <w:rPr>
          <w:rFonts w:ascii="Times New Roman" w:hAnsi="Times New Roman" w:cs="Times New Roman"/>
          <w:lang w:val="fr-FR"/>
        </w:rPr>
        <w:t>compenser l</w:t>
      </w:r>
      <w:r w:rsidR="00B06B07">
        <w:rPr>
          <w:rFonts w:ascii="Times New Roman" w:hAnsi="Times New Roman" w:cs="Times New Roman"/>
          <w:lang w:val="fr-FR"/>
        </w:rPr>
        <w:t>’</w:t>
      </w:r>
      <w:r w:rsidR="00556FDF" w:rsidRPr="00556FDF">
        <w:rPr>
          <w:rFonts w:ascii="Times New Roman" w:hAnsi="Times New Roman" w:cs="Times New Roman"/>
          <w:lang w:val="fr-FR"/>
        </w:rPr>
        <w:t>absence d</w:t>
      </w:r>
      <w:r w:rsidR="00B06B07">
        <w:rPr>
          <w:rFonts w:ascii="Times New Roman" w:hAnsi="Times New Roman" w:cs="Times New Roman"/>
          <w:lang w:val="fr-FR"/>
        </w:rPr>
        <w:t>’</w:t>
      </w:r>
      <w:r w:rsidR="000826F6" w:rsidRPr="00556FDF">
        <w:rPr>
          <w:rFonts w:ascii="Times New Roman" w:hAnsi="Times New Roman" w:cs="Times New Roman"/>
          <w:lang w:val="fr-FR"/>
        </w:rPr>
        <w:t>augmentation des contributions de</w:t>
      </w:r>
      <w:r w:rsidR="00556FDF" w:rsidRPr="00556FDF">
        <w:rPr>
          <w:rFonts w:ascii="Times New Roman" w:hAnsi="Times New Roman" w:cs="Times New Roman"/>
          <w:lang w:val="fr-FR"/>
        </w:rPr>
        <w:t>s</w:t>
      </w:r>
      <w:r w:rsidR="000826F6" w:rsidRPr="00556FDF">
        <w:rPr>
          <w:rFonts w:ascii="Times New Roman" w:hAnsi="Times New Roman" w:cs="Times New Roman"/>
          <w:lang w:val="fr-FR"/>
        </w:rPr>
        <w:t xml:space="preserve"> </w:t>
      </w:r>
      <w:r w:rsidR="00556FDF" w:rsidRPr="00556FDF">
        <w:rPr>
          <w:rFonts w:ascii="Times New Roman" w:hAnsi="Times New Roman" w:cs="Times New Roman"/>
          <w:lang w:val="fr-FR"/>
        </w:rPr>
        <w:t>P</w:t>
      </w:r>
      <w:r w:rsidR="000826F6" w:rsidRPr="00556FDF">
        <w:rPr>
          <w:rFonts w:ascii="Times New Roman" w:hAnsi="Times New Roman" w:cs="Times New Roman"/>
          <w:lang w:val="fr-FR"/>
        </w:rPr>
        <w:t>arties.</w:t>
      </w:r>
      <w:r w:rsidR="00404142" w:rsidRPr="00605B50">
        <w:rPr>
          <w:rFonts w:ascii="Times New Roman" w:hAnsi="Times New Roman" w:cs="Times New Roman"/>
          <w:lang w:val="fr-FR"/>
        </w:rPr>
        <w:t xml:space="preserve"> </w:t>
      </w:r>
    </w:p>
    <w:p w:rsidR="00D368AB" w:rsidRPr="00605B50" w:rsidRDefault="00556FDF" w:rsidP="00192A86">
      <w:pPr>
        <w:spacing w:line="280" w:lineRule="auto"/>
        <w:jc w:val="both"/>
        <w:rPr>
          <w:rFonts w:ascii="Times New Roman" w:hAnsi="Times New Roman" w:cs="Times New Roman"/>
          <w:lang w:val="fr-FR"/>
        </w:rPr>
      </w:pPr>
      <w:r w:rsidRPr="00A056FD">
        <w:rPr>
          <w:rFonts w:ascii="Times New Roman" w:hAnsi="Times New Roman" w:cs="Times New Roman"/>
          <w:lang w:val="fr-FR"/>
        </w:rPr>
        <w:t>Pour finir, des retraits supplémentaires prélevés sur la réserve ont été faits avec l</w:t>
      </w:r>
      <w:r w:rsidR="00B06B07">
        <w:rPr>
          <w:rFonts w:ascii="Times New Roman" w:hAnsi="Times New Roman" w:cs="Times New Roman"/>
          <w:lang w:val="fr-FR"/>
        </w:rPr>
        <w:t>’</w:t>
      </w:r>
      <w:r w:rsidRPr="00A056FD">
        <w:rPr>
          <w:rFonts w:ascii="Times New Roman" w:hAnsi="Times New Roman" w:cs="Times New Roman"/>
          <w:lang w:val="fr-FR"/>
        </w:rPr>
        <w:t xml:space="preserve">approbation du Comité permanent </w:t>
      </w:r>
      <w:r w:rsidR="00A056FD" w:rsidRPr="00A056FD">
        <w:rPr>
          <w:rFonts w:ascii="Times New Roman" w:hAnsi="Times New Roman" w:cs="Times New Roman"/>
          <w:lang w:val="fr-FR"/>
        </w:rPr>
        <w:t xml:space="preserve">tout au long de la période triennale </w:t>
      </w:r>
      <w:r w:rsidRPr="00A056FD">
        <w:rPr>
          <w:rFonts w:ascii="Times New Roman" w:hAnsi="Times New Roman" w:cs="Times New Roman"/>
          <w:lang w:val="fr-FR"/>
        </w:rPr>
        <w:t xml:space="preserve">pour parer aux besoins </w:t>
      </w:r>
      <w:r w:rsidR="00A056FD" w:rsidRPr="00A056FD">
        <w:rPr>
          <w:rFonts w:ascii="Times New Roman" w:hAnsi="Times New Roman" w:cs="Times New Roman"/>
          <w:lang w:val="fr-FR"/>
        </w:rPr>
        <w:t>urgents, par exemple pour financer la</w:t>
      </w:r>
      <w:r w:rsidRPr="00A056FD">
        <w:rPr>
          <w:rFonts w:ascii="Times New Roman" w:hAnsi="Times New Roman" w:cs="Times New Roman"/>
          <w:lang w:val="fr-FR"/>
        </w:rPr>
        <w:t xml:space="preserve"> production de la 7</w:t>
      </w:r>
      <w:r w:rsidRPr="00A056FD">
        <w:rPr>
          <w:rFonts w:ascii="Times New Roman" w:hAnsi="Times New Roman" w:cs="Times New Roman"/>
          <w:vertAlign w:val="superscript"/>
          <w:lang w:val="fr-FR"/>
        </w:rPr>
        <w:t>ème</w:t>
      </w:r>
      <w:r w:rsidR="00A056FD" w:rsidRPr="00A056FD">
        <w:rPr>
          <w:rFonts w:ascii="Times New Roman" w:hAnsi="Times New Roman" w:cs="Times New Roman"/>
          <w:lang w:val="fr-FR"/>
        </w:rPr>
        <w:t xml:space="preserve"> édition du Rapport sur l</w:t>
      </w:r>
      <w:r w:rsidR="00B06B07">
        <w:rPr>
          <w:rFonts w:ascii="Times New Roman" w:hAnsi="Times New Roman" w:cs="Times New Roman"/>
          <w:lang w:val="fr-FR"/>
        </w:rPr>
        <w:t>’</w:t>
      </w:r>
      <w:r w:rsidR="00A056FD" w:rsidRPr="00A056FD">
        <w:rPr>
          <w:rFonts w:ascii="Times New Roman" w:hAnsi="Times New Roman" w:cs="Times New Roman"/>
          <w:lang w:val="fr-FR"/>
        </w:rPr>
        <w:t>état de conservation</w:t>
      </w:r>
      <w:r w:rsidRPr="00A056FD">
        <w:rPr>
          <w:rFonts w:ascii="Times New Roman" w:hAnsi="Times New Roman" w:cs="Times New Roman"/>
          <w:lang w:val="fr-FR"/>
        </w:rPr>
        <w:t>.</w:t>
      </w:r>
      <w:r w:rsidR="00F94120" w:rsidRPr="00605B50">
        <w:rPr>
          <w:rFonts w:ascii="Times New Roman" w:hAnsi="Times New Roman" w:cs="Times New Roman"/>
          <w:lang w:val="fr-FR"/>
        </w:rPr>
        <w:t xml:space="preserve"> </w:t>
      </w:r>
      <w:r w:rsidR="00A056FD" w:rsidRPr="00A056FD">
        <w:rPr>
          <w:rFonts w:ascii="Times New Roman" w:hAnsi="Times New Roman" w:cs="Times New Roman"/>
          <w:lang w:val="fr-FR"/>
        </w:rPr>
        <w:t>Toutefois le budget principal actuel ne contient pas suffisamment de fonds pour couvrir certains frais de fonctionnement de base.</w:t>
      </w:r>
      <w:r w:rsidR="005F77D0" w:rsidRPr="00605B50">
        <w:rPr>
          <w:rFonts w:ascii="Times New Roman" w:hAnsi="Times New Roman" w:cs="Times New Roman"/>
          <w:lang w:val="fr-FR"/>
        </w:rPr>
        <w:t xml:space="preserve"> </w:t>
      </w:r>
      <w:r w:rsidR="00A056FD" w:rsidRPr="00192A86">
        <w:rPr>
          <w:rFonts w:ascii="Times New Roman" w:hAnsi="Times New Roman" w:cs="Times New Roman"/>
          <w:lang w:val="fr-FR"/>
        </w:rPr>
        <w:t xml:space="preserve">Maintenir le budget principal au même niveau pour une nouvelle période triennale équivaut en réalité à une réduction et aura pour conséquence un </w:t>
      </w:r>
      <w:r w:rsidR="00192A86" w:rsidRPr="00192A86">
        <w:rPr>
          <w:rFonts w:ascii="Times New Roman" w:hAnsi="Times New Roman" w:cs="Times New Roman"/>
          <w:lang w:val="fr-FR"/>
        </w:rPr>
        <w:t>manque de</w:t>
      </w:r>
      <w:r w:rsidR="00A056FD" w:rsidRPr="00192A86">
        <w:rPr>
          <w:rFonts w:ascii="Times New Roman" w:hAnsi="Times New Roman" w:cs="Times New Roman"/>
          <w:lang w:val="fr-FR"/>
        </w:rPr>
        <w:t xml:space="preserve"> ressources pour le fonctionnement de base du </w:t>
      </w:r>
      <w:r w:rsidR="00192A86" w:rsidRPr="00192A86">
        <w:rPr>
          <w:rFonts w:ascii="Times New Roman" w:hAnsi="Times New Roman" w:cs="Times New Roman"/>
          <w:lang w:val="fr-FR"/>
        </w:rPr>
        <w:t>S</w:t>
      </w:r>
      <w:r w:rsidR="00A056FD" w:rsidRPr="00192A86">
        <w:rPr>
          <w:rFonts w:ascii="Times New Roman" w:hAnsi="Times New Roman" w:cs="Times New Roman"/>
          <w:lang w:val="fr-FR"/>
        </w:rPr>
        <w:t>ecrétariat.</w:t>
      </w:r>
      <w:r w:rsidR="009E2AA5" w:rsidRPr="00605B50">
        <w:rPr>
          <w:rFonts w:ascii="Times New Roman" w:hAnsi="Times New Roman" w:cs="Times New Roman"/>
          <w:lang w:val="fr-FR"/>
        </w:rPr>
        <w:t xml:space="preserve"> </w:t>
      </w:r>
      <w:r w:rsidR="00192A86" w:rsidRPr="00192A86">
        <w:rPr>
          <w:rFonts w:ascii="Times New Roman" w:hAnsi="Times New Roman" w:cs="Times New Roman"/>
          <w:lang w:val="fr-FR"/>
        </w:rPr>
        <w:t>Ceci mettra le Secrétariat dans une situation financière et opérationnelle difficile et aura pour finir des répercussions sur la poursuite de la prestation des services.</w:t>
      </w:r>
    </w:p>
    <w:p w:rsidR="00D368AB" w:rsidRPr="00605B50" w:rsidRDefault="00192A86" w:rsidP="00192A86">
      <w:pPr>
        <w:spacing w:after="0" w:line="260" w:lineRule="auto"/>
        <w:jc w:val="both"/>
        <w:rPr>
          <w:rFonts w:ascii="Times New Roman" w:hAnsi="Times New Roman" w:cs="Times New Roman"/>
          <w:u w:val="single"/>
          <w:lang w:val="fr-FR"/>
        </w:rPr>
      </w:pPr>
      <w:r w:rsidRPr="00192A86">
        <w:rPr>
          <w:rFonts w:ascii="Times New Roman" w:hAnsi="Times New Roman" w:cs="Times New Roman"/>
          <w:u w:val="single"/>
          <w:lang w:val="fr-FR"/>
        </w:rPr>
        <w:t>Format et rubriques</w:t>
      </w:r>
    </w:p>
    <w:p w:rsidR="00D368AB" w:rsidRPr="00605B50" w:rsidRDefault="00192A86" w:rsidP="00192A86">
      <w:pPr>
        <w:spacing w:after="0" w:line="280" w:lineRule="auto"/>
        <w:jc w:val="both"/>
        <w:rPr>
          <w:rFonts w:ascii="Times New Roman" w:hAnsi="Times New Roman" w:cs="Times New Roman"/>
          <w:lang w:val="fr-FR"/>
        </w:rPr>
      </w:pPr>
      <w:r w:rsidRPr="00192A86">
        <w:rPr>
          <w:rFonts w:ascii="Times New Roman" w:hAnsi="Times New Roman" w:cs="Times New Roman"/>
          <w:lang w:val="fr-FR"/>
        </w:rPr>
        <w:t xml:space="preserve">Les scénarios inclus dans la proposition présentent le même format et les mêmes rubriques que le budget 2016-2018 approuvé par </w:t>
      </w:r>
      <w:r w:rsidR="00D228BC">
        <w:rPr>
          <w:rFonts w:ascii="Times New Roman" w:hAnsi="Times New Roman" w:cs="Times New Roman"/>
          <w:lang w:val="fr-FR"/>
        </w:rPr>
        <w:t xml:space="preserve">la </w:t>
      </w:r>
      <w:r w:rsidRPr="00192A86">
        <w:rPr>
          <w:rFonts w:ascii="Times New Roman" w:hAnsi="Times New Roman" w:cs="Times New Roman"/>
          <w:lang w:val="fr-FR"/>
        </w:rPr>
        <w:t>MOP6 aux termes de la résolution 6.18, avec quelques légères modifications destinées à simplifier les opérations budgétaires courantes, à savoir :</w:t>
      </w:r>
    </w:p>
    <w:p w:rsidR="004914A3" w:rsidRPr="00605B50" w:rsidRDefault="004914A3" w:rsidP="004914A3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:rsidR="00B97114" w:rsidRPr="00605B50" w:rsidRDefault="00C13309" w:rsidP="00C13309">
      <w:pPr>
        <w:pStyle w:val="ListParagraph"/>
        <w:numPr>
          <w:ilvl w:val="0"/>
          <w:numId w:val="9"/>
        </w:numPr>
        <w:spacing w:line="360" w:lineRule="auto"/>
        <w:ind w:left="567" w:hanging="567"/>
        <w:jc w:val="both"/>
        <w:rPr>
          <w:sz w:val="22"/>
          <w:szCs w:val="22"/>
          <w:lang w:val="fr-FR"/>
        </w:rPr>
      </w:pPr>
      <w:r w:rsidRPr="00D228BC">
        <w:rPr>
          <w:sz w:val="22"/>
          <w:szCs w:val="22"/>
          <w:lang w:val="fr-FR"/>
        </w:rPr>
        <w:t>Récapitulation des</w:t>
      </w:r>
      <w:r w:rsidRPr="00C13309">
        <w:rPr>
          <w:sz w:val="22"/>
          <w:szCs w:val="22"/>
          <w:lang w:val="fr-FR"/>
        </w:rPr>
        <w:t xml:space="preserve"> coûts relatifs au personnel des catégories </w:t>
      </w:r>
      <w:r w:rsidR="00192A86" w:rsidRPr="00C13309">
        <w:rPr>
          <w:sz w:val="22"/>
          <w:szCs w:val="22"/>
          <w:lang w:val="fr-FR"/>
        </w:rPr>
        <w:t>P</w:t>
      </w:r>
      <w:r w:rsidRPr="00C13309">
        <w:rPr>
          <w:sz w:val="22"/>
          <w:szCs w:val="22"/>
          <w:lang w:val="fr-FR"/>
        </w:rPr>
        <w:t xml:space="preserve"> et G </w:t>
      </w:r>
      <w:r w:rsidR="00192A86" w:rsidRPr="00C13309">
        <w:rPr>
          <w:sz w:val="22"/>
          <w:szCs w:val="22"/>
          <w:lang w:val="fr-FR"/>
        </w:rPr>
        <w:t>dans une ligne budgétaire</w:t>
      </w:r>
      <w:r w:rsidR="008B34A5">
        <w:rPr>
          <w:sz w:val="22"/>
          <w:szCs w:val="22"/>
          <w:lang w:val="fr-FR"/>
        </w:rPr>
        <w:t xml:space="preserve"> propre</w:t>
      </w:r>
      <w:r w:rsidR="00192A86" w:rsidRPr="00C13309">
        <w:rPr>
          <w:sz w:val="22"/>
          <w:szCs w:val="22"/>
          <w:lang w:val="fr-FR"/>
        </w:rPr>
        <w:t xml:space="preserve"> (respectivement</w:t>
      </w:r>
      <w:r w:rsidRPr="00C13309">
        <w:rPr>
          <w:sz w:val="22"/>
          <w:szCs w:val="22"/>
          <w:lang w:val="fr-FR"/>
        </w:rPr>
        <w:t xml:space="preserve"> 1107 et 1305</w:t>
      </w:r>
      <w:r w:rsidR="00192A86" w:rsidRPr="00C13309">
        <w:rPr>
          <w:sz w:val="22"/>
          <w:szCs w:val="22"/>
          <w:lang w:val="fr-FR"/>
        </w:rPr>
        <w:t>) ;</w:t>
      </w:r>
    </w:p>
    <w:p w:rsidR="00B97114" w:rsidRPr="00605B50" w:rsidRDefault="00C13309" w:rsidP="00C13309">
      <w:pPr>
        <w:pStyle w:val="ListParagraph"/>
        <w:numPr>
          <w:ilvl w:val="0"/>
          <w:numId w:val="9"/>
        </w:numPr>
        <w:spacing w:line="360" w:lineRule="auto"/>
        <w:ind w:left="567" w:hanging="567"/>
        <w:jc w:val="both"/>
        <w:rPr>
          <w:sz w:val="22"/>
          <w:szCs w:val="22"/>
          <w:lang w:val="fr-FR"/>
        </w:rPr>
      </w:pPr>
      <w:r w:rsidRPr="00C13309">
        <w:rPr>
          <w:sz w:val="22"/>
          <w:szCs w:val="22"/>
          <w:lang w:val="fr-FR"/>
        </w:rPr>
        <w:lastRenderedPageBreak/>
        <w:t>Récapitulation des coûts de traduction dans une seule ligne budgétaire (1201)</w:t>
      </w:r>
      <w:r w:rsidRPr="00C13309">
        <w:rPr>
          <w:rStyle w:val="FootnoteReference"/>
          <w:sz w:val="22"/>
          <w:szCs w:val="22"/>
          <w:lang w:val="fr-FR"/>
        </w:rPr>
        <w:t xml:space="preserve"> </w:t>
      </w:r>
      <w:r w:rsidRPr="00C13309">
        <w:rPr>
          <w:rStyle w:val="FootnoteReference"/>
          <w:sz w:val="22"/>
          <w:szCs w:val="22"/>
          <w:lang w:val="fr-FR"/>
        </w:rPr>
        <w:footnoteReference w:id="3"/>
      </w:r>
      <w:r w:rsidRPr="00C13309">
        <w:rPr>
          <w:sz w:val="22"/>
          <w:szCs w:val="22"/>
          <w:lang w:val="fr-FR"/>
        </w:rPr>
        <w:t xml:space="preserve"> ; et</w:t>
      </w:r>
    </w:p>
    <w:p w:rsidR="00B97114" w:rsidRPr="00605B50" w:rsidRDefault="00C13309" w:rsidP="00C13309">
      <w:pPr>
        <w:pStyle w:val="ListParagraph"/>
        <w:numPr>
          <w:ilvl w:val="0"/>
          <w:numId w:val="9"/>
        </w:numPr>
        <w:spacing w:line="360" w:lineRule="auto"/>
        <w:ind w:left="567" w:hanging="567"/>
        <w:jc w:val="both"/>
        <w:rPr>
          <w:sz w:val="22"/>
          <w:szCs w:val="22"/>
          <w:lang w:val="fr-FR"/>
        </w:rPr>
      </w:pPr>
      <w:r w:rsidRPr="00C13309">
        <w:rPr>
          <w:sz w:val="22"/>
          <w:szCs w:val="22"/>
          <w:lang w:val="fr-FR"/>
        </w:rPr>
        <w:t>Récapitulation de tous les coûts de fonctionnement/d</w:t>
      </w:r>
      <w:r w:rsidR="00B06B07">
        <w:rPr>
          <w:sz w:val="22"/>
          <w:szCs w:val="22"/>
          <w:lang w:val="fr-FR"/>
        </w:rPr>
        <w:t>’</w:t>
      </w:r>
      <w:r w:rsidRPr="00C13309">
        <w:rPr>
          <w:sz w:val="22"/>
          <w:szCs w:val="22"/>
          <w:lang w:val="fr-FR"/>
        </w:rPr>
        <w:t>entretien dans une ligne budgétaire (5101).</w:t>
      </w:r>
    </w:p>
    <w:p w:rsidR="00C7071B" w:rsidRPr="00605B50" w:rsidRDefault="00C7071B" w:rsidP="009611AD">
      <w:pPr>
        <w:jc w:val="both"/>
        <w:rPr>
          <w:rFonts w:ascii="Times New Roman" w:hAnsi="Times New Roman" w:cs="Times New Roman"/>
          <w:u w:val="single"/>
          <w:lang w:val="fr-FR"/>
        </w:rPr>
      </w:pPr>
    </w:p>
    <w:p w:rsidR="00D368AB" w:rsidRPr="00605B50" w:rsidRDefault="00C13309" w:rsidP="00C13309">
      <w:pPr>
        <w:spacing w:after="0" w:line="260" w:lineRule="auto"/>
        <w:jc w:val="both"/>
        <w:rPr>
          <w:rFonts w:ascii="Times New Roman" w:hAnsi="Times New Roman" w:cs="Times New Roman"/>
          <w:u w:val="single"/>
          <w:lang w:val="fr-FR"/>
        </w:rPr>
      </w:pPr>
      <w:r w:rsidRPr="00C13309">
        <w:rPr>
          <w:rFonts w:ascii="Times New Roman" w:hAnsi="Times New Roman" w:cs="Times New Roman"/>
          <w:u w:val="single"/>
          <w:lang w:val="fr-FR"/>
        </w:rPr>
        <w:t>Frais de personnel standards</w:t>
      </w:r>
    </w:p>
    <w:p w:rsidR="00404142" w:rsidRPr="00605B50" w:rsidRDefault="00E40D07" w:rsidP="00E40D07">
      <w:pPr>
        <w:spacing w:after="0" w:line="280" w:lineRule="auto"/>
        <w:jc w:val="both"/>
        <w:rPr>
          <w:rFonts w:ascii="Times New Roman" w:hAnsi="Times New Roman" w:cs="Times New Roman"/>
          <w:lang w:val="fr-FR"/>
        </w:rPr>
      </w:pPr>
      <w:r w:rsidRPr="00E40D07">
        <w:rPr>
          <w:rFonts w:ascii="Times New Roman" w:hAnsi="Times New Roman" w:cs="Times New Roman"/>
          <w:lang w:val="fr-FR"/>
        </w:rPr>
        <w:t>Pour assurer une plus grande</w:t>
      </w:r>
      <w:r w:rsidR="00C13309" w:rsidRPr="00E40D07">
        <w:rPr>
          <w:rFonts w:ascii="Times New Roman" w:hAnsi="Times New Roman" w:cs="Times New Roman"/>
          <w:lang w:val="fr-FR"/>
        </w:rPr>
        <w:t xml:space="preserve"> cohérence au sein de la Famille CMS, le Secrétariat a utilisé les </w:t>
      </w:r>
      <w:r w:rsidRPr="00E40D07">
        <w:rPr>
          <w:rFonts w:ascii="Times New Roman" w:hAnsi="Times New Roman" w:cs="Times New Roman"/>
          <w:lang w:val="fr-FR"/>
        </w:rPr>
        <w:t xml:space="preserve">frais standard </w:t>
      </w:r>
      <w:r w:rsidR="00C13309" w:rsidRPr="00E40D07">
        <w:rPr>
          <w:rFonts w:ascii="Times New Roman" w:hAnsi="Times New Roman" w:cs="Times New Roman"/>
          <w:lang w:val="fr-FR"/>
        </w:rPr>
        <w:t xml:space="preserve">de personnel </w:t>
      </w:r>
      <w:r w:rsidRPr="00E40D07">
        <w:rPr>
          <w:rFonts w:ascii="Times New Roman" w:hAnsi="Times New Roman" w:cs="Times New Roman"/>
          <w:lang w:val="fr-FR"/>
        </w:rPr>
        <w:t>de la CMS</w:t>
      </w:r>
      <w:r w:rsidR="00C13309" w:rsidRPr="00E40D07">
        <w:rPr>
          <w:rFonts w:ascii="Times New Roman" w:hAnsi="Times New Roman" w:cs="Times New Roman"/>
          <w:lang w:val="fr-FR"/>
        </w:rPr>
        <w:t xml:space="preserve"> présentés par l</w:t>
      </w:r>
      <w:r w:rsidR="00B06B07">
        <w:rPr>
          <w:rFonts w:ascii="Times New Roman" w:hAnsi="Times New Roman" w:cs="Times New Roman"/>
          <w:lang w:val="fr-FR"/>
        </w:rPr>
        <w:t>’</w:t>
      </w:r>
      <w:r w:rsidRPr="00E40D07">
        <w:rPr>
          <w:rFonts w:ascii="Times New Roman" w:hAnsi="Times New Roman" w:cs="Times New Roman"/>
          <w:lang w:val="fr-FR"/>
        </w:rPr>
        <w:t xml:space="preserve">Administrateur chargé de la gestion administrative et financière </w:t>
      </w:r>
      <w:r w:rsidR="00C13309" w:rsidRPr="00E40D07">
        <w:rPr>
          <w:rFonts w:ascii="Times New Roman" w:hAnsi="Times New Roman" w:cs="Times New Roman"/>
          <w:lang w:val="fr-FR"/>
        </w:rPr>
        <w:t>en 2017 et adopté par</w:t>
      </w:r>
      <w:r w:rsidR="00B06B07">
        <w:rPr>
          <w:rFonts w:ascii="Times New Roman" w:hAnsi="Times New Roman" w:cs="Times New Roman"/>
          <w:lang w:val="fr-FR"/>
        </w:rPr>
        <w:t xml:space="preserve"> </w:t>
      </w:r>
      <w:r w:rsidRPr="00E40D07">
        <w:rPr>
          <w:rFonts w:ascii="Times New Roman" w:hAnsi="Times New Roman" w:cs="Times New Roman"/>
          <w:lang w:val="fr-FR"/>
        </w:rPr>
        <w:t>la</w:t>
      </w:r>
      <w:r w:rsidR="00B06B07">
        <w:rPr>
          <w:rFonts w:ascii="Times New Roman" w:hAnsi="Times New Roman" w:cs="Times New Roman"/>
          <w:lang w:val="fr-FR"/>
        </w:rPr>
        <w:t xml:space="preserve"> </w:t>
      </w:r>
      <w:hyperlink r:id="rId11" w:history="1">
        <w:r w:rsidRPr="00E40D07">
          <w:rPr>
            <w:rStyle w:val="Hyperlink"/>
            <w:rFonts w:ascii="Times New Roman" w:hAnsi="Times New Roman" w:cs="Times New Roman"/>
            <w:lang w:val="fr-FR"/>
          </w:rPr>
          <w:t>Résolution</w:t>
        </w:r>
        <w:r w:rsidR="00C13309" w:rsidRPr="00E40D07">
          <w:rPr>
            <w:rStyle w:val="Hyperlink"/>
            <w:rFonts w:ascii="Times New Roman" w:hAnsi="Times New Roman" w:cs="Times New Roman"/>
            <w:lang w:val="fr-FR"/>
          </w:rPr>
          <w:t xml:space="preserve"> 12.2</w:t>
        </w:r>
      </w:hyperlink>
      <w:r w:rsidRPr="00E40D07">
        <w:rPr>
          <w:rStyle w:val="Hyperlink"/>
          <w:rFonts w:ascii="Times New Roman" w:hAnsi="Times New Roman" w:cs="Times New Roman"/>
          <w:lang w:val="fr-FR"/>
        </w:rPr>
        <w:t xml:space="preserve"> de la CMS</w:t>
      </w:r>
      <w:r w:rsidR="00B06B07">
        <w:rPr>
          <w:rStyle w:val="Hyperlink"/>
          <w:rFonts w:ascii="Times New Roman" w:hAnsi="Times New Roman" w:cs="Times New Roman"/>
          <w:lang w:val="fr-FR"/>
        </w:rPr>
        <w:t xml:space="preserve"> </w:t>
      </w:r>
      <w:r w:rsidRPr="00E40D07">
        <w:rPr>
          <w:rFonts w:ascii="Times New Roman" w:hAnsi="Times New Roman" w:cs="Times New Roman"/>
          <w:lang w:val="fr-FR"/>
        </w:rPr>
        <w:t xml:space="preserve">lors de la </w:t>
      </w:r>
      <w:r w:rsidR="00C13309" w:rsidRPr="00E40D07">
        <w:rPr>
          <w:rFonts w:ascii="Times New Roman" w:hAnsi="Times New Roman" w:cs="Times New Roman"/>
          <w:lang w:val="fr-FR"/>
        </w:rPr>
        <w:t>COP12</w:t>
      </w:r>
      <w:r w:rsidRPr="00E40D07">
        <w:rPr>
          <w:rFonts w:ascii="Times New Roman" w:hAnsi="Times New Roman" w:cs="Times New Roman"/>
          <w:lang w:val="fr-FR"/>
        </w:rPr>
        <w:t>, en</w:t>
      </w:r>
      <w:r w:rsidR="00C13309" w:rsidRPr="00E40D07">
        <w:rPr>
          <w:rFonts w:ascii="Times New Roman" w:hAnsi="Times New Roman" w:cs="Times New Roman"/>
          <w:lang w:val="fr-FR"/>
        </w:rPr>
        <w:t xml:space="preserve"> </w:t>
      </w:r>
      <w:r w:rsidRPr="00E40D07">
        <w:rPr>
          <w:rFonts w:ascii="Times New Roman" w:hAnsi="Times New Roman" w:cs="Times New Roman"/>
          <w:lang w:val="fr-FR"/>
        </w:rPr>
        <w:t>octobre</w:t>
      </w:r>
      <w:r w:rsidR="00C13309" w:rsidRPr="00E40D07">
        <w:rPr>
          <w:rFonts w:ascii="Times New Roman" w:hAnsi="Times New Roman" w:cs="Times New Roman"/>
          <w:lang w:val="fr-FR"/>
        </w:rPr>
        <w:t xml:space="preserve"> 2017 (</w:t>
      </w:r>
      <w:r w:rsidRPr="00E40D07">
        <w:rPr>
          <w:rFonts w:ascii="Times New Roman" w:hAnsi="Times New Roman" w:cs="Times New Roman"/>
          <w:lang w:val="fr-FR"/>
        </w:rPr>
        <w:t>en euros).</w:t>
      </w:r>
      <w:r w:rsidR="0005794A" w:rsidRPr="00605B50">
        <w:rPr>
          <w:rFonts w:ascii="Times New Roman" w:hAnsi="Times New Roman" w:cs="Times New Roman"/>
          <w:lang w:val="fr-FR"/>
        </w:rPr>
        <w:t xml:space="preserve"> </w:t>
      </w:r>
    </w:p>
    <w:p w:rsidR="002871CC" w:rsidRPr="00605B50" w:rsidRDefault="002871CC" w:rsidP="00C7071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:rsidR="00D368AB" w:rsidRPr="00605B50" w:rsidRDefault="00E40D07" w:rsidP="00904790">
      <w:pPr>
        <w:spacing w:line="280" w:lineRule="auto"/>
        <w:jc w:val="both"/>
        <w:rPr>
          <w:rFonts w:ascii="Times New Roman" w:hAnsi="Times New Roman" w:cs="Times New Roman"/>
          <w:lang w:val="fr-FR"/>
        </w:rPr>
      </w:pPr>
      <w:r w:rsidRPr="00904790">
        <w:rPr>
          <w:rFonts w:ascii="Times New Roman" w:hAnsi="Times New Roman" w:cs="Times New Roman"/>
          <w:lang w:val="fr-FR"/>
        </w:rPr>
        <w:t>Les coûts standard</w:t>
      </w:r>
      <w:r w:rsidR="008B34A5">
        <w:rPr>
          <w:rFonts w:ascii="Times New Roman" w:hAnsi="Times New Roman" w:cs="Times New Roman"/>
          <w:lang w:val="fr-FR"/>
        </w:rPr>
        <w:t>s</w:t>
      </w:r>
      <w:r w:rsidRPr="00904790">
        <w:rPr>
          <w:rFonts w:ascii="Times New Roman" w:hAnsi="Times New Roman" w:cs="Times New Roman"/>
          <w:lang w:val="fr-FR"/>
        </w:rPr>
        <w:t xml:space="preserve"> sont basés sur la moyenne des frais réels à chaque niveau de salaire sur le lieu d</w:t>
      </w:r>
      <w:r w:rsidR="00B06B07">
        <w:rPr>
          <w:rFonts w:ascii="Times New Roman" w:hAnsi="Times New Roman" w:cs="Times New Roman"/>
          <w:lang w:val="fr-FR"/>
        </w:rPr>
        <w:t>’</w:t>
      </w:r>
      <w:r w:rsidRPr="00904790">
        <w:rPr>
          <w:rFonts w:ascii="Times New Roman" w:hAnsi="Times New Roman" w:cs="Times New Roman"/>
          <w:lang w:val="fr-FR"/>
        </w:rPr>
        <w:t>affectation de Bonn, avec des augmentations annuelles de 2 % pour tenir compte de l</w:t>
      </w:r>
      <w:r w:rsidR="00B06B07">
        <w:rPr>
          <w:rFonts w:ascii="Times New Roman" w:hAnsi="Times New Roman" w:cs="Times New Roman"/>
          <w:lang w:val="fr-FR"/>
        </w:rPr>
        <w:t>’</w:t>
      </w:r>
      <w:r w:rsidRPr="00904790">
        <w:rPr>
          <w:rFonts w:ascii="Times New Roman" w:hAnsi="Times New Roman" w:cs="Times New Roman"/>
          <w:lang w:val="fr-FR"/>
        </w:rPr>
        <w:t>incidence de l</w:t>
      </w:r>
      <w:r w:rsidR="00B06B07">
        <w:rPr>
          <w:rFonts w:ascii="Times New Roman" w:hAnsi="Times New Roman" w:cs="Times New Roman"/>
          <w:lang w:val="fr-FR"/>
        </w:rPr>
        <w:t>’</w:t>
      </w:r>
      <w:r w:rsidRPr="00904790">
        <w:rPr>
          <w:rFonts w:ascii="Times New Roman" w:hAnsi="Times New Roman" w:cs="Times New Roman"/>
          <w:lang w:val="fr-FR"/>
        </w:rPr>
        <w:t xml:space="preserve">inflation sur les coûts </w:t>
      </w:r>
      <w:r w:rsidR="00904790" w:rsidRPr="00904790">
        <w:rPr>
          <w:rFonts w:ascii="Times New Roman" w:hAnsi="Times New Roman" w:cs="Times New Roman"/>
          <w:lang w:val="fr-FR"/>
        </w:rPr>
        <w:t xml:space="preserve">réglementaires </w:t>
      </w:r>
      <w:r w:rsidRPr="00904790">
        <w:rPr>
          <w:rFonts w:ascii="Times New Roman" w:hAnsi="Times New Roman" w:cs="Times New Roman"/>
          <w:lang w:val="fr-FR"/>
        </w:rPr>
        <w:t>relatifs au personnel</w:t>
      </w:r>
      <w:r w:rsidR="00BB71AA">
        <w:rPr>
          <w:rFonts w:ascii="Times New Roman" w:hAnsi="Times New Roman" w:cs="Times New Roman"/>
          <w:lang w:val="fr-FR"/>
        </w:rPr>
        <w:t>,</w:t>
      </w:r>
      <w:r w:rsidRPr="00904790">
        <w:rPr>
          <w:rFonts w:ascii="Times New Roman" w:hAnsi="Times New Roman" w:cs="Times New Roman"/>
          <w:lang w:val="fr-FR"/>
        </w:rPr>
        <w:t xml:space="preserve"> tels que les indemnités de poste et autres</w:t>
      </w:r>
      <w:r w:rsidR="00B06B07">
        <w:rPr>
          <w:rFonts w:ascii="Times New Roman" w:hAnsi="Times New Roman" w:cs="Times New Roman"/>
          <w:lang w:val="fr-FR"/>
        </w:rPr>
        <w:t xml:space="preserve"> </w:t>
      </w:r>
      <w:r w:rsidRPr="00904790">
        <w:rPr>
          <w:rFonts w:ascii="Times New Roman" w:hAnsi="Times New Roman" w:cs="Times New Roman"/>
          <w:lang w:val="fr-FR"/>
        </w:rPr>
        <w:t>droits, ainsi que les augmentations et révisions normales au sein des catégories.</w:t>
      </w:r>
      <w:r w:rsidR="0005794A" w:rsidRPr="00605B50">
        <w:rPr>
          <w:rFonts w:ascii="Times New Roman" w:hAnsi="Times New Roman" w:cs="Times New Roman"/>
          <w:lang w:val="fr-FR"/>
        </w:rPr>
        <w:t xml:space="preserve"> </w:t>
      </w:r>
      <w:r w:rsidR="00904790" w:rsidRPr="00904790">
        <w:rPr>
          <w:rFonts w:ascii="Times New Roman" w:hAnsi="Times New Roman" w:cs="Times New Roman"/>
          <w:lang w:val="fr-FR"/>
        </w:rPr>
        <w:t>Ces augmentations de coûts résultent des normes, directives et calculs applicables à l</w:t>
      </w:r>
      <w:r w:rsidR="00B06B07">
        <w:rPr>
          <w:rFonts w:ascii="Times New Roman" w:hAnsi="Times New Roman" w:cs="Times New Roman"/>
          <w:lang w:val="fr-FR"/>
        </w:rPr>
        <w:t>’</w:t>
      </w:r>
      <w:r w:rsidR="00904790" w:rsidRPr="00904790">
        <w:rPr>
          <w:rFonts w:ascii="Times New Roman" w:hAnsi="Times New Roman" w:cs="Times New Roman"/>
          <w:lang w:val="fr-FR"/>
        </w:rPr>
        <w:t>ensemble du système des Nations Unies, qui sont promulgués par l</w:t>
      </w:r>
      <w:r w:rsidR="00B06B07">
        <w:rPr>
          <w:rFonts w:ascii="Times New Roman" w:hAnsi="Times New Roman" w:cs="Times New Roman"/>
          <w:lang w:val="fr-FR"/>
        </w:rPr>
        <w:t>’</w:t>
      </w:r>
      <w:r w:rsidR="00904790" w:rsidRPr="00904790">
        <w:rPr>
          <w:rFonts w:ascii="Times New Roman" w:hAnsi="Times New Roman" w:cs="Times New Roman"/>
          <w:lang w:val="fr-FR"/>
        </w:rPr>
        <w:t>intermédiaire de la Commission de la fonction publique internationale (ICSC) et, en tant que tels, ne sont pas discrétionnaires.</w:t>
      </w:r>
      <w:r w:rsidR="0005794A" w:rsidRPr="00605B50">
        <w:rPr>
          <w:rFonts w:ascii="Times New Roman" w:hAnsi="Times New Roman" w:cs="Times New Roman"/>
          <w:lang w:val="fr-FR"/>
        </w:rPr>
        <w:t xml:space="preserve"> </w:t>
      </w:r>
    </w:p>
    <w:p w:rsidR="00F20245" w:rsidRPr="00605B50" w:rsidRDefault="00904790" w:rsidP="00904790">
      <w:pPr>
        <w:spacing w:line="260" w:lineRule="auto"/>
        <w:jc w:val="both"/>
        <w:rPr>
          <w:rFonts w:ascii="Times New Roman" w:hAnsi="Times New Roman" w:cs="Times New Roman"/>
          <w:u w:val="single"/>
          <w:lang w:val="fr-FR"/>
        </w:rPr>
      </w:pPr>
      <w:r w:rsidRPr="00904790">
        <w:rPr>
          <w:rFonts w:ascii="Times New Roman" w:hAnsi="Times New Roman" w:cs="Times New Roman"/>
          <w:i/>
          <w:u w:val="single"/>
          <w:lang w:val="fr-FR"/>
        </w:rPr>
        <w:t>Vue d</w:t>
      </w:r>
      <w:r w:rsidR="00B06B07">
        <w:rPr>
          <w:rFonts w:ascii="Times New Roman" w:hAnsi="Times New Roman" w:cs="Times New Roman"/>
          <w:i/>
          <w:u w:val="single"/>
          <w:lang w:val="fr-FR"/>
        </w:rPr>
        <w:t>’</w:t>
      </w:r>
      <w:r w:rsidRPr="00904790">
        <w:rPr>
          <w:rFonts w:ascii="Times New Roman" w:hAnsi="Times New Roman" w:cs="Times New Roman"/>
          <w:i/>
          <w:u w:val="single"/>
          <w:lang w:val="fr-FR"/>
        </w:rPr>
        <w:t>ensemble des coûts standard</w:t>
      </w:r>
      <w:r w:rsidR="008B34A5">
        <w:rPr>
          <w:rFonts w:ascii="Times New Roman" w:hAnsi="Times New Roman" w:cs="Times New Roman"/>
          <w:i/>
          <w:u w:val="single"/>
          <w:lang w:val="fr-FR"/>
        </w:rPr>
        <w:t>s</w:t>
      </w:r>
      <w:r w:rsidRPr="00904790">
        <w:rPr>
          <w:rFonts w:ascii="Times New Roman" w:hAnsi="Times New Roman" w:cs="Times New Roman"/>
          <w:i/>
          <w:u w:val="single"/>
          <w:lang w:val="fr-FR"/>
        </w:rPr>
        <w:t xml:space="preserve"> pour les différents postes de la</w:t>
      </w:r>
      <w:r w:rsidR="00B06B07">
        <w:rPr>
          <w:rFonts w:ascii="Times New Roman" w:hAnsi="Times New Roman" w:cs="Times New Roman"/>
          <w:i/>
          <w:u w:val="single"/>
          <w:lang w:val="fr-FR"/>
        </w:rPr>
        <w:t xml:space="preserve"> </w:t>
      </w:r>
      <w:r w:rsidRPr="00904790">
        <w:rPr>
          <w:rFonts w:ascii="Times New Roman" w:hAnsi="Times New Roman" w:cs="Times New Roman"/>
          <w:i/>
          <w:u w:val="single"/>
          <w:lang w:val="fr-FR"/>
        </w:rPr>
        <w:t xml:space="preserve">famille CMS </w:t>
      </w:r>
      <w:r w:rsidRPr="00904790">
        <w:rPr>
          <w:rFonts w:ascii="Times New Roman" w:hAnsi="Times New Roman" w:cs="Times New Roman"/>
          <w:u w:val="single"/>
          <w:lang w:val="fr-FR"/>
        </w:rPr>
        <w:t>[tous les coûts sont indiqués</w:t>
      </w:r>
      <w:r w:rsidR="00B06B07">
        <w:rPr>
          <w:rFonts w:ascii="Times New Roman" w:hAnsi="Times New Roman" w:cs="Times New Roman"/>
          <w:u w:val="single"/>
          <w:lang w:val="fr-FR"/>
        </w:rPr>
        <w:t xml:space="preserve"> </w:t>
      </w:r>
      <w:r w:rsidRPr="00904790">
        <w:rPr>
          <w:rFonts w:ascii="Times New Roman" w:hAnsi="Times New Roman" w:cs="Times New Roman"/>
          <w:u w:val="single"/>
          <w:lang w:val="fr-FR"/>
        </w:rPr>
        <w:t>en euros]</w:t>
      </w:r>
    </w:p>
    <w:p w:rsidR="0005794A" w:rsidRPr="00605B50" w:rsidRDefault="00904790" w:rsidP="00904790">
      <w:pPr>
        <w:spacing w:line="260" w:lineRule="auto"/>
        <w:jc w:val="both"/>
        <w:rPr>
          <w:rFonts w:ascii="Times New Roman" w:hAnsi="Times New Roman" w:cs="Times New Roman"/>
          <w:b/>
          <w:lang w:val="fr-FR"/>
        </w:rPr>
      </w:pPr>
      <w:r w:rsidRPr="00904790">
        <w:rPr>
          <w:rFonts w:ascii="Times New Roman" w:hAnsi="Times New Roman" w:cs="Times New Roman"/>
          <w:b/>
          <w:lang w:val="fr-FR"/>
        </w:rPr>
        <w:t>Niveau</w:t>
      </w:r>
      <w:r w:rsidR="0005794A" w:rsidRPr="00605B50">
        <w:rPr>
          <w:rFonts w:ascii="Times New Roman" w:hAnsi="Times New Roman" w:cs="Times New Roman"/>
          <w:b/>
          <w:lang w:val="fr-FR"/>
        </w:rPr>
        <w:tab/>
      </w:r>
      <w:r w:rsidR="0005794A" w:rsidRPr="00605B50">
        <w:rPr>
          <w:rFonts w:ascii="Times New Roman" w:hAnsi="Times New Roman" w:cs="Times New Roman"/>
          <w:b/>
          <w:lang w:val="fr-FR"/>
        </w:rPr>
        <w:tab/>
      </w:r>
      <w:r w:rsidR="009611AD" w:rsidRPr="00605B50">
        <w:rPr>
          <w:rFonts w:ascii="Times New Roman" w:hAnsi="Times New Roman" w:cs="Times New Roman"/>
          <w:b/>
          <w:lang w:val="fr-FR"/>
        </w:rPr>
        <w:tab/>
      </w:r>
      <w:r w:rsidR="0005794A" w:rsidRPr="00605B50">
        <w:rPr>
          <w:rFonts w:ascii="Times New Roman" w:hAnsi="Times New Roman" w:cs="Times New Roman"/>
          <w:b/>
          <w:lang w:val="fr-FR"/>
        </w:rPr>
        <w:t>2019</w:t>
      </w:r>
      <w:r w:rsidR="0005794A" w:rsidRPr="00605B50">
        <w:rPr>
          <w:rFonts w:ascii="Times New Roman" w:hAnsi="Times New Roman" w:cs="Times New Roman"/>
          <w:b/>
          <w:lang w:val="fr-FR"/>
        </w:rPr>
        <w:tab/>
      </w:r>
      <w:r w:rsidR="0005794A" w:rsidRPr="00605B50">
        <w:rPr>
          <w:rFonts w:ascii="Times New Roman" w:hAnsi="Times New Roman" w:cs="Times New Roman"/>
          <w:b/>
          <w:lang w:val="fr-FR"/>
        </w:rPr>
        <w:tab/>
      </w:r>
      <w:r w:rsidR="009611AD" w:rsidRPr="00605B50">
        <w:rPr>
          <w:rFonts w:ascii="Times New Roman" w:hAnsi="Times New Roman" w:cs="Times New Roman"/>
          <w:b/>
          <w:lang w:val="fr-FR"/>
        </w:rPr>
        <w:tab/>
      </w:r>
      <w:r w:rsidR="0005794A" w:rsidRPr="00605B50">
        <w:rPr>
          <w:rFonts w:ascii="Times New Roman" w:hAnsi="Times New Roman" w:cs="Times New Roman"/>
          <w:b/>
          <w:lang w:val="fr-FR"/>
        </w:rPr>
        <w:t>2020</w:t>
      </w:r>
      <w:r w:rsidR="0005794A" w:rsidRPr="00605B50">
        <w:rPr>
          <w:rFonts w:ascii="Times New Roman" w:hAnsi="Times New Roman" w:cs="Times New Roman"/>
          <w:b/>
          <w:lang w:val="fr-FR"/>
        </w:rPr>
        <w:tab/>
      </w:r>
      <w:r w:rsidR="0005794A" w:rsidRPr="00605B50">
        <w:rPr>
          <w:rFonts w:ascii="Times New Roman" w:hAnsi="Times New Roman" w:cs="Times New Roman"/>
          <w:b/>
          <w:lang w:val="fr-FR"/>
        </w:rPr>
        <w:tab/>
      </w:r>
      <w:r w:rsidR="009611AD" w:rsidRPr="00605B50">
        <w:rPr>
          <w:rFonts w:ascii="Times New Roman" w:hAnsi="Times New Roman" w:cs="Times New Roman"/>
          <w:b/>
          <w:lang w:val="fr-FR"/>
        </w:rPr>
        <w:tab/>
      </w:r>
      <w:r w:rsidR="0005794A" w:rsidRPr="00605B50">
        <w:rPr>
          <w:rFonts w:ascii="Times New Roman" w:hAnsi="Times New Roman" w:cs="Times New Roman"/>
          <w:b/>
          <w:lang w:val="fr-FR"/>
        </w:rPr>
        <w:t>2021</w:t>
      </w:r>
    </w:p>
    <w:p w:rsidR="0005794A" w:rsidRPr="00605B50" w:rsidRDefault="00904790" w:rsidP="00904790">
      <w:pPr>
        <w:spacing w:line="260" w:lineRule="auto"/>
        <w:jc w:val="both"/>
        <w:rPr>
          <w:rFonts w:ascii="Times New Roman" w:hAnsi="Times New Roman" w:cs="Times New Roman"/>
          <w:lang w:val="fr-FR"/>
        </w:rPr>
      </w:pPr>
      <w:r w:rsidRPr="00904790">
        <w:rPr>
          <w:rFonts w:ascii="Times New Roman" w:hAnsi="Times New Roman" w:cs="Times New Roman"/>
          <w:lang w:val="fr-FR"/>
        </w:rPr>
        <w:t>P-4</w:t>
      </w:r>
      <w:r w:rsidR="009611AD" w:rsidRPr="00605B50">
        <w:rPr>
          <w:rFonts w:ascii="Times New Roman" w:hAnsi="Times New Roman" w:cs="Times New Roman"/>
          <w:lang w:val="fr-FR"/>
        </w:rPr>
        <w:tab/>
      </w:r>
      <w:r w:rsidR="009611AD" w:rsidRPr="00605B50">
        <w:rPr>
          <w:rFonts w:ascii="Times New Roman" w:hAnsi="Times New Roman" w:cs="Times New Roman"/>
          <w:lang w:val="fr-FR"/>
        </w:rPr>
        <w:tab/>
      </w:r>
      <w:r w:rsidR="009611AD" w:rsidRPr="00605B50">
        <w:rPr>
          <w:rFonts w:ascii="Times New Roman" w:hAnsi="Times New Roman" w:cs="Times New Roman"/>
          <w:lang w:val="fr-FR"/>
        </w:rPr>
        <w:tab/>
        <w:t>159</w:t>
      </w:r>
      <w:r w:rsidR="008B34A5" w:rsidRPr="00605B50">
        <w:rPr>
          <w:rFonts w:ascii="Times New Roman" w:hAnsi="Times New Roman" w:cs="Times New Roman"/>
          <w:lang w:val="fr-FR"/>
        </w:rPr>
        <w:t> </w:t>
      </w:r>
      <w:r w:rsidR="009611AD" w:rsidRPr="00605B50">
        <w:rPr>
          <w:rFonts w:ascii="Times New Roman" w:hAnsi="Times New Roman" w:cs="Times New Roman"/>
          <w:lang w:val="fr-FR"/>
        </w:rPr>
        <w:t>045</w:t>
      </w:r>
      <w:r w:rsidR="009611AD" w:rsidRPr="00605B50">
        <w:rPr>
          <w:rFonts w:ascii="Times New Roman" w:hAnsi="Times New Roman" w:cs="Times New Roman"/>
          <w:lang w:val="fr-FR"/>
        </w:rPr>
        <w:tab/>
      </w:r>
      <w:r w:rsidR="009611AD" w:rsidRPr="00605B50">
        <w:rPr>
          <w:rFonts w:ascii="Times New Roman" w:hAnsi="Times New Roman" w:cs="Times New Roman"/>
          <w:lang w:val="fr-FR"/>
        </w:rPr>
        <w:tab/>
      </w:r>
      <w:r w:rsidR="009611AD" w:rsidRPr="00605B50">
        <w:rPr>
          <w:rFonts w:ascii="Times New Roman" w:hAnsi="Times New Roman" w:cs="Times New Roman"/>
          <w:lang w:val="fr-FR"/>
        </w:rPr>
        <w:tab/>
        <w:t>162</w:t>
      </w:r>
      <w:r w:rsidR="008B34A5" w:rsidRPr="00605B50">
        <w:rPr>
          <w:rFonts w:ascii="Times New Roman" w:hAnsi="Times New Roman" w:cs="Times New Roman"/>
          <w:lang w:val="fr-FR"/>
        </w:rPr>
        <w:t> </w:t>
      </w:r>
      <w:r w:rsidR="009611AD" w:rsidRPr="00605B50">
        <w:rPr>
          <w:rFonts w:ascii="Times New Roman" w:hAnsi="Times New Roman" w:cs="Times New Roman"/>
          <w:lang w:val="fr-FR"/>
        </w:rPr>
        <w:t>225</w:t>
      </w:r>
      <w:r w:rsidR="009611AD" w:rsidRPr="00605B50">
        <w:rPr>
          <w:rFonts w:ascii="Times New Roman" w:hAnsi="Times New Roman" w:cs="Times New Roman"/>
          <w:lang w:val="fr-FR"/>
        </w:rPr>
        <w:tab/>
      </w:r>
      <w:r w:rsidR="009611AD" w:rsidRPr="00605B50">
        <w:rPr>
          <w:rFonts w:ascii="Times New Roman" w:hAnsi="Times New Roman" w:cs="Times New Roman"/>
          <w:lang w:val="fr-FR"/>
        </w:rPr>
        <w:tab/>
      </w:r>
      <w:r w:rsidR="009611AD" w:rsidRPr="00605B50">
        <w:rPr>
          <w:rFonts w:ascii="Times New Roman" w:hAnsi="Times New Roman" w:cs="Times New Roman"/>
          <w:lang w:val="fr-FR"/>
        </w:rPr>
        <w:tab/>
        <w:t>165</w:t>
      </w:r>
      <w:r w:rsidR="008B34A5" w:rsidRPr="00605B50">
        <w:rPr>
          <w:rFonts w:ascii="Times New Roman" w:hAnsi="Times New Roman" w:cs="Times New Roman"/>
          <w:lang w:val="fr-FR"/>
        </w:rPr>
        <w:t> </w:t>
      </w:r>
      <w:r w:rsidR="009611AD" w:rsidRPr="00605B50">
        <w:rPr>
          <w:rFonts w:ascii="Times New Roman" w:hAnsi="Times New Roman" w:cs="Times New Roman"/>
          <w:lang w:val="fr-FR"/>
        </w:rPr>
        <w:t>470</w:t>
      </w:r>
    </w:p>
    <w:p w:rsidR="0005794A" w:rsidRPr="00605B50" w:rsidRDefault="00904790" w:rsidP="00904790">
      <w:pPr>
        <w:spacing w:line="260" w:lineRule="auto"/>
        <w:jc w:val="both"/>
        <w:rPr>
          <w:rFonts w:ascii="Times New Roman" w:hAnsi="Times New Roman" w:cs="Times New Roman"/>
          <w:lang w:val="fr-FR"/>
        </w:rPr>
      </w:pPr>
      <w:r w:rsidRPr="00904790">
        <w:rPr>
          <w:rFonts w:ascii="Times New Roman" w:hAnsi="Times New Roman" w:cs="Times New Roman"/>
          <w:lang w:val="fr-FR"/>
        </w:rPr>
        <w:t>P-3</w:t>
      </w:r>
      <w:r w:rsidR="009611AD" w:rsidRPr="00605B50">
        <w:rPr>
          <w:rFonts w:ascii="Times New Roman" w:hAnsi="Times New Roman" w:cs="Times New Roman"/>
          <w:lang w:val="fr-FR"/>
        </w:rPr>
        <w:tab/>
      </w:r>
      <w:r w:rsidR="009611AD" w:rsidRPr="00605B50">
        <w:rPr>
          <w:rFonts w:ascii="Times New Roman" w:hAnsi="Times New Roman" w:cs="Times New Roman"/>
          <w:lang w:val="fr-FR"/>
        </w:rPr>
        <w:tab/>
      </w:r>
      <w:r w:rsidR="009611AD" w:rsidRPr="00605B50">
        <w:rPr>
          <w:rFonts w:ascii="Times New Roman" w:hAnsi="Times New Roman" w:cs="Times New Roman"/>
          <w:lang w:val="fr-FR"/>
        </w:rPr>
        <w:tab/>
        <w:t>133</w:t>
      </w:r>
      <w:r w:rsidR="008B34A5" w:rsidRPr="00605B50">
        <w:rPr>
          <w:rFonts w:ascii="Times New Roman" w:hAnsi="Times New Roman" w:cs="Times New Roman"/>
          <w:lang w:val="fr-FR"/>
        </w:rPr>
        <w:t> </w:t>
      </w:r>
      <w:r w:rsidR="009611AD" w:rsidRPr="00605B50">
        <w:rPr>
          <w:rFonts w:ascii="Times New Roman" w:hAnsi="Times New Roman" w:cs="Times New Roman"/>
          <w:lang w:val="fr-FR"/>
        </w:rPr>
        <w:t>308</w:t>
      </w:r>
      <w:r w:rsidR="009611AD" w:rsidRPr="00605B50">
        <w:rPr>
          <w:rFonts w:ascii="Times New Roman" w:hAnsi="Times New Roman" w:cs="Times New Roman"/>
          <w:lang w:val="fr-FR"/>
        </w:rPr>
        <w:tab/>
      </w:r>
      <w:r w:rsidR="009611AD" w:rsidRPr="00605B50">
        <w:rPr>
          <w:rFonts w:ascii="Times New Roman" w:hAnsi="Times New Roman" w:cs="Times New Roman"/>
          <w:lang w:val="fr-FR"/>
        </w:rPr>
        <w:tab/>
      </w:r>
      <w:r w:rsidR="009611AD" w:rsidRPr="00605B50">
        <w:rPr>
          <w:rFonts w:ascii="Times New Roman" w:hAnsi="Times New Roman" w:cs="Times New Roman"/>
          <w:lang w:val="fr-FR"/>
        </w:rPr>
        <w:tab/>
        <w:t>135</w:t>
      </w:r>
      <w:r w:rsidR="008B34A5" w:rsidRPr="00605B50">
        <w:rPr>
          <w:rFonts w:ascii="Times New Roman" w:hAnsi="Times New Roman" w:cs="Times New Roman"/>
          <w:lang w:val="fr-FR"/>
        </w:rPr>
        <w:t> </w:t>
      </w:r>
      <w:r w:rsidR="009611AD" w:rsidRPr="00605B50">
        <w:rPr>
          <w:rFonts w:ascii="Times New Roman" w:hAnsi="Times New Roman" w:cs="Times New Roman"/>
          <w:lang w:val="fr-FR"/>
        </w:rPr>
        <w:t>974</w:t>
      </w:r>
      <w:r w:rsidR="009611AD" w:rsidRPr="00605B50">
        <w:rPr>
          <w:rFonts w:ascii="Times New Roman" w:hAnsi="Times New Roman" w:cs="Times New Roman"/>
          <w:lang w:val="fr-FR"/>
        </w:rPr>
        <w:tab/>
      </w:r>
      <w:r w:rsidR="009611AD" w:rsidRPr="00605B50">
        <w:rPr>
          <w:rFonts w:ascii="Times New Roman" w:hAnsi="Times New Roman" w:cs="Times New Roman"/>
          <w:lang w:val="fr-FR"/>
        </w:rPr>
        <w:tab/>
      </w:r>
      <w:r w:rsidR="009611AD" w:rsidRPr="00605B50">
        <w:rPr>
          <w:rFonts w:ascii="Times New Roman" w:hAnsi="Times New Roman" w:cs="Times New Roman"/>
          <w:lang w:val="fr-FR"/>
        </w:rPr>
        <w:tab/>
        <w:t>138</w:t>
      </w:r>
      <w:r w:rsidR="008B34A5" w:rsidRPr="00605B50">
        <w:rPr>
          <w:rFonts w:ascii="Times New Roman" w:hAnsi="Times New Roman" w:cs="Times New Roman"/>
          <w:lang w:val="fr-FR"/>
        </w:rPr>
        <w:t> </w:t>
      </w:r>
      <w:r w:rsidR="009611AD" w:rsidRPr="00605B50">
        <w:rPr>
          <w:rFonts w:ascii="Times New Roman" w:hAnsi="Times New Roman" w:cs="Times New Roman"/>
          <w:lang w:val="fr-FR"/>
        </w:rPr>
        <w:t>694</w:t>
      </w:r>
    </w:p>
    <w:p w:rsidR="0005794A" w:rsidRPr="00605B50" w:rsidRDefault="00904790" w:rsidP="00904790">
      <w:pPr>
        <w:spacing w:line="260" w:lineRule="auto"/>
        <w:jc w:val="both"/>
        <w:rPr>
          <w:rFonts w:ascii="Times New Roman" w:hAnsi="Times New Roman" w:cs="Times New Roman"/>
          <w:lang w:val="fr-FR"/>
        </w:rPr>
      </w:pPr>
      <w:r w:rsidRPr="00904790">
        <w:rPr>
          <w:rFonts w:ascii="Times New Roman" w:hAnsi="Times New Roman" w:cs="Times New Roman"/>
          <w:lang w:val="fr-FR"/>
        </w:rPr>
        <w:t>P-2</w:t>
      </w:r>
      <w:r w:rsidR="009611AD" w:rsidRPr="00605B50">
        <w:rPr>
          <w:rFonts w:ascii="Times New Roman" w:hAnsi="Times New Roman" w:cs="Times New Roman"/>
          <w:lang w:val="fr-FR"/>
        </w:rPr>
        <w:tab/>
      </w:r>
      <w:r w:rsidR="009611AD" w:rsidRPr="00605B50">
        <w:rPr>
          <w:rFonts w:ascii="Times New Roman" w:hAnsi="Times New Roman" w:cs="Times New Roman"/>
          <w:lang w:val="fr-FR"/>
        </w:rPr>
        <w:tab/>
      </w:r>
      <w:r w:rsidR="009611AD" w:rsidRPr="00605B50">
        <w:rPr>
          <w:rFonts w:ascii="Times New Roman" w:hAnsi="Times New Roman" w:cs="Times New Roman"/>
          <w:lang w:val="fr-FR"/>
        </w:rPr>
        <w:tab/>
        <w:t>108</w:t>
      </w:r>
      <w:r w:rsidR="008B34A5" w:rsidRPr="00605B50">
        <w:rPr>
          <w:rFonts w:ascii="Times New Roman" w:hAnsi="Times New Roman" w:cs="Times New Roman"/>
          <w:lang w:val="fr-FR"/>
        </w:rPr>
        <w:t> </w:t>
      </w:r>
      <w:r w:rsidR="009611AD" w:rsidRPr="00605B50">
        <w:rPr>
          <w:rFonts w:ascii="Times New Roman" w:hAnsi="Times New Roman" w:cs="Times New Roman"/>
          <w:lang w:val="fr-FR"/>
        </w:rPr>
        <w:t>775</w:t>
      </w:r>
      <w:r w:rsidR="009611AD" w:rsidRPr="00605B50">
        <w:rPr>
          <w:rFonts w:ascii="Times New Roman" w:hAnsi="Times New Roman" w:cs="Times New Roman"/>
          <w:lang w:val="fr-FR"/>
        </w:rPr>
        <w:tab/>
      </w:r>
      <w:r w:rsidR="009611AD" w:rsidRPr="00605B50">
        <w:rPr>
          <w:rFonts w:ascii="Times New Roman" w:hAnsi="Times New Roman" w:cs="Times New Roman"/>
          <w:lang w:val="fr-FR"/>
        </w:rPr>
        <w:tab/>
      </w:r>
      <w:r w:rsidR="009611AD" w:rsidRPr="00605B50">
        <w:rPr>
          <w:rFonts w:ascii="Times New Roman" w:hAnsi="Times New Roman" w:cs="Times New Roman"/>
          <w:lang w:val="fr-FR"/>
        </w:rPr>
        <w:tab/>
        <w:t>110</w:t>
      </w:r>
      <w:r w:rsidR="008B34A5" w:rsidRPr="00605B50">
        <w:rPr>
          <w:rFonts w:ascii="Times New Roman" w:hAnsi="Times New Roman" w:cs="Times New Roman"/>
          <w:lang w:val="fr-FR"/>
        </w:rPr>
        <w:t> </w:t>
      </w:r>
      <w:r w:rsidR="009611AD" w:rsidRPr="00605B50">
        <w:rPr>
          <w:rFonts w:ascii="Times New Roman" w:hAnsi="Times New Roman" w:cs="Times New Roman"/>
          <w:lang w:val="fr-FR"/>
        </w:rPr>
        <w:t>950</w:t>
      </w:r>
      <w:r w:rsidR="009611AD" w:rsidRPr="00605B50">
        <w:rPr>
          <w:rFonts w:ascii="Times New Roman" w:hAnsi="Times New Roman" w:cs="Times New Roman"/>
          <w:lang w:val="fr-FR"/>
        </w:rPr>
        <w:tab/>
      </w:r>
      <w:r w:rsidR="009611AD" w:rsidRPr="00605B50">
        <w:rPr>
          <w:rFonts w:ascii="Times New Roman" w:hAnsi="Times New Roman" w:cs="Times New Roman"/>
          <w:lang w:val="fr-FR"/>
        </w:rPr>
        <w:tab/>
      </w:r>
      <w:r w:rsidR="009611AD" w:rsidRPr="00605B50">
        <w:rPr>
          <w:rFonts w:ascii="Times New Roman" w:hAnsi="Times New Roman" w:cs="Times New Roman"/>
          <w:lang w:val="fr-FR"/>
        </w:rPr>
        <w:tab/>
        <w:t>113</w:t>
      </w:r>
      <w:r w:rsidR="008B34A5" w:rsidRPr="00605B50">
        <w:rPr>
          <w:rFonts w:ascii="Times New Roman" w:hAnsi="Times New Roman" w:cs="Times New Roman"/>
          <w:lang w:val="fr-FR"/>
        </w:rPr>
        <w:t> </w:t>
      </w:r>
      <w:r w:rsidR="009611AD" w:rsidRPr="00605B50">
        <w:rPr>
          <w:rFonts w:ascii="Times New Roman" w:hAnsi="Times New Roman" w:cs="Times New Roman"/>
          <w:lang w:val="fr-FR"/>
        </w:rPr>
        <w:t>169</w:t>
      </w:r>
    </w:p>
    <w:p w:rsidR="0005794A" w:rsidRPr="00605B50" w:rsidRDefault="00904790" w:rsidP="00904790">
      <w:pPr>
        <w:spacing w:line="260" w:lineRule="auto"/>
        <w:jc w:val="both"/>
        <w:rPr>
          <w:rFonts w:ascii="Times New Roman" w:hAnsi="Times New Roman" w:cs="Times New Roman"/>
          <w:lang w:val="fr-FR"/>
        </w:rPr>
      </w:pPr>
      <w:r w:rsidRPr="00904790">
        <w:rPr>
          <w:rFonts w:ascii="Times New Roman" w:hAnsi="Times New Roman" w:cs="Times New Roman"/>
          <w:lang w:val="fr-FR"/>
        </w:rPr>
        <w:t>G-5</w:t>
      </w:r>
      <w:r w:rsidR="009611AD" w:rsidRPr="00605B50">
        <w:rPr>
          <w:rFonts w:ascii="Times New Roman" w:hAnsi="Times New Roman" w:cs="Times New Roman"/>
          <w:lang w:val="fr-FR"/>
        </w:rPr>
        <w:tab/>
      </w:r>
      <w:r w:rsidR="009611AD" w:rsidRPr="00605B50">
        <w:rPr>
          <w:rFonts w:ascii="Times New Roman" w:hAnsi="Times New Roman" w:cs="Times New Roman"/>
          <w:lang w:val="fr-FR"/>
        </w:rPr>
        <w:tab/>
      </w:r>
      <w:r w:rsidR="009611AD" w:rsidRPr="00605B50">
        <w:rPr>
          <w:rFonts w:ascii="Times New Roman" w:hAnsi="Times New Roman" w:cs="Times New Roman"/>
          <w:lang w:val="fr-FR"/>
        </w:rPr>
        <w:tab/>
        <w:t>69</w:t>
      </w:r>
      <w:r w:rsidR="008B34A5" w:rsidRPr="00605B50">
        <w:rPr>
          <w:rFonts w:ascii="Times New Roman" w:hAnsi="Times New Roman" w:cs="Times New Roman"/>
          <w:lang w:val="fr-FR"/>
        </w:rPr>
        <w:t> </w:t>
      </w:r>
      <w:r w:rsidR="009611AD" w:rsidRPr="00605B50">
        <w:rPr>
          <w:rFonts w:ascii="Times New Roman" w:hAnsi="Times New Roman" w:cs="Times New Roman"/>
          <w:lang w:val="fr-FR"/>
        </w:rPr>
        <w:t>468</w:t>
      </w:r>
      <w:r w:rsidR="009611AD" w:rsidRPr="00605B50">
        <w:rPr>
          <w:rFonts w:ascii="Times New Roman" w:hAnsi="Times New Roman" w:cs="Times New Roman"/>
          <w:lang w:val="fr-FR"/>
        </w:rPr>
        <w:tab/>
      </w:r>
      <w:r w:rsidR="009611AD" w:rsidRPr="00605B50">
        <w:rPr>
          <w:rFonts w:ascii="Times New Roman" w:hAnsi="Times New Roman" w:cs="Times New Roman"/>
          <w:lang w:val="fr-FR"/>
        </w:rPr>
        <w:tab/>
      </w:r>
      <w:r w:rsidR="009611AD" w:rsidRPr="00605B50">
        <w:rPr>
          <w:rFonts w:ascii="Times New Roman" w:hAnsi="Times New Roman" w:cs="Times New Roman"/>
          <w:lang w:val="fr-FR"/>
        </w:rPr>
        <w:tab/>
        <w:t>70</w:t>
      </w:r>
      <w:r w:rsidR="008B34A5" w:rsidRPr="00605B50">
        <w:rPr>
          <w:rFonts w:ascii="Times New Roman" w:hAnsi="Times New Roman" w:cs="Times New Roman"/>
          <w:lang w:val="fr-FR"/>
        </w:rPr>
        <w:t> </w:t>
      </w:r>
      <w:r w:rsidR="009611AD" w:rsidRPr="00605B50">
        <w:rPr>
          <w:rFonts w:ascii="Times New Roman" w:hAnsi="Times New Roman" w:cs="Times New Roman"/>
          <w:lang w:val="fr-FR"/>
        </w:rPr>
        <w:t>857</w:t>
      </w:r>
      <w:r w:rsidR="009611AD" w:rsidRPr="00605B50">
        <w:rPr>
          <w:rFonts w:ascii="Times New Roman" w:hAnsi="Times New Roman" w:cs="Times New Roman"/>
          <w:lang w:val="fr-FR"/>
        </w:rPr>
        <w:tab/>
      </w:r>
      <w:r w:rsidR="009611AD" w:rsidRPr="00605B50">
        <w:rPr>
          <w:rFonts w:ascii="Times New Roman" w:hAnsi="Times New Roman" w:cs="Times New Roman"/>
          <w:lang w:val="fr-FR"/>
        </w:rPr>
        <w:tab/>
      </w:r>
      <w:r w:rsidR="009611AD" w:rsidRPr="00605B50">
        <w:rPr>
          <w:rFonts w:ascii="Times New Roman" w:hAnsi="Times New Roman" w:cs="Times New Roman"/>
          <w:lang w:val="fr-FR"/>
        </w:rPr>
        <w:tab/>
        <w:t>72</w:t>
      </w:r>
      <w:r w:rsidR="008B34A5" w:rsidRPr="00605B50">
        <w:rPr>
          <w:rFonts w:ascii="Times New Roman" w:hAnsi="Times New Roman" w:cs="Times New Roman"/>
          <w:lang w:val="fr-FR"/>
        </w:rPr>
        <w:t> </w:t>
      </w:r>
      <w:r w:rsidR="009611AD" w:rsidRPr="00605B50">
        <w:rPr>
          <w:rFonts w:ascii="Times New Roman" w:hAnsi="Times New Roman" w:cs="Times New Roman"/>
          <w:lang w:val="fr-FR"/>
        </w:rPr>
        <w:t>275</w:t>
      </w:r>
    </w:p>
    <w:p w:rsidR="0005794A" w:rsidRPr="00605B50" w:rsidRDefault="00904790" w:rsidP="00904790">
      <w:pPr>
        <w:spacing w:after="0" w:line="280" w:lineRule="auto"/>
        <w:jc w:val="both"/>
        <w:rPr>
          <w:rFonts w:ascii="Times New Roman" w:hAnsi="Times New Roman" w:cs="Times New Roman"/>
          <w:lang w:val="fr-FR"/>
        </w:rPr>
      </w:pPr>
      <w:r w:rsidRPr="00904790">
        <w:rPr>
          <w:rFonts w:ascii="Times New Roman" w:hAnsi="Times New Roman" w:cs="Times New Roman"/>
          <w:lang w:val="fr-FR"/>
        </w:rPr>
        <w:t xml:space="preserve">Chacun des quatre scénarios budgétaires exposés dans le présent document reflète </w:t>
      </w:r>
      <w:r w:rsidR="00B06B07" w:rsidRPr="00904790">
        <w:rPr>
          <w:rFonts w:ascii="Times New Roman" w:hAnsi="Times New Roman" w:cs="Times New Roman"/>
          <w:lang w:val="fr-FR"/>
        </w:rPr>
        <w:t>ces coûts standards</w:t>
      </w:r>
      <w:r w:rsidRPr="00904790">
        <w:rPr>
          <w:rFonts w:ascii="Times New Roman" w:hAnsi="Times New Roman" w:cs="Times New Roman"/>
          <w:lang w:val="fr-FR"/>
        </w:rPr>
        <w:t xml:space="preserve">, qui seront appliqués aux salaires du personnel </w:t>
      </w:r>
      <w:r w:rsidR="00D228BC">
        <w:rPr>
          <w:rFonts w:ascii="Times New Roman" w:hAnsi="Times New Roman" w:cs="Times New Roman"/>
          <w:lang w:val="fr-FR"/>
        </w:rPr>
        <w:t>titulaire</w:t>
      </w:r>
      <w:r w:rsidRPr="00904790">
        <w:rPr>
          <w:rFonts w:ascii="Times New Roman" w:hAnsi="Times New Roman" w:cs="Times New Roman"/>
          <w:lang w:val="fr-FR"/>
        </w:rPr>
        <w:t xml:space="preserve"> ainsi qu</w:t>
      </w:r>
      <w:r w:rsidR="00B06B07">
        <w:rPr>
          <w:rFonts w:ascii="Times New Roman" w:hAnsi="Times New Roman" w:cs="Times New Roman"/>
          <w:lang w:val="fr-FR"/>
        </w:rPr>
        <w:t>’</w:t>
      </w:r>
      <w:r w:rsidRPr="00904790">
        <w:rPr>
          <w:rFonts w:ascii="Times New Roman" w:hAnsi="Times New Roman" w:cs="Times New Roman"/>
          <w:lang w:val="fr-FR"/>
        </w:rPr>
        <w:t>aux membres du personnel dépendant des contributions volontaires.</w:t>
      </w:r>
      <w:r w:rsidR="00F20245" w:rsidRPr="00605B50">
        <w:rPr>
          <w:rFonts w:ascii="Times New Roman" w:hAnsi="Times New Roman" w:cs="Times New Roman"/>
          <w:lang w:val="fr-FR"/>
        </w:rPr>
        <w:t xml:space="preserve"> </w:t>
      </w:r>
      <w:r w:rsidRPr="00904790">
        <w:rPr>
          <w:rFonts w:ascii="Times New Roman" w:hAnsi="Times New Roman" w:cs="Times New Roman"/>
          <w:lang w:val="fr-FR"/>
        </w:rPr>
        <w:t>L</w:t>
      </w:r>
      <w:r w:rsidR="00B06B07">
        <w:rPr>
          <w:rFonts w:ascii="Times New Roman" w:hAnsi="Times New Roman" w:cs="Times New Roman"/>
          <w:lang w:val="fr-FR"/>
        </w:rPr>
        <w:t>’</w:t>
      </w:r>
      <w:r w:rsidRPr="00904790">
        <w:rPr>
          <w:rFonts w:ascii="Times New Roman" w:hAnsi="Times New Roman" w:cs="Times New Roman"/>
          <w:lang w:val="fr-FR"/>
        </w:rPr>
        <w:t xml:space="preserve">utilisation </w:t>
      </w:r>
      <w:r w:rsidR="00B06B07" w:rsidRPr="00904790">
        <w:rPr>
          <w:rFonts w:ascii="Times New Roman" w:hAnsi="Times New Roman" w:cs="Times New Roman"/>
          <w:lang w:val="fr-FR"/>
        </w:rPr>
        <w:t>des coûts standards</w:t>
      </w:r>
      <w:r w:rsidRPr="00904790">
        <w:rPr>
          <w:rFonts w:ascii="Times New Roman" w:hAnsi="Times New Roman" w:cs="Times New Roman"/>
          <w:lang w:val="fr-FR"/>
        </w:rPr>
        <w:t xml:space="preserve"> de la famille</w:t>
      </w:r>
      <w:r w:rsidR="00D228BC">
        <w:rPr>
          <w:rFonts w:ascii="Times New Roman" w:hAnsi="Times New Roman" w:cs="Times New Roman"/>
          <w:lang w:val="fr-FR"/>
        </w:rPr>
        <w:t xml:space="preserve"> </w:t>
      </w:r>
      <w:r w:rsidRPr="00904790">
        <w:rPr>
          <w:rFonts w:ascii="Times New Roman" w:hAnsi="Times New Roman" w:cs="Times New Roman"/>
          <w:lang w:val="fr-FR"/>
        </w:rPr>
        <w:t>CMS entraîne des coûts de personnel légèrement inférieurs par rapport au budget principal 2016-2018 :</w:t>
      </w:r>
      <w:r w:rsidR="00F20245" w:rsidRPr="00605B50">
        <w:rPr>
          <w:rFonts w:ascii="Times New Roman" w:hAnsi="Times New Roman" w:cs="Times New Roman"/>
          <w:lang w:val="fr-FR"/>
        </w:rPr>
        <w:t xml:space="preserve"> </w:t>
      </w:r>
      <w:r w:rsidRPr="00904790">
        <w:rPr>
          <w:rFonts w:ascii="Times New Roman" w:hAnsi="Times New Roman" w:cs="Times New Roman"/>
          <w:lang w:val="fr-FR"/>
        </w:rPr>
        <w:t>l</w:t>
      </w:r>
      <w:r w:rsidR="00B06B07">
        <w:rPr>
          <w:rFonts w:ascii="Times New Roman" w:hAnsi="Times New Roman" w:cs="Times New Roman"/>
          <w:lang w:val="fr-FR"/>
        </w:rPr>
        <w:t>’</w:t>
      </w:r>
      <w:r w:rsidRPr="00904790">
        <w:rPr>
          <w:rFonts w:ascii="Times New Roman" w:hAnsi="Times New Roman" w:cs="Times New Roman"/>
          <w:lang w:val="fr-FR"/>
        </w:rPr>
        <w:t>augmentation entre l</w:t>
      </w:r>
      <w:r w:rsidR="00B06B07">
        <w:rPr>
          <w:rFonts w:ascii="Times New Roman" w:hAnsi="Times New Roman" w:cs="Times New Roman"/>
          <w:lang w:val="fr-FR"/>
        </w:rPr>
        <w:t>’</w:t>
      </w:r>
      <w:r w:rsidRPr="00904790">
        <w:rPr>
          <w:rFonts w:ascii="Times New Roman" w:hAnsi="Times New Roman" w:cs="Times New Roman"/>
          <w:lang w:val="fr-FR"/>
        </w:rPr>
        <w:t>année 2018 dans le cadre du budget actuel et l</w:t>
      </w:r>
      <w:r w:rsidR="00B06B07">
        <w:rPr>
          <w:rFonts w:ascii="Times New Roman" w:hAnsi="Times New Roman" w:cs="Times New Roman"/>
          <w:lang w:val="fr-FR"/>
        </w:rPr>
        <w:t>’</w:t>
      </w:r>
      <w:r w:rsidRPr="00904790">
        <w:rPr>
          <w:rFonts w:ascii="Times New Roman" w:hAnsi="Times New Roman" w:cs="Times New Roman"/>
          <w:lang w:val="fr-FR"/>
        </w:rPr>
        <w:t xml:space="preserve">année 2019 dans le cadre </w:t>
      </w:r>
      <w:r w:rsidR="00B06B07" w:rsidRPr="00904790">
        <w:rPr>
          <w:rFonts w:ascii="Times New Roman" w:hAnsi="Times New Roman" w:cs="Times New Roman"/>
          <w:lang w:val="fr-FR"/>
        </w:rPr>
        <w:t>de l’avant-projet</w:t>
      </w:r>
      <w:r w:rsidRPr="00904790">
        <w:rPr>
          <w:rFonts w:ascii="Times New Roman" w:hAnsi="Times New Roman" w:cs="Times New Roman"/>
          <w:lang w:val="fr-FR"/>
        </w:rPr>
        <w:t xml:space="preserve"> de scénarios étant seulement de 0,5 % au lieu de l</w:t>
      </w:r>
      <w:r w:rsidR="00B06B07">
        <w:rPr>
          <w:rFonts w:ascii="Times New Roman" w:hAnsi="Times New Roman" w:cs="Times New Roman"/>
          <w:lang w:val="fr-FR"/>
        </w:rPr>
        <w:t>’</w:t>
      </w:r>
      <w:r w:rsidRPr="00904790">
        <w:rPr>
          <w:rFonts w:ascii="Times New Roman" w:hAnsi="Times New Roman" w:cs="Times New Roman"/>
          <w:lang w:val="fr-FR"/>
        </w:rPr>
        <w:t>augmentation habituelle de 2</w:t>
      </w:r>
      <w:r w:rsidR="00D228BC">
        <w:rPr>
          <w:rFonts w:ascii="Times New Roman" w:hAnsi="Times New Roman" w:cs="Times New Roman"/>
          <w:lang w:val="fr-FR"/>
        </w:rPr>
        <w:t> </w:t>
      </w:r>
      <w:r w:rsidRPr="00904790">
        <w:rPr>
          <w:rFonts w:ascii="Times New Roman" w:hAnsi="Times New Roman" w:cs="Times New Roman"/>
          <w:lang w:val="fr-FR"/>
        </w:rPr>
        <w:t>%.</w:t>
      </w:r>
      <w:r w:rsidR="00F20245" w:rsidRPr="00605B50">
        <w:rPr>
          <w:rFonts w:ascii="Times New Roman" w:hAnsi="Times New Roman" w:cs="Times New Roman"/>
          <w:lang w:val="fr-FR"/>
        </w:rPr>
        <w:t xml:space="preserve"> </w:t>
      </w:r>
    </w:p>
    <w:p w:rsidR="00DF216F" w:rsidRPr="00605B50" w:rsidRDefault="00DF216F" w:rsidP="00DF216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:rsidR="00D368AB" w:rsidRPr="00605B50" w:rsidRDefault="00904790" w:rsidP="00904790">
      <w:pPr>
        <w:spacing w:after="0" w:line="260" w:lineRule="auto"/>
        <w:jc w:val="both"/>
        <w:rPr>
          <w:rFonts w:ascii="Times New Roman" w:hAnsi="Times New Roman" w:cs="Times New Roman"/>
          <w:u w:val="single"/>
          <w:lang w:val="fr-FR"/>
        </w:rPr>
      </w:pPr>
      <w:r w:rsidRPr="00904790">
        <w:rPr>
          <w:rFonts w:ascii="Times New Roman" w:hAnsi="Times New Roman" w:cs="Times New Roman"/>
          <w:u w:val="single"/>
          <w:lang w:val="fr-FR"/>
        </w:rPr>
        <w:t>Composition du personnel du Secrétariat</w:t>
      </w:r>
    </w:p>
    <w:p w:rsidR="00317573" w:rsidRPr="00605B50" w:rsidRDefault="00904790" w:rsidP="00B61E54">
      <w:pPr>
        <w:spacing w:after="0" w:line="280" w:lineRule="auto"/>
        <w:jc w:val="both"/>
        <w:rPr>
          <w:rFonts w:ascii="Times New Roman" w:hAnsi="Times New Roman" w:cs="Times New Roman"/>
          <w:lang w:val="fr-FR"/>
        </w:rPr>
      </w:pPr>
      <w:r w:rsidRPr="00904790">
        <w:rPr>
          <w:rFonts w:ascii="Times New Roman" w:hAnsi="Times New Roman" w:cs="Times New Roman"/>
          <w:lang w:val="fr-FR"/>
        </w:rPr>
        <w:t>Durant la période 2016-2018, les effectifs de personnel du Secrétariat comprennent à la fois le personnel titulaire, dont les salaires sont couverts par le budget principal, et les membres du personnel dont les salaires sont couverts par les contributions volontaires.</w:t>
      </w:r>
      <w:r w:rsidR="00033BFD" w:rsidRPr="00605B50">
        <w:rPr>
          <w:rFonts w:ascii="Times New Roman" w:hAnsi="Times New Roman" w:cs="Times New Roman"/>
          <w:lang w:val="fr-FR"/>
        </w:rPr>
        <w:t xml:space="preserve"> </w:t>
      </w:r>
      <w:r w:rsidRPr="00B61E54">
        <w:rPr>
          <w:rFonts w:ascii="Times New Roman" w:hAnsi="Times New Roman" w:cs="Times New Roman"/>
          <w:lang w:val="fr-FR"/>
        </w:rPr>
        <w:t xml:space="preserve">Pour </w:t>
      </w:r>
      <w:r w:rsidR="009964A0" w:rsidRPr="00B61E54">
        <w:rPr>
          <w:rFonts w:ascii="Times New Roman" w:hAnsi="Times New Roman" w:cs="Times New Roman"/>
          <w:lang w:val="fr-FR"/>
        </w:rPr>
        <w:t xml:space="preserve">prendre en main le </w:t>
      </w:r>
      <w:r w:rsidRPr="00B61E54">
        <w:rPr>
          <w:rFonts w:ascii="Times New Roman" w:hAnsi="Times New Roman" w:cs="Times New Roman"/>
          <w:lang w:val="fr-FR"/>
        </w:rPr>
        <w:t>manque d</w:t>
      </w:r>
      <w:r w:rsidR="00B61E54" w:rsidRPr="00B61E54">
        <w:rPr>
          <w:rFonts w:ascii="Times New Roman" w:hAnsi="Times New Roman" w:cs="Times New Roman"/>
          <w:lang w:val="fr-FR"/>
        </w:rPr>
        <w:t>e</w:t>
      </w:r>
      <w:r w:rsidRPr="00B61E54">
        <w:rPr>
          <w:rFonts w:ascii="Times New Roman" w:hAnsi="Times New Roman" w:cs="Times New Roman"/>
          <w:lang w:val="fr-FR"/>
        </w:rPr>
        <w:t xml:space="preserve"> personnel de</w:t>
      </w:r>
      <w:r w:rsidR="009964A0" w:rsidRPr="00B61E54">
        <w:rPr>
          <w:rFonts w:ascii="Times New Roman" w:hAnsi="Times New Roman" w:cs="Times New Roman"/>
          <w:lang w:val="fr-FR"/>
        </w:rPr>
        <w:t xml:space="preserve"> </w:t>
      </w:r>
      <w:r w:rsidRPr="00B61E54">
        <w:rPr>
          <w:rFonts w:ascii="Times New Roman" w:hAnsi="Times New Roman" w:cs="Times New Roman"/>
          <w:lang w:val="fr-FR"/>
        </w:rPr>
        <w:t xml:space="preserve">soutien </w:t>
      </w:r>
      <w:r w:rsidR="00B61E54" w:rsidRPr="00B61E54">
        <w:rPr>
          <w:rFonts w:ascii="Times New Roman" w:hAnsi="Times New Roman" w:cs="Times New Roman"/>
          <w:lang w:val="fr-FR"/>
        </w:rPr>
        <w:t>au sein du S</w:t>
      </w:r>
      <w:r w:rsidRPr="00B61E54">
        <w:rPr>
          <w:rFonts w:ascii="Times New Roman" w:hAnsi="Times New Roman" w:cs="Times New Roman"/>
          <w:lang w:val="fr-FR"/>
        </w:rPr>
        <w:t xml:space="preserve">ecrétariat, et pour pouvoir faire face à la charge croissante </w:t>
      </w:r>
      <w:r w:rsidR="00B61E54" w:rsidRPr="00B61E54">
        <w:rPr>
          <w:rFonts w:ascii="Times New Roman" w:hAnsi="Times New Roman" w:cs="Times New Roman"/>
          <w:lang w:val="fr-FR"/>
        </w:rPr>
        <w:t>de travail</w:t>
      </w:r>
      <w:r w:rsidRPr="00B61E54">
        <w:rPr>
          <w:rFonts w:ascii="Times New Roman" w:hAnsi="Times New Roman" w:cs="Times New Roman"/>
          <w:lang w:val="fr-FR"/>
        </w:rPr>
        <w:t xml:space="preserve">, </w:t>
      </w:r>
      <w:r w:rsidR="00B61E54" w:rsidRPr="00B61E54">
        <w:rPr>
          <w:rFonts w:ascii="Times New Roman" w:hAnsi="Times New Roman" w:cs="Times New Roman"/>
          <w:lang w:val="fr-FR"/>
        </w:rPr>
        <w:t>il a été demandé à</w:t>
      </w:r>
      <w:r w:rsidR="00B06B07">
        <w:rPr>
          <w:rFonts w:ascii="Times New Roman" w:hAnsi="Times New Roman" w:cs="Times New Roman"/>
          <w:lang w:val="fr-FR"/>
        </w:rPr>
        <w:t xml:space="preserve"> </w:t>
      </w:r>
      <w:r w:rsidRPr="00B61E54">
        <w:rPr>
          <w:rFonts w:ascii="Times New Roman" w:hAnsi="Times New Roman" w:cs="Times New Roman"/>
          <w:lang w:val="fr-FR"/>
        </w:rPr>
        <w:t xml:space="preserve">trois des quatre </w:t>
      </w:r>
      <w:r w:rsidR="00B61E54" w:rsidRPr="00B61E54">
        <w:rPr>
          <w:rFonts w:ascii="Times New Roman" w:hAnsi="Times New Roman" w:cs="Times New Roman"/>
          <w:lang w:val="fr-FR"/>
        </w:rPr>
        <w:t xml:space="preserve">membres du personnel titulaire de </w:t>
      </w:r>
      <w:r w:rsidRPr="00B61E54">
        <w:rPr>
          <w:rFonts w:ascii="Times New Roman" w:hAnsi="Times New Roman" w:cs="Times New Roman"/>
          <w:lang w:val="fr-FR"/>
        </w:rPr>
        <w:t xml:space="preserve">travailler </w:t>
      </w:r>
      <w:r w:rsidR="00B61E54" w:rsidRPr="00B61E54">
        <w:rPr>
          <w:rFonts w:ascii="Times New Roman" w:hAnsi="Times New Roman" w:cs="Times New Roman"/>
          <w:lang w:val="fr-FR"/>
        </w:rPr>
        <w:t>sur la base d</w:t>
      </w:r>
      <w:r w:rsidR="00B06B07">
        <w:rPr>
          <w:rFonts w:ascii="Times New Roman" w:hAnsi="Times New Roman" w:cs="Times New Roman"/>
          <w:lang w:val="fr-FR"/>
        </w:rPr>
        <w:t>’</w:t>
      </w:r>
      <w:r w:rsidR="00B61E54" w:rsidRPr="00B61E54">
        <w:rPr>
          <w:rFonts w:ascii="Times New Roman" w:hAnsi="Times New Roman" w:cs="Times New Roman"/>
          <w:lang w:val="fr-FR"/>
        </w:rPr>
        <w:t>une occupation de poste accrue</w:t>
      </w:r>
      <w:r w:rsidRPr="00B61E54">
        <w:rPr>
          <w:rFonts w:ascii="Times New Roman" w:hAnsi="Times New Roman" w:cs="Times New Roman"/>
          <w:lang w:val="fr-FR"/>
        </w:rPr>
        <w:t xml:space="preserve">, qui a été financée </w:t>
      </w:r>
      <w:r w:rsidR="00B61E54" w:rsidRPr="00B61E54">
        <w:rPr>
          <w:rFonts w:ascii="Times New Roman" w:hAnsi="Times New Roman" w:cs="Times New Roman"/>
          <w:lang w:val="fr-FR"/>
        </w:rPr>
        <w:t>à l</w:t>
      </w:r>
      <w:r w:rsidR="00B06B07">
        <w:rPr>
          <w:rFonts w:ascii="Times New Roman" w:hAnsi="Times New Roman" w:cs="Times New Roman"/>
          <w:lang w:val="fr-FR"/>
        </w:rPr>
        <w:t>’</w:t>
      </w:r>
      <w:r w:rsidR="00B61E54" w:rsidRPr="00B61E54">
        <w:rPr>
          <w:rFonts w:ascii="Times New Roman" w:hAnsi="Times New Roman" w:cs="Times New Roman"/>
          <w:lang w:val="fr-FR"/>
        </w:rPr>
        <w:t>aide de</w:t>
      </w:r>
      <w:r w:rsidRPr="00B61E54">
        <w:rPr>
          <w:rFonts w:ascii="Times New Roman" w:hAnsi="Times New Roman" w:cs="Times New Roman"/>
          <w:lang w:val="fr-FR"/>
        </w:rPr>
        <w:t xml:space="preserve"> contributions volontaires.</w:t>
      </w:r>
      <w:r w:rsidR="0083496C" w:rsidRPr="00605B50">
        <w:rPr>
          <w:rFonts w:ascii="Times New Roman" w:hAnsi="Times New Roman" w:cs="Times New Roman"/>
          <w:lang w:val="fr-FR"/>
        </w:rPr>
        <w:t xml:space="preserve"> </w:t>
      </w:r>
      <w:r w:rsidR="00B61E54" w:rsidRPr="00B61E54">
        <w:rPr>
          <w:rFonts w:ascii="Times New Roman" w:hAnsi="Times New Roman" w:cs="Times New Roman"/>
          <w:lang w:val="fr-FR"/>
        </w:rPr>
        <w:t>En outre, la coordinatrice de l</w:t>
      </w:r>
      <w:r w:rsidR="00B06B07">
        <w:rPr>
          <w:rFonts w:ascii="Times New Roman" w:hAnsi="Times New Roman" w:cs="Times New Roman"/>
          <w:lang w:val="fr-FR"/>
        </w:rPr>
        <w:t>’</w:t>
      </w:r>
      <w:r w:rsidR="00B61E54" w:rsidRPr="00B61E54">
        <w:rPr>
          <w:rFonts w:ascii="Times New Roman" w:hAnsi="Times New Roman" w:cs="Times New Roman"/>
          <w:lang w:val="fr-FR"/>
        </w:rPr>
        <w:t>Initiative africaine a obtenu un poste à plein temps grâce à des fonds supplémentaires alloués par différents donateurs.</w:t>
      </w:r>
    </w:p>
    <w:p w:rsidR="00AE26E0" w:rsidRPr="00605B50" w:rsidRDefault="00AE26E0" w:rsidP="00AE26E0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fr-FR"/>
        </w:rPr>
      </w:pPr>
    </w:p>
    <w:p w:rsidR="0058656E" w:rsidRDefault="0058656E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br w:type="page"/>
      </w:r>
    </w:p>
    <w:p w:rsidR="0083496C" w:rsidRPr="00605B50" w:rsidRDefault="00B61E54" w:rsidP="0058656E">
      <w:pPr>
        <w:spacing w:after="0" w:line="260" w:lineRule="auto"/>
        <w:ind w:left="5760" w:hanging="4320"/>
        <w:jc w:val="both"/>
        <w:rPr>
          <w:rFonts w:ascii="Times New Roman" w:hAnsi="Times New Roman" w:cs="Times New Roman"/>
          <w:b/>
          <w:lang w:val="fr-FR"/>
        </w:rPr>
      </w:pPr>
      <w:r w:rsidRPr="00B61E54">
        <w:rPr>
          <w:rFonts w:ascii="Times New Roman" w:hAnsi="Times New Roman" w:cs="Times New Roman"/>
          <w:b/>
          <w:lang w:val="fr-FR"/>
        </w:rPr>
        <w:lastRenderedPageBreak/>
        <w:t>Postes de personnel titulaire (en mai 2018)</w:t>
      </w:r>
      <w:r w:rsidR="0083496C" w:rsidRPr="00605B50">
        <w:rPr>
          <w:rFonts w:ascii="Times New Roman" w:hAnsi="Times New Roman" w:cs="Times New Roman"/>
          <w:b/>
          <w:lang w:val="fr-FR"/>
        </w:rPr>
        <w:tab/>
      </w:r>
      <w:r w:rsidRPr="00B61E54">
        <w:rPr>
          <w:rFonts w:ascii="Times New Roman" w:hAnsi="Times New Roman" w:cs="Times New Roman"/>
          <w:b/>
          <w:lang w:val="fr-FR"/>
        </w:rPr>
        <w:t>Augmentation des occupations de poste (en septembre 2018)</w:t>
      </w:r>
    </w:p>
    <w:p w:rsidR="00AE26E0" w:rsidRPr="00605B50" w:rsidRDefault="00AE26E0" w:rsidP="00AE26E0">
      <w:pPr>
        <w:spacing w:after="0"/>
        <w:jc w:val="both"/>
        <w:rPr>
          <w:rFonts w:ascii="Times New Roman" w:hAnsi="Times New Roman" w:cs="Times New Roman"/>
          <w:sz w:val="12"/>
          <w:szCs w:val="12"/>
          <w:lang w:val="fr-FR"/>
        </w:rPr>
      </w:pPr>
    </w:p>
    <w:p w:rsidR="0083496C" w:rsidRPr="00605B50" w:rsidRDefault="00B61E54" w:rsidP="00B61E54">
      <w:pPr>
        <w:spacing w:after="120" w:line="280" w:lineRule="auto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B61E54">
        <w:rPr>
          <w:rFonts w:ascii="Times New Roman" w:hAnsi="Times New Roman" w:cs="Times New Roman"/>
          <w:sz w:val="21"/>
          <w:szCs w:val="21"/>
          <w:lang w:val="fr-FR"/>
        </w:rPr>
        <w:t>1 Secrétaire exécutif (P-4)</w:t>
      </w:r>
    </w:p>
    <w:p w:rsidR="0083496C" w:rsidRPr="00605B50" w:rsidRDefault="00B61E54" w:rsidP="00B61E54">
      <w:pPr>
        <w:spacing w:after="120" w:line="280" w:lineRule="auto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B61E54">
        <w:rPr>
          <w:rFonts w:ascii="Times New Roman" w:hAnsi="Times New Roman" w:cs="Times New Roman"/>
          <w:sz w:val="21"/>
          <w:szCs w:val="21"/>
          <w:lang w:val="fr-FR"/>
        </w:rPr>
        <w:t>1 Chef de l</w:t>
      </w:r>
      <w:r w:rsidR="00B06B07">
        <w:rPr>
          <w:rFonts w:ascii="Times New Roman" w:hAnsi="Times New Roman" w:cs="Times New Roman"/>
          <w:sz w:val="21"/>
          <w:szCs w:val="21"/>
          <w:lang w:val="fr-FR"/>
        </w:rPr>
        <w:t>’</w:t>
      </w:r>
      <w:r w:rsidRPr="00B61E54">
        <w:rPr>
          <w:rFonts w:ascii="Times New Roman" w:hAnsi="Times New Roman" w:cs="Times New Roman"/>
          <w:sz w:val="21"/>
          <w:szCs w:val="21"/>
          <w:lang w:val="fr-FR"/>
        </w:rPr>
        <w:t xml:space="preserve">unité Science, Mise en œuvre et Conformité (P-3) </w:t>
      </w:r>
    </w:p>
    <w:p w:rsidR="0083496C" w:rsidRPr="00605B50" w:rsidRDefault="00B61E54" w:rsidP="00B61E54">
      <w:pPr>
        <w:spacing w:line="280" w:lineRule="auto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B61E54">
        <w:rPr>
          <w:rFonts w:ascii="Times New Roman" w:hAnsi="Times New Roman" w:cs="Times New Roman"/>
          <w:sz w:val="21"/>
          <w:szCs w:val="21"/>
          <w:lang w:val="fr-FR"/>
        </w:rPr>
        <w:t>1</w:t>
      </w:r>
      <w:r w:rsidR="00B06B07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r w:rsidRPr="00B61E54">
        <w:rPr>
          <w:rFonts w:ascii="Times New Roman" w:hAnsi="Times New Roman" w:cs="Times New Roman"/>
          <w:sz w:val="21"/>
          <w:szCs w:val="21"/>
          <w:lang w:val="fr-FR"/>
        </w:rPr>
        <w:t>Administrateur chargé de l</w:t>
      </w:r>
      <w:r w:rsidR="00B06B07">
        <w:rPr>
          <w:rFonts w:ascii="Times New Roman" w:hAnsi="Times New Roman" w:cs="Times New Roman"/>
          <w:sz w:val="21"/>
          <w:szCs w:val="21"/>
          <w:lang w:val="fr-FR"/>
        </w:rPr>
        <w:t>’</w:t>
      </w:r>
      <w:r w:rsidRPr="00B61E54">
        <w:rPr>
          <w:rFonts w:ascii="Times New Roman" w:hAnsi="Times New Roman" w:cs="Times New Roman"/>
          <w:sz w:val="21"/>
          <w:szCs w:val="21"/>
          <w:lang w:val="fr-FR"/>
        </w:rPr>
        <w:t>information (P-2)</w:t>
      </w:r>
    </w:p>
    <w:p w:rsidR="0083496C" w:rsidRPr="00605B50" w:rsidRDefault="00E91BC2" w:rsidP="00E91BC2">
      <w:pPr>
        <w:spacing w:line="280" w:lineRule="auto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58656E">
        <w:rPr>
          <w:rFonts w:ascii="Times New Roman" w:hAnsi="Times New Roman" w:cs="Times New Roman"/>
          <w:sz w:val="21"/>
          <w:szCs w:val="21"/>
          <w:lang w:val="fr-FR"/>
        </w:rPr>
        <w:t xml:space="preserve">1 </w:t>
      </w:r>
      <w:r w:rsidR="00B61E54" w:rsidRPr="0058656E">
        <w:rPr>
          <w:rFonts w:ascii="Times New Roman" w:hAnsi="Times New Roman" w:cs="Times New Roman"/>
          <w:sz w:val="21"/>
          <w:szCs w:val="21"/>
          <w:lang w:val="fr-FR"/>
        </w:rPr>
        <w:t>A</w:t>
      </w:r>
      <w:r w:rsidR="00BB71AA" w:rsidRPr="0058656E">
        <w:rPr>
          <w:rFonts w:ascii="Times New Roman" w:hAnsi="Times New Roman" w:cs="Times New Roman"/>
          <w:sz w:val="21"/>
          <w:szCs w:val="21"/>
          <w:lang w:val="fr-FR"/>
        </w:rPr>
        <w:t>gent de soutien à la D</w:t>
      </w:r>
      <w:r w:rsidR="008B34A5" w:rsidRPr="0058656E">
        <w:rPr>
          <w:rFonts w:ascii="Times New Roman" w:hAnsi="Times New Roman" w:cs="Times New Roman"/>
          <w:sz w:val="21"/>
          <w:szCs w:val="21"/>
          <w:lang w:val="fr-FR"/>
        </w:rPr>
        <w:t>irection</w:t>
      </w:r>
      <w:r w:rsidR="00B61E54" w:rsidRPr="00E91BC2">
        <w:rPr>
          <w:rFonts w:ascii="Times New Roman" w:hAnsi="Times New Roman" w:cs="Times New Roman"/>
          <w:sz w:val="21"/>
          <w:szCs w:val="21"/>
          <w:lang w:val="fr-FR"/>
        </w:rPr>
        <w:t xml:space="preserve"> (P- 2)</w:t>
      </w:r>
    </w:p>
    <w:p w:rsidR="0083496C" w:rsidRPr="00605B50" w:rsidRDefault="00E91BC2" w:rsidP="00E91BC2">
      <w:pPr>
        <w:spacing w:line="280" w:lineRule="auto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bookmarkStart w:id="1" w:name="_Hlk515270782"/>
      <w:r w:rsidRPr="00E91BC2">
        <w:rPr>
          <w:rFonts w:ascii="Times New Roman" w:hAnsi="Times New Roman" w:cs="Times New Roman"/>
          <w:sz w:val="21"/>
          <w:szCs w:val="21"/>
          <w:lang w:val="fr-FR"/>
        </w:rPr>
        <w:t>0,5 Coordinateur de l</w:t>
      </w:r>
      <w:r w:rsidR="00B06B07">
        <w:rPr>
          <w:rFonts w:ascii="Times New Roman" w:hAnsi="Times New Roman" w:cs="Times New Roman"/>
          <w:sz w:val="21"/>
          <w:szCs w:val="21"/>
          <w:lang w:val="fr-FR"/>
        </w:rPr>
        <w:t>’</w:t>
      </w:r>
      <w:r w:rsidRPr="00E91BC2">
        <w:rPr>
          <w:rFonts w:ascii="Times New Roman" w:hAnsi="Times New Roman" w:cs="Times New Roman"/>
          <w:sz w:val="21"/>
          <w:szCs w:val="21"/>
          <w:lang w:val="fr-FR"/>
        </w:rPr>
        <w:t>Initiative africaine (P-2)</w:t>
      </w:r>
      <w:r w:rsidR="007F245E" w:rsidRPr="00605B50">
        <w:rPr>
          <w:rFonts w:ascii="Times New Roman" w:hAnsi="Times New Roman" w:cs="Times New Roman"/>
          <w:sz w:val="21"/>
          <w:szCs w:val="21"/>
          <w:lang w:val="fr-FR"/>
        </w:rPr>
        <w:tab/>
      </w:r>
      <w:r w:rsidR="0083496C" w:rsidRPr="00605B50">
        <w:rPr>
          <w:rFonts w:ascii="Times New Roman" w:hAnsi="Times New Roman" w:cs="Times New Roman"/>
          <w:sz w:val="21"/>
          <w:szCs w:val="21"/>
          <w:lang w:val="fr-FR"/>
        </w:rPr>
        <w:tab/>
      </w:r>
      <w:bookmarkEnd w:id="1"/>
      <w:r w:rsidR="00104EB2" w:rsidRPr="00605B50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r w:rsidRPr="00E91BC2">
        <w:rPr>
          <w:rFonts w:ascii="Times New Roman" w:hAnsi="Times New Roman" w:cs="Times New Roman"/>
          <w:sz w:val="21"/>
          <w:szCs w:val="21"/>
          <w:lang w:val="fr-FR"/>
        </w:rPr>
        <w:t>+ 0,5 Coordinateur de l</w:t>
      </w:r>
      <w:r w:rsidR="00B06B07">
        <w:rPr>
          <w:rFonts w:ascii="Times New Roman" w:hAnsi="Times New Roman" w:cs="Times New Roman"/>
          <w:sz w:val="21"/>
          <w:szCs w:val="21"/>
          <w:lang w:val="fr-FR"/>
        </w:rPr>
        <w:t>’</w:t>
      </w:r>
      <w:r w:rsidRPr="00E91BC2">
        <w:rPr>
          <w:rFonts w:ascii="Times New Roman" w:hAnsi="Times New Roman" w:cs="Times New Roman"/>
          <w:sz w:val="21"/>
          <w:szCs w:val="21"/>
          <w:lang w:val="fr-FR"/>
        </w:rPr>
        <w:t>Initiative africaine (P-2)</w:t>
      </w:r>
      <w:r w:rsidR="00F5389D" w:rsidRPr="00605B50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r w:rsidR="00F00F90" w:rsidRPr="00605B50">
        <w:rPr>
          <w:rFonts w:ascii="Times New Roman" w:hAnsi="Times New Roman" w:cs="Times New Roman"/>
          <w:sz w:val="21"/>
          <w:szCs w:val="21"/>
          <w:lang w:val="fr-FR"/>
        </w:rPr>
        <w:tab/>
      </w:r>
    </w:p>
    <w:p w:rsidR="0083496C" w:rsidRPr="008476BF" w:rsidRDefault="00E91BC2" w:rsidP="00E91BC2">
      <w:pPr>
        <w:spacing w:line="280" w:lineRule="auto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E91BC2">
        <w:rPr>
          <w:rFonts w:ascii="Times New Roman" w:hAnsi="Times New Roman" w:cs="Times New Roman"/>
          <w:sz w:val="21"/>
          <w:szCs w:val="21"/>
          <w:lang w:val="fr-FR"/>
        </w:rPr>
        <w:t>1 Assistant administratif (G-5)</w:t>
      </w:r>
    </w:p>
    <w:p w:rsidR="00F00F90" w:rsidRPr="008476BF" w:rsidRDefault="00E91BC2" w:rsidP="00E91BC2">
      <w:pPr>
        <w:spacing w:line="280" w:lineRule="auto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E91BC2">
        <w:rPr>
          <w:rFonts w:ascii="Times New Roman" w:hAnsi="Times New Roman" w:cs="Times New Roman"/>
          <w:sz w:val="21"/>
          <w:szCs w:val="21"/>
          <w:lang w:val="fr-FR"/>
        </w:rPr>
        <w:t>0,75 Assistant de gestion de programme (G-5)</w:t>
      </w:r>
      <w:r w:rsidR="002C56D3" w:rsidRPr="008476BF">
        <w:rPr>
          <w:rStyle w:val="FootnoteReference"/>
          <w:rFonts w:ascii="Times New Roman" w:hAnsi="Times New Roman" w:cs="Times New Roman"/>
          <w:sz w:val="21"/>
          <w:szCs w:val="21"/>
          <w:lang w:val="fr-FR"/>
        </w:rPr>
        <w:footnoteReference w:id="4"/>
      </w:r>
      <w:r w:rsidR="00DC69E2" w:rsidRPr="008476BF">
        <w:rPr>
          <w:rFonts w:ascii="Times New Roman" w:hAnsi="Times New Roman" w:cs="Times New Roman"/>
          <w:sz w:val="21"/>
          <w:szCs w:val="21"/>
          <w:lang w:val="fr-FR"/>
        </w:rPr>
        <w:tab/>
      </w:r>
      <w:r w:rsidR="00DC69E2" w:rsidRPr="008476BF">
        <w:rPr>
          <w:rFonts w:ascii="Times New Roman" w:hAnsi="Times New Roman" w:cs="Times New Roman"/>
          <w:sz w:val="21"/>
          <w:szCs w:val="21"/>
          <w:lang w:val="fr-FR"/>
        </w:rPr>
        <w:tab/>
        <w:t xml:space="preserve"> </w:t>
      </w:r>
      <w:r w:rsidRPr="00E91BC2">
        <w:rPr>
          <w:rFonts w:ascii="Times New Roman" w:hAnsi="Times New Roman" w:cs="Times New Roman"/>
          <w:sz w:val="21"/>
          <w:szCs w:val="21"/>
          <w:lang w:val="fr-FR"/>
        </w:rPr>
        <w:t>+ 0,25 Assistant de gestion de programme (G-5)</w:t>
      </w:r>
    </w:p>
    <w:p w:rsidR="00F00F90" w:rsidRPr="008476BF" w:rsidRDefault="00E91BC2" w:rsidP="00E91BC2">
      <w:pPr>
        <w:spacing w:line="280" w:lineRule="auto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E91BC2">
        <w:rPr>
          <w:rFonts w:ascii="Times New Roman" w:hAnsi="Times New Roman" w:cs="Times New Roman"/>
          <w:sz w:val="21"/>
          <w:szCs w:val="21"/>
          <w:lang w:val="fr-FR"/>
        </w:rPr>
        <w:t>0,5 Assistant chargé de d</w:t>
      </w:r>
      <w:r w:rsidR="00B06B07">
        <w:rPr>
          <w:rFonts w:ascii="Times New Roman" w:hAnsi="Times New Roman" w:cs="Times New Roman"/>
          <w:sz w:val="21"/>
          <w:szCs w:val="21"/>
          <w:lang w:val="fr-FR"/>
        </w:rPr>
        <w:t>’</w:t>
      </w:r>
      <w:r w:rsidRPr="00E91BC2">
        <w:rPr>
          <w:rFonts w:ascii="Times New Roman" w:hAnsi="Times New Roman" w:cs="Times New Roman"/>
          <w:sz w:val="21"/>
          <w:szCs w:val="21"/>
          <w:lang w:val="fr-FR"/>
        </w:rPr>
        <w:t xml:space="preserve">information (G-5) </w:t>
      </w:r>
      <w:r w:rsidR="008B34A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8B34A5">
        <w:rPr>
          <w:rFonts w:ascii="Times New Roman" w:hAnsi="Times New Roman" w:cs="Times New Roman"/>
          <w:sz w:val="21"/>
          <w:szCs w:val="21"/>
          <w:lang w:val="fr-FR"/>
        </w:rPr>
        <w:tab/>
      </w:r>
      <w:r w:rsidR="00DC69E2" w:rsidRPr="008476BF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r w:rsidRPr="00E91BC2">
        <w:rPr>
          <w:rFonts w:ascii="Times New Roman" w:hAnsi="Times New Roman" w:cs="Times New Roman"/>
          <w:sz w:val="21"/>
          <w:szCs w:val="21"/>
          <w:lang w:val="fr-FR"/>
        </w:rPr>
        <w:t>+ 0,3 Assistant chargé de d</w:t>
      </w:r>
      <w:r w:rsidR="00B06B07">
        <w:rPr>
          <w:rFonts w:ascii="Times New Roman" w:hAnsi="Times New Roman" w:cs="Times New Roman"/>
          <w:sz w:val="21"/>
          <w:szCs w:val="21"/>
          <w:lang w:val="fr-FR"/>
        </w:rPr>
        <w:t>’</w:t>
      </w:r>
      <w:r w:rsidRPr="00E91BC2">
        <w:rPr>
          <w:rFonts w:ascii="Times New Roman" w:hAnsi="Times New Roman" w:cs="Times New Roman"/>
          <w:sz w:val="21"/>
          <w:szCs w:val="21"/>
          <w:lang w:val="fr-FR"/>
        </w:rPr>
        <w:t xml:space="preserve">information (G-5) </w:t>
      </w:r>
    </w:p>
    <w:p w:rsidR="0083496C" w:rsidRPr="008476BF" w:rsidRDefault="00E91BC2" w:rsidP="00E91BC2">
      <w:pPr>
        <w:spacing w:line="260" w:lineRule="auto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E91BC2">
        <w:rPr>
          <w:rFonts w:ascii="Times New Roman" w:hAnsi="Times New Roman" w:cs="Times New Roman"/>
          <w:sz w:val="21"/>
          <w:szCs w:val="21"/>
          <w:lang w:val="fr-FR"/>
        </w:rPr>
        <w:t>0,5 Assistant de gestion de programme (G-5)</w:t>
      </w:r>
      <w:r w:rsidR="002C56D3" w:rsidRPr="008476BF">
        <w:rPr>
          <w:rStyle w:val="FootnoteReference"/>
          <w:rFonts w:ascii="Times New Roman" w:hAnsi="Times New Roman" w:cs="Times New Roman"/>
          <w:sz w:val="21"/>
          <w:szCs w:val="21"/>
          <w:lang w:val="fr-FR"/>
        </w:rPr>
        <w:footnoteReference w:id="5"/>
      </w:r>
      <w:r w:rsidR="00DC69E2" w:rsidRPr="008476BF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r w:rsidR="00DC69E2" w:rsidRPr="008476BF">
        <w:rPr>
          <w:rFonts w:ascii="Times New Roman" w:hAnsi="Times New Roman" w:cs="Times New Roman"/>
          <w:sz w:val="21"/>
          <w:szCs w:val="21"/>
          <w:lang w:val="fr-FR"/>
        </w:rPr>
        <w:tab/>
      </w:r>
      <w:r w:rsidR="00DC69E2" w:rsidRPr="008476BF">
        <w:rPr>
          <w:rFonts w:ascii="Times New Roman" w:hAnsi="Times New Roman" w:cs="Times New Roman"/>
          <w:sz w:val="21"/>
          <w:szCs w:val="21"/>
          <w:lang w:val="fr-FR"/>
        </w:rPr>
        <w:tab/>
      </w:r>
      <w:r w:rsidR="00AE26E0" w:rsidRPr="008476BF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r w:rsidRPr="00E91BC2">
        <w:rPr>
          <w:rFonts w:ascii="Times New Roman" w:hAnsi="Times New Roman" w:cs="Times New Roman"/>
          <w:sz w:val="21"/>
          <w:szCs w:val="21"/>
          <w:lang w:val="fr-FR"/>
        </w:rPr>
        <w:t>+ 0,3 Assistant de gestion de programme (G-5)</w:t>
      </w:r>
      <w:r w:rsidR="00DC69E2" w:rsidRPr="008476BF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</w:p>
    <w:p w:rsidR="007B2B0A" w:rsidRPr="0061245B" w:rsidRDefault="007B2B0A" w:rsidP="00317573">
      <w:pPr>
        <w:jc w:val="both"/>
        <w:rPr>
          <w:rFonts w:ascii="Times New Roman" w:hAnsi="Times New Roman" w:cs="Times New Roman"/>
          <w:lang w:val="fr-FR"/>
        </w:rPr>
      </w:pPr>
    </w:p>
    <w:p w:rsidR="008039BF" w:rsidRPr="00605B50" w:rsidRDefault="00E91BC2" w:rsidP="00E91BC2">
      <w:pPr>
        <w:spacing w:after="0" w:line="280" w:lineRule="auto"/>
        <w:jc w:val="both"/>
        <w:rPr>
          <w:rFonts w:ascii="Times New Roman" w:hAnsi="Times New Roman" w:cs="Times New Roman"/>
          <w:lang w:val="fr-FR"/>
        </w:rPr>
      </w:pPr>
      <w:r w:rsidRPr="00E91BC2">
        <w:rPr>
          <w:rFonts w:ascii="Times New Roman" w:hAnsi="Times New Roman" w:cs="Times New Roman"/>
          <w:lang w:val="fr-FR"/>
        </w:rPr>
        <w:t>Le Secr</w:t>
      </w:r>
      <w:r w:rsidR="00522496">
        <w:rPr>
          <w:rFonts w:ascii="Times New Roman" w:hAnsi="Times New Roman" w:cs="Times New Roman"/>
          <w:lang w:val="fr-FR"/>
        </w:rPr>
        <w:t>é</w:t>
      </w:r>
      <w:r w:rsidRPr="00E91BC2">
        <w:rPr>
          <w:rFonts w:ascii="Times New Roman" w:hAnsi="Times New Roman" w:cs="Times New Roman"/>
          <w:lang w:val="fr-FR"/>
        </w:rPr>
        <w:t>tariat bénéficie aussi partiellement d</w:t>
      </w:r>
      <w:r w:rsidR="00B06B07">
        <w:rPr>
          <w:rFonts w:ascii="Times New Roman" w:hAnsi="Times New Roman" w:cs="Times New Roman"/>
          <w:lang w:val="fr-FR"/>
        </w:rPr>
        <w:t>’</w:t>
      </w:r>
      <w:r w:rsidRPr="00E91BC2">
        <w:rPr>
          <w:rFonts w:ascii="Times New Roman" w:hAnsi="Times New Roman" w:cs="Times New Roman"/>
          <w:lang w:val="fr-FR"/>
        </w:rPr>
        <w:t>un service commun, l</w:t>
      </w:r>
      <w:r w:rsidR="00B06B07">
        <w:rPr>
          <w:rFonts w:ascii="Times New Roman" w:hAnsi="Times New Roman" w:cs="Times New Roman"/>
          <w:lang w:val="fr-FR"/>
        </w:rPr>
        <w:t>’</w:t>
      </w:r>
      <w:r w:rsidRPr="00E91BC2">
        <w:rPr>
          <w:rFonts w:ascii="Times New Roman" w:hAnsi="Times New Roman" w:cs="Times New Roman"/>
          <w:lang w:val="fr-FR"/>
        </w:rPr>
        <w:t xml:space="preserve">Unité </w:t>
      </w:r>
      <w:r w:rsidR="00A6345C">
        <w:rPr>
          <w:rFonts w:ascii="Times New Roman" w:hAnsi="Times New Roman" w:cs="Times New Roman"/>
          <w:lang w:val="fr-FR"/>
        </w:rPr>
        <w:t xml:space="preserve">chargée </w:t>
      </w:r>
      <w:r w:rsidRPr="00E91BC2">
        <w:rPr>
          <w:rFonts w:ascii="Times New Roman" w:hAnsi="Times New Roman" w:cs="Times New Roman"/>
          <w:lang w:val="fr-FR"/>
        </w:rPr>
        <w:t xml:space="preserve">de </w:t>
      </w:r>
      <w:r w:rsidR="00A6345C">
        <w:rPr>
          <w:rFonts w:ascii="Times New Roman" w:hAnsi="Times New Roman" w:cs="Times New Roman"/>
          <w:lang w:val="fr-FR"/>
        </w:rPr>
        <w:t xml:space="preserve">la </w:t>
      </w:r>
      <w:r w:rsidRPr="00E91BC2">
        <w:rPr>
          <w:rFonts w:ascii="Times New Roman" w:hAnsi="Times New Roman" w:cs="Times New Roman"/>
          <w:lang w:val="fr-FR"/>
        </w:rPr>
        <w:t>gestion financière et administrative (AFMU), travaillant pour la famille CMS et financée par les coûts d</w:t>
      </w:r>
      <w:r w:rsidR="00B06B07">
        <w:rPr>
          <w:rFonts w:ascii="Times New Roman" w:hAnsi="Times New Roman" w:cs="Times New Roman"/>
          <w:lang w:val="fr-FR"/>
        </w:rPr>
        <w:t>’</w:t>
      </w:r>
      <w:r w:rsidRPr="00E91BC2">
        <w:rPr>
          <w:rFonts w:ascii="Times New Roman" w:hAnsi="Times New Roman" w:cs="Times New Roman"/>
          <w:lang w:val="fr-FR"/>
        </w:rPr>
        <w:t>appui de programme du PNUE (frais généraux du PNUE de 13 %).</w:t>
      </w:r>
    </w:p>
    <w:p w:rsidR="004647DE" w:rsidRPr="00605B50" w:rsidRDefault="004647DE" w:rsidP="00AE26E0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:rsidR="00494D21" w:rsidRPr="00605B50" w:rsidRDefault="00E91BC2" w:rsidP="00E91BC2">
      <w:pPr>
        <w:spacing w:after="0" w:line="280" w:lineRule="auto"/>
        <w:jc w:val="both"/>
        <w:rPr>
          <w:rFonts w:ascii="Times New Roman" w:hAnsi="Times New Roman" w:cs="Times New Roman"/>
          <w:lang w:val="fr-FR"/>
        </w:rPr>
      </w:pPr>
      <w:r w:rsidRPr="00E91BC2">
        <w:rPr>
          <w:rFonts w:ascii="Times New Roman" w:hAnsi="Times New Roman" w:cs="Times New Roman"/>
          <w:lang w:val="fr-FR"/>
        </w:rPr>
        <w:t>La proposition actuelle vise à maintenir au cours de la prochaine période triennale chacun des</w:t>
      </w:r>
      <w:r w:rsidR="00B06B07">
        <w:rPr>
          <w:rFonts w:ascii="Times New Roman" w:hAnsi="Times New Roman" w:cs="Times New Roman"/>
          <w:lang w:val="fr-FR"/>
        </w:rPr>
        <w:t xml:space="preserve"> </w:t>
      </w:r>
      <w:r w:rsidRPr="00E91BC2">
        <w:rPr>
          <w:rFonts w:ascii="Times New Roman" w:hAnsi="Times New Roman" w:cs="Times New Roman"/>
          <w:lang w:val="fr-FR"/>
        </w:rPr>
        <w:t>neuf postes financés par le budget principal dans le cadre des quatre scénarios.</w:t>
      </w:r>
      <w:r w:rsidR="00F00F90" w:rsidRPr="00605B50">
        <w:rPr>
          <w:rFonts w:ascii="Times New Roman" w:hAnsi="Times New Roman" w:cs="Times New Roman"/>
          <w:lang w:val="fr-FR"/>
        </w:rPr>
        <w:t xml:space="preserve"> </w:t>
      </w:r>
    </w:p>
    <w:p w:rsidR="00494D21" w:rsidRPr="00605B50" w:rsidRDefault="00494D21" w:rsidP="00AE26E0">
      <w:pPr>
        <w:spacing w:after="0" w:line="276" w:lineRule="auto"/>
        <w:jc w:val="both"/>
        <w:rPr>
          <w:rFonts w:ascii="Times New Roman" w:hAnsi="Times New Roman" w:cs="Times New Roman"/>
          <w:b/>
          <w:lang w:val="fr-FR"/>
        </w:rPr>
      </w:pPr>
    </w:p>
    <w:p w:rsidR="00494D21" w:rsidRPr="00605B50" w:rsidRDefault="00A6345C" w:rsidP="006D247F">
      <w:pPr>
        <w:spacing w:after="0" w:line="280" w:lineRule="auto"/>
        <w:jc w:val="both"/>
        <w:rPr>
          <w:rFonts w:ascii="Times New Roman" w:hAnsi="Times New Roman" w:cs="Times New Roman"/>
          <w:u w:val="single"/>
          <w:lang w:val="fr-FR"/>
        </w:rPr>
      </w:pPr>
      <w:r w:rsidRPr="00522496">
        <w:rPr>
          <w:rFonts w:ascii="Times New Roman" w:hAnsi="Times New Roman" w:cs="Times New Roman"/>
          <w:u w:val="single"/>
          <w:lang w:val="fr-FR"/>
        </w:rPr>
        <w:t>A</w:t>
      </w:r>
      <w:r w:rsidR="00E91BC2" w:rsidRPr="00522496">
        <w:rPr>
          <w:rFonts w:ascii="Times New Roman" w:hAnsi="Times New Roman" w:cs="Times New Roman"/>
          <w:u w:val="single"/>
          <w:lang w:val="fr-FR"/>
        </w:rPr>
        <w:t xml:space="preserve">ugmentation </w:t>
      </w:r>
      <w:r w:rsidR="006D247F" w:rsidRPr="00522496">
        <w:rPr>
          <w:rFonts w:ascii="Times New Roman" w:hAnsi="Times New Roman" w:cs="Times New Roman"/>
          <w:u w:val="single"/>
          <w:lang w:val="fr-FR"/>
        </w:rPr>
        <w:t>d</w:t>
      </w:r>
      <w:r w:rsidR="00522496">
        <w:rPr>
          <w:rFonts w:ascii="Times New Roman" w:hAnsi="Times New Roman" w:cs="Times New Roman"/>
          <w:u w:val="single"/>
          <w:lang w:val="fr-FR"/>
        </w:rPr>
        <w:t xml:space="preserve">u temps </w:t>
      </w:r>
      <w:r w:rsidR="006D247F" w:rsidRPr="00522496">
        <w:rPr>
          <w:rFonts w:ascii="Times New Roman" w:hAnsi="Times New Roman" w:cs="Times New Roman"/>
          <w:u w:val="single"/>
          <w:lang w:val="fr-FR"/>
        </w:rPr>
        <w:t>de travail pour le</w:t>
      </w:r>
      <w:r w:rsidR="00E91BC2" w:rsidRPr="00522496">
        <w:rPr>
          <w:rFonts w:ascii="Times New Roman" w:hAnsi="Times New Roman" w:cs="Times New Roman"/>
          <w:u w:val="single"/>
          <w:lang w:val="fr-FR"/>
        </w:rPr>
        <w:t xml:space="preserve"> poste d</w:t>
      </w:r>
      <w:r w:rsidR="00B06B07" w:rsidRPr="00522496">
        <w:rPr>
          <w:rFonts w:ascii="Times New Roman" w:hAnsi="Times New Roman" w:cs="Times New Roman"/>
          <w:u w:val="single"/>
          <w:lang w:val="fr-FR"/>
        </w:rPr>
        <w:t>’</w:t>
      </w:r>
      <w:r w:rsidR="006D247F" w:rsidRPr="00522496">
        <w:rPr>
          <w:rFonts w:ascii="Times New Roman" w:hAnsi="Times New Roman" w:cs="Times New Roman"/>
          <w:u w:val="single"/>
          <w:lang w:val="fr-FR"/>
        </w:rPr>
        <w:t>Assistant de gestion de programme de l</w:t>
      </w:r>
      <w:r w:rsidR="00B06B07" w:rsidRPr="00522496">
        <w:rPr>
          <w:rFonts w:ascii="Times New Roman" w:hAnsi="Times New Roman" w:cs="Times New Roman"/>
          <w:u w:val="single"/>
          <w:lang w:val="fr-FR"/>
        </w:rPr>
        <w:t>’</w:t>
      </w:r>
      <w:r w:rsidR="006D247F" w:rsidRPr="00522496">
        <w:rPr>
          <w:rFonts w:ascii="Times New Roman" w:hAnsi="Times New Roman" w:cs="Times New Roman"/>
          <w:u w:val="single"/>
          <w:lang w:val="fr-FR"/>
        </w:rPr>
        <w:t>unité Science, Mise en œuvre et Conformité</w:t>
      </w:r>
    </w:p>
    <w:p w:rsidR="00494D21" w:rsidRPr="00605B50" w:rsidRDefault="006D247F" w:rsidP="00283D3A">
      <w:pPr>
        <w:spacing w:after="0" w:line="280" w:lineRule="auto"/>
        <w:jc w:val="both"/>
        <w:rPr>
          <w:rFonts w:ascii="Times New Roman" w:hAnsi="Times New Roman" w:cs="Times New Roman"/>
          <w:lang w:val="fr-FR"/>
        </w:rPr>
      </w:pPr>
      <w:r w:rsidRPr="006D247F">
        <w:rPr>
          <w:rFonts w:ascii="Times New Roman" w:hAnsi="Times New Roman" w:cs="Times New Roman"/>
          <w:lang w:val="fr-FR"/>
        </w:rPr>
        <w:t>Depuis le passage au système administratif Umoja, il n</w:t>
      </w:r>
      <w:r w:rsidR="00B06B07">
        <w:rPr>
          <w:rFonts w:ascii="Times New Roman" w:hAnsi="Times New Roman" w:cs="Times New Roman"/>
          <w:lang w:val="fr-FR"/>
        </w:rPr>
        <w:t>’</w:t>
      </w:r>
      <w:r w:rsidRPr="006D247F">
        <w:rPr>
          <w:rFonts w:ascii="Times New Roman" w:hAnsi="Times New Roman" w:cs="Times New Roman"/>
          <w:lang w:val="fr-FR"/>
        </w:rPr>
        <w:t xml:space="preserve">est plus possible </w:t>
      </w:r>
      <w:r w:rsidR="00A6345C" w:rsidRPr="006D247F">
        <w:rPr>
          <w:rFonts w:ascii="Times New Roman" w:hAnsi="Times New Roman" w:cs="Times New Roman"/>
          <w:lang w:val="fr-FR"/>
        </w:rPr>
        <w:t xml:space="preserve">selon </w:t>
      </w:r>
      <w:r w:rsidR="00A6345C">
        <w:rPr>
          <w:rFonts w:ascii="Times New Roman" w:hAnsi="Times New Roman" w:cs="Times New Roman"/>
          <w:lang w:val="fr-FR"/>
        </w:rPr>
        <w:t xml:space="preserve">le Statut et le Règlement du personnel </w:t>
      </w:r>
      <w:r w:rsidR="00A6345C" w:rsidRPr="006D247F">
        <w:rPr>
          <w:rFonts w:ascii="Times New Roman" w:hAnsi="Times New Roman" w:cs="Times New Roman"/>
          <w:lang w:val="fr-FR"/>
        </w:rPr>
        <w:t>de l</w:t>
      </w:r>
      <w:r w:rsidR="00B06B07">
        <w:rPr>
          <w:rFonts w:ascii="Times New Roman" w:hAnsi="Times New Roman" w:cs="Times New Roman"/>
          <w:lang w:val="fr-FR"/>
        </w:rPr>
        <w:t>’</w:t>
      </w:r>
      <w:r w:rsidR="00A6345C" w:rsidRPr="006D247F">
        <w:rPr>
          <w:rFonts w:ascii="Times New Roman" w:hAnsi="Times New Roman" w:cs="Times New Roman"/>
          <w:lang w:val="fr-FR"/>
        </w:rPr>
        <w:t>ONU</w:t>
      </w:r>
      <w:r w:rsidR="00A6345C">
        <w:rPr>
          <w:rFonts w:ascii="Times New Roman" w:hAnsi="Times New Roman" w:cs="Times New Roman"/>
          <w:lang w:val="fr-FR"/>
        </w:rPr>
        <w:t xml:space="preserve"> de </w:t>
      </w:r>
      <w:r w:rsidRPr="006D247F">
        <w:rPr>
          <w:rFonts w:ascii="Times New Roman" w:hAnsi="Times New Roman" w:cs="Times New Roman"/>
          <w:lang w:val="fr-FR"/>
        </w:rPr>
        <w:t>maintenir un poste à</w:t>
      </w:r>
      <w:r w:rsidR="00B06B07">
        <w:rPr>
          <w:rFonts w:ascii="Times New Roman" w:hAnsi="Times New Roman" w:cs="Times New Roman"/>
          <w:lang w:val="fr-FR"/>
        </w:rPr>
        <w:t xml:space="preserve"> </w:t>
      </w:r>
      <w:r w:rsidRPr="006D247F">
        <w:rPr>
          <w:rFonts w:ascii="Times New Roman" w:hAnsi="Times New Roman" w:cs="Times New Roman"/>
          <w:lang w:val="fr-FR"/>
        </w:rPr>
        <w:t>75 % de temps de travail.</w:t>
      </w:r>
      <w:r w:rsidR="004647DE" w:rsidRPr="00605B50">
        <w:rPr>
          <w:rFonts w:ascii="Times New Roman" w:hAnsi="Times New Roman" w:cs="Times New Roman"/>
          <w:lang w:val="fr-FR"/>
        </w:rPr>
        <w:t xml:space="preserve"> </w:t>
      </w:r>
      <w:r w:rsidRPr="006D247F">
        <w:rPr>
          <w:rFonts w:ascii="Times New Roman" w:hAnsi="Times New Roman" w:cs="Times New Roman"/>
          <w:lang w:val="fr-FR"/>
        </w:rPr>
        <w:t>Ce système prévoi</w:t>
      </w:r>
      <w:r w:rsidR="00A6345C">
        <w:rPr>
          <w:rFonts w:ascii="Times New Roman" w:hAnsi="Times New Roman" w:cs="Times New Roman"/>
          <w:lang w:val="fr-FR"/>
        </w:rPr>
        <w:t>t</w:t>
      </w:r>
      <w:r w:rsidRPr="006D247F">
        <w:rPr>
          <w:rFonts w:ascii="Times New Roman" w:hAnsi="Times New Roman" w:cs="Times New Roman"/>
          <w:lang w:val="fr-FR"/>
        </w:rPr>
        <w:t xml:space="preserve"> uniquement des temps partiels à</w:t>
      </w:r>
      <w:r w:rsidR="00B06B07">
        <w:rPr>
          <w:rFonts w:ascii="Times New Roman" w:hAnsi="Times New Roman" w:cs="Times New Roman"/>
          <w:lang w:val="fr-FR"/>
        </w:rPr>
        <w:t xml:space="preserve"> </w:t>
      </w:r>
      <w:r w:rsidRPr="006D247F">
        <w:rPr>
          <w:rFonts w:ascii="Times New Roman" w:hAnsi="Times New Roman" w:cs="Times New Roman"/>
          <w:lang w:val="fr-FR"/>
        </w:rPr>
        <w:t>50 % ou à 80 %.</w:t>
      </w:r>
      <w:r w:rsidR="00494D21" w:rsidRPr="00605B50">
        <w:rPr>
          <w:rFonts w:ascii="Times New Roman" w:hAnsi="Times New Roman" w:cs="Times New Roman"/>
          <w:lang w:val="fr-FR"/>
        </w:rPr>
        <w:t xml:space="preserve"> </w:t>
      </w:r>
      <w:r w:rsidRPr="00283D3A">
        <w:rPr>
          <w:rFonts w:ascii="Times New Roman" w:hAnsi="Times New Roman" w:cs="Times New Roman"/>
          <w:lang w:val="fr-FR"/>
        </w:rPr>
        <w:t>C</w:t>
      </w:r>
      <w:r w:rsidR="00B06B07">
        <w:rPr>
          <w:rFonts w:ascii="Times New Roman" w:hAnsi="Times New Roman" w:cs="Times New Roman"/>
          <w:lang w:val="fr-FR"/>
        </w:rPr>
        <w:t>’</w:t>
      </w:r>
      <w:r w:rsidRPr="00283D3A">
        <w:rPr>
          <w:rFonts w:ascii="Times New Roman" w:hAnsi="Times New Roman" w:cs="Times New Roman"/>
          <w:lang w:val="fr-FR"/>
        </w:rPr>
        <w:t>est pourquoi le temps de travail du poste d</w:t>
      </w:r>
      <w:r w:rsidR="00B06B07">
        <w:rPr>
          <w:rFonts w:ascii="Times New Roman" w:hAnsi="Times New Roman" w:cs="Times New Roman"/>
          <w:lang w:val="fr-FR"/>
        </w:rPr>
        <w:t>’</w:t>
      </w:r>
      <w:r w:rsidRPr="00283D3A">
        <w:rPr>
          <w:rFonts w:ascii="Times New Roman" w:hAnsi="Times New Roman" w:cs="Times New Roman"/>
          <w:lang w:val="fr-FR"/>
        </w:rPr>
        <w:t>Assistant de gestion de programme de l</w:t>
      </w:r>
      <w:r w:rsidR="00B06B07">
        <w:rPr>
          <w:rFonts w:ascii="Times New Roman" w:hAnsi="Times New Roman" w:cs="Times New Roman"/>
          <w:lang w:val="fr-FR"/>
        </w:rPr>
        <w:t>’</w:t>
      </w:r>
      <w:r w:rsidRPr="00283D3A">
        <w:rPr>
          <w:rFonts w:ascii="Times New Roman" w:hAnsi="Times New Roman" w:cs="Times New Roman"/>
          <w:lang w:val="fr-FR"/>
        </w:rPr>
        <w:t>unité Science, Mise en œuvre et Conformité a été augmenté pour passer de 75 % à 80 % dans tous les scénarios, aux fins de</w:t>
      </w:r>
      <w:r w:rsidR="00B06B07">
        <w:rPr>
          <w:rFonts w:ascii="Times New Roman" w:hAnsi="Times New Roman" w:cs="Times New Roman"/>
          <w:lang w:val="fr-FR"/>
        </w:rPr>
        <w:t xml:space="preserve"> </w:t>
      </w:r>
      <w:r w:rsidRPr="00283D3A">
        <w:rPr>
          <w:rFonts w:ascii="Times New Roman" w:hAnsi="Times New Roman" w:cs="Times New Roman"/>
          <w:lang w:val="fr-FR"/>
        </w:rPr>
        <w:t>conformité avec le</w:t>
      </w:r>
      <w:r w:rsidR="00283D3A" w:rsidRPr="00283D3A">
        <w:rPr>
          <w:rFonts w:ascii="Times New Roman" w:hAnsi="Times New Roman" w:cs="Times New Roman"/>
          <w:lang w:val="fr-FR"/>
        </w:rPr>
        <w:t xml:space="preserve"> Statut et le Règlement</w:t>
      </w:r>
      <w:r w:rsidRPr="00283D3A">
        <w:rPr>
          <w:rFonts w:ascii="Times New Roman" w:hAnsi="Times New Roman" w:cs="Times New Roman"/>
          <w:lang w:val="fr-FR"/>
        </w:rPr>
        <w:t xml:space="preserve"> du personnel de l</w:t>
      </w:r>
      <w:r w:rsidR="00B06B07">
        <w:rPr>
          <w:rFonts w:ascii="Times New Roman" w:hAnsi="Times New Roman" w:cs="Times New Roman"/>
          <w:lang w:val="fr-FR"/>
        </w:rPr>
        <w:t>’</w:t>
      </w:r>
      <w:r w:rsidRPr="00283D3A">
        <w:rPr>
          <w:rFonts w:ascii="Times New Roman" w:hAnsi="Times New Roman" w:cs="Times New Roman"/>
          <w:lang w:val="fr-FR"/>
        </w:rPr>
        <w:t>ONU.</w:t>
      </w:r>
    </w:p>
    <w:p w:rsidR="004647DE" w:rsidRPr="00605B50" w:rsidRDefault="004647DE" w:rsidP="00AE26E0">
      <w:pPr>
        <w:spacing w:after="0" w:line="276" w:lineRule="auto"/>
        <w:jc w:val="both"/>
        <w:rPr>
          <w:rFonts w:ascii="Times New Roman" w:hAnsi="Times New Roman" w:cs="Times New Roman"/>
          <w:b/>
          <w:lang w:val="fr-FR"/>
        </w:rPr>
      </w:pPr>
    </w:p>
    <w:p w:rsidR="005A74F8" w:rsidRPr="00605B50" w:rsidRDefault="00283D3A" w:rsidP="00283D3A">
      <w:pPr>
        <w:spacing w:after="0" w:line="280" w:lineRule="auto"/>
        <w:jc w:val="both"/>
        <w:rPr>
          <w:rFonts w:ascii="Times New Roman" w:hAnsi="Times New Roman" w:cs="Times New Roman"/>
          <w:b/>
          <w:lang w:val="fr-FR"/>
        </w:rPr>
      </w:pPr>
      <w:r w:rsidRPr="00283D3A">
        <w:rPr>
          <w:rFonts w:ascii="Times New Roman" w:hAnsi="Times New Roman" w:cs="Times New Roman"/>
          <w:b/>
          <w:lang w:val="fr-FR"/>
        </w:rPr>
        <w:t>Fonction </w:t>
      </w:r>
      <w:r w:rsidR="005A74F8" w:rsidRPr="00605B50">
        <w:rPr>
          <w:rFonts w:ascii="Times New Roman" w:hAnsi="Times New Roman" w:cs="Times New Roman"/>
          <w:b/>
          <w:lang w:val="fr-FR"/>
        </w:rPr>
        <w:tab/>
      </w:r>
      <w:r w:rsidR="005A74F8" w:rsidRPr="00605B50">
        <w:rPr>
          <w:rFonts w:ascii="Times New Roman" w:hAnsi="Times New Roman" w:cs="Times New Roman"/>
          <w:b/>
          <w:lang w:val="fr-FR"/>
        </w:rPr>
        <w:tab/>
      </w:r>
      <w:r w:rsidR="005A74F8" w:rsidRPr="00605B50">
        <w:rPr>
          <w:rFonts w:ascii="Times New Roman" w:hAnsi="Times New Roman" w:cs="Times New Roman"/>
          <w:b/>
          <w:lang w:val="fr-FR"/>
        </w:rPr>
        <w:tab/>
      </w:r>
      <w:r w:rsidRPr="00283D3A">
        <w:rPr>
          <w:rFonts w:ascii="Times New Roman" w:hAnsi="Times New Roman" w:cs="Times New Roman"/>
          <w:b/>
          <w:lang w:val="fr-FR"/>
        </w:rPr>
        <w:t>Augmentation</w:t>
      </w:r>
      <w:r w:rsidR="005A74F8" w:rsidRPr="00605B50">
        <w:rPr>
          <w:rFonts w:ascii="Times New Roman" w:hAnsi="Times New Roman" w:cs="Times New Roman"/>
          <w:b/>
          <w:lang w:val="fr-FR"/>
        </w:rPr>
        <w:tab/>
      </w:r>
      <w:r w:rsidR="005A74F8" w:rsidRPr="00605B50">
        <w:rPr>
          <w:rFonts w:ascii="Times New Roman" w:hAnsi="Times New Roman" w:cs="Times New Roman"/>
          <w:b/>
          <w:lang w:val="fr-FR"/>
        </w:rPr>
        <w:tab/>
      </w:r>
      <w:r w:rsidRPr="00283D3A">
        <w:rPr>
          <w:rFonts w:ascii="Times New Roman" w:hAnsi="Times New Roman" w:cs="Times New Roman"/>
          <w:b/>
          <w:lang w:val="fr-FR"/>
        </w:rPr>
        <w:t>Coûts en 2019</w:t>
      </w:r>
      <w:r w:rsidR="005A74F8" w:rsidRPr="00605B50">
        <w:rPr>
          <w:rFonts w:ascii="Times New Roman" w:hAnsi="Times New Roman" w:cs="Times New Roman"/>
          <w:b/>
          <w:lang w:val="fr-FR"/>
        </w:rPr>
        <w:tab/>
      </w:r>
      <w:r w:rsidR="005A74F8" w:rsidRPr="00605B50">
        <w:rPr>
          <w:rFonts w:ascii="Times New Roman" w:hAnsi="Times New Roman" w:cs="Times New Roman"/>
          <w:b/>
          <w:lang w:val="fr-FR"/>
        </w:rPr>
        <w:tab/>
        <w:t>2020</w:t>
      </w:r>
      <w:r w:rsidR="005A74F8" w:rsidRPr="00605B50">
        <w:rPr>
          <w:rFonts w:ascii="Times New Roman" w:hAnsi="Times New Roman" w:cs="Times New Roman"/>
          <w:b/>
          <w:lang w:val="fr-FR"/>
        </w:rPr>
        <w:tab/>
      </w:r>
      <w:r w:rsidR="005A74F8" w:rsidRPr="00605B50">
        <w:rPr>
          <w:rFonts w:ascii="Times New Roman" w:hAnsi="Times New Roman" w:cs="Times New Roman"/>
          <w:b/>
          <w:lang w:val="fr-FR"/>
        </w:rPr>
        <w:tab/>
        <w:t>2021</w:t>
      </w:r>
    </w:p>
    <w:p w:rsidR="005A74F8" w:rsidRPr="00605B50" w:rsidRDefault="00283D3A" w:rsidP="00283D3A">
      <w:pPr>
        <w:spacing w:after="0" w:line="280" w:lineRule="auto"/>
        <w:jc w:val="both"/>
        <w:rPr>
          <w:rFonts w:ascii="Times New Roman" w:hAnsi="Times New Roman" w:cs="Times New Roman"/>
          <w:lang w:val="fr-FR"/>
        </w:rPr>
      </w:pPr>
      <w:r w:rsidRPr="00283D3A">
        <w:rPr>
          <w:rFonts w:ascii="Times New Roman" w:hAnsi="Times New Roman" w:cs="Times New Roman"/>
          <w:lang w:val="fr-FR"/>
        </w:rPr>
        <w:t>Assistant</w:t>
      </w:r>
      <w:r w:rsidR="00522496">
        <w:rPr>
          <w:rFonts w:ascii="Times New Roman" w:hAnsi="Times New Roman" w:cs="Times New Roman"/>
          <w:lang w:val="fr-FR"/>
        </w:rPr>
        <w:t xml:space="preserve"> G.P.</w:t>
      </w:r>
      <w:r w:rsidR="00E0483A" w:rsidRPr="00605B50">
        <w:rPr>
          <w:rFonts w:ascii="Times New Roman" w:hAnsi="Times New Roman" w:cs="Times New Roman"/>
          <w:lang w:val="fr-FR"/>
        </w:rPr>
        <w:tab/>
      </w:r>
      <w:r w:rsidR="004647DE" w:rsidRPr="00605B50">
        <w:rPr>
          <w:rFonts w:ascii="Times New Roman" w:hAnsi="Times New Roman" w:cs="Times New Roman"/>
          <w:lang w:val="fr-FR"/>
        </w:rPr>
        <w:tab/>
      </w:r>
      <w:r w:rsidR="004647DE" w:rsidRPr="00605B50">
        <w:rPr>
          <w:rFonts w:ascii="Times New Roman" w:hAnsi="Times New Roman" w:cs="Times New Roman"/>
          <w:lang w:val="fr-FR"/>
        </w:rPr>
        <w:tab/>
      </w:r>
      <w:r w:rsidR="005A74F8" w:rsidRPr="00605B50">
        <w:rPr>
          <w:rFonts w:ascii="Times New Roman" w:hAnsi="Times New Roman" w:cs="Times New Roman"/>
          <w:lang w:val="fr-FR"/>
        </w:rPr>
        <w:t>5</w:t>
      </w:r>
      <w:r w:rsidR="00522496" w:rsidRPr="00605B50">
        <w:rPr>
          <w:rFonts w:ascii="Times New Roman" w:hAnsi="Times New Roman" w:cs="Times New Roman"/>
          <w:lang w:val="fr-FR"/>
        </w:rPr>
        <w:t> </w:t>
      </w:r>
      <w:r w:rsidR="005A74F8" w:rsidRPr="00605B50">
        <w:rPr>
          <w:rFonts w:ascii="Times New Roman" w:hAnsi="Times New Roman" w:cs="Times New Roman"/>
          <w:lang w:val="fr-FR"/>
        </w:rPr>
        <w:t>%</w:t>
      </w:r>
      <w:r w:rsidR="005A74F8" w:rsidRPr="00605B50">
        <w:rPr>
          <w:rFonts w:ascii="Times New Roman" w:hAnsi="Times New Roman" w:cs="Times New Roman"/>
          <w:lang w:val="fr-FR"/>
        </w:rPr>
        <w:tab/>
      </w:r>
      <w:r w:rsidR="005A74F8" w:rsidRPr="00605B50">
        <w:rPr>
          <w:rFonts w:ascii="Times New Roman" w:hAnsi="Times New Roman" w:cs="Times New Roman"/>
          <w:lang w:val="fr-FR"/>
        </w:rPr>
        <w:tab/>
      </w:r>
      <w:r w:rsidR="004647DE" w:rsidRPr="00605B50">
        <w:rPr>
          <w:rFonts w:ascii="Times New Roman" w:hAnsi="Times New Roman" w:cs="Times New Roman"/>
          <w:lang w:val="fr-FR"/>
        </w:rPr>
        <w:tab/>
      </w:r>
      <w:r w:rsidR="005A74F8" w:rsidRPr="00605B50">
        <w:rPr>
          <w:rFonts w:ascii="Times New Roman" w:hAnsi="Times New Roman" w:cs="Times New Roman"/>
          <w:lang w:val="fr-FR"/>
        </w:rPr>
        <w:t>3</w:t>
      </w:r>
      <w:r w:rsidR="00522496" w:rsidRPr="00605B50">
        <w:rPr>
          <w:rFonts w:ascii="Times New Roman" w:hAnsi="Times New Roman" w:cs="Times New Roman"/>
          <w:lang w:val="fr-FR"/>
        </w:rPr>
        <w:t> </w:t>
      </w:r>
      <w:r w:rsidR="005A74F8" w:rsidRPr="00605B50">
        <w:rPr>
          <w:rFonts w:ascii="Times New Roman" w:hAnsi="Times New Roman" w:cs="Times New Roman"/>
          <w:lang w:val="fr-FR"/>
        </w:rPr>
        <w:t>473</w:t>
      </w:r>
      <w:r w:rsidR="005A74F8" w:rsidRPr="00605B50">
        <w:rPr>
          <w:rFonts w:ascii="Times New Roman" w:hAnsi="Times New Roman" w:cs="Times New Roman"/>
          <w:lang w:val="fr-FR"/>
        </w:rPr>
        <w:tab/>
      </w:r>
      <w:r w:rsidR="005A74F8" w:rsidRPr="00605B50">
        <w:rPr>
          <w:rFonts w:ascii="Times New Roman" w:hAnsi="Times New Roman" w:cs="Times New Roman"/>
          <w:lang w:val="fr-FR"/>
        </w:rPr>
        <w:tab/>
      </w:r>
      <w:r w:rsidR="005A74F8" w:rsidRPr="00605B50">
        <w:rPr>
          <w:rFonts w:ascii="Times New Roman" w:hAnsi="Times New Roman" w:cs="Times New Roman"/>
          <w:lang w:val="fr-FR"/>
        </w:rPr>
        <w:tab/>
        <w:t>3</w:t>
      </w:r>
      <w:r w:rsidR="00522496" w:rsidRPr="00605B50">
        <w:rPr>
          <w:rFonts w:ascii="Times New Roman" w:hAnsi="Times New Roman" w:cs="Times New Roman"/>
          <w:lang w:val="fr-FR"/>
        </w:rPr>
        <w:t> </w:t>
      </w:r>
      <w:r w:rsidR="005A74F8" w:rsidRPr="00605B50">
        <w:rPr>
          <w:rFonts w:ascii="Times New Roman" w:hAnsi="Times New Roman" w:cs="Times New Roman"/>
          <w:lang w:val="fr-FR"/>
        </w:rPr>
        <w:t>543</w:t>
      </w:r>
      <w:r w:rsidR="005A74F8" w:rsidRPr="00605B50">
        <w:rPr>
          <w:rFonts w:ascii="Times New Roman" w:hAnsi="Times New Roman" w:cs="Times New Roman"/>
          <w:lang w:val="fr-FR"/>
        </w:rPr>
        <w:tab/>
      </w:r>
      <w:r w:rsidR="005A74F8" w:rsidRPr="00605B50">
        <w:rPr>
          <w:rFonts w:ascii="Times New Roman" w:hAnsi="Times New Roman" w:cs="Times New Roman"/>
          <w:lang w:val="fr-FR"/>
        </w:rPr>
        <w:tab/>
        <w:t>3</w:t>
      </w:r>
      <w:r w:rsidR="00522496" w:rsidRPr="00605B50">
        <w:rPr>
          <w:rFonts w:ascii="Times New Roman" w:hAnsi="Times New Roman" w:cs="Times New Roman"/>
          <w:lang w:val="fr-FR"/>
        </w:rPr>
        <w:t> </w:t>
      </w:r>
      <w:r w:rsidR="005A74F8" w:rsidRPr="00605B50">
        <w:rPr>
          <w:rFonts w:ascii="Times New Roman" w:hAnsi="Times New Roman" w:cs="Times New Roman"/>
          <w:lang w:val="fr-FR"/>
        </w:rPr>
        <w:t>614</w:t>
      </w:r>
      <w:r w:rsidR="005A74F8" w:rsidRPr="00605B50">
        <w:rPr>
          <w:rFonts w:ascii="Times New Roman" w:hAnsi="Times New Roman" w:cs="Times New Roman"/>
          <w:lang w:val="fr-FR"/>
        </w:rPr>
        <w:tab/>
      </w:r>
    </w:p>
    <w:p w:rsidR="00494D21" w:rsidRPr="00605B50" w:rsidRDefault="00494D21" w:rsidP="00AE26E0">
      <w:pPr>
        <w:spacing w:after="0" w:line="276" w:lineRule="auto"/>
        <w:jc w:val="both"/>
        <w:rPr>
          <w:rFonts w:ascii="Times New Roman" w:hAnsi="Times New Roman" w:cs="Times New Roman"/>
          <w:b/>
          <w:lang w:val="fr-FR"/>
        </w:rPr>
      </w:pPr>
    </w:p>
    <w:p w:rsidR="00494D21" w:rsidRPr="00605B50" w:rsidRDefault="00283D3A" w:rsidP="00283D3A">
      <w:pPr>
        <w:spacing w:after="0" w:line="280" w:lineRule="auto"/>
        <w:jc w:val="both"/>
        <w:rPr>
          <w:rFonts w:ascii="Times New Roman" w:hAnsi="Times New Roman" w:cs="Times New Roman"/>
          <w:u w:val="single"/>
          <w:lang w:val="fr-FR"/>
        </w:rPr>
      </w:pPr>
      <w:r w:rsidRPr="00283D3A">
        <w:rPr>
          <w:rFonts w:ascii="Times New Roman" w:hAnsi="Times New Roman" w:cs="Times New Roman"/>
          <w:u w:val="single"/>
          <w:lang w:val="fr-FR"/>
        </w:rPr>
        <w:t>Augmentation des fonctions d</w:t>
      </w:r>
      <w:r w:rsidR="00B06B07">
        <w:rPr>
          <w:rFonts w:ascii="Times New Roman" w:hAnsi="Times New Roman" w:cs="Times New Roman"/>
          <w:u w:val="single"/>
          <w:lang w:val="fr-FR"/>
        </w:rPr>
        <w:t>’</w:t>
      </w:r>
      <w:r w:rsidR="00522496">
        <w:rPr>
          <w:rFonts w:ascii="Times New Roman" w:hAnsi="Times New Roman" w:cs="Times New Roman"/>
          <w:u w:val="single"/>
          <w:lang w:val="fr-FR"/>
        </w:rPr>
        <w:t>A</w:t>
      </w:r>
      <w:r w:rsidRPr="00283D3A">
        <w:rPr>
          <w:rFonts w:ascii="Times New Roman" w:hAnsi="Times New Roman" w:cs="Times New Roman"/>
          <w:u w:val="single"/>
          <w:lang w:val="fr-FR"/>
        </w:rPr>
        <w:t>ssistant chargé de l</w:t>
      </w:r>
      <w:r w:rsidR="00B06B07">
        <w:rPr>
          <w:rFonts w:ascii="Times New Roman" w:hAnsi="Times New Roman" w:cs="Times New Roman"/>
          <w:u w:val="single"/>
          <w:lang w:val="fr-FR"/>
        </w:rPr>
        <w:t>’</w:t>
      </w:r>
      <w:r w:rsidRPr="00283D3A">
        <w:rPr>
          <w:rFonts w:ascii="Times New Roman" w:hAnsi="Times New Roman" w:cs="Times New Roman"/>
          <w:u w:val="single"/>
          <w:lang w:val="fr-FR"/>
        </w:rPr>
        <w:t>information, d</w:t>
      </w:r>
      <w:r w:rsidR="00B06B07">
        <w:rPr>
          <w:rFonts w:ascii="Times New Roman" w:hAnsi="Times New Roman" w:cs="Times New Roman"/>
          <w:u w:val="single"/>
          <w:lang w:val="fr-FR"/>
        </w:rPr>
        <w:t>’</w:t>
      </w:r>
      <w:r w:rsidRPr="00283D3A">
        <w:rPr>
          <w:rFonts w:ascii="Times New Roman" w:hAnsi="Times New Roman" w:cs="Times New Roman"/>
          <w:u w:val="single"/>
          <w:lang w:val="fr-FR"/>
        </w:rPr>
        <w:t>Assistant de gestion de programme de l</w:t>
      </w:r>
      <w:r w:rsidR="00B06B07">
        <w:rPr>
          <w:rFonts w:ascii="Times New Roman" w:hAnsi="Times New Roman" w:cs="Times New Roman"/>
          <w:u w:val="single"/>
          <w:lang w:val="fr-FR"/>
        </w:rPr>
        <w:t>’</w:t>
      </w:r>
      <w:r w:rsidRPr="00283D3A">
        <w:rPr>
          <w:rFonts w:ascii="Times New Roman" w:hAnsi="Times New Roman" w:cs="Times New Roman"/>
          <w:u w:val="single"/>
          <w:lang w:val="fr-FR"/>
        </w:rPr>
        <w:t xml:space="preserve">Initiative africaine et du </w:t>
      </w:r>
      <w:r w:rsidR="00522496">
        <w:rPr>
          <w:rFonts w:ascii="Times New Roman" w:hAnsi="Times New Roman" w:cs="Times New Roman"/>
          <w:u w:val="single"/>
          <w:lang w:val="fr-FR"/>
        </w:rPr>
        <w:t>C</w:t>
      </w:r>
      <w:r w:rsidRPr="00283D3A">
        <w:rPr>
          <w:rFonts w:ascii="Times New Roman" w:hAnsi="Times New Roman" w:cs="Times New Roman"/>
          <w:u w:val="single"/>
          <w:lang w:val="fr-FR"/>
        </w:rPr>
        <w:t>oordinateur de l</w:t>
      </w:r>
      <w:r w:rsidR="00B06B07">
        <w:rPr>
          <w:rFonts w:ascii="Times New Roman" w:hAnsi="Times New Roman" w:cs="Times New Roman"/>
          <w:u w:val="single"/>
          <w:lang w:val="fr-FR"/>
        </w:rPr>
        <w:t>’</w:t>
      </w:r>
      <w:r w:rsidRPr="00283D3A">
        <w:rPr>
          <w:rFonts w:ascii="Times New Roman" w:hAnsi="Times New Roman" w:cs="Times New Roman"/>
          <w:u w:val="single"/>
          <w:lang w:val="fr-FR"/>
        </w:rPr>
        <w:t>Initiative africaine</w:t>
      </w:r>
    </w:p>
    <w:p w:rsidR="004647DE" w:rsidRPr="00605B50" w:rsidRDefault="00283D3A" w:rsidP="00787597">
      <w:pPr>
        <w:spacing w:after="0" w:line="280" w:lineRule="auto"/>
        <w:jc w:val="both"/>
        <w:rPr>
          <w:rFonts w:ascii="Times New Roman" w:hAnsi="Times New Roman" w:cs="Times New Roman"/>
          <w:lang w:val="fr-FR"/>
        </w:rPr>
      </w:pPr>
      <w:r w:rsidRPr="00787597">
        <w:rPr>
          <w:rFonts w:ascii="Times New Roman" w:hAnsi="Times New Roman" w:cs="Times New Roman"/>
          <w:lang w:val="fr-FR"/>
        </w:rPr>
        <w:t xml:space="preserve">Afin de maintenir sa capacité actuelle, le Secrétariat estime essentiel </w:t>
      </w:r>
      <w:r w:rsidR="00522496">
        <w:rPr>
          <w:rFonts w:ascii="Times New Roman" w:hAnsi="Times New Roman" w:cs="Times New Roman"/>
          <w:lang w:val="fr-FR"/>
        </w:rPr>
        <w:t xml:space="preserve">de </w:t>
      </w:r>
      <w:r w:rsidRPr="00787597">
        <w:rPr>
          <w:rFonts w:ascii="Times New Roman" w:hAnsi="Times New Roman" w:cs="Times New Roman"/>
          <w:lang w:val="fr-FR"/>
        </w:rPr>
        <w:t>pouvoir conserver les fonctions d</w:t>
      </w:r>
      <w:r w:rsidR="00B06B07">
        <w:rPr>
          <w:rFonts w:ascii="Times New Roman" w:hAnsi="Times New Roman" w:cs="Times New Roman"/>
          <w:lang w:val="fr-FR"/>
        </w:rPr>
        <w:t>’</w:t>
      </w:r>
      <w:r w:rsidRPr="00787597">
        <w:rPr>
          <w:rFonts w:ascii="Times New Roman" w:hAnsi="Times New Roman" w:cs="Times New Roman"/>
          <w:lang w:val="fr-FR"/>
        </w:rPr>
        <w:t>Assistant chargé de l</w:t>
      </w:r>
      <w:r w:rsidR="00B06B07">
        <w:rPr>
          <w:rFonts w:ascii="Times New Roman" w:hAnsi="Times New Roman" w:cs="Times New Roman"/>
          <w:lang w:val="fr-FR"/>
        </w:rPr>
        <w:t>’</w:t>
      </w:r>
      <w:r w:rsidRPr="00787597">
        <w:rPr>
          <w:rFonts w:ascii="Times New Roman" w:hAnsi="Times New Roman" w:cs="Times New Roman"/>
          <w:lang w:val="fr-FR"/>
        </w:rPr>
        <w:t>information, d</w:t>
      </w:r>
      <w:r w:rsidR="00B06B07">
        <w:rPr>
          <w:rFonts w:ascii="Times New Roman" w:hAnsi="Times New Roman" w:cs="Times New Roman"/>
          <w:lang w:val="fr-FR"/>
        </w:rPr>
        <w:t>’</w:t>
      </w:r>
      <w:r w:rsidRPr="00787597">
        <w:rPr>
          <w:rFonts w:ascii="Times New Roman" w:hAnsi="Times New Roman" w:cs="Times New Roman"/>
          <w:lang w:val="fr-FR"/>
        </w:rPr>
        <w:t>Assistant de gestion de programme (Initiative africaine) et de Coordinateur de l</w:t>
      </w:r>
      <w:r w:rsidR="00B06B07">
        <w:rPr>
          <w:rFonts w:ascii="Times New Roman" w:hAnsi="Times New Roman" w:cs="Times New Roman"/>
          <w:lang w:val="fr-FR"/>
        </w:rPr>
        <w:t>’</w:t>
      </w:r>
      <w:r w:rsidRPr="00787597">
        <w:rPr>
          <w:rFonts w:ascii="Times New Roman" w:hAnsi="Times New Roman" w:cs="Times New Roman"/>
          <w:lang w:val="fr-FR"/>
        </w:rPr>
        <w:t>Initiative africaine au niveau actuel des occupations de poste</w:t>
      </w:r>
      <w:r w:rsidR="00787597" w:rsidRPr="00787597">
        <w:rPr>
          <w:rFonts w:ascii="Times New Roman" w:hAnsi="Times New Roman" w:cs="Times New Roman"/>
          <w:lang w:val="fr-FR"/>
        </w:rPr>
        <w:t xml:space="preserve"> (soit </w:t>
      </w:r>
      <w:r w:rsidRPr="00787597">
        <w:rPr>
          <w:rFonts w:ascii="Times New Roman" w:hAnsi="Times New Roman" w:cs="Times New Roman"/>
          <w:lang w:val="fr-FR"/>
        </w:rPr>
        <w:t>80</w:t>
      </w:r>
      <w:r w:rsidR="00787597" w:rsidRPr="00787597">
        <w:rPr>
          <w:rFonts w:ascii="Times New Roman" w:hAnsi="Times New Roman" w:cs="Times New Roman"/>
          <w:lang w:val="fr-FR"/>
        </w:rPr>
        <w:t> </w:t>
      </w:r>
      <w:r w:rsidRPr="00787597">
        <w:rPr>
          <w:rFonts w:ascii="Times New Roman" w:hAnsi="Times New Roman" w:cs="Times New Roman"/>
          <w:lang w:val="fr-FR"/>
        </w:rPr>
        <w:t xml:space="preserve">% pour les deux </w:t>
      </w:r>
      <w:r w:rsidR="00787597" w:rsidRPr="00787597">
        <w:rPr>
          <w:rFonts w:ascii="Times New Roman" w:hAnsi="Times New Roman" w:cs="Times New Roman"/>
          <w:lang w:val="fr-FR"/>
        </w:rPr>
        <w:t xml:space="preserve">postes de catégorie </w:t>
      </w:r>
      <w:r w:rsidRPr="00787597">
        <w:rPr>
          <w:rFonts w:ascii="Times New Roman" w:hAnsi="Times New Roman" w:cs="Times New Roman"/>
          <w:lang w:val="fr-FR"/>
        </w:rPr>
        <w:t>G</w:t>
      </w:r>
      <w:r w:rsidR="00787597" w:rsidRPr="00787597">
        <w:rPr>
          <w:rFonts w:ascii="Times New Roman" w:hAnsi="Times New Roman" w:cs="Times New Roman"/>
          <w:lang w:val="fr-FR"/>
        </w:rPr>
        <w:t xml:space="preserve"> et</w:t>
      </w:r>
      <w:r w:rsidRPr="00787597">
        <w:rPr>
          <w:rFonts w:ascii="Times New Roman" w:hAnsi="Times New Roman" w:cs="Times New Roman"/>
          <w:lang w:val="fr-FR"/>
        </w:rPr>
        <w:t xml:space="preserve"> 100</w:t>
      </w:r>
      <w:r w:rsidR="00787597" w:rsidRPr="00787597">
        <w:rPr>
          <w:rFonts w:ascii="Times New Roman" w:hAnsi="Times New Roman" w:cs="Times New Roman"/>
          <w:lang w:val="fr-FR"/>
        </w:rPr>
        <w:t> </w:t>
      </w:r>
      <w:r w:rsidRPr="00787597">
        <w:rPr>
          <w:rFonts w:ascii="Times New Roman" w:hAnsi="Times New Roman" w:cs="Times New Roman"/>
          <w:lang w:val="fr-FR"/>
        </w:rPr>
        <w:t xml:space="preserve">% pour le </w:t>
      </w:r>
      <w:r w:rsidR="00787597" w:rsidRPr="00787597">
        <w:rPr>
          <w:rFonts w:ascii="Times New Roman" w:hAnsi="Times New Roman" w:cs="Times New Roman"/>
          <w:lang w:val="fr-FR"/>
        </w:rPr>
        <w:t xml:space="preserve">poste de catégorie </w:t>
      </w:r>
      <w:r w:rsidRPr="00787597">
        <w:rPr>
          <w:rFonts w:ascii="Times New Roman" w:hAnsi="Times New Roman" w:cs="Times New Roman"/>
          <w:lang w:val="fr-FR"/>
        </w:rPr>
        <w:t>P).</w:t>
      </w:r>
      <w:r w:rsidR="00494D21" w:rsidRPr="00605B50">
        <w:rPr>
          <w:rFonts w:ascii="Times New Roman" w:hAnsi="Times New Roman" w:cs="Times New Roman"/>
          <w:lang w:val="fr-FR"/>
        </w:rPr>
        <w:t xml:space="preserve"> </w:t>
      </w:r>
    </w:p>
    <w:p w:rsidR="004647DE" w:rsidRPr="00605B50" w:rsidRDefault="004647DE" w:rsidP="00AE26E0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:rsidR="004647DE" w:rsidRPr="00605B50" w:rsidRDefault="00787597" w:rsidP="00B924C0">
      <w:pPr>
        <w:spacing w:after="0" w:line="280" w:lineRule="auto"/>
        <w:jc w:val="both"/>
        <w:rPr>
          <w:rFonts w:ascii="Times New Roman" w:hAnsi="Times New Roman" w:cs="Times New Roman"/>
          <w:lang w:val="fr-FR"/>
        </w:rPr>
      </w:pPr>
      <w:r w:rsidRPr="00787597">
        <w:rPr>
          <w:rFonts w:ascii="Times New Roman" w:hAnsi="Times New Roman" w:cs="Times New Roman"/>
          <w:lang w:val="fr-FR"/>
        </w:rPr>
        <w:t>Ces fonctions contribuent toutes à des aspects essentiels du programme de travail du Secrétariat, étant directement liées au mandat donné au Secrétariat par l</w:t>
      </w:r>
      <w:r w:rsidR="00B06B07">
        <w:rPr>
          <w:rFonts w:ascii="Times New Roman" w:hAnsi="Times New Roman" w:cs="Times New Roman"/>
          <w:lang w:val="fr-FR"/>
        </w:rPr>
        <w:t>’</w:t>
      </w:r>
      <w:r w:rsidRPr="00787597">
        <w:rPr>
          <w:rFonts w:ascii="Times New Roman" w:hAnsi="Times New Roman" w:cs="Times New Roman"/>
          <w:lang w:val="fr-FR"/>
        </w:rPr>
        <w:t>Accord et la MOP.</w:t>
      </w:r>
      <w:r w:rsidR="008039BF" w:rsidRPr="00605B50">
        <w:rPr>
          <w:rFonts w:ascii="Times New Roman" w:hAnsi="Times New Roman" w:cs="Times New Roman"/>
          <w:lang w:val="fr-FR"/>
        </w:rPr>
        <w:t xml:space="preserve"> </w:t>
      </w:r>
      <w:r w:rsidRPr="00B924C0">
        <w:rPr>
          <w:rFonts w:ascii="Times New Roman" w:hAnsi="Times New Roman" w:cs="Times New Roman"/>
          <w:lang w:val="fr-FR"/>
        </w:rPr>
        <w:t>L</w:t>
      </w:r>
      <w:r w:rsidR="00B06B07">
        <w:rPr>
          <w:rFonts w:ascii="Times New Roman" w:hAnsi="Times New Roman" w:cs="Times New Roman"/>
          <w:lang w:val="fr-FR"/>
        </w:rPr>
        <w:t>’</w:t>
      </w:r>
      <w:r w:rsidRPr="00B924C0">
        <w:rPr>
          <w:rFonts w:ascii="Times New Roman" w:hAnsi="Times New Roman" w:cs="Times New Roman"/>
          <w:lang w:val="fr-FR"/>
        </w:rPr>
        <w:t>absence de continuité des contributions volontaires pour financer ces postes risque de mettre en péril la permanence de ce soutien essentiel, sachant qu</w:t>
      </w:r>
      <w:r w:rsidR="00B06B07">
        <w:rPr>
          <w:rFonts w:ascii="Times New Roman" w:hAnsi="Times New Roman" w:cs="Times New Roman"/>
          <w:lang w:val="fr-FR"/>
        </w:rPr>
        <w:t>’</w:t>
      </w:r>
      <w:r w:rsidRPr="00B924C0">
        <w:rPr>
          <w:rFonts w:ascii="Times New Roman" w:hAnsi="Times New Roman" w:cs="Times New Roman"/>
          <w:lang w:val="fr-FR"/>
        </w:rPr>
        <w:t xml:space="preserve">il devient de plus en plus difficile de lever suffisamment de fonds pour en assurer le </w:t>
      </w:r>
      <w:r w:rsidRPr="00B924C0">
        <w:rPr>
          <w:rFonts w:ascii="Times New Roman" w:hAnsi="Times New Roman" w:cs="Times New Roman"/>
          <w:lang w:val="fr-FR"/>
        </w:rPr>
        <w:lastRenderedPageBreak/>
        <w:t>financement.</w:t>
      </w:r>
      <w:r w:rsidR="002C2BA4" w:rsidRPr="00605B50">
        <w:rPr>
          <w:rFonts w:ascii="Times New Roman" w:hAnsi="Times New Roman" w:cs="Times New Roman"/>
          <w:lang w:val="fr-FR"/>
        </w:rPr>
        <w:t xml:space="preserve"> </w:t>
      </w:r>
      <w:r w:rsidR="00B924C0" w:rsidRPr="00B924C0">
        <w:rPr>
          <w:rFonts w:ascii="Times New Roman" w:hAnsi="Times New Roman" w:cs="Times New Roman"/>
          <w:lang w:val="fr-FR"/>
        </w:rPr>
        <w:t>Cette situation a des répercussions sur le fonctionnement (et les membres du personnel) du Secrétariat, la</w:t>
      </w:r>
      <w:r w:rsidR="00B06B07">
        <w:rPr>
          <w:rFonts w:ascii="Times New Roman" w:hAnsi="Times New Roman" w:cs="Times New Roman"/>
          <w:lang w:val="fr-FR"/>
        </w:rPr>
        <w:t xml:space="preserve"> </w:t>
      </w:r>
      <w:r w:rsidR="00B924C0" w:rsidRPr="00B924C0">
        <w:rPr>
          <w:rFonts w:ascii="Times New Roman" w:hAnsi="Times New Roman" w:cs="Times New Roman"/>
          <w:lang w:val="fr-FR"/>
        </w:rPr>
        <w:t>sécurité de la</w:t>
      </w:r>
      <w:r w:rsidR="00B06B07">
        <w:rPr>
          <w:rFonts w:ascii="Times New Roman" w:hAnsi="Times New Roman" w:cs="Times New Roman"/>
          <w:lang w:val="fr-FR"/>
        </w:rPr>
        <w:t xml:space="preserve"> </w:t>
      </w:r>
      <w:r w:rsidR="00B924C0" w:rsidRPr="00B924C0">
        <w:rPr>
          <w:rFonts w:ascii="Times New Roman" w:hAnsi="Times New Roman" w:cs="Times New Roman"/>
          <w:lang w:val="fr-FR"/>
        </w:rPr>
        <w:t>planification et la fiabilité d</w:t>
      </w:r>
      <w:r w:rsidR="00B06B07">
        <w:rPr>
          <w:rFonts w:ascii="Times New Roman" w:hAnsi="Times New Roman" w:cs="Times New Roman"/>
          <w:lang w:val="fr-FR"/>
        </w:rPr>
        <w:t>’</w:t>
      </w:r>
      <w:r w:rsidR="00B924C0" w:rsidRPr="00B924C0">
        <w:rPr>
          <w:rFonts w:ascii="Times New Roman" w:hAnsi="Times New Roman" w:cs="Times New Roman"/>
          <w:lang w:val="fr-FR"/>
        </w:rPr>
        <w:t>ensemble.</w:t>
      </w:r>
      <w:r w:rsidR="00532831" w:rsidRPr="00605B50">
        <w:rPr>
          <w:rFonts w:ascii="Times New Roman" w:hAnsi="Times New Roman" w:cs="Times New Roman"/>
          <w:lang w:val="fr-FR"/>
        </w:rPr>
        <w:t xml:space="preserve"> </w:t>
      </w:r>
    </w:p>
    <w:p w:rsidR="004647DE" w:rsidRPr="00605B50" w:rsidRDefault="004647DE" w:rsidP="00AE26E0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:rsidR="004647DE" w:rsidRPr="00605B50" w:rsidRDefault="00B924C0" w:rsidP="0098382F">
      <w:pPr>
        <w:spacing w:after="0" w:line="280" w:lineRule="auto"/>
        <w:jc w:val="both"/>
        <w:rPr>
          <w:rFonts w:ascii="Times New Roman" w:hAnsi="Times New Roman" w:cs="Times New Roman"/>
          <w:lang w:val="fr-FR"/>
        </w:rPr>
      </w:pPr>
      <w:r w:rsidRPr="00B924C0">
        <w:rPr>
          <w:rFonts w:ascii="Times New Roman" w:hAnsi="Times New Roman" w:cs="Times New Roman"/>
          <w:lang w:val="fr-FR"/>
        </w:rPr>
        <w:t xml:space="preserve">Il convient également de noter que </w:t>
      </w:r>
      <w:r w:rsidR="00A6345C">
        <w:rPr>
          <w:rFonts w:ascii="Times New Roman" w:hAnsi="Times New Roman" w:cs="Times New Roman"/>
          <w:lang w:val="fr-FR"/>
        </w:rPr>
        <w:t xml:space="preserve">le fait de </w:t>
      </w:r>
      <w:r w:rsidRPr="00B924C0">
        <w:rPr>
          <w:rFonts w:ascii="Times New Roman" w:hAnsi="Times New Roman" w:cs="Times New Roman"/>
          <w:lang w:val="fr-FR"/>
        </w:rPr>
        <w:t>lier des fonctions à différentes sources de financement ou à des sources changeantes génère d</w:t>
      </w:r>
      <w:r w:rsidR="00B06B07">
        <w:rPr>
          <w:rFonts w:ascii="Times New Roman" w:hAnsi="Times New Roman" w:cs="Times New Roman"/>
          <w:lang w:val="fr-FR"/>
        </w:rPr>
        <w:t>’</w:t>
      </w:r>
      <w:r w:rsidRPr="00B924C0">
        <w:rPr>
          <w:rFonts w:ascii="Times New Roman" w:hAnsi="Times New Roman" w:cs="Times New Roman"/>
          <w:lang w:val="fr-FR"/>
        </w:rPr>
        <w:t xml:space="preserve">énormes efforts administratifs, </w:t>
      </w:r>
      <w:r w:rsidR="006858BC">
        <w:rPr>
          <w:rFonts w:ascii="Times New Roman" w:hAnsi="Times New Roman" w:cs="Times New Roman"/>
          <w:lang w:val="fr-FR"/>
        </w:rPr>
        <w:t>faisant perdre</w:t>
      </w:r>
      <w:r w:rsidRPr="00B924C0">
        <w:rPr>
          <w:rFonts w:ascii="Times New Roman" w:hAnsi="Times New Roman" w:cs="Times New Roman"/>
          <w:lang w:val="fr-FR"/>
        </w:rPr>
        <w:t xml:space="preserve"> </w:t>
      </w:r>
      <w:r w:rsidR="006858BC">
        <w:rPr>
          <w:rFonts w:ascii="Times New Roman" w:hAnsi="Times New Roman" w:cs="Times New Roman"/>
          <w:lang w:val="fr-FR"/>
        </w:rPr>
        <w:t xml:space="preserve">le </w:t>
      </w:r>
      <w:r w:rsidRPr="00B924C0">
        <w:rPr>
          <w:rFonts w:ascii="Times New Roman" w:hAnsi="Times New Roman" w:cs="Times New Roman"/>
          <w:lang w:val="fr-FR"/>
        </w:rPr>
        <w:t>précieux temps de travail du personnel à différents niveaux.</w:t>
      </w:r>
      <w:r w:rsidR="000076FF" w:rsidRPr="00605B50">
        <w:rPr>
          <w:rFonts w:ascii="Times New Roman" w:hAnsi="Times New Roman" w:cs="Times New Roman"/>
          <w:lang w:val="fr-FR"/>
        </w:rPr>
        <w:t xml:space="preserve"> </w:t>
      </w:r>
      <w:r w:rsidRPr="0098382F">
        <w:rPr>
          <w:rFonts w:ascii="Times New Roman" w:hAnsi="Times New Roman" w:cs="Times New Roman"/>
          <w:lang w:val="fr-FR"/>
        </w:rPr>
        <w:t xml:space="preserve">Se charger de ces postes dans le cadre du budget principal </w:t>
      </w:r>
      <w:r w:rsidR="00522496">
        <w:rPr>
          <w:rFonts w:ascii="Times New Roman" w:hAnsi="Times New Roman" w:cs="Times New Roman"/>
          <w:lang w:val="fr-FR"/>
        </w:rPr>
        <w:t>tel qu’il est</w:t>
      </w:r>
      <w:r w:rsidRPr="0098382F">
        <w:rPr>
          <w:rFonts w:ascii="Times New Roman" w:hAnsi="Times New Roman" w:cs="Times New Roman"/>
          <w:lang w:val="fr-FR"/>
        </w:rPr>
        <w:t xml:space="preserve"> proposé</w:t>
      </w:r>
      <w:r w:rsidRPr="006858BC">
        <w:rPr>
          <w:rFonts w:ascii="Times New Roman" w:hAnsi="Times New Roman" w:cs="Times New Roman"/>
          <w:lang w:val="fr-FR"/>
        </w:rPr>
        <w:t xml:space="preserve"> libérera également des efforts importants de collecte de fonds pour des activités prenant directement en main</w:t>
      </w:r>
      <w:r w:rsidRPr="0098382F">
        <w:rPr>
          <w:rFonts w:ascii="Times New Roman" w:hAnsi="Times New Roman" w:cs="Times New Roman"/>
          <w:lang w:val="fr-FR"/>
        </w:rPr>
        <w:t xml:space="preserve"> </w:t>
      </w:r>
      <w:r w:rsidR="00522496">
        <w:rPr>
          <w:rFonts w:ascii="Times New Roman" w:hAnsi="Times New Roman" w:cs="Times New Roman"/>
          <w:lang w:val="fr-FR"/>
        </w:rPr>
        <w:t xml:space="preserve">la </w:t>
      </w:r>
      <w:r w:rsidRPr="0098382F">
        <w:rPr>
          <w:rFonts w:ascii="Times New Roman" w:hAnsi="Times New Roman" w:cs="Times New Roman"/>
          <w:lang w:val="fr-FR"/>
        </w:rPr>
        <w:t>mise en œuvre de l</w:t>
      </w:r>
      <w:r w:rsidR="00B06B07">
        <w:rPr>
          <w:rFonts w:ascii="Times New Roman" w:hAnsi="Times New Roman" w:cs="Times New Roman"/>
          <w:lang w:val="fr-FR"/>
        </w:rPr>
        <w:t>’</w:t>
      </w:r>
      <w:r w:rsidRPr="0098382F">
        <w:rPr>
          <w:rFonts w:ascii="Times New Roman" w:hAnsi="Times New Roman" w:cs="Times New Roman"/>
          <w:lang w:val="fr-FR"/>
        </w:rPr>
        <w:t>Accord.</w:t>
      </w:r>
      <w:r w:rsidR="002B0EF2" w:rsidRPr="00605B50">
        <w:rPr>
          <w:rFonts w:ascii="Times New Roman" w:hAnsi="Times New Roman" w:cs="Times New Roman"/>
          <w:lang w:val="fr-FR"/>
        </w:rPr>
        <w:t xml:space="preserve"> </w:t>
      </w:r>
      <w:r w:rsidR="0098382F" w:rsidRPr="0098382F">
        <w:rPr>
          <w:rFonts w:ascii="Times New Roman" w:hAnsi="Times New Roman" w:cs="Times New Roman"/>
          <w:lang w:val="fr-FR"/>
        </w:rPr>
        <w:t>Les scénarios 3 et 4 visent donc à consolider l</w:t>
      </w:r>
      <w:r w:rsidR="00B06B07">
        <w:rPr>
          <w:rFonts w:ascii="Times New Roman" w:hAnsi="Times New Roman" w:cs="Times New Roman"/>
          <w:lang w:val="fr-FR"/>
        </w:rPr>
        <w:t>’</w:t>
      </w:r>
      <w:r w:rsidR="0098382F" w:rsidRPr="0098382F">
        <w:rPr>
          <w:rFonts w:ascii="Times New Roman" w:hAnsi="Times New Roman" w:cs="Times New Roman"/>
          <w:lang w:val="fr-FR"/>
        </w:rPr>
        <w:t>occupation des postes d</w:t>
      </w:r>
      <w:r w:rsidR="00B06B07">
        <w:rPr>
          <w:rFonts w:ascii="Times New Roman" w:hAnsi="Times New Roman" w:cs="Times New Roman"/>
          <w:lang w:val="fr-FR"/>
        </w:rPr>
        <w:t>’</w:t>
      </w:r>
      <w:r w:rsidR="0098382F" w:rsidRPr="0098382F">
        <w:rPr>
          <w:rFonts w:ascii="Times New Roman" w:hAnsi="Times New Roman" w:cs="Times New Roman"/>
          <w:lang w:val="fr-FR"/>
        </w:rPr>
        <w:t>Assistants chargés de l</w:t>
      </w:r>
      <w:r w:rsidR="00B06B07">
        <w:rPr>
          <w:rFonts w:ascii="Times New Roman" w:hAnsi="Times New Roman" w:cs="Times New Roman"/>
          <w:lang w:val="fr-FR"/>
        </w:rPr>
        <w:t>’</w:t>
      </w:r>
      <w:r w:rsidR="0098382F" w:rsidRPr="0098382F">
        <w:rPr>
          <w:rFonts w:ascii="Times New Roman" w:hAnsi="Times New Roman" w:cs="Times New Roman"/>
          <w:lang w:val="fr-FR"/>
        </w:rPr>
        <w:t>information et de la gestion de programme (scénario 3) et d</w:t>
      </w:r>
      <w:r w:rsidR="006858BC">
        <w:rPr>
          <w:rFonts w:ascii="Times New Roman" w:hAnsi="Times New Roman" w:cs="Times New Roman"/>
          <w:lang w:val="fr-FR"/>
        </w:rPr>
        <w:t>e C</w:t>
      </w:r>
      <w:r w:rsidR="0098382F" w:rsidRPr="0098382F">
        <w:rPr>
          <w:rFonts w:ascii="Times New Roman" w:hAnsi="Times New Roman" w:cs="Times New Roman"/>
          <w:lang w:val="fr-FR"/>
        </w:rPr>
        <w:t>oord</w:t>
      </w:r>
      <w:r w:rsidR="006858BC">
        <w:rPr>
          <w:rFonts w:ascii="Times New Roman" w:hAnsi="Times New Roman" w:cs="Times New Roman"/>
          <w:lang w:val="fr-FR"/>
        </w:rPr>
        <w:t>inat</w:t>
      </w:r>
      <w:r w:rsidR="0098382F" w:rsidRPr="0098382F">
        <w:rPr>
          <w:rFonts w:ascii="Times New Roman" w:hAnsi="Times New Roman" w:cs="Times New Roman"/>
          <w:lang w:val="fr-FR"/>
        </w:rPr>
        <w:t>eur de l</w:t>
      </w:r>
      <w:r w:rsidR="00B06B07">
        <w:rPr>
          <w:rFonts w:ascii="Times New Roman" w:hAnsi="Times New Roman" w:cs="Times New Roman"/>
          <w:lang w:val="fr-FR"/>
        </w:rPr>
        <w:t>’</w:t>
      </w:r>
      <w:r w:rsidR="0098382F" w:rsidRPr="0098382F">
        <w:rPr>
          <w:rFonts w:ascii="Times New Roman" w:hAnsi="Times New Roman" w:cs="Times New Roman"/>
          <w:lang w:val="fr-FR"/>
        </w:rPr>
        <w:t>Initiative africaine (scénario 4).</w:t>
      </w:r>
      <w:r w:rsidR="004D28C0" w:rsidRPr="00605B50">
        <w:rPr>
          <w:rFonts w:ascii="Times New Roman" w:hAnsi="Times New Roman" w:cs="Times New Roman"/>
          <w:lang w:val="fr-FR"/>
        </w:rPr>
        <w:t xml:space="preserve"> </w:t>
      </w:r>
    </w:p>
    <w:p w:rsidR="008476BF" w:rsidRPr="00605B50" w:rsidRDefault="008476BF" w:rsidP="00AE26E0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:rsidR="005A74F8" w:rsidRPr="00605B50" w:rsidRDefault="0098382F" w:rsidP="0098382F">
      <w:pPr>
        <w:spacing w:after="0" w:line="280" w:lineRule="auto"/>
        <w:jc w:val="both"/>
        <w:rPr>
          <w:rFonts w:ascii="Times New Roman" w:hAnsi="Times New Roman" w:cs="Times New Roman"/>
          <w:b/>
          <w:lang w:val="fr-FR"/>
        </w:rPr>
      </w:pPr>
      <w:r w:rsidRPr="0098382F">
        <w:rPr>
          <w:rFonts w:ascii="Times New Roman" w:hAnsi="Times New Roman" w:cs="Times New Roman"/>
          <w:b/>
          <w:lang w:val="fr-FR"/>
        </w:rPr>
        <w:t>Fonction </w:t>
      </w:r>
      <w:r w:rsidR="005A74F8" w:rsidRPr="00605B50">
        <w:rPr>
          <w:rFonts w:ascii="Times New Roman" w:hAnsi="Times New Roman" w:cs="Times New Roman"/>
          <w:b/>
          <w:lang w:val="fr-FR"/>
        </w:rPr>
        <w:tab/>
      </w:r>
      <w:r w:rsidR="005A74F8" w:rsidRPr="00605B50">
        <w:rPr>
          <w:rFonts w:ascii="Times New Roman" w:hAnsi="Times New Roman" w:cs="Times New Roman"/>
          <w:b/>
          <w:lang w:val="fr-FR"/>
        </w:rPr>
        <w:tab/>
      </w:r>
      <w:r w:rsidR="005A74F8" w:rsidRPr="00605B50">
        <w:rPr>
          <w:rFonts w:ascii="Times New Roman" w:hAnsi="Times New Roman" w:cs="Times New Roman"/>
          <w:b/>
          <w:lang w:val="fr-FR"/>
        </w:rPr>
        <w:tab/>
      </w:r>
      <w:r w:rsidRPr="0098382F">
        <w:rPr>
          <w:rFonts w:ascii="Times New Roman" w:hAnsi="Times New Roman" w:cs="Times New Roman"/>
          <w:b/>
          <w:lang w:val="fr-FR"/>
        </w:rPr>
        <w:t>Augmentation</w:t>
      </w:r>
      <w:r w:rsidR="005A74F8" w:rsidRPr="00605B50">
        <w:rPr>
          <w:rFonts w:ascii="Times New Roman" w:hAnsi="Times New Roman" w:cs="Times New Roman"/>
          <w:b/>
          <w:lang w:val="fr-FR"/>
        </w:rPr>
        <w:tab/>
      </w:r>
      <w:r w:rsidR="005A74F8" w:rsidRPr="00605B50">
        <w:rPr>
          <w:rFonts w:ascii="Times New Roman" w:hAnsi="Times New Roman" w:cs="Times New Roman"/>
          <w:b/>
          <w:lang w:val="fr-FR"/>
        </w:rPr>
        <w:tab/>
      </w:r>
      <w:r w:rsidRPr="0098382F">
        <w:rPr>
          <w:rFonts w:ascii="Times New Roman" w:hAnsi="Times New Roman" w:cs="Times New Roman"/>
          <w:b/>
          <w:lang w:val="fr-FR"/>
        </w:rPr>
        <w:t>Coûts en 2019</w:t>
      </w:r>
      <w:r w:rsidR="005A74F8" w:rsidRPr="00605B50">
        <w:rPr>
          <w:rFonts w:ascii="Times New Roman" w:hAnsi="Times New Roman" w:cs="Times New Roman"/>
          <w:b/>
          <w:lang w:val="fr-FR"/>
        </w:rPr>
        <w:tab/>
      </w:r>
      <w:r w:rsidR="005A74F8" w:rsidRPr="00605B50">
        <w:rPr>
          <w:rFonts w:ascii="Times New Roman" w:hAnsi="Times New Roman" w:cs="Times New Roman"/>
          <w:b/>
          <w:lang w:val="fr-FR"/>
        </w:rPr>
        <w:tab/>
        <w:t>2020</w:t>
      </w:r>
      <w:r w:rsidR="005A74F8" w:rsidRPr="00605B50">
        <w:rPr>
          <w:rFonts w:ascii="Times New Roman" w:hAnsi="Times New Roman" w:cs="Times New Roman"/>
          <w:b/>
          <w:lang w:val="fr-FR"/>
        </w:rPr>
        <w:tab/>
      </w:r>
      <w:r w:rsidR="005A74F8" w:rsidRPr="00605B50">
        <w:rPr>
          <w:rFonts w:ascii="Times New Roman" w:hAnsi="Times New Roman" w:cs="Times New Roman"/>
          <w:b/>
          <w:lang w:val="fr-FR"/>
        </w:rPr>
        <w:tab/>
        <w:t>2021</w:t>
      </w:r>
    </w:p>
    <w:p w:rsidR="005A74F8" w:rsidRPr="00605B50" w:rsidRDefault="0098382F" w:rsidP="0098382F">
      <w:pPr>
        <w:spacing w:after="0" w:line="280" w:lineRule="auto"/>
        <w:jc w:val="both"/>
        <w:rPr>
          <w:rFonts w:ascii="Times New Roman" w:hAnsi="Times New Roman" w:cs="Times New Roman"/>
          <w:lang w:val="fr-FR"/>
        </w:rPr>
      </w:pPr>
      <w:r w:rsidRPr="0098382F">
        <w:rPr>
          <w:rFonts w:ascii="Times New Roman" w:hAnsi="Times New Roman" w:cs="Times New Roman"/>
          <w:lang w:val="fr-FR"/>
        </w:rPr>
        <w:t>Assistant</w:t>
      </w:r>
      <w:r w:rsidR="00522496">
        <w:rPr>
          <w:rFonts w:ascii="Times New Roman" w:hAnsi="Times New Roman" w:cs="Times New Roman"/>
          <w:lang w:val="fr-FR"/>
        </w:rPr>
        <w:t xml:space="preserve"> </w:t>
      </w:r>
      <w:r w:rsidRPr="0098382F">
        <w:rPr>
          <w:rFonts w:ascii="Times New Roman" w:hAnsi="Times New Roman" w:cs="Times New Roman"/>
          <w:lang w:val="fr-FR"/>
        </w:rPr>
        <w:t>information</w:t>
      </w:r>
      <w:r w:rsidR="005A74F8" w:rsidRPr="00605B50">
        <w:rPr>
          <w:rFonts w:ascii="Times New Roman" w:hAnsi="Times New Roman" w:cs="Times New Roman"/>
          <w:lang w:val="fr-FR"/>
        </w:rPr>
        <w:tab/>
      </w:r>
      <w:r w:rsidR="005A74F8" w:rsidRPr="00605B50">
        <w:rPr>
          <w:rFonts w:ascii="Times New Roman" w:hAnsi="Times New Roman" w:cs="Times New Roman"/>
          <w:lang w:val="fr-FR"/>
        </w:rPr>
        <w:tab/>
        <w:t>30</w:t>
      </w:r>
      <w:r w:rsidR="00522496" w:rsidRPr="00605B50">
        <w:rPr>
          <w:rFonts w:ascii="Times New Roman" w:hAnsi="Times New Roman" w:cs="Times New Roman"/>
          <w:lang w:val="fr-FR"/>
        </w:rPr>
        <w:t> </w:t>
      </w:r>
      <w:r w:rsidR="005A74F8" w:rsidRPr="00605B50">
        <w:rPr>
          <w:rFonts w:ascii="Times New Roman" w:hAnsi="Times New Roman" w:cs="Times New Roman"/>
          <w:lang w:val="fr-FR"/>
        </w:rPr>
        <w:t>%</w:t>
      </w:r>
      <w:r w:rsidR="005A74F8" w:rsidRPr="00605B50">
        <w:rPr>
          <w:rFonts w:ascii="Times New Roman" w:hAnsi="Times New Roman" w:cs="Times New Roman"/>
          <w:lang w:val="fr-FR"/>
        </w:rPr>
        <w:tab/>
      </w:r>
      <w:r w:rsidR="005A74F8" w:rsidRPr="00605B50">
        <w:rPr>
          <w:rFonts w:ascii="Times New Roman" w:hAnsi="Times New Roman" w:cs="Times New Roman"/>
          <w:lang w:val="fr-FR"/>
        </w:rPr>
        <w:tab/>
      </w:r>
      <w:r w:rsidR="005A74F8" w:rsidRPr="00605B50">
        <w:rPr>
          <w:rFonts w:ascii="Times New Roman" w:hAnsi="Times New Roman" w:cs="Times New Roman"/>
          <w:lang w:val="fr-FR"/>
        </w:rPr>
        <w:tab/>
        <w:t>20</w:t>
      </w:r>
      <w:r w:rsidR="00522496" w:rsidRPr="00605B50">
        <w:rPr>
          <w:rFonts w:ascii="Times New Roman" w:hAnsi="Times New Roman" w:cs="Times New Roman"/>
          <w:lang w:val="fr-FR"/>
        </w:rPr>
        <w:t> </w:t>
      </w:r>
      <w:r w:rsidR="005A74F8" w:rsidRPr="00605B50">
        <w:rPr>
          <w:rFonts w:ascii="Times New Roman" w:hAnsi="Times New Roman" w:cs="Times New Roman"/>
          <w:lang w:val="fr-FR"/>
        </w:rPr>
        <w:t>840</w:t>
      </w:r>
      <w:r w:rsidR="005A74F8" w:rsidRPr="00605B50">
        <w:rPr>
          <w:rFonts w:ascii="Times New Roman" w:hAnsi="Times New Roman" w:cs="Times New Roman"/>
          <w:lang w:val="fr-FR"/>
        </w:rPr>
        <w:tab/>
      </w:r>
      <w:r w:rsidR="005A74F8" w:rsidRPr="00605B50">
        <w:rPr>
          <w:rFonts w:ascii="Times New Roman" w:hAnsi="Times New Roman" w:cs="Times New Roman"/>
          <w:lang w:val="fr-FR"/>
        </w:rPr>
        <w:tab/>
      </w:r>
      <w:r w:rsidR="005A74F8" w:rsidRPr="00605B50">
        <w:rPr>
          <w:rFonts w:ascii="Times New Roman" w:hAnsi="Times New Roman" w:cs="Times New Roman"/>
          <w:lang w:val="fr-FR"/>
        </w:rPr>
        <w:tab/>
        <w:t>21</w:t>
      </w:r>
      <w:r w:rsidR="00522496" w:rsidRPr="00605B50">
        <w:rPr>
          <w:rFonts w:ascii="Times New Roman" w:hAnsi="Times New Roman" w:cs="Times New Roman"/>
          <w:lang w:val="fr-FR"/>
        </w:rPr>
        <w:t> </w:t>
      </w:r>
      <w:r w:rsidR="005A74F8" w:rsidRPr="00605B50">
        <w:rPr>
          <w:rFonts w:ascii="Times New Roman" w:hAnsi="Times New Roman" w:cs="Times New Roman"/>
          <w:lang w:val="fr-FR"/>
        </w:rPr>
        <w:t>257</w:t>
      </w:r>
      <w:r w:rsidR="005A74F8" w:rsidRPr="00605B50">
        <w:rPr>
          <w:rFonts w:ascii="Times New Roman" w:hAnsi="Times New Roman" w:cs="Times New Roman"/>
          <w:lang w:val="fr-FR"/>
        </w:rPr>
        <w:tab/>
      </w:r>
      <w:r w:rsidR="005A74F8" w:rsidRPr="00605B50">
        <w:rPr>
          <w:rFonts w:ascii="Times New Roman" w:hAnsi="Times New Roman" w:cs="Times New Roman"/>
          <w:lang w:val="fr-FR"/>
        </w:rPr>
        <w:tab/>
        <w:t>21</w:t>
      </w:r>
      <w:r w:rsidR="00522496" w:rsidRPr="00605B50">
        <w:rPr>
          <w:rFonts w:ascii="Times New Roman" w:hAnsi="Times New Roman" w:cs="Times New Roman"/>
          <w:lang w:val="fr-FR"/>
        </w:rPr>
        <w:t> </w:t>
      </w:r>
      <w:r w:rsidR="005A74F8" w:rsidRPr="00605B50">
        <w:rPr>
          <w:rFonts w:ascii="Times New Roman" w:hAnsi="Times New Roman" w:cs="Times New Roman"/>
          <w:lang w:val="fr-FR"/>
        </w:rPr>
        <w:t>682</w:t>
      </w:r>
      <w:r w:rsidR="005A74F8" w:rsidRPr="00605B50">
        <w:rPr>
          <w:rFonts w:ascii="Times New Roman" w:hAnsi="Times New Roman" w:cs="Times New Roman"/>
          <w:lang w:val="fr-FR"/>
        </w:rPr>
        <w:tab/>
      </w:r>
    </w:p>
    <w:p w:rsidR="005A74F8" w:rsidRPr="00895AC7" w:rsidRDefault="0098382F" w:rsidP="0098382F">
      <w:pPr>
        <w:spacing w:after="0" w:line="280" w:lineRule="auto"/>
        <w:jc w:val="both"/>
        <w:rPr>
          <w:rFonts w:ascii="Times New Roman" w:hAnsi="Times New Roman" w:cs="Times New Roman"/>
          <w:lang w:val="it-IT"/>
        </w:rPr>
      </w:pPr>
      <w:r w:rsidRPr="0098382F">
        <w:rPr>
          <w:rFonts w:ascii="Times New Roman" w:hAnsi="Times New Roman" w:cs="Times New Roman"/>
          <w:lang w:val="fr-FR"/>
        </w:rPr>
        <w:t xml:space="preserve">Assistant </w:t>
      </w:r>
      <w:r w:rsidR="00522496">
        <w:rPr>
          <w:rFonts w:ascii="Times New Roman" w:hAnsi="Times New Roman" w:cs="Times New Roman"/>
          <w:lang w:val="fr-FR"/>
        </w:rPr>
        <w:t xml:space="preserve">G.P. </w:t>
      </w:r>
      <w:r w:rsidRPr="0098382F">
        <w:rPr>
          <w:rFonts w:ascii="Times New Roman" w:hAnsi="Times New Roman" w:cs="Times New Roman"/>
          <w:lang w:val="fr-FR"/>
        </w:rPr>
        <w:t xml:space="preserve"> IA</w:t>
      </w:r>
      <w:r w:rsidR="005A74F8" w:rsidRPr="00895AC7">
        <w:rPr>
          <w:rFonts w:ascii="Times New Roman" w:hAnsi="Times New Roman" w:cs="Times New Roman"/>
          <w:lang w:val="it-IT"/>
        </w:rPr>
        <w:tab/>
      </w:r>
      <w:r w:rsidR="005A74F8" w:rsidRPr="00895AC7">
        <w:rPr>
          <w:rFonts w:ascii="Times New Roman" w:hAnsi="Times New Roman" w:cs="Times New Roman"/>
          <w:lang w:val="it-IT"/>
        </w:rPr>
        <w:tab/>
        <w:t>30</w:t>
      </w:r>
      <w:r w:rsidR="00522496">
        <w:rPr>
          <w:rFonts w:ascii="Times New Roman" w:hAnsi="Times New Roman" w:cs="Times New Roman"/>
          <w:lang w:val="it-IT"/>
        </w:rPr>
        <w:t> </w:t>
      </w:r>
      <w:r w:rsidR="005A74F8" w:rsidRPr="00895AC7">
        <w:rPr>
          <w:rFonts w:ascii="Times New Roman" w:hAnsi="Times New Roman" w:cs="Times New Roman"/>
          <w:lang w:val="it-IT"/>
        </w:rPr>
        <w:t>%</w:t>
      </w:r>
      <w:r w:rsidR="005A74F8" w:rsidRPr="00895AC7">
        <w:rPr>
          <w:rFonts w:ascii="Times New Roman" w:hAnsi="Times New Roman" w:cs="Times New Roman"/>
          <w:lang w:val="it-IT"/>
        </w:rPr>
        <w:tab/>
      </w:r>
      <w:r w:rsidR="005A74F8" w:rsidRPr="00895AC7">
        <w:rPr>
          <w:rFonts w:ascii="Times New Roman" w:hAnsi="Times New Roman" w:cs="Times New Roman"/>
          <w:lang w:val="it-IT"/>
        </w:rPr>
        <w:tab/>
      </w:r>
      <w:r w:rsidR="005A74F8" w:rsidRPr="00895AC7">
        <w:rPr>
          <w:rFonts w:ascii="Times New Roman" w:hAnsi="Times New Roman" w:cs="Times New Roman"/>
          <w:lang w:val="it-IT"/>
        </w:rPr>
        <w:tab/>
        <w:t>20</w:t>
      </w:r>
      <w:r w:rsidR="00522496">
        <w:rPr>
          <w:rFonts w:ascii="Times New Roman" w:hAnsi="Times New Roman" w:cs="Times New Roman"/>
          <w:lang w:val="it-IT"/>
        </w:rPr>
        <w:t> </w:t>
      </w:r>
      <w:r w:rsidR="005A74F8" w:rsidRPr="00895AC7">
        <w:rPr>
          <w:rFonts w:ascii="Times New Roman" w:hAnsi="Times New Roman" w:cs="Times New Roman"/>
          <w:lang w:val="it-IT"/>
        </w:rPr>
        <w:t>840</w:t>
      </w:r>
      <w:r w:rsidR="005A74F8" w:rsidRPr="00895AC7">
        <w:rPr>
          <w:rFonts w:ascii="Times New Roman" w:hAnsi="Times New Roman" w:cs="Times New Roman"/>
          <w:lang w:val="it-IT"/>
        </w:rPr>
        <w:tab/>
      </w:r>
      <w:r w:rsidR="005A74F8" w:rsidRPr="00895AC7">
        <w:rPr>
          <w:rFonts w:ascii="Times New Roman" w:hAnsi="Times New Roman" w:cs="Times New Roman"/>
          <w:lang w:val="it-IT"/>
        </w:rPr>
        <w:tab/>
      </w:r>
      <w:r w:rsidR="005A74F8" w:rsidRPr="00895AC7">
        <w:rPr>
          <w:rFonts w:ascii="Times New Roman" w:hAnsi="Times New Roman" w:cs="Times New Roman"/>
          <w:lang w:val="it-IT"/>
        </w:rPr>
        <w:tab/>
        <w:t>21</w:t>
      </w:r>
      <w:r w:rsidR="00522496">
        <w:rPr>
          <w:rFonts w:ascii="Times New Roman" w:hAnsi="Times New Roman" w:cs="Times New Roman"/>
          <w:lang w:val="it-IT"/>
        </w:rPr>
        <w:t> </w:t>
      </w:r>
      <w:r w:rsidR="005A74F8" w:rsidRPr="00895AC7">
        <w:rPr>
          <w:rFonts w:ascii="Times New Roman" w:hAnsi="Times New Roman" w:cs="Times New Roman"/>
          <w:lang w:val="it-IT"/>
        </w:rPr>
        <w:t>257</w:t>
      </w:r>
      <w:r w:rsidR="005A74F8" w:rsidRPr="00895AC7">
        <w:rPr>
          <w:rFonts w:ascii="Times New Roman" w:hAnsi="Times New Roman" w:cs="Times New Roman"/>
          <w:lang w:val="it-IT"/>
        </w:rPr>
        <w:tab/>
      </w:r>
      <w:r w:rsidR="005A74F8" w:rsidRPr="00895AC7">
        <w:rPr>
          <w:rFonts w:ascii="Times New Roman" w:hAnsi="Times New Roman" w:cs="Times New Roman"/>
          <w:lang w:val="it-IT"/>
        </w:rPr>
        <w:tab/>
        <w:t>21</w:t>
      </w:r>
      <w:r w:rsidR="00522496">
        <w:rPr>
          <w:rFonts w:ascii="Times New Roman" w:hAnsi="Times New Roman" w:cs="Times New Roman"/>
          <w:lang w:val="it-IT"/>
        </w:rPr>
        <w:t> </w:t>
      </w:r>
      <w:r w:rsidR="005A74F8" w:rsidRPr="00895AC7">
        <w:rPr>
          <w:rFonts w:ascii="Times New Roman" w:hAnsi="Times New Roman" w:cs="Times New Roman"/>
          <w:lang w:val="it-IT"/>
        </w:rPr>
        <w:t>682</w:t>
      </w:r>
    </w:p>
    <w:p w:rsidR="005A74F8" w:rsidRPr="00895AC7" w:rsidRDefault="0098382F" w:rsidP="0098382F">
      <w:pPr>
        <w:spacing w:after="0" w:line="280" w:lineRule="auto"/>
        <w:jc w:val="both"/>
        <w:rPr>
          <w:rFonts w:ascii="Times New Roman" w:hAnsi="Times New Roman" w:cs="Times New Roman"/>
          <w:lang w:val="it-IT"/>
        </w:rPr>
      </w:pPr>
      <w:r w:rsidRPr="0098382F">
        <w:rPr>
          <w:rFonts w:ascii="Times New Roman" w:hAnsi="Times New Roman" w:cs="Times New Roman"/>
          <w:lang w:val="fr-FR"/>
        </w:rPr>
        <w:t>Coordinateur IA</w:t>
      </w:r>
      <w:r w:rsidR="005A74F8" w:rsidRPr="00895AC7">
        <w:rPr>
          <w:rFonts w:ascii="Times New Roman" w:hAnsi="Times New Roman" w:cs="Times New Roman"/>
          <w:lang w:val="it-IT"/>
        </w:rPr>
        <w:tab/>
      </w:r>
      <w:r w:rsidR="00AD2E14" w:rsidRPr="00895AC7">
        <w:rPr>
          <w:rFonts w:ascii="Times New Roman" w:hAnsi="Times New Roman" w:cs="Times New Roman"/>
          <w:lang w:val="it-IT"/>
        </w:rPr>
        <w:tab/>
      </w:r>
      <w:r w:rsidR="005A74F8" w:rsidRPr="00895AC7">
        <w:rPr>
          <w:rFonts w:ascii="Times New Roman" w:hAnsi="Times New Roman" w:cs="Times New Roman"/>
          <w:lang w:val="it-IT"/>
        </w:rPr>
        <w:t>50</w:t>
      </w:r>
      <w:r w:rsidR="00522496">
        <w:rPr>
          <w:rFonts w:ascii="Times New Roman" w:hAnsi="Times New Roman" w:cs="Times New Roman"/>
          <w:lang w:val="it-IT"/>
        </w:rPr>
        <w:t> </w:t>
      </w:r>
      <w:r w:rsidR="005A74F8" w:rsidRPr="00895AC7">
        <w:rPr>
          <w:rFonts w:ascii="Times New Roman" w:hAnsi="Times New Roman" w:cs="Times New Roman"/>
          <w:lang w:val="it-IT"/>
        </w:rPr>
        <w:t>%</w:t>
      </w:r>
      <w:r w:rsidR="005A74F8" w:rsidRPr="00895AC7">
        <w:rPr>
          <w:rFonts w:ascii="Times New Roman" w:hAnsi="Times New Roman" w:cs="Times New Roman"/>
          <w:lang w:val="it-IT"/>
        </w:rPr>
        <w:tab/>
      </w:r>
      <w:r w:rsidR="005A74F8" w:rsidRPr="00895AC7">
        <w:rPr>
          <w:rFonts w:ascii="Times New Roman" w:hAnsi="Times New Roman" w:cs="Times New Roman"/>
          <w:lang w:val="it-IT"/>
        </w:rPr>
        <w:tab/>
      </w:r>
      <w:r w:rsidR="005A74F8" w:rsidRPr="00895AC7">
        <w:rPr>
          <w:rFonts w:ascii="Times New Roman" w:hAnsi="Times New Roman" w:cs="Times New Roman"/>
          <w:lang w:val="it-IT"/>
        </w:rPr>
        <w:tab/>
        <w:t>54</w:t>
      </w:r>
      <w:r w:rsidR="00522496">
        <w:rPr>
          <w:rFonts w:ascii="Times New Roman" w:hAnsi="Times New Roman" w:cs="Times New Roman"/>
          <w:lang w:val="it-IT"/>
        </w:rPr>
        <w:t> </w:t>
      </w:r>
      <w:r w:rsidR="005A74F8" w:rsidRPr="00895AC7">
        <w:rPr>
          <w:rFonts w:ascii="Times New Roman" w:hAnsi="Times New Roman" w:cs="Times New Roman"/>
          <w:lang w:val="it-IT"/>
        </w:rPr>
        <w:t>387</w:t>
      </w:r>
      <w:r w:rsidR="005A74F8" w:rsidRPr="00895AC7">
        <w:rPr>
          <w:rFonts w:ascii="Times New Roman" w:hAnsi="Times New Roman" w:cs="Times New Roman"/>
          <w:lang w:val="it-IT"/>
        </w:rPr>
        <w:tab/>
      </w:r>
      <w:r w:rsidR="005A74F8" w:rsidRPr="00895AC7">
        <w:rPr>
          <w:rFonts w:ascii="Times New Roman" w:hAnsi="Times New Roman" w:cs="Times New Roman"/>
          <w:lang w:val="it-IT"/>
        </w:rPr>
        <w:tab/>
      </w:r>
      <w:r w:rsidR="005A74F8" w:rsidRPr="00895AC7">
        <w:rPr>
          <w:rFonts w:ascii="Times New Roman" w:hAnsi="Times New Roman" w:cs="Times New Roman"/>
          <w:lang w:val="it-IT"/>
        </w:rPr>
        <w:tab/>
        <w:t>55</w:t>
      </w:r>
      <w:r w:rsidR="00522496">
        <w:rPr>
          <w:rFonts w:ascii="Times New Roman" w:hAnsi="Times New Roman" w:cs="Times New Roman"/>
          <w:lang w:val="it-IT"/>
        </w:rPr>
        <w:t> </w:t>
      </w:r>
      <w:r w:rsidR="005A74F8" w:rsidRPr="00895AC7">
        <w:rPr>
          <w:rFonts w:ascii="Times New Roman" w:hAnsi="Times New Roman" w:cs="Times New Roman"/>
          <w:lang w:val="it-IT"/>
        </w:rPr>
        <w:t>475</w:t>
      </w:r>
      <w:r w:rsidR="005A74F8" w:rsidRPr="00895AC7">
        <w:rPr>
          <w:rFonts w:ascii="Times New Roman" w:hAnsi="Times New Roman" w:cs="Times New Roman"/>
          <w:lang w:val="it-IT"/>
        </w:rPr>
        <w:tab/>
      </w:r>
      <w:r w:rsidR="005A74F8" w:rsidRPr="00895AC7">
        <w:rPr>
          <w:rFonts w:ascii="Times New Roman" w:hAnsi="Times New Roman" w:cs="Times New Roman"/>
          <w:lang w:val="it-IT"/>
        </w:rPr>
        <w:tab/>
        <w:t>56</w:t>
      </w:r>
      <w:r w:rsidR="00522496">
        <w:rPr>
          <w:rFonts w:ascii="Times New Roman" w:hAnsi="Times New Roman" w:cs="Times New Roman"/>
          <w:lang w:val="it-IT"/>
        </w:rPr>
        <w:t> </w:t>
      </w:r>
      <w:r w:rsidR="005A74F8" w:rsidRPr="00895AC7">
        <w:rPr>
          <w:rFonts w:ascii="Times New Roman" w:hAnsi="Times New Roman" w:cs="Times New Roman"/>
          <w:lang w:val="it-IT"/>
        </w:rPr>
        <w:t>585</w:t>
      </w:r>
    </w:p>
    <w:p w:rsidR="005A74F8" w:rsidRPr="00895AC7" w:rsidRDefault="005A74F8" w:rsidP="00AE26E0">
      <w:pPr>
        <w:spacing w:after="0" w:line="276" w:lineRule="auto"/>
        <w:jc w:val="both"/>
        <w:rPr>
          <w:rFonts w:ascii="Times New Roman" w:hAnsi="Times New Roman" w:cs="Times New Roman"/>
          <w:b/>
          <w:lang w:val="it-IT"/>
        </w:rPr>
      </w:pPr>
    </w:p>
    <w:p w:rsidR="00E71928" w:rsidRPr="00605B50" w:rsidRDefault="0098382F" w:rsidP="0098382F">
      <w:pPr>
        <w:spacing w:after="0" w:line="280" w:lineRule="auto"/>
        <w:jc w:val="both"/>
        <w:rPr>
          <w:rFonts w:ascii="Times New Roman" w:hAnsi="Times New Roman" w:cs="Times New Roman"/>
          <w:u w:val="single"/>
          <w:lang w:val="fr-FR"/>
        </w:rPr>
      </w:pPr>
      <w:r w:rsidRPr="00522496">
        <w:rPr>
          <w:rFonts w:ascii="Times New Roman" w:hAnsi="Times New Roman" w:cs="Times New Roman"/>
          <w:u w:val="single"/>
          <w:lang w:val="fr-FR"/>
        </w:rPr>
        <w:t>Revalorisation</w:t>
      </w:r>
      <w:r w:rsidRPr="0098382F">
        <w:rPr>
          <w:rFonts w:ascii="Times New Roman" w:hAnsi="Times New Roman" w:cs="Times New Roman"/>
          <w:u w:val="single"/>
          <w:lang w:val="fr-FR"/>
        </w:rPr>
        <w:t xml:space="preserve"> des postes de catégorie P</w:t>
      </w:r>
    </w:p>
    <w:p w:rsidR="006A1824" w:rsidRPr="00605B50" w:rsidRDefault="0098382F" w:rsidP="0098382F">
      <w:pPr>
        <w:spacing w:after="0" w:line="280" w:lineRule="auto"/>
        <w:jc w:val="both"/>
        <w:rPr>
          <w:rFonts w:ascii="Times New Roman" w:hAnsi="Times New Roman" w:cs="Times New Roman"/>
          <w:lang w:val="fr-FR"/>
        </w:rPr>
      </w:pPr>
      <w:r w:rsidRPr="0098382F">
        <w:rPr>
          <w:rFonts w:ascii="Times New Roman" w:hAnsi="Times New Roman" w:cs="Times New Roman"/>
          <w:lang w:val="fr-FR"/>
        </w:rPr>
        <w:t xml:space="preserve">Conformément à la </w:t>
      </w:r>
      <w:hyperlink r:id="rId12" w:history="1">
        <w:r w:rsidRPr="0098382F">
          <w:rPr>
            <w:rStyle w:val="Hyperlink"/>
            <w:rFonts w:ascii="Times New Roman" w:hAnsi="Times New Roman" w:cs="Times New Roman"/>
            <w:lang w:val="fr-FR"/>
          </w:rPr>
          <w:t>Résolution 6.18</w:t>
        </w:r>
      </w:hyperlink>
      <w:r w:rsidRPr="0098382F">
        <w:rPr>
          <w:rFonts w:ascii="Times New Roman" w:hAnsi="Times New Roman" w:cs="Times New Roman"/>
          <w:lang w:val="fr-FR"/>
        </w:rPr>
        <w:t>, chacun des trois postes de la catégorie</w:t>
      </w:r>
      <w:r w:rsidR="00B06B07">
        <w:rPr>
          <w:rFonts w:ascii="Times New Roman" w:hAnsi="Times New Roman" w:cs="Times New Roman"/>
          <w:lang w:val="fr-FR"/>
        </w:rPr>
        <w:t xml:space="preserve"> </w:t>
      </w:r>
      <w:r w:rsidRPr="0098382F">
        <w:rPr>
          <w:rFonts w:ascii="Times New Roman" w:hAnsi="Times New Roman" w:cs="Times New Roman"/>
          <w:lang w:val="fr-FR"/>
        </w:rPr>
        <w:t>G-4 ont été reclassés, dev</w:t>
      </w:r>
      <w:r w:rsidR="006858BC">
        <w:rPr>
          <w:rFonts w:ascii="Times New Roman" w:hAnsi="Times New Roman" w:cs="Times New Roman"/>
          <w:lang w:val="fr-FR"/>
        </w:rPr>
        <w:t>en</w:t>
      </w:r>
      <w:r w:rsidRPr="0098382F">
        <w:rPr>
          <w:rFonts w:ascii="Times New Roman" w:hAnsi="Times New Roman" w:cs="Times New Roman"/>
          <w:lang w:val="fr-FR"/>
        </w:rPr>
        <w:t>ant G-5 en 2017. Toutefois tous les postes professionnels au sein du Secrétariat couvrent toujours des fonctions et des responsabilités se situant bien au-delà de celles prévu</w:t>
      </w:r>
      <w:r w:rsidR="006858BC">
        <w:rPr>
          <w:rFonts w:ascii="Times New Roman" w:hAnsi="Times New Roman" w:cs="Times New Roman"/>
          <w:lang w:val="fr-FR"/>
        </w:rPr>
        <w:t>e</w:t>
      </w:r>
      <w:r w:rsidRPr="0098382F">
        <w:rPr>
          <w:rFonts w:ascii="Times New Roman" w:hAnsi="Times New Roman" w:cs="Times New Roman"/>
          <w:lang w:val="fr-FR"/>
        </w:rPr>
        <w:t>s pour le niveau de ces postes.</w:t>
      </w:r>
      <w:r w:rsidR="0048519D" w:rsidRPr="00605B50">
        <w:rPr>
          <w:rFonts w:ascii="Times New Roman" w:hAnsi="Times New Roman" w:cs="Times New Roman"/>
          <w:lang w:val="fr-FR"/>
        </w:rPr>
        <w:t xml:space="preserve"> </w:t>
      </w:r>
      <w:r w:rsidRPr="0098382F">
        <w:rPr>
          <w:rFonts w:ascii="Times New Roman" w:hAnsi="Times New Roman" w:cs="Times New Roman"/>
          <w:lang w:val="fr-FR"/>
        </w:rPr>
        <w:t>Ce point a été confirmé par l</w:t>
      </w:r>
      <w:r w:rsidR="00B06B07">
        <w:rPr>
          <w:rFonts w:ascii="Times New Roman" w:hAnsi="Times New Roman" w:cs="Times New Roman"/>
          <w:lang w:val="fr-FR"/>
        </w:rPr>
        <w:t>’</w:t>
      </w:r>
      <w:r w:rsidRPr="0098382F">
        <w:rPr>
          <w:rFonts w:ascii="Times New Roman" w:hAnsi="Times New Roman" w:cs="Times New Roman"/>
          <w:lang w:val="fr-FR"/>
        </w:rPr>
        <w:t>évaluation de</w:t>
      </w:r>
      <w:r w:rsidR="009323C8">
        <w:rPr>
          <w:rFonts w:ascii="Times New Roman" w:hAnsi="Times New Roman" w:cs="Times New Roman"/>
          <w:lang w:val="fr-FR"/>
        </w:rPr>
        <w:t>s reclassements</w:t>
      </w:r>
      <w:r w:rsidRPr="0098382F">
        <w:rPr>
          <w:rFonts w:ascii="Times New Roman" w:hAnsi="Times New Roman" w:cs="Times New Roman"/>
          <w:lang w:val="fr-FR"/>
        </w:rPr>
        <w:t xml:space="preserve"> entreprise par le Secrétariat PNUE/CMS en octobre 2016, qui a été étendu au Secrétariat PNUE/AEWA par le biais d</w:t>
      </w:r>
      <w:r w:rsidR="00B06B07">
        <w:rPr>
          <w:rFonts w:ascii="Times New Roman" w:hAnsi="Times New Roman" w:cs="Times New Roman"/>
          <w:lang w:val="fr-FR"/>
        </w:rPr>
        <w:t>’</w:t>
      </w:r>
      <w:r w:rsidRPr="0098382F">
        <w:rPr>
          <w:rFonts w:ascii="Times New Roman" w:hAnsi="Times New Roman" w:cs="Times New Roman"/>
          <w:lang w:val="fr-FR"/>
        </w:rPr>
        <w:t xml:space="preserve">un mandat du Comité permanent </w:t>
      </w:r>
      <w:r w:rsidR="003D766F">
        <w:rPr>
          <w:rFonts w:ascii="Times New Roman" w:hAnsi="Times New Roman" w:cs="Times New Roman"/>
          <w:lang w:val="fr-FR"/>
        </w:rPr>
        <w:t xml:space="preserve">de l’AEWA </w:t>
      </w:r>
      <w:r w:rsidRPr="0098382F">
        <w:rPr>
          <w:rFonts w:ascii="Times New Roman" w:hAnsi="Times New Roman" w:cs="Times New Roman"/>
          <w:lang w:val="fr-FR"/>
        </w:rPr>
        <w:t>(</w:t>
      </w:r>
      <w:r w:rsidR="003D766F">
        <w:rPr>
          <w:rFonts w:ascii="Times New Roman" w:hAnsi="Times New Roman" w:cs="Times New Roman"/>
          <w:lang w:val="fr-FR"/>
        </w:rPr>
        <w:t>fourni</w:t>
      </w:r>
      <w:r w:rsidRPr="0098382F">
        <w:rPr>
          <w:rFonts w:ascii="Times New Roman" w:hAnsi="Times New Roman" w:cs="Times New Roman"/>
          <w:lang w:val="fr-FR"/>
        </w:rPr>
        <w:t xml:space="preserve"> au Comité permanent par une correspondance datée du 29 septembre 2016). L</w:t>
      </w:r>
      <w:r w:rsidR="00B06B07">
        <w:rPr>
          <w:rFonts w:ascii="Times New Roman" w:hAnsi="Times New Roman" w:cs="Times New Roman"/>
          <w:lang w:val="fr-FR"/>
        </w:rPr>
        <w:t>’</w:t>
      </w:r>
      <w:r w:rsidRPr="0098382F">
        <w:rPr>
          <w:rFonts w:ascii="Times New Roman" w:hAnsi="Times New Roman" w:cs="Times New Roman"/>
          <w:lang w:val="fr-FR"/>
        </w:rPr>
        <w:t xml:space="preserve">évaluation et le rapport ont été préparés et </w:t>
      </w:r>
      <w:r w:rsidR="003D766F">
        <w:rPr>
          <w:rFonts w:ascii="Times New Roman" w:hAnsi="Times New Roman" w:cs="Times New Roman"/>
          <w:lang w:val="fr-FR"/>
        </w:rPr>
        <w:t xml:space="preserve">produits </w:t>
      </w:r>
      <w:r w:rsidRPr="0098382F">
        <w:rPr>
          <w:rFonts w:ascii="Times New Roman" w:hAnsi="Times New Roman" w:cs="Times New Roman"/>
          <w:lang w:val="fr-FR"/>
        </w:rPr>
        <w:t>par un consultant indépendant recommandant que tous les postes de la catégorie P au sein du Secrétariat PNUE/AEWA soient revalorisé</w:t>
      </w:r>
      <w:r w:rsidR="009323C8">
        <w:rPr>
          <w:rFonts w:ascii="Times New Roman" w:hAnsi="Times New Roman" w:cs="Times New Roman"/>
          <w:lang w:val="fr-FR"/>
        </w:rPr>
        <w:t>s</w:t>
      </w:r>
      <w:r w:rsidRPr="0098382F">
        <w:rPr>
          <w:rFonts w:ascii="Times New Roman" w:hAnsi="Times New Roman" w:cs="Times New Roman"/>
          <w:lang w:val="fr-FR"/>
        </w:rPr>
        <w:t xml:space="preserve"> afin de </w:t>
      </w:r>
      <w:r w:rsidR="006858BC">
        <w:rPr>
          <w:rFonts w:ascii="Times New Roman" w:hAnsi="Times New Roman" w:cs="Times New Roman"/>
          <w:lang w:val="fr-FR"/>
        </w:rPr>
        <w:t>se conformer au</w:t>
      </w:r>
      <w:r w:rsidRPr="0098382F">
        <w:rPr>
          <w:rFonts w:ascii="Times New Roman" w:hAnsi="Times New Roman" w:cs="Times New Roman"/>
          <w:lang w:val="fr-FR"/>
        </w:rPr>
        <w:t xml:space="preserve"> Statut et </w:t>
      </w:r>
      <w:r w:rsidR="006858BC">
        <w:rPr>
          <w:rFonts w:ascii="Times New Roman" w:hAnsi="Times New Roman" w:cs="Times New Roman"/>
          <w:lang w:val="fr-FR"/>
        </w:rPr>
        <w:t>au</w:t>
      </w:r>
      <w:r w:rsidRPr="0098382F">
        <w:rPr>
          <w:rFonts w:ascii="Times New Roman" w:hAnsi="Times New Roman" w:cs="Times New Roman"/>
          <w:lang w:val="fr-FR"/>
        </w:rPr>
        <w:t xml:space="preserve"> Règlement du personnel de l</w:t>
      </w:r>
      <w:r w:rsidR="00B06B07">
        <w:rPr>
          <w:rFonts w:ascii="Times New Roman" w:hAnsi="Times New Roman" w:cs="Times New Roman"/>
          <w:lang w:val="fr-FR"/>
        </w:rPr>
        <w:t>’</w:t>
      </w:r>
      <w:r w:rsidRPr="0098382F">
        <w:rPr>
          <w:rFonts w:ascii="Times New Roman" w:hAnsi="Times New Roman" w:cs="Times New Roman"/>
          <w:lang w:val="fr-FR"/>
        </w:rPr>
        <w:t>ONU.</w:t>
      </w:r>
      <w:r w:rsidR="00582208" w:rsidRPr="00605B50">
        <w:rPr>
          <w:rFonts w:ascii="Times New Roman" w:hAnsi="Times New Roman" w:cs="Times New Roman"/>
          <w:lang w:val="fr-FR"/>
        </w:rPr>
        <w:t xml:space="preserve"> </w:t>
      </w:r>
      <w:r w:rsidRPr="0098382F">
        <w:rPr>
          <w:rFonts w:ascii="Times New Roman" w:hAnsi="Times New Roman" w:cs="Times New Roman"/>
          <w:lang w:val="fr-FR"/>
        </w:rPr>
        <w:t>Le rapport [AEWA Inf. doc XX] représente une évaluation indépendante valable de tous les postes du Secrétariat, notamment dans le cadre du groupe de travail sur les questions financières et administratives.</w:t>
      </w:r>
      <w:r w:rsidR="00E71928" w:rsidRPr="00605B50">
        <w:rPr>
          <w:rFonts w:ascii="Times New Roman" w:hAnsi="Times New Roman" w:cs="Times New Roman"/>
          <w:lang w:val="fr-FR"/>
        </w:rPr>
        <w:t xml:space="preserve"> </w:t>
      </w:r>
    </w:p>
    <w:p w:rsidR="006A1824" w:rsidRPr="00605B50" w:rsidRDefault="006A1824" w:rsidP="00AE26E0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:rsidR="00E71928" w:rsidRPr="00605B50" w:rsidRDefault="0098382F" w:rsidP="0098382F">
      <w:pPr>
        <w:spacing w:after="0" w:line="280" w:lineRule="auto"/>
        <w:jc w:val="both"/>
        <w:rPr>
          <w:rFonts w:ascii="Times New Roman" w:hAnsi="Times New Roman" w:cs="Times New Roman"/>
          <w:lang w:val="fr-FR"/>
        </w:rPr>
      </w:pPr>
      <w:r w:rsidRPr="0098382F">
        <w:rPr>
          <w:rFonts w:ascii="Times New Roman" w:hAnsi="Times New Roman" w:cs="Times New Roman"/>
          <w:lang w:val="fr-FR"/>
        </w:rPr>
        <w:t>Le consultant a examiné toutes les fonctions à l</w:t>
      </w:r>
      <w:r w:rsidR="00B06B07">
        <w:rPr>
          <w:rFonts w:ascii="Times New Roman" w:hAnsi="Times New Roman" w:cs="Times New Roman"/>
          <w:lang w:val="fr-FR"/>
        </w:rPr>
        <w:t>’</w:t>
      </w:r>
      <w:r w:rsidRPr="0098382F">
        <w:rPr>
          <w:rFonts w:ascii="Times New Roman" w:hAnsi="Times New Roman" w:cs="Times New Roman"/>
          <w:lang w:val="fr-FR"/>
        </w:rPr>
        <w:t>exception des trois postes G-4 mentionnés ci-dessus, ainsi que le poste de Secrétaire exécutif, déjà reclassé au niveau P-5 par l</w:t>
      </w:r>
      <w:r w:rsidR="00B06B07">
        <w:rPr>
          <w:rFonts w:ascii="Times New Roman" w:hAnsi="Times New Roman" w:cs="Times New Roman"/>
          <w:lang w:val="fr-FR"/>
        </w:rPr>
        <w:t>’</w:t>
      </w:r>
      <w:r w:rsidRPr="0098382F">
        <w:rPr>
          <w:rFonts w:ascii="Times New Roman" w:hAnsi="Times New Roman" w:cs="Times New Roman"/>
          <w:lang w:val="fr-FR"/>
        </w:rPr>
        <w:t>UNON en 2012, mais maintenu au niveau P-4 par la MOP5 du fait des contraintes financières.</w:t>
      </w:r>
      <w:r w:rsidR="00E71928" w:rsidRPr="00605B50">
        <w:rPr>
          <w:rFonts w:ascii="Times New Roman" w:hAnsi="Times New Roman" w:cs="Times New Roman"/>
          <w:lang w:val="fr-FR"/>
        </w:rPr>
        <w:t xml:space="preserve"> </w:t>
      </w:r>
    </w:p>
    <w:p w:rsidR="006A1824" w:rsidRPr="00605B50" w:rsidRDefault="006A1824" w:rsidP="00AE26E0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:rsidR="00B52F59" w:rsidRPr="00605B50" w:rsidRDefault="0098382F" w:rsidP="009323C8">
      <w:pPr>
        <w:spacing w:after="0" w:line="280" w:lineRule="auto"/>
        <w:jc w:val="both"/>
        <w:rPr>
          <w:rFonts w:ascii="Times New Roman" w:hAnsi="Times New Roman" w:cs="Times New Roman"/>
          <w:lang w:val="fr-FR"/>
        </w:rPr>
      </w:pPr>
      <w:r w:rsidRPr="009323C8">
        <w:rPr>
          <w:rFonts w:ascii="Times New Roman" w:hAnsi="Times New Roman" w:cs="Times New Roman"/>
          <w:lang w:val="fr-FR"/>
        </w:rPr>
        <w:t>Pour suivre les recommandations de l</w:t>
      </w:r>
      <w:r w:rsidR="00B06B07">
        <w:rPr>
          <w:rFonts w:ascii="Times New Roman" w:hAnsi="Times New Roman" w:cs="Times New Roman"/>
          <w:lang w:val="fr-FR"/>
        </w:rPr>
        <w:t>’</w:t>
      </w:r>
      <w:r w:rsidRPr="009323C8">
        <w:rPr>
          <w:rFonts w:ascii="Times New Roman" w:hAnsi="Times New Roman" w:cs="Times New Roman"/>
          <w:lang w:val="fr-FR"/>
        </w:rPr>
        <w:t>évaluation de</w:t>
      </w:r>
      <w:r w:rsidR="009323C8" w:rsidRPr="009323C8">
        <w:rPr>
          <w:rFonts w:ascii="Times New Roman" w:hAnsi="Times New Roman" w:cs="Times New Roman"/>
          <w:lang w:val="fr-FR"/>
        </w:rPr>
        <w:t>s</w:t>
      </w:r>
      <w:r w:rsidRPr="009323C8">
        <w:rPr>
          <w:rFonts w:ascii="Times New Roman" w:hAnsi="Times New Roman" w:cs="Times New Roman"/>
          <w:lang w:val="fr-FR"/>
        </w:rPr>
        <w:t xml:space="preserve"> </w:t>
      </w:r>
      <w:r w:rsidR="009323C8" w:rsidRPr="009323C8">
        <w:rPr>
          <w:rFonts w:ascii="Times New Roman" w:hAnsi="Times New Roman" w:cs="Times New Roman"/>
          <w:lang w:val="fr-FR"/>
        </w:rPr>
        <w:t>reclassements</w:t>
      </w:r>
      <w:r w:rsidRPr="009323C8">
        <w:rPr>
          <w:rFonts w:ascii="Times New Roman" w:hAnsi="Times New Roman" w:cs="Times New Roman"/>
          <w:lang w:val="fr-FR"/>
        </w:rPr>
        <w:t xml:space="preserve">, le </w:t>
      </w:r>
      <w:r w:rsidR="009323C8" w:rsidRPr="009323C8">
        <w:rPr>
          <w:rFonts w:ascii="Times New Roman" w:hAnsi="Times New Roman" w:cs="Times New Roman"/>
          <w:lang w:val="fr-FR"/>
        </w:rPr>
        <w:t>S</w:t>
      </w:r>
      <w:r w:rsidRPr="009323C8">
        <w:rPr>
          <w:rFonts w:ascii="Times New Roman" w:hAnsi="Times New Roman" w:cs="Times New Roman"/>
          <w:lang w:val="fr-FR"/>
        </w:rPr>
        <w:t xml:space="preserve">ecrétariat a élaboré une proposition qui inclut </w:t>
      </w:r>
      <w:r w:rsidR="009323C8" w:rsidRPr="009323C8">
        <w:rPr>
          <w:rFonts w:ascii="Times New Roman" w:hAnsi="Times New Roman" w:cs="Times New Roman"/>
          <w:lang w:val="fr-FR"/>
        </w:rPr>
        <w:t>le reclassement de trois fonctions titulaires de niveau</w:t>
      </w:r>
      <w:r w:rsidR="00B06B07">
        <w:rPr>
          <w:rFonts w:ascii="Times New Roman" w:hAnsi="Times New Roman" w:cs="Times New Roman"/>
          <w:lang w:val="fr-FR"/>
        </w:rPr>
        <w:t xml:space="preserve"> </w:t>
      </w:r>
      <w:r w:rsidRPr="009323C8">
        <w:rPr>
          <w:rFonts w:ascii="Times New Roman" w:hAnsi="Times New Roman" w:cs="Times New Roman"/>
          <w:lang w:val="fr-FR"/>
        </w:rPr>
        <w:t xml:space="preserve">P (scénario 4). La </w:t>
      </w:r>
      <w:r w:rsidR="009323C8" w:rsidRPr="009323C8">
        <w:rPr>
          <w:rFonts w:ascii="Times New Roman" w:hAnsi="Times New Roman" w:cs="Times New Roman"/>
          <w:lang w:val="fr-FR"/>
        </w:rPr>
        <w:t xml:space="preserve">revalorisation </w:t>
      </w:r>
      <w:r w:rsidRPr="009323C8">
        <w:rPr>
          <w:rFonts w:ascii="Times New Roman" w:hAnsi="Times New Roman" w:cs="Times New Roman"/>
          <w:lang w:val="fr-FR"/>
        </w:rPr>
        <w:t xml:space="preserve">de la </w:t>
      </w:r>
      <w:r w:rsidR="009323C8" w:rsidRPr="009323C8">
        <w:rPr>
          <w:rFonts w:ascii="Times New Roman" w:hAnsi="Times New Roman" w:cs="Times New Roman"/>
          <w:lang w:val="fr-FR"/>
        </w:rPr>
        <w:t>fonction de l</w:t>
      </w:r>
      <w:r w:rsidR="00B06B07">
        <w:rPr>
          <w:rFonts w:ascii="Times New Roman" w:hAnsi="Times New Roman" w:cs="Times New Roman"/>
          <w:lang w:val="fr-FR"/>
        </w:rPr>
        <w:t>’</w:t>
      </w:r>
      <w:r w:rsidR="009323C8" w:rsidRPr="009323C8">
        <w:rPr>
          <w:rFonts w:ascii="Times New Roman" w:hAnsi="Times New Roman" w:cs="Times New Roman"/>
          <w:lang w:val="fr-FR"/>
        </w:rPr>
        <w:t>Administrateur chargé de l</w:t>
      </w:r>
      <w:r w:rsidR="00B06B07">
        <w:rPr>
          <w:rFonts w:ascii="Times New Roman" w:hAnsi="Times New Roman" w:cs="Times New Roman"/>
          <w:lang w:val="fr-FR"/>
        </w:rPr>
        <w:t>’</w:t>
      </w:r>
      <w:r w:rsidR="009323C8" w:rsidRPr="009323C8">
        <w:rPr>
          <w:rFonts w:ascii="Times New Roman" w:hAnsi="Times New Roman" w:cs="Times New Roman"/>
          <w:lang w:val="fr-FR"/>
        </w:rPr>
        <w:t>information</w:t>
      </w:r>
      <w:r w:rsidRPr="009323C8">
        <w:rPr>
          <w:rFonts w:ascii="Times New Roman" w:hAnsi="Times New Roman" w:cs="Times New Roman"/>
          <w:lang w:val="fr-FR"/>
        </w:rPr>
        <w:t xml:space="preserve"> </w:t>
      </w:r>
      <w:r w:rsidR="009323C8" w:rsidRPr="009323C8">
        <w:rPr>
          <w:rFonts w:ascii="Times New Roman" w:hAnsi="Times New Roman" w:cs="Times New Roman"/>
          <w:lang w:val="fr-FR"/>
        </w:rPr>
        <w:t>pour passer du niveau</w:t>
      </w:r>
      <w:r w:rsidRPr="009323C8">
        <w:rPr>
          <w:rFonts w:ascii="Times New Roman" w:hAnsi="Times New Roman" w:cs="Times New Roman"/>
          <w:lang w:val="fr-FR"/>
        </w:rPr>
        <w:t xml:space="preserve"> P-2 </w:t>
      </w:r>
      <w:r w:rsidR="009323C8" w:rsidRPr="009323C8">
        <w:rPr>
          <w:rFonts w:ascii="Times New Roman" w:hAnsi="Times New Roman" w:cs="Times New Roman"/>
          <w:lang w:val="fr-FR"/>
        </w:rPr>
        <w:t xml:space="preserve">à </w:t>
      </w:r>
      <w:r w:rsidRPr="009323C8">
        <w:rPr>
          <w:rFonts w:ascii="Times New Roman" w:hAnsi="Times New Roman" w:cs="Times New Roman"/>
          <w:lang w:val="fr-FR"/>
        </w:rPr>
        <w:t xml:space="preserve">P-3 sera discutée avec le </w:t>
      </w:r>
      <w:r w:rsidR="009323C8" w:rsidRPr="009323C8">
        <w:rPr>
          <w:rFonts w:ascii="Times New Roman" w:hAnsi="Times New Roman" w:cs="Times New Roman"/>
          <w:lang w:val="fr-FR"/>
        </w:rPr>
        <w:t>S</w:t>
      </w:r>
      <w:r w:rsidRPr="009323C8">
        <w:rPr>
          <w:rFonts w:ascii="Times New Roman" w:hAnsi="Times New Roman" w:cs="Times New Roman"/>
          <w:lang w:val="fr-FR"/>
        </w:rPr>
        <w:t xml:space="preserve">ecrétariat </w:t>
      </w:r>
      <w:r w:rsidR="009323C8" w:rsidRPr="009323C8">
        <w:rPr>
          <w:rFonts w:ascii="Times New Roman" w:hAnsi="Times New Roman" w:cs="Times New Roman"/>
          <w:lang w:val="fr-FR"/>
        </w:rPr>
        <w:t>PNUE</w:t>
      </w:r>
      <w:r w:rsidRPr="009323C8">
        <w:rPr>
          <w:rFonts w:ascii="Times New Roman" w:hAnsi="Times New Roman" w:cs="Times New Roman"/>
          <w:lang w:val="fr-FR"/>
        </w:rPr>
        <w:t>/CMS, dans le cadre de l</w:t>
      </w:r>
      <w:r w:rsidR="00B06B07">
        <w:rPr>
          <w:rFonts w:ascii="Times New Roman" w:hAnsi="Times New Roman" w:cs="Times New Roman"/>
          <w:lang w:val="fr-FR"/>
        </w:rPr>
        <w:t>’</w:t>
      </w:r>
      <w:r w:rsidRPr="009323C8">
        <w:rPr>
          <w:rFonts w:ascii="Times New Roman" w:hAnsi="Times New Roman" w:cs="Times New Roman"/>
          <w:lang w:val="fr-FR"/>
        </w:rPr>
        <w:t xml:space="preserve">unité </w:t>
      </w:r>
      <w:r w:rsidR="009323C8" w:rsidRPr="009323C8">
        <w:rPr>
          <w:rFonts w:ascii="Times New Roman" w:hAnsi="Times New Roman" w:cs="Times New Roman"/>
          <w:lang w:val="fr-FR"/>
        </w:rPr>
        <w:t xml:space="preserve">commune </w:t>
      </w:r>
      <w:r w:rsidR="006858BC">
        <w:rPr>
          <w:rFonts w:ascii="Times New Roman" w:hAnsi="Times New Roman" w:cs="Times New Roman"/>
          <w:lang w:val="fr-FR"/>
        </w:rPr>
        <w:t>chargée de la gestion de l</w:t>
      </w:r>
      <w:r w:rsidR="00B06B07">
        <w:rPr>
          <w:rFonts w:ascii="Times New Roman" w:hAnsi="Times New Roman" w:cs="Times New Roman"/>
          <w:lang w:val="fr-FR"/>
        </w:rPr>
        <w:t>’</w:t>
      </w:r>
      <w:r w:rsidRPr="009323C8">
        <w:rPr>
          <w:rFonts w:ascii="Times New Roman" w:hAnsi="Times New Roman" w:cs="Times New Roman"/>
          <w:lang w:val="fr-FR"/>
        </w:rPr>
        <w:t>information (IMCA).</w:t>
      </w:r>
      <w:r w:rsidR="004D7342" w:rsidRPr="00605B50">
        <w:rPr>
          <w:rFonts w:ascii="Times New Roman" w:hAnsi="Times New Roman" w:cs="Times New Roman"/>
          <w:lang w:val="fr-FR"/>
        </w:rPr>
        <w:t xml:space="preserve"> </w:t>
      </w:r>
    </w:p>
    <w:p w:rsidR="006A1824" w:rsidRPr="00605B50" w:rsidRDefault="006A1824" w:rsidP="00AE26E0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:rsidR="00E933E6" w:rsidRPr="00605B50" w:rsidRDefault="009323C8" w:rsidP="00CA7B0C">
      <w:pPr>
        <w:spacing w:after="0" w:line="280" w:lineRule="auto"/>
        <w:jc w:val="both"/>
        <w:rPr>
          <w:rFonts w:ascii="Times New Roman" w:hAnsi="Times New Roman" w:cs="Times New Roman"/>
          <w:lang w:val="fr-FR"/>
        </w:rPr>
      </w:pPr>
      <w:r w:rsidRPr="009323C8">
        <w:rPr>
          <w:rFonts w:ascii="Times New Roman" w:hAnsi="Times New Roman" w:cs="Times New Roman"/>
          <w:lang w:val="fr-FR"/>
        </w:rPr>
        <w:t xml:space="preserve">Le Secrétariat se rend compte que le reclassement de tous </w:t>
      </w:r>
      <w:r w:rsidR="006858BC">
        <w:rPr>
          <w:rFonts w:ascii="Times New Roman" w:hAnsi="Times New Roman" w:cs="Times New Roman"/>
          <w:lang w:val="fr-FR"/>
        </w:rPr>
        <w:t xml:space="preserve">les </w:t>
      </w:r>
      <w:r w:rsidRPr="009323C8">
        <w:rPr>
          <w:rFonts w:ascii="Times New Roman" w:hAnsi="Times New Roman" w:cs="Times New Roman"/>
          <w:lang w:val="fr-FR"/>
        </w:rPr>
        <w:t>membres du personnel de la catégorie P entraîne une augmentation élevée du budget.</w:t>
      </w:r>
      <w:r w:rsidR="00BA1EFB" w:rsidRPr="00605B50">
        <w:rPr>
          <w:rFonts w:ascii="Times New Roman" w:hAnsi="Times New Roman" w:cs="Times New Roman"/>
          <w:lang w:val="fr-FR"/>
        </w:rPr>
        <w:t xml:space="preserve"> </w:t>
      </w:r>
      <w:r w:rsidRPr="009323C8">
        <w:rPr>
          <w:rFonts w:ascii="Times New Roman" w:hAnsi="Times New Roman" w:cs="Times New Roman"/>
          <w:lang w:val="fr-FR"/>
        </w:rPr>
        <w:t>Il a donc été décidé de proposer le poste de Coordinateur de l</w:t>
      </w:r>
      <w:r w:rsidR="00B06B07">
        <w:rPr>
          <w:rFonts w:ascii="Times New Roman" w:hAnsi="Times New Roman" w:cs="Times New Roman"/>
          <w:lang w:val="fr-FR"/>
        </w:rPr>
        <w:t>’</w:t>
      </w:r>
      <w:r w:rsidRPr="009323C8">
        <w:rPr>
          <w:rFonts w:ascii="Times New Roman" w:hAnsi="Times New Roman" w:cs="Times New Roman"/>
          <w:lang w:val="fr-FR"/>
        </w:rPr>
        <w:t>Initiative africaine en vue d</w:t>
      </w:r>
      <w:r w:rsidR="00B06B07">
        <w:rPr>
          <w:rFonts w:ascii="Times New Roman" w:hAnsi="Times New Roman" w:cs="Times New Roman"/>
          <w:lang w:val="fr-FR"/>
        </w:rPr>
        <w:t>’</w:t>
      </w:r>
      <w:r w:rsidRPr="009323C8">
        <w:rPr>
          <w:rFonts w:ascii="Times New Roman" w:hAnsi="Times New Roman" w:cs="Times New Roman"/>
          <w:lang w:val="fr-FR"/>
        </w:rPr>
        <w:t>un reclas</w:t>
      </w:r>
      <w:r w:rsidR="00F811E2">
        <w:rPr>
          <w:rFonts w:ascii="Times New Roman" w:hAnsi="Times New Roman" w:cs="Times New Roman"/>
          <w:lang w:val="fr-FR"/>
        </w:rPr>
        <w:t>sement seulement lors de la MOP</w:t>
      </w:r>
      <w:r w:rsidRPr="009323C8">
        <w:rPr>
          <w:rFonts w:ascii="Times New Roman" w:hAnsi="Times New Roman" w:cs="Times New Roman"/>
          <w:lang w:val="fr-FR"/>
        </w:rPr>
        <w:t>8, du fait que ce poste fait déjà l</w:t>
      </w:r>
      <w:r w:rsidR="00B06B07">
        <w:rPr>
          <w:rFonts w:ascii="Times New Roman" w:hAnsi="Times New Roman" w:cs="Times New Roman"/>
          <w:lang w:val="fr-FR"/>
        </w:rPr>
        <w:t>’</w:t>
      </w:r>
      <w:r w:rsidRPr="009323C8">
        <w:rPr>
          <w:rFonts w:ascii="Times New Roman" w:hAnsi="Times New Roman" w:cs="Times New Roman"/>
          <w:lang w:val="fr-FR"/>
        </w:rPr>
        <w:t>objet d</w:t>
      </w:r>
      <w:r w:rsidR="00B06B07">
        <w:rPr>
          <w:rFonts w:ascii="Times New Roman" w:hAnsi="Times New Roman" w:cs="Times New Roman"/>
          <w:lang w:val="fr-FR"/>
        </w:rPr>
        <w:t>’</w:t>
      </w:r>
      <w:r w:rsidRPr="009323C8">
        <w:rPr>
          <w:rFonts w:ascii="Times New Roman" w:hAnsi="Times New Roman" w:cs="Times New Roman"/>
          <w:lang w:val="fr-FR"/>
        </w:rPr>
        <w:t>une proposition pour passer à un temps de travail de</w:t>
      </w:r>
      <w:r w:rsidR="00B06B07">
        <w:rPr>
          <w:rFonts w:ascii="Times New Roman" w:hAnsi="Times New Roman" w:cs="Times New Roman"/>
          <w:lang w:val="fr-FR"/>
        </w:rPr>
        <w:t xml:space="preserve"> </w:t>
      </w:r>
      <w:r w:rsidRPr="009323C8">
        <w:rPr>
          <w:rFonts w:ascii="Times New Roman" w:hAnsi="Times New Roman" w:cs="Times New Roman"/>
          <w:lang w:val="fr-FR"/>
        </w:rPr>
        <w:t>50 %</w:t>
      </w:r>
      <w:r w:rsidR="00B06B07">
        <w:rPr>
          <w:rFonts w:ascii="Times New Roman" w:hAnsi="Times New Roman" w:cs="Times New Roman"/>
          <w:lang w:val="fr-FR"/>
        </w:rPr>
        <w:t xml:space="preserve"> </w:t>
      </w:r>
      <w:r w:rsidRPr="009323C8">
        <w:rPr>
          <w:rFonts w:ascii="Times New Roman" w:hAnsi="Times New Roman" w:cs="Times New Roman"/>
          <w:lang w:val="fr-FR"/>
        </w:rPr>
        <w:t>à 100 % selon le scénario 4 du présent document.</w:t>
      </w:r>
      <w:r w:rsidR="004960AE" w:rsidRPr="00605B50">
        <w:rPr>
          <w:rFonts w:ascii="Times New Roman" w:hAnsi="Times New Roman" w:cs="Times New Roman"/>
          <w:lang w:val="fr-FR"/>
        </w:rPr>
        <w:t xml:space="preserve"> </w:t>
      </w:r>
      <w:r w:rsidRPr="00CA7B0C">
        <w:rPr>
          <w:rFonts w:ascii="Times New Roman" w:hAnsi="Times New Roman" w:cs="Times New Roman"/>
          <w:lang w:val="fr-FR"/>
        </w:rPr>
        <w:t>Cependant, il est important de bien noter que le</w:t>
      </w:r>
      <w:r w:rsidR="00B06B07">
        <w:rPr>
          <w:rFonts w:ascii="Times New Roman" w:hAnsi="Times New Roman" w:cs="Times New Roman"/>
          <w:lang w:val="fr-FR"/>
        </w:rPr>
        <w:t xml:space="preserve"> </w:t>
      </w:r>
      <w:r w:rsidRPr="00CA7B0C">
        <w:rPr>
          <w:rFonts w:ascii="Times New Roman" w:hAnsi="Times New Roman" w:cs="Times New Roman"/>
          <w:lang w:val="fr-FR"/>
        </w:rPr>
        <w:t>niveau de ce poste</w:t>
      </w:r>
      <w:r w:rsidR="00CA7B0C" w:rsidRPr="00CA7B0C">
        <w:rPr>
          <w:rFonts w:ascii="Times New Roman" w:hAnsi="Times New Roman" w:cs="Times New Roman"/>
          <w:lang w:val="fr-FR"/>
        </w:rPr>
        <w:t>,</w:t>
      </w:r>
      <w:r w:rsidRPr="00CA7B0C">
        <w:rPr>
          <w:rFonts w:ascii="Times New Roman" w:hAnsi="Times New Roman" w:cs="Times New Roman"/>
          <w:lang w:val="fr-FR"/>
        </w:rPr>
        <w:t xml:space="preserve"> comparé aux fonctions et aux responsabilités qu</w:t>
      </w:r>
      <w:r w:rsidR="00B06B07">
        <w:rPr>
          <w:rFonts w:ascii="Times New Roman" w:hAnsi="Times New Roman" w:cs="Times New Roman"/>
          <w:lang w:val="fr-FR"/>
        </w:rPr>
        <w:t>’</w:t>
      </w:r>
      <w:r w:rsidRPr="00CA7B0C">
        <w:rPr>
          <w:rFonts w:ascii="Times New Roman" w:hAnsi="Times New Roman" w:cs="Times New Roman"/>
          <w:lang w:val="fr-FR"/>
        </w:rPr>
        <w:t>il implique</w:t>
      </w:r>
      <w:r w:rsidR="00CA7B0C" w:rsidRPr="00CA7B0C">
        <w:rPr>
          <w:rFonts w:ascii="Times New Roman" w:hAnsi="Times New Roman" w:cs="Times New Roman"/>
          <w:lang w:val="fr-FR"/>
        </w:rPr>
        <w:t>,</w:t>
      </w:r>
      <w:r w:rsidRPr="00CA7B0C">
        <w:rPr>
          <w:rFonts w:ascii="Times New Roman" w:hAnsi="Times New Roman" w:cs="Times New Roman"/>
          <w:lang w:val="fr-FR"/>
        </w:rPr>
        <w:t xml:space="preserve"> </w:t>
      </w:r>
      <w:r w:rsidR="00F85968" w:rsidRPr="00CA7B0C">
        <w:rPr>
          <w:rFonts w:ascii="Times New Roman" w:hAnsi="Times New Roman" w:cs="Times New Roman"/>
          <w:lang w:val="fr-FR"/>
        </w:rPr>
        <w:t xml:space="preserve">va </w:t>
      </w:r>
      <w:r w:rsidRPr="00CA7B0C">
        <w:rPr>
          <w:rFonts w:ascii="Times New Roman" w:hAnsi="Times New Roman" w:cs="Times New Roman"/>
          <w:lang w:val="fr-FR"/>
        </w:rPr>
        <w:t xml:space="preserve">également </w:t>
      </w:r>
      <w:r w:rsidR="00F85968" w:rsidRPr="00CA7B0C">
        <w:rPr>
          <w:rFonts w:ascii="Times New Roman" w:hAnsi="Times New Roman" w:cs="Times New Roman"/>
          <w:lang w:val="fr-FR"/>
        </w:rPr>
        <w:t>à l</w:t>
      </w:r>
      <w:r w:rsidR="00B06B07">
        <w:rPr>
          <w:rFonts w:ascii="Times New Roman" w:hAnsi="Times New Roman" w:cs="Times New Roman"/>
          <w:lang w:val="fr-FR"/>
        </w:rPr>
        <w:t>’</w:t>
      </w:r>
      <w:r w:rsidR="00F85968" w:rsidRPr="00CA7B0C">
        <w:rPr>
          <w:rFonts w:ascii="Times New Roman" w:hAnsi="Times New Roman" w:cs="Times New Roman"/>
          <w:lang w:val="fr-FR"/>
        </w:rPr>
        <w:t>encontre du Statut et du Règlement du personnel de l</w:t>
      </w:r>
      <w:r w:rsidR="00B06B07">
        <w:rPr>
          <w:rFonts w:ascii="Times New Roman" w:hAnsi="Times New Roman" w:cs="Times New Roman"/>
          <w:lang w:val="fr-FR"/>
        </w:rPr>
        <w:t>’</w:t>
      </w:r>
      <w:r w:rsidR="00F85968" w:rsidRPr="00CA7B0C">
        <w:rPr>
          <w:rFonts w:ascii="Times New Roman" w:hAnsi="Times New Roman" w:cs="Times New Roman"/>
          <w:lang w:val="fr-FR"/>
        </w:rPr>
        <w:t>ONU</w:t>
      </w:r>
      <w:r w:rsidR="00CA7B0C" w:rsidRPr="00CA7B0C">
        <w:rPr>
          <w:rFonts w:ascii="Times New Roman" w:hAnsi="Times New Roman" w:cs="Times New Roman"/>
          <w:lang w:val="fr-FR"/>
        </w:rPr>
        <w:t xml:space="preserve">. Il devra donc </w:t>
      </w:r>
      <w:r w:rsidRPr="00CA7B0C">
        <w:rPr>
          <w:rFonts w:ascii="Times New Roman" w:hAnsi="Times New Roman" w:cs="Times New Roman"/>
          <w:lang w:val="fr-FR"/>
        </w:rPr>
        <w:t xml:space="preserve">être </w:t>
      </w:r>
      <w:r w:rsidR="00F85968" w:rsidRPr="00CA7B0C">
        <w:rPr>
          <w:rFonts w:ascii="Times New Roman" w:hAnsi="Times New Roman" w:cs="Times New Roman"/>
          <w:lang w:val="fr-FR"/>
        </w:rPr>
        <w:t>reclass</w:t>
      </w:r>
      <w:r w:rsidRPr="00CA7B0C">
        <w:rPr>
          <w:rFonts w:ascii="Times New Roman" w:hAnsi="Times New Roman" w:cs="Times New Roman"/>
          <w:lang w:val="fr-FR"/>
        </w:rPr>
        <w:t xml:space="preserve">é </w:t>
      </w:r>
      <w:r w:rsidR="00F85968" w:rsidRPr="00CA7B0C">
        <w:rPr>
          <w:rFonts w:ascii="Times New Roman" w:hAnsi="Times New Roman" w:cs="Times New Roman"/>
          <w:lang w:val="fr-FR"/>
        </w:rPr>
        <w:t>dès que possible</w:t>
      </w:r>
      <w:r w:rsidRPr="00CA7B0C">
        <w:rPr>
          <w:rFonts w:ascii="Times New Roman" w:hAnsi="Times New Roman" w:cs="Times New Roman"/>
          <w:lang w:val="fr-FR"/>
        </w:rPr>
        <w:t>.</w:t>
      </w:r>
    </w:p>
    <w:p w:rsidR="00404142" w:rsidRPr="00605B50" w:rsidRDefault="00404142" w:rsidP="00AE26E0">
      <w:pPr>
        <w:spacing w:after="0" w:line="276" w:lineRule="auto"/>
        <w:jc w:val="both"/>
        <w:rPr>
          <w:rFonts w:ascii="Times New Roman" w:hAnsi="Times New Roman" w:cs="Times New Roman"/>
          <w:b/>
          <w:lang w:val="fr-FR"/>
        </w:rPr>
      </w:pPr>
    </w:p>
    <w:p w:rsidR="00A04FE2" w:rsidRPr="00605B50" w:rsidRDefault="00CA7B0C" w:rsidP="00CA7B0C">
      <w:pPr>
        <w:spacing w:after="0" w:line="280" w:lineRule="auto"/>
        <w:jc w:val="both"/>
        <w:rPr>
          <w:rFonts w:ascii="Times New Roman" w:hAnsi="Times New Roman" w:cs="Times New Roman"/>
          <w:u w:val="single"/>
          <w:lang w:val="fr-FR"/>
        </w:rPr>
      </w:pPr>
      <w:r w:rsidRPr="00CA7B0C">
        <w:rPr>
          <w:rFonts w:ascii="Times New Roman" w:hAnsi="Times New Roman" w:cs="Times New Roman"/>
          <w:u w:val="single"/>
          <w:lang w:val="fr-FR"/>
        </w:rPr>
        <w:t>Personnel financé grâce à</w:t>
      </w:r>
      <w:r w:rsidR="00B06B07">
        <w:rPr>
          <w:rFonts w:ascii="Times New Roman" w:hAnsi="Times New Roman" w:cs="Times New Roman"/>
          <w:u w:val="single"/>
          <w:lang w:val="fr-FR"/>
        </w:rPr>
        <w:t xml:space="preserve"> </w:t>
      </w:r>
      <w:r w:rsidRPr="00CA7B0C">
        <w:rPr>
          <w:rFonts w:ascii="Times New Roman" w:hAnsi="Times New Roman" w:cs="Times New Roman"/>
          <w:u w:val="single"/>
          <w:lang w:val="fr-FR"/>
        </w:rPr>
        <w:t>des contributions volontaires (en septembre 2018)</w:t>
      </w:r>
    </w:p>
    <w:p w:rsidR="00E933E6" w:rsidRPr="00605B50" w:rsidRDefault="00CA7B0C" w:rsidP="00CA7B0C">
      <w:pPr>
        <w:spacing w:after="0" w:line="280" w:lineRule="auto"/>
        <w:jc w:val="both"/>
        <w:rPr>
          <w:rFonts w:ascii="Times New Roman" w:hAnsi="Times New Roman" w:cs="Times New Roman"/>
          <w:lang w:val="fr-FR"/>
        </w:rPr>
      </w:pPr>
      <w:r w:rsidRPr="00CA7B0C">
        <w:rPr>
          <w:rFonts w:ascii="Times New Roman" w:hAnsi="Times New Roman" w:cs="Times New Roman"/>
          <w:lang w:val="fr-FR"/>
        </w:rPr>
        <w:t>1 Administrateur de programme associé</w:t>
      </w:r>
      <w:r w:rsidR="00B06B07">
        <w:rPr>
          <w:rFonts w:ascii="Times New Roman" w:hAnsi="Times New Roman" w:cs="Times New Roman"/>
          <w:lang w:val="fr-FR"/>
        </w:rPr>
        <w:t xml:space="preserve"> </w:t>
      </w:r>
      <w:r w:rsidRPr="00CA7B0C">
        <w:rPr>
          <w:rFonts w:ascii="Times New Roman" w:hAnsi="Times New Roman" w:cs="Times New Roman"/>
          <w:lang w:val="fr-FR"/>
        </w:rPr>
        <w:t>pour l</w:t>
      </w:r>
      <w:r w:rsidR="00B06B07">
        <w:rPr>
          <w:rFonts w:ascii="Times New Roman" w:hAnsi="Times New Roman" w:cs="Times New Roman"/>
          <w:lang w:val="fr-FR"/>
        </w:rPr>
        <w:t>’</w:t>
      </w:r>
      <w:r w:rsidRPr="00CA7B0C">
        <w:rPr>
          <w:rFonts w:ascii="Times New Roman" w:hAnsi="Times New Roman" w:cs="Times New Roman"/>
          <w:lang w:val="fr-FR"/>
        </w:rPr>
        <w:t>appui des plans d</w:t>
      </w:r>
      <w:r w:rsidR="00B06B07">
        <w:rPr>
          <w:rFonts w:ascii="Times New Roman" w:hAnsi="Times New Roman" w:cs="Times New Roman"/>
          <w:lang w:val="fr-FR"/>
        </w:rPr>
        <w:t>’</w:t>
      </w:r>
      <w:r w:rsidRPr="00CA7B0C">
        <w:rPr>
          <w:rFonts w:ascii="Times New Roman" w:hAnsi="Times New Roman" w:cs="Times New Roman"/>
          <w:lang w:val="fr-FR"/>
        </w:rPr>
        <w:t>action par espèce (P-2)</w:t>
      </w:r>
    </w:p>
    <w:p w:rsidR="00535056" w:rsidRPr="00605B50" w:rsidRDefault="00CA7B0C" w:rsidP="00CA7B0C">
      <w:pPr>
        <w:spacing w:after="0" w:line="280" w:lineRule="auto"/>
        <w:jc w:val="both"/>
        <w:rPr>
          <w:rFonts w:ascii="Times New Roman" w:hAnsi="Times New Roman" w:cs="Times New Roman"/>
          <w:lang w:val="fr-FR"/>
        </w:rPr>
      </w:pPr>
      <w:r w:rsidRPr="00CA7B0C">
        <w:rPr>
          <w:rFonts w:ascii="Times New Roman" w:hAnsi="Times New Roman" w:cs="Times New Roman"/>
          <w:lang w:val="fr-FR"/>
        </w:rPr>
        <w:t>1 Administrateur de programme associé pour la Plateforme européenne de gestion des oies (P-2)</w:t>
      </w:r>
    </w:p>
    <w:p w:rsidR="00535056" w:rsidRPr="00605B50" w:rsidRDefault="00CA7B0C" w:rsidP="00CA7B0C">
      <w:pPr>
        <w:spacing w:after="0" w:line="280" w:lineRule="auto"/>
        <w:jc w:val="both"/>
        <w:rPr>
          <w:rFonts w:ascii="Times New Roman" w:hAnsi="Times New Roman" w:cs="Times New Roman"/>
          <w:lang w:val="fr-FR"/>
        </w:rPr>
      </w:pPr>
      <w:r w:rsidRPr="00CA7B0C">
        <w:rPr>
          <w:rFonts w:ascii="Times New Roman" w:hAnsi="Times New Roman" w:cs="Times New Roman"/>
          <w:lang w:val="fr-FR"/>
        </w:rPr>
        <w:t>1 Administrateur de programme associé pour la Plateforme européenne de gestion des oies (G-5)</w:t>
      </w:r>
      <w:r w:rsidR="00B06B07" w:rsidRPr="00605B50">
        <w:rPr>
          <w:rFonts w:ascii="Times New Roman" w:hAnsi="Times New Roman" w:cs="Times New Roman"/>
          <w:lang w:val="fr-FR"/>
        </w:rPr>
        <w:t xml:space="preserve"> </w:t>
      </w:r>
    </w:p>
    <w:p w:rsidR="00A04FE2" w:rsidRPr="00605B50" w:rsidRDefault="00CA7B0C" w:rsidP="00CA7B0C">
      <w:pPr>
        <w:spacing w:after="0" w:line="280" w:lineRule="auto"/>
        <w:jc w:val="both"/>
        <w:rPr>
          <w:rFonts w:ascii="Times New Roman" w:hAnsi="Times New Roman" w:cs="Times New Roman"/>
          <w:lang w:val="fr-FR"/>
        </w:rPr>
      </w:pPr>
      <w:r w:rsidRPr="00CA7B0C">
        <w:rPr>
          <w:rFonts w:ascii="Times New Roman" w:hAnsi="Times New Roman" w:cs="Times New Roman"/>
          <w:lang w:val="fr-FR"/>
        </w:rPr>
        <w:lastRenderedPageBreak/>
        <w:t xml:space="preserve">Les coûts de ce personnel supplémentaire, qui a été présent durant la période 2016-2018, ont été </w:t>
      </w:r>
      <w:r w:rsidR="006858BC">
        <w:rPr>
          <w:rFonts w:ascii="Times New Roman" w:hAnsi="Times New Roman" w:cs="Times New Roman"/>
          <w:lang w:val="fr-FR"/>
        </w:rPr>
        <w:t>entièrem</w:t>
      </w:r>
      <w:r w:rsidRPr="00CA7B0C">
        <w:rPr>
          <w:rFonts w:ascii="Times New Roman" w:hAnsi="Times New Roman" w:cs="Times New Roman"/>
          <w:lang w:val="fr-FR"/>
        </w:rPr>
        <w:t>ent couverts par les contributions volontaires versées par les gouvernements de la Norvège, de la Finlande, du Danemark et de la France.</w:t>
      </w:r>
      <w:r w:rsidR="00535056" w:rsidRPr="00605B50">
        <w:rPr>
          <w:rFonts w:ascii="Times New Roman" w:hAnsi="Times New Roman" w:cs="Times New Roman"/>
          <w:lang w:val="fr-FR"/>
        </w:rPr>
        <w:t xml:space="preserve"> </w:t>
      </w:r>
      <w:r w:rsidRPr="00CA7B0C">
        <w:rPr>
          <w:rFonts w:ascii="Times New Roman" w:hAnsi="Times New Roman" w:cs="Times New Roman"/>
          <w:lang w:val="fr-FR"/>
        </w:rPr>
        <w:t>Ces membres du personnel ont contribué de façon importante au travail du Secrétariat, non seulement dans leur domaine spécifique de responsabilités mais aussi dans le cadre d</w:t>
      </w:r>
      <w:r w:rsidR="00B06B07">
        <w:rPr>
          <w:rFonts w:ascii="Times New Roman" w:hAnsi="Times New Roman" w:cs="Times New Roman"/>
          <w:lang w:val="fr-FR"/>
        </w:rPr>
        <w:t>’</w:t>
      </w:r>
      <w:r w:rsidRPr="00CA7B0C">
        <w:rPr>
          <w:rFonts w:ascii="Times New Roman" w:hAnsi="Times New Roman" w:cs="Times New Roman"/>
          <w:lang w:val="fr-FR"/>
        </w:rPr>
        <w:t>activités s</w:t>
      </w:r>
      <w:r w:rsidR="00B06B07">
        <w:rPr>
          <w:rFonts w:ascii="Times New Roman" w:hAnsi="Times New Roman" w:cs="Times New Roman"/>
          <w:lang w:val="fr-FR"/>
        </w:rPr>
        <w:t>’</w:t>
      </w:r>
      <w:r w:rsidRPr="00CA7B0C">
        <w:rPr>
          <w:rFonts w:ascii="Times New Roman" w:hAnsi="Times New Roman" w:cs="Times New Roman"/>
          <w:lang w:val="fr-FR"/>
        </w:rPr>
        <w:t>étendant à plusieurs domaines, telles que le recrutement de nouvelles Parties, le travail de sensibilisation, la liaison entre les agences et les levées de fonds.</w:t>
      </w:r>
    </w:p>
    <w:p w:rsidR="006A1824" w:rsidRPr="00605B50" w:rsidRDefault="006A1824" w:rsidP="00AE26E0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:rsidR="00A04FE2" w:rsidRPr="00605B50" w:rsidRDefault="00CA7B0C" w:rsidP="00CA7B0C">
      <w:pPr>
        <w:spacing w:after="0" w:line="280" w:lineRule="auto"/>
        <w:jc w:val="both"/>
        <w:rPr>
          <w:rFonts w:ascii="Times New Roman" w:hAnsi="Times New Roman" w:cs="Times New Roman"/>
          <w:lang w:val="fr-FR"/>
        </w:rPr>
      </w:pPr>
      <w:r w:rsidRPr="00CA7B0C">
        <w:rPr>
          <w:rFonts w:ascii="Times New Roman" w:hAnsi="Times New Roman" w:cs="Times New Roman"/>
          <w:lang w:val="fr-FR"/>
        </w:rPr>
        <w:t>Grâce à l</w:t>
      </w:r>
      <w:r w:rsidR="00B06B07">
        <w:rPr>
          <w:rFonts w:ascii="Times New Roman" w:hAnsi="Times New Roman" w:cs="Times New Roman"/>
          <w:lang w:val="fr-FR"/>
        </w:rPr>
        <w:t>’</w:t>
      </w:r>
      <w:r w:rsidRPr="00CA7B0C">
        <w:rPr>
          <w:rFonts w:ascii="Times New Roman" w:hAnsi="Times New Roman" w:cs="Times New Roman"/>
          <w:lang w:val="fr-FR"/>
        </w:rPr>
        <w:t>appui généreux du gouvernement de la Norvège, la fonction d</w:t>
      </w:r>
      <w:r w:rsidR="00B06B07">
        <w:rPr>
          <w:rFonts w:ascii="Times New Roman" w:hAnsi="Times New Roman" w:cs="Times New Roman"/>
          <w:lang w:val="fr-FR"/>
        </w:rPr>
        <w:t>’</w:t>
      </w:r>
      <w:r w:rsidRPr="00CA7B0C">
        <w:rPr>
          <w:rFonts w:ascii="Times New Roman" w:hAnsi="Times New Roman" w:cs="Times New Roman"/>
          <w:lang w:val="fr-FR"/>
        </w:rPr>
        <w:t xml:space="preserve">Administrateur de programme </w:t>
      </w:r>
      <w:r w:rsidR="006858BC" w:rsidRPr="00CA7B0C">
        <w:rPr>
          <w:rFonts w:ascii="Times New Roman" w:hAnsi="Times New Roman" w:cs="Times New Roman"/>
          <w:lang w:val="fr-FR"/>
        </w:rPr>
        <w:t xml:space="preserve">associé </w:t>
      </w:r>
      <w:r w:rsidR="006858BC">
        <w:rPr>
          <w:rFonts w:ascii="Times New Roman" w:hAnsi="Times New Roman" w:cs="Times New Roman"/>
          <w:lang w:val="fr-FR"/>
        </w:rPr>
        <w:t>pour les</w:t>
      </w:r>
      <w:r w:rsidRPr="00CA7B0C">
        <w:rPr>
          <w:rFonts w:ascii="Times New Roman" w:hAnsi="Times New Roman" w:cs="Times New Roman"/>
          <w:lang w:val="fr-FR"/>
        </w:rPr>
        <w:t xml:space="preserve"> </w:t>
      </w:r>
      <w:r w:rsidR="006858BC">
        <w:rPr>
          <w:rFonts w:ascii="Times New Roman" w:hAnsi="Times New Roman" w:cs="Times New Roman"/>
          <w:lang w:val="fr-FR"/>
        </w:rPr>
        <w:t>P</w:t>
      </w:r>
      <w:r w:rsidRPr="00CA7B0C">
        <w:rPr>
          <w:rFonts w:ascii="Times New Roman" w:hAnsi="Times New Roman" w:cs="Times New Roman"/>
          <w:lang w:val="fr-FR"/>
        </w:rPr>
        <w:t>lans d</w:t>
      </w:r>
      <w:r w:rsidR="00B06B07">
        <w:rPr>
          <w:rFonts w:ascii="Times New Roman" w:hAnsi="Times New Roman" w:cs="Times New Roman"/>
          <w:lang w:val="fr-FR"/>
        </w:rPr>
        <w:t>’</w:t>
      </w:r>
      <w:r w:rsidRPr="00CA7B0C">
        <w:rPr>
          <w:rFonts w:ascii="Times New Roman" w:hAnsi="Times New Roman" w:cs="Times New Roman"/>
          <w:lang w:val="fr-FR"/>
        </w:rPr>
        <w:t>action par espèce est assurée jusqu</w:t>
      </w:r>
      <w:r w:rsidR="00B06B07">
        <w:rPr>
          <w:rFonts w:ascii="Times New Roman" w:hAnsi="Times New Roman" w:cs="Times New Roman"/>
          <w:lang w:val="fr-FR"/>
        </w:rPr>
        <w:t>’</w:t>
      </w:r>
      <w:r w:rsidRPr="00CA7B0C">
        <w:rPr>
          <w:rFonts w:ascii="Times New Roman" w:hAnsi="Times New Roman" w:cs="Times New Roman"/>
          <w:lang w:val="fr-FR"/>
        </w:rPr>
        <w:t xml:space="preserve">en février 2020 et il serait </w:t>
      </w:r>
      <w:r w:rsidR="00155C88">
        <w:rPr>
          <w:rFonts w:ascii="Times New Roman" w:hAnsi="Times New Roman" w:cs="Times New Roman"/>
          <w:lang w:val="fr-FR"/>
        </w:rPr>
        <w:t>extrêmement</w:t>
      </w:r>
      <w:r w:rsidRPr="00CA7B0C">
        <w:rPr>
          <w:rFonts w:ascii="Times New Roman" w:hAnsi="Times New Roman" w:cs="Times New Roman"/>
          <w:lang w:val="fr-FR"/>
        </w:rPr>
        <w:t xml:space="preserve"> apprécié que cet appui puisse être prolongé au moins jusqu</w:t>
      </w:r>
      <w:r w:rsidR="00B06B07">
        <w:rPr>
          <w:rFonts w:ascii="Times New Roman" w:hAnsi="Times New Roman" w:cs="Times New Roman"/>
          <w:lang w:val="fr-FR"/>
        </w:rPr>
        <w:t>’</w:t>
      </w:r>
      <w:r w:rsidRPr="00CA7B0C">
        <w:rPr>
          <w:rFonts w:ascii="Times New Roman" w:hAnsi="Times New Roman" w:cs="Times New Roman"/>
          <w:lang w:val="fr-FR"/>
        </w:rPr>
        <w:t>à la fin de 2021</w:t>
      </w:r>
      <w:r w:rsidR="00155C88">
        <w:rPr>
          <w:rFonts w:ascii="Times New Roman" w:hAnsi="Times New Roman" w:cs="Times New Roman"/>
          <w:lang w:val="fr-FR"/>
        </w:rPr>
        <w:t xml:space="preserve"> </w:t>
      </w:r>
      <w:r w:rsidRPr="00CA7B0C">
        <w:rPr>
          <w:rFonts w:ascii="Times New Roman" w:hAnsi="Times New Roman" w:cs="Times New Roman"/>
          <w:lang w:val="fr-FR"/>
        </w:rPr>
        <w:t>; à plus long terme, cette fonction devrait être financée par le budget principal.</w:t>
      </w:r>
      <w:r w:rsidR="00187B67" w:rsidRPr="00605B50">
        <w:rPr>
          <w:rFonts w:ascii="Times New Roman" w:hAnsi="Times New Roman" w:cs="Times New Roman"/>
          <w:lang w:val="fr-FR"/>
        </w:rPr>
        <w:t xml:space="preserve"> </w:t>
      </w:r>
      <w:r w:rsidRPr="00CA7B0C">
        <w:rPr>
          <w:rFonts w:ascii="Times New Roman" w:hAnsi="Times New Roman" w:cs="Times New Roman"/>
          <w:lang w:val="fr-FR"/>
        </w:rPr>
        <w:t>En outre, des négociations ont lieu avec différents États de l</w:t>
      </w:r>
      <w:r w:rsidR="00B06B07">
        <w:rPr>
          <w:rFonts w:ascii="Times New Roman" w:hAnsi="Times New Roman" w:cs="Times New Roman"/>
          <w:lang w:val="fr-FR"/>
        </w:rPr>
        <w:t>’</w:t>
      </w:r>
      <w:r w:rsidRPr="00CA7B0C">
        <w:rPr>
          <w:rFonts w:ascii="Times New Roman" w:hAnsi="Times New Roman" w:cs="Times New Roman"/>
          <w:lang w:val="fr-FR"/>
        </w:rPr>
        <w:t>aire de répartition de la Plateforme européenne de gestion des oies (EGMP) pour pouvoir maintenir les postes d</w:t>
      </w:r>
      <w:r w:rsidR="00B06B07">
        <w:rPr>
          <w:rFonts w:ascii="Times New Roman" w:hAnsi="Times New Roman" w:cs="Times New Roman"/>
          <w:lang w:val="fr-FR"/>
        </w:rPr>
        <w:t>’</w:t>
      </w:r>
      <w:r w:rsidRPr="00CA7B0C">
        <w:rPr>
          <w:rFonts w:ascii="Times New Roman" w:hAnsi="Times New Roman" w:cs="Times New Roman"/>
          <w:lang w:val="fr-FR"/>
        </w:rPr>
        <w:t xml:space="preserve">Administrateur de programme </w:t>
      </w:r>
      <w:r w:rsidR="00155C88" w:rsidRPr="00CA7B0C">
        <w:rPr>
          <w:rFonts w:ascii="Times New Roman" w:hAnsi="Times New Roman" w:cs="Times New Roman"/>
          <w:lang w:val="fr-FR"/>
        </w:rPr>
        <w:t xml:space="preserve">associé </w:t>
      </w:r>
      <w:r w:rsidRPr="00CA7B0C">
        <w:rPr>
          <w:rFonts w:ascii="Times New Roman" w:hAnsi="Times New Roman" w:cs="Times New Roman"/>
          <w:lang w:val="fr-FR"/>
        </w:rPr>
        <w:t>et d</w:t>
      </w:r>
      <w:r w:rsidR="00B06B07">
        <w:rPr>
          <w:rFonts w:ascii="Times New Roman" w:hAnsi="Times New Roman" w:cs="Times New Roman"/>
          <w:lang w:val="fr-FR"/>
        </w:rPr>
        <w:t>’</w:t>
      </w:r>
      <w:r w:rsidRPr="00CA7B0C">
        <w:rPr>
          <w:rFonts w:ascii="Times New Roman" w:hAnsi="Times New Roman" w:cs="Times New Roman"/>
          <w:lang w:val="fr-FR"/>
        </w:rPr>
        <w:t>Assistant de gestion de programme pour l</w:t>
      </w:r>
      <w:r w:rsidR="00B06B07">
        <w:rPr>
          <w:rFonts w:ascii="Times New Roman" w:hAnsi="Times New Roman" w:cs="Times New Roman"/>
          <w:lang w:val="fr-FR"/>
        </w:rPr>
        <w:t>’</w:t>
      </w:r>
      <w:r w:rsidRPr="00CA7B0C">
        <w:rPr>
          <w:rFonts w:ascii="Times New Roman" w:hAnsi="Times New Roman" w:cs="Times New Roman"/>
          <w:lang w:val="fr-FR"/>
        </w:rPr>
        <w:t>EGMP au-delà de 2018, sur la base de contributions volontaires.</w:t>
      </w:r>
      <w:r w:rsidR="001D0094" w:rsidRPr="00605B50">
        <w:rPr>
          <w:rFonts w:ascii="Times New Roman" w:hAnsi="Times New Roman" w:cs="Times New Roman"/>
          <w:lang w:val="fr-FR"/>
        </w:rPr>
        <w:t xml:space="preserve"> </w:t>
      </w:r>
    </w:p>
    <w:p w:rsidR="006A1824" w:rsidRPr="00605B50" w:rsidRDefault="006A1824" w:rsidP="00AE26E0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:rsidR="00D34BEC" w:rsidRPr="00605B50" w:rsidRDefault="00CA7B0C" w:rsidP="00A46B17">
      <w:pPr>
        <w:spacing w:after="0" w:line="280" w:lineRule="auto"/>
        <w:jc w:val="both"/>
        <w:rPr>
          <w:rFonts w:ascii="Times New Roman" w:hAnsi="Times New Roman" w:cs="Times New Roman"/>
          <w:lang w:val="fr-FR"/>
        </w:rPr>
      </w:pPr>
      <w:r w:rsidRPr="00A46B17">
        <w:rPr>
          <w:rFonts w:ascii="Times New Roman" w:hAnsi="Times New Roman" w:cs="Times New Roman"/>
          <w:lang w:val="fr-FR"/>
        </w:rPr>
        <w:t xml:space="preserve">Le </w:t>
      </w:r>
      <w:r w:rsidR="00155C88">
        <w:rPr>
          <w:rFonts w:ascii="Times New Roman" w:hAnsi="Times New Roman" w:cs="Times New Roman"/>
          <w:lang w:val="fr-FR"/>
        </w:rPr>
        <w:t>S</w:t>
      </w:r>
      <w:r w:rsidRPr="00A46B17">
        <w:rPr>
          <w:rFonts w:ascii="Times New Roman" w:hAnsi="Times New Roman" w:cs="Times New Roman"/>
          <w:lang w:val="fr-FR"/>
        </w:rPr>
        <w:t xml:space="preserve">ecrétariat voudrait </w:t>
      </w:r>
      <w:r w:rsidR="00A46B17" w:rsidRPr="00A46B17">
        <w:rPr>
          <w:rFonts w:ascii="Times New Roman" w:hAnsi="Times New Roman" w:cs="Times New Roman"/>
          <w:lang w:val="fr-FR"/>
        </w:rPr>
        <w:t>profiter de l</w:t>
      </w:r>
      <w:r w:rsidR="00B06B07">
        <w:rPr>
          <w:rFonts w:ascii="Times New Roman" w:hAnsi="Times New Roman" w:cs="Times New Roman"/>
          <w:lang w:val="fr-FR"/>
        </w:rPr>
        <w:t>’</w:t>
      </w:r>
      <w:r w:rsidR="00A46B17" w:rsidRPr="00A46B17">
        <w:rPr>
          <w:rFonts w:ascii="Times New Roman" w:hAnsi="Times New Roman" w:cs="Times New Roman"/>
          <w:lang w:val="fr-FR"/>
        </w:rPr>
        <w:t>occasion qui lui est offerte pour e</w:t>
      </w:r>
      <w:r w:rsidRPr="00A46B17">
        <w:rPr>
          <w:rFonts w:ascii="Times New Roman" w:hAnsi="Times New Roman" w:cs="Times New Roman"/>
          <w:lang w:val="fr-FR"/>
        </w:rPr>
        <w:t xml:space="preserve">xprimer sa gratitude aux gouvernements de la Norvège, de la Finlande, du Danemark et de la France pour les généreuses </w:t>
      </w:r>
      <w:r w:rsidR="00A46B17" w:rsidRPr="00A46B17">
        <w:rPr>
          <w:rFonts w:ascii="Times New Roman" w:hAnsi="Times New Roman" w:cs="Times New Roman"/>
          <w:lang w:val="fr-FR"/>
        </w:rPr>
        <w:t xml:space="preserve">donations </w:t>
      </w:r>
      <w:r w:rsidRPr="00A46B17">
        <w:rPr>
          <w:rFonts w:ascii="Times New Roman" w:hAnsi="Times New Roman" w:cs="Times New Roman"/>
          <w:lang w:val="fr-FR"/>
        </w:rPr>
        <w:t>mentionnées ci-dessus.</w:t>
      </w:r>
    </w:p>
    <w:p w:rsidR="006A1824" w:rsidRPr="00605B50" w:rsidRDefault="006A1824" w:rsidP="00AE26E0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  <w:r w:rsidRPr="00605B50">
        <w:rPr>
          <w:rFonts w:ascii="Times New Roman" w:hAnsi="Times New Roman" w:cs="Times New Roman"/>
          <w:lang w:val="fr-FR"/>
        </w:rPr>
        <w:br w:type="page"/>
      </w:r>
    </w:p>
    <w:p w:rsidR="001D0094" w:rsidRPr="008476BF" w:rsidRDefault="00A46B17" w:rsidP="00A46B17">
      <w:pPr>
        <w:pStyle w:val="ListParagraph"/>
        <w:numPr>
          <w:ilvl w:val="0"/>
          <w:numId w:val="4"/>
        </w:numPr>
        <w:spacing w:line="280" w:lineRule="auto"/>
        <w:ind w:left="270" w:hanging="270"/>
        <w:jc w:val="both"/>
        <w:rPr>
          <w:b/>
          <w:lang w:val="en-GB"/>
        </w:rPr>
      </w:pPr>
      <w:r w:rsidRPr="00A46B17">
        <w:rPr>
          <w:b/>
          <w:lang w:val="fr-FR"/>
        </w:rPr>
        <w:lastRenderedPageBreak/>
        <w:t>Scénarios 1 à 4</w:t>
      </w:r>
      <w:r w:rsidR="00D77CC1" w:rsidRPr="008476BF">
        <w:rPr>
          <w:b/>
          <w:lang w:val="en-GB"/>
        </w:rPr>
        <w:t xml:space="preserve"> </w:t>
      </w:r>
    </w:p>
    <w:p w:rsidR="001D0094" w:rsidRPr="00AF5BD8" w:rsidRDefault="001D0094" w:rsidP="00AE26E0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E93BEA" w:rsidRPr="00605B50" w:rsidRDefault="00A46B17" w:rsidP="00A46B17">
      <w:pPr>
        <w:spacing w:after="0" w:line="280" w:lineRule="auto"/>
        <w:jc w:val="both"/>
        <w:rPr>
          <w:rFonts w:ascii="Times New Roman" w:hAnsi="Times New Roman" w:cs="Times New Roman"/>
          <w:lang w:val="fr-FR"/>
        </w:rPr>
      </w:pPr>
      <w:r w:rsidRPr="00A46B17">
        <w:rPr>
          <w:rFonts w:ascii="Times New Roman" w:hAnsi="Times New Roman" w:cs="Times New Roman"/>
          <w:lang w:val="fr-FR"/>
        </w:rPr>
        <w:t>Pour les différents scénarios décrits ci-dessous, le budget (tout comme pour le précédent budget 2016-2018 adopté par la Résolution 6.18) s</w:t>
      </w:r>
      <w:r w:rsidR="00B06B07">
        <w:rPr>
          <w:rFonts w:ascii="Times New Roman" w:hAnsi="Times New Roman" w:cs="Times New Roman"/>
          <w:lang w:val="fr-FR"/>
        </w:rPr>
        <w:t>’</w:t>
      </w:r>
      <w:r w:rsidRPr="00A46B17">
        <w:rPr>
          <w:rFonts w:ascii="Times New Roman" w:hAnsi="Times New Roman" w:cs="Times New Roman"/>
          <w:lang w:val="fr-FR"/>
        </w:rPr>
        <w:t>articulera autour des catégories suivantes :</w:t>
      </w:r>
    </w:p>
    <w:p w:rsidR="006A1824" w:rsidRPr="00605B50" w:rsidRDefault="006A1824" w:rsidP="006A1824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:rsidR="00E93BEA" w:rsidRPr="00AF5BD8" w:rsidRDefault="00A46B17" w:rsidP="00A46B17">
      <w:pPr>
        <w:pStyle w:val="ListParagraph"/>
        <w:numPr>
          <w:ilvl w:val="0"/>
          <w:numId w:val="10"/>
        </w:numPr>
        <w:spacing w:line="360" w:lineRule="auto"/>
        <w:ind w:left="426" w:hanging="426"/>
        <w:jc w:val="both"/>
        <w:rPr>
          <w:sz w:val="22"/>
          <w:szCs w:val="22"/>
          <w:lang w:val="en-GB"/>
        </w:rPr>
      </w:pPr>
      <w:r w:rsidRPr="00A46B17">
        <w:rPr>
          <w:sz w:val="22"/>
          <w:szCs w:val="22"/>
          <w:lang w:val="fr-FR"/>
        </w:rPr>
        <w:t>Gestion générale</w:t>
      </w:r>
    </w:p>
    <w:p w:rsidR="00E93BEA" w:rsidRPr="00605B50" w:rsidRDefault="00A46B17" w:rsidP="00A46B17">
      <w:pPr>
        <w:pStyle w:val="ListParagraph"/>
        <w:numPr>
          <w:ilvl w:val="0"/>
          <w:numId w:val="10"/>
        </w:numPr>
        <w:spacing w:line="360" w:lineRule="auto"/>
        <w:ind w:left="426" w:hanging="426"/>
        <w:jc w:val="both"/>
        <w:rPr>
          <w:sz w:val="22"/>
          <w:szCs w:val="22"/>
          <w:lang w:val="fr-FR"/>
        </w:rPr>
      </w:pPr>
      <w:r w:rsidRPr="00A46B17">
        <w:rPr>
          <w:sz w:val="22"/>
          <w:szCs w:val="22"/>
          <w:lang w:val="fr-FR"/>
        </w:rPr>
        <w:t>Mise en œuvre de l</w:t>
      </w:r>
      <w:r w:rsidR="00B06B07">
        <w:rPr>
          <w:sz w:val="22"/>
          <w:szCs w:val="22"/>
          <w:lang w:val="fr-FR"/>
        </w:rPr>
        <w:t>’</w:t>
      </w:r>
      <w:r w:rsidRPr="00A46B17">
        <w:rPr>
          <w:sz w:val="22"/>
          <w:szCs w:val="22"/>
          <w:lang w:val="fr-FR"/>
        </w:rPr>
        <w:t>Initiative africaine</w:t>
      </w:r>
    </w:p>
    <w:p w:rsidR="00E93BEA" w:rsidRPr="00605B50" w:rsidRDefault="00A46B17" w:rsidP="00A46B17">
      <w:pPr>
        <w:pStyle w:val="ListParagraph"/>
        <w:numPr>
          <w:ilvl w:val="0"/>
          <w:numId w:val="10"/>
        </w:numPr>
        <w:spacing w:line="360" w:lineRule="auto"/>
        <w:ind w:left="426" w:hanging="426"/>
        <w:jc w:val="both"/>
        <w:rPr>
          <w:sz w:val="22"/>
          <w:szCs w:val="22"/>
          <w:lang w:val="fr-FR"/>
        </w:rPr>
      </w:pPr>
      <w:r w:rsidRPr="00A46B17">
        <w:rPr>
          <w:sz w:val="22"/>
          <w:szCs w:val="22"/>
          <w:lang w:val="fr-FR"/>
        </w:rPr>
        <w:t>Fonctionnement</w:t>
      </w:r>
      <w:r w:rsidR="00B06B07">
        <w:rPr>
          <w:sz w:val="22"/>
          <w:szCs w:val="22"/>
          <w:lang w:val="fr-FR"/>
        </w:rPr>
        <w:t xml:space="preserve"> </w:t>
      </w:r>
      <w:r w:rsidRPr="00A46B17">
        <w:rPr>
          <w:sz w:val="22"/>
          <w:szCs w:val="22"/>
          <w:lang w:val="fr-FR"/>
        </w:rPr>
        <w:t>de la Réunion des Parties</w:t>
      </w:r>
    </w:p>
    <w:p w:rsidR="00E93BEA" w:rsidRPr="00AF5BD8" w:rsidRDefault="00A46B17" w:rsidP="00A46B17">
      <w:pPr>
        <w:pStyle w:val="ListParagraph"/>
        <w:numPr>
          <w:ilvl w:val="0"/>
          <w:numId w:val="10"/>
        </w:numPr>
        <w:spacing w:line="360" w:lineRule="auto"/>
        <w:ind w:left="426" w:hanging="426"/>
        <w:jc w:val="both"/>
        <w:rPr>
          <w:sz w:val="22"/>
          <w:szCs w:val="22"/>
          <w:lang w:val="en-GB"/>
        </w:rPr>
      </w:pPr>
      <w:r w:rsidRPr="00A46B17">
        <w:rPr>
          <w:sz w:val="22"/>
          <w:szCs w:val="22"/>
          <w:lang w:val="fr-FR"/>
        </w:rPr>
        <w:t>Fonctionnement du Comité technique</w:t>
      </w:r>
    </w:p>
    <w:p w:rsidR="00E93BEA" w:rsidRPr="00AF5BD8" w:rsidRDefault="00A46B17" w:rsidP="00A46B17">
      <w:pPr>
        <w:pStyle w:val="ListParagraph"/>
        <w:numPr>
          <w:ilvl w:val="0"/>
          <w:numId w:val="10"/>
        </w:numPr>
        <w:spacing w:line="360" w:lineRule="auto"/>
        <w:ind w:left="426" w:hanging="426"/>
        <w:jc w:val="both"/>
        <w:rPr>
          <w:sz w:val="22"/>
          <w:szCs w:val="22"/>
          <w:lang w:val="en-GB"/>
        </w:rPr>
      </w:pPr>
      <w:r w:rsidRPr="00A46B17">
        <w:rPr>
          <w:sz w:val="22"/>
          <w:szCs w:val="22"/>
          <w:lang w:val="fr-FR"/>
        </w:rPr>
        <w:t>Fonctionnement du Comité permanent</w:t>
      </w:r>
    </w:p>
    <w:p w:rsidR="00E93BEA" w:rsidRPr="00605B50" w:rsidRDefault="00A46B17" w:rsidP="00A46B17">
      <w:pPr>
        <w:pStyle w:val="ListParagraph"/>
        <w:numPr>
          <w:ilvl w:val="0"/>
          <w:numId w:val="10"/>
        </w:numPr>
        <w:spacing w:line="360" w:lineRule="auto"/>
        <w:ind w:left="426" w:hanging="426"/>
        <w:jc w:val="both"/>
        <w:rPr>
          <w:sz w:val="22"/>
          <w:szCs w:val="22"/>
          <w:lang w:val="fr-FR"/>
        </w:rPr>
      </w:pPr>
      <w:r w:rsidRPr="00A46B17">
        <w:rPr>
          <w:sz w:val="22"/>
          <w:szCs w:val="22"/>
          <w:lang w:val="fr-FR"/>
        </w:rPr>
        <w:t>Coûts d</w:t>
      </w:r>
      <w:r w:rsidR="00B06B07">
        <w:rPr>
          <w:sz w:val="22"/>
          <w:szCs w:val="22"/>
          <w:lang w:val="fr-FR"/>
        </w:rPr>
        <w:t>’</w:t>
      </w:r>
      <w:r w:rsidRPr="00A46B17">
        <w:rPr>
          <w:sz w:val="22"/>
          <w:szCs w:val="22"/>
          <w:lang w:val="fr-FR"/>
        </w:rPr>
        <w:t>appui de programme (frais généraux du PNUE de 13 %)</w:t>
      </w:r>
    </w:p>
    <w:p w:rsidR="00E93BEA" w:rsidRPr="00605B50" w:rsidRDefault="00E93BEA" w:rsidP="00F30AE0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:rsidR="00E93BEA" w:rsidRPr="00605B50" w:rsidRDefault="00A46B17" w:rsidP="00A46B17">
      <w:pPr>
        <w:spacing w:after="0" w:line="280" w:lineRule="auto"/>
        <w:jc w:val="both"/>
        <w:rPr>
          <w:rFonts w:ascii="Times New Roman" w:hAnsi="Times New Roman" w:cs="Times New Roman"/>
          <w:lang w:val="fr-FR"/>
        </w:rPr>
      </w:pPr>
      <w:r w:rsidRPr="00A46B17">
        <w:rPr>
          <w:rFonts w:ascii="Times New Roman" w:hAnsi="Times New Roman" w:cs="Times New Roman"/>
          <w:lang w:val="fr-FR"/>
        </w:rPr>
        <w:t>Pour chaque scénario, de plus amples détails sont fournis à l</w:t>
      </w:r>
      <w:r w:rsidR="00B06B07">
        <w:rPr>
          <w:rFonts w:ascii="Times New Roman" w:hAnsi="Times New Roman" w:cs="Times New Roman"/>
          <w:lang w:val="fr-FR"/>
        </w:rPr>
        <w:t>’</w:t>
      </w:r>
      <w:r w:rsidRPr="00A46B17">
        <w:rPr>
          <w:rFonts w:ascii="Times New Roman" w:hAnsi="Times New Roman" w:cs="Times New Roman"/>
          <w:lang w:val="fr-FR"/>
        </w:rPr>
        <w:t>Annexe 1</w:t>
      </w:r>
      <w:r w:rsidR="00E93BEA" w:rsidRPr="00605B50">
        <w:rPr>
          <w:rFonts w:ascii="Times New Roman" w:hAnsi="Times New Roman" w:cs="Times New Roman"/>
          <w:lang w:val="fr-FR"/>
        </w:rPr>
        <w:t xml:space="preserve"> </w:t>
      </w:r>
    </w:p>
    <w:p w:rsidR="003C5EEA" w:rsidRPr="00605B50" w:rsidRDefault="003C5EEA" w:rsidP="00E93BEA">
      <w:pPr>
        <w:jc w:val="both"/>
        <w:rPr>
          <w:rFonts w:ascii="Times New Roman" w:hAnsi="Times New Roman" w:cs="Times New Roman"/>
          <w:b/>
          <w:lang w:val="fr-FR"/>
        </w:rPr>
      </w:pPr>
    </w:p>
    <w:p w:rsidR="003422CA" w:rsidRPr="00605B50" w:rsidRDefault="00A46B17" w:rsidP="00A46B17">
      <w:pPr>
        <w:shd w:val="clear" w:color="auto" w:fill="D9D9D9" w:themeFill="background1" w:themeFillShade="D9"/>
        <w:spacing w:after="0" w:line="260" w:lineRule="auto"/>
        <w:jc w:val="both"/>
        <w:rPr>
          <w:rFonts w:ascii="Times New Roman" w:hAnsi="Times New Roman" w:cs="Times New Roman"/>
          <w:b/>
          <w:lang w:val="fr-FR"/>
        </w:rPr>
      </w:pPr>
      <w:r w:rsidRPr="00A46B17">
        <w:rPr>
          <w:rFonts w:ascii="Times New Roman" w:hAnsi="Times New Roman" w:cs="Times New Roman"/>
          <w:b/>
          <w:lang w:val="fr-FR"/>
        </w:rPr>
        <w:t>Scénario 1</w:t>
      </w:r>
      <w:r w:rsidR="008A70CD">
        <w:rPr>
          <w:rFonts w:ascii="Times New Roman" w:hAnsi="Times New Roman" w:cs="Times New Roman"/>
          <w:b/>
          <w:lang w:val="fr-FR"/>
        </w:rPr>
        <w:t> </w:t>
      </w:r>
      <w:r w:rsidRPr="00A46B17">
        <w:rPr>
          <w:rFonts w:ascii="Times New Roman" w:hAnsi="Times New Roman" w:cs="Times New Roman"/>
          <w:b/>
          <w:lang w:val="fr-FR"/>
        </w:rPr>
        <w:t>: Croissance nominale nulle - augmentation de 0 %</w:t>
      </w:r>
    </w:p>
    <w:p w:rsidR="00F30AE0" w:rsidRPr="00605B50" w:rsidRDefault="00F30AE0" w:rsidP="00F30AE0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F30AE0" w:rsidRPr="00605B50" w:rsidRDefault="00A46B17" w:rsidP="00EB7955">
      <w:pPr>
        <w:spacing w:after="0" w:line="280" w:lineRule="auto"/>
        <w:jc w:val="both"/>
        <w:rPr>
          <w:rFonts w:ascii="Times New Roman" w:hAnsi="Times New Roman" w:cs="Times New Roman"/>
          <w:lang w:val="fr-FR"/>
        </w:rPr>
      </w:pPr>
      <w:r w:rsidRPr="00A46B17">
        <w:rPr>
          <w:rFonts w:ascii="Times New Roman" w:hAnsi="Times New Roman" w:cs="Times New Roman"/>
          <w:lang w:val="fr-FR"/>
        </w:rPr>
        <w:t>Dans le cadre du scénario 1, aucune augmentation du budget total n</w:t>
      </w:r>
      <w:r w:rsidR="00B06B07">
        <w:rPr>
          <w:rFonts w:ascii="Times New Roman" w:hAnsi="Times New Roman" w:cs="Times New Roman"/>
          <w:lang w:val="fr-FR"/>
        </w:rPr>
        <w:t>’</w:t>
      </w:r>
      <w:r w:rsidRPr="00A46B17">
        <w:rPr>
          <w:rFonts w:ascii="Times New Roman" w:hAnsi="Times New Roman" w:cs="Times New Roman"/>
          <w:lang w:val="fr-FR"/>
        </w:rPr>
        <w:t xml:space="preserve">est prévue en comparaison avec le budget global approuvé pour la période triennale 2016-2018. Les coûts salariaux </w:t>
      </w:r>
      <w:r w:rsidR="00B06B07" w:rsidRPr="00A46B17">
        <w:rPr>
          <w:rFonts w:ascii="Times New Roman" w:hAnsi="Times New Roman" w:cs="Times New Roman"/>
          <w:lang w:val="fr-FR"/>
        </w:rPr>
        <w:t>standards</w:t>
      </w:r>
      <w:r w:rsidRPr="00A46B17">
        <w:rPr>
          <w:rFonts w:ascii="Times New Roman" w:hAnsi="Times New Roman" w:cs="Times New Roman"/>
          <w:lang w:val="fr-FR"/>
        </w:rPr>
        <w:t xml:space="preserve"> de la CMS ont été appliqués, y compris l</w:t>
      </w:r>
      <w:r w:rsidR="00B06B07">
        <w:rPr>
          <w:rFonts w:ascii="Times New Roman" w:hAnsi="Times New Roman" w:cs="Times New Roman"/>
          <w:lang w:val="fr-FR"/>
        </w:rPr>
        <w:t>’</w:t>
      </w:r>
      <w:r w:rsidRPr="00A46B17">
        <w:rPr>
          <w:rFonts w:ascii="Times New Roman" w:hAnsi="Times New Roman" w:cs="Times New Roman"/>
          <w:lang w:val="fr-FR"/>
        </w:rPr>
        <w:t>augmentation annuelle de 2 % pour tenir compte de l</w:t>
      </w:r>
      <w:r w:rsidR="00B06B07">
        <w:rPr>
          <w:rFonts w:ascii="Times New Roman" w:hAnsi="Times New Roman" w:cs="Times New Roman"/>
          <w:lang w:val="fr-FR"/>
        </w:rPr>
        <w:t>’</w:t>
      </w:r>
      <w:r w:rsidRPr="00A46B17">
        <w:rPr>
          <w:rFonts w:ascii="Times New Roman" w:hAnsi="Times New Roman" w:cs="Times New Roman"/>
          <w:lang w:val="fr-FR"/>
        </w:rPr>
        <w:t>impact de l</w:t>
      </w:r>
      <w:r w:rsidR="00B06B07">
        <w:rPr>
          <w:rFonts w:ascii="Times New Roman" w:hAnsi="Times New Roman" w:cs="Times New Roman"/>
          <w:lang w:val="fr-FR"/>
        </w:rPr>
        <w:t>’</w:t>
      </w:r>
      <w:r w:rsidRPr="00A46B17">
        <w:rPr>
          <w:rFonts w:ascii="Times New Roman" w:hAnsi="Times New Roman" w:cs="Times New Roman"/>
          <w:lang w:val="fr-FR"/>
        </w:rPr>
        <w:t>inflation sur les coûts réglementaires relatifs au personnel (ces coûts salariaux standard</w:t>
      </w:r>
      <w:r w:rsidR="003D766F">
        <w:rPr>
          <w:rFonts w:ascii="Times New Roman" w:hAnsi="Times New Roman" w:cs="Times New Roman"/>
          <w:lang w:val="fr-FR"/>
        </w:rPr>
        <w:t>s</w:t>
      </w:r>
      <w:r w:rsidRPr="00A46B17">
        <w:rPr>
          <w:rFonts w:ascii="Times New Roman" w:hAnsi="Times New Roman" w:cs="Times New Roman"/>
          <w:lang w:val="fr-FR"/>
        </w:rPr>
        <w:t xml:space="preserve"> sont maintenus dans tous les scénarios).</w:t>
      </w:r>
      <w:r w:rsidR="000B268A" w:rsidRPr="00605B50">
        <w:rPr>
          <w:rFonts w:ascii="Times New Roman" w:hAnsi="Times New Roman" w:cs="Times New Roman"/>
          <w:lang w:val="fr-FR"/>
        </w:rPr>
        <w:t xml:space="preserve"> </w:t>
      </w:r>
      <w:r w:rsidRPr="00EB7955">
        <w:rPr>
          <w:rFonts w:ascii="Times New Roman" w:hAnsi="Times New Roman" w:cs="Times New Roman"/>
          <w:lang w:val="fr-FR"/>
        </w:rPr>
        <w:t xml:space="preserve">Au niveau du personnel du Secrétariat, cette option prévoit de maintenir chacun des neuf postes </w:t>
      </w:r>
      <w:r w:rsidRPr="003D766F">
        <w:rPr>
          <w:rFonts w:ascii="Times New Roman" w:hAnsi="Times New Roman" w:cs="Times New Roman"/>
          <w:u w:val="single"/>
          <w:lang w:val="fr-FR"/>
        </w:rPr>
        <w:t>titulaires</w:t>
      </w:r>
      <w:r w:rsidR="003D766F">
        <w:rPr>
          <w:rFonts w:ascii="Times New Roman" w:hAnsi="Times New Roman" w:cs="Times New Roman"/>
          <w:lang w:val="fr-FR"/>
        </w:rPr>
        <w:t xml:space="preserve"> </w:t>
      </w:r>
      <w:r w:rsidRPr="003D766F">
        <w:rPr>
          <w:rFonts w:ascii="Times New Roman" w:hAnsi="Times New Roman" w:cs="Times New Roman"/>
          <w:lang w:val="fr-FR"/>
        </w:rPr>
        <w:t>financés</w:t>
      </w:r>
      <w:r w:rsidRPr="00EB7955">
        <w:rPr>
          <w:rFonts w:ascii="Times New Roman" w:hAnsi="Times New Roman" w:cs="Times New Roman"/>
          <w:lang w:val="fr-FR"/>
        </w:rPr>
        <w:t xml:space="preserve"> par le budget principal.</w:t>
      </w:r>
      <w:r w:rsidR="006C57BB" w:rsidRPr="00605B50">
        <w:rPr>
          <w:rFonts w:ascii="Times New Roman" w:hAnsi="Times New Roman" w:cs="Times New Roman"/>
          <w:lang w:val="fr-FR"/>
        </w:rPr>
        <w:t xml:space="preserve"> </w:t>
      </w:r>
      <w:r w:rsidR="00EB7955" w:rsidRPr="00EB7955">
        <w:rPr>
          <w:rFonts w:ascii="Times New Roman" w:hAnsi="Times New Roman" w:cs="Times New Roman"/>
          <w:lang w:val="fr-FR"/>
        </w:rPr>
        <w:t>Le poste d</w:t>
      </w:r>
      <w:r w:rsidR="00B06B07">
        <w:rPr>
          <w:rFonts w:ascii="Times New Roman" w:hAnsi="Times New Roman" w:cs="Times New Roman"/>
          <w:lang w:val="fr-FR"/>
        </w:rPr>
        <w:t>’</w:t>
      </w:r>
      <w:r w:rsidR="00EB7955" w:rsidRPr="00EB7955">
        <w:rPr>
          <w:rFonts w:ascii="Times New Roman" w:hAnsi="Times New Roman" w:cs="Times New Roman"/>
          <w:lang w:val="fr-FR"/>
        </w:rPr>
        <w:t xml:space="preserve">Assistant de gestion de programme (unité Science, Mise en œuvre et Conformité) a été légèrement augmenté pour passer </w:t>
      </w:r>
      <w:r w:rsidR="003D766F" w:rsidRPr="00EB7955">
        <w:rPr>
          <w:rFonts w:ascii="Times New Roman" w:hAnsi="Times New Roman" w:cs="Times New Roman"/>
          <w:lang w:val="fr-FR"/>
        </w:rPr>
        <w:t xml:space="preserve">dans tous les scénarios </w:t>
      </w:r>
      <w:r w:rsidR="00EB7955" w:rsidRPr="00EB7955">
        <w:rPr>
          <w:rFonts w:ascii="Times New Roman" w:hAnsi="Times New Roman" w:cs="Times New Roman"/>
          <w:lang w:val="fr-FR"/>
        </w:rPr>
        <w:t>de 75 % à 80 % de temps de travail, afin d</w:t>
      </w:r>
      <w:r w:rsidR="00B06B07">
        <w:rPr>
          <w:rFonts w:ascii="Times New Roman" w:hAnsi="Times New Roman" w:cs="Times New Roman"/>
          <w:lang w:val="fr-FR"/>
        </w:rPr>
        <w:t>’</w:t>
      </w:r>
      <w:r w:rsidR="00EB7955" w:rsidRPr="00EB7955">
        <w:rPr>
          <w:rFonts w:ascii="Times New Roman" w:hAnsi="Times New Roman" w:cs="Times New Roman"/>
          <w:lang w:val="fr-FR"/>
        </w:rPr>
        <w:t>être en conformité avec le Statut et le Règlement du personnel de l</w:t>
      </w:r>
      <w:r w:rsidR="00B06B07">
        <w:rPr>
          <w:rFonts w:ascii="Times New Roman" w:hAnsi="Times New Roman" w:cs="Times New Roman"/>
          <w:lang w:val="fr-FR"/>
        </w:rPr>
        <w:t>’</w:t>
      </w:r>
      <w:r w:rsidR="00EB7955" w:rsidRPr="00EB7955">
        <w:rPr>
          <w:rFonts w:ascii="Times New Roman" w:hAnsi="Times New Roman" w:cs="Times New Roman"/>
          <w:lang w:val="fr-FR"/>
        </w:rPr>
        <w:t>ONU.</w:t>
      </w:r>
      <w:r w:rsidR="000B268A" w:rsidRPr="00605B50">
        <w:rPr>
          <w:rFonts w:ascii="Times New Roman" w:hAnsi="Times New Roman" w:cs="Times New Roman"/>
          <w:lang w:val="fr-FR"/>
        </w:rPr>
        <w:t xml:space="preserve"> </w:t>
      </w:r>
    </w:p>
    <w:p w:rsidR="00F30AE0" w:rsidRPr="00605B50" w:rsidRDefault="00F30AE0" w:rsidP="00F30AE0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:rsidR="00F30AE0" w:rsidRPr="00605B50" w:rsidRDefault="00EB7955" w:rsidP="00C5633C">
      <w:pPr>
        <w:spacing w:after="0" w:line="280" w:lineRule="auto"/>
        <w:jc w:val="both"/>
        <w:rPr>
          <w:rFonts w:ascii="Times New Roman" w:hAnsi="Times New Roman" w:cs="Times New Roman"/>
          <w:lang w:val="fr-FR"/>
        </w:rPr>
      </w:pPr>
      <w:r w:rsidRPr="00EB7955">
        <w:rPr>
          <w:rFonts w:ascii="Times New Roman" w:hAnsi="Times New Roman" w:cs="Times New Roman"/>
          <w:lang w:val="fr-FR"/>
        </w:rPr>
        <w:t>Cependant, il est important de noter que l</w:t>
      </w:r>
      <w:r w:rsidR="00B06B07">
        <w:rPr>
          <w:rFonts w:ascii="Times New Roman" w:hAnsi="Times New Roman" w:cs="Times New Roman"/>
          <w:lang w:val="fr-FR"/>
        </w:rPr>
        <w:t>’</w:t>
      </w:r>
      <w:r w:rsidRPr="00EB7955">
        <w:rPr>
          <w:rFonts w:ascii="Times New Roman" w:hAnsi="Times New Roman" w:cs="Times New Roman"/>
          <w:lang w:val="fr-FR"/>
        </w:rPr>
        <w:t>effet de la croissance nominale nulle implique en fait une réelle réduction, en termes de personnel, d</w:t>
      </w:r>
      <w:r w:rsidR="00B06B07">
        <w:rPr>
          <w:rFonts w:ascii="Times New Roman" w:hAnsi="Times New Roman" w:cs="Times New Roman"/>
          <w:lang w:val="fr-FR"/>
        </w:rPr>
        <w:t>’</w:t>
      </w:r>
      <w:r w:rsidRPr="00EB7955">
        <w:rPr>
          <w:rFonts w:ascii="Times New Roman" w:hAnsi="Times New Roman" w:cs="Times New Roman"/>
          <w:lang w:val="fr-FR"/>
        </w:rPr>
        <w:t>activités et de fonctionnement du Secrétariat.</w:t>
      </w:r>
      <w:r w:rsidR="001F6595" w:rsidRPr="00605B50">
        <w:rPr>
          <w:rFonts w:ascii="Times New Roman" w:hAnsi="Times New Roman" w:cs="Times New Roman"/>
          <w:lang w:val="fr-FR"/>
        </w:rPr>
        <w:t xml:space="preserve"> </w:t>
      </w:r>
      <w:r w:rsidRPr="00EB7955">
        <w:rPr>
          <w:rFonts w:ascii="Times New Roman" w:hAnsi="Times New Roman" w:cs="Times New Roman"/>
          <w:lang w:val="fr-FR"/>
        </w:rPr>
        <w:t xml:space="preserve">Par exemple, quatre membres du personnel </w:t>
      </w:r>
      <w:r w:rsidRPr="00155C88">
        <w:rPr>
          <w:rFonts w:ascii="Times New Roman" w:hAnsi="Times New Roman" w:cs="Times New Roman"/>
          <w:lang w:val="fr-FR"/>
        </w:rPr>
        <w:t>ont travaillé au-delà des</w:t>
      </w:r>
      <w:r w:rsidRPr="00EB7955">
        <w:rPr>
          <w:rFonts w:ascii="Times New Roman" w:hAnsi="Times New Roman" w:cs="Times New Roman"/>
          <w:lang w:val="fr-FR"/>
        </w:rPr>
        <w:t xml:space="preserve"> pourcentages couverts par le budget principal au cours de la période de 2016-2018 afin de maintenir le fonctionnement de base du Secrétariat </w:t>
      </w:r>
      <w:r w:rsidR="00155C88">
        <w:rPr>
          <w:rFonts w:ascii="Times New Roman" w:hAnsi="Times New Roman" w:cs="Times New Roman"/>
          <w:lang w:val="fr-FR"/>
        </w:rPr>
        <w:t>s</w:t>
      </w:r>
      <w:r w:rsidR="00B06B07">
        <w:rPr>
          <w:rFonts w:ascii="Times New Roman" w:hAnsi="Times New Roman" w:cs="Times New Roman"/>
          <w:lang w:val="fr-FR"/>
        </w:rPr>
        <w:t>’</w:t>
      </w:r>
      <w:r w:rsidR="00155C88">
        <w:rPr>
          <w:rFonts w:ascii="Times New Roman" w:hAnsi="Times New Roman" w:cs="Times New Roman"/>
          <w:lang w:val="fr-FR"/>
        </w:rPr>
        <w:t>appuyant</w:t>
      </w:r>
      <w:r w:rsidRPr="00EB7955">
        <w:rPr>
          <w:rFonts w:ascii="Times New Roman" w:hAnsi="Times New Roman" w:cs="Times New Roman"/>
          <w:lang w:val="fr-FR"/>
        </w:rPr>
        <w:t xml:space="preserve"> sur les mandats des MOP.</w:t>
      </w:r>
      <w:r w:rsidR="001F6595" w:rsidRPr="00605B50">
        <w:rPr>
          <w:rFonts w:ascii="Times New Roman" w:hAnsi="Times New Roman" w:cs="Times New Roman"/>
          <w:lang w:val="fr-FR"/>
        </w:rPr>
        <w:t xml:space="preserve"> </w:t>
      </w:r>
      <w:r w:rsidRPr="00C5633C">
        <w:rPr>
          <w:rFonts w:ascii="Times New Roman" w:hAnsi="Times New Roman" w:cs="Times New Roman"/>
          <w:lang w:val="fr-FR"/>
        </w:rPr>
        <w:t>En tant que tel, ce scénario mènera en fait à une diminution en termes de main d</w:t>
      </w:r>
      <w:r w:rsidR="00B06B07">
        <w:rPr>
          <w:rFonts w:ascii="Times New Roman" w:hAnsi="Times New Roman" w:cs="Times New Roman"/>
          <w:lang w:val="fr-FR"/>
        </w:rPr>
        <w:t>’</w:t>
      </w:r>
      <w:r w:rsidRPr="00C5633C">
        <w:rPr>
          <w:rFonts w:ascii="Times New Roman" w:hAnsi="Times New Roman" w:cs="Times New Roman"/>
          <w:lang w:val="fr-FR"/>
        </w:rPr>
        <w:t xml:space="preserve">œuvre </w:t>
      </w:r>
      <w:r w:rsidR="00C5633C" w:rsidRPr="00C5633C">
        <w:rPr>
          <w:rFonts w:ascii="Times New Roman" w:hAnsi="Times New Roman" w:cs="Times New Roman"/>
          <w:lang w:val="fr-FR"/>
        </w:rPr>
        <w:t>du fait de l</w:t>
      </w:r>
      <w:r w:rsidR="00B06B07">
        <w:rPr>
          <w:rFonts w:ascii="Times New Roman" w:hAnsi="Times New Roman" w:cs="Times New Roman"/>
          <w:lang w:val="fr-FR"/>
        </w:rPr>
        <w:t>’</w:t>
      </w:r>
      <w:r w:rsidRPr="00C5633C">
        <w:rPr>
          <w:rFonts w:ascii="Times New Roman" w:hAnsi="Times New Roman" w:cs="Times New Roman"/>
          <w:lang w:val="fr-FR"/>
        </w:rPr>
        <w:t xml:space="preserve">incertitude </w:t>
      </w:r>
      <w:r w:rsidR="00C5633C" w:rsidRPr="00C5633C">
        <w:rPr>
          <w:rFonts w:ascii="Times New Roman" w:hAnsi="Times New Roman" w:cs="Times New Roman"/>
          <w:lang w:val="fr-FR"/>
        </w:rPr>
        <w:t>accrue de la possibilité d</w:t>
      </w:r>
      <w:r w:rsidR="00B06B07">
        <w:rPr>
          <w:rFonts w:ascii="Times New Roman" w:hAnsi="Times New Roman" w:cs="Times New Roman"/>
          <w:lang w:val="fr-FR"/>
        </w:rPr>
        <w:t>’</w:t>
      </w:r>
      <w:r w:rsidR="00C5633C" w:rsidRPr="00C5633C">
        <w:rPr>
          <w:rFonts w:ascii="Times New Roman" w:hAnsi="Times New Roman" w:cs="Times New Roman"/>
          <w:lang w:val="fr-FR"/>
        </w:rPr>
        <w:t xml:space="preserve">obtenir des </w:t>
      </w:r>
      <w:r w:rsidRPr="00C5633C">
        <w:rPr>
          <w:rFonts w:ascii="Times New Roman" w:hAnsi="Times New Roman" w:cs="Times New Roman"/>
          <w:lang w:val="fr-FR"/>
        </w:rPr>
        <w:t>fonds supplémentaires pendant la période 2019-2021.</w:t>
      </w:r>
      <w:r w:rsidR="000F6760" w:rsidRPr="00605B50">
        <w:rPr>
          <w:rFonts w:ascii="Times New Roman" w:hAnsi="Times New Roman" w:cs="Times New Roman"/>
          <w:lang w:val="fr-FR"/>
        </w:rPr>
        <w:t xml:space="preserve"> </w:t>
      </w:r>
    </w:p>
    <w:p w:rsidR="00F30AE0" w:rsidRPr="00605B50" w:rsidRDefault="00F30AE0" w:rsidP="00F30AE0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:rsidR="00E93BEA" w:rsidRPr="00605B50" w:rsidRDefault="00C5633C" w:rsidP="004E44F1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C5633C">
        <w:rPr>
          <w:rFonts w:ascii="Times New Roman" w:hAnsi="Times New Roman" w:cs="Times New Roman"/>
          <w:lang w:val="fr-FR"/>
        </w:rPr>
        <w:t>En outre, le budget consacré à l</w:t>
      </w:r>
      <w:r w:rsidR="00B06B07">
        <w:rPr>
          <w:rFonts w:ascii="Times New Roman" w:hAnsi="Times New Roman" w:cs="Times New Roman"/>
          <w:lang w:val="fr-FR"/>
        </w:rPr>
        <w:t>’</w:t>
      </w:r>
      <w:r w:rsidRPr="00C5633C">
        <w:rPr>
          <w:rFonts w:ascii="Times New Roman" w:hAnsi="Times New Roman" w:cs="Times New Roman"/>
          <w:lang w:val="fr-FR"/>
        </w:rPr>
        <w:t>organisation de la MOP8 a encore été diminué comparé à celui alloué dans le budget 2016-2018 pour l</w:t>
      </w:r>
      <w:r w:rsidR="00B06B07">
        <w:rPr>
          <w:rFonts w:ascii="Times New Roman" w:hAnsi="Times New Roman" w:cs="Times New Roman"/>
          <w:lang w:val="fr-FR"/>
        </w:rPr>
        <w:t>’</w:t>
      </w:r>
      <w:r w:rsidRPr="00C5633C">
        <w:rPr>
          <w:rFonts w:ascii="Times New Roman" w:hAnsi="Times New Roman" w:cs="Times New Roman"/>
          <w:lang w:val="fr-FR"/>
        </w:rPr>
        <w:t>organisation de la MOP7. Les budgets destinés aux traductions et à l</w:t>
      </w:r>
      <w:r w:rsidR="00B06B07">
        <w:rPr>
          <w:rFonts w:ascii="Times New Roman" w:hAnsi="Times New Roman" w:cs="Times New Roman"/>
          <w:lang w:val="fr-FR"/>
        </w:rPr>
        <w:t>’</w:t>
      </w:r>
      <w:r w:rsidRPr="00C5633C">
        <w:rPr>
          <w:rFonts w:ascii="Times New Roman" w:hAnsi="Times New Roman" w:cs="Times New Roman"/>
          <w:lang w:val="fr-FR"/>
        </w:rPr>
        <w:t>organisation des réunions du Comité technique et du Comité permanent sont également très limités et devront être complétés à l</w:t>
      </w:r>
      <w:r w:rsidR="00B06B07">
        <w:rPr>
          <w:rFonts w:ascii="Times New Roman" w:hAnsi="Times New Roman" w:cs="Times New Roman"/>
          <w:lang w:val="fr-FR"/>
        </w:rPr>
        <w:t>’</w:t>
      </w:r>
      <w:r w:rsidRPr="00C5633C">
        <w:rPr>
          <w:rFonts w:ascii="Times New Roman" w:hAnsi="Times New Roman" w:cs="Times New Roman"/>
          <w:lang w:val="fr-FR"/>
        </w:rPr>
        <w:t>aide de financements volontaires.</w:t>
      </w:r>
      <w:r w:rsidR="00DC1801" w:rsidRPr="00605B50">
        <w:rPr>
          <w:rFonts w:ascii="Times New Roman" w:hAnsi="Times New Roman" w:cs="Times New Roman"/>
          <w:lang w:val="fr-FR"/>
        </w:rPr>
        <w:t xml:space="preserve"> </w:t>
      </w:r>
      <w:r w:rsidRPr="004E44F1">
        <w:rPr>
          <w:rFonts w:ascii="Times New Roman" w:hAnsi="Times New Roman" w:cs="Times New Roman"/>
          <w:lang w:val="fr-FR"/>
        </w:rPr>
        <w:t>Les coûts relatifs à l</w:t>
      </w:r>
      <w:r w:rsidR="00B06B07">
        <w:rPr>
          <w:rFonts w:ascii="Times New Roman" w:hAnsi="Times New Roman" w:cs="Times New Roman"/>
          <w:lang w:val="fr-FR"/>
        </w:rPr>
        <w:t>’</w:t>
      </w:r>
      <w:r w:rsidRPr="004E44F1">
        <w:rPr>
          <w:rFonts w:ascii="Times New Roman" w:hAnsi="Times New Roman" w:cs="Times New Roman"/>
          <w:lang w:val="fr-FR"/>
        </w:rPr>
        <w:t>entretien et à l</w:t>
      </w:r>
      <w:r w:rsidR="00B06B07">
        <w:rPr>
          <w:rFonts w:ascii="Times New Roman" w:hAnsi="Times New Roman" w:cs="Times New Roman"/>
          <w:lang w:val="fr-FR"/>
        </w:rPr>
        <w:t>’</w:t>
      </w:r>
      <w:r w:rsidRPr="004E44F1">
        <w:rPr>
          <w:rFonts w:ascii="Times New Roman" w:hAnsi="Times New Roman" w:cs="Times New Roman"/>
          <w:lang w:val="fr-FR"/>
        </w:rPr>
        <w:t>hébergement des sites Web ne sont pas couverts par ce budget, et d</w:t>
      </w:r>
      <w:r w:rsidR="00B06B07">
        <w:rPr>
          <w:rFonts w:ascii="Times New Roman" w:hAnsi="Times New Roman" w:cs="Times New Roman"/>
          <w:lang w:val="fr-FR"/>
        </w:rPr>
        <w:t>’</w:t>
      </w:r>
      <w:r w:rsidRPr="004E44F1">
        <w:rPr>
          <w:rFonts w:ascii="Times New Roman" w:hAnsi="Times New Roman" w:cs="Times New Roman"/>
          <w:lang w:val="fr-FR"/>
        </w:rPr>
        <w:t xml:space="preserve">autres coûts </w:t>
      </w:r>
      <w:r w:rsidR="004E44F1" w:rsidRPr="004E44F1">
        <w:rPr>
          <w:rFonts w:ascii="Times New Roman" w:hAnsi="Times New Roman" w:cs="Times New Roman"/>
          <w:lang w:val="fr-FR"/>
        </w:rPr>
        <w:t>opérationnels</w:t>
      </w:r>
      <w:r w:rsidRPr="004E44F1">
        <w:rPr>
          <w:rFonts w:ascii="Times New Roman" w:hAnsi="Times New Roman" w:cs="Times New Roman"/>
          <w:lang w:val="fr-FR"/>
        </w:rPr>
        <w:t xml:space="preserve"> sont réduits à un minimum</w:t>
      </w:r>
      <w:r w:rsidR="004E44F1" w:rsidRPr="004E44F1">
        <w:rPr>
          <w:rFonts w:ascii="Times New Roman" w:hAnsi="Times New Roman" w:cs="Times New Roman"/>
          <w:lang w:val="fr-FR"/>
        </w:rPr>
        <w:t xml:space="preserve">, ce qui ne </w:t>
      </w:r>
      <w:r w:rsidRPr="004E44F1">
        <w:rPr>
          <w:rFonts w:ascii="Times New Roman" w:hAnsi="Times New Roman" w:cs="Times New Roman"/>
          <w:lang w:val="fr-FR"/>
        </w:rPr>
        <w:t>permettr</w:t>
      </w:r>
      <w:r w:rsidR="004E44F1" w:rsidRPr="004E44F1">
        <w:rPr>
          <w:rFonts w:ascii="Times New Roman" w:hAnsi="Times New Roman" w:cs="Times New Roman"/>
          <w:lang w:val="fr-FR"/>
        </w:rPr>
        <w:t>a</w:t>
      </w:r>
      <w:r w:rsidRPr="004E44F1">
        <w:rPr>
          <w:rFonts w:ascii="Times New Roman" w:hAnsi="Times New Roman" w:cs="Times New Roman"/>
          <w:lang w:val="fr-FR"/>
        </w:rPr>
        <w:t xml:space="preserve"> au Secrétariat que de maintenir des services très </w:t>
      </w:r>
      <w:r w:rsidR="00883052" w:rsidRPr="004E44F1">
        <w:rPr>
          <w:rFonts w:ascii="Times New Roman" w:hAnsi="Times New Roman" w:cs="Times New Roman"/>
          <w:lang w:val="fr-FR"/>
        </w:rPr>
        <w:t>rudimentaires</w:t>
      </w:r>
      <w:r w:rsidRPr="004E44F1">
        <w:rPr>
          <w:rFonts w:ascii="Times New Roman" w:hAnsi="Times New Roman" w:cs="Times New Roman"/>
          <w:lang w:val="fr-FR"/>
        </w:rPr>
        <w:t>.</w:t>
      </w:r>
    </w:p>
    <w:p w:rsidR="00F809A3" w:rsidRPr="00605B50" w:rsidRDefault="00F809A3" w:rsidP="00E93BEA">
      <w:pPr>
        <w:jc w:val="both"/>
        <w:rPr>
          <w:rFonts w:ascii="Times New Roman" w:hAnsi="Times New Roman" w:cs="Times New Roman"/>
          <w:b/>
          <w:lang w:val="fr-FR"/>
        </w:rPr>
      </w:pPr>
    </w:p>
    <w:p w:rsidR="003422CA" w:rsidRDefault="004E44F1" w:rsidP="004E44F1">
      <w:pPr>
        <w:shd w:val="clear" w:color="auto" w:fill="D9D9D9" w:themeFill="background1" w:themeFillShade="D9"/>
        <w:spacing w:after="0" w:line="260" w:lineRule="auto"/>
        <w:jc w:val="both"/>
        <w:rPr>
          <w:rFonts w:ascii="Times New Roman" w:hAnsi="Times New Roman" w:cs="Times New Roman"/>
          <w:b/>
          <w:lang w:val="it-IT"/>
        </w:rPr>
      </w:pPr>
      <w:r w:rsidRPr="004E44F1">
        <w:rPr>
          <w:rFonts w:ascii="Times New Roman" w:hAnsi="Times New Roman" w:cs="Times New Roman"/>
          <w:b/>
          <w:lang w:val="fr-FR"/>
        </w:rPr>
        <w:t>Scénario 2</w:t>
      </w:r>
      <w:r w:rsidR="008A70CD">
        <w:rPr>
          <w:rFonts w:ascii="Times New Roman" w:hAnsi="Times New Roman" w:cs="Times New Roman"/>
          <w:b/>
          <w:lang w:val="fr-FR"/>
        </w:rPr>
        <w:t> </w:t>
      </w:r>
      <w:r w:rsidRPr="004E44F1">
        <w:rPr>
          <w:rFonts w:ascii="Times New Roman" w:hAnsi="Times New Roman" w:cs="Times New Roman"/>
          <w:b/>
          <w:lang w:val="fr-FR"/>
        </w:rPr>
        <w:t>: Croissance réelle nulle - + 4,04 % par rapport au scénario 1</w:t>
      </w:r>
    </w:p>
    <w:p w:rsidR="00F30AE0" w:rsidRPr="00895AC7" w:rsidRDefault="00F30AE0" w:rsidP="00F30AE0">
      <w:pPr>
        <w:spacing w:after="0"/>
        <w:jc w:val="both"/>
        <w:rPr>
          <w:rFonts w:ascii="Times New Roman" w:hAnsi="Times New Roman" w:cs="Times New Roman"/>
          <w:lang w:val="it-IT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25"/>
      </w:tblGrid>
      <w:tr w:rsidR="003422CA" w:rsidTr="007A704D">
        <w:tc>
          <w:tcPr>
            <w:tcW w:w="4225" w:type="dxa"/>
          </w:tcPr>
          <w:p w:rsidR="003422CA" w:rsidRPr="001D5F14" w:rsidRDefault="004E44F1" w:rsidP="00BE22DD">
            <w:pPr>
              <w:jc w:val="both"/>
              <w:rPr>
                <w:sz w:val="22"/>
                <w:szCs w:val="22"/>
              </w:rPr>
            </w:pPr>
            <w:r w:rsidRPr="004E44F1">
              <w:rPr>
                <w:sz w:val="22"/>
                <w:szCs w:val="22"/>
                <w:lang w:val="fr-FR"/>
              </w:rPr>
              <w:t>Scénario 1 (croissance nominale nulle)</w:t>
            </w:r>
          </w:p>
        </w:tc>
      </w:tr>
      <w:tr w:rsidR="003422CA" w:rsidRPr="00B5292F" w:rsidTr="007A704D">
        <w:trPr>
          <w:trHeight w:val="107"/>
        </w:trPr>
        <w:tc>
          <w:tcPr>
            <w:tcW w:w="4225" w:type="dxa"/>
          </w:tcPr>
          <w:p w:rsidR="003422CA" w:rsidRPr="00605B50" w:rsidRDefault="004E44F1" w:rsidP="00BE22DD">
            <w:pPr>
              <w:jc w:val="both"/>
              <w:rPr>
                <w:sz w:val="22"/>
                <w:szCs w:val="22"/>
                <w:lang w:val="fr-FR"/>
              </w:rPr>
            </w:pPr>
            <w:r w:rsidRPr="004E44F1">
              <w:rPr>
                <w:sz w:val="22"/>
                <w:szCs w:val="22"/>
                <w:lang w:val="fr-FR"/>
              </w:rPr>
              <w:t>+ 2</w:t>
            </w:r>
            <w:r w:rsidR="00B06B07">
              <w:rPr>
                <w:sz w:val="22"/>
                <w:szCs w:val="22"/>
                <w:lang w:val="fr-FR"/>
              </w:rPr>
              <w:t xml:space="preserve"> </w:t>
            </w:r>
            <w:r w:rsidRPr="004E44F1">
              <w:rPr>
                <w:sz w:val="22"/>
                <w:szCs w:val="22"/>
                <w:lang w:val="fr-FR"/>
              </w:rPr>
              <w:t>% par an selon le taux d</w:t>
            </w:r>
            <w:r w:rsidR="00B06B07">
              <w:rPr>
                <w:sz w:val="22"/>
                <w:szCs w:val="22"/>
                <w:lang w:val="fr-FR"/>
              </w:rPr>
              <w:t>’</w:t>
            </w:r>
            <w:r w:rsidRPr="004E44F1">
              <w:rPr>
                <w:sz w:val="22"/>
                <w:szCs w:val="22"/>
                <w:lang w:val="fr-FR"/>
              </w:rPr>
              <w:t>inflation estimé</w:t>
            </w:r>
          </w:p>
        </w:tc>
      </w:tr>
    </w:tbl>
    <w:p w:rsidR="00F30AE0" w:rsidRPr="00605B50" w:rsidRDefault="00F30AE0" w:rsidP="00F30AE0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F01409" w:rsidRPr="00605B50" w:rsidRDefault="004E44F1" w:rsidP="007A704D">
      <w:pPr>
        <w:spacing w:after="0" w:line="260" w:lineRule="auto"/>
        <w:jc w:val="both"/>
        <w:rPr>
          <w:rFonts w:ascii="Times New Roman" w:hAnsi="Times New Roman" w:cs="Times New Roman"/>
          <w:lang w:val="fr-FR"/>
        </w:rPr>
      </w:pPr>
      <w:r w:rsidRPr="004E44F1">
        <w:rPr>
          <w:rFonts w:ascii="Times New Roman" w:hAnsi="Times New Roman" w:cs="Times New Roman"/>
          <w:lang w:val="fr-FR"/>
        </w:rPr>
        <w:t>Ce scénario vise à couvrir la baisse du pouvoir d</w:t>
      </w:r>
      <w:r w:rsidR="00B06B07">
        <w:rPr>
          <w:rFonts w:ascii="Times New Roman" w:hAnsi="Times New Roman" w:cs="Times New Roman"/>
          <w:lang w:val="fr-FR"/>
        </w:rPr>
        <w:t>’</w:t>
      </w:r>
      <w:r w:rsidRPr="004E44F1">
        <w:rPr>
          <w:rFonts w:ascii="Times New Roman" w:hAnsi="Times New Roman" w:cs="Times New Roman"/>
          <w:lang w:val="fr-FR"/>
        </w:rPr>
        <w:t>achat due à l</w:t>
      </w:r>
      <w:r w:rsidR="00B06B07">
        <w:rPr>
          <w:rFonts w:ascii="Times New Roman" w:hAnsi="Times New Roman" w:cs="Times New Roman"/>
          <w:lang w:val="fr-FR"/>
        </w:rPr>
        <w:t>’</w:t>
      </w:r>
      <w:r w:rsidRPr="004E44F1">
        <w:rPr>
          <w:rFonts w:ascii="Times New Roman" w:hAnsi="Times New Roman" w:cs="Times New Roman"/>
          <w:lang w:val="fr-FR"/>
        </w:rPr>
        <w:t>inflation, ce qui n</w:t>
      </w:r>
      <w:r w:rsidR="00B06B07">
        <w:rPr>
          <w:rFonts w:ascii="Times New Roman" w:hAnsi="Times New Roman" w:cs="Times New Roman"/>
          <w:lang w:val="fr-FR"/>
        </w:rPr>
        <w:t>’</w:t>
      </w:r>
      <w:r w:rsidRPr="004E44F1">
        <w:rPr>
          <w:rFonts w:ascii="Times New Roman" w:hAnsi="Times New Roman" w:cs="Times New Roman"/>
          <w:lang w:val="fr-FR"/>
        </w:rPr>
        <w:t>a pas été fait au cours des 10 dernières années.</w:t>
      </w:r>
      <w:r w:rsidR="0021448B" w:rsidRPr="00605B50">
        <w:rPr>
          <w:rFonts w:ascii="Times New Roman" w:hAnsi="Times New Roman" w:cs="Times New Roman"/>
          <w:lang w:val="fr-FR"/>
        </w:rPr>
        <w:t xml:space="preserve"> </w:t>
      </w:r>
      <w:r w:rsidRPr="004E44F1">
        <w:rPr>
          <w:rFonts w:ascii="Times New Roman" w:hAnsi="Times New Roman" w:cs="Times New Roman"/>
          <w:lang w:val="fr-FR"/>
        </w:rPr>
        <w:t>Sur la base d</w:t>
      </w:r>
      <w:r w:rsidR="00B06B07">
        <w:rPr>
          <w:rFonts w:ascii="Times New Roman" w:hAnsi="Times New Roman" w:cs="Times New Roman"/>
          <w:lang w:val="fr-FR"/>
        </w:rPr>
        <w:t>’</w:t>
      </w:r>
      <w:r w:rsidRPr="004E44F1">
        <w:rPr>
          <w:rFonts w:ascii="Times New Roman" w:hAnsi="Times New Roman" w:cs="Times New Roman"/>
          <w:lang w:val="fr-FR"/>
        </w:rPr>
        <w:t>une estimation de 2</w:t>
      </w:r>
      <w:r w:rsidR="00155C88">
        <w:rPr>
          <w:rFonts w:ascii="Times New Roman" w:hAnsi="Times New Roman" w:cs="Times New Roman"/>
          <w:lang w:val="fr-FR"/>
        </w:rPr>
        <w:t> </w:t>
      </w:r>
      <w:r w:rsidRPr="004E44F1">
        <w:rPr>
          <w:rFonts w:ascii="Times New Roman" w:hAnsi="Times New Roman" w:cs="Times New Roman"/>
          <w:lang w:val="fr-FR"/>
        </w:rPr>
        <w:t xml:space="preserve">% par an, on parvient au total à une augmentation de 4,04 % par </w:t>
      </w:r>
      <w:r w:rsidR="00155C88">
        <w:rPr>
          <w:rFonts w:ascii="Times New Roman" w:hAnsi="Times New Roman" w:cs="Times New Roman"/>
          <w:lang w:val="fr-FR"/>
        </w:rPr>
        <w:t>rapport</w:t>
      </w:r>
      <w:r w:rsidRPr="004E44F1">
        <w:rPr>
          <w:rFonts w:ascii="Times New Roman" w:hAnsi="Times New Roman" w:cs="Times New Roman"/>
          <w:lang w:val="fr-FR"/>
        </w:rPr>
        <w:t xml:space="preserve"> au scénario 1. Ce scénario peut être considéré comme le scénario de croissance réelle nulle.</w:t>
      </w:r>
      <w:r w:rsidR="00EF1659" w:rsidRPr="00605B50">
        <w:rPr>
          <w:rFonts w:ascii="Times New Roman" w:hAnsi="Times New Roman" w:cs="Times New Roman"/>
          <w:lang w:val="fr-FR"/>
        </w:rPr>
        <w:t xml:space="preserve"> </w:t>
      </w:r>
      <w:r w:rsidRPr="007A704D">
        <w:rPr>
          <w:rFonts w:ascii="Times New Roman" w:hAnsi="Times New Roman" w:cs="Times New Roman"/>
          <w:lang w:val="fr-FR"/>
        </w:rPr>
        <w:t>Le scénario 2 comprend tous les éléments déjà inclus dans le scénario 1. En plus, l</w:t>
      </w:r>
      <w:r w:rsidR="00B06B07">
        <w:rPr>
          <w:rFonts w:ascii="Times New Roman" w:hAnsi="Times New Roman" w:cs="Times New Roman"/>
          <w:lang w:val="fr-FR"/>
        </w:rPr>
        <w:t>’</w:t>
      </w:r>
      <w:r w:rsidRPr="007A704D">
        <w:rPr>
          <w:rFonts w:ascii="Times New Roman" w:hAnsi="Times New Roman" w:cs="Times New Roman"/>
          <w:lang w:val="fr-FR"/>
        </w:rPr>
        <w:t xml:space="preserve">option présente un </w:t>
      </w:r>
      <w:r w:rsidRPr="007A704D">
        <w:rPr>
          <w:rFonts w:ascii="Times New Roman" w:hAnsi="Times New Roman" w:cs="Times New Roman"/>
          <w:lang w:val="fr-FR"/>
        </w:rPr>
        <w:lastRenderedPageBreak/>
        <w:t xml:space="preserve">budget plus élevé pour </w:t>
      </w:r>
      <w:r w:rsidR="00155C88">
        <w:rPr>
          <w:rFonts w:ascii="Times New Roman" w:hAnsi="Times New Roman" w:cs="Times New Roman"/>
          <w:lang w:val="fr-FR"/>
        </w:rPr>
        <w:t>l</w:t>
      </w:r>
      <w:r w:rsidRPr="007A704D">
        <w:rPr>
          <w:rFonts w:ascii="Times New Roman" w:hAnsi="Times New Roman" w:cs="Times New Roman"/>
          <w:lang w:val="fr-FR"/>
        </w:rPr>
        <w:t xml:space="preserve">es traductions et le prestataire de services informatiques afin de couvrir les frais réels de ces rubriques. </w:t>
      </w:r>
      <w:r w:rsidR="007A704D" w:rsidRPr="007A704D">
        <w:rPr>
          <w:rFonts w:ascii="Times New Roman" w:hAnsi="Times New Roman" w:cs="Times New Roman"/>
          <w:lang w:val="fr-FR"/>
        </w:rPr>
        <w:t xml:space="preserve">Il fournit également un budget plus élevé </w:t>
      </w:r>
      <w:r w:rsidRPr="007A704D">
        <w:rPr>
          <w:rFonts w:ascii="Times New Roman" w:hAnsi="Times New Roman" w:cs="Times New Roman"/>
          <w:lang w:val="fr-FR"/>
        </w:rPr>
        <w:t>pour l</w:t>
      </w:r>
      <w:r w:rsidR="00B06B07">
        <w:rPr>
          <w:rFonts w:ascii="Times New Roman" w:hAnsi="Times New Roman" w:cs="Times New Roman"/>
          <w:lang w:val="fr-FR"/>
        </w:rPr>
        <w:t>’</w:t>
      </w:r>
      <w:r w:rsidRPr="007A704D">
        <w:rPr>
          <w:rFonts w:ascii="Times New Roman" w:hAnsi="Times New Roman" w:cs="Times New Roman"/>
          <w:lang w:val="fr-FR"/>
        </w:rPr>
        <w:t xml:space="preserve">interprétation </w:t>
      </w:r>
      <w:r w:rsidR="00155C88">
        <w:rPr>
          <w:rFonts w:ascii="Times New Roman" w:hAnsi="Times New Roman" w:cs="Times New Roman"/>
          <w:lang w:val="fr-FR"/>
        </w:rPr>
        <w:t xml:space="preserve">simultanée </w:t>
      </w:r>
      <w:r w:rsidRPr="007A704D">
        <w:rPr>
          <w:rFonts w:ascii="Times New Roman" w:hAnsi="Times New Roman" w:cs="Times New Roman"/>
          <w:lang w:val="fr-FR"/>
        </w:rPr>
        <w:t>et l</w:t>
      </w:r>
      <w:r w:rsidR="00B06B07">
        <w:rPr>
          <w:rFonts w:ascii="Times New Roman" w:hAnsi="Times New Roman" w:cs="Times New Roman"/>
          <w:lang w:val="fr-FR"/>
        </w:rPr>
        <w:t>’</w:t>
      </w:r>
      <w:r w:rsidRPr="007A704D">
        <w:rPr>
          <w:rFonts w:ascii="Times New Roman" w:hAnsi="Times New Roman" w:cs="Times New Roman"/>
          <w:lang w:val="fr-FR"/>
        </w:rPr>
        <w:t xml:space="preserve">organisation de </w:t>
      </w:r>
      <w:r w:rsidR="007A704D" w:rsidRPr="007A704D">
        <w:rPr>
          <w:rFonts w:ascii="Times New Roman" w:hAnsi="Times New Roman" w:cs="Times New Roman"/>
          <w:lang w:val="fr-FR"/>
        </w:rPr>
        <w:t xml:space="preserve">la </w:t>
      </w:r>
      <w:r w:rsidRPr="007A704D">
        <w:rPr>
          <w:rFonts w:ascii="Times New Roman" w:hAnsi="Times New Roman" w:cs="Times New Roman"/>
          <w:lang w:val="fr-FR"/>
        </w:rPr>
        <w:t xml:space="preserve">MOP8 </w:t>
      </w:r>
      <w:r w:rsidR="007A704D" w:rsidRPr="007A704D">
        <w:rPr>
          <w:rFonts w:ascii="Times New Roman" w:hAnsi="Times New Roman" w:cs="Times New Roman"/>
          <w:lang w:val="fr-FR"/>
        </w:rPr>
        <w:t>ainsi qu</w:t>
      </w:r>
      <w:r w:rsidR="00B06B07">
        <w:rPr>
          <w:rFonts w:ascii="Times New Roman" w:hAnsi="Times New Roman" w:cs="Times New Roman"/>
          <w:lang w:val="fr-FR"/>
        </w:rPr>
        <w:t>’</w:t>
      </w:r>
      <w:r w:rsidR="007A704D" w:rsidRPr="007A704D">
        <w:rPr>
          <w:rFonts w:ascii="Times New Roman" w:hAnsi="Times New Roman" w:cs="Times New Roman"/>
          <w:lang w:val="fr-FR"/>
        </w:rPr>
        <w:t>une</w:t>
      </w:r>
      <w:r w:rsidRPr="007A704D">
        <w:rPr>
          <w:rFonts w:ascii="Times New Roman" w:hAnsi="Times New Roman" w:cs="Times New Roman"/>
          <w:lang w:val="fr-FR"/>
        </w:rPr>
        <w:t xml:space="preserve"> augmentation générale de 2</w:t>
      </w:r>
      <w:r w:rsidR="00155C88">
        <w:rPr>
          <w:rFonts w:ascii="Times New Roman" w:hAnsi="Times New Roman" w:cs="Times New Roman"/>
          <w:lang w:val="fr-FR"/>
        </w:rPr>
        <w:t> </w:t>
      </w:r>
      <w:r w:rsidRPr="007A704D">
        <w:rPr>
          <w:rFonts w:ascii="Times New Roman" w:hAnsi="Times New Roman" w:cs="Times New Roman"/>
          <w:lang w:val="fr-FR"/>
        </w:rPr>
        <w:t xml:space="preserve">% par an sur toutes les lignes budgétaires </w:t>
      </w:r>
      <w:r w:rsidR="007A704D" w:rsidRPr="007A704D">
        <w:rPr>
          <w:rFonts w:ascii="Times New Roman" w:hAnsi="Times New Roman" w:cs="Times New Roman"/>
          <w:lang w:val="fr-FR"/>
        </w:rPr>
        <w:t xml:space="preserve">opérationnelles </w:t>
      </w:r>
      <w:r w:rsidRPr="007A704D">
        <w:rPr>
          <w:rFonts w:ascii="Times New Roman" w:hAnsi="Times New Roman" w:cs="Times New Roman"/>
          <w:lang w:val="fr-FR"/>
        </w:rPr>
        <w:t xml:space="preserve">restantes pour couvrir le coût </w:t>
      </w:r>
      <w:r w:rsidR="007A704D" w:rsidRPr="007A704D">
        <w:rPr>
          <w:rFonts w:ascii="Times New Roman" w:hAnsi="Times New Roman" w:cs="Times New Roman"/>
          <w:lang w:val="fr-FR"/>
        </w:rPr>
        <w:t>de l</w:t>
      </w:r>
      <w:r w:rsidR="00B06B07">
        <w:rPr>
          <w:rFonts w:ascii="Times New Roman" w:hAnsi="Times New Roman" w:cs="Times New Roman"/>
          <w:lang w:val="fr-FR"/>
        </w:rPr>
        <w:t>’</w:t>
      </w:r>
      <w:r w:rsidRPr="007A704D">
        <w:rPr>
          <w:rFonts w:ascii="Times New Roman" w:hAnsi="Times New Roman" w:cs="Times New Roman"/>
          <w:lang w:val="fr-FR"/>
        </w:rPr>
        <w:t>inflation.</w:t>
      </w:r>
    </w:p>
    <w:p w:rsidR="005802FD" w:rsidRPr="00605B50" w:rsidRDefault="005802FD" w:rsidP="00AC233A">
      <w:pPr>
        <w:spacing w:after="120"/>
        <w:jc w:val="both"/>
        <w:rPr>
          <w:rFonts w:ascii="Times New Roman" w:hAnsi="Times New Roman" w:cs="Times New Roman"/>
          <w:b/>
          <w:lang w:val="fr-FR"/>
        </w:rPr>
      </w:pPr>
    </w:p>
    <w:p w:rsidR="003422CA" w:rsidRPr="00605B50" w:rsidRDefault="007A704D" w:rsidP="007A704D">
      <w:pPr>
        <w:shd w:val="clear" w:color="auto" w:fill="D9D9D9" w:themeFill="background1" w:themeFillShade="D9"/>
        <w:spacing w:after="0" w:line="260" w:lineRule="auto"/>
        <w:jc w:val="both"/>
        <w:rPr>
          <w:rFonts w:ascii="Times New Roman" w:hAnsi="Times New Roman" w:cs="Times New Roman"/>
          <w:b/>
          <w:lang w:val="fr-FR"/>
        </w:rPr>
      </w:pPr>
      <w:bookmarkStart w:id="2" w:name="_Hlk515960372"/>
      <w:r w:rsidRPr="007A704D">
        <w:rPr>
          <w:rFonts w:ascii="Times New Roman" w:hAnsi="Times New Roman" w:cs="Times New Roman"/>
          <w:b/>
          <w:lang w:val="fr-FR"/>
        </w:rPr>
        <w:t>Scénario 3 : + 4,79 % par rapport au scénario 2</w:t>
      </w:r>
      <w:r w:rsidR="003422CA" w:rsidRPr="00605B50">
        <w:rPr>
          <w:rFonts w:ascii="Times New Roman" w:hAnsi="Times New Roman" w:cs="Times New Roman"/>
          <w:b/>
          <w:lang w:val="fr-FR"/>
        </w:rPr>
        <w:t xml:space="preserve"> </w:t>
      </w:r>
    </w:p>
    <w:p w:rsidR="00F30AE0" w:rsidRPr="00605B50" w:rsidRDefault="00F30AE0" w:rsidP="00F30AE0">
      <w:pPr>
        <w:spacing w:after="0"/>
        <w:jc w:val="both"/>
        <w:rPr>
          <w:rFonts w:ascii="Times New Roman" w:hAnsi="Times New Roman" w:cs="Times New Roman"/>
          <w:b/>
          <w:lang w:val="fr-F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3422CA" w:rsidRPr="001D5F14" w:rsidTr="00E644CB">
        <w:tc>
          <w:tcPr>
            <w:tcW w:w="4678" w:type="dxa"/>
          </w:tcPr>
          <w:bookmarkEnd w:id="2"/>
          <w:p w:rsidR="003422CA" w:rsidRPr="002703A2" w:rsidRDefault="007A704D" w:rsidP="00BE22DD">
            <w:pPr>
              <w:jc w:val="both"/>
              <w:rPr>
                <w:sz w:val="22"/>
                <w:szCs w:val="22"/>
              </w:rPr>
            </w:pPr>
            <w:r w:rsidRPr="007A704D">
              <w:rPr>
                <w:sz w:val="22"/>
                <w:szCs w:val="22"/>
                <w:lang w:val="fr-FR"/>
              </w:rPr>
              <w:t>Scénario 2 (croissance réelle nulle)</w:t>
            </w:r>
          </w:p>
        </w:tc>
      </w:tr>
      <w:tr w:rsidR="003422CA" w:rsidRPr="00B5292F" w:rsidTr="00E644CB">
        <w:trPr>
          <w:trHeight w:val="107"/>
        </w:trPr>
        <w:tc>
          <w:tcPr>
            <w:tcW w:w="4678" w:type="dxa"/>
          </w:tcPr>
          <w:p w:rsidR="003422CA" w:rsidRPr="00605B50" w:rsidRDefault="007A704D" w:rsidP="00BE22DD">
            <w:pPr>
              <w:jc w:val="both"/>
              <w:rPr>
                <w:sz w:val="22"/>
                <w:szCs w:val="22"/>
                <w:lang w:val="fr-FR"/>
              </w:rPr>
            </w:pPr>
            <w:r w:rsidRPr="007A704D">
              <w:rPr>
                <w:sz w:val="22"/>
                <w:szCs w:val="22"/>
                <w:lang w:val="fr-FR"/>
              </w:rPr>
              <w:t>+ 30 % Assistant chargé de d</w:t>
            </w:r>
            <w:r w:rsidR="00B06B07">
              <w:rPr>
                <w:sz w:val="22"/>
                <w:szCs w:val="22"/>
                <w:lang w:val="fr-FR"/>
              </w:rPr>
              <w:t>’</w:t>
            </w:r>
            <w:r w:rsidRPr="007A704D">
              <w:rPr>
                <w:sz w:val="22"/>
                <w:szCs w:val="22"/>
                <w:lang w:val="fr-FR"/>
              </w:rPr>
              <w:t xml:space="preserve">information (G-5) </w:t>
            </w:r>
          </w:p>
        </w:tc>
      </w:tr>
      <w:tr w:rsidR="003422CA" w:rsidRPr="00B5292F" w:rsidTr="00E644CB">
        <w:trPr>
          <w:trHeight w:val="107"/>
        </w:trPr>
        <w:tc>
          <w:tcPr>
            <w:tcW w:w="4678" w:type="dxa"/>
          </w:tcPr>
          <w:p w:rsidR="003422CA" w:rsidRPr="00605B50" w:rsidRDefault="007A704D" w:rsidP="00BE22DD">
            <w:pPr>
              <w:rPr>
                <w:sz w:val="22"/>
                <w:szCs w:val="22"/>
                <w:lang w:val="fr-FR"/>
              </w:rPr>
            </w:pPr>
            <w:r w:rsidRPr="007A704D">
              <w:rPr>
                <w:sz w:val="22"/>
                <w:szCs w:val="22"/>
                <w:lang w:val="fr-FR"/>
              </w:rPr>
              <w:t>+ 30</w:t>
            </w:r>
            <w:r w:rsidR="00B06B07">
              <w:rPr>
                <w:sz w:val="22"/>
                <w:szCs w:val="22"/>
                <w:lang w:val="fr-FR"/>
              </w:rPr>
              <w:t xml:space="preserve"> </w:t>
            </w:r>
            <w:r w:rsidRPr="007A704D">
              <w:rPr>
                <w:sz w:val="22"/>
                <w:szCs w:val="22"/>
                <w:lang w:val="fr-FR"/>
              </w:rPr>
              <w:t>% Assistant de gestion de programme (G-5)</w:t>
            </w:r>
          </w:p>
        </w:tc>
      </w:tr>
      <w:tr w:rsidR="003422CA" w:rsidRPr="001D5F14" w:rsidTr="00E644CB">
        <w:trPr>
          <w:trHeight w:val="107"/>
        </w:trPr>
        <w:tc>
          <w:tcPr>
            <w:tcW w:w="4678" w:type="dxa"/>
          </w:tcPr>
          <w:p w:rsidR="003422CA" w:rsidRPr="002703A2" w:rsidRDefault="007A704D" w:rsidP="00BE22DD">
            <w:pPr>
              <w:jc w:val="both"/>
              <w:rPr>
                <w:sz w:val="22"/>
                <w:szCs w:val="22"/>
              </w:rPr>
            </w:pPr>
            <w:r w:rsidRPr="007A704D">
              <w:rPr>
                <w:sz w:val="22"/>
                <w:szCs w:val="22"/>
                <w:lang w:val="fr-FR"/>
              </w:rPr>
              <w:t xml:space="preserve">+ 5 % coûts de fonctionnement </w:t>
            </w:r>
          </w:p>
        </w:tc>
      </w:tr>
    </w:tbl>
    <w:p w:rsidR="003422CA" w:rsidRDefault="003422CA" w:rsidP="003422CA">
      <w:pPr>
        <w:jc w:val="both"/>
        <w:rPr>
          <w:rFonts w:ascii="Times New Roman" w:hAnsi="Times New Roman" w:cs="Times New Roman"/>
          <w:b/>
        </w:rPr>
      </w:pPr>
    </w:p>
    <w:p w:rsidR="00394568" w:rsidRPr="00605B50" w:rsidRDefault="007A704D" w:rsidP="00075677">
      <w:pPr>
        <w:spacing w:line="280" w:lineRule="auto"/>
        <w:jc w:val="both"/>
        <w:rPr>
          <w:rFonts w:ascii="Times New Roman" w:hAnsi="Times New Roman" w:cs="Times New Roman"/>
          <w:lang w:val="fr-FR"/>
        </w:rPr>
      </w:pPr>
      <w:r w:rsidRPr="00075677">
        <w:rPr>
          <w:rFonts w:ascii="Times New Roman" w:hAnsi="Times New Roman" w:cs="Times New Roman"/>
          <w:lang w:val="fr-FR"/>
        </w:rPr>
        <w:t xml:space="preserve">Le scénario 3 prévoit une augmentation </w:t>
      </w:r>
      <w:proofErr w:type="gramStart"/>
      <w:r w:rsidRPr="00075677">
        <w:rPr>
          <w:rFonts w:ascii="Times New Roman" w:hAnsi="Times New Roman" w:cs="Times New Roman"/>
          <w:lang w:val="fr-FR"/>
        </w:rPr>
        <w:t xml:space="preserve">de </w:t>
      </w:r>
      <w:r w:rsidR="008A70CD">
        <w:rPr>
          <w:rFonts w:ascii="Times New Roman" w:hAnsi="Times New Roman" w:cs="Times New Roman"/>
          <w:lang w:val="fr-FR"/>
        </w:rPr>
        <w:t xml:space="preserve"> </w:t>
      </w:r>
      <w:r w:rsidRPr="00075677">
        <w:rPr>
          <w:rFonts w:ascii="Times New Roman" w:hAnsi="Times New Roman" w:cs="Times New Roman"/>
          <w:lang w:val="fr-FR"/>
        </w:rPr>
        <w:t>4</w:t>
      </w:r>
      <w:proofErr w:type="gramEnd"/>
      <w:r w:rsidRPr="00075677">
        <w:rPr>
          <w:rFonts w:ascii="Times New Roman" w:hAnsi="Times New Roman" w:cs="Times New Roman"/>
          <w:lang w:val="fr-FR"/>
        </w:rPr>
        <w:t xml:space="preserve">,79 % par rapport au scénario 2. Il inclut tous les éléments </w:t>
      </w:r>
      <w:r w:rsidR="00155C88">
        <w:rPr>
          <w:rFonts w:ascii="Times New Roman" w:hAnsi="Times New Roman" w:cs="Times New Roman"/>
          <w:lang w:val="fr-FR"/>
        </w:rPr>
        <w:t>de ce dernier</w:t>
      </w:r>
      <w:r w:rsidRPr="00075677">
        <w:rPr>
          <w:rFonts w:ascii="Times New Roman" w:hAnsi="Times New Roman" w:cs="Times New Roman"/>
          <w:lang w:val="fr-FR"/>
        </w:rPr>
        <w:t xml:space="preserve">. En </w:t>
      </w:r>
      <w:r w:rsidR="00075677" w:rsidRPr="00075677">
        <w:rPr>
          <w:rFonts w:ascii="Times New Roman" w:hAnsi="Times New Roman" w:cs="Times New Roman"/>
          <w:lang w:val="fr-FR"/>
        </w:rPr>
        <w:t>plus, il propose une augmentation des temps de travail des postes d</w:t>
      </w:r>
      <w:r w:rsidR="00B06B07">
        <w:rPr>
          <w:rFonts w:ascii="Times New Roman" w:hAnsi="Times New Roman" w:cs="Times New Roman"/>
          <w:lang w:val="fr-FR"/>
        </w:rPr>
        <w:t>’</w:t>
      </w:r>
      <w:r w:rsidR="00075677" w:rsidRPr="00075677">
        <w:rPr>
          <w:rFonts w:ascii="Times New Roman" w:hAnsi="Times New Roman" w:cs="Times New Roman"/>
          <w:lang w:val="fr-FR"/>
        </w:rPr>
        <w:t>Assistant chargé de l</w:t>
      </w:r>
      <w:r w:rsidR="00B06B07">
        <w:rPr>
          <w:rFonts w:ascii="Times New Roman" w:hAnsi="Times New Roman" w:cs="Times New Roman"/>
          <w:lang w:val="fr-FR"/>
        </w:rPr>
        <w:t>’</w:t>
      </w:r>
      <w:r w:rsidR="00075677" w:rsidRPr="00075677">
        <w:rPr>
          <w:rFonts w:ascii="Times New Roman" w:hAnsi="Times New Roman" w:cs="Times New Roman"/>
          <w:lang w:val="fr-FR"/>
        </w:rPr>
        <w:t>information et d</w:t>
      </w:r>
      <w:r w:rsidR="00B06B07">
        <w:rPr>
          <w:rFonts w:ascii="Times New Roman" w:hAnsi="Times New Roman" w:cs="Times New Roman"/>
          <w:lang w:val="fr-FR"/>
        </w:rPr>
        <w:t>’</w:t>
      </w:r>
      <w:r w:rsidR="00075677" w:rsidRPr="00075677">
        <w:rPr>
          <w:rFonts w:ascii="Times New Roman" w:hAnsi="Times New Roman" w:cs="Times New Roman"/>
          <w:lang w:val="fr-FR"/>
        </w:rPr>
        <w:t xml:space="preserve">Assistant de gestion de programme </w:t>
      </w:r>
      <w:r w:rsidRPr="00075677">
        <w:rPr>
          <w:rFonts w:ascii="Times New Roman" w:hAnsi="Times New Roman" w:cs="Times New Roman"/>
          <w:lang w:val="fr-FR"/>
        </w:rPr>
        <w:t>(</w:t>
      </w:r>
      <w:r w:rsidR="00075677" w:rsidRPr="00075677">
        <w:rPr>
          <w:rFonts w:ascii="Times New Roman" w:hAnsi="Times New Roman" w:cs="Times New Roman"/>
          <w:lang w:val="fr-FR"/>
        </w:rPr>
        <w:t>I</w:t>
      </w:r>
      <w:r w:rsidRPr="00075677">
        <w:rPr>
          <w:rFonts w:ascii="Times New Roman" w:hAnsi="Times New Roman" w:cs="Times New Roman"/>
          <w:lang w:val="fr-FR"/>
        </w:rPr>
        <w:t xml:space="preserve">nitiative africaine) </w:t>
      </w:r>
      <w:r w:rsidR="00075677" w:rsidRPr="00075677">
        <w:rPr>
          <w:rFonts w:ascii="Times New Roman" w:hAnsi="Times New Roman" w:cs="Times New Roman"/>
          <w:lang w:val="fr-FR"/>
        </w:rPr>
        <w:t xml:space="preserve">les faisant passer de </w:t>
      </w:r>
      <w:r w:rsidRPr="00075677">
        <w:rPr>
          <w:rFonts w:ascii="Times New Roman" w:hAnsi="Times New Roman" w:cs="Times New Roman"/>
          <w:lang w:val="fr-FR"/>
        </w:rPr>
        <w:t>50</w:t>
      </w:r>
      <w:r w:rsidR="00075677" w:rsidRPr="00075677">
        <w:rPr>
          <w:rFonts w:ascii="Times New Roman" w:hAnsi="Times New Roman" w:cs="Times New Roman"/>
          <w:lang w:val="fr-FR"/>
        </w:rPr>
        <w:t> </w:t>
      </w:r>
      <w:r w:rsidRPr="00075677">
        <w:rPr>
          <w:rFonts w:ascii="Times New Roman" w:hAnsi="Times New Roman" w:cs="Times New Roman"/>
          <w:lang w:val="fr-FR"/>
        </w:rPr>
        <w:t>%</w:t>
      </w:r>
      <w:r w:rsidR="00B06B07">
        <w:rPr>
          <w:rFonts w:ascii="Times New Roman" w:hAnsi="Times New Roman" w:cs="Times New Roman"/>
          <w:lang w:val="fr-FR"/>
        </w:rPr>
        <w:t xml:space="preserve"> </w:t>
      </w:r>
      <w:r w:rsidR="00075677" w:rsidRPr="00075677">
        <w:rPr>
          <w:rFonts w:ascii="Times New Roman" w:hAnsi="Times New Roman" w:cs="Times New Roman"/>
          <w:lang w:val="fr-FR"/>
        </w:rPr>
        <w:t xml:space="preserve">à </w:t>
      </w:r>
      <w:r w:rsidRPr="00075677">
        <w:rPr>
          <w:rFonts w:ascii="Times New Roman" w:hAnsi="Times New Roman" w:cs="Times New Roman"/>
          <w:lang w:val="fr-FR"/>
        </w:rPr>
        <w:t>80</w:t>
      </w:r>
      <w:r w:rsidR="0058656E">
        <w:rPr>
          <w:rFonts w:ascii="Times New Roman" w:hAnsi="Times New Roman" w:cs="Times New Roman"/>
          <w:lang w:val="fr-FR"/>
        </w:rPr>
        <w:t> </w:t>
      </w:r>
      <w:r w:rsidRPr="00075677">
        <w:rPr>
          <w:rFonts w:ascii="Times New Roman" w:hAnsi="Times New Roman" w:cs="Times New Roman"/>
          <w:lang w:val="fr-FR"/>
        </w:rPr>
        <w:t>%.</w:t>
      </w:r>
      <w:r w:rsidR="00F46548" w:rsidRPr="00605B50">
        <w:rPr>
          <w:rFonts w:ascii="Times New Roman" w:hAnsi="Times New Roman" w:cs="Times New Roman"/>
          <w:lang w:val="fr-FR"/>
        </w:rPr>
        <w:t xml:space="preserve"> </w:t>
      </w:r>
      <w:r w:rsidR="00075677" w:rsidRPr="00075677">
        <w:rPr>
          <w:rFonts w:ascii="Times New Roman" w:hAnsi="Times New Roman" w:cs="Times New Roman"/>
          <w:lang w:val="fr-FR"/>
        </w:rPr>
        <w:t xml:space="preserve">Ces deux postes ont été occupé sur une base de 80 % </w:t>
      </w:r>
      <w:r w:rsidR="00075677" w:rsidRPr="008A70CD">
        <w:rPr>
          <w:rFonts w:ascii="Times New Roman" w:hAnsi="Times New Roman" w:cs="Times New Roman"/>
          <w:lang w:val="fr-FR"/>
        </w:rPr>
        <w:t>(partiellement 100 %)</w:t>
      </w:r>
      <w:r w:rsidR="00155C88" w:rsidRPr="008A70CD">
        <w:rPr>
          <w:rFonts w:ascii="Times New Roman" w:hAnsi="Times New Roman" w:cs="Times New Roman"/>
          <w:lang w:val="fr-FR"/>
        </w:rPr>
        <w:t xml:space="preserve"> pour</w:t>
      </w:r>
      <w:r w:rsidR="00155C88">
        <w:rPr>
          <w:rFonts w:ascii="Times New Roman" w:hAnsi="Times New Roman" w:cs="Times New Roman"/>
          <w:lang w:val="fr-FR"/>
        </w:rPr>
        <w:t xml:space="preserve"> </w:t>
      </w:r>
      <w:r w:rsidR="00155C88" w:rsidRPr="00075677">
        <w:rPr>
          <w:rFonts w:ascii="Times New Roman" w:hAnsi="Times New Roman" w:cs="Times New Roman"/>
          <w:lang w:val="fr-FR"/>
        </w:rPr>
        <w:t xml:space="preserve">ces neuf dernières </w:t>
      </w:r>
      <w:proofErr w:type="gramStart"/>
      <w:r w:rsidR="00155C88" w:rsidRPr="008A70CD">
        <w:rPr>
          <w:rFonts w:ascii="Times New Roman" w:hAnsi="Times New Roman" w:cs="Times New Roman"/>
          <w:lang w:val="fr-FR"/>
        </w:rPr>
        <w:t>années</w:t>
      </w:r>
      <w:r w:rsidR="00075677" w:rsidRPr="008A70CD">
        <w:rPr>
          <w:rFonts w:ascii="Times New Roman" w:hAnsi="Times New Roman" w:cs="Times New Roman"/>
          <w:lang w:val="fr-FR"/>
        </w:rPr>
        <w:t xml:space="preserve"> </w:t>
      </w:r>
      <w:r w:rsidR="008A70CD" w:rsidRPr="008A70CD">
        <w:rPr>
          <w:rFonts w:ascii="Times New Roman" w:hAnsi="Times New Roman" w:cs="Times New Roman"/>
          <w:lang w:val="fr-FR"/>
        </w:rPr>
        <w:t xml:space="preserve"> (</w:t>
      </w:r>
      <w:proofErr w:type="gramEnd"/>
      <w:r w:rsidR="00075677" w:rsidRPr="008A70CD">
        <w:rPr>
          <w:rFonts w:ascii="Times New Roman" w:hAnsi="Times New Roman" w:cs="Times New Roman"/>
          <w:lang w:val="fr-FR"/>
        </w:rPr>
        <w:t>Assistant</w:t>
      </w:r>
      <w:r w:rsidR="00075677" w:rsidRPr="00155C88">
        <w:rPr>
          <w:rFonts w:ascii="Times New Roman" w:hAnsi="Times New Roman" w:cs="Times New Roman"/>
          <w:lang w:val="fr-FR"/>
        </w:rPr>
        <w:t xml:space="preserve"> chargé de l</w:t>
      </w:r>
      <w:r w:rsidR="00B06B07">
        <w:rPr>
          <w:rFonts w:ascii="Times New Roman" w:hAnsi="Times New Roman" w:cs="Times New Roman"/>
          <w:lang w:val="fr-FR"/>
        </w:rPr>
        <w:t>’</w:t>
      </w:r>
      <w:r w:rsidR="00075677" w:rsidRPr="00155C88">
        <w:rPr>
          <w:rFonts w:ascii="Times New Roman" w:hAnsi="Times New Roman" w:cs="Times New Roman"/>
          <w:lang w:val="fr-FR"/>
        </w:rPr>
        <w:t>information</w:t>
      </w:r>
      <w:r w:rsidR="008A70CD">
        <w:rPr>
          <w:rFonts w:ascii="Times New Roman" w:hAnsi="Times New Roman" w:cs="Times New Roman"/>
          <w:lang w:val="fr-FR"/>
        </w:rPr>
        <w:t xml:space="preserve">) </w:t>
      </w:r>
      <w:r w:rsidR="00075677" w:rsidRPr="00155C88">
        <w:rPr>
          <w:rFonts w:ascii="Times New Roman" w:hAnsi="Times New Roman" w:cs="Times New Roman"/>
          <w:lang w:val="fr-FR"/>
        </w:rPr>
        <w:t xml:space="preserve">et </w:t>
      </w:r>
      <w:r w:rsidR="00155C88" w:rsidRPr="00155C88">
        <w:rPr>
          <w:rFonts w:ascii="Times New Roman" w:hAnsi="Times New Roman" w:cs="Times New Roman"/>
          <w:lang w:val="fr-FR"/>
        </w:rPr>
        <w:t xml:space="preserve">pour </w:t>
      </w:r>
      <w:r w:rsidR="00075677" w:rsidRPr="00155C88">
        <w:rPr>
          <w:rFonts w:ascii="Times New Roman" w:hAnsi="Times New Roman" w:cs="Times New Roman"/>
          <w:lang w:val="fr-FR"/>
        </w:rPr>
        <w:t>ces trois dernières années</w:t>
      </w:r>
      <w:r w:rsidR="00155C88" w:rsidRPr="00155C88">
        <w:rPr>
          <w:rFonts w:ascii="Times New Roman" w:hAnsi="Times New Roman" w:cs="Times New Roman"/>
          <w:lang w:val="fr-FR"/>
        </w:rPr>
        <w:t xml:space="preserve"> (</w:t>
      </w:r>
      <w:r w:rsidR="00075677" w:rsidRPr="00155C88">
        <w:rPr>
          <w:rFonts w:ascii="Times New Roman" w:hAnsi="Times New Roman" w:cs="Times New Roman"/>
          <w:lang w:val="fr-FR"/>
        </w:rPr>
        <w:t>Assistant de gestion de programme IA)</w:t>
      </w:r>
      <w:r w:rsidR="00075677" w:rsidRPr="00075677">
        <w:rPr>
          <w:rFonts w:ascii="Times New Roman" w:hAnsi="Times New Roman" w:cs="Times New Roman"/>
          <w:lang w:val="fr-FR"/>
        </w:rPr>
        <w:t xml:space="preserve"> pour</w:t>
      </w:r>
      <w:r w:rsidR="00B06B07">
        <w:rPr>
          <w:rFonts w:ascii="Times New Roman" w:hAnsi="Times New Roman" w:cs="Times New Roman"/>
          <w:lang w:val="fr-FR"/>
        </w:rPr>
        <w:t xml:space="preserve"> </w:t>
      </w:r>
      <w:r w:rsidR="00075677" w:rsidRPr="00075677">
        <w:rPr>
          <w:rFonts w:ascii="Times New Roman" w:hAnsi="Times New Roman" w:cs="Times New Roman"/>
          <w:lang w:val="fr-FR"/>
        </w:rPr>
        <w:t xml:space="preserve">pouvoir faire face à la charge de travail quotidienne </w:t>
      </w:r>
      <w:r w:rsidR="0058656E">
        <w:rPr>
          <w:rFonts w:ascii="Times New Roman" w:hAnsi="Times New Roman" w:cs="Times New Roman"/>
          <w:lang w:val="fr-FR"/>
        </w:rPr>
        <w:t>à laquelle</w:t>
      </w:r>
      <w:r w:rsidR="00075677" w:rsidRPr="00075677">
        <w:rPr>
          <w:rFonts w:ascii="Times New Roman" w:hAnsi="Times New Roman" w:cs="Times New Roman"/>
          <w:lang w:val="fr-FR"/>
        </w:rPr>
        <w:t xml:space="preserve"> le Secrétariat était confronté.</w:t>
      </w:r>
      <w:r w:rsidR="004B4173" w:rsidRPr="00605B50">
        <w:rPr>
          <w:rFonts w:ascii="Times New Roman" w:hAnsi="Times New Roman" w:cs="Times New Roman"/>
          <w:lang w:val="fr-FR"/>
        </w:rPr>
        <w:t xml:space="preserve"> </w:t>
      </w:r>
      <w:r w:rsidR="00075677" w:rsidRPr="00075677">
        <w:rPr>
          <w:rFonts w:ascii="Times New Roman" w:hAnsi="Times New Roman" w:cs="Times New Roman"/>
          <w:lang w:val="fr-FR"/>
        </w:rPr>
        <w:t>Pour finir, ce scénario comprend une augmentation supplémentaire de 5 % sur toutes les lignes budgétaires opérationnelles.</w:t>
      </w:r>
      <w:r w:rsidR="00145FAA" w:rsidRPr="00605B50">
        <w:rPr>
          <w:rFonts w:ascii="Times New Roman" w:hAnsi="Times New Roman" w:cs="Times New Roman"/>
          <w:lang w:val="fr-FR"/>
        </w:rPr>
        <w:t xml:space="preserve"> </w:t>
      </w:r>
    </w:p>
    <w:p w:rsidR="00AC233A" w:rsidRPr="00605B50" w:rsidRDefault="00075677" w:rsidP="00FF5562">
      <w:pPr>
        <w:spacing w:after="0" w:line="280" w:lineRule="auto"/>
        <w:jc w:val="both"/>
        <w:rPr>
          <w:rFonts w:ascii="Times New Roman" w:hAnsi="Times New Roman" w:cs="Times New Roman"/>
          <w:lang w:val="fr-FR"/>
        </w:rPr>
      </w:pPr>
      <w:r w:rsidRPr="00075677">
        <w:rPr>
          <w:rFonts w:ascii="Times New Roman" w:hAnsi="Times New Roman" w:cs="Times New Roman"/>
          <w:lang w:val="fr-FR"/>
        </w:rPr>
        <w:t xml:space="preserve">Ce scénario se justifie par la volonté de renforcer </w:t>
      </w:r>
      <w:r w:rsidR="008A70CD">
        <w:rPr>
          <w:rFonts w:ascii="Times New Roman" w:hAnsi="Times New Roman" w:cs="Times New Roman"/>
          <w:lang w:val="fr-FR"/>
        </w:rPr>
        <w:t>en</w:t>
      </w:r>
      <w:r w:rsidR="00155C88">
        <w:rPr>
          <w:rFonts w:ascii="Times New Roman" w:hAnsi="Times New Roman" w:cs="Times New Roman"/>
          <w:lang w:val="fr-FR"/>
        </w:rPr>
        <w:t xml:space="preserve"> général </w:t>
      </w:r>
      <w:r w:rsidRPr="00075677">
        <w:rPr>
          <w:rFonts w:ascii="Times New Roman" w:hAnsi="Times New Roman" w:cs="Times New Roman"/>
          <w:lang w:val="fr-FR"/>
        </w:rPr>
        <w:t xml:space="preserve">le fonctionnement </w:t>
      </w:r>
      <w:r w:rsidR="00155C88">
        <w:rPr>
          <w:rFonts w:ascii="Times New Roman" w:hAnsi="Times New Roman" w:cs="Times New Roman"/>
          <w:lang w:val="fr-FR"/>
        </w:rPr>
        <w:t>d</w:t>
      </w:r>
      <w:r w:rsidR="00B06B07">
        <w:rPr>
          <w:rFonts w:ascii="Times New Roman" w:hAnsi="Times New Roman" w:cs="Times New Roman"/>
          <w:lang w:val="fr-FR"/>
        </w:rPr>
        <w:t>’</w:t>
      </w:r>
      <w:r w:rsidR="00155C88">
        <w:rPr>
          <w:rFonts w:ascii="Times New Roman" w:hAnsi="Times New Roman" w:cs="Times New Roman"/>
          <w:lang w:val="fr-FR"/>
        </w:rPr>
        <w:t>ensemble</w:t>
      </w:r>
      <w:r w:rsidRPr="00075677">
        <w:rPr>
          <w:rFonts w:ascii="Times New Roman" w:hAnsi="Times New Roman" w:cs="Times New Roman"/>
          <w:lang w:val="fr-FR"/>
        </w:rPr>
        <w:t xml:space="preserve"> des </w:t>
      </w:r>
      <w:r w:rsidR="00642BF7">
        <w:rPr>
          <w:rFonts w:ascii="Times New Roman" w:hAnsi="Times New Roman" w:cs="Times New Roman"/>
          <w:lang w:val="fr-FR"/>
        </w:rPr>
        <w:t>activités</w:t>
      </w:r>
      <w:r w:rsidRPr="00075677">
        <w:rPr>
          <w:rFonts w:ascii="Times New Roman" w:hAnsi="Times New Roman" w:cs="Times New Roman"/>
          <w:lang w:val="fr-FR"/>
        </w:rPr>
        <w:t xml:space="preserve"> du Secrétariat </w:t>
      </w:r>
      <w:r w:rsidR="00155C88">
        <w:rPr>
          <w:rFonts w:ascii="Times New Roman" w:hAnsi="Times New Roman" w:cs="Times New Roman"/>
          <w:lang w:val="fr-FR"/>
        </w:rPr>
        <w:t>par le biais d</w:t>
      </w:r>
      <w:r w:rsidR="00B06B07">
        <w:rPr>
          <w:rFonts w:ascii="Times New Roman" w:hAnsi="Times New Roman" w:cs="Times New Roman"/>
          <w:lang w:val="fr-FR"/>
        </w:rPr>
        <w:t>’</w:t>
      </w:r>
      <w:r w:rsidRPr="00075677">
        <w:rPr>
          <w:rFonts w:ascii="Times New Roman" w:hAnsi="Times New Roman" w:cs="Times New Roman"/>
          <w:lang w:val="fr-FR"/>
        </w:rPr>
        <w:t xml:space="preserve">une légère augmentation de tous les coûts </w:t>
      </w:r>
      <w:r w:rsidR="00FF5562" w:rsidRPr="00075677">
        <w:rPr>
          <w:rFonts w:ascii="Times New Roman" w:hAnsi="Times New Roman" w:cs="Times New Roman"/>
          <w:lang w:val="fr-FR"/>
        </w:rPr>
        <w:t>opérationnels</w:t>
      </w:r>
      <w:r w:rsidR="00A35BAE" w:rsidRPr="00605B50">
        <w:rPr>
          <w:rFonts w:ascii="Times New Roman" w:hAnsi="Times New Roman" w:cs="Times New Roman"/>
          <w:lang w:val="fr-FR"/>
        </w:rPr>
        <w:t xml:space="preserve"> </w:t>
      </w:r>
      <w:r w:rsidRPr="00FF5562">
        <w:rPr>
          <w:rFonts w:ascii="Times New Roman" w:hAnsi="Times New Roman" w:cs="Times New Roman"/>
          <w:lang w:val="fr-FR"/>
        </w:rPr>
        <w:t>En outre, il vise à consolider la structure de l</w:t>
      </w:r>
      <w:r w:rsidR="00B06B07">
        <w:rPr>
          <w:rFonts w:ascii="Times New Roman" w:hAnsi="Times New Roman" w:cs="Times New Roman"/>
          <w:lang w:val="fr-FR"/>
        </w:rPr>
        <w:t>’</w:t>
      </w:r>
      <w:r w:rsidRPr="00FF5562">
        <w:rPr>
          <w:rFonts w:ascii="Times New Roman" w:hAnsi="Times New Roman" w:cs="Times New Roman"/>
          <w:lang w:val="fr-FR"/>
        </w:rPr>
        <w:t>équipe du Secrétariat et particulièrement son unité africaine en offrant un soutien disponible</w:t>
      </w:r>
      <w:r w:rsidR="00FF5562" w:rsidRPr="00FF5562">
        <w:rPr>
          <w:rFonts w:ascii="Times New Roman" w:hAnsi="Times New Roman" w:cs="Times New Roman"/>
          <w:lang w:val="fr-FR"/>
        </w:rPr>
        <w:t xml:space="preserve"> de manière fiable</w:t>
      </w:r>
      <w:r w:rsidR="008A70CD">
        <w:rPr>
          <w:rFonts w:ascii="Times New Roman" w:hAnsi="Times New Roman" w:cs="Times New Roman"/>
          <w:lang w:val="fr-FR"/>
        </w:rPr>
        <w:t xml:space="preserve"> et </w:t>
      </w:r>
      <w:r w:rsidR="00FF5562" w:rsidRPr="00FF5562">
        <w:rPr>
          <w:rFonts w:ascii="Times New Roman" w:hAnsi="Times New Roman" w:cs="Times New Roman"/>
          <w:lang w:val="fr-FR"/>
        </w:rPr>
        <w:t xml:space="preserve">cautionné </w:t>
      </w:r>
      <w:proofErr w:type="gramStart"/>
      <w:r w:rsidR="00FF5562" w:rsidRPr="00FF5562">
        <w:rPr>
          <w:rFonts w:ascii="Times New Roman" w:hAnsi="Times New Roman" w:cs="Times New Roman"/>
          <w:lang w:val="fr-FR"/>
        </w:rPr>
        <w:t>au</w:t>
      </w:r>
      <w:proofErr w:type="gramEnd"/>
      <w:r w:rsidR="00FF5562" w:rsidRPr="00FF5562">
        <w:rPr>
          <w:rFonts w:ascii="Times New Roman" w:hAnsi="Times New Roman" w:cs="Times New Roman"/>
          <w:lang w:val="fr-FR"/>
        </w:rPr>
        <w:t xml:space="preserve"> plan </w:t>
      </w:r>
      <w:r w:rsidRPr="00FF5562">
        <w:rPr>
          <w:rFonts w:ascii="Times New Roman" w:hAnsi="Times New Roman" w:cs="Times New Roman"/>
          <w:lang w:val="fr-FR"/>
        </w:rPr>
        <w:t xml:space="preserve">administratif </w:t>
      </w:r>
      <w:r w:rsidR="00FF5562" w:rsidRPr="00FF5562">
        <w:rPr>
          <w:rFonts w:ascii="Times New Roman" w:hAnsi="Times New Roman" w:cs="Times New Roman"/>
          <w:lang w:val="fr-FR"/>
        </w:rPr>
        <w:t>ainsi qu</w:t>
      </w:r>
      <w:r w:rsidR="00B06B07">
        <w:rPr>
          <w:rFonts w:ascii="Times New Roman" w:hAnsi="Times New Roman" w:cs="Times New Roman"/>
          <w:lang w:val="fr-FR"/>
        </w:rPr>
        <w:t>’</w:t>
      </w:r>
      <w:r w:rsidR="00FF5562" w:rsidRPr="00FF5562">
        <w:rPr>
          <w:rFonts w:ascii="Times New Roman" w:hAnsi="Times New Roman" w:cs="Times New Roman"/>
          <w:lang w:val="fr-FR"/>
        </w:rPr>
        <w:t>une aide sur le plan de</w:t>
      </w:r>
      <w:r w:rsidRPr="00FF5562">
        <w:rPr>
          <w:rFonts w:ascii="Times New Roman" w:hAnsi="Times New Roman" w:cs="Times New Roman"/>
          <w:lang w:val="fr-FR"/>
        </w:rPr>
        <w:t xml:space="preserve"> l</w:t>
      </w:r>
      <w:r w:rsidR="00B06B07">
        <w:rPr>
          <w:rFonts w:ascii="Times New Roman" w:hAnsi="Times New Roman" w:cs="Times New Roman"/>
          <w:lang w:val="fr-FR"/>
        </w:rPr>
        <w:t>’</w:t>
      </w:r>
      <w:r w:rsidRPr="00FF5562">
        <w:rPr>
          <w:rFonts w:ascii="Times New Roman" w:hAnsi="Times New Roman" w:cs="Times New Roman"/>
          <w:lang w:val="fr-FR"/>
        </w:rPr>
        <w:t xml:space="preserve">information et </w:t>
      </w:r>
      <w:r w:rsidR="00FF5562" w:rsidRPr="00FF5562">
        <w:rPr>
          <w:rFonts w:ascii="Times New Roman" w:hAnsi="Times New Roman" w:cs="Times New Roman"/>
          <w:lang w:val="fr-FR"/>
        </w:rPr>
        <w:t>de la sensibilisation</w:t>
      </w:r>
      <w:r w:rsidRPr="00FF5562">
        <w:rPr>
          <w:rFonts w:ascii="Times New Roman" w:hAnsi="Times New Roman" w:cs="Times New Roman"/>
          <w:lang w:val="fr-FR"/>
        </w:rPr>
        <w:t>.</w:t>
      </w:r>
      <w:r w:rsidR="004B4173" w:rsidRPr="00605B50">
        <w:rPr>
          <w:rFonts w:ascii="Times New Roman" w:hAnsi="Times New Roman" w:cs="Times New Roman"/>
          <w:lang w:val="fr-FR"/>
        </w:rPr>
        <w:t xml:space="preserve"> </w:t>
      </w:r>
    </w:p>
    <w:p w:rsidR="00AC233A" w:rsidRPr="00605B50" w:rsidRDefault="00AC233A" w:rsidP="00F30AE0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:rsidR="00145FAA" w:rsidRPr="00605B50" w:rsidRDefault="00B06B07" w:rsidP="002F2E4F">
      <w:pPr>
        <w:spacing w:after="0" w:line="28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  <w:r w:rsidR="00FF5562" w:rsidRPr="002F2E4F">
        <w:rPr>
          <w:rFonts w:ascii="Times New Roman" w:hAnsi="Times New Roman" w:cs="Times New Roman"/>
          <w:lang w:val="fr-FR"/>
        </w:rPr>
        <w:t xml:space="preserve">Ce scénario </w:t>
      </w:r>
      <w:r w:rsidR="002F2E4F" w:rsidRPr="002F2E4F">
        <w:rPr>
          <w:rFonts w:ascii="Times New Roman" w:hAnsi="Times New Roman" w:cs="Times New Roman"/>
          <w:lang w:val="fr-FR"/>
        </w:rPr>
        <w:t xml:space="preserve">offrira </w:t>
      </w:r>
      <w:r w:rsidR="00FF5562" w:rsidRPr="002F2E4F">
        <w:rPr>
          <w:rFonts w:ascii="Times New Roman" w:hAnsi="Times New Roman" w:cs="Times New Roman"/>
          <w:lang w:val="fr-FR"/>
        </w:rPr>
        <w:t xml:space="preserve">au Secrétariat et au Coordinateur africain la sécurité </w:t>
      </w:r>
      <w:r w:rsidR="002F2E4F" w:rsidRPr="002F2E4F">
        <w:rPr>
          <w:rFonts w:ascii="Times New Roman" w:hAnsi="Times New Roman" w:cs="Times New Roman"/>
          <w:lang w:val="fr-FR"/>
        </w:rPr>
        <w:t>au n</w:t>
      </w:r>
      <w:r w:rsidR="00642BF7">
        <w:rPr>
          <w:rFonts w:ascii="Times New Roman" w:hAnsi="Times New Roman" w:cs="Times New Roman"/>
          <w:lang w:val="fr-FR"/>
        </w:rPr>
        <w:t>i</w:t>
      </w:r>
      <w:r w:rsidR="002F2E4F" w:rsidRPr="002F2E4F">
        <w:rPr>
          <w:rFonts w:ascii="Times New Roman" w:hAnsi="Times New Roman" w:cs="Times New Roman"/>
          <w:lang w:val="fr-FR"/>
        </w:rPr>
        <w:t>veau de</w:t>
      </w:r>
      <w:r w:rsidR="00FF5562" w:rsidRPr="002F2E4F">
        <w:rPr>
          <w:rFonts w:ascii="Times New Roman" w:hAnsi="Times New Roman" w:cs="Times New Roman"/>
          <w:lang w:val="fr-FR"/>
        </w:rPr>
        <w:t xml:space="preserve"> la planification grâce à un soutien général et permettra en particulier au </w:t>
      </w:r>
      <w:r w:rsidR="00642BF7">
        <w:rPr>
          <w:rFonts w:ascii="Times New Roman" w:hAnsi="Times New Roman" w:cs="Times New Roman"/>
          <w:lang w:val="fr-FR"/>
        </w:rPr>
        <w:t>C</w:t>
      </w:r>
      <w:r w:rsidR="00FF5562" w:rsidRPr="002F2E4F">
        <w:rPr>
          <w:rFonts w:ascii="Times New Roman" w:hAnsi="Times New Roman" w:cs="Times New Roman"/>
          <w:lang w:val="fr-FR"/>
        </w:rPr>
        <w:t xml:space="preserve">oordinateur africain de se concentrer sur le travail </w:t>
      </w:r>
      <w:r w:rsidR="002F2E4F" w:rsidRPr="002F2E4F">
        <w:rPr>
          <w:rFonts w:ascii="Times New Roman" w:hAnsi="Times New Roman" w:cs="Times New Roman"/>
          <w:lang w:val="fr-FR"/>
        </w:rPr>
        <w:t xml:space="preserve">principal lié au </w:t>
      </w:r>
      <w:r w:rsidR="00FF5562" w:rsidRPr="002F2E4F">
        <w:rPr>
          <w:rFonts w:ascii="Times New Roman" w:hAnsi="Times New Roman" w:cs="Times New Roman"/>
          <w:lang w:val="fr-FR"/>
        </w:rPr>
        <w:t>programme.</w:t>
      </w:r>
      <w:r w:rsidR="00B02001" w:rsidRPr="00605B50">
        <w:rPr>
          <w:rFonts w:ascii="Times New Roman" w:hAnsi="Times New Roman" w:cs="Times New Roman"/>
          <w:lang w:val="fr-FR"/>
        </w:rPr>
        <w:t xml:space="preserve"> </w:t>
      </w:r>
      <w:r w:rsidR="002F2E4F" w:rsidRPr="002F2E4F">
        <w:rPr>
          <w:rFonts w:ascii="Times New Roman" w:hAnsi="Times New Roman" w:cs="Times New Roman"/>
          <w:lang w:val="fr-FR"/>
        </w:rPr>
        <w:t xml:space="preserve">Il restera toujours un manque de financement de 50 % </w:t>
      </w:r>
      <w:r w:rsidR="008A70CD">
        <w:rPr>
          <w:rFonts w:ascii="Times New Roman" w:hAnsi="Times New Roman" w:cs="Times New Roman"/>
          <w:lang w:val="fr-FR"/>
        </w:rPr>
        <w:t>de ce poste</w:t>
      </w:r>
      <w:r w:rsidR="002F2E4F" w:rsidRPr="002F2E4F">
        <w:rPr>
          <w:rFonts w:ascii="Times New Roman" w:hAnsi="Times New Roman" w:cs="Times New Roman"/>
          <w:lang w:val="fr-FR"/>
        </w:rPr>
        <w:t xml:space="preserve"> qui ne fait pas l</w:t>
      </w:r>
      <w:r>
        <w:rPr>
          <w:rFonts w:ascii="Times New Roman" w:hAnsi="Times New Roman" w:cs="Times New Roman"/>
          <w:lang w:val="fr-FR"/>
        </w:rPr>
        <w:t>’</w:t>
      </w:r>
      <w:r w:rsidR="002F2E4F" w:rsidRPr="002F2E4F">
        <w:rPr>
          <w:rFonts w:ascii="Times New Roman" w:hAnsi="Times New Roman" w:cs="Times New Roman"/>
          <w:lang w:val="fr-FR"/>
        </w:rPr>
        <w:t>objet d</w:t>
      </w:r>
      <w:r>
        <w:rPr>
          <w:rFonts w:ascii="Times New Roman" w:hAnsi="Times New Roman" w:cs="Times New Roman"/>
          <w:lang w:val="fr-FR"/>
        </w:rPr>
        <w:t>’</w:t>
      </w:r>
      <w:r w:rsidR="002F2E4F" w:rsidRPr="002F2E4F">
        <w:rPr>
          <w:rFonts w:ascii="Times New Roman" w:hAnsi="Times New Roman" w:cs="Times New Roman"/>
          <w:lang w:val="fr-FR"/>
        </w:rPr>
        <w:t>une recommandation en soi.</w:t>
      </w:r>
      <w:r w:rsidR="006F5659" w:rsidRPr="00605B50">
        <w:rPr>
          <w:rFonts w:ascii="Times New Roman" w:hAnsi="Times New Roman" w:cs="Times New Roman"/>
          <w:lang w:val="fr-FR"/>
        </w:rPr>
        <w:t xml:space="preserve"> </w:t>
      </w:r>
      <w:r w:rsidR="002F2E4F" w:rsidRPr="002F2E4F">
        <w:rPr>
          <w:rFonts w:ascii="Times New Roman" w:hAnsi="Times New Roman" w:cs="Times New Roman"/>
          <w:lang w:val="fr-FR"/>
        </w:rPr>
        <w:t>Il fournit toutefois une chance d</w:t>
      </w:r>
      <w:r>
        <w:rPr>
          <w:rFonts w:ascii="Times New Roman" w:hAnsi="Times New Roman" w:cs="Times New Roman"/>
          <w:lang w:val="fr-FR"/>
        </w:rPr>
        <w:t>’</w:t>
      </w:r>
      <w:r w:rsidR="002F2E4F" w:rsidRPr="002F2E4F">
        <w:rPr>
          <w:rFonts w:ascii="Times New Roman" w:hAnsi="Times New Roman" w:cs="Times New Roman"/>
          <w:lang w:val="fr-FR"/>
        </w:rPr>
        <w:t>améliorer de manière significative la situation globale du Secrétariat et de l</w:t>
      </w:r>
      <w:r>
        <w:rPr>
          <w:rFonts w:ascii="Times New Roman" w:hAnsi="Times New Roman" w:cs="Times New Roman"/>
          <w:lang w:val="fr-FR"/>
        </w:rPr>
        <w:t>’</w:t>
      </w:r>
      <w:r w:rsidR="002F2E4F" w:rsidRPr="002F2E4F">
        <w:rPr>
          <w:rFonts w:ascii="Times New Roman" w:hAnsi="Times New Roman" w:cs="Times New Roman"/>
          <w:lang w:val="fr-FR"/>
        </w:rPr>
        <w:t>unité africaine uniquement sur la base d</w:t>
      </w:r>
      <w:r w:rsidR="0058656E">
        <w:rPr>
          <w:rFonts w:ascii="Times New Roman" w:hAnsi="Times New Roman" w:cs="Times New Roman"/>
          <w:lang w:val="fr-FR"/>
        </w:rPr>
        <w:t>’</w:t>
      </w:r>
      <w:r w:rsidR="002F2E4F" w:rsidRPr="002F2E4F">
        <w:rPr>
          <w:rFonts w:ascii="Times New Roman" w:hAnsi="Times New Roman" w:cs="Times New Roman"/>
          <w:lang w:val="fr-FR"/>
        </w:rPr>
        <w:t>ajustements budgétaires</w:t>
      </w:r>
      <w:r w:rsidR="0058656E">
        <w:rPr>
          <w:rFonts w:ascii="Times New Roman" w:hAnsi="Times New Roman" w:cs="Times New Roman"/>
          <w:lang w:val="fr-FR"/>
        </w:rPr>
        <w:t xml:space="preserve"> </w:t>
      </w:r>
      <w:r w:rsidR="0058656E" w:rsidRPr="002F2E4F">
        <w:rPr>
          <w:rFonts w:ascii="Times New Roman" w:hAnsi="Times New Roman" w:cs="Times New Roman"/>
          <w:lang w:val="fr-FR"/>
        </w:rPr>
        <w:t xml:space="preserve">relativement </w:t>
      </w:r>
      <w:r w:rsidR="0058656E">
        <w:rPr>
          <w:rFonts w:ascii="Times New Roman" w:hAnsi="Times New Roman" w:cs="Times New Roman"/>
          <w:lang w:val="fr-FR"/>
        </w:rPr>
        <w:t>restreints</w:t>
      </w:r>
      <w:r w:rsidR="002F2E4F" w:rsidRPr="002F2E4F">
        <w:rPr>
          <w:rFonts w:ascii="Times New Roman" w:hAnsi="Times New Roman" w:cs="Times New Roman"/>
          <w:lang w:val="fr-FR"/>
        </w:rPr>
        <w:t>.</w:t>
      </w:r>
    </w:p>
    <w:p w:rsidR="003422CA" w:rsidRPr="00605B50" w:rsidRDefault="003422CA" w:rsidP="00F30AE0">
      <w:pPr>
        <w:spacing w:after="0"/>
        <w:jc w:val="both"/>
        <w:rPr>
          <w:rFonts w:ascii="Times New Roman" w:hAnsi="Times New Roman" w:cs="Times New Roman"/>
          <w:b/>
          <w:lang w:val="fr-FR"/>
        </w:rPr>
      </w:pPr>
    </w:p>
    <w:p w:rsidR="00394568" w:rsidRPr="00605B50" w:rsidRDefault="002F2E4F" w:rsidP="002F2E4F">
      <w:pPr>
        <w:spacing w:after="0" w:line="280" w:lineRule="auto"/>
        <w:jc w:val="both"/>
        <w:rPr>
          <w:rFonts w:ascii="Times New Roman" w:hAnsi="Times New Roman" w:cs="Times New Roman"/>
          <w:lang w:val="fr-FR"/>
        </w:rPr>
      </w:pPr>
      <w:r w:rsidRPr="002F2E4F">
        <w:rPr>
          <w:rFonts w:ascii="Times New Roman" w:hAnsi="Times New Roman" w:cs="Times New Roman"/>
          <w:lang w:val="fr-FR"/>
        </w:rPr>
        <w:t>Sinon, au lieu d</w:t>
      </w:r>
      <w:r w:rsidR="00B06B07">
        <w:rPr>
          <w:rFonts w:ascii="Times New Roman" w:hAnsi="Times New Roman" w:cs="Times New Roman"/>
          <w:lang w:val="fr-FR"/>
        </w:rPr>
        <w:t>’</w:t>
      </w:r>
      <w:r w:rsidRPr="002F2E4F">
        <w:rPr>
          <w:rFonts w:ascii="Times New Roman" w:hAnsi="Times New Roman" w:cs="Times New Roman"/>
          <w:lang w:val="fr-FR"/>
        </w:rPr>
        <w:t>augmenter le temps de travail lié au poste d</w:t>
      </w:r>
      <w:r w:rsidR="00B06B07">
        <w:rPr>
          <w:rFonts w:ascii="Times New Roman" w:hAnsi="Times New Roman" w:cs="Times New Roman"/>
          <w:lang w:val="fr-FR"/>
        </w:rPr>
        <w:t>’</w:t>
      </w:r>
      <w:r w:rsidRPr="002F2E4F">
        <w:rPr>
          <w:rFonts w:ascii="Times New Roman" w:hAnsi="Times New Roman" w:cs="Times New Roman"/>
          <w:lang w:val="fr-FR"/>
        </w:rPr>
        <w:t xml:space="preserve">Assistant de gestion de programme (IA) pour passer de 50 % à 80%, les Parties pourraient adopter une augmentation </w:t>
      </w:r>
      <w:r w:rsidR="0058656E">
        <w:rPr>
          <w:rFonts w:ascii="Times New Roman" w:hAnsi="Times New Roman" w:cs="Times New Roman"/>
          <w:lang w:val="fr-FR"/>
        </w:rPr>
        <w:t>pour</w:t>
      </w:r>
      <w:r w:rsidRPr="002F2E4F">
        <w:rPr>
          <w:rFonts w:ascii="Times New Roman" w:hAnsi="Times New Roman" w:cs="Times New Roman"/>
          <w:lang w:val="fr-FR"/>
        </w:rPr>
        <w:t xml:space="preserve"> le poste </w:t>
      </w:r>
      <w:r w:rsidR="00642BF7">
        <w:rPr>
          <w:rFonts w:ascii="Times New Roman" w:hAnsi="Times New Roman" w:cs="Times New Roman"/>
          <w:lang w:val="fr-FR"/>
        </w:rPr>
        <w:t>de C</w:t>
      </w:r>
      <w:r w:rsidRPr="002F2E4F">
        <w:rPr>
          <w:rFonts w:ascii="Times New Roman" w:hAnsi="Times New Roman" w:cs="Times New Roman"/>
          <w:lang w:val="fr-FR"/>
        </w:rPr>
        <w:t>oordinateur de l</w:t>
      </w:r>
      <w:r w:rsidR="00B06B07">
        <w:rPr>
          <w:rFonts w:ascii="Times New Roman" w:hAnsi="Times New Roman" w:cs="Times New Roman"/>
          <w:lang w:val="fr-FR"/>
        </w:rPr>
        <w:t>’</w:t>
      </w:r>
      <w:r w:rsidRPr="002F2E4F">
        <w:rPr>
          <w:rFonts w:ascii="Times New Roman" w:hAnsi="Times New Roman" w:cs="Times New Roman"/>
          <w:lang w:val="fr-FR"/>
        </w:rPr>
        <w:t>Initiative africaine</w:t>
      </w:r>
      <w:r w:rsidR="0058656E">
        <w:rPr>
          <w:rFonts w:ascii="Times New Roman" w:hAnsi="Times New Roman" w:cs="Times New Roman"/>
          <w:lang w:val="fr-FR"/>
        </w:rPr>
        <w:t xml:space="preserve">, qui passerait </w:t>
      </w:r>
      <w:r w:rsidRPr="002F2E4F">
        <w:rPr>
          <w:rFonts w:ascii="Times New Roman" w:hAnsi="Times New Roman" w:cs="Times New Roman"/>
          <w:lang w:val="fr-FR"/>
        </w:rPr>
        <w:t>de 50 % à 100 %.</w:t>
      </w:r>
      <w:r w:rsidR="001E79BB" w:rsidRPr="00605B50">
        <w:rPr>
          <w:rFonts w:ascii="Times New Roman" w:hAnsi="Times New Roman" w:cs="Times New Roman"/>
          <w:lang w:val="fr-FR"/>
        </w:rPr>
        <w:t xml:space="preserve"> </w:t>
      </w:r>
    </w:p>
    <w:p w:rsidR="00AC233A" w:rsidRPr="00605B50" w:rsidRDefault="00AC233A" w:rsidP="00AC233A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:rsidR="00AC233A" w:rsidRPr="00605B50" w:rsidRDefault="002F2E4F" w:rsidP="00E644CB">
      <w:pPr>
        <w:spacing w:after="0" w:line="280" w:lineRule="auto"/>
        <w:jc w:val="both"/>
        <w:rPr>
          <w:rFonts w:ascii="Times New Roman" w:hAnsi="Times New Roman" w:cs="Times New Roman"/>
          <w:lang w:val="fr-FR"/>
        </w:rPr>
      </w:pPr>
      <w:r w:rsidRPr="00E644CB">
        <w:rPr>
          <w:rFonts w:ascii="Times New Roman" w:hAnsi="Times New Roman" w:cs="Times New Roman"/>
          <w:lang w:val="fr-FR"/>
        </w:rPr>
        <w:t>Cette option alternative s</w:t>
      </w:r>
      <w:r w:rsidR="00B06B07">
        <w:rPr>
          <w:rFonts w:ascii="Times New Roman" w:hAnsi="Times New Roman" w:cs="Times New Roman"/>
          <w:lang w:val="fr-FR"/>
        </w:rPr>
        <w:t>’</w:t>
      </w:r>
      <w:r w:rsidRPr="00E644CB">
        <w:rPr>
          <w:rFonts w:ascii="Times New Roman" w:hAnsi="Times New Roman" w:cs="Times New Roman"/>
          <w:lang w:val="fr-FR"/>
        </w:rPr>
        <w:t>explique par</w:t>
      </w:r>
      <w:r w:rsidR="00B06B07">
        <w:rPr>
          <w:rFonts w:ascii="Times New Roman" w:hAnsi="Times New Roman" w:cs="Times New Roman"/>
          <w:lang w:val="fr-FR"/>
        </w:rPr>
        <w:t xml:space="preserve"> </w:t>
      </w:r>
      <w:r w:rsidRPr="00E644CB">
        <w:rPr>
          <w:rFonts w:ascii="Times New Roman" w:hAnsi="Times New Roman" w:cs="Times New Roman"/>
          <w:lang w:val="fr-FR"/>
        </w:rPr>
        <w:t>la volonté de mettre fortement l</w:t>
      </w:r>
      <w:r w:rsidR="00B06B07">
        <w:rPr>
          <w:rFonts w:ascii="Times New Roman" w:hAnsi="Times New Roman" w:cs="Times New Roman"/>
          <w:lang w:val="fr-FR"/>
        </w:rPr>
        <w:t>’</w:t>
      </w:r>
      <w:r w:rsidRPr="00E644CB">
        <w:rPr>
          <w:rFonts w:ascii="Times New Roman" w:hAnsi="Times New Roman" w:cs="Times New Roman"/>
          <w:lang w:val="fr-FR"/>
        </w:rPr>
        <w:t>accent sur le travail portant sur le programme de l</w:t>
      </w:r>
      <w:r w:rsidR="00B06B07">
        <w:rPr>
          <w:rFonts w:ascii="Times New Roman" w:hAnsi="Times New Roman" w:cs="Times New Roman"/>
          <w:lang w:val="fr-FR"/>
        </w:rPr>
        <w:t>’</w:t>
      </w:r>
      <w:r w:rsidRPr="00E644CB">
        <w:rPr>
          <w:rFonts w:ascii="Times New Roman" w:hAnsi="Times New Roman" w:cs="Times New Roman"/>
          <w:lang w:val="fr-FR"/>
        </w:rPr>
        <w:t xml:space="preserve">unité </w:t>
      </w:r>
      <w:r w:rsidRPr="00642BF7">
        <w:rPr>
          <w:rFonts w:ascii="Times New Roman" w:hAnsi="Times New Roman" w:cs="Times New Roman"/>
          <w:lang w:val="fr-FR"/>
        </w:rPr>
        <w:t>africaine en garantissant la fonction à plein temps du Coordinateur.</w:t>
      </w:r>
      <w:r w:rsidR="00145FAA" w:rsidRPr="00605B50">
        <w:rPr>
          <w:rFonts w:ascii="Times New Roman" w:hAnsi="Times New Roman" w:cs="Times New Roman"/>
          <w:lang w:val="fr-FR"/>
        </w:rPr>
        <w:t xml:space="preserve"> </w:t>
      </w:r>
      <w:r w:rsidR="00E644CB" w:rsidRPr="00E644CB">
        <w:rPr>
          <w:rFonts w:ascii="Times New Roman" w:hAnsi="Times New Roman" w:cs="Times New Roman"/>
          <w:lang w:val="fr-FR"/>
        </w:rPr>
        <w:t>Par comparaison avec le scénario 3, cette option réduira considérablement le manque de financement pour l</w:t>
      </w:r>
      <w:r w:rsidR="00B06B07">
        <w:rPr>
          <w:rFonts w:ascii="Times New Roman" w:hAnsi="Times New Roman" w:cs="Times New Roman"/>
          <w:lang w:val="fr-FR"/>
        </w:rPr>
        <w:t>’</w:t>
      </w:r>
      <w:r w:rsidR="00E644CB" w:rsidRPr="00E644CB">
        <w:rPr>
          <w:rFonts w:ascii="Times New Roman" w:hAnsi="Times New Roman" w:cs="Times New Roman"/>
          <w:lang w:val="fr-FR"/>
        </w:rPr>
        <w:t>unité africaine, ne laissant plus qu</w:t>
      </w:r>
      <w:r w:rsidR="00B06B07">
        <w:rPr>
          <w:rFonts w:ascii="Times New Roman" w:hAnsi="Times New Roman" w:cs="Times New Roman"/>
          <w:lang w:val="fr-FR"/>
        </w:rPr>
        <w:t>’</w:t>
      </w:r>
      <w:r w:rsidR="00E644CB" w:rsidRPr="00E644CB">
        <w:rPr>
          <w:rFonts w:ascii="Times New Roman" w:hAnsi="Times New Roman" w:cs="Times New Roman"/>
          <w:lang w:val="fr-FR"/>
        </w:rPr>
        <w:t>une fonction de la catégorie G à 30 %</w:t>
      </w:r>
      <w:r w:rsidR="00B06B07">
        <w:rPr>
          <w:rFonts w:ascii="Times New Roman" w:hAnsi="Times New Roman" w:cs="Times New Roman"/>
          <w:lang w:val="fr-FR"/>
        </w:rPr>
        <w:t xml:space="preserve"> </w:t>
      </w:r>
      <w:r w:rsidR="00E644CB" w:rsidRPr="00E644CB">
        <w:rPr>
          <w:rFonts w:ascii="Times New Roman" w:hAnsi="Times New Roman" w:cs="Times New Roman"/>
          <w:lang w:val="fr-FR"/>
        </w:rPr>
        <w:t>du temps devant être couverte par un financement externe, ce qui est plus facile à gérer.</w:t>
      </w:r>
      <w:r w:rsidR="006F5659" w:rsidRPr="00605B50">
        <w:rPr>
          <w:rFonts w:ascii="Times New Roman" w:hAnsi="Times New Roman" w:cs="Times New Roman"/>
          <w:lang w:val="fr-FR"/>
        </w:rPr>
        <w:t xml:space="preserve"> </w:t>
      </w:r>
    </w:p>
    <w:p w:rsidR="00AC233A" w:rsidRPr="00605B50" w:rsidRDefault="00AC233A" w:rsidP="00AC233A">
      <w:pPr>
        <w:spacing w:after="0" w:line="276" w:lineRule="auto"/>
        <w:jc w:val="both"/>
        <w:rPr>
          <w:rFonts w:ascii="Times New Roman" w:hAnsi="Times New Roman" w:cs="Times New Roman"/>
          <w:lang w:val="fr-FR"/>
        </w:rPr>
      </w:pPr>
    </w:p>
    <w:p w:rsidR="00F809A3" w:rsidRPr="00605B50" w:rsidRDefault="00E644CB" w:rsidP="00E644CB">
      <w:pPr>
        <w:spacing w:after="0" w:line="280" w:lineRule="auto"/>
        <w:jc w:val="both"/>
        <w:rPr>
          <w:rFonts w:ascii="Times New Roman" w:hAnsi="Times New Roman" w:cs="Times New Roman"/>
          <w:lang w:val="fr-FR"/>
        </w:rPr>
      </w:pPr>
      <w:r w:rsidRPr="00E644CB">
        <w:rPr>
          <w:rFonts w:ascii="Times New Roman" w:hAnsi="Times New Roman" w:cs="Times New Roman"/>
          <w:lang w:val="fr-FR"/>
        </w:rPr>
        <w:t>Les efforts de levée de fonds au sein de l</w:t>
      </w:r>
      <w:r w:rsidR="00B06B07">
        <w:rPr>
          <w:rFonts w:ascii="Times New Roman" w:hAnsi="Times New Roman" w:cs="Times New Roman"/>
          <w:lang w:val="fr-FR"/>
        </w:rPr>
        <w:t>’</w:t>
      </w:r>
      <w:r w:rsidRPr="00E644CB">
        <w:rPr>
          <w:rFonts w:ascii="Times New Roman" w:hAnsi="Times New Roman" w:cs="Times New Roman"/>
          <w:lang w:val="fr-FR"/>
        </w:rPr>
        <w:t>unité africaine pourraient se concentrer sur les activités de mise en œuvre et la production d</w:t>
      </w:r>
      <w:r w:rsidR="00B06B07">
        <w:rPr>
          <w:rFonts w:ascii="Times New Roman" w:hAnsi="Times New Roman" w:cs="Times New Roman"/>
          <w:lang w:val="fr-FR"/>
        </w:rPr>
        <w:t>’</w:t>
      </w:r>
      <w:r w:rsidRPr="00E644CB">
        <w:rPr>
          <w:rFonts w:ascii="Times New Roman" w:hAnsi="Times New Roman" w:cs="Times New Roman"/>
          <w:lang w:val="fr-FR"/>
        </w:rPr>
        <w:t>ensemble de cette unité aurait le potentiel de s</w:t>
      </w:r>
      <w:r w:rsidR="00B06B07">
        <w:rPr>
          <w:rFonts w:ascii="Times New Roman" w:hAnsi="Times New Roman" w:cs="Times New Roman"/>
          <w:lang w:val="fr-FR"/>
        </w:rPr>
        <w:t>’</w:t>
      </w:r>
      <w:r w:rsidRPr="00E644CB">
        <w:rPr>
          <w:rFonts w:ascii="Times New Roman" w:hAnsi="Times New Roman" w:cs="Times New Roman"/>
          <w:lang w:val="fr-FR"/>
        </w:rPr>
        <w:t>accroître.</w:t>
      </w:r>
      <w:r w:rsidR="006F5659" w:rsidRPr="00605B50">
        <w:rPr>
          <w:rFonts w:ascii="Times New Roman" w:hAnsi="Times New Roman" w:cs="Times New Roman"/>
          <w:lang w:val="fr-FR"/>
        </w:rPr>
        <w:t xml:space="preserve"> </w:t>
      </w:r>
      <w:r w:rsidRPr="00E644CB">
        <w:rPr>
          <w:rFonts w:ascii="Times New Roman" w:hAnsi="Times New Roman" w:cs="Times New Roman"/>
          <w:lang w:val="fr-FR"/>
        </w:rPr>
        <w:t>Le Secrétariat, y compris l</w:t>
      </w:r>
      <w:r w:rsidR="00B06B07">
        <w:rPr>
          <w:rFonts w:ascii="Times New Roman" w:hAnsi="Times New Roman" w:cs="Times New Roman"/>
          <w:lang w:val="fr-FR"/>
        </w:rPr>
        <w:t>’</w:t>
      </w:r>
      <w:r w:rsidRPr="00E644CB">
        <w:rPr>
          <w:rFonts w:ascii="Times New Roman" w:hAnsi="Times New Roman" w:cs="Times New Roman"/>
          <w:lang w:val="fr-FR"/>
        </w:rPr>
        <w:t>unité africaine</w:t>
      </w:r>
      <w:r w:rsidR="008A70CD">
        <w:rPr>
          <w:rFonts w:ascii="Times New Roman" w:hAnsi="Times New Roman" w:cs="Times New Roman"/>
          <w:lang w:val="fr-FR"/>
        </w:rPr>
        <w:t>,</w:t>
      </w:r>
      <w:r w:rsidRPr="00E644CB">
        <w:rPr>
          <w:rFonts w:ascii="Times New Roman" w:hAnsi="Times New Roman" w:cs="Times New Roman"/>
          <w:lang w:val="fr-FR"/>
        </w:rPr>
        <w:t xml:space="preserve"> pourront s</w:t>
      </w:r>
      <w:r w:rsidR="00B06B07">
        <w:rPr>
          <w:rFonts w:ascii="Times New Roman" w:hAnsi="Times New Roman" w:cs="Times New Roman"/>
          <w:lang w:val="fr-FR"/>
        </w:rPr>
        <w:t>’</w:t>
      </w:r>
      <w:r w:rsidRPr="00E644CB">
        <w:rPr>
          <w:rFonts w:ascii="Times New Roman" w:hAnsi="Times New Roman" w:cs="Times New Roman"/>
          <w:lang w:val="fr-FR"/>
        </w:rPr>
        <w:t xml:space="preserve">appuyer sur le soutien habituel </w:t>
      </w:r>
      <w:r w:rsidR="00642BF7">
        <w:rPr>
          <w:rFonts w:ascii="Times New Roman" w:hAnsi="Times New Roman" w:cs="Times New Roman"/>
          <w:lang w:val="fr-FR"/>
        </w:rPr>
        <w:t xml:space="preserve">fourni </w:t>
      </w:r>
      <w:r w:rsidRPr="00E644CB">
        <w:rPr>
          <w:rFonts w:ascii="Times New Roman" w:hAnsi="Times New Roman" w:cs="Times New Roman"/>
          <w:lang w:val="fr-FR"/>
        </w:rPr>
        <w:t>par l</w:t>
      </w:r>
      <w:r w:rsidR="00B06B07">
        <w:rPr>
          <w:rFonts w:ascii="Times New Roman" w:hAnsi="Times New Roman" w:cs="Times New Roman"/>
          <w:lang w:val="fr-FR"/>
        </w:rPr>
        <w:t>’</w:t>
      </w:r>
      <w:r w:rsidRPr="00E644CB">
        <w:rPr>
          <w:rFonts w:ascii="Times New Roman" w:hAnsi="Times New Roman" w:cs="Times New Roman"/>
          <w:lang w:val="fr-FR"/>
        </w:rPr>
        <w:t>intermédiaire de l</w:t>
      </w:r>
      <w:r w:rsidR="00B06B07">
        <w:rPr>
          <w:rFonts w:ascii="Times New Roman" w:hAnsi="Times New Roman" w:cs="Times New Roman"/>
          <w:lang w:val="fr-FR"/>
        </w:rPr>
        <w:t>’</w:t>
      </w:r>
      <w:r w:rsidR="00642BF7">
        <w:rPr>
          <w:rFonts w:ascii="Times New Roman" w:hAnsi="Times New Roman" w:cs="Times New Roman"/>
          <w:lang w:val="fr-FR"/>
        </w:rPr>
        <w:t>A</w:t>
      </w:r>
      <w:r w:rsidRPr="00E644CB">
        <w:rPr>
          <w:rFonts w:ascii="Times New Roman" w:hAnsi="Times New Roman" w:cs="Times New Roman"/>
          <w:lang w:val="fr-FR"/>
        </w:rPr>
        <w:t>ssistant chargé de l</w:t>
      </w:r>
      <w:r w:rsidR="00B06B07">
        <w:rPr>
          <w:rFonts w:ascii="Times New Roman" w:hAnsi="Times New Roman" w:cs="Times New Roman"/>
          <w:lang w:val="fr-FR"/>
        </w:rPr>
        <w:t>’</w:t>
      </w:r>
      <w:r w:rsidRPr="00E644CB">
        <w:rPr>
          <w:rFonts w:ascii="Times New Roman" w:hAnsi="Times New Roman" w:cs="Times New Roman"/>
          <w:lang w:val="fr-FR"/>
        </w:rPr>
        <w:t>information sans avoir à chercher de nouvelles solutions pour combler le manque de financement sur une base annuelle.</w:t>
      </w:r>
      <w:r w:rsidR="000C5BF2" w:rsidRPr="00605B50">
        <w:rPr>
          <w:rFonts w:ascii="Times New Roman" w:hAnsi="Times New Roman" w:cs="Times New Roman"/>
          <w:lang w:val="fr-FR"/>
        </w:rPr>
        <w:t xml:space="preserve"> </w:t>
      </w:r>
      <w:r w:rsidRPr="00E644CB">
        <w:rPr>
          <w:rFonts w:ascii="Times New Roman" w:hAnsi="Times New Roman" w:cs="Times New Roman"/>
          <w:lang w:val="fr-FR"/>
        </w:rPr>
        <w:t>Cette augmentation, comparée au scénario 2, serait de 8,41 % au lieu de 4,79 %, si cette deuxième option était appliquée.</w:t>
      </w:r>
    </w:p>
    <w:p w:rsidR="003422CA" w:rsidRPr="00605B50" w:rsidRDefault="00E644CB" w:rsidP="00E644CB">
      <w:pPr>
        <w:shd w:val="clear" w:color="auto" w:fill="D9D9D9" w:themeFill="background1" w:themeFillShade="D9"/>
        <w:spacing w:after="0" w:line="260" w:lineRule="auto"/>
        <w:jc w:val="both"/>
        <w:rPr>
          <w:rFonts w:ascii="Times New Roman" w:hAnsi="Times New Roman" w:cs="Times New Roman"/>
          <w:b/>
          <w:lang w:val="fr-FR"/>
        </w:rPr>
      </w:pPr>
      <w:bookmarkStart w:id="3" w:name="_GoBack"/>
      <w:bookmarkEnd w:id="3"/>
      <w:r w:rsidRPr="00E644CB">
        <w:rPr>
          <w:rFonts w:ascii="Times New Roman" w:hAnsi="Times New Roman" w:cs="Times New Roman"/>
          <w:b/>
          <w:lang w:val="fr-FR"/>
        </w:rPr>
        <w:lastRenderedPageBreak/>
        <w:t>Scénario 4 : + 23 % par rapport au scénario 3</w:t>
      </w:r>
    </w:p>
    <w:p w:rsidR="00F30AE0" w:rsidRPr="00605B50" w:rsidRDefault="00F30AE0" w:rsidP="00F30AE0">
      <w:pPr>
        <w:spacing w:after="0"/>
        <w:jc w:val="both"/>
        <w:rPr>
          <w:rFonts w:ascii="Times New Roman" w:hAnsi="Times New Roman" w:cs="Times New Roman"/>
          <w:b/>
          <w:lang w:val="fr-F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</w:tblGrid>
      <w:tr w:rsidR="003422CA" w:rsidRPr="002703A2" w:rsidTr="00B5292F">
        <w:tc>
          <w:tcPr>
            <w:tcW w:w="7797" w:type="dxa"/>
          </w:tcPr>
          <w:p w:rsidR="003422CA" w:rsidRPr="002703A2" w:rsidRDefault="00E644CB" w:rsidP="00BE22DD">
            <w:pPr>
              <w:jc w:val="both"/>
              <w:rPr>
                <w:sz w:val="22"/>
                <w:szCs w:val="22"/>
              </w:rPr>
            </w:pPr>
            <w:r w:rsidRPr="00E644CB">
              <w:rPr>
                <w:sz w:val="22"/>
                <w:szCs w:val="22"/>
                <w:lang w:val="fr-FR"/>
              </w:rPr>
              <w:t>Scénario 3</w:t>
            </w:r>
          </w:p>
        </w:tc>
      </w:tr>
      <w:tr w:rsidR="003422CA" w:rsidRPr="00B5292F" w:rsidTr="00B5292F">
        <w:trPr>
          <w:trHeight w:val="107"/>
        </w:trPr>
        <w:tc>
          <w:tcPr>
            <w:tcW w:w="7797" w:type="dxa"/>
          </w:tcPr>
          <w:p w:rsidR="003422CA" w:rsidRPr="00605B50" w:rsidRDefault="00E644CB" w:rsidP="00BE22DD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+ 5</w:t>
            </w:r>
            <w:r w:rsidRPr="00E644CB">
              <w:rPr>
                <w:sz w:val="22"/>
                <w:szCs w:val="22"/>
                <w:lang w:val="fr-FR"/>
              </w:rPr>
              <w:t>0</w:t>
            </w:r>
            <w:r w:rsidR="0058656E">
              <w:rPr>
                <w:sz w:val="22"/>
                <w:szCs w:val="22"/>
                <w:lang w:val="fr-FR"/>
              </w:rPr>
              <w:t> </w:t>
            </w:r>
            <w:r w:rsidRPr="00E644CB">
              <w:rPr>
                <w:sz w:val="22"/>
                <w:szCs w:val="22"/>
                <w:lang w:val="fr-FR"/>
              </w:rPr>
              <w:t>% Coordinateur de l</w:t>
            </w:r>
            <w:r w:rsidR="00B06B07">
              <w:rPr>
                <w:sz w:val="22"/>
                <w:szCs w:val="22"/>
                <w:lang w:val="fr-FR"/>
              </w:rPr>
              <w:t>’</w:t>
            </w:r>
            <w:r w:rsidRPr="00E644CB">
              <w:rPr>
                <w:sz w:val="22"/>
                <w:szCs w:val="22"/>
                <w:lang w:val="fr-FR"/>
              </w:rPr>
              <w:t>Initiative africaine (P-2)</w:t>
            </w:r>
          </w:p>
        </w:tc>
      </w:tr>
      <w:tr w:rsidR="003422CA" w:rsidRPr="00B5292F" w:rsidTr="00B5292F">
        <w:trPr>
          <w:trHeight w:val="107"/>
        </w:trPr>
        <w:tc>
          <w:tcPr>
            <w:tcW w:w="7797" w:type="dxa"/>
          </w:tcPr>
          <w:p w:rsidR="003422CA" w:rsidRPr="00605B50" w:rsidRDefault="00E644CB" w:rsidP="00BE22DD">
            <w:pPr>
              <w:jc w:val="both"/>
              <w:rPr>
                <w:sz w:val="22"/>
                <w:szCs w:val="22"/>
                <w:lang w:val="fr-FR"/>
              </w:rPr>
            </w:pPr>
            <w:r w:rsidRPr="00C63B3A">
              <w:rPr>
                <w:sz w:val="22"/>
                <w:szCs w:val="22"/>
                <w:lang w:val="fr-FR"/>
              </w:rPr>
              <w:t>+ Revalorisation du poste de Secrétaire exécutif (de P-4 à P-5)</w:t>
            </w:r>
          </w:p>
        </w:tc>
      </w:tr>
      <w:tr w:rsidR="003422CA" w:rsidRPr="00B5292F" w:rsidTr="00B5292F">
        <w:trPr>
          <w:trHeight w:val="107"/>
        </w:trPr>
        <w:tc>
          <w:tcPr>
            <w:tcW w:w="7797" w:type="dxa"/>
          </w:tcPr>
          <w:p w:rsidR="003422CA" w:rsidRPr="00605B50" w:rsidRDefault="00C63B3A" w:rsidP="00BE22DD">
            <w:pPr>
              <w:jc w:val="both"/>
              <w:rPr>
                <w:sz w:val="22"/>
                <w:szCs w:val="22"/>
                <w:lang w:val="fr-FR"/>
              </w:rPr>
            </w:pPr>
            <w:r w:rsidRPr="00C63B3A">
              <w:rPr>
                <w:sz w:val="22"/>
                <w:szCs w:val="22"/>
                <w:lang w:val="fr-FR"/>
              </w:rPr>
              <w:t>+ Revalorisation du poste d</w:t>
            </w:r>
            <w:r w:rsidR="00B06B07">
              <w:rPr>
                <w:sz w:val="22"/>
                <w:szCs w:val="22"/>
                <w:lang w:val="fr-FR"/>
              </w:rPr>
              <w:t>’</w:t>
            </w:r>
            <w:r w:rsidRPr="00C63B3A">
              <w:rPr>
                <w:sz w:val="22"/>
                <w:szCs w:val="22"/>
                <w:lang w:val="fr-FR"/>
              </w:rPr>
              <w:t>Administrateur technique (de P-3 à P-4)</w:t>
            </w:r>
          </w:p>
        </w:tc>
      </w:tr>
      <w:tr w:rsidR="003422CA" w:rsidRPr="00B5292F" w:rsidTr="00B5292F">
        <w:trPr>
          <w:trHeight w:val="107"/>
        </w:trPr>
        <w:tc>
          <w:tcPr>
            <w:tcW w:w="7797" w:type="dxa"/>
          </w:tcPr>
          <w:p w:rsidR="003422CA" w:rsidRPr="00605B50" w:rsidRDefault="00C63B3A" w:rsidP="00BE22DD">
            <w:pPr>
              <w:jc w:val="both"/>
              <w:rPr>
                <w:sz w:val="22"/>
                <w:szCs w:val="22"/>
                <w:lang w:val="fr-FR"/>
              </w:rPr>
            </w:pPr>
            <w:r w:rsidRPr="00C63B3A">
              <w:rPr>
                <w:sz w:val="22"/>
                <w:szCs w:val="22"/>
                <w:lang w:val="fr-FR"/>
              </w:rPr>
              <w:t>+ Revalorisation du poste d</w:t>
            </w:r>
            <w:r w:rsidR="00B06B07">
              <w:rPr>
                <w:sz w:val="22"/>
                <w:szCs w:val="22"/>
                <w:lang w:val="fr-FR"/>
              </w:rPr>
              <w:t>’</w:t>
            </w:r>
            <w:r w:rsidRPr="00C63B3A">
              <w:rPr>
                <w:sz w:val="22"/>
                <w:szCs w:val="22"/>
                <w:lang w:val="fr-FR"/>
              </w:rPr>
              <w:t xml:space="preserve">Administrateur de programme </w:t>
            </w:r>
            <w:r w:rsidR="00642BF7" w:rsidRPr="00C63B3A">
              <w:rPr>
                <w:sz w:val="22"/>
                <w:szCs w:val="22"/>
                <w:lang w:val="fr-FR"/>
              </w:rPr>
              <w:t xml:space="preserve">associé </w:t>
            </w:r>
            <w:r w:rsidRPr="00C63B3A">
              <w:rPr>
                <w:sz w:val="22"/>
                <w:szCs w:val="22"/>
                <w:lang w:val="fr-FR"/>
              </w:rPr>
              <w:t>(de P-2 à P-3)</w:t>
            </w:r>
          </w:p>
        </w:tc>
      </w:tr>
      <w:tr w:rsidR="005802FD" w:rsidRPr="00B5292F" w:rsidTr="00B5292F">
        <w:trPr>
          <w:trHeight w:val="107"/>
        </w:trPr>
        <w:tc>
          <w:tcPr>
            <w:tcW w:w="7797" w:type="dxa"/>
          </w:tcPr>
          <w:p w:rsidR="005802FD" w:rsidRPr="00605B50" w:rsidRDefault="00C63B3A" w:rsidP="00DC1801">
            <w:pPr>
              <w:jc w:val="both"/>
              <w:rPr>
                <w:sz w:val="22"/>
                <w:szCs w:val="22"/>
                <w:lang w:val="fr-FR"/>
              </w:rPr>
            </w:pPr>
            <w:r w:rsidRPr="00C63B3A">
              <w:rPr>
                <w:sz w:val="22"/>
                <w:szCs w:val="22"/>
                <w:lang w:val="fr-FR"/>
              </w:rPr>
              <w:t>+ Études internationales obligatoires (art.</w:t>
            </w:r>
            <w:r w:rsidR="0058656E">
              <w:rPr>
                <w:sz w:val="22"/>
                <w:szCs w:val="22"/>
                <w:lang w:val="fr-FR"/>
              </w:rPr>
              <w:t> </w:t>
            </w:r>
            <w:r w:rsidRPr="00C63B3A">
              <w:rPr>
                <w:sz w:val="22"/>
                <w:szCs w:val="22"/>
                <w:lang w:val="fr-FR"/>
              </w:rPr>
              <w:t>7.4 de l</w:t>
            </w:r>
            <w:r w:rsidR="00B06B07">
              <w:rPr>
                <w:sz w:val="22"/>
                <w:szCs w:val="22"/>
                <w:lang w:val="fr-FR"/>
              </w:rPr>
              <w:t>’</w:t>
            </w:r>
            <w:r w:rsidRPr="00C63B3A">
              <w:rPr>
                <w:sz w:val="22"/>
                <w:szCs w:val="22"/>
                <w:lang w:val="fr-FR"/>
              </w:rPr>
              <w:t>AEWA)</w:t>
            </w:r>
          </w:p>
          <w:p w:rsidR="008476BF" w:rsidRPr="00605B50" w:rsidRDefault="008476BF" w:rsidP="00DC1801">
            <w:pPr>
              <w:jc w:val="both"/>
              <w:rPr>
                <w:sz w:val="6"/>
                <w:szCs w:val="6"/>
                <w:lang w:val="fr-FR"/>
              </w:rPr>
            </w:pPr>
          </w:p>
        </w:tc>
      </w:tr>
    </w:tbl>
    <w:p w:rsidR="003422CA" w:rsidRPr="00605B50" w:rsidRDefault="003422CA" w:rsidP="003422CA">
      <w:pPr>
        <w:jc w:val="both"/>
        <w:rPr>
          <w:rFonts w:ascii="Times New Roman" w:hAnsi="Times New Roman" w:cs="Times New Roman"/>
          <w:lang w:val="fr-FR"/>
        </w:rPr>
      </w:pPr>
    </w:p>
    <w:p w:rsidR="00E93BEA" w:rsidRPr="00605B50" w:rsidRDefault="00C63B3A" w:rsidP="00FE2450">
      <w:pPr>
        <w:spacing w:line="280" w:lineRule="auto"/>
        <w:jc w:val="both"/>
        <w:rPr>
          <w:rFonts w:ascii="Times New Roman" w:hAnsi="Times New Roman" w:cs="Times New Roman"/>
          <w:lang w:val="fr-FR"/>
        </w:rPr>
      </w:pPr>
      <w:r w:rsidRPr="00FE2450">
        <w:rPr>
          <w:rFonts w:ascii="Times New Roman" w:hAnsi="Times New Roman" w:cs="Times New Roman"/>
          <w:lang w:val="fr-FR"/>
        </w:rPr>
        <w:t xml:space="preserve">Le scénario 4 prévoit une augmentation de 23 % </w:t>
      </w:r>
      <w:r w:rsidR="00FE2450" w:rsidRPr="00FE2450">
        <w:rPr>
          <w:rFonts w:ascii="Times New Roman" w:hAnsi="Times New Roman" w:cs="Times New Roman"/>
          <w:lang w:val="fr-FR"/>
        </w:rPr>
        <w:t xml:space="preserve">par rapport </w:t>
      </w:r>
      <w:r w:rsidRPr="00FE2450">
        <w:rPr>
          <w:rFonts w:ascii="Times New Roman" w:hAnsi="Times New Roman" w:cs="Times New Roman"/>
          <w:lang w:val="fr-FR"/>
        </w:rPr>
        <w:t xml:space="preserve">au scénario 3. </w:t>
      </w:r>
      <w:r w:rsidR="00FE2450" w:rsidRPr="00FE2450">
        <w:rPr>
          <w:rFonts w:ascii="Times New Roman" w:hAnsi="Times New Roman" w:cs="Times New Roman"/>
          <w:lang w:val="fr-FR"/>
        </w:rPr>
        <w:t>Il comprend tous les éléments des scénarios précédents</w:t>
      </w:r>
      <w:r w:rsidRPr="00FE2450">
        <w:rPr>
          <w:rFonts w:ascii="Times New Roman" w:hAnsi="Times New Roman" w:cs="Times New Roman"/>
          <w:lang w:val="fr-FR"/>
        </w:rPr>
        <w:t>.</w:t>
      </w:r>
      <w:r w:rsidR="001E79BB" w:rsidRPr="00605B50">
        <w:rPr>
          <w:rFonts w:ascii="Times New Roman" w:hAnsi="Times New Roman" w:cs="Times New Roman"/>
          <w:lang w:val="fr-FR"/>
        </w:rPr>
        <w:t xml:space="preserve"> </w:t>
      </w:r>
      <w:r w:rsidR="00FE2450" w:rsidRPr="00FE2450">
        <w:rPr>
          <w:rFonts w:ascii="Times New Roman" w:hAnsi="Times New Roman" w:cs="Times New Roman"/>
          <w:lang w:val="fr-FR"/>
        </w:rPr>
        <w:t>Il contient également les revalorisations de trois postes de catégorie P en 2021, conformément aux</w:t>
      </w:r>
      <w:r w:rsidR="00B06B07">
        <w:rPr>
          <w:rFonts w:ascii="Times New Roman" w:hAnsi="Times New Roman" w:cs="Times New Roman"/>
          <w:lang w:val="fr-FR"/>
        </w:rPr>
        <w:t xml:space="preserve"> </w:t>
      </w:r>
      <w:r w:rsidR="00FE2450" w:rsidRPr="00FE2450">
        <w:rPr>
          <w:rFonts w:ascii="Times New Roman" w:hAnsi="Times New Roman" w:cs="Times New Roman"/>
          <w:lang w:val="fr-FR"/>
        </w:rPr>
        <w:t>conclusions de l</w:t>
      </w:r>
      <w:r w:rsidR="00B06B07">
        <w:rPr>
          <w:rFonts w:ascii="Times New Roman" w:hAnsi="Times New Roman" w:cs="Times New Roman"/>
          <w:lang w:val="fr-FR"/>
        </w:rPr>
        <w:t>’</w:t>
      </w:r>
      <w:r w:rsidR="00FE2450" w:rsidRPr="00FE2450">
        <w:rPr>
          <w:rFonts w:ascii="Times New Roman" w:hAnsi="Times New Roman" w:cs="Times New Roman"/>
          <w:lang w:val="fr-FR"/>
        </w:rPr>
        <w:t>évaluation des postes du Secrétariat entreprise en 2016. Le Secrétariat voudrait souligner que la revalorisation de tous les postes de</w:t>
      </w:r>
      <w:r w:rsidR="00B06B07">
        <w:rPr>
          <w:rFonts w:ascii="Times New Roman" w:hAnsi="Times New Roman" w:cs="Times New Roman"/>
          <w:lang w:val="fr-FR"/>
        </w:rPr>
        <w:t xml:space="preserve"> </w:t>
      </w:r>
      <w:r w:rsidR="00FE2450" w:rsidRPr="00FE2450">
        <w:rPr>
          <w:rFonts w:ascii="Times New Roman" w:hAnsi="Times New Roman" w:cs="Times New Roman"/>
          <w:lang w:val="fr-FR"/>
        </w:rPr>
        <w:t>la catégorie P est une exigence prévue par le Statut et le Règlement du personnel de l</w:t>
      </w:r>
      <w:r w:rsidR="00B06B07">
        <w:rPr>
          <w:rFonts w:ascii="Times New Roman" w:hAnsi="Times New Roman" w:cs="Times New Roman"/>
          <w:lang w:val="fr-FR"/>
        </w:rPr>
        <w:t>’</w:t>
      </w:r>
      <w:r w:rsidR="00FE2450" w:rsidRPr="00FE2450">
        <w:rPr>
          <w:rFonts w:ascii="Times New Roman" w:hAnsi="Times New Roman" w:cs="Times New Roman"/>
          <w:lang w:val="fr-FR"/>
        </w:rPr>
        <w:t>ONU.</w:t>
      </w:r>
      <w:r w:rsidR="00E062DC" w:rsidRPr="00605B50">
        <w:rPr>
          <w:rFonts w:ascii="Times New Roman" w:hAnsi="Times New Roman" w:cs="Times New Roman"/>
          <w:lang w:val="fr-FR"/>
        </w:rPr>
        <w:t xml:space="preserve"> </w:t>
      </w:r>
      <w:r w:rsidR="00FE2450" w:rsidRPr="00FE2450">
        <w:rPr>
          <w:rFonts w:ascii="Times New Roman" w:hAnsi="Times New Roman" w:cs="Times New Roman"/>
          <w:lang w:val="fr-FR"/>
        </w:rPr>
        <w:t>La revalorisation de la fonction manquante de Coordinateur de l</w:t>
      </w:r>
      <w:r w:rsidR="00B06B07">
        <w:rPr>
          <w:rFonts w:ascii="Times New Roman" w:hAnsi="Times New Roman" w:cs="Times New Roman"/>
          <w:lang w:val="fr-FR"/>
        </w:rPr>
        <w:t>’</w:t>
      </w:r>
      <w:r w:rsidR="00FE2450" w:rsidRPr="00FE2450">
        <w:rPr>
          <w:rFonts w:ascii="Times New Roman" w:hAnsi="Times New Roman" w:cs="Times New Roman"/>
          <w:lang w:val="fr-FR"/>
        </w:rPr>
        <w:t>Initiative africaine sera proposée lors de la MOP8.</w:t>
      </w:r>
    </w:p>
    <w:p w:rsidR="00AC233A" w:rsidRPr="00605B50" w:rsidRDefault="00FE2450" w:rsidP="000764B4">
      <w:pPr>
        <w:spacing w:line="280" w:lineRule="auto"/>
        <w:jc w:val="both"/>
        <w:rPr>
          <w:rFonts w:ascii="Times New Roman" w:hAnsi="Times New Roman" w:cs="Times New Roman"/>
          <w:lang w:val="fr-FR"/>
        </w:rPr>
      </w:pPr>
      <w:r w:rsidRPr="00FE2450">
        <w:rPr>
          <w:rFonts w:ascii="Times New Roman" w:hAnsi="Times New Roman" w:cs="Times New Roman"/>
          <w:lang w:val="fr-FR"/>
        </w:rPr>
        <w:t>L</w:t>
      </w:r>
      <w:r w:rsidR="00B06B07">
        <w:rPr>
          <w:rFonts w:ascii="Times New Roman" w:hAnsi="Times New Roman" w:cs="Times New Roman"/>
          <w:lang w:val="fr-FR"/>
        </w:rPr>
        <w:t>’</w:t>
      </w:r>
      <w:r w:rsidRPr="00FE2450">
        <w:rPr>
          <w:rFonts w:ascii="Times New Roman" w:hAnsi="Times New Roman" w:cs="Times New Roman"/>
          <w:lang w:val="fr-FR"/>
        </w:rPr>
        <w:t>article IV de l</w:t>
      </w:r>
      <w:r w:rsidR="00B06B07">
        <w:rPr>
          <w:rFonts w:ascii="Times New Roman" w:hAnsi="Times New Roman" w:cs="Times New Roman"/>
          <w:lang w:val="fr-FR"/>
        </w:rPr>
        <w:t>’</w:t>
      </w:r>
      <w:r w:rsidRPr="00FE2450">
        <w:rPr>
          <w:rFonts w:ascii="Times New Roman" w:hAnsi="Times New Roman" w:cs="Times New Roman"/>
          <w:lang w:val="fr-FR"/>
        </w:rPr>
        <w:t xml:space="preserve">Accord présente le </w:t>
      </w:r>
      <w:r w:rsidR="00642BF7">
        <w:rPr>
          <w:rFonts w:ascii="Times New Roman" w:hAnsi="Times New Roman" w:cs="Times New Roman"/>
          <w:lang w:val="fr-FR"/>
        </w:rPr>
        <w:t>P</w:t>
      </w:r>
      <w:r w:rsidRPr="00FE2450">
        <w:rPr>
          <w:rFonts w:ascii="Times New Roman" w:hAnsi="Times New Roman" w:cs="Times New Roman"/>
          <w:lang w:val="fr-FR"/>
        </w:rPr>
        <w:t>lan d</w:t>
      </w:r>
      <w:r w:rsidR="00B06B07">
        <w:rPr>
          <w:rFonts w:ascii="Times New Roman" w:hAnsi="Times New Roman" w:cs="Times New Roman"/>
          <w:lang w:val="fr-FR"/>
        </w:rPr>
        <w:t>’</w:t>
      </w:r>
      <w:r w:rsidRPr="00FE2450">
        <w:rPr>
          <w:rFonts w:ascii="Times New Roman" w:hAnsi="Times New Roman" w:cs="Times New Roman"/>
          <w:lang w:val="fr-FR"/>
        </w:rPr>
        <w:t>action d</w:t>
      </w:r>
      <w:r w:rsidR="00B06B07">
        <w:rPr>
          <w:rFonts w:ascii="Times New Roman" w:hAnsi="Times New Roman" w:cs="Times New Roman"/>
          <w:lang w:val="fr-FR"/>
        </w:rPr>
        <w:t>’</w:t>
      </w:r>
      <w:r w:rsidRPr="00FE2450">
        <w:rPr>
          <w:rFonts w:ascii="Times New Roman" w:hAnsi="Times New Roman" w:cs="Times New Roman"/>
          <w:lang w:val="fr-FR"/>
        </w:rPr>
        <w:t>AEWA (</w:t>
      </w:r>
      <w:r w:rsidR="00642BF7">
        <w:rPr>
          <w:rFonts w:ascii="Times New Roman" w:hAnsi="Times New Roman" w:cs="Times New Roman"/>
          <w:lang w:val="fr-FR"/>
        </w:rPr>
        <w:t>A</w:t>
      </w:r>
      <w:r w:rsidRPr="00FE2450">
        <w:rPr>
          <w:rFonts w:ascii="Times New Roman" w:hAnsi="Times New Roman" w:cs="Times New Roman"/>
          <w:lang w:val="fr-FR"/>
        </w:rPr>
        <w:t>nnexe 3 à l</w:t>
      </w:r>
      <w:r w:rsidR="00B06B07">
        <w:rPr>
          <w:rFonts w:ascii="Times New Roman" w:hAnsi="Times New Roman" w:cs="Times New Roman"/>
          <w:lang w:val="fr-FR"/>
        </w:rPr>
        <w:t>’</w:t>
      </w:r>
      <w:r w:rsidRPr="00FE2450">
        <w:rPr>
          <w:rFonts w:ascii="Times New Roman" w:hAnsi="Times New Roman" w:cs="Times New Roman"/>
          <w:lang w:val="fr-FR"/>
        </w:rPr>
        <w:t>Accord).</w:t>
      </w:r>
      <w:r w:rsidR="006E753D" w:rsidRPr="00605B50">
        <w:rPr>
          <w:rFonts w:ascii="Times New Roman" w:hAnsi="Times New Roman" w:cs="Times New Roman"/>
          <w:lang w:val="fr-FR"/>
        </w:rPr>
        <w:t xml:space="preserve"> </w:t>
      </w:r>
      <w:r w:rsidRPr="000764B4">
        <w:rPr>
          <w:rFonts w:ascii="Times New Roman" w:hAnsi="Times New Roman" w:cs="Times New Roman"/>
          <w:lang w:val="fr-FR"/>
        </w:rPr>
        <w:t xml:space="preserve">Le paragraphe 7.4 </w:t>
      </w:r>
      <w:r w:rsidR="000764B4" w:rsidRPr="000764B4">
        <w:rPr>
          <w:rFonts w:ascii="Times New Roman" w:hAnsi="Times New Roman" w:cs="Times New Roman"/>
          <w:lang w:val="fr-FR"/>
        </w:rPr>
        <w:t>de ce P</w:t>
      </w:r>
      <w:r w:rsidRPr="000764B4">
        <w:rPr>
          <w:rFonts w:ascii="Times New Roman" w:hAnsi="Times New Roman" w:cs="Times New Roman"/>
          <w:lang w:val="fr-FR"/>
        </w:rPr>
        <w:t xml:space="preserve">lan </w:t>
      </w:r>
      <w:r w:rsidR="000764B4" w:rsidRPr="000764B4">
        <w:rPr>
          <w:rFonts w:ascii="Times New Roman" w:hAnsi="Times New Roman" w:cs="Times New Roman"/>
          <w:lang w:val="fr-FR"/>
        </w:rPr>
        <w:t>charge le S</w:t>
      </w:r>
      <w:r w:rsidRPr="000764B4">
        <w:rPr>
          <w:rFonts w:ascii="Times New Roman" w:hAnsi="Times New Roman" w:cs="Times New Roman"/>
          <w:lang w:val="fr-FR"/>
        </w:rPr>
        <w:t>ecrétariat</w:t>
      </w:r>
      <w:r w:rsidR="008A70CD">
        <w:rPr>
          <w:rFonts w:ascii="Times New Roman" w:hAnsi="Times New Roman" w:cs="Times New Roman"/>
          <w:lang w:val="fr-FR"/>
        </w:rPr>
        <w:t>,</w:t>
      </w:r>
      <w:r w:rsidRPr="000764B4">
        <w:rPr>
          <w:rFonts w:ascii="Times New Roman" w:hAnsi="Times New Roman" w:cs="Times New Roman"/>
          <w:lang w:val="fr-FR"/>
        </w:rPr>
        <w:t xml:space="preserve"> </w:t>
      </w:r>
      <w:r w:rsidR="000764B4" w:rsidRPr="000764B4">
        <w:rPr>
          <w:rFonts w:ascii="Times New Roman" w:hAnsi="Times New Roman" w:cs="Times New Roman"/>
          <w:lang w:val="fr-FR"/>
        </w:rPr>
        <w:t>en coordination avec le Comité technique et les Parties, de préparer une série de sept études internationales sur la mise en œuvre du Plan d</w:t>
      </w:r>
      <w:r w:rsidR="00B06B07">
        <w:rPr>
          <w:rFonts w:ascii="Times New Roman" w:hAnsi="Times New Roman" w:cs="Times New Roman"/>
          <w:lang w:val="fr-FR"/>
        </w:rPr>
        <w:t>’</w:t>
      </w:r>
      <w:r w:rsidR="000764B4" w:rsidRPr="000764B4">
        <w:rPr>
          <w:rFonts w:ascii="Times New Roman" w:hAnsi="Times New Roman" w:cs="Times New Roman"/>
          <w:lang w:val="fr-FR"/>
        </w:rPr>
        <w:t>action</w:t>
      </w:r>
      <w:r w:rsidRPr="000764B4">
        <w:rPr>
          <w:rFonts w:ascii="Times New Roman" w:hAnsi="Times New Roman" w:cs="Times New Roman"/>
          <w:lang w:val="fr-FR"/>
        </w:rPr>
        <w:t>.</w:t>
      </w:r>
      <w:r w:rsidR="006E753D" w:rsidRPr="00605B50">
        <w:rPr>
          <w:rFonts w:ascii="Times New Roman" w:hAnsi="Times New Roman" w:cs="Times New Roman"/>
          <w:lang w:val="fr-FR"/>
        </w:rPr>
        <w:t xml:space="preserve"> </w:t>
      </w:r>
      <w:r w:rsidR="000764B4" w:rsidRPr="000764B4">
        <w:rPr>
          <w:rFonts w:ascii="Times New Roman" w:hAnsi="Times New Roman" w:cs="Times New Roman"/>
          <w:lang w:val="fr-FR"/>
        </w:rPr>
        <w:t>En vertu du paragraphe 7.5, ces études doivent être préparées à différents intervalles et soumises à la Réunion des Parties (MOP) pour examen.</w:t>
      </w:r>
      <w:r w:rsidR="006E753D" w:rsidRPr="00605B50">
        <w:rPr>
          <w:rFonts w:ascii="Times New Roman" w:hAnsi="Times New Roman" w:cs="Times New Roman"/>
          <w:lang w:val="fr-FR"/>
        </w:rPr>
        <w:t xml:space="preserve"> </w:t>
      </w:r>
      <w:r w:rsidR="000764B4" w:rsidRPr="000764B4">
        <w:rPr>
          <w:rFonts w:ascii="Times New Roman" w:hAnsi="Times New Roman" w:cs="Times New Roman"/>
          <w:lang w:val="fr-FR"/>
        </w:rPr>
        <w:t>À l</w:t>
      </w:r>
      <w:r w:rsidR="00B06B07">
        <w:rPr>
          <w:rFonts w:ascii="Times New Roman" w:hAnsi="Times New Roman" w:cs="Times New Roman"/>
          <w:lang w:val="fr-FR"/>
        </w:rPr>
        <w:t>’</w:t>
      </w:r>
      <w:r w:rsidR="000764B4" w:rsidRPr="000764B4">
        <w:rPr>
          <w:rFonts w:ascii="Times New Roman" w:hAnsi="Times New Roman" w:cs="Times New Roman"/>
          <w:lang w:val="fr-FR"/>
        </w:rPr>
        <w:t>exception du Rapport sur l</w:t>
      </w:r>
      <w:r w:rsidR="00B06B07">
        <w:rPr>
          <w:rFonts w:ascii="Times New Roman" w:hAnsi="Times New Roman" w:cs="Times New Roman"/>
          <w:lang w:val="fr-FR"/>
        </w:rPr>
        <w:t>’</w:t>
      </w:r>
      <w:r w:rsidR="000764B4" w:rsidRPr="000764B4">
        <w:rPr>
          <w:rFonts w:ascii="Times New Roman" w:hAnsi="Times New Roman" w:cs="Times New Roman"/>
          <w:lang w:val="fr-FR"/>
        </w:rPr>
        <w:t xml:space="preserve">état de conservation, le manque de budget a empêché le Secrétariat </w:t>
      </w:r>
      <w:r w:rsidR="00642BF7">
        <w:rPr>
          <w:rFonts w:ascii="Times New Roman" w:hAnsi="Times New Roman" w:cs="Times New Roman"/>
          <w:lang w:val="fr-FR"/>
        </w:rPr>
        <w:t xml:space="preserve">de </w:t>
      </w:r>
      <w:r w:rsidR="000764B4" w:rsidRPr="000764B4">
        <w:rPr>
          <w:rFonts w:ascii="Times New Roman" w:hAnsi="Times New Roman" w:cs="Times New Roman"/>
          <w:lang w:val="fr-FR"/>
        </w:rPr>
        <w:t>produire toutes les études requises pour la MOP7. Il sera donc nécessaire de produire les sept rapports lors de la MOP8 et c</w:t>
      </w:r>
      <w:r w:rsidR="00B06B07">
        <w:rPr>
          <w:rFonts w:ascii="Times New Roman" w:hAnsi="Times New Roman" w:cs="Times New Roman"/>
          <w:lang w:val="fr-FR"/>
        </w:rPr>
        <w:t>’</w:t>
      </w:r>
      <w:r w:rsidR="000764B4" w:rsidRPr="000764B4">
        <w:rPr>
          <w:rFonts w:ascii="Times New Roman" w:hAnsi="Times New Roman" w:cs="Times New Roman"/>
          <w:lang w:val="fr-FR"/>
        </w:rPr>
        <w:t>est pourquoi les coûts portant sur ces études ont été inclus dans ce scénario.</w:t>
      </w:r>
      <w:r w:rsidR="006E753D" w:rsidRPr="00605B50">
        <w:rPr>
          <w:rFonts w:ascii="Times New Roman" w:hAnsi="Times New Roman" w:cs="Times New Roman"/>
          <w:lang w:val="fr-FR"/>
        </w:rPr>
        <w:t xml:space="preserve"> </w:t>
      </w:r>
      <w:r w:rsidR="000764B4" w:rsidRPr="000764B4">
        <w:rPr>
          <w:rFonts w:ascii="Times New Roman" w:hAnsi="Times New Roman" w:cs="Times New Roman"/>
          <w:lang w:val="fr-FR"/>
        </w:rPr>
        <w:t>Le fait d</w:t>
      </w:r>
      <w:r w:rsidR="00B06B07">
        <w:rPr>
          <w:rFonts w:ascii="Times New Roman" w:hAnsi="Times New Roman" w:cs="Times New Roman"/>
          <w:lang w:val="fr-FR"/>
        </w:rPr>
        <w:t>’</w:t>
      </w:r>
      <w:r w:rsidR="000764B4" w:rsidRPr="000764B4">
        <w:rPr>
          <w:rFonts w:ascii="Times New Roman" w:hAnsi="Times New Roman" w:cs="Times New Roman"/>
          <w:lang w:val="fr-FR"/>
        </w:rPr>
        <w:t>ajouter des fonds pour la réalisation d</w:t>
      </w:r>
      <w:r w:rsidR="00B06B07">
        <w:rPr>
          <w:rFonts w:ascii="Times New Roman" w:hAnsi="Times New Roman" w:cs="Times New Roman"/>
          <w:lang w:val="fr-FR"/>
        </w:rPr>
        <w:t>’</w:t>
      </w:r>
      <w:r w:rsidR="000764B4" w:rsidRPr="000764B4">
        <w:rPr>
          <w:rFonts w:ascii="Times New Roman" w:hAnsi="Times New Roman" w:cs="Times New Roman"/>
          <w:lang w:val="fr-FR"/>
        </w:rPr>
        <w:t>au moins deux ou trois études serait déjà une amélioration au niveau de l</w:t>
      </w:r>
      <w:r w:rsidR="00B06B07">
        <w:rPr>
          <w:rFonts w:ascii="Times New Roman" w:hAnsi="Times New Roman" w:cs="Times New Roman"/>
          <w:lang w:val="fr-FR"/>
        </w:rPr>
        <w:t>’</w:t>
      </w:r>
      <w:r w:rsidR="000764B4" w:rsidRPr="000764B4">
        <w:rPr>
          <w:rFonts w:ascii="Times New Roman" w:hAnsi="Times New Roman" w:cs="Times New Roman"/>
          <w:lang w:val="fr-FR"/>
        </w:rPr>
        <w:t>application de l</w:t>
      </w:r>
      <w:r w:rsidR="00B06B07">
        <w:rPr>
          <w:rFonts w:ascii="Times New Roman" w:hAnsi="Times New Roman" w:cs="Times New Roman"/>
          <w:lang w:val="fr-FR"/>
        </w:rPr>
        <w:t>’</w:t>
      </w:r>
      <w:r w:rsidR="000764B4" w:rsidRPr="000764B4">
        <w:rPr>
          <w:rFonts w:ascii="Times New Roman" w:hAnsi="Times New Roman" w:cs="Times New Roman"/>
          <w:lang w:val="fr-FR"/>
        </w:rPr>
        <w:t>Accord.</w:t>
      </w:r>
    </w:p>
    <w:p w:rsidR="002E0925" w:rsidRPr="00605B50" w:rsidRDefault="000764B4" w:rsidP="009B5531">
      <w:pPr>
        <w:spacing w:line="280" w:lineRule="auto"/>
        <w:jc w:val="both"/>
        <w:rPr>
          <w:rFonts w:ascii="Times New Roman" w:hAnsi="Times New Roman" w:cs="Times New Roman"/>
          <w:lang w:val="fr-FR"/>
        </w:rPr>
      </w:pPr>
      <w:r w:rsidRPr="009B5531">
        <w:rPr>
          <w:rFonts w:ascii="Times New Roman" w:hAnsi="Times New Roman" w:cs="Times New Roman"/>
          <w:lang w:val="fr-FR"/>
        </w:rPr>
        <w:t>Il convient également de noter que la mise en œuvre des réalisations prévues dans le cadre du Plan stratégique 2019-2027 de l</w:t>
      </w:r>
      <w:r w:rsidR="00B06B07">
        <w:rPr>
          <w:rFonts w:ascii="Times New Roman" w:hAnsi="Times New Roman" w:cs="Times New Roman"/>
          <w:lang w:val="fr-FR"/>
        </w:rPr>
        <w:t>’</w:t>
      </w:r>
      <w:r w:rsidRPr="009B5531">
        <w:rPr>
          <w:rFonts w:ascii="Times New Roman" w:hAnsi="Times New Roman" w:cs="Times New Roman"/>
          <w:lang w:val="fr-FR"/>
        </w:rPr>
        <w:t xml:space="preserve">AEWA </w:t>
      </w:r>
      <w:r w:rsidR="009B5531" w:rsidRPr="009B5531">
        <w:rPr>
          <w:rFonts w:ascii="Times New Roman" w:hAnsi="Times New Roman" w:cs="Times New Roman"/>
          <w:lang w:val="fr-FR"/>
        </w:rPr>
        <w:t xml:space="preserve">et requises </w:t>
      </w:r>
      <w:proofErr w:type="gramStart"/>
      <w:r w:rsidR="009B5531" w:rsidRPr="009B5531">
        <w:rPr>
          <w:rFonts w:ascii="Times New Roman" w:hAnsi="Times New Roman" w:cs="Times New Roman"/>
          <w:lang w:val="fr-FR"/>
        </w:rPr>
        <w:t>d</w:t>
      </w:r>
      <w:r w:rsidR="00B06B07">
        <w:rPr>
          <w:rFonts w:ascii="Times New Roman" w:hAnsi="Times New Roman" w:cs="Times New Roman"/>
          <w:lang w:val="fr-FR"/>
        </w:rPr>
        <w:t>’</w:t>
      </w:r>
      <w:r w:rsidR="009B5531" w:rsidRPr="009B5531">
        <w:rPr>
          <w:rFonts w:ascii="Times New Roman" w:hAnsi="Times New Roman" w:cs="Times New Roman"/>
          <w:lang w:val="fr-FR"/>
        </w:rPr>
        <w:t>ici la</w:t>
      </w:r>
      <w:proofErr w:type="gramEnd"/>
      <w:r w:rsidRPr="009B5531">
        <w:rPr>
          <w:rFonts w:ascii="Times New Roman" w:hAnsi="Times New Roman" w:cs="Times New Roman"/>
          <w:lang w:val="fr-FR"/>
        </w:rPr>
        <w:t xml:space="preserve"> MOP8 coûtera 130</w:t>
      </w:r>
      <w:r w:rsidR="009B5531" w:rsidRPr="009B5531">
        <w:rPr>
          <w:rFonts w:ascii="Times New Roman" w:hAnsi="Times New Roman" w:cs="Times New Roman"/>
          <w:lang w:val="fr-FR"/>
        </w:rPr>
        <w:t xml:space="preserve"> </w:t>
      </w:r>
      <w:r w:rsidRPr="009B5531">
        <w:rPr>
          <w:rFonts w:ascii="Times New Roman" w:hAnsi="Times New Roman" w:cs="Times New Roman"/>
          <w:lang w:val="fr-FR"/>
        </w:rPr>
        <w:t xml:space="preserve">000 </w:t>
      </w:r>
      <w:r w:rsidR="009B5531" w:rsidRPr="009B5531">
        <w:rPr>
          <w:rFonts w:ascii="Times New Roman" w:hAnsi="Times New Roman" w:cs="Times New Roman"/>
          <w:lang w:val="fr-FR"/>
        </w:rPr>
        <w:t>euros</w:t>
      </w:r>
      <w:r w:rsidR="008A70CD">
        <w:rPr>
          <w:rFonts w:ascii="Times New Roman" w:hAnsi="Times New Roman" w:cs="Times New Roman"/>
          <w:lang w:val="fr-FR"/>
        </w:rPr>
        <w:t>,</w:t>
      </w:r>
      <w:r w:rsidRPr="009B5531">
        <w:rPr>
          <w:rFonts w:ascii="Times New Roman" w:hAnsi="Times New Roman" w:cs="Times New Roman"/>
          <w:lang w:val="fr-FR"/>
        </w:rPr>
        <w:t xml:space="preserve"> qui n</w:t>
      </w:r>
      <w:r w:rsidR="00B06B07">
        <w:rPr>
          <w:rFonts w:ascii="Times New Roman" w:hAnsi="Times New Roman" w:cs="Times New Roman"/>
          <w:lang w:val="fr-FR"/>
        </w:rPr>
        <w:t>’</w:t>
      </w:r>
      <w:r w:rsidRPr="009B5531">
        <w:rPr>
          <w:rFonts w:ascii="Times New Roman" w:hAnsi="Times New Roman" w:cs="Times New Roman"/>
          <w:lang w:val="fr-FR"/>
        </w:rPr>
        <w:t xml:space="preserve">ont pas été ajoutés à ce scénario </w:t>
      </w:r>
      <w:r w:rsidR="009B5531" w:rsidRPr="009B5531">
        <w:rPr>
          <w:rFonts w:ascii="Times New Roman" w:hAnsi="Times New Roman" w:cs="Times New Roman"/>
          <w:lang w:val="fr-FR"/>
        </w:rPr>
        <w:t>budgétaire et qui feront l</w:t>
      </w:r>
      <w:r w:rsidR="00B06B07">
        <w:rPr>
          <w:rFonts w:ascii="Times New Roman" w:hAnsi="Times New Roman" w:cs="Times New Roman"/>
          <w:lang w:val="fr-FR"/>
        </w:rPr>
        <w:t>’</w:t>
      </w:r>
      <w:r w:rsidR="009B5531" w:rsidRPr="009B5531">
        <w:rPr>
          <w:rFonts w:ascii="Times New Roman" w:hAnsi="Times New Roman" w:cs="Times New Roman"/>
          <w:lang w:val="fr-FR"/>
        </w:rPr>
        <w:t xml:space="preserve">objet de </w:t>
      </w:r>
      <w:r w:rsidRPr="009B5531">
        <w:rPr>
          <w:rFonts w:ascii="Times New Roman" w:hAnsi="Times New Roman" w:cs="Times New Roman"/>
          <w:lang w:val="fr-FR"/>
        </w:rPr>
        <w:t>contributions volontaires.</w:t>
      </w:r>
    </w:p>
    <w:p w:rsidR="002E0925" w:rsidRPr="00605B50" w:rsidRDefault="009B5531" w:rsidP="00AC233A">
      <w:pPr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605B50">
        <w:rPr>
          <w:rFonts w:ascii="Times New Roman" w:hAnsi="Times New Roman" w:cs="Times New Roman"/>
          <w:lang w:val="fr-FR"/>
        </w:rPr>
        <w:t xml:space="preserve"> </w:t>
      </w:r>
    </w:p>
    <w:p w:rsidR="003C5EEA" w:rsidRPr="00605B50" w:rsidRDefault="003C5EEA" w:rsidP="00AC233A">
      <w:pPr>
        <w:spacing w:line="276" w:lineRule="auto"/>
        <w:jc w:val="both"/>
        <w:rPr>
          <w:rFonts w:ascii="Times New Roman" w:hAnsi="Times New Roman" w:cs="Times New Roman"/>
          <w:lang w:val="fr-FR"/>
        </w:rPr>
      </w:pPr>
    </w:p>
    <w:p w:rsidR="003C5EEA" w:rsidRPr="00605B50" w:rsidRDefault="003C5EEA" w:rsidP="00317573">
      <w:pPr>
        <w:jc w:val="both"/>
        <w:rPr>
          <w:rFonts w:ascii="Times New Roman" w:hAnsi="Times New Roman" w:cs="Times New Roman"/>
          <w:b/>
          <w:lang w:val="fr-FR"/>
        </w:rPr>
      </w:pPr>
    </w:p>
    <w:p w:rsidR="00AC233A" w:rsidRPr="00605B50" w:rsidRDefault="00AC233A" w:rsidP="00317573">
      <w:pPr>
        <w:jc w:val="both"/>
        <w:rPr>
          <w:rFonts w:ascii="Times New Roman" w:hAnsi="Times New Roman" w:cs="Times New Roman"/>
          <w:lang w:val="fr-FR"/>
        </w:rPr>
      </w:pPr>
      <w:r w:rsidRPr="00605B50">
        <w:rPr>
          <w:rFonts w:ascii="Times New Roman" w:hAnsi="Times New Roman" w:cs="Times New Roman"/>
          <w:lang w:val="fr-FR"/>
        </w:rPr>
        <w:br w:type="page"/>
      </w:r>
    </w:p>
    <w:p w:rsidR="00535D34" w:rsidRPr="008476BF" w:rsidRDefault="00A04FE2" w:rsidP="0031757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476BF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Annex 1</w:t>
      </w:r>
      <w:r w:rsidR="002152FD" w:rsidRPr="008476BF">
        <w:rPr>
          <w:rFonts w:ascii="Times New Roman" w:hAnsi="Times New Roman" w:cs="Times New Roman"/>
          <w:b/>
          <w:sz w:val="24"/>
          <w:szCs w:val="24"/>
          <w:lang w:val="en-GB"/>
        </w:rPr>
        <w:t>: Budget scenarios 2019-2021</w:t>
      </w:r>
    </w:p>
    <w:p w:rsidR="00A04FE2" w:rsidRPr="00535D34" w:rsidRDefault="00535D34" w:rsidP="00317573">
      <w:pPr>
        <w:jc w:val="both"/>
        <w:rPr>
          <w:rFonts w:ascii="Times New Roman" w:hAnsi="Times New Roman" w:cs="Times New Roman"/>
        </w:rPr>
      </w:pPr>
      <w:r w:rsidRPr="00D8137C">
        <w:rPr>
          <w:rFonts w:ascii="Times New Roman" w:hAnsi="Times New Roman" w:cs="Times New Roman"/>
          <w:b/>
        </w:rPr>
        <w:t>Scenar</w:t>
      </w:r>
      <w:r w:rsidRPr="00AF5BD8">
        <w:rPr>
          <w:rFonts w:ascii="Times New Roman" w:hAnsi="Times New Roman" w:cs="Times New Roman"/>
          <w:b/>
        </w:rPr>
        <w:t>io 1</w:t>
      </w:r>
      <w:r w:rsidRPr="00AF5BD8">
        <w:rPr>
          <w:rFonts w:ascii="Times New Roman" w:hAnsi="Times New Roman" w:cs="Times New Roman"/>
        </w:rPr>
        <w:t xml:space="preserve">: </w:t>
      </w:r>
      <w:r w:rsidRPr="002703A2">
        <w:rPr>
          <w:rFonts w:ascii="Times New Roman" w:hAnsi="Times New Roman" w:cs="Times New Roman"/>
          <w:b/>
        </w:rPr>
        <w:t>Zero nominal growth</w:t>
      </w:r>
      <w:r>
        <w:rPr>
          <w:rFonts w:ascii="Times New Roman" w:hAnsi="Times New Roman" w:cs="Times New Roman"/>
        </w:rPr>
        <w:t xml:space="preserve"> – </w:t>
      </w:r>
      <w:r w:rsidRPr="00E502E6">
        <w:rPr>
          <w:rFonts w:ascii="Times New Roman" w:hAnsi="Times New Roman" w:cs="Times New Roman"/>
          <w:b/>
        </w:rPr>
        <w:t>0 % increase</w:t>
      </w:r>
    </w:p>
    <w:p w:rsidR="00A04FE2" w:rsidRPr="00654ADB" w:rsidRDefault="009C5853" w:rsidP="00317573">
      <w:pPr>
        <w:jc w:val="both"/>
        <w:rPr>
          <w:rFonts w:ascii="Times New Roman" w:hAnsi="Times New Roman" w:cs="Times New Roman"/>
          <w:b/>
          <w:lang w:val="en-GB"/>
        </w:rPr>
      </w:pPr>
      <w:r w:rsidRPr="009C5853">
        <w:rPr>
          <w:noProof/>
          <w:lang w:val="nl-NL" w:eastAsia="nl-NL"/>
        </w:rPr>
        <w:drawing>
          <wp:inline distT="0" distB="0" distL="0" distR="0" wp14:anchorId="270D9DB3" wp14:editId="5067B0C5">
            <wp:extent cx="6120765" cy="71397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13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B29" w:rsidRDefault="00816B29" w:rsidP="00317573">
      <w:pPr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br w:type="page"/>
      </w:r>
    </w:p>
    <w:p w:rsidR="000E07BB" w:rsidRDefault="00EA55CB" w:rsidP="00317573">
      <w:pPr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lastRenderedPageBreak/>
        <w:t>Parties contributions under Scenario 1:</w:t>
      </w:r>
    </w:p>
    <w:p w:rsidR="000E07BB" w:rsidRDefault="000E07BB" w:rsidP="00317573">
      <w:pPr>
        <w:jc w:val="both"/>
        <w:rPr>
          <w:rFonts w:ascii="Times New Roman" w:hAnsi="Times New Roman" w:cs="Times New Roman"/>
          <w:b/>
          <w:lang w:val="en-GB"/>
        </w:rPr>
      </w:pPr>
      <w:r w:rsidRPr="000E07BB">
        <w:rPr>
          <w:noProof/>
          <w:lang w:val="nl-NL" w:eastAsia="nl-NL"/>
        </w:rPr>
        <w:drawing>
          <wp:inline distT="0" distB="0" distL="0" distR="0" wp14:anchorId="34F5601E" wp14:editId="44751D9D">
            <wp:extent cx="6120765" cy="7959584"/>
            <wp:effectExtent l="19050" t="0" r="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959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7BB" w:rsidRDefault="000E07BB" w:rsidP="00317573">
      <w:pPr>
        <w:jc w:val="both"/>
        <w:rPr>
          <w:rFonts w:ascii="Times New Roman" w:hAnsi="Times New Roman" w:cs="Times New Roman"/>
          <w:b/>
          <w:lang w:val="en-GB"/>
        </w:rPr>
      </w:pPr>
    </w:p>
    <w:p w:rsidR="000E07BB" w:rsidRDefault="000E07BB" w:rsidP="00317573">
      <w:pPr>
        <w:jc w:val="both"/>
        <w:rPr>
          <w:rFonts w:ascii="Times New Roman" w:hAnsi="Times New Roman" w:cs="Times New Roman"/>
          <w:b/>
          <w:lang w:val="en-GB"/>
        </w:rPr>
      </w:pPr>
    </w:p>
    <w:p w:rsidR="000E07BB" w:rsidRDefault="000E07BB" w:rsidP="00317573">
      <w:pPr>
        <w:jc w:val="both"/>
        <w:rPr>
          <w:rFonts w:ascii="Times New Roman" w:hAnsi="Times New Roman" w:cs="Times New Roman"/>
          <w:b/>
          <w:lang w:val="en-GB"/>
        </w:rPr>
      </w:pPr>
    </w:p>
    <w:p w:rsidR="00EA55CB" w:rsidRDefault="00EA55CB" w:rsidP="00317573">
      <w:pPr>
        <w:jc w:val="both"/>
        <w:rPr>
          <w:rFonts w:ascii="Times New Roman" w:hAnsi="Times New Roman" w:cs="Times New Roman"/>
          <w:b/>
          <w:lang w:val="en-GB"/>
        </w:rPr>
      </w:pPr>
    </w:p>
    <w:p w:rsidR="000E07BB" w:rsidRDefault="000E07BB" w:rsidP="00317573">
      <w:pPr>
        <w:jc w:val="both"/>
        <w:rPr>
          <w:rFonts w:ascii="Times New Roman" w:hAnsi="Times New Roman" w:cs="Times New Roman"/>
          <w:b/>
          <w:lang w:val="en-GB"/>
        </w:rPr>
      </w:pPr>
      <w:r w:rsidRPr="000E07BB">
        <w:rPr>
          <w:noProof/>
          <w:lang w:val="nl-NL" w:eastAsia="nl-NL"/>
        </w:rPr>
        <w:lastRenderedPageBreak/>
        <w:drawing>
          <wp:inline distT="0" distB="0" distL="0" distR="0" wp14:anchorId="5BFDEB26" wp14:editId="3732E5D9">
            <wp:extent cx="6120765" cy="1053220"/>
            <wp:effectExtent l="19050" t="0" r="0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5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5F5" w:rsidRPr="002C25F5">
        <w:rPr>
          <w:noProof/>
          <w:lang w:val="nl-NL" w:eastAsia="nl-NL"/>
        </w:rPr>
        <w:drawing>
          <wp:inline distT="0" distB="0" distL="0" distR="0" wp14:anchorId="36A895E4" wp14:editId="7C8B206B">
            <wp:extent cx="6120765" cy="676823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768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7BB" w:rsidRDefault="000E07BB">
      <w:pPr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br w:type="page"/>
      </w:r>
    </w:p>
    <w:p w:rsidR="00535D34" w:rsidRPr="00895AC7" w:rsidRDefault="00535D34" w:rsidP="00535D34">
      <w:pPr>
        <w:jc w:val="both"/>
        <w:rPr>
          <w:rFonts w:ascii="Times New Roman" w:hAnsi="Times New Roman" w:cs="Times New Roman"/>
          <w:lang w:val="it-IT"/>
        </w:rPr>
      </w:pPr>
      <w:r w:rsidRPr="00895AC7">
        <w:rPr>
          <w:rFonts w:ascii="Times New Roman" w:hAnsi="Times New Roman" w:cs="Times New Roman"/>
          <w:b/>
          <w:lang w:val="it-IT"/>
        </w:rPr>
        <w:lastRenderedPageBreak/>
        <w:t>Scenario 2</w:t>
      </w:r>
      <w:r w:rsidRPr="00895AC7">
        <w:rPr>
          <w:rFonts w:ascii="Times New Roman" w:hAnsi="Times New Roman" w:cs="Times New Roman"/>
          <w:lang w:val="it-IT"/>
        </w:rPr>
        <w:t xml:space="preserve">: </w:t>
      </w:r>
      <w:r w:rsidRPr="00895AC7">
        <w:rPr>
          <w:rFonts w:ascii="Times New Roman" w:hAnsi="Times New Roman" w:cs="Times New Roman"/>
          <w:b/>
          <w:lang w:val="it-IT"/>
        </w:rPr>
        <w:t>Zero real growth</w:t>
      </w:r>
      <w:r w:rsidRPr="00895AC7">
        <w:rPr>
          <w:rFonts w:ascii="Times New Roman" w:hAnsi="Times New Roman" w:cs="Times New Roman"/>
          <w:lang w:val="it-IT"/>
        </w:rPr>
        <w:t xml:space="preserve"> – + </w:t>
      </w:r>
      <w:r w:rsidRPr="00895AC7">
        <w:rPr>
          <w:rFonts w:ascii="Times New Roman" w:hAnsi="Times New Roman" w:cs="Times New Roman"/>
          <w:b/>
          <w:lang w:val="it-IT"/>
        </w:rPr>
        <w:t>4.04%/ Scenario 1</w:t>
      </w:r>
    </w:p>
    <w:p w:rsidR="00A04FE2" w:rsidRPr="00654ADB" w:rsidRDefault="009C5853" w:rsidP="00317573">
      <w:pPr>
        <w:jc w:val="both"/>
        <w:rPr>
          <w:b/>
          <w:lang w:val="en-GB"/>
        </w:rPr>
      </w:pPr>
      <w:r w:rsidRPr="009C5853">
        <w:rPr>
          <w:noProof/>
          <w:lang w:val="nl-NL" w:eastAsia="nl-NL"/>
        </w:rPr>
        <w:drawing>
          <wp:inline distT="0" distB="0" distL="0" distR="0" wp14:anchorId="0067ABDA" wp14:editId="24386ACB">
            <wp:extent cx="6120765" cy="7041339"/>
            <wp:effectExtent l="1905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041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3F9" w:rsidRPr="00654ADB" w:rsidRDefault="002833F9" w:rsidP="00317573">
      <w:pPr>
        <w:jc w:val="both"/>
        <w:rPr>
          <w:rFonts w:ascii="Times New Roman" w:hAnsi="Times New Roman" w:cs="Times New Roman"/>
          <w:b/>
          <w:i/>
          <w:lang w:val="en-GB"/>
        </w:rPr>
      </w:pPr>
    </w:p>
    <w:p w:rsidR="00EA55CB" w:rsidRDefault="00EA55CB" w:rsidP="00EA55CB">
      <w:pPr>
        <w:jc w:val="both"/>
        <w:rPr>
          <w:rFonts w:ascii="Times New Roman" w:hAnsi="Times New Roman" w:cs="Times New Roman"/>
          <w:b/>
          <w:lang w:val="en-GB"/>
        </w:rPr>
      </w:pPr>
    </w:p>
    <w:p w:rsidR="00EA55CB" w:rsidRDefault="00EA55CB" w:rsidP="00EA55CB">
      <w:pPr>
        <w:jc w:val="both"/>
        <w:rPr>
          <w:rFonts w:ascii="Times New Roman" w:hAnsi="Times New Roman" w:cs="Times New Roman"/>
          <w:b/>
          <w:lang w:val="en-GB"/>
        </w:rPr>
      </w:pPr>
    </w:p>
    <w:p w:rsidR="00EA55CB" w:rsidRDefault="00EA55CB" w:rsidP="00EA55CB">
      <w:pPr>
        <w:jc w:val="both"/>
        <w:rPr>
          <w:rFonts w:ascii="Times New Roman" w:hAnsi="Times New Roman" w:cs="Times New Roman"/>
          <w:b/>
          <w:lang w:val="en-GB"/>
        </w:rPr>
      </w:pPr>
    </w:p>
    <w:p w:rsidR="00EA55CB" w:rsidRDefault="00EA55CB" w:rsidP="00EA55CB">
      <w:pPr>
        <w:jc w:val="both"/>
        <w:rPr>
          <w:rFonts w:ascii="Times New Roman" w:hAnsi="Times New Roman" w:cs="Times New Roman"/>
          <w:b/>
          <w:lang w:val="en-GB"/>
        </w:rPr>
      </w:pPr>
    </w:p>
    <w:p w:rsidR="00EA55CB" w:rsidRDefault="00EA55CB" w:rsidP="00EA55CB">
      <w:pPr>
        <w:jc w:val="both"/>
        <w:rPr>
          <w:rFonts w:ascii="Times New Roman" w:hAnsi="Times New Roman" w:cs="Times New Roman"/>
          <w:b/>
          <w:lang w:val="en-GB"/>
        </w:rPr>
      </w:pPr>
    </w:p>
    <w:p w:rsidR="00EA55CB" w:rsidRDefault="00EA55CB" w:rsidP="00EA55CB">
      <w:pPr>
        <w:jc w:val="both"/>
        <w:rPr>
          <w:rFonts w:ascii="Times New Roman" w:hAnsi="Times New Roman" w:cs="Times New Roman"/>
          <w:b/>
          <w:lang w:val="en-GB"/>
        </w:rPr>
      </w:pPr>
    </w:p>
    <w:p w:rsidR="008027F9" w:rsidRDefault="00EA55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GB"/>
        </w:rPr>
        <w:lastRenderedPageBreak/>
        <w:t>Parties contributions under Scenario 2:</w:t>
      </w:r>
    </w:p>
    <w:p w:rsidR="000E07BB" w:rsidRDefault="000E07BB">
      <w:pPr>
        <w:rPr>
          <w:rFonts w:ascii="Times New Roman" w:hAnsi="Times New Roman" w:cs="Times New Roman"/>
          <w:b/>
        </w:rPr>
      </w:pPr>
      <w:r w:rsidRPr="000E07BB">
        <w:rPr>
          <w:noProof/>
          <w:lang w:val="nl-NL" w:eastAsia="nl-NL"/>
        </w:rPr>
        <w:drawing>
          <wp:inline distT="0" distB="0" distL="0" distR="0" wp14:anchorId="2365A1C0" wp14:editId="0CFB06DD">
            <wp:extent cx="6120765" cy="1053220"/>
            <wp:effectExtent l="19050" t="0" r="0" b="0"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5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5F5" w:rsidRPr="002C25F5">
        <w:rPr>
          <w:noProof/>
          <w:lang w:val="nl-NL" w:eastAsia="nl-NL"/>
        </w:rPr>
        <w:drawing>
          <wp:inline distT="0" distB="0" distL="0" distR="0" wp14:anchorId="15430409" wp14:editId="46FE8624">
            <wp:extent cx="6120765" cy="7044156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04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7BB" w:rsidRDefault="000E07BB">
      <w:pPr>
        <w:rPr>
          <w:rFonts w:ascii="Times New Roman" w:hAnsi="Times New Roman" w:cs="Times New Roman"/>
          <w:b/>
        </w:rPr>
      </w:pPr>
      <w:r w:rsidRPr="000E07BB">
        <w:rPr>
          <w:noProof/>
          <w:lang w:val="nl-NL" w:eastAsia="nl-NL"/>
        </w:rPr>
        <w:lastRenderedPageBreak/>
        <w:drawing>
          <wp:inline distT="0" distB="0" distL="0" distR="0" wp14:anchorId="2D6CE7C0" wp14:editId="46036DF7">
            <wp:extent cx="6120765" cy="1053220"/>
            <wp:effectExtent l="19050" t="0" r="0" b="0"/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5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5F5" w:rsidRPr="002C25F5">
        <w:rPr>
          <w:noProof/>
          <w:lang w:val="nl-NL" w:eastAsia="nl-NL"/>
        </w:rPr>
        <w:drawing>
          <wp:inline distT="0" distB="0" distL="0" distR="0" wp14:anchorId="0C9E85EF" wp14:editId="3884D633">
            <wp:extent cx="6120765" cy="6894655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89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br w:type="page"/>
      </w:r>
    </w:p>
    <w:p w:rsidR="00535D34" w:rsidRPr="00163786" w:rsidRDefault="00535D34" w:rsidP="00C05C6A">
      <w:pPr>
        <w:rPr>
          <w:rFonts w:ascii="Times New Roman" w:hAnsi="Times New Roman" w:cs="Times New Roman"/>
          <w:b/>
        </w:rPr>
      </w:pPr>
      <w:r w:rsidRPr="00163786">
        <w:rPr>
          <w:rFonts w:ascii="Times New Roman" w:hAnsi="Times New Roman" w:cs="Times New Roman"/>
          <w:b/>
        </w:rPr>
        <w:lastRenderedPageBreak/>
        <w:t>Scenario 3:</w:t>
      </w:r>
      <w:r w:rsidR="00B06B07">
        <w:rPr>
          <w:rFonts w:ascii="Times New Roman" w:hAnsi="Times New Roman" w:cs="Times New Roman"/>
          <w:b/>
        </w:rPr>
        <w:t xml:space="preserve"> </w:t>
      </w:r>
      <w:r w:rsidR="00EA55CB" w:rsidRPr="00163786">
        <w:rPr>
          <w:rFonts w:ascii="Times New Roman" w:hAnsi="Times New Roman" w:cs="Times New Roman"/>
          <w:b/>
        </w:rPr>
        <w:t>+ 4.7</w:t>
      </w:r>
      <w:r w:rsidR="00C84A1B" w:rsidRPr="00163786">
        <w:rPr>
          <w:rFonts w:ascii="Times New Roman" w:hAnsi="Times New Roman" w:cs="Times New Roman"/>
          <w:b/>
        </w:rPr>
        <w:t>9</w:t>
      </w:r>
      <w:r w:rsidRPr="00163786">
        <w:rPr>
          <w:rFonts w:ascii="Times New Roman" w:hAnsi="Times New Roman" w:cs="Times New Roman"/>
          <w:b/>
        </w:rPr>
        <w:t xml:space="preserve">%/Scenario 2 </w:t>
      </w:r>
    </w:p>
    <w:p w:rsidR="00A04FE2" w:rsidRPr="00654ADB" w:rsidRDefault="009C5853" w:rsidP="00317573">
      <w:pPr>
        <w:jc w:val="both"/>
        <w:rPr>
          <w:rFonts w:ascii="Times New Roman" w:hAnsi="Times New Roman" w:cs="Times New Roman"/>
          <w:b/>
          <w:lang w:val="en-GB"/>
        </w:rPr>
      </w:pPr>
      <w:r w:rsidRPr="009C5853">
        <w:rPr>
          <w:noProof/>
          <w:lang w:val="nl-NL" w:eastAsia="nl-NL"/>
        </w:rPr>
        <w:drawing>
          <wp:inline distT="0" distB="0" distL="0" distR="0" wp14:anchorId="371A1A29" wp14:editId="7F6A6EEF">
            <wp:extent cx="6120765" cy="7146830"/>
            <wp:effectExtent l="1905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14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D34" w:rsidRPr="009C5853" w:rsidRDefault="00535D34" w:rsidP="009C5853">
      <w:pPr>
        <w:rPr>
          <w:rFonts w:ascii="Times New Roman" w:hAnsi="Times New Roman" w:cs="Times New Roman"/>
          <w:b/>
          <w:lang w:val="en-GB"/>
        </w:rPr>
      </w:pPr>
    </w:p>
    <w:p w:rsidR="00EA55CB" w:rsidRDefault="00EA55CB" w:rsidP="00EA55CB">
      <w:pPr>
        <w:jc w:val="both"/>
        <w:rPr>
          <w:rFonts w:ascii="Times New Roman" w:hAnsi="Times New Roman" w:cs="Times New Roman"/>
          <w:b/>
          <w:lang w:val="en-GB"/>
        </w:rPr>
      </w:pPr>
    </w:p>
    <w:p w:rsidR="00EA55CB" w:rsidRDefault="00EA55CB" w:rsidP="00EA55CB">
      <w:pPr>
        <w:jc w:val="both"/>
        <w:rPr>
          <w:rFonts w:ascii="Times New Roman" w:hAnsi="Times New Roman" w:cs="Times New Roman"/>
          <w:b/>
          <w:lang w:val="en-GB"/>
        </w:rPr>
      </w:pPr>
    </w:p>
    <w:p w:rsidR="00EA55CB" w:rsidRDefault="00EA55CB" w:rsidP="00EA55CB">
      <w:pPr>
        <w:jc w:val="both"/>
        <w:rPr>
          <w:rFonts w:ascii="Times New Roman" w:hAnsi="Times New Roman" w:cs="Times New Roman"/>
          <w:b/>
          <w:lang w:val="en-GB"/>
        </w:rPr>
      </w:pPr>
    </w:p>
    <w:p w:rsidR="00EA55CB" w:rsidRDefault="00EA55CB" w:rsidP="00EA55CB">
      <w:pPr>
        <w:jc w:val="both"/>
        <w:rPr>
          <w:rFonts w:ascii="Times New Roman" w:hAnsi="Times New Roman" w:cs="Times New Roman"/>
          <w:b/>
          <w:lang w:val="en-GB"/>
        </w:rPr>
      </w:pPr>
    </w:p>
    <w:p w:rsidR="00EA55CB" w:rsidRDefault="00EA55CB" w:rsidP="00EA55CB">
      <w:pPr>
        <w:jc w:val="both"/>
        <w:rPr>
          <w:rFonts w:ascii="Times New Roman" w:hAnsi="Times New Roman" w:cs="Times New Roman"/>
          <w:b/>
          <w:lang w:val="en-GB"/>
        </w:rPr>
      </w:pPr>
    </w:p>
    <w:p w:rsidR="00337896" w:rsidRPr="00654ADB" w:rsidRDefault="00EA55CB" w:rsidP="00EA55CB">
      <w:pPr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lastRenderedPageBreak/>
        <w:t>Parties contributions under Scenario 3:</w:t>
      </w:r>
    </w:p>
    <w:p w:rsidR="000E07BB" w:rsidRDefault="000E07BB">
      <w:pPr>
        <w:rPr>
          <w:rFonts w:ascii="Times New Roman" w:hAnsi="Times New Roman" w:cs="Times New Roman"/>
          <w:b/>
        </w:rPr>
      </w:pPr>
      <w:r w:rsidRPr="000E07BB">
        <w:rPr>
          <w:noProof/>
          <w:lang w:val="nl-NL" w:eastAsia="nl-NL"/>
        </w:rPr>
        <w:drawing>
          <wp:inline distT="0" distB="0" distL="0" distR="0" wp14:anchorId="312EB113" wp14:editId="674BEF41">
            <wp:extent cx="6120765" cy="1053220"/>
            <wp:effectExtent l="19050" t="0" r="0" b="0"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5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5F5" w:rsidRPr="002C25F5">
        <w:rPr>
          <w:noProof/>
          <w:lang w:val="nl-NL" w:eastAsia="nl-NL"/>
        </w:rPr>
        <w:drawing>
          <wp:inline distT="0" distB="0" distL="0" distR="0" wp14:anchorId="67268A25" wp14:editId="4C8E9F1B">
            <wp:extent cx="6120765" cy="7231169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231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7BB" w:rsidRDefault="000E07BB">
      <w:pPr>
        <w:rPr>
          <w:rFonts w:ascii="Times New Roman" w:hAnsi="Times New Roman" w:cs="Times New Roman"/>
          <w:b/>
        </w:rPr>
      </w:pPr>
      <w:r w:rsidRPr="000E07BB">
        <w:rPr>
          <w:noProof/>
          <w:lang w:val="nl-NL" w:eastAsia="nl-NL"/>
        </w:rPr>
        <w:lastRenderedPageBreak/>
        <w:drawing>
          <wp:inline distT="0" distB="0" distL="0" distR="0" wp14:anchorId="167ABDB5" wp14:editId="7DCC75A2">
            <wp:extent cx="6120765" cy="1053220"/>
            <wp:effectExtent l="19050" t="0" r="0" b="0"/>
            <wp:docPr id="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5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5F5" w:rsidRPr="002C25F5">
        <w:rPr>
          <w:noProof/>
          <w:lang w:val="nl-NL" w:eastAsia="nl-NL"/>
        </w:rPr>
        <w:drawing>
          <wp:inline distT="0" distB="0" distL="0" distR="0" wp14:anchorId="27C9C07D" wp14:editId="01EA3FF9">
            <wp:extent cx="6120765" cy="7077699"/>
            <wp:effectExtent l="19050" t="0" r="0" b="0"/>
            <wp:docPr id="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07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br w:type="page"/>
      </w:r>
    </w:p>
    <w:p w:rsidR="00535D34" w:rsidRPr="00923509" w:rsidRDefault="008027F9" w:rsidP="00535D3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Scenario 4</w:t>
      </w:r>
      <w:r w:rsidR="00EA55CB">
        <w:rPr>
          <w:rFonts w:ascii="Times New Roman" w:hAnsi="Times New Roman" w:cs="Times New Roman"/>
          <w:b/>
        </w:rPr>
        <w:t xml:space="preserve">: + 23 </w:t>
      </w:r>
      <w:r w:rsidR="009C5853">
        <w:rPr>
          <w:rFonts w:ascii="Times New Roman" w:hAnsi="Times New Roman" w:cs="Times New Roman"/>
          <w:b/>
        </w:rPr>
        <w:t>%/Scenario 3</w:t>
      </w:r>
    </w:p>
    <w:p w:rsidR="00A04FE2" w:rsidRPr="00654ADB" w:rsidRDefault="009C5853" w:rsidP="00317573">
      <w:pPr>
        <w:jc w:val="both"/>
        <w:rPr>
          <w:rFonts w:ascii="Times New Roman" w:hAnsi="Times New Roman" w:cs="Times New Roman"/>
          <w:b/>
        </w:rPr>
      </w:pPr>
      <w:r w:rsidRPr="009C5853">
        <w:rPr>
          <w:noProof/>
          <w:lang w:val="nl-NL" w:eastAsia="nl-NL"/>
        </w:rPr>
        <w:drawing>
          <wp:inline distT="0" distB="0" distL="0" distR="0" wp14:anchorId="12A4EEA7" wp14:editId="5C64432D">
            <wp:extent cx="6120765" cy="7232319"/>
            <wp:effectExtent l="1905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232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02F" w:rsidRDefault="0077702F">
      <w:pPr>
        <w:rPr>
          <w:rFonts w:ascii="Times New Roman" w:hAnsi="Times New Roman" w:cs="Times New Roman"/>
          <w:b/>
          <w:lang w:val="en-GB"/>
        </w:rPr>
      </w:pPr>
    </w:p>
    <w:p w:rsidR="00EA55CB" w:rsidRDefault="00EA55CB" w:rsidP="00EA55CB">
      <w:pPr>
        <w:jc w:val="both"/>
        <w:rPr>
          <w:rFonts w:ascii="Times New Roman" w:hAnsi="Times New Roman" w:cs="Times New Roman"/>
          <w:b/>
          <w:lang w:val="en-GB"/>
        </w:rPr>
      </w:pPr>
    </w:p>
    <w:p w:rsidR="00EA55CB" w:rsidRDefault="00EA55CB" w:rsidP="00EA55CB">
      <w:pPr>
        <w:jc w:val="both"/>
        <w:rPr>
          <w:rFonts w:ascii="Times New Roman" w:hAnsi="Times New Roman" w:cs="Times New Roman"/>
          <w:b/>
          <w:lang w:val="en-GB"/>
        </w:rPr>
      </w:pPr>
    </w:p>
    <w:p w:rsidR="00EA55CB" w:rsidRDefault="00EA55CB" w:rsidP="00EA55CB">
      <w:pPr>
        <w:jc w:val="both"/>
        <w:rPr>
          <w:rFonts w:ascii="Times New Roman" w:hAnsi="Times New Roman" w:cs="Times New Roman"/>
          <w:b/>
          <w:lang w:val="en-GB"/>
        </w:rPr>
      </w:pPr>
    </w:p>
    <w:p w:rsidR="00EA55CB" w:rsidRDefault="00EA55CB" w:rsidP="00EA55CB">
      <w:pPr>
        <w:jc w:val="both"/>
        <w:rPr>
          <w:rFonts w:ascii="Times New Roman" w:hAnsi="Times New Roman" w:cs="Times New Roman"/>
          <w:b/>
          <w:lang w:val="en-GB"/>
        </w:rPr>
      </w:pPr>
    </w:p>
    <w:p w:rsidR="00EA55CB" w:rsidRDefault="00EA55CB" w:rsidP="00EA55CB">
      <w:pPr>
        <w:jc w:val="both"/>
        <w:rPr>
          <w:rFonts w:ascii="Times New Roman" w:hAnsi="Times New Roman" w:cs="Times New Roman"/>
          <w:b/>
          <w:lang w:val="en-GB"/>
        </w:rPr>
      </w:pPr>
    </w:p>
    <w:p w:rsidR="000E07BB" w:rsidRDefault="00EA55CB" w:rsidP="00EA55CB">
      <w:pPr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lastRenderedPageBreak/>
        <w:t>Parties contributions under Scenario 4:</w:t>
      </w:r>
    </w:p>
    <w:p w:rsidR="000E07BB" w:rsidRDefault="000E07BB">
      <w:pPr>
        <w:rPr>
          <w:rFonts w:ascii="Times New Roman" w:hAnsi="Times New Roman" w:cs="Times New Roman"/>
          <w:b/>
          <w:lang w:val="en-GB"/>
        </w:rPr>
      </w:pPr>
      <w:r w:rsidRPr="000E07BB">
        <w:rPr>
          <w:noProof/>
          <w:lang w:val="nl-NL" w:eastAsia="nl-NL"/>
        </w:rPr>
        <w:drawing>
          <wp:inline distT="0" distB="0" distL="0" distR="0" wp14:anchorId="0D720345" wp14:editId="69F43373">
            <wp:extent cx="6120765" cy="1053220"/>
            <wp:effectExtent l="19050" t="0" r="0" b="0"/>
            <wp:docPr id="1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5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5F5" w:rsidRPr="002C25F5">
        <w:rPr>
          <w:noProof/>
          <w:lang w:val="nl-NL" w:eastAsia="nl-NL"/>
        </w:rPr>
        <w:drawing>
          <wp:inline distT="0" distB="0" distL="0" distR="0" wp14:anchorId="5866A442" wp14:editId="74B85DE0">
            <wp:extent cx="6120765" cy="7231169"/>
            <wp:effectExtent l="19050" t="0" r="0" b="0"/>
            <wp:docPr id="2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231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7BB" w:rsidRDefault="000E07BB">
      <w:pPr>
        <w:rPr>
          <w:rFonts w:ascii="Times New Roman" w:hAnsi="Times New Roman" w:cs="Times New Roman"/>
          <w:b/>
          <w:lang w:val="en-GB"/>
        </w:rPr>
      </w:pPr>
    </w:p>
    <w:p w:rsidR="000E07BB" w:rsidRDefault="000E07BB">
      <w:pPr>
        <w:rPr>
          <w:rFonts w:ascii="Times New Roman" w:hAnsi="Times New Roman" w:cs="Times New Roman"/>
          <w:b/>
          <w:lang w:val="en-GB"/>
        </w:rPr>
      </w:pPr>
    </w:p>
    <w:p w:rsidR="000E07BB" w:rsidRDefault="000E07BB">
      <w:pPr>
        <w:rPr>
          <w:rFonts w:ascii="Times New Roman" w:hAnsi="Times New Roman" w:cs="Times New Roman"/>
          <w:b/>
          <w:lang w:val="en-GB"/>
        </w:rPr>
      </w:pPr>
    </w:p>
    <w:p w:rsidR="000E07BB" w:rsidRDefault="000E07BB">
      <w:pPr>
        <w:rPr>
          <w:rFonts w:ascii="Times New Roman" w:hAnsi="Times New Roman" w:cs="Times New Roman"/>
          <w:b/>
          <w:lang w:val="en-GB"/>
        </w:rPr>
      </w:pPr>
      <w:r w:rsidRPr="000E07BB">
        <w:rPr>
          <w:noProof/>
          <w:lang w:val="nl-NL" w:eastAsia="nl-NL"/>
        </w:rPr>
        <w:drawing>
          <wp:inline distT="0" distB="0" distL="0" distR="0" wp14:anchorId="5FF65BC6" wp14:editId="092BAF72">
            <wp:extent cx="6120765" cy="1053220"/>
            <wp:effectExtent l="19050" t="0" r="0" b="0"/>
            <wp:docPr id="1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5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5F5" w:rsidRPr="002C25F5">
        <w:rPr>
          <w:noProof/>
          <w:lang w:val="nl-NL" w:eastAsia="nl-NL"/>
        </w:rPr>
        <w:drawing>
          <wp:inline distT="0" distB="0" distL="0" distR="0" wp14:anchorId="6BF66D32" wp14:editId="67C80DA0">
            <wp:extent cx="6120765" cy="7267280"/>
            <wp:effectExtent l="19050" t="0" r="0" b="0"/>
            <wp:docPr id="2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26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7BB" w:rsidRDefault="000E07BB">
      <w:pPr>
        <w:rPr>
          <w:rFonts w:ascii="Times New Roman" w:hAnsi="Times New Roman" w:cs="Times New Roman"/>
          <w:b/>
          <w:lang w:val="en-GB"/>
        </w:rPr>
      </w:pPr>
    </w:p>
    <w:p w:rsidR="000E07BB" w:rsidRDefault="000E07BB">
      <w:pPr>
        <w:rPr>
          <w:rFonts w:ascii="Times New Roman" w:hAnsi="Times New Roman" w:cs="Times New Roman"/>
          <w:b/>
          <w:lang w:val="en-GB"/>
        </w:rPr>
      </w:pPr>
    </w:p>
    <w:sectPr w:rsidR="000E07BB" w:rsidSect="008476BF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7" w:h="16840" w:code="9"/>
      <w:pgMar w:top="975" w:right="1134" w:bottom="1134" w:left="1134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450" w:rsidRDefault="00FE2450" w:rsidP="007A39F7">
      <w:pPr>
        <w:spacing w:after="0" w:line="240" w:lineRule="auto"/>
      </w:pPr>
      <w:r>
        <w:separator/>
      </w:r>
    </w:p>
  </w:endnote>
  <w:endnote w:type="continuationSeparator" w:id="0">
    <w:p w:rsidR="00FE2450" w:rsidRDefault="00FE2450" w:rsidP="007A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450" w:rsidRPr="00895AC7" w:rsidRDefault="00FE2450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p w:rsidR="00FE2450" w:rsidRPr="00895AC7" w:rsidRDefault="00FE2450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4A5" w:rsidRDefault="008B3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1277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FE2450" w:rsidRPr="00895AC7" w:rsidRDefault="00FE2450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95AC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95AC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95AC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8656E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895AC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FE2450" w:rsidRPr="00895AC7" w:rsidRDefault="00FE2450">
    <w:pPr>
      <w:pStyle w:val="Footer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4A5" w:rsidRDefault="008B3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450" w:rsidRDefault="00FE2450" w:rsidP="007A39F7">
      <w:pPr>
        <w:spacing w:after="0" w:line="240" w:lineRule="auto"/>
      </w:pPr>
      <w:r>
        <w:separator/>
      </w:r>
    </w:p>
  </w:footnote>
  <w:footnote w:type="continuationSeparator" w:id="0">
    <w:p w:rsidR="00FE2450" w:rsidRDefault="00FE2450" w:rsidP="007A39F7">
      <w:pPr>
        <w:spacing w:after="0" w:line="240" w:lineRule="auto"/>
      </w:pPr>
      <w:r>
        <w:continuationSeparator/>
      </w:r>
    </w:p>
  </w:footnote>
  <w:footnote w:id="1">
    <w:p w:rsidR="00FE2450" w:rsidRPr="00605B50" w:rsidRDefault="00FE2450" w:rsidP="00221EE4">
      <w:pPr>
        <w:pStyle w:val="FootnoteText"/>
        <w:rPr>
          <w:rFonts w:ascii="Times New Roman" w:hAnsi="Times New Roman" w:cs="Times New Roman"/>
          <w:lang w:val="fr-FR"/>
        </w:rPr>
      </w:pPr>
      <w:r w:rsidRPr="00F7407A">
        <w:rPr>
          <w:rStyle w:val="FootnoteReference"/>
          <w:rFonts w:ascii="Times New Roman" w:hAnsi="Times New Roman" w:cs="Times New Roman"/>
        </w:rPr>
        <w:footnoteRef/>
      </w:r>
      <w:r w:rsidRPr="00605B50">
        <w:rPr>
          <w:rFonts w:ascii="Times New Roman" w:hAnsi="Times New Roman" w:cs="Times New Roman"/>
          <w:lang w:val="fr-FR"/>
        </w:rPr>
        <w:t xml:space="preserve"> </w:t>
      </w:r>
      <w:r w:rsidR="00642BF7" w:rsidRPr="00642BF7">
        <w:rPr>
          <w:rFonts w:ascii="Times New Roman" w:hAnsi="Times New Roman" w:cs="Times New Roman"/>
          <w:lang w:val="fr-FR"/>
        </w:rPr>
        <w:t xml:space="preserve">1 Administrateur de programme </w:t>
      </w:r>
      <w:proofErr w:type="gramStart"/>
      <w:r w:rsidR="00642BF7" w:rsidRPr="00642BF7">
        <w:rPr>
          <w:rFonts w:ascii="Times New Roman" w:hAnsi="Times New Roman" w:cs="Times New Roman"/>
          <w:lang w:val="fr-FR"/>
        </w:rPr>
        <w:t>associé  pour</w:t>
      </w:r>
      <w:proofErr w:type="gramEnd"/>
      <w:r w:rsidR="00642BF7" w:rsidRPr="00642BF7">
        <w:rPr>
          <w:rFonts w:ascii="Times New Roman" w:hAnsi="Times New Roman" w:cs="Times New Roman"/>
          <w:lang w:val="fr-FR"/>
        </w:rPr>
        <w:t xml:space="preserve"> les Plans d'action par espèce </w:t>
      </w:r>
    </w:p>
    <w:p w:rsidR="00FE2450" w:rsidRPr="00605B50" w:rsidRDefault="00FE2450" w:rsidP="00221EE4">
      <w:pPr>
        <w:pStyle w:val="FootnoteText"/>
        <w:rPr>
          <w:rFonts w:ascii="Times New Roman" w:hAnsi="Times New Roman" w:cs="Times New Roman"/>
          <w:lang w:val="fr-FR"/>
        </w:rPr>
      </w:pPr>
      <w:r w:rsidRPr="00605B50">
        <w:rPr>
          <w:rFonts w:ascii="Times New Roman" w:hAnsi="Times New Roman" w:cs="Times New Roman"/>
          <w:lang w:val="fr-FR"/>
        </w:rPr>
        <w:t xml:space="preserve">  </w:t>
      </w:r>
      <w:r w:rsidR="00642BF7" w:rsidRPr="00642BF7">
        <w:rPr>
          <w:rFonts w:ascii="Times New Roman" w:hAnsi="Times New Roman" w:cs="Times New Roman"/>
          <w:lang w:val="fr-FR"/>
        </w:rPr>
        <w:t>1 Coordinateur pour la Plateforme européenne de gestion des oies</w:t>
      </w:r>
    </w:p>
    <w:p w:rsidR="00FE2450" w:rsidRPr="00605B50" w:rsidRDefault="00FE2450" w:rsidP="00221EE4">
      <w:pPr>
        <w:pStyle w:val="FootnoteText"/>
        <w:rPr>
          <w:rFonts w:ascii="Times New Roman" w:hAnsi="Times New Roman" w:cs="Times New Roman"/>
          <w:lang w:val="fr-FR"/>
        </w:rPr>
      </w:pPr>
      <w:r w:rsidRPr="00605B50">
        <w:rPr>
          <w:rFonts w:ascii="Times New Roman" w:hAnsi="Times New Roman" w:cs="Times New Roman"/>
          <w:lang w:val="fr-FR"/>
        </w:rPr>
        <w:t xml:space="preserve">   </w:t>
      </w:r>
      <w:r w:rsidR="00642BF7" w:rsidRPr="00642BF7">
        <w:rPr>
          <w:rFonts w:ascii="Times New Roman" w:hAnsi="Times New Roman" w:cs="Times New Roman"/>
          <w:lang w:val="fr-FR"/>
        </w:rPr>
        <w:t xml:space="preserve">0,5 Coordinateur de l'Initiative africaine </w:t>
      </w:r>
    </w:p>
  </w:footnote>
  <w:footnote w:id="2">
    <w:p w:rsidR="00FE2450" w:rsidRPr="00605B50" w:rsidRDefault="00FE2450" w:rsidP="00221EE4">
      <w:pPr>
        <w:pStyle w:val="FootnoteText"/>
        <w:rPr>
          <w:rFonts w:ascii="Times New Roman" w:hAnsi="Times New Roman" w:cs="Times New Roman"/>
          <w:lang w:val="fr-FR"/>
        </w:rPr>
      </w:pPr>
      <w:r w:rsidRPr="00F7407A">
        <w:rPr>
          <w:rStyle w:val="FootnoteReference"/>
          <w:rFonts w:ascii="Times New Roman" w:hAnsi="Times New Roman" w:cs="Times New Roman"/>
        </w:rPr>
        <w:footnoteRef/>
      </w:r>
      <w:r w:rsidRPr="00605B50">
        <w:rPr>
          <w:rFonts w:ascii="Times New Roman" w:hAnsi="Times New Roman" w:cs="Times New Roman"/>
          <w:lang w:val="fr-FR"/>
        </w:rPr>
        <w:t xml:space="preserve"> </w:t>
      </w:r>
      <w:r w:rsidR="00642BF7" w:rsidRPr="00642BF7">
        <w:rPr>
          <w:rFonts w:ascii="Times New Roman" w:hAnsi="Times New Roman" w:cs="Times New Roman"/>
          <w:lang w:val="fr-FR"/>
        </w:rPr>
        <w:t>1 Administrateur de programme associé pour la Plateforme européenne de gestion des oies</w:t>
      </w:r>
    </w:p>
    <w:p w:rsidR="00FE2450" w:rsidRPr="00605B50" w:rsidRDefault="00FE2450" w:rsidP="00221EE4">
      <w:pPr>
        <w:pStyle w:val="FootnoteText"/>
        <w:rPr>
          <w:rFonts w:ascii="Times New Roman" w:hAnsi="Times New Roman" w:cs="Times New Roman"/>
          <w:lang w:val="fr-FR"/>
        </w:rPr>
      </w:pPr>
      <w:r w:rsidRPr="00605B50">
        <w:rPr>
          <w:rFonts w:ascii="Times New Roman" w:hAnsi="Times New Roman" w:cs="Times New Roman"/>
          <w:lang w:val="fr-FR"/>
        </w:rPr>
        <w:t xml:space="preserve">   </w:t>
      </w:r>
      <w:r w:rsidR="00642BF7" w:rsidRPr="00642BF7">
        <w:rPr>
          <w:rFonts w:ascii="Times New Roman" w:hAnsi="Times New Roman" w:cs="Times New Roman"/>
          <w:lang w:val="fr-FR"/>
        </w:rPr>
        <w:t>0,3 Assistant chargé de l’information</w:t>
      </w:r>
    </w:p>
    <w:p w:rsidR="00FE2450" w:rsidRPr="00605B50" w:rsidRDefault="00FE2450" w:rsidP="00221EE4">
      <w:pPr>
        <w:pStyle w:val="FootnoteText"/>
        <w:rPr>
          <w:rFonts w:ascii="Times New Roman" w:hAnsi="Times New Roman" w:cs="Times New Roman"/>
          <w:lang w:val="fr-FR"/>
        </w:rPr>
      </w:pPr>
      <w:r w:rsidRPr="00605B50">
        <w:rPr>
          <w:rFonts w:ascii="Times New Roman" w:hAnsi="Times New Roman" w:cs="Times New Roman"/>
          <w:lang w:val="fr-FR"/>
        </w:rPr>
        <w:t xml:space="preserve">   </w:t>
      </w:r>
      <w:r w:rsidR="00642BF7" w:rsidRPr="00642BF7">
        <w:rPr>
          <w:rFonts w:ascii="Times New Roman" w:hAnsi="Times New Roman" w:cs="Times New Roman"/>
          <w:lang w:val="fr-FR"/>
        </w:rPr>
        <w:t>0,3 Assistant de gestion de program</w:t>
      </w:r>
      <w:r w:rsidR="00F811E2">
        <w:rPr>
          <w:rFonts w:ascii="Times New Roman" w:hAnsi="Times New Roman" w:cs="Times New Roman"/>
          <w:lang w:val="fr-FR"/>
        </w:rPr>
        <w:t>me pour l'Initiative africaine </w:t>
      </w:r>
    </w:p>
    <w:p w:rsidR="00FE2450" w:rsidRPr="00605B50" w:rsidRDefault="00FE2450" w:rsidP="00221EE4">
      <w:pPr>
        <w:pStyle w:val="FootnoteText"/>
        <w:rPr>
          <w:rFonts w:ascii="Times New Roman" w:hAnsi="Times New Roman" w:cs="Times New Roman"/>
          <w:lang w:val="fr-FR"/>
        </w:rPr>
      </w:pPr>
      <w:r w:rsidRPr="00605B50">
        <w:rPr>
          <w:rFonts w:ascii="Times New Roman" w:hAnsi="Times New Roman" w:cs="Times New Roman"/>
          <w:lang w:val="fr-FR"/>
        </w:rPr>
        <w:t xml:space="preserve">   </w:t>
      </w:r>
      <w:r w:rsidR="00642BF7" w:rsidRPr="00642BF7">
        <w:rPr>
          <w:rFonts w:ascii="Times New Roman" w:hAnsi="Times New Roman" w:cs="Times New Roman"/>
          <w:lang w:val="fr-FR"/>
        </w:rPr>
        <w:t xml:space="preserve">0,25 Assistant de gestion de programme de l’unité Science, Mise en œuvre et Conformité </w:t>
      </w:r>
      <w:r w:rsidRPr="00605B50">
        <w:rPr>
          <w:rFonts w:ascii="Times New Roman" w:hAnsi="Times New Roman" w:cs="Times New Roman"/>
          <w:lang w:val="fr-FR"/>
        </w:rPr>
        <w:t xml:space="preserve"> </w:t>
      </w:r>
    </w:p>
  </w:footnote>
  <w:footnote w:id="3">
    <w:p w:rsidR="00FE2450" w:rsidRPr="00605B50" w:rsidRDefault="00FE2450" w:rsidP="00C13309">
      <w:pPr>
        <w:pStyle w:val="FootnoteText"/>
        <w:rPr>
          <w:rFonts w:ascii="Times New Roman" w:hAnsi="Times New Roman" w:cs="Times New Roman"/>
          <w:lang w:val="fr-FR"/>
        </w:rPr>
      </w:pPr>
      <w:r w:rsidRPr="001D0DA3">
        <w:rPr>
          <w:rStyle w:val="FootnoteReference"/>
          <w:rFonts w:ascii="Times New Roman" w:hAnsi="Times New Roman" w:cs="Times New Roman"/>
        </w:rPr>
        <w:footnoteRef/>
      </w:r>
      <w:r w:rsidRPr="00605B50">
        <w:rPr>
          <w:rFonts w:ascii="Times New Roman" w:hAnsi="Times New Roman" w:cs="Times New Roman"/>
          <w:lang w:val="fr-FR"/>
        </w:rPr>
        <w:t xml:space="preserve"> </w:t>
      </w:r>
      <w:r w:rsidR="00642BF7" w:rsidRPr="00642BF7">
        <w:rPr>
          <w:rFonts w:ascii="Times New Roman" w:hAnsi="Times New Roman" w:cs="Times New Roman"/>
          <w:lang w:val="fr-FR"/>
        </w:rPr>
        <w:t xml:space="preserve">Le budget 2016-2018 contient quatre lignes budgétaires différentes relatives aux traductions </w:t>
      </w:r>
      <w:r w:rsidR="00522496">
        <w:rPr>
          <w:rFonts w:ascii="Times New Roman" w:hAnsi="Times New Roman" w:cs="Times New Roman"/>
          <w:lang w:val="fr-FR"/>
        </w:rPr>
        <w:t xml:space="preserve">se rapportant </w:t>
      </w:r>
      <w:r w:rsidR="00642BF7" w:rsidRPr="00642BF7">
        <w:rPr>
          <w:rFonts w:ascii="Times New Roman" w:hAnsi="Times New Roman" w:cs="Times New Roman"/>
          <w:lang w:val="fr-FR"/>
        </w:rPr>
        <w:t>à différentes réunions.</w:t>
      </w:r>
    </w:p>
  </w:footnote>
  <w:footnote w:id="4">
    <w:p w:rsidR="00FE2450" w:rsidRPr="00605B50" w:rsidRDefault="00FE2450">
      <w:pPr>
        <w:pStyle w:val="FootnoteText"/>
        <w:rPr>
          <w:rFonts w:ascii="Times New Roman" w:hAnsi="Times New Roman" w:cs="Times New Roman"/>
          <w:lang w:val="fr-FR"/>
        </w:rPr>
      </w:pPr>
      <w:r w:rsidRPr="002C56D3">
        <w:rPr>
          <w:rStyle w:val="FootnoteReference"/>
          <w:rFonts w:ascii="Times New Roman" w:hAnsi="Times New Roman" w:cs="Times New Roman"/>
        </w:rPr>
        <w:footnoteRef/>
      </w:r>
      <w:r w:rsidRPr="00605B50">
        <w:rPr>
          <w:rFonts w:ascii="Times New Roman" w:hAnsi="Times New Roman" w:cs="Times New Roman"/>
          <w:lang w:val="fr-FR"/>
        </w:rPr>
        <w:t xml:space="preserve"> </w:t>
      </w:r>
      <w:r w:rsidR="00642BF7" w:rsidRPr="00642BF7">
        <w:rPr>
          <w:rFonts w:ascii="Times New Roman" w:hAnsi="Times New Roman" w:cs="Times New Roman"/>
          <w:lang w:val="fr-FR"/>
        </w:rPr>
        <w:t>Chef de l’unité Science, Mise en œuvre et Conformité.</w:t>
      </w:r>
    </w:p>
  </w:footnote>
  <w:footnote w:id="5">
    <w:p w:rsidR="00FE2450" w:rsidRPr="002C56D3" w:rsidRDefault="00FE2450">
      <w:pPr>
        <w:pStyle w:val="FootnoteText"/>
        <w:rPr>
          <w:rFonts w:ascii="Times New Roman" w:hAnsi="Times New Roman" w:cs="Times New Roman"/>
          <w:lang w:val="de-DE"/>
        </w:rPr>
      </w:pPr>
      <w:r w:rsidRPr="002C56D3">
        <w:rPr>
          <w:rStyle w:val="FootnoteReference"/>
          <w:rFonts w:ascii="Times New Roman" w:hAnsi="Times New Roman" w:cs="Times New Roman"/>
        </w:rPr>
        <w:footnoteRef/>
      </w:r>
      <w:r w:rsidRPr="002C56D3">
        <w:rPr>
          <w:rFonts w:ascii="Times New Roman" w:hAnsi="Times New Roman" w:cs="Times New Roman"/>
        </w:rPr>
        <w:t xml:space="preserve"> </w:t>
      </w:r>
      <w:r w:rsidR="00642BF7" w:rsidRPr="00642BF7">
        <w:rPr>
          <w:rFonts w:ascii="Times New Roman" w:hAnsi="Times New Roman" w:cs="Times New Roman"/>
          <w:lang w:val="fr-FR"/>
        </w:rPr>
        <w:t>Initiative africaine.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5245"/>
      <w:gridCol w:w="2409"/>
    </w:tblGrid>
    <w:tr w:rsidR="00FE2450" w:rsidRPr="00CD1B48" w:rsidTr="00221EE4">
      <w:trPr>
        <w:trHeight w:val="1256"/>
      </w:trPr>
      <w:tc>
        <w:tcPr>
          <w:tcW w:w="19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FE2450" w:rsidRPr="00CD1B48" w:rsidRDefault="00FE2450" w:rsidP="00CD1B48">
          <w:pPr>
            <w:suppressAutoHyphens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</w:rPr>
          </w:pPr>
          <w:bookmarkStart w:id="0" w:name="_Hlk522885626"/>
          <w:r w:rsidRPr="00CD1B48">
            <w:rPr>
              <w:rFonts w:ascii="Times New Roman" w:eastAsia="Times New Roman" w:hAnsi="Times New Roman" w:cs="Times New Roman"/>
              <w:noProof/>
              <w:sz w:val="24"/>
              <w:szCs w:val="24"/>
              <w:lang w:val="nl-NL" w:eastAsia="nl-NL"/>
            </w:rPr>
            <w:drawing>
              <wp:inline distT="0" distB="0" distL="0" distR="0" wp14:anchorId="031BFADB" wp14:editId="63735469">
                <wp:extent cx="853436" cy="711202"/>
                <wp:effectExtent l="0" t="0" r="3814" b="0"/>
                <wp:docPr id="13" name="Picture 3" descr="Description: 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36" cy="711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FE2450" w:rsidRPr="00CD1B48" w:rsidRDefault="00FE2450" w:rsidP="00CD1B48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i/>
              <w:caps/>
              <w:sz w:val="24"/>
              <w:szCs w:val="24"/>
            </w:rPr>
          </w:pPr>
          <w:r w:rsidRPr="00CD1B48">
            <w:rPr>
              <w:rFonts w:ascii="Times New Roman" w:eastAsia="Times New Roman" w:hAnsi="Times New Roman" w:cs="Times New Roman"/>
              <w:i/>
              <w:caps/>
            </w:rPr>
            <w:t xml:space="preserve">Agreement on the Conservation of </w:t>
          </w:r>
        </w:p>
        <w:p w:rsidR="00FE2450" w:rsidRPr="00CD1B48" w:rsidRDefault="00FE2450" w:rsidP="00CD1B48">
          <w:pPr>
            <w:tabs>
              <w:tab w:val="left" w:pos="2415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D1B48">
            <w:rPr>
              <w:rFonts w:ascii="Times New Roman" w:eastAsia="Times New Roman" w:hAnsi="Times New Roman" w:cs="Times New Roman"/>
              <w:i/>
              <w:caps/>
            </w:rPr>
            <w:t>African-Eurasian Migratory Waterbirds</w:t>
          </w:r>
        </w:p>
      </w:tc>
      <w:tc>
        <w:tcPr>
          <w:tcW w:w="240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FE2450" w:rsidRPr="00CD1B48" w:rsidRDefault="00FE2450" w:rsidP="00CD1B48">
          <w:pPr>
            <w:suppressAutoHyphens/>
            <w:autoSpaceDN w:val="0"/>
            <w:spacing w:after="0" w:line="276" w:lineRule="auto"/>
            <w:jc w:val="right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</w:pPr>
          <w:r w:rsidRPr="00CD1B48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en-GB"/>
            </w:rPr>
            <w:t xml:space="preserve">Doc. </w:t>
          </w:r>
          <w:r w:rsidRPr="00CD1B48">
            <w:rPr>
              <w:rFonts w:ascii="Times New Roman" w:eastAsia="Times New Roman" w:hAnsi="Times New Roman" w:cs="Times New Roman"/>
              <w:bCs/>
              <w:i/>
              <w:iCs/>
              <w:sz w:val="20"/>
              <w:szCs w:val="20"/>
              <w:lang w:val="en-GB"/>
            </w:rPr>
            <w:t xml:space="preserve">AEWA/MOP 7. </w:t>
          </w:r>
          <w:r>
            <w:rPr>
              <w:rFonts w:ascii="Times New Roman" w:eastAsia="Times New Roman" w:hAnsi="Times New Roman" w:cs="Times New Roman"/>
              <w:bCs/>
              <w:i/>
              <w:iCs/>
              <w:sz w:val="20"/>
              <w:szCs w:val="20"/>
              <w:lang w:val="en-GB"/>
            </w:rPr>
            <w:t>38</w:t>
          </w:r>
        </w:p>
        <w:p w:rsidR="00FE2450" w:rsidRPr="00CD1B48" w:rsidRDefault="00FE2450" w:rsidP="00CD1B48">
          <w:pPr>
            <w:suppressAutoHyphens/>
            <w:autoSpaceDN w:val="0"/>
            <w:spacing w:after="0" w:line="276" w:lineRule="auto"/>
            <w:jc w:val="right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</w:pPr>
          <w:r w:rsidRPr="00CD1B48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en-GB"/>
            </w:rPr>
            <w:t xml:space="preserve">Agenda item: </w:t>
          </w:r>
          <w:r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en-GB"/>
            </w:rPr>
            <w:t>25</w:t>
          </w:r>
        </w:p>
        <w:p w:rsidR="00FE2450" w:rsidRPr="00CD1B48" w:rsidRDefault="00FE2450" w:rsidP="00CD1B48">
          <w:pPr>
            <w:suppressAutoHyphens/>
            <w:autoSpaceDN w:val="0"/>
            <w:spacing w:after="0" w:line="276" w:lineRule="auto"/>
            <w:jc w:val="right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D1B48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t xml:space="preserve">Original: </w:t>
          </w:r>
          <w:r w:rsidRPr="00CD1B48">
            <w:rPr>
              <w:rFonts w:ascii="Times New Roman" w:eastAsia="Times New Roman" w:hAnsi="Times New Roman" w:cs="Times New Roman"/>
              <w:bCs/>
              <w:i/>
              <w:iCs/>
              <w:sz w:val="20"/>
              <w:szCs w:val="20"/>
            </w:rPr>
            <w:t>English</w:t>
          </w:r>
        </w:p>
        <w:p w:rsidR="00FE2450" w:rsidRPr="00CD1B48" w:rsidRDefault="00FE2450" w:rsidP="00CD1B48">
          <w:pPr>
            <w:suppressAutoHyphens/>
            <w:autoSpaceDN w:val="0"/>
            <w:spacing w:after="0" w:line="276" w:lineRule="auto"/>
            <w:jc w:val="right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D1B48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t>04 September 2018</w:t>
          </w:r>
        </w:p>
      </w:tc>
    </w:tr>
    <w:tr w:rsidR="00FE2450" w:rsidRPr="00CD1B48" w:rsidTr="00221EE4"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FE2450" w:rsidRPr="00CD1B48" w:rsidRDefault="00FE2450" w:rsidP="00CD1B48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D1B48">
            <w:rPr>
              <w:rFonts w:ascii="Times New Roman" w:eastAsia="Times New Roman" w:hAnsi="Times New Roman" w:cs="Times New Roman"/>
              <w:b/>
              <w:bCs/>
              <w:sz w:val="26"/>
              <w:szCs w:val="26"/>
            </w:rPr>
            <w:t>7</w:t>
          </w:r>
          <w:r w:rsidRPr="00CD1B48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vertAlign w:val="superscript"/>
            </w:rPr>
            <w:t>th</w:t>
          </w:r>
          <w:r w:rsidRPr="00CD1B48">
            <w:rPr>
              <w:rFonts w:ascii="Times New Roman" w:eastAsia="Times New Roman" w:hAnsi="Times New Roman" w:cs="Times New Roman"/>
              <w:b/>
              <w:bCs/>
              <w:sz w:val="26"/>
              <w:szCs w:val="26"/>
            </w:rPr>
            <w:t xml:space="preserve"> </w:t>
          </w:r>
          <w:r w:rsidRPr="00CD1B48">
            <w:rPr>
              <w:rFonts w:ascii="Times New Roman" w:eastAsia="Times New Roman" w:hAnsi="Times New Roman" w:cs="Times New Roman"/>
              <w:b/>
              <w:bCs/>
              <w:caps/>
              <w:sz w:val="26"/>
              <w:szCs w:val="26"/>
              <w:lang w:val="en-GB"/>
            </w:rPr>
            <w:t>Session of the Meeting of the Parties</w:t>
          </w:r>
        </w:p>
        <w:p w:rsidR="00FE2450" w:rsidRPr="00CD1B48" w:rsidRDefault="00FE2450" w:rsidP="00CD1B48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D1B4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4 - 8 December 2018, Durban, South Africa</w:t>
          </w:r>
        </w:p>
      </w:tc>
    </w:tr>
    <w:tr w:rsidR="00FE2450" w:rsidRPr="00CD1B48" w:rsidTr="00221EE4">
      <w:trPr>
        <w:trHeight w:val="702"/>
      </w:trPr>
      <w:tc>
        <w:tcPr>
          <w:tcW w:w="9639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E2450" w:rsidRPr="00CD1B48" w:rsidRDefault="00FE2450" w:rsidP="00CD1B48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r w:rsidRPr="00CD1B48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“Beyond 2020: Shaping flyway conservation for the future”</w:t>
          </w:r>
        </w:p>
      </w:tc>
    </w:tr>
    <w:bookmarkEnd w:id="0"/>
  </w:tbl>
  <w:p w:rsidR="00FE2450" w:rsidRPr="00CD1B48" w:rsidRDefault="00FE2450" w:rsidP="00CD1B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8"/>
      <w:gridCol w:w="4678"/>
      <w:gridCol w:w="2552"/>
    </w:tblGrid>
    <w:tr w:rsidR="00B5292F" w:rsidRPr="00B5292F" w:rsidTr="00CF2B92">
      <w:trPr>
        <w:trHeight w:val="1256"/>
      </w:trPr>
      <w:tc>
        <w:tcPr>
          <w:tcW w:w="22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B5292F" w:rsidRPr="00B5292F" w:rsidRDefault="00B5292F" w:rsidP="00B5292F">
          <w:pPr>
            <w:suppressAutoHyphens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</w:pPr>
          <w:r w:rsidRPr="00B5292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467FA343" wp14:editId="29A7144A">
                <wp:extent cx="828675" cy="695328"/>
                <wp:effectExtent l="0" t="0" r="9525" b="9522"/>
                <wp:docPr id="3" name="Picture 3" descr="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695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B5292F" w:rsidRPr="00B5292F" w:rsidRDefault="00B5292F" w:rsidP="00B5292F">
          <w:pPr>
            <w:tabs>
              <w:tab w:val="left" w:pos="2871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val="fr-FR"/>
            </w:rPr>
          </w:pPr>
          <w:r w:rsidRPr="00B5292F">
            <w:rPr>
              <w:rFonts w:ascii="Times New Roman" w:eastAsia="Times New Roman" w:hAnsi="Times New Roman" w:cs="Times New Roman"/>
              <w:i/>
              <w:caps/>
              <w:sz w:val="20"/>
              <w:szCs w:val="20"/>
              <w:lang w:val="fr-FR"/>
            </w:rPr>
            <w:t>ACCORD SUR LA CONSERVATION DES OISEAUX D’eau migrateurs D’afrique-eurasie</w:t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B5292F" w:rsidRPr="00B5292F" w:rsidRDefault="00B5292F" w:rsidP="00B5292F">
          <w:pPr>
            <w:suppressAutoHyphens/>
            <w:autoSpaceDN w:val="0"/>
            <w:spacing w:after="0" w:line="276" w:lineRule="auto"/>
            <w:ind w:left="-108"/>
            <w:jc w:val="right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</w:pPr>
          <w:r w:rsidRPr="00B5292F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 xml:space="preserve">Doc. </w:t>
          </w:r>
          <w:r w:rsidRPr="00B5292F">
            <w:rPr>
              <w:rFonts w:ascii="Times New Roman" w:eastAsia="Times New Roman" w:hAnsi="Times New Roman" w:cs="Times New Roman"/>
              <w:bCs/>
              <w:i/>
              <w:iCs/>
              <w:sz w:val="20"/>
              <w:szCs w:val="20"/>
              <w:lang w:val="fr-FR"/>
            </w:rPr>
            <w:t>AEWA/MOP 7.</w:t>
          </w:r>
          <w:r>
            <w:rPr>
              <w:rFonts w:ascii="Times New Roman" w:eastAsia="Times New Roman" w:hAnsi="Times New Roman" w:cs="Times New Roman"/>
              <w:bCs/>
              <w:i/>
              <w:iCs/>
              <w:sz w:val="20"/>
              <w:szCs w:val="20"/>
              <w:lang w:val="fr-FR"/>
            </w:rPr>
            <w:t>38</w:t>
          </w:r>
        </w:p>
        <w:p w:rsidR="00B5292F" w:rsidRPr="00B5292F" w:rsidRDefault="00B5292F" w:rsidP="00B5292F">
          <w:pPr>
            <w:suppressAutoHyphens/>
            <w:autoSpaceDN w:val="0"/>
            <w:spacing w:after="0" w:line="276" w:lineRule="auto"/>
            <w:ind w:left="-108"/>
            <w:jc w:val="right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</w:pPr>
          <w:r w:rsidRPr="00B5292F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 xml:space="preserve">Point </w:t>
          </w:r>
          <w:r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>25</w:t>
          </w:r>
          <w:r w:rsidRPr="00B5292F">
            <w:rPr>
              <w:rFonts w:ascii="Times New Roman" w:eastAsia="Times New Roman" w:hAnsi="Times New Roman" w:cs="Times New Roman"/>
              <w:bCs/>
              <w:i/>
              <w:iCs/>
              <w:sz w:val="20"/>
              <w:szCs w:val="20"/>
              <w:lang w:val="fr-FR"/>
            </w:rPr>
            <w:t xml:space="preserve"> de l’ordre du jour</w:t>
          </w:r>
        </w:p>
        <w:p w:rsidR="00B5292F" w:rsidRPr="00B5292F" w:rsidRDefault="00B5292F" w:rsidP="00B5292F">
          <w:pPr>
            <w:suppressAutoHyphens/>
            <w:autoSpaceDN w:val="0"/>
            <w:spacing w:after="0" w:line="276" w:lineRule="auto"/>
            <w:jc w:val="right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</w:pPr>
          <w:r w:rsidRPr="00B5292F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>Original : Anglais</w:t>
          </w:r>
        </w:p>
        <w:p w:rsidR="00B5292F" w:rsidRPr="00B5292F" w:rsidRDefault="00B5292F" w:rsidP="00B5292F">
          <w:pPr>
            <w:suppressAutoHyphens/>
            <w:autoSpaceDN w:val="0"/>
            <w:spacing w:after="0" w:line="276" w:lineRule="auto"/>
            <w:jc w:val="right"/>
            <w:textAlignment w:val="baseline"/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</w:pPr>
          <w:r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>05 septembre</w:t>
          </w:r>
          <w:r w:rsidRPr="00B5292F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 xml:space="preserve"> 2018</w:t>
          </w:r>
        </w:p>
        <w:p w:rsidR="00B5292F" w:rsidRPr="00B5292F" w:rsidRDefault="00B5292F" w:rsidP="00B5292F">
          <w:pPr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Times New Roman" w:eastAsia="Times New Roman" w:hAnsi="Times New Roman" w:cs="Times New Roman"/>
              <w:sz w:val="18"/>
              <w:szCs w:val="18"/>
              <w:lang w:val="fr-FR"/>
            </w:rPr>
          </w:pPr>
        </w:p>
      </w:tc>
    </w:tr>
    <w:tr w:rsidR="00B5292F" w:rsidRPr="00B5292F" w:rsidTr="00CF2B92">
      <w:tc>
        <w:tcPr>
          <w:tcW w:w="9498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B5292F" w:rsidRPr="00B5292F" w:rsidRDefault="00B5292F" w:rsidP="00B5292F">
          <w:pPr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fr-FR"/>
            </w:rPr>
          </w:pPr>
          <w:r w:rsidRPr="00B5292F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lang w:val="fr-FR"/>
            </w:rPr>
            <w:t>7</w:t>
          </w:r>
          <w:r w:rsidRPr="00B5292F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B5292F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lang w:val="fr-FR"/>
            </w:rPr>
            <w:t xml:space="preserve"> </w:t>
          </w:r>
          <w:r w:rsidRPr="00B5292F">
            <w:rPr>
              <w:rFonts w:ascii="Times New Roman" w:eastAsia="Times New Roman" w:hAnsi="Times New Roman" w:cs="Times New Roman"/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:rsidR="00B5292F" w:rsidRPr="00B5292F" w:rsidRDefault="00B5292F" w:rsidP="00B5292F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</w:pPr>
          <w:r w:rsidRPr="00B5292F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fr-FR"/>
            </w:rPr>
            <w:t>4 - 8 décembre, Durban, Afrique du Sud</w:t>
          </w:r>
        </w:p>
      </w:tc>
    </w:tr>
    <w:tr w:rsidR="00B5292F" w:rsidRPr="00B5292F" w:rsidTr="00CF2B92">
      <w:trPr>
        <w:trHeight w:val="702"/>
      </w:trPr>
      <w:tc>
        <w:tcPr>
          <w:tcW w:w="9498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5292F" w:rsidRPr="00B5292F" w:rsidRDefault="00B5292F" w:rsidP="00B5292F">
          <w:pPr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4"/>
              <w:szCs w:val="24"/>
              <w:highlight w:val="yellow"/>
              <w:lang w:val="fr-FR"/>
            </w:rPr>
          </w:pPr>
          <w:r w:rsidRPr="00B5292F">
            <w:rPr>
              <w:rFonts w:ascii="Times New Roman" w:eastAsia="Times New Roman" w:hAnsi="Times New Roman" w:cs="Times New Roman"/>
              <w:i/>
              <w:color w:val="000000"/>
              <w:szCs w:val="24"/>
              <w:lang w:val="fr-FR"/>
            </w:rPr>
            <w:t xml:space="preserve">“Par-delà 2020 : </w:t>
          </w:r>
          <w:proofErr w:type="spellStart"/>
          <w:r w:rsidRPr="00B5292F">
            <w:rPr>
              <w:rFonts w:ascii="Times New Roman" w:eastAsia="Times New Roman" w:hAnsi="Times New Roman" w:cs="Times New Roman"/>
              <w:i/>
              <w:color w:val="000000"/>
              <w:szCs w:val="24"/>
              <w:lang w:val="fr-FR"/>
            </w:rPr>
            <w:t>Faҫonner</w:t>
          </w:r>
          <w:proofErr w:type="spellEnd"/>
          <w:r w:rsidRPr="00B5292F">
            <w:rPr>
              <w:rFonts w:ascii="Times New Roman" w:eastAsia="Times New Roman" w:hAnsi="Times New Roman" w:cs="Times New Roman"/>
              <w:i/>
              <w:color w:val="000000"/>
              <w:szCs w:val="24"/>
              <w:lang w:val="fr-FR"/>
            </w:rPr>
            <w:t xml:space="preserve"> la conservation des voies de migration pour l’avenir”</w:t>
          </w:r>
        </w:p>
      </w:tc>
    </w:tr>
  </w:tbl>
  <w:p w:rsidR="00B5292F" w:rsidRPr="00B5292F" w:rsidRDefault="00B5292F">
    <w:pPr>
      <w:pStyle w:val="Head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4A5" w:rsidRDefault="008B34A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450" w:rsidRPr="00895AC7" w:rsidRDefault="00FE2450" w:rsidP="00895AC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4A5" w:rsidRDefault="008B34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621A"/>
    <w:multiLevelType w:val="hybridMultilevel"/>
    <w:tmpl w:val="2F44D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20C6"/>
    <w:multiLevelType w:val="hybridMultilevel"/>
    <w:tmpl w:val="048CC3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B7C51"/>
    <w:multiLevelType w:val="hybridMultilevel"/>
    <w:tmpl w:val="DE8AE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17E92"/>
    <w:multiLevelType w:val="hybridMultilevel"/>
    <w:tmpl w:val="46467F74"/>
    <w:lvl w:ilvl="0" w:tplc="785E4B1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3E907C5"/>
    <w:multiLevelType w:val="hybridMultilevel"/>
    <w:tmpl w:val="0F48B380"/>
    <w:lvl w:ilvl="0" w:tplc="AECA0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E644C"/>
    <w:multiLevelType w:val="hybridMultilevel"/>
    <w:tmpl w:val="100282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07046"/>
    <w:multiLevelType w:val="hybridMultilevel"/>
    <w:tmpl w:val="B5EA5C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52A59"/>
    <w:multiLevelType w:val="hybridMultilevel"/>
    <w:tmpl w:val="5088D1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2115E"/>
    <w:multiLevelType w:val="hybridMultilevel"/>
    <w:tmpl w:val="131C62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279B4"/>
    <w:multiLevelType w:val="hybridMultilevel"/>
    <w:tmpl w:val="1AC0AE4C"/>
    <w:lvl w:ilvl="0" w:tplc="C9F69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25"/>
    <w:rsid w:val="000026A8"/>
    <w:rsid w:val="000076FF"/>
    <w:rsid w:val="00007C7F"/>
    <w:rsid w:val="000123D0"/>
    <w:rsid w:val="00012D31"/>
    <w:rsid w:val="000137ED"/>
    <w:rsid w:val="00026D35"/>
    <w:rsid w:val="000316EC"/>
    <w:rsid w:val="00033BFD"/>
    <w:rsid w:val="000522D3"/>
    <w:rsid w:val="000562DC"/>
    <w:rsid w:val="000578CB"/>
    <w:rsid w:val="0005794A"/>
    <w:rsid w:val="00063BF3"/>
    <w:rsid w:val="0006682C"/>
    <w:rsid w:val="000755BB"/>
    <w:rsid w:val="00075677"/>
    <w:rsid w:val="000764B4"/>
    <w:rsid w:val="000826F6"/>
    <w:rsid w:val="00085A15"/>
    <w:rsid w:val="0009007F"/>
    <w:rsid w:val="000B268A"/>
    <w:rsid w:val="000B2CE9"/>
    <w:rsid w:val="000C5BF2"/>
    <w:rsid w:val="000C7CE4"/>
    <w:rsid w:val="000E07BB"/>
    <w:rsid w:val="000E3139"/>
    <w:rsid w:val="000F32E2"/>
    <w:rsid w:val="000F3421"/>
    <w:rsid w:val="000F6760"/>
    <w:rsid w:val="00104DCF"/>
    <w:rsid w:val="00104EB2"/>
    <w:rsid w:val="00114C1A"/>
    <w:rsid w:val="0012308F"/>
    <w:rsid w:val="001306FA"/>
    <w:rsid w:val="0014174A"/>
    <w:rsid w:val="00142482"/>
    <w:rsid w:val="00144A01"/>
    <w:rsid w:val="00145FAA"/>
    <w:rsid w:val="00152AE4"/>
    <w:rsid w:val="00154CE0"/>
    <w:rsid w:val="00155C88"/>
    <w:rsid w:val="00163786"/>
    <w:rsid w:val="00173FF4"/>
    <w:rsid w:val="00187B67"/>
    <w:rsid w:val="001916B1"/>
    <w:rsid w:val="00192A86"/>
    <w:rsid w:val="001B40C6"/>
    <w:rsid w:val="001B4204"/>
    <w:rsid w:val="001C40C7"/>
    <w:rsid w:val="001D0094"/>
    <w:rsid w:val="001D0DA3"/>
    <w:rsid w:val="001D5F14"/>
    <w:rsid w:val="001E0F6B"/>
    <w:rsid w:val="001E33E6"/>
    <w:rsid w:val="001E79BB"/>
    <w:rsid w:val="001F3D27"/>
    <w:rsid w:val="001F6595"/>
    <w:rsid w:val="002023BB"/>
    <w:rsid w:val="00213B08"/>
    <w:rsid w:val="00213B0D"/>
    <w:rsid w:val="0021448B"/>
    <w:rsid w:val="002152FD"/>
    <w:rsid w:val="00216C94"/>
    <w:rsid w:val="00221EE4"/>
    <w:rsid w:val="0022291A"/>
    <w:rsid w:val="00240BAF"/>
    <w:rsid w:val="00240E13"/>
    <w:rsid w:val="0024346E"/>
    <w:rsid w:val="002569A1"/>
    <w:rsid w:val="00262D5E"/>
    <w:rsid w:val="002703A2"/>
    <w:rsid w:val="002833F9"/>
    <w:rsid w:val="00283D3A"/>
    <w:rsid w:val="00284E47"/>
    <w:rsid w:val="002871CC"/>
    <w:rsid w:val="00290B3B"/>
    <w:rsid w:val="002930C6"/>
    <w:rsid w:val="002B0EF2"/>
    <w:rsid w:val="002B308F"/>
    <w:rsid w:val="002C25F5"/>
    <w:rsid w:val="002C2BA4"/>
    <w:rsid w:val="002C56D3"/>
    <w:rsid w:val="002E0708"/>
    <w:rsid w:val="002E0925"/>
    <w:rsid w:val="002E1C12"/>
    <w:rsid w:val="002E3D10"/>
    <w:rsid w:val="002E462F"/>
    <w:rsid w:val="002F03AE"/>
    <w:rsid w:val="002F2B6B"/>
    <w:rsid w:val="002F2E4F"/>
    <w:rsid w:val="00316B29"/>
    <w:rsid w:val="00317573"/>
    <w:rsid w:val="003278A5"/>
    <w:rsid w:val="00330438"/>
    <w:rsid w:val="00337896"/>
    <w:rsid w:val="0034096D"/>
    <w:rsid w:val="003422CA"/>
    <w:rsid w:val="003453F2"/>
    <w:rsid w:val="00355A86"/>
    <w:rsid w:val="00366F66"/>
    <w:rsid w:val="00373394"/>
    <w:rsid w:val="00375100"/>
    <w:rsid w:val="00394568"/>
    <w:rsid w:val="0039593B"/>
    <w:rsid w:val="003B3E89"/>
    <w:rsid w:val="003B48F4"/>
    <w:rsid w:val="003C20CC"/>
    <w:rsid w:val="003C5EEA"/>
    <w:rsid w:val="003D4CC7"/>
    <w:rsid w:val="003D766F"/>
    <w:rsid w:val="003F3B0E"/>
    <w:rsid w:val="003F3DD6"/>
    <w:rsid w:val="003F3ED8"/>
    <w:rsid w:val="00400D0E"/>
    <w:rsid w:val="00404142"/>
    <w:rsid w:val="004054F2"/>
    <w:rsid w:val="00406F03"/>
    <w:rsid w:val="004161FB"/>
    <w:rsid w:val="00421774"/>
    <w:rsid w:val="00440371"/>
    <w:rsid w:val="00457C56"/>
    <w:rsid w:val="004647DE"/>
    <w:rsid w:val="0047288D"/>
    <w:rsid w:val="004840EA"/>
    <w:rsid w:val="0048519D"/>
    <w:rsid w:val="004914A3"/>
    <w:rsid w:val="00494D21"/>
    <w:rsid w:val="004960AE"/>
    <w:rsid w:val="004A23F5"/>
    <w:rsid w:val="004B153A"/>
    <w:rsid w:val="004B4173"/>
    <w:rsid w:val="004C0486"/>
    <w:rsid w:val="004D07D0"/>
    <w:rsid w:val="004D28C0"/>
    <w:rsid w:val="004D7342"/>
    <w:rsid w:val="004E44F1"/>
    <w:rsid w:val="004E7BDB"/>
    <w:rsid w:val="004F4705"/>
    <w:rsid w:val="00522496"/>
    <w:rsid w:val="00522C38"/>
    <w:rsid w:val="00532614"/>
    <w:rsid w:val="00532831"/>
    <w:rsid w:val="00535056"/>
    <w:rsid w:val="00535D34"/>
    <w:rsid w:val="005437D5"/>
    <w:rsid w:val="0054787C"/>
    <w:rsid w:val="005562EE"/>
    <w:rsid w:val="00556FDF"/>
    <w:rsid w:val="00575089"/>
    <w:rsid w:val="005802FD"/>
    <w:rsid w:val="00580FEA"/>
    <w:rsid w:val="00582208"/>
    <w:rsid w:val="00583F37"/>
    <w:rsid w:val="0058656E"/>
    <w:rsid w:val="005A74F8"/>
    <w:rsid w:val="005C4ADF"/>
    <w:rsid w:val="005F77D0"/>
    <w:rsid w:val="006023EE"/>
    <w:rsid w:val="00605B50"/>
    <w:rsid w:val="00607922"/>
    <w:rsid w:val="00611AD5"/>
    <w:rsid w:val="0061245B"/>
    <w:rsid w:val="00615B01"/>
    <w:rsid w:val="006201DE"/>
    <w:rsid w:val="00625E2C"/>
    <w:rsid w:val="0063481C"/>
    <w:rsid w:val="00640379"/>
    <w:rsid w:val="00640A28"/>
    <w:rsid w:val="00642BF7"/>
    <w:rsid w:val="0065486F"/>
    <w:rsid w:val="00654ADB"/>
    <w:rsid w:val="00660FFA"/>
    <w:rsid w:val="00662D2A"/>
    <w:rsid w:val="00671B10"/>
    <w:rsid w:val="006858BC"/>
    <w:rsid w:val="00690BEB"/>
    <w:rsid w:val="00693E21"/>
    <w:rsid w:val="006942FF"/>
    <w:rsid w:val="006A1824"/>
    <w:rsid w:val="006B4AE4"/>
    <w:rsid w:val="006B7288"/>
    <w:rsid w:val="006C57BB"/>
    <w:rsid w:val="006D247F"/>
    <w:rsid w:val="006D3B22"/>
    <w:rsid w:val="006E6712"/>
    <w:rsid w:val="006E753D"/>
    <w:rsid w:val="006F15F6"/>
    <w:rsid w:val="006F5659"/>
    <w:rsid w:val="00700F89"/>
    <w:rsid w:val="00701393"/>
    <w:rsid w:val="00703EF3"/>
    <w:rsid w:val="00710698"/>
    <w:rsid w:val="00715571"/>
    <w:rsid w:val="007156A8"/>
    <w:rsid w:val="0072013D"/>
    <w:rsid w:val="007317B5"/>
    <w:rsid w:val="00734A7D"/>
    <w:rsid w:val="00754792"/>
    <w:rsid w:val="0076223B"/>
    <w:rsid w:val="0077702F"/>
    <w:rsid w:val="00781A1C"/>
    <w:rsid w:val="00786262"/>
    <w:rsid w:val="00787597"/>
    <w:rsid w:val="007A39F7"/>
    <w:rsid w:val="007A704D"/>
    <w:rsid w:val="007B2B0A"/>
    <w:rsid w:val="007B3B30"/>
    <w:rsid w:val="007C161C"/>
    <w:rsid w:val="007C3756"/>
    <w:rsid w:val="007D02BE"/>
    <w:rsid w:val="007F245E"/>
    <w:rsid w:val="008027F9"/>
    <w:rsid w:val="008039BF"/>
    <w:rsid w:val="008057B2"/>
    <w:rsid w:val="00811AC9"/>
    <w:rsid w:val="00816B29"/>
    <w:rsid w:val="00822BA5"/>
    <w:rsid w:val="00825D88"/>
    <w:rsid w:val="0083496C"/>
    <w:rsid w:val="0084710F"/>
    <w:rsid w:val="008476BF"/>
    <w:rsid w:val="00851E1E"/>
    <w:rsid w:val="00854A25"/>
    <w:rsid w:val="008607EF"/>
    <w:rsid w:val="00875B3C"/>
    <w:rsid w:val="00883052"/>
    <w:rsid w:val="0088698A"/>
    <w:rsid w:val="00895AC7"/>
    <w:rsid w:val="008A46D9"/>
    <w:rsid w:val="008A70CD"/>
    <w:rsid w:val="008A7D1A"/>
    <w:rsid w:val="008B34A5"/>
    <w:rsid w:val="008B658B"/>
    <w:rsid w:val="008E0D68"/>
    <w:rsid w:val="008F1F54"/>
    <w:rsid w:val="008F6E65"/>
    <w:rsid w:val="009041FF"/>
    <w:rsid w:val="00904790"/>
    <w:rsid w:val="009166BA"/>
    <w:rsid w:val="009234D3"/>
    <w:rsid w:val="00923509"/>
    <w:rsid w:val="009237B5"/>
    <w:rsid w:val="009323C8"/>
    <w:rsid w:val="00941070"/>
    <w:rsid w:val="0095248B"/>
    <w:rsid w:val="0095281D"/>
    <w:rsid w:val="009569B3"/>
    <w:rsid w:val="009611AD"/>
    <w:rsid w:val="0096749B"/>
    <w:rsid w:val="00974601"/>
    <w:rsid w:val="0098382F"/>
    <w:rsid w:val="00987423"/>
    <w:rsid w:val="009964A0"/>
    <w:rsid w:val="009B1E2E"/>
    <w:rsid w:val="009B5531"/>
    <w:rsid w:val="009B5D77"/>
    <w:rsid w:val="009C0BC4"/>
    <w:rsid w:val="009C5853"/>
    <w:rsid w:val="009D65E8"/>
    <w:rsid w:val="009E2673"/>
    <w:rsid w:val="009E2AA5"/>
    <w:rsid w:val="009F2105"/>
    <w:rsid w:val="009F2BA9"/>
    <w:rsid w:val="00A03259"/>
    <w:rsid w:val="00A04352"/>
    <w:rsid w:val="00A04FE2"/>
    <w:rsid w:val="00A056FD"/>
    <w:rsid w:val="00A35BAE"/>
    <w:rsid w:val="00A4407A"/>
    <w:rsid w:val="00A46B17"/>
    <w:rsid w:val="00A54267"/>
    <w:rsid w:val="00A56408"/>
    <w:rsid w:val="00A57F62"/>
    <w:rsid w:val="00A6345C"/>
    <w:rsid w:val="00A64182"/>
    <w:rsid w:val="00A80991"/>
    <w:rsid w:val="00A90371"/>
    <w:rsid w:val="00A925FB"/>
    <w:rsid w:val="00AC233A"/>
    <w:rsid w:val="00AD2E14"/>
    <w:rsid w:val="00AD56E2"/>
    <w:rsid w:val="00AD6A72"/>
    <w:rsid w:val="00AE26E0"/>
    <w:rsid w:val="00AE5306"/>
    <w:rsid w:val="00AE6A86"/>
    <w:rsid w:val="00AE756A"/>
    <w:rsid w:val="00AE7FF4"/>
    <w:rsid w:val="00AF1775"/>
    <w:rsid w:val="00AF48C7"/>
    <w:rsid w:val="00AF5BD8"/>
    <w:rsid w:val="00AF75D1"/>
    <w:rsid w:val="00B02001"/>
    <w:rsid w:val="00B02111"/>
    <w:rsid w:val="00B06B07"/>
    <w:rsid w:val="00B22557"/>
    <w:rsid w:val="00B31BE8"/>
    <w:rsid w:val="00B3374A"/>
    <w:rsid w:val="00B3637E"/>
    <w:rsid w:val="00B5292F"/>
    <w:rsid w:val="00B52F59"/>
    <w:rsid w:val="00B619B7"/>
    <w:rsid w:val="00B61E54"/>
    <w:rsid w:val="00B63DC6"/>
    <w:rsid w:val="00B65191"/>
    <w:rsid w:val="00B70BE6"/>
    <w:rsid w:val="00B75211"/>
    <w:rsid w:val="00B924C0"/>
    <w:rsid w:val="00B93991"/>
    <w:rsid w:val="00B97114"/>
    <w:rsid w:val="00BA1EFB"/>
    <w:rsid w:val="00BB71AA"/>
    <w:rsid w:val="00BB7AB3"/>
    <w:rsid w:val="00BC2AE0"/>
    <w:rsid w:val="00BC31C5"/>
    <w:rsid w:val="00BC65C6"/>
    <w:rsid w:val="00BD4022"/>
    <w:rsid w:val="00BE22DD"/>
    <w:rsid w:val="00C04031"/>
    <w:rsid w:val="00C05C6A"/>
    <w:rsid w:val="00C07A8F"/>
    <w:rsid w:val="00C13309"/>
    <w:rsid w:val="00C264CA"/>
    <w:rsid w:val="00C26891"/>
    <w:rsid w:val="00C36D92"/>
    <w:rsid w:val="00C5633C"/>
    <w:rsid w:val="00C60480"/>
    <w:rsid w:val="00C62DE2"/>
    <w:rsid w:val="00C63B3A"/>
    <w:rsid w:val="00C64918"/>
    <w:rsid w:val="00C670A8"/>
    <w:rsid w:val="00C7071B"/>
    <w:rsid w:val="00C71A47"/>
    <w:rsid w:val="00C72155"/>
    <w:rsid w:val="00C84A1B"/>
    <w:rsid w:val="00C8516C"/>
    <w:rsid w:val="00C92FA2"/>
    <w:rsid w:val="00CA074F"/>
    <w:rsid w:val="00CA0BD0"/>
    <w:rsid w:val="00CA7B0C"/>
    <w:rsid w:val="00CB2355"/>
    <w:rsid w:val="00CB7FB9"/>
    <w:rsid w:val="00CC236A"/>
    <w:rsid w:val="00CC53BA"/>
    <w:rsid w:val="00CC6736"/>
    <w:rsid w:val="00CC6BF5"/>
    <w:rsid w:val="00CD1B48"/>
    <w:rsid w:val="00CE19F6"/>
    <w:rsid w:val="00CF238C"/>
    <w:rsid w:val="00D0091E"/>
    <w:rsid w:val="00D10EE8"/>
    <w:rsid w:val="00D20D07"/>
    <w:rsid w:val="00D228BC"/>
    <w:rsid w:val="00D31698"/>
    <w:rsid w:val="00D348B8"/>
    <w:rsid w:val="00D34BEC"/>
    <w:rsid w:val="00D368AB"/>
    <w:rsid w:val="00D45A3B"/>
    <w:rsid w:val="00D52D1B"/>
    <w:rsid w:val="00D65B26"/>
    <w:rsid w:val="00D770BB"/>
    <w:rsid w:val="00D77CC1"/>
    <w:rsid w:val="00D80CC2"/>
    <w:rsid w:val="00D8137C"/>
    <w:rsid w:val="00D91A33"/>
    <w:rsid w:val="00D91F1E"/>
    <w:rsid w:val="00D97758"/>
    <w:rsid w:val="00DA2150"/>
    <w:rsid w:val="00DC1801"/>
    <w:rsid w:val="00DC69E2"/>
    <w:rsid w:val="00DD36EA"/>
    <w:rsid w:val="00DD7EDF"/>
    <w:rsid w:val="00DE238D"/>
    <w:rsid w:val="00DE25EF"/>
    <w:rsid w:val="00DE415F"/>
    <w:rsid w:val="00DF216F"/>
    <w:rsid w:val="00E0483A"/>
    <w:rsid w:val="00E0562E"/>
    <w:rsid w:val="00E062DC"/>
    <w:rsid w:val="00E1131E"/>
    <w:rsid w:val="00E16846"/>
    <w:rsid w:val="00E40D07"/>
    <w:rsid w:val="00E427AD"/>
    <w:rsid w:val="00E502E6"/>
    <w:rsid w:val="00E51C94"/>
    <w:rsid w:val="00E604E8"/>
    <w:rsid w:val="00E644CB"/>
    <w:rsid w:val="00E64E6B"/>
    <w:rsid w:val="00E71928"/>
    <w:rsid w:val="00E7714A"/>
    <w:rsid w:val="00E87E3B"/>
    <w:rsid w:val="00E91BC2"/>
    <w:rsid w:val="00E91C84"/>
    <w:rsid w:val="00E933E6"/>
    <w:rsid w:val="00E93BEA"/>
    <w:rsid w:val="00EA02D4"/>
    <w:rsid w:val="00EA0B40"/>
    <w:rsid w:val="00EA55CB"/>
    <w:rsid w:val="00EB2EE1"/>
    <w:rsid w:val="00EB7955"/>
    <w:rsid w:val="00EC3EFB"/>
    <w:rsid w:val="00EC441F"/>
    <w:rsid w:val="00EE1BA4"/>
    <w:rsid w:val="00EE23BC"/>
    <w:rsid w:val="00EE5D58"/>
    <w:rsid w:val="00EF1659"/>
    <w:rsid w:val="00F00F90"/>
    <w:rsid w:val="00F01409"/>
    <w:rsid w:val="00F20245"/>
    <w:rsid w:val="00F20410"/>
    <w:rsid w:val="00F30490"/>
    <w:rsid w:val="00F30AE0"/>
    <w:rsid w:val="00F32F1A"/>
    <w:rsid w:val="00F46548"/>
    <w:rsid w:val="00F46A71"/>
    <w:rsid w:val="00F5389D"/>
    <w:rsid w:val="00F61DB3"/>
    <w:rsid w:val="00F665F7"/>
    <w:rsid w:val="00F6780D"/>
    <w:rsid w:val="00F7407A"/>
    <w:rsid w:val="00F809A3"/>
    <w:rsid w:val="00F811E2"/>
    <w:rsid w:val="00F81EE1"/>
    <w:rsid w:val="00F85968"/>
    <w:rsid w:val="00F86B8B"/>
    <w:rsid w:val="00F94120"/>
    <w:rsid w:val="00F94340"/>
    <w:rsid w:val="00FA7DBE"/>
    <w:rsid w:val="00FC6423"/>
    <w:rsid w:val="00FD771A"/>
    <w:rsid w:val="00FE23DF"/>
    <w:rsid w:val="00FE2450"/>
    <w:rsid w:val="00FE479C"/>
    <w:rsid w:val="00FE6195"/>
    <w:rsid w:val="00FE74B9"/>
    <w:rsid w:val="00FF2E0C"/>
    <w:rsid w:val="00FF5253"/>
    <w:rsid w:val="00FF5562"/>
    <w:rsid w:val="00FF55AB"/>
    <w:rsid w:val="00FF565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2C919BB6"/>
  <w15:docId w15:val="{1B26C512-13F2-47CF-99C8-89BCCE53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3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FF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9F7"/>
  </w:style>
  <w:style w:type="paragraph" w:styleId="Footer">
    <w:name w:val="footer"/>
    <w:basedOn w:val="Normal"/>
    <w:link w:val="FooterChar"/>
    <w:uiPriority w:val="99"/>
    <w:unhideWhenUsed/>
    <w:rsid w:val="007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9F7"/>
  </w:style>
  <w:style w:type="paragraph" w:styleId="BalloonText">
    <w:name w:val="Balloon Text"/>
    <w:basedOn w:val="Normal"/>
    <w:link w:val="BalloonTextChar"/>
    <w:uiPriority w:val="99"/>
    <w:semiHidden/>
    <w:unhideWhenUsed/>
    <w:rsid w:val="00AF5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B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0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F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1C1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CA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D2E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2E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2E1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043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04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nep-aewa.org/sites/default/files/document/aewa_mop6_res18_financial_admin_en_new%20bank%20details.pdf" TargetMode="External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s.int/sites/default/files/document/cms_cop12_res.12.2_financial-and-administrative_matters_e.pdf" TargetMode="External"/><Relationship Id="rId24" Type="http://schemas.openxmlformats.org/officeDocument/2006/relationships/image" Target="media/image14.emf"/><Relationship Id="rId32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3.emf"/><Relationship Id="rId28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image" Target="media/image9.emf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footer" Target="footer2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5FE70-525D-44FB-BCDC-06714209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3912</Words>
  <Characters>22304</Characters>
  <Application>Microsoft Office Word</Application>
  <DocSecurity>4</DocSecurity>
  <Lines>185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Lehmann</dc:creator>
  <cp:lastModifiedBy>Jolanta Kremer</cp:lastModifiedBy>
  <cp:revision>2</cp:revision>
  <cp:lastPrinted>2018-09-11T09:06:00Z</cp:lastPrinted>
  <dcterms:created xsi:type="dcterms:W3CDTF">2018-09-11T11:16:00Z</dcterms:created>
  <dcterms:modified xsi:type="dcterms:W3CDTF">2018-09-11T11:16:00Z</dcterms:modified>
</cp:coreProperties>
</file>