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30D08" w14:textId="77777777" w:rsidR="00012F07" w:rsidRDefault="00012F07" w:rsidP="00982D14">
      <w:pPr>
        <w:spacing w:after="0"/>
        <w:jc w:val="center"/>
        <w:rPr>
          <w:rFonts w:ascii="Times New Roman" w:hAnsi="Times New Roman" w:cs="Times New Roman"/>
          <w:b/>
          <w:sz w:val="24"/>
          <w:szCs w:val="24"/>
          <w:lang w:val="en-GB"/>
        </w:rPr>
      </w:pPr>
    </w:p>
    <w:p w14:paraId="4C60E860" w14:textId="569B3026" w:rsidR="00982D14" w:rsidRPr="00FA6102" w:rsidRDefault="00982D14" w:rsidP="00982D14">
      <w:pPr>
        <w:spacing w:after="0"/>
        <w:jc w:val="center"/>
        <w:rPr>
          <w:rFonts w:ascii="Times New Roman" w:hAnsi="Times New Roman" w:cs="Times New Roman"/>
          <w:b/>
          <w:sz w:val="24"/>
          <w:szCs w:val="24"/>
          <w:lang w:val="en-GB"/>
        </w:rPr>
      </w:pPr>
      <w:r w:rsidRPr="00FA6102">
        <w:rPr>
          <w:rFonts w:ascii="Times New Roman" w:hAnsi="Times New Roman" w:cs="Times New Roman"/>
          <w:b/>
          <w:sz w:val="24"/>
          <w:szCs w:val="24"/>
          <w:lang w:val="en-GB"/>
        </w:rPr>
        <w:t xml:space="preserve">DRAFT SCALE OF CONTRIBUTIONS FOR 2019-2021 </w:t>
      </w:r>
    </w:p>
    <w:p w14:paraId="3CBF8F0E" w14:textId="77777777" w:rsidR="00982D14" w:rsidRPr="00FA6102" w:rsidRDefault="00982D14" w:rsidP="00982D14">
      <w:pPr>
        <w:spacing w:after="0"/>
        <w:jc w:val="center"/>
        <w:rPr>
          <w:rFonts w:ascii="Times New Roman" w:hAnsi="Times New Roman" w:cs="Times New Roman"/>
          <w:b/>
          <w:sz w:val="24"/>
          <w:szCs w:val="24"/>
          <w:lang w:val="en-GB"/>
        </w:rPr>
      </w:pPr>
    </w:p>
    <w:p w14:paraId="1BDFE04F" w14:textId="77777777" w:rsidR="00982D14" w:rsidRPr="00FA6102" w:rsidRDefault="00982D14" w:rsidP="00982D14">
      <w:pPr>
        <w:spacing w:after="0"/>
        <w:jc w:val="center"/>
        <w:rPr>
          <w:rFonts w:ascii="Times New Roman" w:hAnsi="Times New Roman" w:cs="Times New Roman"/>
          <w:b/>
          <w:sz w:val="20"/>
          <w:szCs w:val="20"/>
          <w:lang w:val="en-GB"/>
        </w:rPr>
      </w:pPr>
    </w:p>
    <w:p w14:paraId="76ACF077" w14:textId="77777777" w:rsidR="00982D14" w:rsidRPr="00FA6102" w:rsidRDefault="00982D14" w:rsidP="00982D14">
      <w:pPr>
        <w:spacing w:after="0"/>
        <w:jc w:val="both"/>
        <w:rPr>
          <w:rFonts w:ascii="Times New Roman" w:hAnsi="Times New Roman" w:cs="Times New Roman"/>
          <w:b/>
          <w:sz w:val="24"/>
          <w:szCs w:val="24"/>
          <w:lang w:val="en-GB"/>
        </w:rPr>
      </w:pPr>
      <w:r w:rsidRPr="00FA6102">
        <w:rPr>
          <w:rFonts w:ascii="Times New Roman" w:hAnsi="Times New Roman" w:cs="Times New Roman"/>
          <w:b/>
          <w:sz w:val="24"/>
          <w:szCs w:val="24"/>
          <w:lang w:val="en-GB"/>
        </w:rPr>
        <w:t>Introduction</w:t>
      </w:r>
    </w:p>
    <w:p w14:paraId="63920727" w14:textId="77777777" w:rsidR="00982D14" w:rsidRPr="00FA6102" w:rsidRDefault="00982D14" w:rsidP="00982D14">
      <w:pPr>
        <w:tabs>
          <w:tab w:val="left" w:pos="360"/>
        </w:tabs>
        <w:spacing w:after="0"/>
        <w:jc w:val="center"/>
        <w:rPr>
          <w:rFonts w:ascii="Times New Roman" w:hAnsi="Times New Roman" w:cs="Times New Roman"/>
          <w:lang w:val="en-GB"/>
        </w:rPr>
      </w:pPr>
    </w:p>
    <w:p w14:paraId="7429622B" w14:textId="77777777" w:rsidR="00982D14" w:rsidRPr="00FA6102" w:rsidRDefault="00982D14" w:rsidP="00982D14">
      <w:pPr>
        <w:spacing w:line="276" w:lineRule="auto"/>
        <w:jc w:val="both"/>
        <w:rPr>
          <w:rFonts w:ascii="Times New Roman" w:hAnsi="Times New Roman" w:cs="Times New Roman"/>
          <w:lang w:val="en-GB"/>
        </w:rPr>
      </w:pPr>
      <w:r w:rsidRPr="00FA6102">
        <w:rPr>
          <w:rFonts w:ascii="Times New Roman" w:hAnsi="Times New Roman" w:cs="Times New Roman"/>
          <w:lang w:val="en-GB"/>
        </w:rPr>
        <w:t>Through Resolution 6.18, the Agreement Secretariat has been instructed to develop a series of budget scenarios for further consideration by Parties at the 7</w:t>
      </w:r>
      <w:r w:rsidRPr="00FA6102">
        <w:rPr>
          <w:rFonts w:ascii="Times New Roman" w:hAnsi="Times New Roman" w:cs="Times New Roman"/>
          <w:vertAlign w:val="superscript"/>
          <w:lang w:val="en-GB"/>
        </w:rPr>
        <w:t>th</w:t>
      </w:r>
      <w:r w:rsidRPr="00FA6102">
        <w:rPr>
          <w:rFonts w:ascii="Times New Roman" w:hAnsi="Times New Roman" w:cs="Times New Roman"/>
          <w:lang w:val="en-GB"/>
        </w:rPr>
        <w:t xml:space="preserve"> Session of the Meeting of the Parties and </w:t>
      </w:r>
      <w:r w:rsidRPr="00FA6102">
        <w:rPr>
          <w:rFonts w:ascii="Times New Roman" w:hAnsi="Times New Roman" w:cs="Times New Roman"/>
          <w:b/>
          <w:lang w:val="en-GB"/>
        </w:rPr>
        <w:t>describe any differences between the UN Scale of Assessments and the current scale used to determine the contributions</w:t>
      </w:r>
      <w:r w:rsidRPr="00FA6102">
        <w:rPr>
          <w:rFonts w:ascii="Times New Roman" w:hAnsi="Times New Roman" w:cs="Times New Roman"/>
          <w:lang w:val="en-GB"/>
        </w:rPr>
        <w:t xml:space="preserve"> to AEWA.</w:t>
      </w:r>
    </w:p>
    <w:p w14:paraId="72A80740" w14:textId="77777777" w:rsidR="00982D14" w:rsidRPr="00FA6102" w:rsidRDefault="00982D14" w:rsidP="00982D14">
      <w:pPr>
        <w:spacing w:line="276" w:lineRule="auto"/>
        <w:jc w:val="both"/>
        <w:rPr>
          <w:rFonts w:ascii="Times New Roman" w:hAnsi="Times New Roman" w:cs="Times New Roman"/>
          <w:lang w:val="en-GB"/>
        </w:rPr>
      </w:pPr>
      <w:r w:rsidRPr="00FA6102">
        <w:rPr>
          <w:rFonts w:ascii="Times New Roman" w:hAnsi="Times New Roman" w:cs="Times New Roman"/>
          <w:lang w:val="en-GB"/>
        </w:rPr>
        <w:t>On the basis of a report prepared by the Secretariat, the Standing Committee decided at its 12</w:t>
      </w:r>
      <w:r w:rsidRPr="00FA6102">
        <w:rPr>
          <w:rFonts w:ascii="Times New Roman" w:hAnsi="Times New Roman" w:cs="Times New Roman"/>
          <w:vertAlign w:val="superscript"/>
          <w:lang w:val="en-GB"/>
        </w:rPr>
        <w:t>th</w:t>
      </w:r>
      <w:r w:rsidRPr="00FA6102">
        <w:rPr>
          <w:rFonts w:ascii="Times New Roman" w:hAnsi="Times New Roman" w:cs="Times New Roman"/>
          <w:lang w:val="en-GB"/>
        </w:rPr>
        <w:t xml:space="preserve"> Meeting in January 2017, to recommend to the MOP, a move towards using the UN scale to determine the contributions, but to apply a number of criteria, i.e. to keep the minimum contribution of 2,000 EUR; to fix the EU contribution at 2.5 %; and to retain the maximum threshold at 20 %. At its 13</w:t>
      </w:r>
      <w:r w:rsidRPr="00FA6102">
        <w:rPr>
          <w:rFonts w:ascii="Times New Roman" w:hAnsi="Times New Roman" w:cs="Times New Roman"/>
          <w:vertAlign w:val="superscript"/>
          <w:lang w:val="en-GB"/>
        </w:rPr>
        <w:t>th</w:t>
      </w:r>
      <w:r w:rsidRPr="00FA6102">
        <w:rPr>
          <w:rFonts w:ascii="Times New Roman" w:hAnsi="Times New Roman" w:cs="Times New Roman"/>
          <w:lang w:val="en-GB"/>
        </w:rPr>
        <w:t xml:space="preserve"> Meeting in July 2018, the Standing Committee confirmed these criteria and agreed on the approach to be recommended to the MOP for the move towards the UN scale within a transitional period of six years.</w:t>
      </w:r>
    </w:p>
    <w:p w14:paraId="332B175D" w14:textId="77777777" w:rsidR="00982D14" w:rsidRPr="00FA6102" w:rsidRDefault="00982D14" w:rsidP="00982D14">
      <w:pPr>
        <w:pStyle w:val="ListParagraph"/>
        <w:tabs>
          <w:tab w:val="left" w:pos="360"/>
        </w:tabs>
        <w:spacing w:after="160" w:line="259" w:lineRule="auto"/>
        <w:ind w:left="0"/>
        <w:contextualSpacing/>
        <w:rPr>
          <w:b/>
          <w:lang w:val="en-GB"/>
        </w:rPr>
      </w:pPr>
    </w:p>
    <w:p w14:paraId="172C2108" w14:textId="77777777" w:rsidR="00982D14" w:rsidRPr="00FA6102" w:rsidRDefault="00982D14" w:rsidP="00982D14">
      <w:pPr>
        <w:pStyle w:val="ListParagraph"/>
        <w:tabs>
          <w:tab w:val="left" w:pos="360"/>
        </w:tabs>
        <w:spacing w:after="160" w:line="259" w:lineRule="auto"/>
        <w:ind w:left="0"/>
        <w:contextualSpacing/>
        <w:rPr>
          <w:b/>
          <w:lang w:val="en-GB"/>
        </w:rPr>
      </w:pPr>
      <w:r w:rsidRPr="00FA6102">
        <w:rPr>
          <w:b/>
          <w:lang w:val="en-GB"/>
        </w:rPr>
        <w:t>Background</w:t>
      </w:r>
    </w:p>
    <w:p w14:paraId="12FBE602" w14:textId="77777777" w:rsidR="00982D14" w:rsidRPr="00FA6102" w:rsidRDefault="00982D14" w:rsidP="00982D14">
      <w:pPr>
        <w:pStyle w:val="ListParagraph"/>
        <w:tabs>
          <w:tab w:val="left" w:pos="360"/>
        </w:tabs>
        <w:spacing w:line="259" w:lineRule="auto"/>
        <w:ind w:left="0"/>
        <w:contextualSpacing/>
        <w:rPr>
          <w:b/>
          <w:lang w:val="en-GB"/>
        </w:rPr>
      </w:pPr>
    </w:p>
    <w:p w14:paraId="64B393BF" w14:textId="77777777" w:rsidR="00982D14" w:rsidRPr="00FA6102" w:rsidRDefault="00982D14" w:rsidP="00982D14">
      <w:pPr>
        <w:pStyle w:val="ListParagraph"/>
        <w:tabs>
          <w:tab w:val="left" w:pos="360"/>
        </w:tabs>
        <w:spacing w:line="276" w:lineRule="auto"/>
        <w:ind w:left="0"/>
        <w:contextualSpacing/>
        <w:rPr>
          <w:i/>
          <w:sz w:val="22"/>
          <w:szCs w:val="22"/>
          <w:u w:val="single"/>
          <w:lang w:val="en-GB"/>
        </w:rPr>
      </w:pPr>
      <w:r w:rsidRPr="00FA6102">
        <w:rPr>
          <w:i/>
          <w:sz w:val="22"/>
          <w:szCs w:val="22"/>
          <w:u w:val="single"/>
          <w:lang w:val="en-GB"/>
        </w:rPr>
        <w:t>UN scale of assessments for the apportionment of the expenses of the United Nations</w:t>
      </w:r>
    </w:p>
    <w:p w14:paraId="5837E8FE" w14:textId="77777777" w:rsidR="00982D14" w:rsidRPr="00FA6102" w:rsidRDefault="00982D14" w:rsidP="00982D14">
      <w:pPr>
        <w:tabs>
          <w:tab w:val="left" w:pos="360"/>
        </w:tabs>
        <w:spacing w:after="0" w:line="276" w:lineRule="auto"/>
        <w:jc w:val="both"/>
        <w:rPr>
          <w:rFonts w:ascii="Times New Roman" w:hAnsi="Times New Roman" w:cs="Times New Roman"/>
          <w:lang w:val="en-GB"/>
        </w:rPr>
      </w:pPr>
      <w:r w:rsidRPr="00FA6102">
        <w:rPr>
          <w:rFonts w:ascii="Times New Roman" w:hAnsi="Times New Roman" w:cs="Times New Roman"/>
          <w:lang w:val="en-GB"/>
        </w:rPr>
        <w:t xml:space="preserve">The UN scale of assessments for the apportionment of the expenses of the United Nations derives from the fundamental principle that the expenses of the Organisation shall be apportioned broadly according to capacity of the member states to pay. It is based on a precise methodology which </w:t>
      </w:r>
      <w:proofErr w:type="gramStart"/>
      <w:r w:rsidRPr="00FA6102">
        <w:rPr>
          <w:rFonts w:ascii="Times New Roman" w:hAnsi="Times New Roman" w:cs="Times New Roman"/>
          <w:lang w:val="en-GB"/>
        </w:rPr>
        <w:t>takes into account</w:t>
      </w:r>
      <w:proofErr w:type="gramEnd"/>
      <w:r w:rsidRPr="00FA6102">
        <w:rPr>
          <w:rFonts w:ascii="Times New Roman" w:hAnsi="Times New Roman" w:cs="Times New Roman"/>
          <w:lang w:val="en-GB"/>
        </w:rPr>
        <w:t xml:space="preserve"> different criteria and elements referring to a country’s economic situation.</w:t>
      </w:r>
      <w:r w:rsidRPr="00FA6102">
        <w:rPr>
          <w:rStyle w:val="FootnoteReference"/>
          <w:rFonts w:ascii="Times New Roman" w:hAnsi="Times New Roman" w:cs="Times New Roman"/>
          <w:lang w:val="en-GB"/>
        </w:rPr>
        <w:footnoteReference w:id="1"/>
      </w:r>
      <w:r w:rsidRPr="00FA6102">
        <w:rPr>
          <w:rFonts w:ascii="Times New Roman" w:hAnsi="Times New Roman" w:cs="Times New Roman"/>
          <w:lang w:val="en-GB"/>
        </w:rPr>
        <w:t>.</w:t>
      </w:r>
    </w:p>
    <w:p w14:paraId="73F2339C" w14:textId="77777777" w:rsidR="00982D14" w:rsidRPr="00FA6102" w:rsidRDefault="00982D14" w:rsidP="00982D14">
      <w:pPr>
        <w:tabs>
          <w:tab w:val="left" w:pos="360"/>
        </w:tabs>
        <w:spacing w:after="0" w:line="276" w:lineRule="auto"/>
        <w:jc w:val="both"/>
        <w:rPr>
          <w:rFonts w:ascii="Times New Roman" w:hAnsi="Times New Roman" w:cs="Times New Roman"/>
          <w:lang w:val="en-GB"/>
        </w:rPr>
      </w:pPr>
    </w:p>
    <w:p w14:paraId="2DB2D19F" w14:textId="77777777" w:rsidR="00982D14" w:rsidRPr="00FA6102" w:rsidRDefault="00982D14" w:rsidP="00982D14">
      <w:pPr>
        <w:tabs>
          <w:tab w:val="left" w:pos="360"/>
        </w:tabs>
        <w:spacing w:after="0" w:line="276" w:lineRule="auto"/>
        <w:jc w:val="both"/>
        <w:rPr>
          <w:rFonts w:ascii="Times New Roman" w:hAnsi="Times New Roman" w:cs="Times New Roman"/>
          <w:lang w:val="en-GB"/>
        </w:rPr>
        <w:sectPr w:rsidR="00982D14" w:rsidRPr="00FA6102" w:rsidSect="0065486F">
          <w:headerReference w:type="even" r:id="rId8"/>
          <w:headerReference w:type="default" r:id="rId9"/>
          <w:footerReference w:type="even" r:id="rId10"/>
          <w:footerReference w:type="default" r:id="rId11"/>
          <w:headerReference w:type="first" r:id="rId12"/>
          <w:footerReference w:type="first" r:id="rId13"/>
          <w:pgSz w:w="11907" w:h="16840" w:code="9"/>
          <w:pgMar w:top="976" w:right="1134" w:bottom="1134" w:left="1134" w:header="720" w:footer="510" w:gutter="0"/>
          <w:cols w:space="720"/>
          <w:docGrid w:linePitch="360"/>
        </w:sectPr>
      </w:pPr>
      <w:r w:rsidRPr="00FA6102">
        <w:rPr>
          <w:rFonts w:ascii="Times New Roman" w:hAnsi="Times New Roman" w:cs="Times New Roman"/>
          <w:lang w:val="en-GB"/>
        </w:rPr>
        <w:t>The scale of assessments is regularly updated and adopted by the United Nations General Assembly and valid for a three-year period</w:t>
      </w:r>
      <w:r w:rsidRPr="00FA6102">
        <w:rPr>
          <w:rStyle w:val="FootnoteReference"/>
          <w:rFonts w:ascii="Times New Roman" w:hAnsi="Times New Roman" w:cs="Times New Roman"/>
          <w:lang w:val="en-GB"/>
        </w:rPr>
        <w:footnoteReference w:id="2"/>
      </w:r>
      <w:r w:rsidRPr="00FA6102">
        <w:rPr>
          <w:rFonts w:ascii="Times New Roman" w:hAnsi="Times New Roman" w:cs="Times New Roman"/>
          <w:lang w:val="en-GB"/>
        </w:rPr>
        <w:t xml:space="preserve">. It assesses contributions in percentage for all UN member states worldwide and is particularly adapted to share a budget on a worldwide scale. There is no specific scale provided for regional multilateral environmental agreements. To obtain a regional scale, the figures provided in the UN Scale of Assessments are used for Parties of the regional Agreement only as </w:t>
      </w:r>
      <w:r>
        <w:rPr>
          <w:rFonts w:ascii="Times New Roman" w:hAnsi="Times New Roman" w:cs="Times New Roman"/>
          <w:lang w:val="en-GB"/>
        </w:rPr>
        <w:t xml:space="preserve">a </w:t>
      </w:r>
      <w:r w:rsidRPr="00FA6102">
        <w:rPr>
          <w:rFonts w:ascii="Times New Roman" w:hAnsi="Times New Roman" w:cs="Times New Roman"/>
          <w:lang w:val="en-GB"/>
        </w:rPr>
        <w:t xml:space="preserve">basis to determine the percentage of the total budget to be covered by each of them. </w:t>
      </w:r>
    </w:p>
    <w:p w14:paraId="3CF1E1F7" w14:textId="77777777" w:rsidR="00982D14" w:rsidRPr="00FA6102" w:rsidRDefault="00982D14" w:rsidP="00982D14">
      <w:pPr>
        <w:pStyle w:val="ListParagraph"/>
        <w:tabs>
          <w:tab w:val="left" w:pos="360"/>
        </w:tabs>
        <w:spacing w:line="259" w:lineRule="auto"/>
        <w:ind w:left="0"/>
        <w:contextualSpacing/>
        <w:jc w:val="both"/>
        <w:rPr>
          <w:i/>
          <w:sz w:val="22"/>
          <w:szCs w:val="22"/>
          <w:u w:val="single"/>
          <w:lang w:val="en-GB"/>
        </w:rPr>
      </w:pPr>
      <w:r w:rsidRPr="00FA6102">
        <w:rPr>
          <w:i/>
          <w:sz w:val="22"/>
          <w:szCs w:val="22"/>
          <w:u w:val="single"/>
          <w:lang w:val="en-GB"/>
        </w:rPr>
        <w:lastRenderedPageBreak/>
        <w:t>Annual contributions from Contracting Parties to the AEWA core budget</w:t>
      </w:r>
    </w:p>
    <w:p w14:paraId="26768A89" w14:textId="77777777" w:rsidR="00982D14" w:rsidRPr="00FA6102" w:rsidRDefault="00982D14" w:rsidP="00982D14">
      <w:pPr>
        <w:tabs>
          <w:tab w:val="left" w:pos="360"/>
        </w:tabs>
        <w:spacing w:after="0"/>
        <w:jc w:val="both"/>
        <w:rPr>
          <w:rFonts w:ascii="Times New Roman" w:hAnsi="Times New Roman" w:cs="Times New Roman"/>
          <w:lang w:val="en-GB"/>
        </w:rPr>
      </w:pPr>
      <w:r w:rsidRPr="00FA6102">
        <w:rPr>
          <w:rFonts w:ascii="Times New Roman" w:hAnsi="Times New Roman" w:cs="Times New Roman"/>
          <w:lang w:val="en-GB"/>
        </w:rPr>
        <w:t>Article V.2 of the Agreement requires that “</w:t>
      </w:r>
      <w:r w:rsidRPr="00FA6102">
        <w:rPr>
          <w:rFonts w:ascii="Times New Roman" w:hAnsi="Times New Roman" w:cs="Times New Roman"/>
          <w:i/>
          <w:lang w:val="en-GB"/>
        </w:rPr>
        <w:t>(a) Each Party shall contribute to the budget of the Agreement in accordance with the United Nations scale of assessments. The contributions shall be restricted to a maximum of 25 per cent</w:t>
      </w:r>
      <w:r w:rsidRPr="00FA6102">
        <w:rPr>
          <w:rStyle w:val="FootnoteReference"/>
          <w:rFonts w:ascii="Times New Roman" w:hAnsi="Times New Roman" w:cs="Times New Roman"/>
          <w:i/>
          <w:lang w:val="en-GB"/>
        </w:rPr>
        <w:footnoteReference w:id="3"/>
      </w:r>
      <w:r w:rsidRPr="00FA6102">
        <w:rPr>
          <w:rFonts w:ascii="Times New Roman" w:hAnsi="Times New Roman" w:cs="Times New Roman"/>
          <w:i/>
          <w:lang w:val="en-GB"/>
        </w:rPr>
        <w:t xml:space="preserve"> of the total budget for any Party that is a Range State. No regional economic integration organization shall be required to contribute more than 2.5 per cent of the administrative costs. (b) Decisions relating to the budget and any changes to the scale of assessments that may be found necessary shall be adopted by the Meeting of the Parties by consensus.</w:t>
      </w:r>
      <w:r w:rsidRPr="00FA6102">
        <w:rPr>
          <w:rFonts w:ascii="Times New Roman" w:hAnsi="Times New Roman" w:cs="Times New Roman"/>
          <w:lang w:val="en-GB"/>
        </w:rPr>
        <w:t>”</w:t>
      </w:r>
    </w:p>
    <w:p w14:paraId="2CAD8063" w14:textId="77777777" w:rsidR="00982D14" w:rsidRPr="00FA6102" w:rsidRDefault="00982D14" w:rsidP="00982D14">
      <w:pPr>
        <w:tabs>
          <w:tab w:val="left" w:pos="360"/>
        </w:tabs>
        <w:spacing w:after="0"/>
        <w:jc w:val="both"/>
        <w:rPr>
          <w:rFonts w:ascii="Times New Roman" w:hAnsi="Times New Roman" w:cs="Times New Roman"/>
          <w:lang w:val="en-GB"/>
        </w:rPr>
      </w:pPr>
    </w:p>
    <w:p w14:paraId="17232EE8" w14:textId="77777777" w:rsidR="00982D14" w:rsidRPr="00FA6102" w:rsidRDefault="00982D14" w:rsidP="00982D14">
      <w:pPr>
        <w:tabs>
          <w:tab w:val="left" w:pos="360"/>
        </w:tabs>
        <w:spacing w:after="0"/>
        <w:jc w:val="both"/>
        <w:rPr>
          <w:rFonts w:ascii="Times New Roman" w:hAnsi="Times New Roman" w:cs="Times New Roman"/>
          <w:lang w:val="en-GB"/>
        </w:rPr>
      </w:pPr>
      <w:r w:rsidRPr="00FA6102">
        <w:rPr>
          <w:rFonts w:ascii="Times New Roman" w:hAnsi="Times New Roman" w:cs="Times New Roman"/>
          <w:lang w:val="en-GB"/>
        </w:rPr>
        <w:t xml:space="preserve">Thus, according to the Agreement, AEWA contributions should, in principle, be calculated </w:t>
      </w:r>
      <w:proofErr w:type="gramStart"/>
      <w:r w:rsidRPr="00FA6102">
        <w:rPr>
          <w:rFonts w:ascii="Times New Roman" w:hAnsi="Times New Roman" w:cs="Times New Roman"/>
          <w:lang w:val="en-GB"/>
        </w:rPr>
        <w:t>on the basis of</w:t>
      </w:r>
      <w:proofErr w:type="gramEnd"/>
      <w:r w:rsidRPr="00FA6102">
        <w:rPr>
          <w:rFonts w:ascii="Times New Roman" w:hAnsi="Times New Roman" w:cs="Times New Roman"/>
          <w:lang w:val="en-GB"/>
        </w:rPr>
        <w:t xml:space="preserve"> the UN scale of assessments.</w:t>
      </w:r>
      <w:r w:rsidRPr="00FA6102">
        <w:rPr>
          <w:rStyle w:val="FootnoteReference"/>
          <w:rFonts w:ascii="Times New Roman" w:hAnsi="Times New Roman" w:cs="Times New Roman"/>
          <w:lang w:val="en-GB"/>
        </w:rPr>
        <w:footnoteReference w:id="4"/>
      </w:r>
      <w:r w:rsidRPr="00FA6102">
        <w:rPr>
          <w:rFonts w:ascii="Times New Roman" w:hAnsi="Times New Roman" w:cs="Times New Roman"/>
          <w:lang w:val="en-GB"/>
        </w:rPr>
        <w:t xml:space="preserve"> However, Art. V.2(b) allows Parties to change the scale of assessments.</w:t>
      </w:r>
    </w:p>
    <w:p w14:paraId="3BCB450F" w14:textId="77777777" w:rsidR="00982D14" w:rsidRPr="00FA6102" w:rsidRDefault="00982D14" w:rsidP="00982D14">
      <w:pPr>
        <w:spacing w:after="0" w:line="276" w:lineRule="auto"/>
        <w:jc w:val="both"/>
        <w:rPr>
          <w:rFonts w:ascii="Times New Roman" w:hAnsi="Times New Roman" w:cs="Times New Roman"/>
          <w:sz w:val="24"/>
          <w:szCs w:val="24"/>
          <w:lang w:val="en-GB"/>
        </w:rPr>
      </w:pPr>
    </w:p>
    <w:p w14:paraId="002534EF" w14:textId="77777777" w:rsidR="00982D14" w:rsidRPr="00FA6102" w:rsidRDefault="00982D14" w:rsidP="00982D14">
      <w:pPr>
        <w:spacing w:after="0" w:line="276" w:lineRule="auto"/>
        <w:jc w:val="both"/>
        <w:rPr>
          <w:rFonts w:ascii="Times New Roman" w:hAnsi="Times New Roman" w:cs="Times New Roman"/>
          <w:sz w:val="24"/>
          <w:szCs w:val="24"/>
          <w:lang w:val="en-GB"/>
        </w:rPr>
      </w:pPr>
    </w:p>
    <w:p w14:paraId="2E6C5831" w14:textId="77777777" w:rsidR="00982D14" w:rsidRPr="00FA6102" w:rsidRDefault="00982D14" w:rsidP="00982D14">
      <w:pPr>
        <w:spacing w:after="0" w:line="276" w:lineRule="auto"/>
        <w:jc w:val="both"/>
        <w:rPr>
          <w:rFonts w:ascii="Times New Roman" w:hAnsi="Times New Roman" w:cs="Times New Roman"/>
          <w:b/>
          <w:sz w:val="24"/>
          <w:szCs w:val="24"/>
          <w:lang w:val="en-GB"/>
        </w:rPr>
      </w:pPr>
      <w:r w:rsidRPr="00FA6102">
        <w:rPr>
          <w:rFonts w:ascii="Times New Roman" w:hAnsi="Times New Roman" w:cs="Times New Roman"/>
          <w:b/>
          <w:sz w:val="24"/>
          <w:szCs w:val="24"/>
          <w:lang w:val="en-GB"/>
        </w:rPr>
        <w:t>Action Requested from the Meeting of the Parties</w:t>
      </w:r>
    </w:p>
    <w:p w14:paraId="0D801F74" w14:textId="77777777" w:rsidR="00982D14" w:rsidRPr="00FA6102" w:rsidRDefault="00982D14" w:rsidP="00982D14">
      <w:pPr>
        <w:spacing w:after="0" w:line="276" w:lineRule="auto"/>
        <w:jc w:val="both"/>
        <w:rPr>
          <w:rFonts w:ascii="Times New Roman" w:hAnsi="Times New Roman" w:cs="Times New Roman"/>
          <w:lang w:val="en-GB"/>
        </w:rPr>
      </w:pPr>
    </w:p>
    <w:p w14:paraId="07436A3A" w14:textId="77777777" w:rsidR="00982D14" w:rsidRPr="00FA6102" w:rsidRDefault="00982D14" w:rsidP="00982D14">
      <w:pPr>
        <w:spacing w:after="0" w:line="276" w:lineRule="auto"/>
        <w:jc w:val="both"/>
        <w:rPr>
          <w:rFonts w:ascii="Times New Roman" w:hAnsi="Times New Roman" w:cs="Times New Roman"/>
          <w:lang w:val="en-GB"/>
        </w:rPr>
      </w:pPr>
      <w:r w:rsidRPr="00FA6102">
        <w:rPr>
          <w:rFonts w:ascii="Times New Roman" w:hAnsi="Times New Roman" w:cs="Times New Roman"/>
          <w:lang w:val="en-GB"/>
        </w:rPr>
        <w:t>The Meeting of the Parties is requested to consider the proposed method described in the document and decide on its application for the development of the AEWA scale of contributions 2019-2021.</w:t>
      </w:r>
    </w:p>
    <w:p w14:paraId="404EF8AE" w14:textId="77777777" w:rsidR="00982D14" w:rsidRPr="00FA6102" w:rsidRDefault="00982D14" w:rsidP="00982D14">
      <w:pPr>
        <w:rPr>
          <w:rFonts w:ascii="Times New Roman" w:hAnsi="Times New Roman" w:cs="Times New Roman"/>
          <w:lang w:val="en-GB"/>
        </w:rPr>
      </w:pPr>
      <w:r w:rsidRPr="00FA6102">
        <w:rPr>
          <w:rFonts w:ascii="Times New Roman" w:hAnsi="Times New Roman" w:cs="Times New Roman"/>
          <w:lang w:val="en-GB"/>
        </w:rPr>
        <w:br w:type="page"/>
      </w:r>
    </w:p>
    <w:p w14:paraId="30A6FB3C" w14:textId="77777777" w:rsidR="00982D14" w:rsidRPr="00A210C0" w:rsidRDefault="00982D14" w:rsidP="00982D14">
      <w:pPr>
        <w:pStyle w:val="ListParagraph"/>
        <w:numPr>
          <w:ilvl w:val="0"/>
          <w:numId w:val="11"/>
        </w:numPr>
        <w:shd w:val="clear" w:color="auto" w:fill="D9D9D9" w:themeFill="background1" w:themeFillShade="D9"/>
        <w:ind w:left="270" w:hanging="270"/>
        <w:jc w:val="both"/>
        <w:rPr>
          <w:b/>
          <w:lang w:val="en-GB"/>
        </w:rPr>
      </w:pPr>
      <w:r w:rsidRPr="00A210C0">
        <w:rPr>
          <w:b/>
          <w:lang w:val="en-GB"/>
        </w:rPr>
        <w:lastRenderedPageBreak/>
        <w:t>General introduction</w:t>
      </w:r>
    </w:p>
    <w:p w14:paraId="11010657" w14:textId="77777777" w:rsidR="00982D14" w:rsidRPr="00FA6102" w:rsidRDefault="00982D14" w:rsidP="00982D14">
      <w:pPr>
        <w:spacing w:after="0" w:line="276" w:lineRule="auto"/>
        <w:jc w:val="both"/>
        <w:rPr>
          <w:rFonts w:ascii="Times New Roman" w:hAnsi="Times New Roman" w:cs="Times New Roman"/>
          <w:lang w:val="en-GB"/>
        </w:rPr>
      </w:pPr>
    </w:p>
    <w:p w14:paraId="6F5CED67" w14:textId="77777777" w:rsidR="00982D14" w:rsidRPr="00FA6102" w:rsidRDefault="00982D14" w:rsidP="00982D14">
      <w:pPr>
        <w:spacing w:after="0" w:line="276" w:lineRule="auto"/>
        <w:jc w:val="both"/>
        <w:rPr>
          <w:rFonts w:ascii="Times New Roman" w:hAnsi="Times New Roman" w:cs="Times New Roman"/>
          <w:lang w:val="en-GB"/>
        </w:rPr>
      </w:pPr>
      <w:r w:rsidRPr="00FA6102">
        <w:rPr>
          <w:rFonts w:ascii="Times New Roman" w:hAnsi="Times New Roman" w:cs="Times New Roman"/>
          <w:lang w:val="en-GB"/>
        </w:rPr>
        <w:t>The UN scale of assessments was applied to calculate AEWA contributions at MOP1, MOP2 and MOP3. Since MOP4 (2008), however, the apportioning of annual contributions to the AEWA core budget has not strictly followed the UN scale of assessments. At MOP4, the contributions to the remaining budget - after deduction of the minimum contributions and the amount to be withdrawn from the reserve – were negotiated among the Parties. The contributions calculated at MOP4 were then frozen for the next ten years (same figures used at MOP5 and at MOP6) regardless of the evolution of the economic situation of the individual countries.</w:t>
      </w:r>
    </w:p>
    <w:p w14:paraId="5B0C724A" w14:textId="77777777" w:rsidR="00982D14" w:rsidRPr="00FA6102" w:rsidRDefault="00982D14" w:rsidP="00982D14">
      <w:pPr>
        <w:spacing w:after="0" w:line="276" w:lineRule="auto"/>
        <w:jc w:val="both"/>
        <w:rPr>
          <w:rFonts w:ascii="Times New Roman" w:hAnsi="Times New Roman" w:cs="Times New Roman"/>
          <w:lang w:val="en-GB"/>
        </w:rPr>
      </w:pPr>
    </w:p>
    <w:p w14:paraId="0789740D" w14:textId="77777777" w:rsidR="00982D14" w:rsidRPr="00FA6102" w:rsidRDefault="00982D14" w:rsidP="00982D14">
      <w:pPr>
        <w:spacing w:after="0" w:line="276" w:lineRule="auto"/>
        <w:jc w:val="both"/>
        <w:rPr>
          <w:rFonts w:ascii="Times New Roman" w:hAnsi="Times New Roman" w:cs="Times New Roman"/>
          <w:lang w:val="en-GB"/>
        </w:rPr>
      </w:pPr>
      <w:r w:rsidRPr="00FA6102">
        <w:rPr>
          <w:rFonts w:ascii="Times New Roman" w:hAnsi="Times New Roman" w:cs="Times New Roman"/>
          <w:lang w:val="en-GB"/>
        </w:rPr>
        <w:t xml:space="preserve">The strict application of the UN scale of assessments for the AEWA budget 2019-2021 would create considerable increases in the case of a number of Parties, even if the budget was maintained at a </w:t>
      </w:r>
      <w:proofErr w:type="gramStart"/>
      <w:r w:rsidRPr="00FA6102">
        <w:rPr>
          <w:rFonts w:ascii="Times New Roman" w:hAnsi="Times New Roman" w:cs="Times New Roman"/>
          <w:lang w:val="en-GB"/>
        </w:rPr>
        <w:t>zero nominal</w:t>
      </w:r>
      <w:proofErr w:type="gramEnd"/>
      <w:r w:rsidRPr="00FA6102">
        <w:rPr>
          <w:rFonts w:ascii="Times New Roman" w:hAnsi="Times New Roman" w:cs="Times New Roman"/>
          <w:lang w:val="en-GB"/>
        </w:rPr>
        <w:t xml:space="preserve"> growth level. Other countries, however, would benefit from the application of the UN scale of assessments, although they might be willing to, at least, maintain the current level of financial commitment. The Secretariat would like to point out that it will be crucial for the further functioning of the Agreement to choose a scale which will have no negative impact on the total budget to be shared by Parties. For this reason, the AEWA Standing Committee has advised the Secretariat to apply the following criteria for the development of the scale of contributions for 2019-2021: </w:t>
      </w:r>
    </w:p>
    <w:p w14:paraId="3F35D12B" w14:textId="77777777" w:rsidR="00982D14" w:rsidRPr="00FA6102" w:rsidRDefault="00982D14" w:rsidP="00982D14">
      <w:pPr>
        <w:spacing w:after="0" w:line="276" w:lineRule="auto"/>
        <w:jc w:val="both"/>
        <w:rPr>
          <w:rFonts w:ascii="Times New Roman" w:hAnsi="Times New Roman" w:cs="Times New Roman"/>
          <w:lang w:val="en-GB"/>
        </w:rPr>
      </w:pPr>
    </w:p>
    <w:p w14:paraId="0EA62C2D" w14:textId="77777777" w:rsidR="00982D14" w:rsidRPr="00FA6102" w:rsidRDefault="00982D14" w:rsidP="00982D14">
      <w:pPr>
        <w:pStyle w:val="ListParagraph"/>
        <w:numPr>
          <w:ilvl w:val="0"/>
          <w:numId w:val="15"/>
        </w:numPr>
        <w:spacing w:line="360" w:lineRule="auto"/>
        <w:jc w:val="both"/>
        <w:rPr>
          <w:sz w:val="22"/>
          <w:szCs w:val="22"/>
          <w:lang w:val="en-GB"/>
        </w:rPr>
      </w:pPr>
      <w:r w:rsidRPr="00FA6102">
        <w:rPr>
          <w:sz w:val="22"/>
          <w:szCs w:val="22"/>
          <w:lang w:val="en-GB"/>
        </w:rPr>
        <w:t>To keep the minimum contribution at 2,000 EUR;</w:t>
      </w:r>
    </w:p>
    <w:p w14:paraId="17F96DC0" w14:textId="77777777" w:rsidR="00982D14" w:rsidRPr="00FA6102" w:rsidRDefault="00982D14" w:rsidP="00982D14">
      <w:pPr>
        <w:pStyle w:val="ListParagraph"/>
        <w:numPr>
          <w:ilvl w:val="0"/>
          <w:numId w:val="15"/>
        </w:numPr>
        <w:spacing w:line="360" w:lineRule="auto"/>
        <w:jc w:val="both"/>
        <w:rPr>
          <w:sz w:val="22"/>
          <w:szCs w:val="22"/>
          <w:lang w:val="en-GB"/>
        </w:rPr>
      </w:pPr>
      <w:r w:rsidRPr="00FA6102">
        <w:rPr>
          <w:sz w:val="22"/>
          <w:szCs w:val="22"/>
          <w:lang w:val="en-GB"/>
        </w:rPr>
        <w:t>To fix the EU contribution at the original 2.5 %;</w:t>
      </w:r>
    </w:p>
    <w:p w14:paraId="56F42974" w14:textId="77777777" w:rsidR="00982D14" w:rsidRPr="00FA6102" w:rsidRDefault="00982D14" w:rsidP="00982D14">
      <w:pPr>
        <w:pStyle w:val="ListParagraph"/>
        <w:numPr>
          <w:ilvl w:val="0"/>
          <w:numId w:val="15"/>
        </w:numPr>
        <w:spacing w:line="360" w:lineRule="auto"/>
        <w:jc w:val="both"/>
        <w:rPr>
          <w:sz w:val="22"/>
          <w:szCs w:val="22"/>
          <w:lang w:val="en-GB"/>
        </w:rPr>
      </w:pPr>
      <w:r w:rsidRPr="00FA6102">
        <w:rPr>
          <w:sz w:val="22"/>
          <w:szCs w:val="22"/>
          <w:lang w:val="en-GB"/>
        </w:rPr>
        <w:t>To retain the maximum threshold at 20 %;</w:t>
      </w:r>
    </w:p>
    <w:p w14:paraId="6FE724A6" w14:textId="77777777" w:rsidR="00982D14" w:rsidRPr="00FA6102" w:rsidRDefault="00982D14" w:rsidP="00982D14">
      <w:pPr>
        <w:pStyle w:val="ListParagraph"/>
        <w:numPr>
          <w:ilvl w:val="0"/>
          <w:numId w:val="15"/>
        </w:numPr>
        <w:spacing w:line="360" w:lineRule="auto"/>
        <w:jc w:val="both"/>
        <w:rPr>
          <w:sz w:val="22"/>
          <w:szCs w:val="22"/>
          <w:lang w:val="en-GB"/>
        </w:rPr>
      </w:pPr>
      <w:r w:rsidRPr="00FA6102">
        <w:rPr>
          <w:sz w:val="22"/>
          <w:szCs w:val="22"/>
          <w:lang w:val="en-GB"/>
        </w:rPr>
        <w:t>To return to the UN scale of assessments while implementing a gradual transitional period consisting of two MOP cycles (six years);</w:t>
      </w:r>
    </w:p>
    <w:p w14:paraId="1175E886" w14:textId="77777777" w:rsidR="00982D14" w:rsidRPr="00FA6102" w:rsidRDefault="00982D14" w:rsidP="00982D14">
      <w:pPr>
        <w:pStyle w:val="ListParagraph"/>
        <w:numPr>
          <w:ilvl w:val="0"/>
          <w:numId w:val="15"/>
        </w:numPr>
        <w:spacing w:line="360" w:lineRule="auto"/>
        <w:jc w:val="both"/>
        <w:rPr>
          <w:sz w:val="22"/>
          <w:szCs w:val="22"/>
          <w:lang w:val="en-GB"/>
        </w:rPr>
      </w:pPr>
      <w:r w:rsidRPr="00FA6102">
        <w:rPr>
          <w:sz w:val="22"/>
          <w:szCs w:val="22"/>
          <w:lang w:val="en-GB"/>
        </w:rPr>
        <w:t>To freeze the contributions which would otherwise decrease;</w:t>
      </w:r>
    </w:p>
    <w:p w14:paraId="736605AA" w14:textId="77777777" w:rsidR="00982D14" w:rsidRPr="00FA6102" w:rsidRDefault="00982D14" w:rsidP="00982D14">
      <w:pPr>
        <w:pStyle w:val="ListParagraph"/>
        <w:numPr>
          <w:ilvl w:val="0"/>
          <w:numId w:val="15"/>
        </w:numPr>
        <w:spacing w:line="360" w:lineRule="auto"/>
        <w:jc w:val="both"/>
        <w:rPr>
          <w:sz w:val="22"/>
          <w:szCs w:val="22"/>
          <w:lang w:val="en-GB"/>
        </w:rPr>
      </w:pPr>
      <w:r w:rsidRPr="00FA6102">
        <w:rPr>
          <w:sz w:val="22"/>
          <w:szCs w:val="22"/>
          <w:lang w:val="en-GB"/>
        </w:rPr>
        <w:t xml:space="preserve">To direct contributions from new Parties into the AEWA Trust Fund. </w:t>
      </w:r>
    </w:p>
    <w:p w14:paraId="2BF4324F" w14:textId="77777777" w:rsidR="00982D14" w:rsidRPr="00FA6102" w:rsidRDefault="00982D14" w:rsidP="00982D14">
      <w:pPr>
        <w:spacing w:after="0" w:line="276" w:lineRule="auto"/>
        <w:jc w:val="both"/>
        <w:rPr>
          <w:rFonts w:ascii="Times New Roman" w:hAnsi="Times New Roman" w:cs="Times New Roman"/>
          <w:lang w:val="en-GB"/>
        </w:rPr>
      </w:pPr>
    </w:p>
    <w:p w14:paraId="523ADBBC" w14:textId="77777777" w:rsidR="00982D14" w:rsidRPr="00FA6102" w:rsidRDefault="00982D14" w:rsidP="00982D14">
      <w:pPr>
        <w:spacing w:after="0" w:line="276" w:lineRule="auto"/>
        <w:jc w:val="both"/>
        <w:rPr>
          <w:rFonts w:ascii="Times New Roman" w:hAnsi="Times New Roman" w:cs="Times New Roman"/>
          <w:lang w:val="en-GB"/>
        </w:rPr>
      </w:pPr>
    </w:p>
    <w:p w14:paraId="370CAFBC" w14:textId="77777777" w:rsidR="00982D14" w:rsidRPr="00A210C0" w:rsidRDefault="00982D14" w:rsidP="00982D14">
      <w:pPr>
        <w:pStyle w:val="ListParagraph"/>
        <w:numPr>
          <w:ilvl w:val="0"/>
          <w:numId w:val="11"/>
        </w:numPr>
        <w:shd w:val="clear" w:color="auto" w:fill="D9D9D9" w:themeFill="background1" w:themeFillShade="D9"/>
        <w:spacing w:line="276" w:lineRule="auto"/>
        <w:ind w:left="270" w:hanging="270"/>
        <w:jc w:val="both"/>
        <w:rPr>
          <w:b/>
          <w:lang w:val="en-GB"/>
        </w:rPr>
      </w:pPr>
      <w:r w:rsidRPr="00A210C0">
        <w:rPr>
          <w:b/>
          <w:lang w:val="en-GB"/>
        </w:rPr>
        <w:t>Method applied to develop the scale of contributions for 2019-2021</w:t>
      </w:r>
    </w:p>
    <w:p w14:paraId="7CBEA379" w14:textId="77777777" w:rsidR="00982D14" w:rsidRPr="00FA6102" w:rsidRDefault="00982D14" w:rsidP="00982D14">
      <w:pPr>
        <w:spacing w:after="0" w:line="276" w:lineRule="auto"/>
        <w:jc w:val="both"/>
        <w:rPr>
          <w:rFonts w:ascii="Times New Roman" w:hAnsi="Times New Roman" w:cs="Times New Roman"/>
          <w:lang w:val="en-GB"/>
        </w:rPr>
      </w:pPr>
    </w:p>
    <w:p w14:paraId="3892538A" w14:textId="55BF87C0" w:rsidR="00982D14" w:rsidRPr="00FA6102" w:rsidRDefault="00982D14" w:rsidP="00982D14">
      <w:pPr>
        <w:spacing w:after="0" w:line="276" w:lineRule="auto"/>
        <w:jc w:val="both"/>
        <w:rPr>
          <w:rFonts w:ascii="Times New Roman" w:hAnsi="Times New Roman" w:cs="Times New Roman"/>
          <w:lang w:val="en-GB"/>
        </w:rPr>
      </w:pPr>
      <w:r w:rsidRPr="00FA6102">
        <w:rPr>
          <w:rFonts w:ascii="Times New Roman" w:hAnsi="Times New Roman" w:cs="Times New Roman"/>
          <w:lang w:val="en-GB"/>
        </w:rPr>
        <w:t>To follow up on Resolution 6.18 and the intersessional decisions of the AEWA Standing Committee</w:t>
      </w:r>
      <w:r>
        <w:rPr>
          <w:rFonts w:ascii="Times New Roman" w:hAnsi="Times New Roman" w:cs="Times New Roman"/>
          <w:lang w:val="en-GB"/>
        </w:rPr>
        <w:t>,</w:t>
      </w:r>
      <w:r w:rsidRPr="00FA6102">
        <w:rPr>
          <w:rFonts w:ascii="Times New Roman" w:hAnsi="Times New Roman" w:cs="Times New Roman"/>
          <w:lang w:val="en-GB"/>
        </w:rPr>
        <w:t xml:space="preserve"> the Secretariat has developed a scale of contribution which returns to the UN scale of assessments</w:t>
      </w:r>
      <w:r w:rsidR="00A04358">
        <w:rPr>
          <w:rFonts w:ascii="Times New Roman" w:hAnsi="Times New Roman" w:cs="Times New Roman"/>
          <w:lang w:val="en-GB"/>
        </w:rPr>
        <w:t xml:space="preserve"> gradually.</w:t>
      </w:r>
      <w:r w:rsidRPr="00FA6102">
        <w:rPr>
          <w:rFonts w:ascii="Times New Roman" w:hAnsi="Times New Roman" w:cs="Times New Roman"/>
          <w:lang w:val="en-GB"/>
        </w:rPr>
        <w:t xml:space="preserve"> </w:t>
      </w:r>
    </w:p>
    <w:p w14:paraId="609BB544" w14:textId="77777777" w:rsidR="00982D14" w:rsidRPr="00FA6102" w:rsidRDefault="00982D14" w:rsidP="00982D14">
      <w:pPr>
        <w:spacing w:after="0" w:line="276" w:lineRule="auto"/>
        <w:jc w:val="both"/>
        <w:rPr>
          <w:rFonts w:ascii="Times New Roman" w:hAnsi="Times New Roman" w:cs="Times New Roman"/>
          <w:lang w:val="en-GB"/>
        </w:rPr>
      </w:pPr>
      <w:r w:rsidRPr="00FA6102">
        <w:rPr>
          <w:rFonts w:ascii="Times New Roman" w:hAnsi="Times New Roman" w:cs="Times New Roman"/>
          <w:lang w:val="en-GB"/>
        </w:rPr>
        <w:t xml:space="preserve">The minimum contribution of 2,000 EUR was kept; the EU contribution was fixed at 2.5 % and the maximum threshold of 20 % was retained (see above a) - c)). </w:t>
      </w:r>
    </w:p>
    <w:p w14:paraId="5085CD44" w14:textId="77777777" w:rsidR="00982D14" w:rsidRPr="00FA6102" w:rsidRDefault="00982D14" w:rsidP="00982D14">
      <w:pPr>
        <w:spacing w:after="0" w:line="276" w:lineRule="auto"/>
        <w:jc w:val="both"/>
        <w:rPr>
          <w:rFonts w:ascii="Times New Roman" w:hAnsi="Times New Roman" w:cs="Times New Roman"/>
          <w:lang w:val="en-GB"/>
        </w:rPr>
      </w:pPr>
    </w:p>
    <w:p w14:paraId="38208232" w14:textId="77777777" w:rsidR="00982D14" w:rsidRPr="00FA6102" w:rsidRDefault="00982D14" w:rsidP="00982D14">
      <w:pPr>
        <w:spacing w:after="0" w:line="276" w:lineRule="auto"/>
        <w:jc w:val="both"/>
        <w:rPr>
          <w:rFonts w:ascii="Times New Roman" w:hAnsi="Times New Roman" w:cs="Times New Roman"/>
          <w:lang w:val="en-GB"/>
        </w:rPr>
      </w:pPr>
      <w:r>
        <w:rPr>
          <w:rFonts w:ascii="Times New Roman" w:hAnsi="Times New Roman" w:cs="Times New Roman"/>
          <w:lang w:val="en-GB"/>
        </w:rPr>
        <w:t>The f</w:t>
      </w:r>
      <w:r w:rsidRPr="00FA6102">
        <w:rPr>
          <w:rFonts w:ascii="Times New Roman" w:hAnsi="Times New Roman" w:cs="Times New Roman"/>
          <w:lang w:val="en-GB"/>
        </w:rPr>
        <w:t>ollowing additional measures were taken to calculate the final contributions (step d) and e)) of the above criteria):</w:t>
      </w:r>
    </w:p>
    <w:p w14:paraId="522F7F7F" w14:textId="77777777" w:rsidR="00982D14" w:rsidRPr="00FA6102" w:rsidRDefault="00982D14" w:rsidP="00982D14">
      <w:pPr>
        <w:spacing w:after="0" w:line="276" w:lineRule="auto"/>
        <w:jc w:val="both"/>
        <w:rPr>
          <w:rFonts w:ascii="Times New Roman" w:hAnsi="Times New Roman" w:cs="Times New Roman"/>
          <w:lang w:val="en-GB"/>
        </w:rPr>
      </w:pPr>
    </w:p>
    <w:p w14:paraId="033B01FC" w14:textId="77777777" w:rsidR="00982D14" w:rsidRPr="00FA6102" w:rsidRDefault="00982D14" w:rsidP="00982D14">
      <w:pPr>
        <w:pStyle w:val="ListParagraph"/>
        <w:numPr>
          <w:ilvl w:val="0"/>
          <w:numId w:val="17"/>
        </w:numPr>
        <w:spacing w:line="276" w:lineRule="auto"/>
        <w:jc w:val="both"/>
        <w:rPr>
          <w:sz w:val="22"/>
          <w:szCs w:val="22"/>
          <w:lang w:val="en-GB"/>
        </w:rPr>
      </w:pPr>
      <w:r w:rsidRPr="00FA6102">
        <w:rPr>
          <w:sz w:val="22"/>
          <w:szCs w:val="22"/>
          <w:lang w:val="en-GB"/>
        </w:rPr>
        <w:t>All contributions that would decrease compared to MOP6 were frozen at their current amount. This has led to a "saving" of 121,428 EUR.</w:t>
      </w:r>
    </w:p>
    <w:p w14:paraId="09C7C1AB" w14:textId="77777777" w:rsidR="00982D14" w:rsidRPr="00FA6102" w:rsidRDefault="00982D14" w:rsidP="00982D14">
      <w:pPr>
        <w:pStyle w:val="ListParagraph"/>
        <w:spacing w:line="276" w:lineRule="auto"/>
        <w:jc w:val="both"/>
        <w:rPr>
          <w:sz w:val="12"/>
          <w:szCs w:val="12"/>
          <w:lang w:val="en-GB"/>
        </w:rPr>
      </w:pPr>
    </w:p>
    <w:p w14:paraId="4F5D7B8A" w14:textId="77777777" w:rsidR="00982D14" w:rsidRPr="00FA6102" w:rsidRDefault="00982D14" w:rsidP="00982D14">
      <w:pPr>
        <w:pStyle w:val="ListParagraph"/>
        <w:numPr>
          <w:ilvl w:val="0"/>
          <w:numId w:val="17"/>
        </w:numPr>
        <w:spacing w:line="276" w:lineRule="auto"/>
        <w:jc w:val="both"/>
        <w:rPr>
          <w:sz w:val="22"/>
          <w:szCs w:val="22"/>
          <w:lang w:val="en-GB"/>
        </w:rPr>
      </w:pPr>
      <w:r w:rsidRPr="00FA6102">
        <w:rPr>
          <w:sz w:val="22"/>
          <w:szCs w:val="22"/>
          <w:lang w:val="en-GB"/>
        </w:rPr>
        <w:t xml:space="preserve">The amount of 121,428 EUR was used to decrease those Parties' contributions that would otherwise contribute more than 10 % to the total budget; contributions that fell below the amount adopted at MOP6 through this exercise were again frozen and the "saving" was used to further decrease the most affected contributions (i.e. with the highest increase).   </w:t>
      </w:r>
    </w:p>
    <w:p w14:paraId="5059335E" w14:textId="77777777" w:rsidR="00982D14" w:rsidRPr="00FA6102" w:rsidRDefault="00982D14" w:rsidP="00982D14">
      <w:pPr>
        <w:spacing w:after="0" w:line="276" w:lineRule="auto"/>
        <w:jc w:val="both"/>
        <w:rPr>
          <w:rFonts w:ascii="Times New Roman" w:hAnsi="Times New Roman" w:cs="Times New Roman"/>
          <w:lang w:val="en-GB"/>
        </w:rPr>
      </w:pPr>
    </w:p>
    <w:p w14:paraId="09146A54" w14:textId="77777777" w:rsidR="00982D14" w:rsidRPr="00FA6102" w:rsidRDefault="00982D14" w:rsidP="00982D14">
      <w:pPr>
        <w:spacing w:after="0" w:line="276" w:lineRule="auto"/>
        <w:jc w:val="both"/>
        <w:rPr>
          <w:rFonts w:ascii="Times New Roman" w:hAnsi="Times New Roman" w:cs="Times New Roman"/>
          <w:lang w:val="en-GB"/>
        </w:rPr>
      </w:pPr>
      <w:r w:rsidRPr="00FA6102">
        <w:rPr>
          <w:rFonts w:ascii="Times New Roman" w:hAnsi="Times New Roman" w:cs="Times New Roman"/>
          <w:lang w:val="en-GB"/>
        </w:rPr>
        <w:t xml:space="preserve">Thus, the proposed scale represents </w:t>
      </w:r>
      <w:r w:rsidRPr="00FA6102">
        <w:rPr>
          <w:rFonts w:ascii="Times New Roman" w:hAnsi="Times New Roman" w:cs="Times New Roman"/>
          <w:b/>
          <w:lang w:val="en-GB"/>
        </w:rPr>
        <w:t xml:space="preserve">an approach which progressively moves towards the UN scale of assessments </w:t>
      </w:r>
      <w:r w:rsidRPr="00FA6102">
        <w:rPr>
          <w:rFonts w:ascii="Times New Roman" w:hAnsi="Times New Roman" w:cs="Times New Roman"/>
          <w:lang w:val="en-GB"/>
        </w:rPr>
        <w:t xml:space="preserve">with integration of the above-mentioned criteria and additional measures taken for the transitional period. </w:t>
      </w:r>
      <w:proofErr w:type="gramStart"/>
      <w:r w:rsidRPr="00FA6102">
        <w:rPr>
          <w:rFonts w:ascii="Times New Roman" w:hAnsi="Times New Roman" w:cs="Times New Roman"/>
          <w:lang w:val="en-GB"/>
        </w:rPr>
        <w:t>On the basis of</w:t>
      </w:r>
      <w:proofErr w:type="gramEnd"/>
      <w:r w:rsidRPr="00FA6102">
        <w:rPr>
          <w:rFonts w:ascii="Times New Roman" w:hAnsi="Times New Roman" w:cs="Times New Roman"/>
          <w:lang w:val="en-GB"/>
        </w:rPr>
        <w:t xml:space="preserve"> the new UN scale of assessments, published before MOP8, Parties will have to decide whether they wish to fully adopt this scale. </w:t>
      </w:r>
    </w:p>
    <w:p w14:paraId="7E05DAFE" w14:textId="77777777" w:rsidR="00982D14" w:rsidRDefault="00982D14" w:rsidP="00982D14">
      <w:pPr>
        <w:spacing w:after="0" w:line="276" w:lineRule="auto"/>
        <w:jc w:val="both"/>
        <w:rPr>
          <w:rFonts w:ascii="Times New Roman" w:hAnsi="Times New Roman" w:cs="Times New Roman"/>
          <w:lang w:val="en-GB"/>
        </w:rPr>
      </w:pPr>
      <w:r w:rsidRPr="00FA6102">
        <w:rPr>
          <w:rFonts w:ascii="Times New Roman" w:hAnsi="Times New Roman" w:cs="Times New Roman"/>
          <w:b/>
          <w:lang w:val="en-GB"/>
        </w:rPr>
        <w:lastRenderedPageBreak/>
        <w:t>Annex 1</w:t>
      </w:r>
      <w:r w:rsidRPr="00FA6102">
        <w:rPr>
          <w:rFonts w:ascii="Times New Roman" w:hAnsi="Times New Roman" w:cs="Times New Roman"/>
          <w:lang w:val="en-GB"/>
        </w:rPr>
        <w:t xml:space="preserve"> provides a table comparing the MOP6 to the MOP7 figures (Scenario 1 - zero nominal growth).</w:t>
      </w:r>
    </w:p>
    <w:p w14:paraId="41AF4446" w14:textId="77777777" w:rsidR="00982D14" w:rsidRPr="00A210C0" w:rsidRDefault="00982D14" w:rsidP="00982D14">
      <w:pPr>
        <w:spacing w:after="0" w:line="276" w:lineRule="auto"/>
        <w:jc w:val="both"/>
        <w:rPr>
          <w:rFonts w:ascii="Times New Roman" w:hAnsi="Times New Roman" w:cs="Times New Roman"/>
          <w:sz w:val="18"/>
          <w:szCs w:val="18"/>
          <w:lang w:val="en-GB"/>
        </w:rPr>
      </w:pPr>
    </w:p>
    <w:p w14:paraId="7BDB10F6" w14:textId="77777777" w:rsidR="00982D14" w:rsidRDefault="00982D14" w:rsidP="00982D14">
      <w:pPr>
        <w:spacing w:after="0" w:line="276" w:lineRule="auto"/>
        <w:jc w:val="both"/>
        <w:rPr>
          <w:rFonts w:ascii="Times New Roman" w:hAnsi="Times New Roman" w:cs="Times New Roman"/>
          <w:lang w:val="en-GB"/>
        </w:rPr>
      </w:pPr>
      <w:r w:rsidRPr="00FA6102">
        <w:rPr>
          <w:rFonts w:ascii="Times New Roman" w:hAnsi="Times New Roman" w:cs="Times New Roman"/>
          <w:lang w:val="en-GB"/>
        </w:rPr>
        <w:t>The first column with contributions ("</w:t>
      </w:r>
      <w:r w:rsidRPr="00FA6102">
        <w:rPr>
          <w:rFonts w:ascii="Times New Roman" w:hAnsi="Times New Roman" w:cs="Times New Roman"/>
          <w:b/>
          <w:lang w:val="en-GB"/>
        </w:rPr>
        <w:t>MOP6 proposal</w:t>
      </w:r>
      <w:r w:rsidRPr="00FA6102">
        <w:rPr>
          <w:rFonts w:ascii="Times New Roman" w:hAnsi="Times New Roman" w:cs="Times New Roman"/>
          <w:lang w:val="en-GB"/>
        </w:rPr>
        <w:t>") shows the contributions as they were calculated at MOP6 without withdrawal from the Trust Fund and using the ratio used at MOP4.</w:t>
      </w:r>
    </w:p>
    <w:p w14:paraId="1E269DE9" w14:textId="77777777" w:rsidR="00982D14" w:rsidRPr="00A210C0" w:rsidRDefault="00982D14" w:rsidP="00982D14">
      <w:pPr>
        <w:spacing w:after="0" w:line="276" w:lineRule="auto"/>
        <w:jc w:val="both"/>
        <w:rPr>
          <w:rFonts w:ascii="Times New Roman" w:hAnsi="Times New Roman" w:cs="Times New Roman"/>
          <w:sz w:val="18"/>
          <w:szCs w:val="18"/>
          <w:lang w:val="en-GB"/>
        </w:rPr>
      </w:pPr>
    </w:p>
    <w:p w14:paraId="4A84C6E4" w14:textId="77777777" w:rsidR="00982D14" w:rsidRPr="00FA6102" w:rsidRDefault="00982D14" w:rsidP="00982D14">
      <w:pPr>
        <w:spacing w:line="276" w:lineRule="auto"/>
        <w:jc w:val="both"/>
        <w:rPr>
          <w:rFonts w:ascii="Times New Roman" w:hAnsi="Times New Roman" w:cs="Times New Roman"/>
          <w:lang w:val="en-GB"/>
        </w:rPr>
      </w:pPr>
      <w:r w:rsidRPr="00FA6102">
        <w:rPr>
          <w:rFonts w:ascii="Times New Roman" w:hAnsi="Times New Roman" w:cs="Times New Roman"/>
          <w:lang w:val="en-GB"/>
        </w:rPr>
        <w:t>The second column with contributions ("</w:t>
      </w:r>
      <w:r w:rsidRPr="00FA6102">
        <w:rPr>
          <w:rFonts w:ascii="Times New Roman" w:hAnsi="Times New Roman" w:cs="Times New Roman"/>
          <w:b/>
          <w:lang w:val="en-GB"/>
        </w:rPr>
        <w:t>MOP6 adopted</w:t>
      </w:r>
      <w:r w:rsidRPr="00FA6102">
        <w:rPr>
          <w:rFonts w:ascii="Times New Roman" w:hAnsi="Times New Roman" w:cs="Times New Roman"/>
          <w:lang w:val="en-GB"/>
        </w:rPr>
        <w:t xml:space="preserve">") reflects the </w:t>
      </w:r>
      <w:proofErr w:type="gramStart"/>
      <w:r w:rsidRPr="00FA6102">
        <w:rPr>
          <w:rFonts w:ascii="Times New Roman" w:hAnsi="Times New Roman" w:cs="Times New Roman"/>
          <w:lang w:val="en-GB"/>
        </w:rPr>
        <w:t>actually adopted</w:t>
      </w:r>
      <w:proofErr w:type="gramEnd"/>
      <w:r w:rsidRPr="00FA6102">
        <w:rPr>
          <w:rFonts w:ascii="Times New Roman" w:hAnsi="Times New Roman" w:cs="Times New Roman"/>
          <w:lang w:val="en-GB"/>
        </w:rPr>
        <w:t xml:space="preserve"> MOP6 budget </w:t>
      </w:r>
      <w:r w:rsidRPr="00FA6102">
        <w:rPr>
          <w:rFonts w:ascii="Times New Roman" w:hAnsi="Times New Roman" w:cs="Times New Roman"/>
          <w:u w:val="single"/>
          <w:lang w:val="en-GB"/>
        </w:rPr>
        <w:t>after the withdrawal of 310,000 EUR</w:t>
      </w:r>
      <w:r w:rsidRPr="00FA6102">
        <w:rPr>
          <w:rFonts w:ascii="Times New Roman" w:hAnsi="Times New Roman" w:cs="Times New Roman"/>
          <w:lang w:val="en-GB"/>
        </w:rPr>
        <w:t xml:space="preserve"> which has led to an overall decrease of the budget to be shared between the Parties.</w:t>
      </w:r>
    </w:p>
    <w:p w14:paraId="62CEEB19" w14:textId="77777777" w:rsidR="00982D14" w:rsidRPr="00FA6102" w:rsidRDefault="00982D14" w:rsidP="00982D14">
      <w:pPr>
        <w:spacing w:line="276" w:lineRule="auto"/>
        <w:jc w:val="both"/>
        <w:rPr>
          <w:rFonts w:ascii="Times New Roman" w:hAnsi="Times New Roman" w:cs="Times New Roman"/>
          <w:lang w:val="en-GB"/>
        </w:rPr>
      </w:pPr>
      <w:r w:rsidRPr="00FA6102">
        <w:rPr>
          <w:rFonts w:ascii="Times New Roman" w:hAnsi="Times New Roman" w:cs="Times New Roman"/>
          <w:lang w:val="en-GB"/>
        </w:rPr>
        <w:t>The last column ("</w:t>
      </w:r>
      <w:r w:rsidRPr="00FA6102">
        <w:rPr>
          <w:rFonts w:ascii="Times New Roman" w:hAnsi="Times New Roman" w:cs="Times New Roman"/>
          <w:b/>
          <w:lang w:val="en-GB"/>
        </w:rPr>
        <w:t>MOP7 proposal (Scenario 1</w:t>
      </w:r>
      <w:r w:rsidRPr="00FA6102">
        <w:rPr>
          <w:rFonts w:ascii="Times New Roman" w:hAnsi="Times New Roman" w:cs="Times New Roman"/>
          <w:lang w:val="en-GB"/>
        </w:rPr>
        <w:t xml:space="preserve">") shows the Parties' contributions calculated for MOP7 Scenario 1 (zero nominal growth, compare document AEWA/MOP 7.38). The MOP7 proposal can best be compared to the MOP6 proposal, as both do not </w:t>
      </w:r>
      <w:proofErr w:type="gramStart"/>
      <w:r w:rsidRPr="00FA6102">
        <w:rPr>
          <w:rFonts w:ascii="Times New Roman" w:hAnsi="Times New Roman" w:cs="Times New Roman"/>
          <w:lang w:val="en-GB"/>
        </w:rPr>
        <w:t>take into account</w:t>
      </w:r>
      <w:proofErr w:type="gramEnd"/>
      <w:r w:rsidRPr="00FA6102">
        <w:rPr>
          <w:rFonts w:ascii="Times New Roman" w:hAnsi="Times New Roman" w:cs="Times New Roman"/>
          <w:lang w:val="en-GB"/>
        </w:rPr>
        <w:t xml:space="preserve"> any Trust Fund withdrawal. It is obvious that, due to the progressive move towards the UN scale, some Parties experience a high increase. </w:t>
      </w:r>
    </w:p>
    <w:p w14:paraId="371E08DB" w14:textId="77777777" w:rsidR="00982D14" w:rsidRPr="00FA6102" w:rsidRDefault="00982D14" w:rsidP="00982D14">
      <w:pPr>
        <w:spacing w:line="276" w:lineRule="auto"/>
        <w:jc w:val="both"/>
        <w:rPr>
          <w:rFonts w:ascii="Times New Roman" w:hAnsi="Times New Roman" w:cs="Times New Roman"/>
          <w:lang w:val="en-GB"/>
        </w:rPr>
      </w:pPr>
      <w:r w:rsidRPr="00FA6102">
        <w:rPr>
          <w:rFonts w:ascii="Times New Roman" w:hAnsi="Times New Roman" w:cs="Times New Roman"/>
          <w:lang w:val="en-GB"/>
        </w:rPr>
        <w:t xml:space="preserve">The Secretariat wishes to highlight that the withdrawal of 310,000 EUR has led to a general decrease of contributions at MOP6 (compare MOP6 proposal to MOP6 adopted). </w:t>
      </w:r>
      <w:r w:rsidRPr="00FA6102">
        <w:rPr>
          <w:rFonts w:ascii="Times New Roman" w:hAnsi="Times New Roman" w:cs="Times New Roman"/>
          <w:b/>
          <w:lang w:val="en-GB"/>
        </w:rPr>
        <w:t xml:space="preserve">The adoption of a budget </w:t>
      </w:r>
      <w:r w:rsidRPr="00FA6102">
        <w:rPr>
          <w:rFonts w:ascii="Times New Roman" w:hAnsi="Times New Roman" w:cs="Times New Roman"/>
          <w:b/>
          <w:u w:val="single"/>
          <w:lang w:val="en-GB"/>
        </w:rPr>
        <w:t>without withdrawal</w:t>
      </w:r>
      <w:r w:rsidRPr="00FA6102">
        <w:rPr>
          <w:rFonts w:ascii="Times New Roman" w:hAnsi="Times New Roman" w:cs="Times New Roman"/>
          <w:b/>
          <w:lang w:val="en-GB"/>
        </w:rPr>
        <w:t xml:space="preserve"> at MOP7 will naturally lead to increased contributions per se, and even at zero nominal growth level. Nonetheless, a withdrawal from the Trust Fund should be adopted only on an exceptional basis and does not represent a practice that is advised in the long term. </w:t>
      </w:r>
    </w:p>
    <w:p w14:paraId="16468D2E" w14:textId="77777777" w:rsidR="00982D14" w:rsidRPr="00FA6102" w:rsidRDefault="00982D14" w:rsidP="00982D14">
      <w:pPr>
        <w:spacing w:line="276" w:lineRule="auto"/>
        <w:jc w:val="both"/>
        <w:rPr>
          <w:rFonts w:ascii="Times New Roman" w:hAnsi="Times New Roman" w:cs="Times New Roman"/>
          <w:lang w:val="en-GB"/>
        </w:rPr>
      </w:pPr>
      <w:r w:rsidRPr="00FA6102">
        <w:rPr>
          <w:rFonts w:ascii="Times New Roman" w:hAnsi="Times New Roman" w:cs="Times New Roman"/>
          <w:lang w:val="en-GB"/>
        </w:rPr>
        <w:t xml:space="preserve">For the 2019-2021 budget, the Secretariat has applied a transitional period, through which the Parties experiencing an increase, will see their contributions increase gradually year per year, respectively an increase of 30, 33 and 37 %. It should, however, be noted that applying the same method for returning to the UN Scale of assessments in six years is practically not feasible due to </w:t>
      </w:r>
      <w:r>
        <w:rPr>
          <w:rFonts w:ascii="Times New Roman" w:hAnsi="Times New Roman" w:cs="Times New Roman"/>
          <w:lang w:val="en-GB"/>
        </w:rPr>
        <w:t xml:space="preserve">the </w:t>
      </w:r>
      <w:r w:rsidRPr="00FA6102">
        <w:rPr>
          <w:rFonts w:ascii="Times New Roman" w:hAnsi="Times New Roman" w:cs="Times New Roman"/>
          <w:lang w:val="en-GB"/>
        </w:rPr>
        <w:t xml:space="preserve">following factors: </w:t>
      </w:r>
    </w:p>
    <w:p w14:paraId="2BA2EC76" w14:textId="77777777" w:rsidR="00982D14" w:rsidRPr="00B902CB" w:rsidRDefault="00982D14" w:rsidP="00982D14">
      <w:pPr>
        <w:pStyle w:val="ListParagraph"/>
        <w:numPr>
          <w:ilvl w:val="0"/>
          <w:numId w:val="19"/>
        </w:numPr>
        <w:spacing w:line="276" w:lineRule="auto"/>
        <w:jc w:val="both"/>
        <w:rPr>
          <w:lang w:val="en-GB"/>
        </w:rPr>
      </w:pPr>
      <w:r w:rsidRPr="00FA6102">
        <w:rPr>
          <w:sz w:val="22"/>
          <w:szCs w:val="22"/>
          <w:lang w:val="en-GB"/>
        </w:rPr>
        <w:t xml:space="preserve">The UN Scale of assessments is updated triennially, which is applied to all Parties to the Agreement; therefore, contributions to the total budget for each Party will vary due to the revised UN Scale of assessment in the following MOP cycle. </w:t>
      </w:r>
    </w:p>
    <w:p w14:paraId="24564109" w14:textId="77777777" w:rsidR="00982D14" w:rsidRPr="00B902CB" w:rsidRDefault="00982D14" w:rsidP="00982D14">
      <w:pPr>
        <w:pStyle w:val="ListParagraph"/>
        <w:spacing w:line="276" w:lineRule="auto"/>
        <w:jc w:val="both"/>
        <w:rPr>
          <w:sz w:val="12"/>
          <w:szCs w:val="12"/>
          <w:lang w:val="en-GB"/>
        </w:rPr>
      </w:pPr>
    </w:p>
    <w:p w14:paraId="1C09CBC4" w14:textId="77777777" w:rsidR="00982D14" w:rsidRPr="00B902CB" w:rsidRDefault="00982D14" w:rsidP="00982D14">
      <w:pPr>
        <w:pStyle w:val="ListParagraph"/>
        <w:numPr>
          <w:ilvl w:val="0"/>
          <w:numId w:val="19"/>
        </w:numPr>
        <w:spacing w:line="276" w:lineRule="auto"/>
        <w:jc w:val="both"/>
        <w:rPr>
          <w:lang w:val="en-GB"/>
        </w:rPr>
      </w:pPr>
      <w:r w:rsidRPr="00FA6102">
        <w:rPr>
          <w:sz w:val="22"/>
          <w:szCs w:val="22"/>
          <w:lang w:val="en-GB"/>
        </w:rPr>
        <w:t>New Parties will join the Agreement, which results in more Parties sharing the approved budget compared to the previous MOP cycle.</w:t>
      </w:r>
    </w:p>
    <w:p w14:paraId="3EDADB58" w14:textId="77777777" w:rsidR="00982D14" w:rsidRPr="00B902CB" w:rsidRDefault="00982D14" w:rsidP="00982D14">
      <w:pPr>
        <w:pStyle w:val="ListParagraph"/>
        <w:spacing w:line="276" w:lineRule="auto"/>
        <w:jc w:val="both"/>
        <w:rPr>
          <w:sz w:val="12"/>
          <w:szCs w:val="12"/>
          <w:lang w:val="en-GB"/>
        </w:rPr>
      </w:pPr>
    </w:p>
    <w:p w14:paraId="6D1DA133" w14:textId="77777777" w:rsidR="00982D14" w:rsidRPr="00B902CB" w:rsidRDefault="00982D14" w:rsidP="00982D14">
      <w:pPr>
        <w:pStyle w:val="ListParagraph"/>
        <w:numPr>
          <w:ilvl w:val="0"/>
          <w:numId w:val="19"/>
        </w:numPr>
        <w:spacing w:line="276" w:lineRule="auto"/>
        <w:jc w:val="both"/>
        <w:rPr>
          <w:lang w:val="en-GB"/>
        </w:rPr>
      </w:pPr>
      <w:r w:rsidRPr="00FA6102">
        <w:rPr>
          <w:sz w:val="22"/>
          <w:szCs w:val="22"/>
          <w:lang w:val="en-GB"/>
        </w:rPr>
        <w:t xml:space="preserve">The budget for the period 2022-2024 will not be available at the time of adopting the budget for 2019-2021, therefore the amount to be shared by all Parties will not be known or cannot be estimated beforehand.  </w:t>
      </w:r>
    </w:p>
    <w:p w14:paraId="24BE0063" w14:textId="77777777" w:rsidR="00982D14" w:rsidRPr="00B902CB" w:rsidRDefault="00982D14" w:rsidP="00982D14">
      <w:pPr>
        <w:pStyle w:val="ListParagraph"/>
        <w:rPr>
          <w:lang w:val="en-GB"/>
        </w:rPr>
      </w:pPr>
    </w:p>
    <w:p w14:paraId="2821AE4F" w14:textId="77777777" w:rsidR="00982D14" w:rsidRPr="00FA6102" w:rsidRDefault="00982D14" w:rsidP="00982D14">
      <w:pPr>
        <w:spacing w:after="0" w:line="276" w:lineRule="auto"/>
        <w:jc w:val="both"/>
        <w:rPr>
          <w:lang w:val="en-GB"/>
        </w:rPr>
      </w:pPr>
      <w:r w:rsidRPr="00FA6102">
        <w:rPr>
          <w:rFonts w:ascii="Times New Roman" w:hAnsi="Times New Roman" w:cs="Times New Roman"/>
          <w:lang w:val="en-GB"/>
        </w:rPr>
        <w:t>Thus, the request from the Standing Committee to implement a gradual transitional period consisting of two MOP cycles (six years) will be implemented in two steps. The decision made at MOP7 will pave the way for returning to the UN scale of assessment at MOP8.</w:t>
      </w:r>
    </w:p>
    <w:p w14:paraId="36765103" w14:textId="77777777" w:rsidR="00012F07" w:rsidRDefault="00012F07" w:rsidP="0072013D">
      <w:pPr>
        <w:rPr>
          <w:rFonts w:ascii="Times New Roman" w:hAnsi="Times New Roman" w:cs="Times New Roman"/>
          <w:b/>
          <w:sz w:val="24"/>
          <w:szCs w:val="24"/>
          <w:lang w:val="en-GB"/>
        </w:rPr>
      </w:pPr>
    </w:p>
    <w:p w14:paraId="742ACF31" w14:textId="77777777" w:rsidR="00012F07" w:rsidRDefault="00012F07" w:rsidP="0072013D">
      <w:pPr>
        <w:rPr>
          <w:rFonts w:ascii="Times New Roman" w:hAnsi="Times New Roman" w:cs="Times New Roman"/>
          <w:b/>
          <w:sz w:val="24"/>
          <w:szCs w:val="24"/>
          <w:lang w:val="en-GB"/>
        </w:rPr>
      </w:pPr>
    </w:p>
    <w:p w14:paraId="345E603D" w14:textId="77777777" w:rsidR="00012F07" w:rsidRDefault="00012F07" w:rsidP="0072013D">
      <w:pPr>
        <w:rPr>
          <w:rFonts w:ascii="Times New Roman" w:hAnsi="Times New Roman" w:cs="Times New Roman"/>
          <w:b/>
          <w:sz w:val="24"/>
          <w:szCs w:val="24"/>
          <w:lang w:val="en-GB"/>
        </w:rPr>
      </w:pPr>
    </w:p>
    <w:p w14:paraId="1CDD8408" w14:textId="77777777" w:rsidR="00012F07" w:rsidRDefault="00012F07" w:rsidP="0072013D">
      <w:pPr>
        <w:rPr>
          <w:rFonts w:ascii="Times New Roman" w:hAnsi="Times New Roman" w:cs="Times New Roman"/>
          <w:b/>
          <w:sz w:val="24"/>
          <w:szCs w:val="24"/>
          <w:lang w:val="en-GB"/>
        </w:rPr>
      </w:pPr>
    </w:p>
    <w:p w14:paraId="34781C0D" w14:textId="77777777" w:rsidR="00012F07" w:rsidRDefault="00012F07" w:rsidP="0072013D">
      <w:pPr>
        <w:rPr>
          <w:rFonts w:ascii="Times New Roman" w:hAnsi="Times New Roman" w:cs="Times New Roman"/>
          <w:b/>
          <w:sz w:val="24"/>
          <w:szCs w:val="24"/>
          <w:lang w:val="en-GB"/>
        </w:rPr>
      </w:pPr>
    </w:p>
    <w:p w14:paraId="6576B5F7" w14:textId="77777777" w:rsidR="00012F07" w:rsidRDefault="00012F07" w:rsidP="0072013D">
      <w:pPr>
        <w:rPr>
          <w:rFonts w:ascii="Times New Roman" w:hAnsi="Times New Roman" w:cs="Times New Roman"/>
          <w:b/>
          <w:sz w:val="24"/>
          <w:szCs w:val="24"/>
          <w:lang w:val="en-GB"/>
        </w:rPr>
      </w:pPr>
    </w:p>
    <w:p w14:paraId="3DC602FC" w14:textId="72541508" w:rsidR="00012F07" w:rsidRDefault="00012F07" w:rsidP="0072013D">
      <w:pPr>
        <w:rPr>
          <w:rFonts w:ascii="Times New Roman" w:hAnsi="Times New Roman" w:cs="Times New Roman"/>
          <w:b/>
          <w:sz w:val="24"/>
          <w:szCs w:val="24"/>
          <w:lang w:val="en-GB"/>
        </w:rPr>
      </w:pPr>
    </w:p>
    <w:p w14:paraId="1EB7BDEF" w14:textId="09FE2E34" w:rsidR="006E02EB" w:rsidRDefault="006E02EB" w:rsidP="0072013D">
      <w:pPr>
        <w:rPr>
          <w:rFonts w:ascii="Times New Roman" w:hAnsi="Times New Roman" w:cs="Times New Roman"/>
          <w:b/>
          <w:sz w:val="24"/>
          <w:szCs w:val="24"/>
          <w:lang w:val="en-GB"/>
        </w:rPr>
      </w:pPr>
    </w:p>
    <w:p w14:paraId="773F3317" w14:textId="77777777" w:rsidR="006E02EB" w:rsidRDefault="006E02EB" w:rsidP="0072013D">
      <w:pPr>
        <w:rPr>
          <w:rFonts w:ascii="Times New Roman" w:hAnsi="Times New Roman" w:cs="Times New Roman"/>
          <w:b/>
          <w:sz w:val="24"/>
          <w:szCs w:val="24"/>
          <w:lang w:val="en-GB"/>
        </w:rPr>
      </w:pPr>
    </w:p>
    <w:p w14:paraId="638C3AF2" w14:textId="162FAB29" w:rsidR="003132AA" w:rsidRPr="003132AA" w:rsidRDefault="0072013D" w:rsidP="0072013D">
      <w:pPr>
        <w:rPr>
          <w:rFonts w:ascii="Times New Roman" w:hAnsi="Times New Roman" w:cs="Times New Roman"/>
          <w:b/>
          <w:sz w:val="24"/>
          <w:szCs w:val="24"/>
          <w:lang w:val="en-GB"/>
        </w:rPr>
      </w:pPr>
      <w:r w:rsidRPr="003132AA">
        <w:rPr>
          <w:rFonts w:ascii="Times New Roman" w:hAnsi="Times New Roman" w:cs="Times New Roman"/>
          <w:b/>
          <w:sz w:val="24"/>
          <w:szCs w:val="24"/>
          <w:lang w:val="en-GB"/>
        </w:rPr>
        <w:lastRenderedPageBreak/>
        <w:t xml:space="preserve">Annex </w:t>
      </w:r>
      <w:r w:rsidR="006F7D0F" w:rsidRPr="003132AA">
        <w:rPr>
          <w:rFonts w:ascii="Times New Roman" w:hAnsi="Times New Roman" w:cs="Times New Roman"/>
          <w:b/>
          <w:sz w:val="24"/>
          <w:szCs w:val="24"/>
          <w:lang w:val="en-GB"/>
        </w:rPr>
        <w:t>1</w:t>
      </w:r>
    </w:p>
    <w:p w14:paraId="15BE46D5" w14:textId="69FAD8EC" w:rsidR="00AE1ABD" w:rsidRDefault="008F1F54" w:rsidP="0072013D">
      <w:pPr>
        <w:rPr>
          <w:rFonts w:ascii="Times New Roman" w:hAnsi="Times New Roman" w:cs="Times New Roman"/>
          <w:b/>
          <w:lang w:val="en-GB"/>
        </w:rPr>
      </w:pPr>
      <w:r w:rsidRPr="008F1F54">
        <w:rPr>
          <w:rFonts w:ascii="Times New Roman" w:hAnsi="Times New Roman" w:cs="Times New Roman"/>
          <w:b/>
          <w:lang w:val="en-GB"/>
        </w:rPr>
        <w:t xml:space="preserve"> </w:t>
      </w:r>
      <w:r w:rsidR="00C179C4" w:rsidRPr="00C179C4">
        <w:rPr>
          <w:noProof/>
        </w:rPr>
        <w:drawing>
          <wp:inline distT="0" distB="0" distL="0" distR="0" wp14:anchorId="357D5CB4" wp14:editId="6DB0E297">
            <wp:extent cx="6120765" cy="851114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8511148"/>
                    </a:xfrm>
                    <a:prstGeom prst="rect">
                      <a:avLst/>
                    </a:prstGeom>
                    <a:noFill/>
                    <a:ln>
                      <a:noFill/>
                    </a:ln>
                  </pic:spPr>
                </pic:pic>
              </a:graphicData>
            </a:graphic>
          </wp:inline>
        </w:drawing>
      </w:r>
    </w:p>
    <w:p w14:paraId="3FB028F4" w14:textId="77777777" w:rsidR="00AE1ABD" w:rsidRPr="00AE1ABD" w:rsidRDefault="00AE1ABD" w:rsidP="0072013D">
      <w:pPr>
        <w:rPr>
          <w:rFonts w:ascii="Times New Roman" w:hAnsi="Times New Roman" w:cs="Times New Roman"/>
          <w:b/>
          <w:lang w:val="en-GB"/>
        </w:rPr>
      </w:pPr>
    </w:p>
    <w:p w14:paraId="641FEEBB" w14:textId="716CA12F" w:rsidR="008F1F54" w:rsidRDefault="00DE25EF" w:rsidP="0072013D">
      <w:pPr>
        <w:rPr>
          <w:rFonts w:ascii="Times New Roman" w:hAnsi="Times New Roman" w:cs="Times New Roman"/>
          <w:b/>
          <w:lang w:val="en-GB"/>
        </w:rPr>
      </w:pPr>
      <w:r w:rsidRPr="00DE25EF">
        <w:rPr>
          <w:rFonts w:ascii="Times New Roman" w:hAnsi="Times New Roman" w:cs="Times New Roman"/>
          <w:b/>
          <w:lang w:val="en-GB"/>
        </w:rPr>
        <w:lastRenderedPageBreak/>
        <w:t xml:space="preserve"> </w:t>
      </w:r>
      <w:r w:rsidR="005851C1" w:rsidRPr="005851C1">
        <w:rPr>
          <w:rFonts w:ascii="Times New Roman" w:hAnsi="Times New Roman" w:cs="Times New Roman"/>
          <w:b/>
          <w:lang w:val="en-GB"/>
        </w:rPr>
        <w:t xml:space="preserve"> </w:t>
      </w:r>
      <w:r w:rsidR="005851C1" w:rsidRPr="005851C1">
        <w:rPr>
          <w:noProof/>
        </w:rPr>
        <w:drawing>
          <wp:inline distT="0" distB="0" distL="0" distR="0" wp14:anchorId="22FF91EF" wp14:editId="5F5A5FE1">
            <wp:extent cx="6120765" cy="114529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1145291"/>
                    </a:xfrm>
                    <a:prstGeom prst="rect">
                      <a:avLst/>
                    </a:prstGeom>
                    <a:noFill/>
                    <a:ln>
                      <a:noFill/>
                    </a:ln>
                  </pic:spPr>
                </pic:pic>
              </a:graphicData>
            </a:graphic>
          </wp:inline>
        </w:drawing>
      </w:r>
      <w:r w:rsidR="00375A03" w:rsidRPr="00375A03">
        <w:rPr>
          <w:rFonts w:ascii="Times New Roman" w:hAnsi="Times New Roman" w:cs="Times New Roman"/>
          <w:b/>
          <w:lang w:val="en-GB"/>
        </w:rPr>
        <w:t xml:space="preserve"> </w:t>
      </w:r>
      <w:r w:rsidR="00375A03" w:rsidRPr="00375A03">
        <w:rPr>
          <w:noProof/>
        </w:rPr>
        <w:drawing>
          <wp:inline distT="0" distB="0" distL="0" distR="0" wp14:anchorId="636D2FC6" wp14:editId="2E80CD57">
            <wp:extent cx="6120765" cy="68645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6864577"/>
                    </a:xfrm>
                    <a:prstGeom prst="rect">
                      <a:avLst/>
                    </a:prstGeom>
                    <a:noFill/>
                    <a:ln>
                      <a:noFill/>
                    </a:ln>
                  </pic:spPr>
                </pic:pic>
              </a:graphicData>
            </a:graphic>
          </wp:inline>
        </w:drawing>
      </w:r>
    </w:p>
    <w:p w14:paraId="381670D3" w14:textId="702EF64D" w:rsidR="00DE25EF" w:rsidRDefault="008E1938">
      <w:pPr>
        <w:rPr>
          <w:rFonts w:ascii="Times New Roman" w:hAnsi="Times New Roman" w:cs="Times New Roman"/>
          <w:b/>
          <w:lang w:val="en-GB"/>
        </w:rPr>
      </w:pP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p>
    <w:sectPr w:rsidR="00DE25EF" w:rsidSect="0065486F">
      <w:headerReference w:type="default" r:id="rId17"/>
      <w:footerReference w:type="default" r:id="rId18"/>
      <w:pgSz w:w="11907" w:h="16840" w:code="9"/>
      <w:pgMar w:top="976" w:right="1134" w:bottom="1134" w:left="1134"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38CA4" w14:textId="77777777" w:rsidR="00431D3C" w:rsidRDefault="00431D3C" w:rsidP="007A39F7">
      <w:pPr>
        <w:spacing w:after="0" w:line="240" w:lineRule="auto"/>
      </w:pPr>
      <w:r>
        <w:separator/>
      </w:r>
    </w:p>
  </w:endnote>
  <w:endnote w:type="continuationSeparator" w:id="0">
    <w:p w14:paraId="611269E3" w14:textId="77777777" w:rsidR="00431D3C" w:rsidRDefault="00431D3C" w:rsidP="007A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EA794" w14:textId="77777777" w:rsidR="008272BE" w:rsidRDefault="00827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515237"/>
      <w:docPartObj>
        <w:docPartGallery w:val="Page Numbers (Bottom of Page)"/>
        <w:docPartUnique/>
      </w:docPartObj>
    </w:sdtPr>
    <w:sdtEndPr>
      <w:rPr>
        <w:noProof/>
      </w:rPr>
    </w:sdtEndPr>
    <w:sdtContent>
      <w:p w14:paraId="210B5957" w14:textId="095239A2" w:rsidR="00982D14" w:rsidRDefault="007B3528">
        <w:pPr>
          <w:pStyle w:val="Footer"/>
          <w:jc w:val="center"/>
        </w:pPr>
      </w:p>
    </w:sdtContent>
  </w:sdt>
  <w:p w14:paraId="14EADB06" w14:textId="77777777" w:rsidR="00982D14" w:rsidRPr="00895AC7" w:rsidRDefault="00982D14">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A9BF6" w14:textId="77777777" w:rsidR="008272BE" w:rsidRDefault="008272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594960"/>
      <w:docPartObj>
        <w:docPartGallery w:val="Page Numbers (Bottom of Page)"/>
        <w:docPartUnique/>
      </w:docPartObj>
    </w:sdtPr>
    <w:sdtEndPr>
      <w:rPr>
        <w:rFonts w:ascii="Times New Roman" w:hAnsi="Times New Roman" w:cs="Times New Roman"/>
        <w:noProof/>
        <w:sz w:val="20"/>
        <w:szCs w:val="20"/>
      </w:rPr>
    </w:sdtEndPr>
    <w:sdtContent>
      <w:p w14:paraId="44ECFE05" w14:textId="77777777" w:rsidR="00982D14" w:rsidRPr="00982D14" w:rsidRDefault="00982D14">
        <w:pPr>
          <w:pStyle w:val="Footer"/>
          <w:jc w:val="center"/>
          <w:rPr>
            <w:rFonts w:ascii="Times New Roman" w:hAnsi="Times New Roman" w:cs="Times New Roman"/>
            <w:sz w:val="20"/>
            <w:szCs w:val="20"/>
          </w:rPr>
        </w:pPr>
        <w:r w:rsidRPr="00982D14">
          <w:rPr>
            <w:rFonts w:ascii="Times New Roman" w:hAnsi="Times New Roman" w:cs="Times New Roman"/>
            <w:sz w:val="20"/>
            <w:szCs w:val="20"/>
          </w:rPr>
          <w:fldChar w:fldCharType="begin"/>
        </w:r>
        <w:r w:rsidRPr="00982D14">
          <w:rPr>
            <w:rFonts w:ascii="Times New Roman" w:hAnsi="Times New Roman" w:cs="Times New Roman"/>
            <w:sz w:val="20"/>
            <w:szCs w:val="20"/>
          </w:rPr>
          <w:instrText xml:space="preserve"> PAGE   \* MERGEFORMAT </w:instrText>
        </w:r>
        <w:r w:rsidRPr="00982D14">
          <w:rPr>
            <w:rFonts w:ascii="Times New Roman" w:hAnsi="Times New Roman" w:cs="Times New Roman"/>
            <w:sz w:val="20"/>
            <w:szCs w:val="20"/>
          </w:rPr>
          <w:fldChar w:fldCharType="separate"/>
        </w:r>
        <w:r w:rsidRPr="00982D14">
          <w:rPr>
            <w:rFonts w:ascii="Times New Roman" w:hAnsi="Times New Roman" w:cs="Times New Roman"/>
            <w:noProof/>
            <w:sz w:val="20"/>
            <w:szCs w:val="20"/>
          </w:rPr>
          <w:t>2</w:t>
        </w:r>
        <w:r w:rsidRPr="00982D14">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B46F6" w14:textId="77777777" w:rsidR="00431D3C" w:rsidRDefault="00431D3C" w:rsidP="007A39F7">
      <w:pPr>
        <w:spacing w:after="0" w:line="240" w:lineRule="auto"/>
      </w:pPr>
      <w:r>
        <w:separator/>
      </w:r>
    </w:p>
  </w:footnote>
  <w:footnote w:type="continuationSeparator" w:id="0">
    <w:p w14:paraId="123AEA5C" w14:textId="77777777" w:rsidR="00431D3C" w:rsidRDefault="00431D3C" w:rsidP="007A39F7">
      <w:pPr>
        <w:spacing w:after="0" w:line="240" w:lineRule="auto"/>
      </w:pPr>
      <w:r>
        <w:continuationSeparator/>
      </w:r>
    </w:p>
  </w:footnote>
  <w:footnote w:id="1">
    <w:p w14:paraId="4A4465CD" w14:textId="77777777" w:rsidR="00982D14" w:rsidRPr="00AA5E3D" w:rsidRDefault="00982D14" w:rsidP="00982D14">
      <w:pPr>
        <w:tabs>
          <w:tab w:val="left" w:pos="360"/>
        </w:tabs>
        <w:spacing w:after="0"/>
        <w:jc w:val="both"/>
        <w:rPr>
          <w:rFonts w:ascii="Times New Roman" w:hAnsi="Times New Roman" w:cs="Times New Roman"/>
          <w:sz w:val="20"/>
          <w:szCs w:val="20"/>
        </w:rPr>
      </w:pPr>
      <w:r w:rsidRPr="00AA5E3D">
        <w:rPr>
          <w:rStyle w:val="FootnoteReference"/>
          <w:rFonts w:ascii="Times New Roman" w:hAnsi="Times New Roman" w:cs="Times New Roman"/>
          <w:sz w:val="20"/>
          <w:szCs w:val="20"/>
        </w:rPr>
        <w:footnoteRef/>
      </w:r>
      <w:r w:rsidRPr="00AA5E3D">
        <w:rPr>
          <w:rFonts w:ascii="Times New Roman" w:hAnsi="Times New Roman" w:cs="Times New Roman"/>
          <w:sz w:val="20"/>
          <w:szCs w:val="20"/>
        </w:rPr>
        <w:t xml:space="preserve"> a) Estimates of gross national income; b) Average statistical base periods of three and six years; c) Conversion rates based on market exchange rates, except where that would cause excessive fluctuations and distortions in the income of some Member States, when price-adjusted rates of exchange or other appropriate conversion rates should be employed […]; d) The debt-burden approach employed in the scale of assessments for the period from 2013-2015; e) a low per capita income adjustment of 80 per cent, with a threshold per capita income limit of the average per capita gross national income of all Member States for the statistical base periods; f) a minimum assessment rate of 0.0001 per cent; g) a maximum assessment rate for the least developed countries of 0.01 per cent; h) a maximum assessment rate of 22 per cent. </w:t>
      </w:r>
    </w:p>
  </w:footnote>
  <w:footnote w:id="2">
    <w:p w14:paraId="3D025692" w14:textId="77777777" w:rsidR="00982D14" w:rsidRPr="00AA5E3D" w:rsidRDefault="00982D14" w:rsidP="00982D14">
      <w:pPr>
        <w:pStyle w:val="FootnoteText"/>
        <w:jc w:val="both"/>
        <w:rPr>
          <w:rFonts w:ascii="Times New Roman" w:hAnsi="Times New Roman" w:cs="Times New Roman"/>
        </w:rPr>
      </w:pPr>
      <w:r w:rsidRPr="00AA5E3D">
        <w:rPr>
          <w:rStyle w:val="FootnoteReference"/>
          <w:rFonts w:ascii="Times New Roman" w:hAnsi="Times New Roman" w:cs="Times New Roman"/>
        </w:rPr>
        <w:footnoteRef/>
      </w:r>
      <w:r w:rsidRPr="00AA5E3D">
        <w:rPr>
          <w:rFonts w:ascii="Times New Roman" w:hAnsi="Times New Roman" w:cs="Times New Roman"/>
        </w:rPr>
        <w:t xml:space="preserve"> Resolution 70/245 on the Scale of assessments for the apportionment of the expenses of the United Nations for the period 2016-2018 </w:t>
      </w:r>
      <w:r>
        <w:rPr>
          <w:rFonts w:ascii="Times New Roman" w:hAnsi="Times New Roman" w:cs="Times New Roman"/>
        </w:rPr>
        <w:t>is available here</w:t>
      </w:r>
      <w:r w:rsidRPr="00FA6102">
        <w:rPr>
          <w:rFonts w:ascii="Times New Roman" w:hAnsi="Times New Roman" w:cs="Times New Roman"/>
        </w:rPr>
        <w:t xml:space="preserve">: </w:t>
      </w:r>
      <w:hyperlink r:id="rId1" w:history="1">
        <w:r w:rsidRPr="00FA6102">
          <w:rPr>
            <w:rStyle w:val="Hyperlink"/>
            <w:rFonts w:ascii="Times New Roman" w:hAnsi="Times New Roman" w:cs="Times New Roman"/>
            <w:u w:val="none"/>
          </w:rPr>
          <w:t>http://www.un.org/en/ga/search/view_doc.asp?symbol=A/RES/70/245</w:t>
        </w:r>
      </w:hyperlink>
    </w:p>
  </w:footnote>
  <w:footnote w:id="3">
    <w:p w14:paraId="3593089D" w14:textId="77777777" w:rsidR="006E02EB" w:rsidRDefault="00982D14" w:rsidP="00982D14">
      <w:pPr>
        <w:pStyle w:val="FootnoteText"/>
        <w:jc w:val="both"/>
        <w:rPr>
          <w:rFonts w:ascii="Times New Roman" w:hAnsi="Times New Roman" w:cs="Times New Roman"/>
        </w:rPr>
      </w:pPr>
      <w:r w:rsidRPr="00AA5E3D">
        <w:rPr>
          <w:rStyle w:val="FootnoteReference"/>
          <w:rFonts w:ascii="Times New Roman" w:hAnsi="Times New Roman" w:cs="Times New Roman"/>
        </w:rPr>
        <w:footnoteRef/>
      </w:r>
      <w:r w:rsidRPr="00AA5E3D">
        <w:rPr>
          <w:rFonts w:ascii="Times New Roman" w:hAnsi="Times New Roman" w:cs="Times New Roman"/>
        </w:rPr>
        <w:t xml:space="preserve"> The maximum ceiling of 25 % was in line with the UN scale of assessments at that time. The UN maximum assessment </w:t>
      </w:r>
    </w:p>
    <w:p w14:paraId="1DBFE480" w14:textId="57BA56D2" w:rsidR="00982D14" w:rsidRPr="00AA5E3D" w:rsidRDefault="006E02EB" w:rsidP="00982D14">
      <w:pPr>
        <w:pStyle w:val="FootnoteText"/>
        <w:jc w:val="both"/>
        <w:rPr>
          <w:rFonts w:ascii="Times New Roman" w:hAnsi="Times New Roman" w:cs="Times New Roman"/>
        </w:rPr>
      </w:pPr>
      <w:r>
        <w:rPr>
          <w:rFonts w:ascii="Times New Roman" w:hAnsi="Times New Roman" w:cs="Times New Roman"/>
        </w:rPr>
        <w:t xml:space="preserve">   </w:t>
      </w:r>
      <w:r w:rsidR="00982D14" w:rsidRPr="00AA5E3D">
        <w:rPr>
          <w:rFonts w:ascii="Times New Roman" w:hAnsi="Times New Roman" w:cs="Times New Roman"/>
        </w:rPr>
        <w:t>rate is meanwhile at 22 % (compare General Assembly Resolution 70/245).</w:t>
      </w:r>
    </w:p>
  </w:footnote>
  <w:footnote w:id="4">
    <w:p w14:paraId="2CAA0213" w14:textId="77777777" w:rsidR="006E02EB" w:rsidRDefault="00982D14" w:rsidP="00982D14">
      <w:pPr>
        <w:pStyle w:val="FootnoteText"/>
        <w:jc w:val="both"/>
        <w:rPr>
          <w:rFonts w:ascii="Times New Roman" w:hAnsi="Times New Roman" w:cs="Times New Roman"/>
        </w:rPr>
      </w:pPr>
      <w:r w:rsidRPr="00AA5E3D">
        <w:rPr>
          <w:rStyle w:val="FootnoteReference"/>
          <w:rFonts w:ascii="Times New Roman" w:hAnsi="Times New Roman" w:cs="Times New Roman"/>
        </w:rPr>
        <w:footnoteRef/>
      </w:r>
      <w:r w:rsidRPr="00AA5E3D">
        <w:rPr>
          <w:rFonts w:ascii="Times New Roman" w:hAnsi="Times New Roman" w:cs="Times New Roman"/>
        </w:rPr>
        <w:t xml:space="preserve"> As only 39 % of the UN member states are Parties to AEWA the UN scale percentages need to be recalculated and </w:t>
      </w:r>
    </w:p>
    <w:p w14:paraId="65ADC496" w14:textId="194AAAD3" w:rsidR="00982D14" w:rsidRPr="00AA5E3D" w:rsidRDefault="006E02EB" w:rsidP="00982D14">
      <w:pPr>
        <w:pStyle w:val="FootnoteText"/>
        <w:jc w:val="both"/>
        <w:rPr>
          <w:rFonts w:ascii="Times New Roman" w:hAnsi="Times New Roman" w:cs="Times New Roman"/>
        </w:rPr>
      </w:pPr>
      <w:r>
        <w:rPr>
          <w:rFonts w:ascii="Times New Roman" w:hAnsi="Times New Roman" w:cs="Times New Roman"/>
        </w:rPr>
        <w:t xml:space="preserve">   </w:t>
      </w:r>
      <w:r w:rsidR="00982D14" w:rsidRPr="00AA5E3D">
        <w:rPr>
          <w:rFonts w:ascii="Times New Roman" w:hAnsi="Times New Roman" w:cs="Times New Roman"/>
        </w:rPr>
        <w:t xml:space="preserve">cannot be taken over 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1800B" w14:textId="77777777" w:rsidR="008272BE" w:rsidRDefault="00827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73" w:type="dxa"/>
      <w:tblInd w:w="108" w:type="dxa"/>
      <w:tblLayout w:type="fixed"/>
      <w:tblCellMar>
        <w:left w:w="10" w:type="dxa"/>
        <w:right w:w="10" w:type="dxa"/>
      </w:tblCellMar>
      <w:tblLook w:val="04A0" w:firstRow="1" w:lastRow="0" w:firstColumn="1" w:lastColumn="0" w:noHBand="0" w:noVBand="1"/>
    </w:tblPr>
    <w:tblGrid>
      <w:gridCol w:w="1985"/>
      <w:gridCol w:w="5137"/>
      <w:gridCol w:w="2551"/>
    </w:tblGrid>
    <w:tr w:rsidR="00982D14" w:rsidRPr="003132AA" w14:paraId="132C16F4" w14:textId="77777777" w:rsidTr="007E1315">
      <w:trPr>
        <w:trHeight w:val="1256"/>
      </w:trPr>
      <w:tc>
        <w:tcPr>
          <w:tcW w:w="1985" w:type="dxa"/>
          <w:shd w:val="clear" w:color="auto" w:fill="auto"/>
          <w:tcMar>
            <w:top w:w="0" w:type="dxa"/>
            <w:left w:w="108" w:type="dxa"/>
            <w:bottom w:w="0" w:type="dxa"/>
            <w:right w:w="108" w:type="dxa"/>
          </w:tcMar>
        </w:tcPr>
        <w:p w14:paraId="40EC3106" w14:textId="77777777" w:rsidR="00982D14" w:rsidRPr="003132AA" w:rsidRDefault="00982D14" w:rsidP="003132AA">
          <w:pPr>
            <w:suppressAutoHyphens/>
            <w:autoSpaceDN w:val="0"/>
            <w:spacing w:after="0" w:line="240" w:lineRule="auto"/>
            <w:textAlignment w:val="baseline"/>
            <w:rPr>
              <w:rFonts w:ascii="Times New Roman" w:eastAsia="Times New Roman" w:hAnsi="Times New Roman" w:cs="Times New Roman"/>
              <w:sz w:val="24"/>
              <w:szCs w:val="24"/>
            </w:rPr>
          </w:pPr>
          <w:r w:rsidRPr="003132AA">
            <w:rPr>
              <w:rFonts w:ascii="Times New Roman" w:eastAsia="Times New Roman" w:hAnsi="Times New Roman" w:cs="Times New Roman"/>
              <w:noProof/>
              <w:sz w:val="24"/>
              <w:szCs w:val="24"/>
              <w:lang w:val="en-GB" w:eastAsia="en-GB"/>
            </w:rPr>
            <w:drawing>
              <wp:inline distT="0" distB="0" distL="0" distR="0" wp14:anchorId="279F9530" wp14:editId="302B2D07">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137" w:type="dxa"/>
          <w:shd w:val="clear" w:color="auto" w:fill="auto"/>
          <w:tcMar>
            <w:top w:w="0" w:type="dxa"/>
            <w:left w:w="108" w:type="dxa"/>
            <w:bottom w:w="0" w:type="dxa"/>
            <w:right w:w="108" w:type="dxa"/>
          </w:tcMar>
        </w:tcPr>
        <w:p w14:paraId="402182C1" w14:textId="785FDF91" w:rsidR="00982D14" w:rsidRPr="003132AA" w:rsidRDefault="007E1315" w:rsidP="003132AA">
          <w:pPr>
            <w:suppressAutoHyphens/>
            <w:autoSpaceDN w:val="0"/>
            <w:spacing w:after="0" w:line="240" w:lineRule="auto"/>
            <w:jc w:val="center"/>
            <w:textAlignment w:val="baseline"/>
            <w:rPr>
              <w:rFonts w:ascii="Times New Roman" w:eastAsia="Times New Roman" w:hAnsi="Times New Roman" w:cs="Times New Roman"/>
              <w:i/>
              <w:caps/>
              <w:sz w:val="24"/>
              <w:szCs w:val="24"/>
            </w:rPr>
          </w:pPr>
          <w:r>
            <w:rPr>
              <w:rFonts w:ascii="Times New Roman" w:eastAsia="Times New Roman" w:hAnsi="Times New Roman" w:cs="Times New Roman"/>
              <w:i/>
              <w:caps/>
            </w:rPr>
            <w:t xml:space="preserve">  </w:t>
          </w:r>
          <w:r w:rsidR="00982D14" w:rsidRPr="003132AA">
            <w:rPr>
              <w:rFonts w:ascii="Times New Roman" w:eastAsia="Times New Roman" w:hAnsi="Times New Roman" w:cs="Times New Roman"/>
              <w:i/>
              <w:caps/>
            </w:rPr>
            <w:t xml:space="preserve">Agreement on the Conservation of </w:t>
          </w:r>
        </w:p>
        <w:p w14:paraId="60A1FC34" w14:textId="3A8E18F2" w:rsidR="00982D14" w:rsidRPr="003132AA" w:rsidRDefault="007E1315" w:rsidP="003132AA">
          <w:pPr>
            <w:tabs>
              <w:tab w:val="left" w:pos="2415"/>
            </w:tabs>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i/>
              <w:caps/>
            </w:rPr>
            <w:t xml:space="preserve">  </w:t>
          </w:r>
          <w:r w:rsidR="00982D14" w:rsidRPr="003132AA">
            <w:rPr>
              <w:rFonts w:ascii="Times New Roman" w:eastAsia="Times New Roman" w:hAnsi="Times New Roman" w:cs="Times New Roman"/>
              <w:i/>
              <w:caps/>
            </w:rPr>
            <w:t>African-Eurasian Migratory Waterbirds</w:t>
          </w:r>
        </w:p>
      </w:tc>
      <w:tc>
        <w:tcPr>
          <w:tcW w:w="2551" w:type="dxa"/>
          <w:shd w:val="clear" w:color="auto" w:fill="auto"/>
          <w:tcMar>
            <w:top w:w="0" w:type="dxa"/>
            <w:left w:w="108" w:type="dxa"/>
            <w:bottom w:w="0" w:type="dxa"/>
            <w:right w:w="108" w:type="dxa"/>
          </w:tcMar>
        </w:tcPr>
        <w:p w14:paraId="41554BC7" w14:textId="5CD5C4FD" w:rsidR="00982D14" w:rsidRPr="003132AA" w:rsidRDefault="00982D14" w:rsidP="007E1315">
          <w:pPr>
            <w:suppressAutoHyphens/>
            <w:autoSpaceDN w:val="0"/>
            <w:spacing w:after="0" w:line="276" w:lineRule="auto"/>
            <w:ind w:hanging="210"/>
            <w:jc w:val="right"/>
            <w:textAlignment w:val="baseline"/>
            <w:rPr>
              <w:rFonts w:ascii="Times New Roman" w:eastAsia="Times New Roman" w:hAnsi="Times New Roman" w:cs="Times New Roman"/>
              <w:sz w:val="24"/>
              <w:szCs w:val="24"/>
              <w:lang w:val="en-GB"/>
            </w:rPr>
          </w:pPr>
          <w:r w:rsidRPr="003132AA">
            <w:rPr>
              <w:rFonts w:ascii="Times New Roman" w:eastAsia="Times New Roman" w:hAnsi="Times New Roman" w:cs="Times New Roman"/>
              <w:i/>
              <w:iCs/>
              <w:sz w:val="20"/>
              <w:szCs w:val="20"/>
              <w:lang w:val="en-GB"/>
            </w:rPr>
            <w:t xml:space="preserve">Doc. </w:t>
          </w:r>
          <w:r w:rsidRPr="003132AA">
            <w:rPr>
              <w:rFonts w:ascii="Times New Roman" w:eastAsia="Times New Roman" w:hAnsi="Times New Roman" w:cs="Times New Roman"/>
              <w:bCs/>
              <w:i/>
              <w:iCs/>
              <w:sz w:val="20"/>
              <w:szCs w:val="20"/>
              <w:lang w:val="en-GB"/>
            </w:rPr>
            <w:t>AEWA/MOP 7</w:t>
          </w:r>
          <w:r>
            <w:rPr>
              <w:rFonts w:ascii="Times New Roman" w:eastAsia="Times New Roman" w:hAnsi="Times New Roman" w:cs="Times New Roman"/>
              <w:bCs/>
              <w:i/>
              <w:iCs/>
              <w:sz w:val="20"/>
              <w:szCs w:val="20"/>
              <w:lang w:val="en-GB"/>
            </w:rPr>
            <w:t>.</w:t>
          </w:r>
          <w:r w:rsidRPr="003132AA">
            <w:rPr>
              <w:rFonts w:ascii="Times New Roman" w:eastAsia="Times New Roman" w:hAnsi="Times New Roman" w:cs="Times New Roman"/>
              <w:bCs/>
              <w:i/>
              <w:iCs/>
              <w:sz w:val="20"/>
              <w:szCs w:val="20"/>
              <w:lang w:val="en-GB"/>
            </w:rPr>
            <w:t>37</w:t>
          </w:r>
          <w:r w:rsidR="007E1315">
            <w:rPr>
              <w:rFonts w:ascii="Times New Roman" w:eastAsia="Times New Roman" w:hAnsi="Times New Roman" w:cs="Times New Roman"/>
              <w:bCs/>
              <w:i/>
              <w:iCs/>
              <w:sz w:val="20"/>
              <w:szCs w:val="20"/>
              <w:lang w:val="en-GB"/>
            </w:rPr>
            <w:t xml:space="preserve"> Rev.1</w:t>
          </w:r>
        </w:p>
        <w:p w14:paraId="0048F8EC" w14:textId="77777777" w:rsidR="00982D14" w:rsidRPr="003132AA" w:rsidRDefault="00982D14" w:rsidP="003132AA">
          <w:pPr>
            <w:suppressAutoHyphens/>
            <w:autoSpaceDN w:val="0"/>
            <w:spacing w:after="0" w:line="276" w:lineRule="auto"/>
            <w:jc w:val="right"/>
            <w:textAlignment w:val="baseline"/>
            <w:rPr>
              <w:rFonts w:ascii="Times New Roman" w:eastAsia="Times New Roman" w:hAnsi="Times New Roman" w:cs="Times New Roman"/>
              <w:sz w:val="24"/>
              <w:szCs w:val="24"/>
              <w:lang w:val="en-GB"/>
            </w:rPr>
          </w:pPr>
          <w:r w:rsidRPr="003132AA">
            <w:rPr>
              <w:rFonts w:ascii="Times New Roman" w:eastAsia="Times New Roman" w:hAnsi="Times New Roman" w:cs="Times New Roman"/>
              <w:i/>
              <w:iCs/>
              <w:sz w:val="20"/>
              <w:szCs w:val="20"/>
              <w:lang w:val="en-GB"/>
            </w:rPr>
            <w:t>Agenda item: 25</w:t>
          </w:r>
        </w:p>
        <w:p w14:paraId="0A82313B" w14:textId="77777777" w:rsidR="00982D14" w:rsidRPr="003132AA" w:rsidRDefault="00982D14" w:rsidP="003132AA">
          <w:pPr>
            <w:suppressAutoHyphens/>
            <w:autoSpaceDN w:val="0"/>
            <w:spacing w:after="0" w:line="276" w:lineRule="auto"/>
            <w:jc w:val="right"/>
            <w:textAlignment w:val="baseline"/>
            <w:rPr>
              <w:rFonts w:ascii="Times New Roman" w:eastAsia="Times New Roman" w:hAnsi="Times New Roman" w:cs="Times New Roman"/>
              <w:sz w:val="24"/>
              <w:szCs w:val="24"/>
            </w:rPr>
          </w:pPr>
          <w:r w:rsidRPr="003132AA">
            <w:rPr>
              <w:rFonts w:ascii="Times New Roman" w:eastAsia="Times New Roman" w:hAnsi="Times New Roman" w:cs="Times New Roman"/>
              <w:i/>
              <w:iCs/>
              <w:sz w:val="20"/>
              <w:szCs w:val="20"/>
            </w:rPr>
            <w:t xml:space="preserve">Original: </w:t>
          </w:r>
          <w:r w:rsidRPr="003132AA">
            <w:rPr>
              <w:rFonts w:ascii="Times New Roman" w:eastAsia="Times New Roman" w:hAnsi="Times New Roman" w:cs="Times New Roman"/>
              <w:bCs/>
              <w:i/>
              <w:iCs/>
              <w:sz w:val="20"/>
              <w:szCs w:val="20"/>
            </w:rPr>
            <w:t>English</w:t>
          </w:r>
        </w:p>
        <w:p w14:paraId="3FA76074" w14:textId="0007FB23" w:rsidR="00982D14" w:rsidRPr="003132AA" w:rsidRDefault="007B3528" w:rsidP="003132AA">
          <w:pPr>
            <w:suppressAutoHyphens/>
            <w:autoSpaceDN w:val="0"/>
            <w:spacing w:after="0" w:line="276" w:lineRule="auto"/>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i/>
              <w:iCs/>
              <w:sz w:val="20"/>
              <w:szCs w:val="20"/>
            </w:rPr>
            <w:t>24</w:t>
          </w:r>
          <w:bookmarkStart w:id="0" w:name="_GoBack"/>
          <w:bookmarkEnd w:id="0"/>
          <w:r w:rsidR="00982D14" w:rsidRPr="003132AA">
            <w:rPr>
              <w:rFonts w:ascii="Times New Roman" w:eastAsia="Times New Roman" w:hAnsi="Times New Roman" w:cs="Times New Roman"/>
              <w:i/>
              <w:iCs/>
              <w:sz w:val="20"/>
              <w:szCs w:val="20"/>
            </w:rPr>
            <w:t xml:space="preserve"> </w:t>
          </w:r>
          <w:r w:rsidR="00982D14">
            <w:rPr>
              <w:rFonts w:ascii="Times New Roman" w:eastAsia="Times New Roman" w:hAnsi="Times New Roman" w:cs="Times New Roman"/>
              <w:i/>
              <w:iCs/>
              <w:sz w:val="20"/>
              <w:szCs w:val="20"/>
            </w:rPr>
            <w:t>October</w:t>
          </w:r>
          <w:r w:rsidR="00982D14" w:rsidRPr="003132AA">
            <w:rPr>
              <w:rFonts w:ascii="Times New Roman" w:eastAsia="Times New Roman" w:hAnsi="Times New Roman" w:cs="Times New Roman"/>
              <w:i/>
              <w:iCs/>
              <w:sz w:val="20"/>
              <w:szCs w:val="20"/>
            </w:rPr>
            <w:t xml:space="preserve"> 2018</w:t>
          </w:r>
        </w:p>
      </w:tc>
    </w:tr>
    <w:tr w:rsidR="00982D14" w:rsidRPr="003132AA" w14:paraId="2909F02F" w14:textId="77777777" w:rsidTr="007E1315">
      <w:tc>
        <w:tcPr>
          <w:tcW w:w="9673" w:type="dxa"/>
          <w:gridSpan w:val="3"/>
          <w:shd w:val="clear" w:color="auto" w:fill="auto"/>
          <w:tcMar>
            <w:top w:w="0" w:type="dxa"/>
            <w:left w:w="108" w:type="dxa"/>
            <w:bottom w:w="0" w:type="dxa"/>
            <w:right w:w="108" w:type="dxa"/>
          </w:tcMar>
        </w:tcPr>
        <w:p w14:paraId="1D794A83" w14:textId="77777777" w:rsidR="00982D14" w:rsidRPr="003132AA" w:rsidRDefault="00982D14" w:rsidP="003132AA">
          <w:pPr>
            <w:suppressAutoHyphens/>
            <w:autoSpaceDN w:val="0"/>
            <w:spacing w:after="0" w:line="240" w:lineRule="auto"/>
            <w:jc w:val="center"/>
            <w:textAlignment w:val="baseline"/>
            <w:rPr>
              <w:rFonts w:ascii="Times New Roman" w:eastAsia="Times New Roman" w:hAnsi="Times New Roman" w:cs="Times New Roman"/>
              <w:sz w:val="24"/>
              <w:szCs w:val="24"/>
            </w:rPr>
          </w:pPr>
          <w:r w:rsidRPr="003132AA">
            <w:rPr>
              <w:rFonts w:ascii="Times New Roman" w:eastAsia="Times New Roman" w:hAnsi="Times New Roman" w:cs="Times New Roman"/>
              <w:b/>
              <w:bCs/>
              <w:sz w:val="26"/>
              <w:szCs w:val="26"/>
            </w:rPr>
            <w:t>7</w:t>
          </w:r>
          <w:r w:rsidRPr="003132AA">
            <w:rPr>
              <w:rFonts w:ascii="Times New Roman" w:eastAsia="Times New Roman" w:hAnsi="Times New Roman" w:cs="Times New Roman"/>
              <w:b/>
              <w:bCs/>
              <w:sz w:val="26"/>
              <w:szCs w:val="26"/>
              <w:vertAlign w:val="superscript"/>
            </w:rPr>
            <w:t>th</w:t>
          </w:r>
          <w:r w:rsidRPr="003132AA">
            <w:rPr>
              <w:rFonts w:ascii="Times New Roman" w:eastAsia="Times New Roman" w:hAnsi="Times New Roman" w:cs="Times New Roman"/>
              <w:b/>
              <w:bCs/>
              <w:sz w:val="26"/>
              <w:szCs w:val="26"/>
            </w:rPr>
            <w:t xml:space="preserve"> </w:t>
          </w:r>
          <w:r w:rsidRPr="003132AA">
            <w:rPr>
              <w:rFonts w:ascii="Times New Roman" w:eastAsia="Times New Roman" w:hAnsi="Times New Roman" w:cs="Times New Roman"/>
              <w:b/>
              <w:bCs/>
              <w:caps/>
              <w:sz w:val="26"/>
              <w:szCs w:val="26"/>
              <w:lang w:val="en-GB"/>
            </w:rPr>
            <w:t>Session of the Meeting of the Parties</w:t>
          </w:r>
        </w:p>
        <w:p w14:paraId="512C3C16" w14:textId="2EB7AE59" w:rsidR="00982D14" w:rsidRPr="003132AA" w:rsidRDefault="008272BE" w:rsidP="003132AA">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w:t>
          </w:r>
          <w:r w:rsidR="00982D14" w:rsidRPr="003132AA">
            <w:rPr>
              <w:rFonts w:ascii="Times New Roman" w:eastAsia="Times New Roman" w:hAnsi="Times New Roman" w:cs="Times New Roman"/>
              <w:i/>
              <w:iCs/>
              <w:sz w:val="24"/>
              <w:szCs w:val="24"/>
            </w:rPr>
            <w:t>4-</w:t>
          </w:r>
          <w:r>
            <w:rPr>
              <w:rFonts w:ascii="Times New Roman" w:eastAsia="Times New Roman" w:hAnsi="Times New Roman" w:cs="Times New Roman"/>
              <w:i/>
              <w:iCs/>
              <w:sz w:val="24"/>
              <w:szCs w:val="24"/>
            </w:rPr>
            <w:t>08</w:t>
          </w:r>
          <w:r w:rsidR="00982D14" w:rsidRPr="003132AA">
            <w:rPr>
              <w:rFonts w:ascii="Times New Roman" w:eastAsia="Times New Roman" w:hAnsi="Times New Roman" w:cs="Times New Roman"/>
              <w:i/>
              <w:iCs/>
              <w:sz w:val="24"/>
              <w:szCs w:val="24"/>
            </w:rPr>
            <w:t xml:space="preserve">  December 2018, Durban, South Africa</w:t>
          </w:r>
        </w:p>
      </w:tc>
    </w:tr>
    <w:tr w:rsidR="00982D14" w:rsidRPr="003132AA" w14:paraId="030B9486" w14:textId="77777777" w:rsidTr="007E1315">
      <w:trPr>
        <w:trHeight w:val="702"/>
      </w:trPr>
      <w:tc>
        <w:tcPr>
          <w:tcW w:w="9673" w:type="dxa"/>
          <w:gridSpan w:val="3"/>
          <w:tcBorders>
            <w:bottom w:val="single" w:sz="8" w:space="0" w:color="000000"/>
          </w:tcBorders>
          <w:shd w:val="clear" w:color="auto" w:fill="auto"/>
          <w:tcMar>
            <w:top w:w="0" w:type="dxa"/>
            <w:left w:w="108" w:type="dxa"/>
            <w:bottom w:w="0" w:type="dxa"/>
            <w:right w:w="108" w:type="dxa"/>
          </w:tcMar>
          <w:vAlign w:val="center"/>
        </w:tcPr>
        <w:p w14:paraId="7D500CE4" w14:textId="77777777" w:rsidR="00982D14" w:rsidRPr="003132AA" w:rsidRDefault="00982D14" w:rsidP="003132AA">
          <w:pPr>
            <w:suppressAutoHyphens/>
            <w:autoSpaceDN w:val="0"/>
            <w:spacing w:after="0" w:line="240" w:lineRule="auto"/>
            <w:jc w:val="center"/>
            <w:textAlignment w:val="baseline"/>
            <w:rPr>
              <w:rFonts w:ascii="Times New Roman" w:eastAsia="Times New Roman" w:hAnsi="Times New Roman" w:cs="Times New Roman"/>
              <w:i/>
              <w:sz w:val="24"/>
              <w:szCs w:val="24"/>
            </w:rPr>
          </w:pPr>
          <w:r w:rsidRPr="003132AA">
            <w:rPr>
              <w:rFonts w:ascii="Times New Roman" w:eastAsia="Times New Roman" w:hAnsi="Times New Roman" w:cs="Times New Roman"/>
              <w:i/>
              <w:sz w:val="24"/>
              <w:szCs w:val="24"/>
            </w:rPr>
            <w:t>“Beyond 2020: Shaping flyway conservation for the future”</w:t>
          </w:r>
        </w:p>
      </w:tc>
    </w:tr>
  </w:tbl>
  <w:p w14:paraId="6E4D785F" w14:textId="77777777" w:rsidR="00982D14" w:rsidRPr="00895AC7" w:rsidRDefault="00982D14" w:rsidP="00895A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198F5" w14:textId="77777777" w:rsidR="008272BE" w:rsidRDefault="008272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A0C29" w14:textId="77777777" w:rsidR="003132AA" w:rsidRPr="00895AC7" w:rsidRDefault="003132AA" w:rsidP="00895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32C"/>
    <w:multiLevelType w:val="hybridMultilevel"/>
    <w:tmpl w:val="D62E2AD0"/>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E621A"/>
    <w:multiLevelType w:val="hybridMultilevel"/>
    <w:tmpl w:val="2F44D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E20C6"/>
    <w:multiLevelType w:val="hybridMultilevel"/>
    <w:tmpl w:val="048CC306"/>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A22BA"/>
    <w:multiLevelType w:val="hybridMultilevel"/>
    <w:tmpl w:val="A3BAC40C"/>
    <w:lvl w:ilvl="0" w:tplc="E0A84A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E6786"/>
    <w:multiLevelType w:val="hybridMultilevel"/>
    <w:tmpl w:val="8A1252C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F5735C"/>
    <w:multiLevelType w:val="hybridMultilevel"/>
    <w:tmpl w:val="37147ACA"/>
    <w:lvl w:ilvl="0" w:tplc="06E01B1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9C5BD0"/>
    <w:multiLevelType w:val="hybridMultilevel"/>
    <w:tmpl w:val="7550E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B7C51"/>
    <w:multiLevelType w:val="hybridMultilevel"/>
    <w:tmpl w:val="DE8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17E92"/>
    <w:multiLevelType w:val="hybridMultilevel"/>
    <w:tmpl w:val="46467F74"/>
    <w:lvl w:ilvl="0" w:tplc="785E4B1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43E907C5"/>
    <w:multiLevelType w:val="hybridMultilevel"/>
    <w:tmpl w:val="0F48B380"/>
    <w:lvl w:ilvl="0" w:tplc="AECA01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6C7EFA"/>
    <w:multiLevelType w:val="hybridMultilevel"/>
    <w:tmpl w:val="5D4A5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5E644C"/>
    <w:multiLevelType w:val="hybridMultilevel"/>
    <w:tmpl w:val="1002822A"/>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07046"/>
    <w:multiLevelType w:val="hybridMultilevel"/>
    <w:tmpl w:val="37147ACA"/>
    <w:lvl w:ilvl="0" w:tplc="06E01B1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52A59"/>
    <w:multiLevelType w:val="hybridMultilevel"/>
    <w:tmpl w:val="5088D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B2115E"/>
    <w:multiLevelType w:val="hybridMultilevel"/>
    <w:tmpl w:val="131C62AE"/>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89043E"/>
    <w:multiLevelType w:val="hybridMultilevel"/>
    <w:tmpl w:val="E2B495A6"/>
    <w:lvl w:ilvl="0" w:tplc="04090017">
      <w:start w:val="1"/>
      <w:numFmt w:val="lowerLetter"/>
      <w:lvlText w:val="%1)"/>
      <w:lvlJc w:val="left"/>
      <w:pPr>
        <w:ind w:left="1104" w:hanging="360"/>
      </w:p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6" w15:restartNumberingAfterBreak="0">
    <w:nsid w:val="627279B4"/>
    <w:multiLevelType w:val="hybridMultilevel"/>
    <w:tmpl w:val="1AC0AE4C"/>
    <w:lvl w:ilvl="0" w:tplc="C9F69E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532D88"/>
    <w:multiLevelType w:val="hybridMultilevel"/>
    <w:tmpl w:val="BFA6D1B8"/>
    <w:lvl w:ilvl="0" w:tplc="04090017">
      <w:start w:val="1"/>
      <w:numFmt w:val="lowerLetter"/>
      <w:lvlText w:val="%1)"/>
      <w:lvlJc w:val="left"/>
      <w:pPr>
        <w:ind w:left="1104" w:hanging="360"/>
      </w:p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8" w15:restartNumberingAfterBreak="0">
    <w:nsid w:val="75807EAB"/>
    <w:multiLevelType w:val="hybridMultilevel"/>
    <w:tmpl w:val="6302D694"/>
    <w:lvl w:ilvl="0" w:tplc="972864A8">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
  </w:num>
  <w:num w:numId="4">
    <w:abstractNumId w:val="7"/>
  </w:num>
  <w:num w:numId="5">
    <w:abstractNumId w:val="13"/>
  </w:num>
  <w:num w:numId="6">
    <w:abstractNumId w:val="8"/>
  </w:num>
  <w:num w:numId="7">
    <w:abstractNumId w:val="9"/>
  </w:num>
  <w:num w:numId="8">
    <w:abstractNumId w:val="14"/>
  </w:num>
  <w:num w:numId="9">
    <w:abstractNumId w:val="11"/>
  </w:num>
  <w:num w:numId="10">
    <w:abstractNumId w:val="2"/>
  </w:num>
  <w:num w:numId="11">
    <w:abstractNumId w:val="10"/>
  </w:num>
  <w:num w:numId="12">
    <w:abstractNumId w:val="6"/>
  </w:num>
  <w:num w:numId="13">
    <w:abstractNumId w:val="5"/>
  </w:num>
  <w:num w:numId="14">
    <w:abstractNumId w:val="18"/>
  </w:num>
  <w:num w:numId="15">
    <w:abstractNumId w:val="17"/>
  </w:num>
  <w:num w:numId="16">
    <w:abstractNumId w:val="15"/>
  </w:num>
  <w:num w:numId="17">
    <w:abstractNumId w:val="4"/>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25"/>
    <w:rsid w:val="000026A8"/>
    <w:rsid w:val="000076FF"/>
    <w:rsid w:val="00007C7F"/>
    <w:rsid w:val="000123D0"/>
    <w:rsid w:val="00012D31"/>
    <w:rsid w:val="00012F07"/>
    <w:rsid w:val="000137ED"/>
    <w:rsid w:val="00017B3A"/>
    <w:rsid w:val="00026D35"/>
    <w:rsid w:val="000316EC"/>
    <w:rsid w:val="00033BFD"/>
    <w:rsid w:val="0004586D"/>
    <w:rsid w:val="000522D3"/>
    <w:rsid w:val="000578CB"/>
    <w:rsid w:val="0005794A"/>
    <w:rsid w:val="00063BF3"/>
    <w:rsid w:val="0006682C"/>
    <w:rsid w:val="000755BB"/>
    <w:rsid w:val="00085A15"/>
    <w:rsid w:val="0009007F"/>
    <w:rsid w:val="000B268A"/>
    <w:rsid w:val="000B2CE9"/>
    <w:rsid w:val="000C25A2"/>
    <w:rsid w:val="000C5BF2"/>
    <w:rsid w:val="000C7CE4"/>
    <w:rsid w:val="000E3139"/>
    <w:rsid w:val="000E6574"/>
    <w:rsid w:val="000F32E2"/>
    <w:rsid w:val="000F6760"/>
    <w:rsid w:val="001030E3"/>
    <w:rsid w:val="00104DCF"/>
    <w:rsid w:val="00104EB2"/>
    <w:rsid w:val="00114C1A"/>
    <w:rsid w:val="001306FA"/>
    <w:rsid w:val="00142482"/>
    <w:rsid w:val="00145FAA"/>
    <w:rsid w:val="00152AE4"/>
    <w:rsid w:val="001648A1"/>
    <w:rsid w:val="00173FF4"/>
    <w:rsid w:val="001916B1"/>
    <w:rsid w:val="0019439E"/>
    <w:rsid w:val="001B40C6"/>
    <w:rsid w:val="001B4204"/>
    <w:rsid w:val="001B50F4"/>
    <w:rsid w:val="001C40C7"/>
    <w:rsid w:val="001D0094"/>
    <w:rsid w:val="001D0DA3"/>
    <w:rsid w:val="001D5F14"/>
    <w:rsid w:val="001E0F6B"/>
    <w:rsid w:val="001E79BB"/>
    <w:rsid w:val="001F3D27"/>
    <w:rsid w:val="001F6595"/>
    <w:rsid w:val="002023BB"/>
    <w:rsid w:val="00203651"/>
    <w:rsid w:val="00213B08"/>
    <w:rsid w:val="00213B0D"/>
    <w:rsid w:val="0021448B"/>
    <w:rsid w:val="002152FD"/>
    <w:rsid w:val="00216C94"/>
    <w:rsid w:val="0022291A"/>
    <w:rsid w:val="00240E13"/>
    <w:rsid w:val="0024151C"/>
    <w:rsid w:val="0024346E"/>
    <w:rsid w:val="002569A1"/>
    <w:rsid w:val="00262D5E"/>
    <w:rsid w:val="002703A2"/>
    <w:rsid w:val="002748A0"/>
    <w:rsid w:val="002833F9"/>
    <w:rsid w:val="00284E47"/>
    <w:rsid w:val="00290B3B"/>
    <w:rsid w:val="002930C6"/>
    <w:rsid w:val="0029547F"/>
    <w:rsid w:val="002B0EF2"/>
    <w:rsid w:val="002B308F"/>
    <w:rsid w:val="002C2BA4"/>
    <w:rsid w:val="002C41AC"/>
    <w:rsid w:val="002C56D3"/>
    <w:rsid w:val="002D6585"/>
    <w:rsid w:val="002E1082"/>
    <w:rsid w:val="002E1C12"/>
    <w:rsid w:val="002E3D10"/>
    <w:rsid w:val="002E462F"/>
    <w:rsid w:val="002E795E"/>
    <w:rsid w:val="002F03AE"/>
    <w:rsid w:val="002F2B6B"/>
    <w:rsid w:val="003132AA"/>
    <w:rsid w:val="003147F0"/>
    <w:rsid w:val="00317573"/>
    <w:rsid w:val="003278A5"/>
    <w:rsid w:val="00330438"/>
    <w:rsid w:val="00337896"/>
    <w:rsid w:val="0034096D"/>
    <w:rsid w:val="003422CA"/>
    <w:rsid w:val="003453F2"/>
    <w:rsid w:val="00355A86"/>
    <w:rsid w:val="0036512E"/>
    <w:rsid w:val="00373394"/>
    <w:rsid w:val="00375100"/>
    <w:rsid w:val="00375A03"/>
    <w:rsid w:val="00394568"/>
    <w:rsid w:val="0039593B"/>
    <w:rsid w:val="003A702F"/>
    <w:rsid w:val="003B3E89"/>
    <w:rsid w:val="003B48F4"/>
    <w:rsid w:val="003C20CC"/>
    <w:rsid w:val="003C5EEA"/>
    <w:rsid w:val="003D4CC7"/>
    <w:rsid w:val="003F3B0E"/>
    <w:rsid w:val="003F3DD6"/>
    <w:rsid w:val="003F3ED8"/>
    <w:rsid w:val="00400D0E"/>
    <w:rsid w:val="00404142"/>
    <w:rsid w:val="00404F43"/>
    <w:rsid w:val="004054F2"/>
    <w:rsid w:val="00406F03"/>
    <w:rsid w:val="004161FB"/>
    <w:rsid w:val="00421774"/>
    <w:rsid w:val="00431D3C"/>
    <w:rsid w:val="00440371"/>
    <w:rsid w:val="00457C56"/>
    <w:rsid w:val="004647DE"/>
    <w:rsid w:val="0047288D"/>
    <w:rsid w:val="00480011"/>
    <w:rsid w:val="004840EA"/>
    <w:rsid w:val="0048519D"/>
    <w:rsid w:val="004914A3"/>
    <w:rsid w:val="00494D21"/>
    <w:rsid w:val="004960AE"/>
    <w:rsid w:val="004A21AD"/>
    <w:rsid w:val="004B153A"/>
    <w:rsid w:val="004B4173"/>
    <w:rsid w:val="004C0486"/>
    <w:rsid w:val="004C1964"/>
    <w:rsid w:val="004D07D0"/>
    <w:rsid w:val="004D28C0"/>
    <w:rsid w:val="004D7342"/>
    <w:rsid w:val="004E0D4E"/>
    <w:rsid w:val="004E7BDB"/>
    <w:rsid w:val="004F4705"/>
    <w:rsid w:val="00522C38"/>
    <w:rsid w:val="00532614"/>
    <w:rsid w:val="00532831"/>
    <w:rsid w:val="00535056"/>
    <w:rsid w:val="00535D34"/>
    <w:rsid w:val="005437D5"/>
    <w:rsid w:val="0054787C"/>
    <w:rsid w:val="005562EE"/>
    <w:rsid w:val="00563817"/>
    <w:rsid w:val="0057399A"/>
    <w:rsid w:val="00575089"/>
    <w:rsid w:val="00580FEA"/>
    <w:rsid w:val="00582208"/>
    <w:rsid w:val="00583F37"/>
    <w:rsid w:val="005851C1"/>
    <w:rsid w:val="00590C03"/>
    <w:rsid w:val="005A235F"/>
    <w:rsid w:val="005A74F8"/>
    <w:rsid w:val="005C4ADF"/>
    <w:rsid w:val="005F77D0"/>
    <w:rsid w:val="00601FFF"/>
    <w:rsid w:val="006023EE"/>
    <w:rsid w:val="00607922"/>
    <w:rsid w:val="006201DE"/>
    <w:rsid w:val="006251DA"/>
    <w:rsid w:val="00625E2C"/>
    <w:rsid w:val="0063481C"/>
    <w:rsid w:val="00640379"/>
    <w:rsid w:val="00640A28"/>
    <w:rsid w:val="00641927"/>
    <w:rsid w:val="0065486F"/>
    <w:rsid w:val="00654ADB"/>
    <w:rsid w:val="00660FFA"/>
    <w:rsid w:val="00662D2A"/>
    <w:rsid w:val="00671B10"/>
    <w:rsid w:val="00690BEB"/>
    <w:rsid w:val="00693E21"/>
    <w:rsid w:val="006942FF"/>
    <w:rsid w:val="006A1824"/>
    <w:rsid w:val="006B03CC"/>
    <w:rsid w:val="006B4AE4"/>
    <w:rsid w:val="006B7288"/>
    <w:rsid w:val="006C57BB"/>
    <w:rsid w:val="006D3B22"/>
    <w:rsid w:val="006E02EB"/>
    <w:rsid w:val="006E5E36"/>
    <w:rsid w:val="006E6712"/>
    <w:rsid w:val="006F20FC"/>
    <w:rsid w:val="006F5659"/>
    <w:rsid w:val="006F7D0F"/>
    <w:rsid w:val="00700F89"/>
    <w:rsid w:val="00701393"/>
    <w:rsid w:val="00703EF3"/>
    <w:rsid w:val="00710698"/>
    <w:rsid w:val="00715571"/>
    <w:rsid w:val="007156A8"/>
    <w:rsid w:val="0072013D"/>
    <w:rsid w:val="007317B5"/>
    <w:rsid w:val="00734A7D"/>
    <w:rsid w:val="00754792"/>
    <w:rsid w:val="007568BE"/>
    <w:rsid w:val="0076223B"/>
    <w:rsid w:val="0077702F"/>
    <w:rsid w:val="00781A1C"/>
    <w:rsid w:val="00786262"/>
    <w:rsid w:val="00793E23"/>
    <w:rsid w:val="007A2FCF"/>
    <w:rsid w:val="007A39F7"/>
    <w:rsid w:val="007B3528"/>
    <w:rsid w:val="007C161C"/>
    <w:rsid w:val="007D02BE"/>
    <w:rsid w:val="007E1315"/>
    <w:rsid w:val="007F01DA"/>
    <w:rsid w:val="007F245E"/>
    <w:rsid w:val="008039BF"/>
    <w:rsid w:val="008057B2"/>
    <w:rsid w:val="00811AC9"/>
    <w:rsid w:val="00816B29"/>
    <w:rsid w:val="00822BA5"/>
    <w:rsid w:val="00825D88"/>
    <w:rsid w:val="008272BE"/>
    <w:rsid w:val="0083496C"/>
    <w:rsid w:val="0084710F"/>
    <w:rsid w:val="00851E1E"/>
    <w:rsid w:val="00854A25"/>
    <w:rsid w:val="008607EF"/>
    <w:rsid w:val="00875B3C"/>
    <w:rsid w:val="0088698A"/>
    <w:rsid w:val="00895AC7"/>
    <w:rsid w:val="008A05DE"/>
    <w:rsid w:val="008A46D9"/>
    <w:rsid w:val="008A7D1A"/>
    <w:rsid w:val="008B658B"/>
    <w:rsid w:val="008D5FF7"/>
    <w:rsid w:val="008E0D68"/>
    <w:rsid w:val="008E1938"/>
    <w:rsid w:val="008F1F54"/>
    <w:rsid w:val="008F6E65"/>
    <w:rsid w:val="00901368"/>
    <w:rsid w:val="00901E5B"/>
    <w:rsid w:val="009041FF"/>
    <w:rsid w:val="009166BA"/>
    <w:rsid w:val="00923509"/>
    <w:rsid w:val="009237B5"/>
    <w:rsid w:val="00934761"/>
    <w:rsid w:val="00941070"/>
    <w:rsid w:val="0095248B"/>
    <w:rsid w:val="0095281D"/>
    <w:rsid w:val="009569B3"/>
    <w:rsid w:val="009611AD"/>
    <w:rsid w:val="0096749B"/>
    <w:rsid w:val="00974601"/>
    <w:rsid w:val="00976E6F"/>
    <w:rsid w:val="00982D14"/>
    <w:rsid w:val="009835FF"/>
    <w:rsid w:val="00987423"/>
    <w:rsid w:val="009B1E2E"/>
    <w:rsid w:val="009B5D77"/>
    <w:rsid w:val="009C0BC4"/>
    <w:rsid w:val="009D65E8"/>
    <w:rsid w:val="009E2673"/>
    <w:rsid w:val="009E2AA5"/>
    <w:rsid w:val="009F2BA9"/>
    <w:rsid w:val="00A03259"/>
    <w:rsid w:val="00A04352"/>
    <w:rsid w:val="00A04358"/>
    <w:rsid w:val="00A04FE2"/>
    <w:rsid w:val="00A1241E"/>
    <w:rsid w:val="00A22C5C"/>
    <w:rsid w:val="00A33181"/>
    <w:rsid w:val="00A35BAE"/>
    <w:rsid w:val="00A54267"/>
    <w:rsid w:val="00A56408"/>
    <w:rsid w:val="00A57F62"/>
    <w:rsid w:val="00A64182"/>
    <w:rsid w:val="00A80991"/>
    <w:rsid w:val="00A90371"/>
    <w:rsid w:val="00A925FB"/>
    <w:rsid w:val="00AC233A"/>
    <w:rsid w:val="00AD2E14"/>
    <w:rsid w:val="00AD56E2"/>
    <w:rsid w:val="00AD6A72"/>
    <w:rsid w:val="00AD767E"/>
    <w:rsid w:val="00AE1ABD"/>
    <w:rsid w:val="00AE26E0"/>
    <w:rsid w:val="00AE5306"/>
    <w:rsid w:val="00AE6A86"/>
    <w:rsid w:val="00AE756A"/>
    <w:rsid w:val="00AF1775"/>
    <w:rsid w:val="00AF48C7"/>
    <w:rsid w:val="00AF5BD8"/>
    <w:rsid w:val="00AF6AF0"/>
    <w:rsid w:val="00B02001"/>
    <w:rsid w:val="00B02111"/>
    <w:rsid w:val="00B10288"/>
    <w:rsid w:val="00B22052"/>
    <w:rsid w:val="00B220B8"/>
    <w:rsid w:val="00B22557"/>
    <w:rsid w:val="00B31BE8"/>
    <w:rsid w:val="00B3374A"/>
    <w:rsid w:val="00B3637E"/>
    <w:rsid w:val="00B52F59"/>
    <w:rsid w:val="00B619B7"/>
    <w:rsid w:val="00B63DC6"/>
    <w:rsid w:val="00B65191"/>
    <w:rsid w:val="00B72DDF"/>
    <w:rsid w:val="00B735F6"/>
    <w:rsid w:val="00B75211"/>
    <w:rsid w:val="00B81380"/>
    <w:rsid w:val="00B87267"/>
    <w:rsid w:val="00B93991"/>
    <w:rsid w:val="00B97114"/>
    <w:rsid w:val="00BA1EFB"/>
    <w:rsid w:val="00BB2FEF"/>
    <w:rsid w:val="00BC2AE0"/>
    <w:rsid w:val="00BC31C5"/>
    <w:rsid w:val="00BC65C6"/>
    <w:rsid w:val="00BD4022"/>
    <w:rsid w:val="00BF2FA4"/>
    <w:rsid w:val="00C00802"/>
    <w:rsid w:val="00C04031"/>
    <w:rsid w:val="00C05C6A"/>
    <w:rsid w:val="00C07A8F"/>
    <w:rsid w:val="00C1705B"/>
    <w:rsid w:val="00C179C4"/>
    <w:rsid w:val="00C264CA"/>
    <w:rsid w:val="00C26891"/>
    <w:rsid w:val="00C60480"/>
    <w:rsid w:val="00C62DE2"/>
    <w:rsid w:val="00C64918"/>
    <w:rsid w:val="00C670A8"/>
    <w:rsid w:val="00C7071B"/>
    <w:rsid w:val="00C72155"/>
    <w:rsid w:val="00C8108A"/>
    <w:rsid w:val="00C84A1B"/>
    <w:rsid w:val="00C8516C"/>
    <w:rsid w:val="00C92FA2"/>
    <w:rsid w:val="00CA074F"/>
    <w:rsid w:val="00CA0BD0"/>
    <w:rsid w:val="00CB2355"/>
    <w:rsid w:val="00CB7FB9"/>
    <w:rsid w:val="00CC53BA"/>
    <w:rsid w:val="00CC6736"/>
    <w:rsid w:val="00CC6BF5"/>
    <w:rsid w:val="00CE19F6"/>
    <w:rsid w:val="00CF238C"/>
    <w:rsid w:val="00D0091E"/>
    <w:rsid w:val="00D10EE8"/>
    <w:rsid w:val="00D20D07"/>
    <w:rsid w:val="00D31698"/>
    <w:rsid w:val="00D348B8"/>
    <w:rsid w:val="00D34BEC"/>
    <w:rsid w:val="00D368AB"/>
    <w:rsid w:val="00D378B7"/>
    <w:rsid w:val="00D45A3B"/>
    <w:rsid w:val="00D51DF9"/>
    <w:rsid w:val="00D52D1B"/>
    <w:rsid w:val="00D65B26"/>
    <w:rsid w:val="00D770BB"/>
    <w:rsid w:val="00D77CC1"/>
    <w:rsid w:val="00D80CC2"/>
    <w:rsid w:val="00D8137C"/>
    <w:rsid w:val="00D91A33"/>
    <w:rsid w:val="00D91F1E"/>
    <w:rsid w:val="00D97758"/>
    <w:rsid w:val="00DA2150"/>
    <w:rsid w:val="00DA32EC"/>
    <w:rsid w:val="00DB0A37"/>
    <w:rsid w:val="00DC1801"/>
    <w:rsid w:val="00DC6088"/>
    <w:rsid w:val="00DC69E2"/>
    <w:rsid w:val="00DD36EA"/>
    <w:rsid w:val="00DD7EDF"/>
    <w:rsid w:val="00DE25EF"/>
    <w:rsid w:val="00DE415F"/>
    <w:rsid w:val="00E0483A"/>
    <w:rsid w:val="00E0562E"/>
    <w:rsid w:val="00E062DC"/>
    <w:rsid w:val="00E06C53"/>
    <w:rsid w:val="00E1131E"/>
    <w:rsid w:val="00E16846"/>
    <w:rsid w:val="00E17014"/>
    <w:rsid w:val="00E22777"/>
    <w:rsid w:val="00E427AD"/>
    <w:rsid w:val="00E502E6"/>
    <w:rsid w:val="00E51C94"/>
    <w:rsid w:val="00E604E8"/>
    <w:rsid w:val="00E64E6B"/>
    <w:rsid w:val="00E71928"/>
    <w:rsid w:val="00E7714A"/>
    <w:rsid w:val="00E87E3B"/>
    <w:rsid w:val="00E91C84"/>
    <w:rsid w:val="00E933E6"/>
    <w:rsid w:val="00E93780"/>
    <w:rsid w:val="00E93BEA"/>
    <w:rsid w:val="00EA02D4"/>
    <w:rsid w:val="00EA0B40"/>
    <w:rsid w:val="00EB2EE1"/>
    <w:rsid w:val="00EC3EFB"/>
    <w:rsid w:val="00EC441F"/>
    <w:rsid w:val="00EC6177"/>
    <w:rsid w:val="00EE1BA4"/>
    <w:rsid w:val="00EE23BC"/>
    <w:rsid w:val="00EE3FF1"/>
    <w:rsid w:val="00EE5D58"/>
    <w:rsid w:val="00EF1659"/>
    <w:rsid w:val="00EF48CD"/>
    <w:rsid w:val="00F00F90"/>
    <w:rsid w:val="00F01409"/>
    <w:rsid w:val="00F15B3E"/>
    <w:rsid w:val="00F20245"/>
    <w:rsid w:val="00F20410"/>
    <w:rsid w:val="00F30094"/>
    <w:rsid w:val="00F30490"/>
    <w:rsid w:val="00F30AE0"/>
    <w:rsid w:val="00F43733"/>
    <w:rsid w:val="00F46548"/>
    <w:rsid w:val="00F46A71"/>
    <w:rsid w:val="00F5389D"/>
    <w:rsid w:val="00F6024D"/>
    <w:rsid w:val="00F665F7"/>
    <w:rsid w:val="00F6780D"/>
    <w:rsid w:val="00F7407A"/>
    <w:rsid w:val="00F809A3"/>
    <w:rsid w:val="00F81EE1"/>
    <w:rsid w:val="00F86B8B"/>
    <w:rsid w:val="00F94120"/>
    <w:rsid w:val="00F94340"/>
    <w:rsid w:val="00FA7DBE"/>
    <w:rsid w:val="00FC6423"/>
    <w:rsid w:val="00FD771A"/>
    <w:rsid w:val="00FE23DF"/>
    <w:rsid w:val="00FE479C"/>
    <w:rsid w:val="00FE6195"/>
    <w:rsid w:val="00FE74B9"/>
    <w:rsid w:val="00FF1A9D"/>
    <w:rsid w:val="00FF2E0C"/>
    <w:rsid w:val="00FF5253"/>
    <w:rsid w:val="00FF5462"/>
    <w:rsid w:val="00FF55AB"/>
    <w:rsid w:val="00FF5653"/>
    <w:rsid w:val="00FF6E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0E224D"/>
  <w15:docId w15:val="{4F653AC6-BA5C-4DE8-9FF7-975D39E9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3F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FF4"/>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3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9F7"/>
  </w:style>
  <w:style w:type="paragraph" w:styleId="Footer">
    <w:name w:val="footer"/>
    <w:basedOn w:val="Normal"/>
    <w:link w:val="FooterChar"/>
    <w:uiPriority w:val="99"/>
    <w:unhideWhenUsed/>
    <w:rsid w:val="007A3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9F7"/>
  </w:style>
  <w:style w:type="paragraph" w:styleId="BalloonText">
    <w:name w:val="Balloon Text"/>
    <w:basedOn w:val="Normal"/>
    <w:link w:val="BalloonTextChar"/>
    <w:uiPriority w:val="99"/>
    <w:semiHidden/>
    <w:unhideWhenUsed/>
    <w:rsid w:val="00AF5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BD8"/>
    <w:rPr>
      <w:rFonts w:ascii="Segoe UI" w:hAnsi="Segoe UI" w:cs="Segoe UI"/>
      <w:sz w:val="18"/>
      <w:szCs w:val="18"/>
    </w:rPr>
  </w:style>
  <w:style w:type="character" w:styleId="CommentReference">
    <w:name w:val="annotation reference"/>
    <w:basedOn w:val="DefaultParagraphFont"/>
    <w:uiPriority w:val="99"/>
    <w:semiHidden/>
    <w:unhideWhenUsed/>
    <w:rsid w:val="00580FEA"/>
    <w:rPr>
      <w:sz w:val="16"/>
      <w:szCs w:val="16"/>
    </w:rPr>
  </w:style>
  <w:style w:type="paragraph" w:styleId="CommentText">
    <w:name w:val="annotation text"/>
    <w:basedOn w:val="Normal"/>
    <w:link w:val="CommentTextChar"/>
    <w:uiPriority w:val="99"/>
    <w:semiHidden/>
    <w:unhideWhenUsed/>
    <w:rsid w:val="00580FEA"/>
    <w:pPr>
      <w:spacing w:line="240" w:lineRule="auto"/>
    </w:pPr>
    <w:rPr>
      <w:sz w:val="20"/>
      <w:szCs w:val="20"/>
    </w:rPr>
  </w:style>
  <w:style w:type="character" w:customStyle="1" w:styleId="CommentTextChar">
    <w:name w:val="Comment Text Char"/>
    <w:basedOn w:val="DefaultParagraphFont"/>
    <w:link w:val="CommentText"/>
    <w:uiPriority w:val="99"/>
    <w:semiHidden/>
    <w:rsid w:val="00580FEA"/>
    <w:rPr>
      <w:sz w:val="20"/>
      <w:szCs w:val="20"/>
    </w:rPr>
  </w:style>
  <w:style w:type="paragraph" w:styleId="CommentSubject">
    <w:name w:val="annotation subject"/>
    <w:basedOn w:val="CommentText"/>
    <w:next w:val="CommentText"/>
    <w:link w:val="CommentSubjectChar"/>
    <w:uiPriority w:val="99"/>
    <w:semiHidden/>
    <w:unhideWhenUsed/>
    <w:rsid w:val="00580FEA"/>
    <w:rPr>
      <w:b/>
      <w:bCs/>
    </w:rPr>
  </w:style>
  <w:style w:type="character" w:customStyle="1" w:styleId="CommentSubjectChar">
    <w:name w:val="Comment Subject Char"/>
    <w:basedOn w:val="CommentTextChar"/>
    <w:link w:val="CommentSubject"/>
    <w:uiPriority w:val="99"/>
    <w:semiHidden/>
    <w:rsid w:val="00580FEA"/>
    <w:rPr>
      <w:b/>
      <w:bCs/>
      <w:sz w:val="20"/>
      <w:szCs w:val="20"/>
    </w:rPr>
  </w:style>
  <w:style w:type="paragraph" w:styleId="Revision">
    <w:name w:val="Revision"/>
    <w:hidden/>
    <w:uiPriority w:val="99"/>
    <w:semiHidden/>
    <w:rsid w:val="002E1C12"/>
    <w:pPr>
      <w:spacing w:after="0" w:line="240" w:lineRule="auto"/>
    </w:pPr>
  </w:style>
  <w:style w:type="table" w:customStyle="1" w:styleId="TableGrid1">
    <w:name w:val="Table Grid1"/>
    <w:basedOn w:val="TableNormal"/>
    <w:next w:val="TableGrid"/>
    <w:uiPriority w:val="39"/>
    <w:rsid w:val="00CA0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2E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E14"/>
    <w:rPr>
      <w:sz w:val="20"/>
      <w:szCs w:val="20"/>
    </w:rPr>
  </w:style>
  <w:style w:type="character" w:styleId="FootnoteReference">
    <w:name w:val="footnote reference"/>
    <w:basedOn w:val="DefaultParagraphFont"/>
    <w:uiPriority w:val="99"/>
    <w:semiHidden/>
    <w:unhideWhenUsed/>
    <w:rsid w:val="00AD2E14"/>
    <w:rPr>
      <w:vertAlign w:val="superscript"/>
    </w:rPr>
  </w:style>
  <w:style w:type="character" w:styleId="Hyperlink">
    <w:name w:val="Hyperlink"/>
    <w:basedOn w:val="DefaultParagraphFont"/>
    <w:uiPriority w:val="99"/>
    <w:unhideWhenUsed/>
    <w:rsid w:val="00330438"/>
    <w:rPr>
      <w:color w:val="0563C1" w:themeColor="hyperlink"/>
      <w:u w:val="single"/>
    </w:rPr>
  </w:style>
  <w:style w:type="character" w:customStyle="1" w:styleId="UnresolvedMention1">
    <w:name w:val="Unresolved Mention1"/>
    <w:basedOn w:val="DefaultParagraphFont"/>
    <w:uiPriority w:val="99"/>
    <w:semiHidden/>
    <w:unhideWhenUsed/>
    <w:rsid w:val="003304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4371">
      <w:bodyDiv w:val="1"/>
      <w:marLeft w:val="0"/>
      <w:marRight w:val="0"/>
      <w:marTop w:val="0"/>
      <w:marBottom w:val="0"/>
      <w:divBdr>
        <w:top w:val="none" w:sz="0" w:space="0" w:color="auto"/>
        <w:left w:val="none" w:sz="0" w:space="0" w:color="auto"/>
        <w:bottom w:val="none" w:sz="0" w:space="0" w:color="auto"/>
        <w:right w:val="none" w:sz="0" w:space="0" w:color="auto"/>
      </w:divBdr>
    </w:div>
    <w:div w:id="404575455">
      <w:bodyDiv w:val="1"/>
      <w:marLeft w:val="0"/>
      <w:marRight w:val="0"/>
      <w:marTop w:val="0"/>
      <w:marBottom w:val="0"/>
      <w:divBdr>
        <w:top w:val="none" w:sz="0" w:space="0" w:color="auto"/>
        <w:left w:val="none" w:sz="0" w:space="0" w:color="auto"/>
        <w:bottom w:val="none" w:sz="0" w:space="0" w:color="auto"/>
        <w:right w:val="none" w:sz="0" w:space="0" w:color="auto"/>
      </w:divBdr>
    </w:div>
    <w:div w:id="864754848">
      <w:bodyDiv w:val="1"/>
      <w:marLeft w:val="0"/>
      <w:marRight w:val="0"/>
      <w:marTop w:val="0"/>
      <w:marBottom w:val="0"/>
      <w:divBdr>
        <w:top w:val="none" w:sz="0" w:space="0" w:color="auto"/>
        <w:left w:val="none" w:sz="0" w:space="0" w:color="auto"/>
        <w:bottom w:val="none" w:sz="0" w:space="0" w:color="auto"/>
        <w:right w:val="none" w:sz="0" w:space="0" w:color="auto"/>
      </w:divBdr>
    </w:div>
    <w:div w:id="955866765">
      <w:bodyDiv w:val="1"/>
      <w:marLeft w:val="0"/>
      <w:marRight w:val="0"/>
      <w:marTop w:val="0"/>
      <w:marBottom w:val="0"/>
      <w:divBdr>
        <w:top w:val="none" w:sz="0" w:space="0" w:color="auto"/>
        <w:left w:val="none" w:sz="0" w:space="0" w:color="auto"/>
        <w:bottom w:val="none" w:sz="0" w:space="0" w:color="auto"/>
        <w:right w:val="none" w:sz="0" w:space="0" w:color="auto"/>
      </w:divBdr>
    </w:div>
    <w:div w:id="1544977913">
      <w:bodyDiv w:val="1"/>
      <w:marLeft w:val="0"/>
      <w:marRight w:val="0"/>
      <w:marTop w:val="0"/>
      <w:marBottom w:val="0"/>
      <w:divBdr>
        <w:top w:val="none" w:sz="0" w:space="0" w:color="auto"/>
        <w:left w:val="none" w:sz="0" w:space="0" w:color="auto"/>
        <w:bottom w:val="none" w:sz="0" w:space="0" w:color="auto"/>
        <w:right w:val="none" w:sz="0" w:space="0" w:color="auto"/>
      </w:divBdr>
    </w:div>
    <w:div w:id="172375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un.org/en/ga/search/view_doc.asp?symbol=A/RES/70/24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FD61B-4670-4422-8C04-6B059369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Lehmann</dc:creator>
  <cp:lastModifiedBy>Jolanta Kremer</cp:lastModifiedBy>
  <cp:revision>4</cp:revision>
  <cp:lastPrinted>2018-09-05T10:44:00Z</cp:lastPrinted>
  <dcterms:created xsi:type="dcterms:W3CDTF">2018-10-24T09:24:00Z</dcterms:created>
  <dcterms:modified xsi:type="dcterms:W3CDTF">2018-10-24T11:35:00Z</dcterms:modified>
</cp:coreProperties>
</file>