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10" w:rsidRPr="00F66B6B" w:rsidRDefault="00671B10" w:rsidP="00313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F5653" w:rsidRPr="00F66B6B" w:rsidRDefault="00F66B6B" w:rsidP="00313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>BAR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È</w:t>
      </w: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ME DES </w:t>
      </w:r>
      <w:r w:rsidR="00B81380" w:rsidRPr="00F66B6B">
        <w:rPr>
          <w:rFonts w:ascii="Times New Roman" w:hAnsi="Times New Roman" w:cs="Times New Roman"/>
          <w:b/>
          <w:sz w:val="24"/>
          <w:szCs w:val="24"/>
          <w:lang w:val="fr-FR"/>
        </w:rPr>
        <w:t>CONTRIBUTIONS</w:t>
      </w:r>
      <w:r w:rsidR="00FF5653"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>POUR</w:t>
      </w:r>
      <w:r w:rsidR="00FF5653"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2019-2021</w:t>
      </w:r>
      <w:r w:rsidR="00D65B26"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EC6177" w:rsidRPr="00F66B6B" w:rsidRDefault="00EC6177" w:rsidP="00313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5AC7" w:rsidRPr="00F66B6B" w:rsidRDefault="00895AC7" w:rsidP="003132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FF5653" w:rsidRPr="00F66B6B" w:rsidRDefault="00FF5653" w:rsidP="00164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>Introduction</w:t>
      </w:r>
    </w:p>
    <w:p w:rsidR="001648A1" w:rsidRPr="00F66B6B" w:rsidRDefault="001648A1" w:rsidP="003132AA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lang w:val="fr-FR"/>
        </w:rPr>
      </w:pPr>
    </w:p>
    <w:p w:rsidR="009835FF" w:rsidRPr="00F66B6B" w:rsidRDefault="00F66B6B" w:rsidP="003132A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F66B6B">
        <w:rPr>
          <w:rFonts w:ascii="Times New Roman" w:hAnsi="Times New Roman" w:cs="Times New Roman"/>
          <w:lang w:val="fr-FR"/>
        </w:rPr>
        <w:t xml:space="preserve">Par la </w:t>
      </w:r>
      <w:r w:rsidR="00C04E66">
        <w:rPr>
          <w:rFonts w:ascii="Times New Roman" w:hAnsi="Times New Roman" w:cs="Times New Roman"/>
          <w:lang w:val="fr-FR"/>
        </w:rPr>
        <w:t>R</w:t>
      </w:r>
      <w:r w:rsidRPr="00F66B6B">
        <w:rPr>
          <w:rFonts w:ascii="Times New Roman" w:hAnsi="Times New Roman" w:cs="Times New Roman"/>
          <w:lang w:val="fr-FR"/>
        </w:rPr>
        <w:t>ésolution</w:t>
      </w:r>
      <w:r w:rsidR="009835FF" w:rsidRPr="00F66B6B">
        <w:rPr>
          <w:rFonts w:ascii="Times New Roman" w:hAnsi="Times New Roman" w:cs="Times New Roman"/>
          <w:lang w:val="fr-FR"/>
        </w:rPr>
        <w:t xml:space="preserve"> 6.18, </w:t>
      </w:r>
      <w:r>
        <w:rPr>
          <w:rFonts w:ascii="Times New Roman" w:hAnsi="Times New Roman" w:cs="Times New Roman"/>
          <w:lang w:val="fr-FR"/>
        </w:rPr>
        <w:t>le Secrétariat de l’Accord a été chargé d’élaborer une série de</w:t>
      </w:r>
      <w:r w:rsidR="009835FF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scénarios budgétaires afin qu’ils soient examinés par les</w:t>
      </w:r>
      <w:r w:rsidR="009835FF" w:rsidRPr="00F66B6B">
        <w:rPr>
          <w:rFonts w:ascii="Times New Roman" w:hAnsi="Times New Roman" w:cs="Times New Roman"/>
          <w:lang w:val="fr-FR"/>
        </w:rPr>
        <w:t xml:space="preserve"> Parties </w:t>
      </w:r>
      <w:r w:rsidR="00C04E66">
        <w:rPr>
          <w:rFonts w:ascii="Times New Roman" w:hAnsi="Times New Roman" w:cs="Times New Roman"/>
          <w:lang w:val="fr-FR"/>
        </w:rPr>
        <w:t>lors de</w:t>
      </w:r>
      <w:r>
        <w:rPr>
          <w:rFonts w:ascii="Times New Roman" w:hAnsi="Times New Roman" w:cs="Times New Roman"/>
          <w:lang w:val="fr-FR"/>
        </w:rPr>
        <w:t xml:space="preserve"> la</w:t>
      </w:r>
      <w:r w:rsidR="009835FF" w:rsidRPr="00F66B6B">
        <w:rPr>
          <w:rFonts w:ascii="Times New Roman" w:hAnsi="Times New Roman" w:cs="Times New Roman"/>
          <w:lang w:val="fr-FR"/>
        </w:rPr>
        <w:t xml:space="preserve"> 7</w:t>
      </w:r>
      <w:r w:rsidR="009E1AAF">
        <w:rPr>
          <w:rFonts w:ascii="Times New Roman" w:hAnsi="Times New Roman" w:cs="Times New Roman"/>
          <w:vertAlign w:val="superscript"/>
          <w:lang w:val="fr-FR"/>
        </w:rPr>
        <w:t>ème</w:t>
      </w:r>
      <w:r w:rsidR="009835FF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</w:t>
      </w:r>
      <w:r w:rsidR="009835FF" w:rsidRPr="00F66B6B">
        <w:rPr>
          <w:rFonts w:ascii="Times New Roman" w:hAnsi="Times New Roman" w:cs="Times New Roman"/>
          <w:lang w:val="fr-FR"/>
        </w:rPr>
        <w:t xml:space="preserve">ession </w:t>
      </w:r>
      <w:r>
        <w:rPr>
          <w:rFonts w:ascii="Times New Roman" w:hAnsi="Times New Roman" w:cs="Times New Roman"/>
          <w:lang w:val="fr-FR"/>
        </w:rPr>
        <w:t>de la Réunion des</w:t>
      </w:r>
      <w:r w:rsidR="009835FF" w:rsidRPr="00F66B6B">
        <w:rPr>
          <w:rFonts w:ascii="Times New Roman" w:hAnsi="Times New Roman" w:cs="Times New Roman"/>
          <w:lang w:val="fr-FR"/>
        </w:rPr>
        <w:t xml:space="preserve"> Parties</w:t>
      </w:r>
      <w:r>
        <w:rPr>
          <w:rFonts w:ascii="Times New Roman" w:hAnsi="Times New Roman" w:cs="Times New Roman"/>
          <w:lang w:val="fr-FR"/>
        </w:rPr>
        <w:t>, et de</w:t>
      </w:r>
      <w:r w:rsidR="009835FF" w:rsidRPr="00F66B6B">
        <w:rPr>
          <w:rFonts w:ascii="Times New Roman" w:hAnsi="Times New Roman" w:cs="Times New Roman"/>
          <w:lang w:val="fr-FR"/>
        </w:rPr>
        <w:t xml:space="preserve"> </w:t>
      </w:r>
      <w:r w:rsidR="009835FF" w:rsidRPr="00F66B6B">
        <w:rPr>
          <w:rFonts w:ascii="Times New Roman" w:hAnsi="Times New Roman" w:cs="Times New Roman"/>
          <w:b/>
          <w:lang w:val="fr-FR"/>
        </w:rPr>
        <w:t>d</w:t>
      </w:r>
      <w:r>
        <w:rPr>
          <w:rFonts w:ascii="Times New Roman" w:hAnsi="Times New Roman" w:cs="Times New Roman"/>
          <w:b/>
          <w:lang w:val="fr-FR"/>
        </w:rPr>
        <w:t>écrire toute différence</w:t>
      </w:r>
      <w:r w:rsidR="009835FF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entre </w:t>
      </w:r>
      <w:r w:rsidR="002B2AAD">
        <w:rPr>
          <w:rFonts w:ascii="Times New Roman" w:hAnsi="Times New Roman" w:cs="Times New Roman"/>
          <w:b/>
          <w:lang w:val="fr-FR"/>
        </w:rPr>
        <w:t>le</w:t>
      </w:r>
      <w:r>
        <w:rPr>
          <w:rFonts w:ascii="Times New Roman" w:hAnsi="Times New Roman" w:cs="Times New Roman"/>
          <w:b/>
          <w:lang w:val="fr-FR"/>
        </w:rPr>
        <w:t xml:space="preserve"> barème des </w:t>
      </w:r>
      <w:r w:rsidR="00F35A4D">
        <w:rPr>
          <w:rFonts w:ascii="Times New Roman" w:hAnsi="Times New Roman" w:cs="Times New Roman"/>
          <w:b/>
          <w:lang w:val="fr-FR"/>
        </w:rPr>
        <w:t>contributions</w:t>
      </w:r>
      <w:r>
        <w:rPr>
          <w:rFonts w:ascii="Times New Roman" w:hAnsi="Times New Roman" w:cs="Times New Roman"/>
          <w:b/>
          <w:lang w:val="fr-FR"/>
        </w:rPr>
        <w:t xml:space="preserve"> de l’ONU et le barème utilisé</w:t>
      </w:r>
      <w:r w:rsidR="009835FF" w:rsidRPr="00F66B6B">
        <w:rPr>
          <w:rFonts w:ascii="Times New Roman" w:hAnsi="Times New Roman" w:cs="Times New Roman"/>
          <w:b/>
          <w:lang w:val="fr-FR"/>
        </w:rPr>
        <w:t xml:space="preserve"> </w:t>
      </w:r>
      <w:r w:rsidR="00DB7E6B">
        <w:rPr>
          <w:rFonts w:ascii="Times New Roman" w:hAnsi="Times New Roman" w:cs="Times New Roman"/>
          <w:b/>
          <w:lang w:val="fr-FR"/>
        </w:rPr>
        <w:t>pour déterminer les</w:t>
      </w:r>
      <w:r w:rsidR="00B735F6" w:rsidRPr="00F66B6B">
        <w:rPr>
          <w:rFonts w:ascii="Times New Roman" w:hAnsi="Times New Roman" w:cs="Times New Roman"/>
          <w:b/>
          <w:lang w:val="fr-FR"/>
        </w:rPr>
        <w:t xml:space="preserve"> </w:t>
      </w:r>
      <w:r w:rsidR="009835FF" w:rsidRPr="00F66B6B">
        <w:rPr>
          <w:rFonts w:ascii="Times New Roman" w:hAnsi="Times New Roman" w:cs="Times New Roman"/>
          <w:b/>
          <w:lang w:val="fr-FR"/>
        </w:rPr>
        <w:t>contributions</w:t>
      </w:r>
      <w:r w:rsidR="00DB7E6B">
        <w:rPr>
          <w:rFonts w:ascii="Times New Roman" w:hAnsi="Times New Roman" w:cs="Times New Roman"/>
          <w:lang w:val="fr-FR"/>
        </w:rPr>
        <w:t xml:space="preserve"> à l’</w:t>
      </w:r>
      <w:r w:rsidR="009835FF" w:rsidRPr="00F66B6B">
        <w:rPr>
          <w:rFonts w:ascii="Times New Roman" w:hAnsi="Times New Roman" w:cs="Times New Roman"/>
          <w:lang w:val="fr-FR"/>
        </w:rPr>
        <w:t>AEWA.</w:t>
      </w:r>
    </w:p>
    <w:p w:rsidR="00B735F6" w:rsidRPr="00F66B6B" w:rsidRDefault="00DB7E6B" w:rsidP="003132A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Sur la base d’un rapport préparé par le Secrétariat, le Comité permanent a décidé, lors de sa</w:t>
      </w:r>
      <w:r w:rsidR="00B735F6" w:rsidRPr="00F66B6B">
        <w:rPr>
          <w:rFonts w:ascii="Times New Roman" w:hAnsi="Times New Roman" w:cs="Times New Roman"/>
          <w:lang w:val="fr-FR"/>
        </w:rPr>
        <w:t xml:space="preserve"> 12</w:t>
      </w:r>
      <w:r w:rsidR="009E1AAF">
        <w:rPr>
          <w:rFonts w:ascii="Times New Roman" w:hAnsi="Times New Roman" w:cs="Times New Roman"/>
          <w:vertAlign w:val="superscript"/>
          <w:lang w:val="fr-FR"/>
        </w:rPr>
        <w:t>ème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réunion, en janvier</w:t>
      </w:r>
      <w:r w:rsidR="00B735F6" w:rsidRPr="00F66B6B">
        <w:rPr>
          <w:rFonts w:ascii="Times New Roman" w:hAnsi="Times New Roman" w:cs="Times New Roman"/>
          <w:lang w:val="fr-FR"/>
        </w:rPr>
        <w:t xml:space="preserve"> 2017</w:t>
      </w:r>
      <w:r w:rsidR="003132AA" w:rsidRPr="00F66B6B">
        <w:rPr>
          <w:rFonts w:ascii="Times New Roman" w:hAnsi="Times New Roman" w:cs="Times New Roman"/>
          <w:lang w:val="fr-FR"/>
        </w:rPr>
        <w:t>,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s’orienter vers l’utilisation du barème de l’ONU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pour déterminer les</w:t>
      </w:r>
      <w:r w:rsidR="00B735F6" w:rsidRPr="00F66B6B">
        <w:rPr>
          <w:rFonts w:ascii="Times New Roman" w:hAnsi="Times New Roman" w:cs="Times New Roman"/>
          <w:lang w:val="fr-FR"/>
        </w:rPr>
        <w:t xml:space="preserve"> contributions</w:t>
      </w:r>
      <w:r w:rsidR="001B50F4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mais d’appliquer un certain nombre de critères</w:t>
      </w:r>
      <w:r w:rsidR="001B50F4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c’est-à-dire de maintenir la</w:t>
      </w:r>
      <w:r w:rsidR="001B50F4" w:rsidRPr="00F66B6B">
        <w:rPr>
          <w:rFonts w:ascii="Times New Roman" w:hAnsi="Times New Roman" w:cs="Times New Roman"/>
          <w:lang w:val="fr-FR"/>
        </w:rPr>
        <w:t xml:space="preserve"> contribution </w:t>
      </w:r>
      <w:r>
        <w:rPr>
          <w:rFonts w:ascii="Times New Roman" w:hAnsi="Times New Roman" w:cs="Times New Roman"/>
          <w:lang w:val="fr-FR"/>
        </w:rPr>
        <w:t>minimale de</w:t>
      </w:r>
      <w:r w:rsidR="001B50F4" w:rsidRPr="00F66B6B">
        <w:rPr>
          <w:rFonts w:ascii="Times New Roman" w:hAnsi="Times New Roman" w:cs="Times New Roman"/>
          <w:lang w:val="fr-FR"/>
        </w:rPr>
        <w:t xml:space="preserve"> 2</w:t>
      </w:r>
      <w:r w:rsidR="009E1AAF">
        <w:rPr>
          <w:rFonts w:ascii="Times New Roman" w:hAnsi="Times New Roman" w:cs="Times New Roman"/>
          <w:lang w:val="fr-FR"/>
        </w:rPr>
        <w:t xml:space="preserve"> </w:t>
      </w:r>
      <w:r w:rsidR="001B50F4" w:rsidRPr="00F66B6B">
        <w:rPr>
          <w:rFonts w:ascii="Times New Roman" w:hAnsi="Times New Roman" w:cs="Times New Roman"/>
          <w:lang w:val="fr-FR"/>
        </w:rPr>
        <w:t>000 EUR</w:t>
      </w:r>
      <w:r>
        <w:rPr>
          <w:rFonts w:ascii="Times New Roman" w:hAnsi="Times New Roman" w:cs="Times New Roman"/>
          <w:lang w:val="fr-FR"/>
        </w:rPr>
        <w:t>,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fixer la</w:t>
      </w:r>
      <w:r w:rsidR="001B50F4" w:rsidRPr="00F66B6B">
        <w:rPr>
          <w:rFonts w:ascii="Times New Roman" w:hAnsi="Times New Roman" w:cs="Times New Roman"/>
          <w:lang w:val="fr-FR"/>
        </w:rPr>
        <w:t xml:space="preserve"> contribution </w:t>
      </w:r>
      <w:r>
        <w:rPr>
          <w:rFonts w:ascii="Times New Roman" w:hAnsi="Times New Roman" w:cs="Times New Roman"/>
          <w:lang w:val="fr-FR"/>
        </w:rPr>
        <w:t>de l’UE à</w:t>
      </w:r>
      <w:r w:rsidR="001B50F4" w:rsidRPr="00F66B6B">
        <w:rPr>
          <w:rFonts w:ascii="Times New Roman" w:hAnsi="Times New Roman" w:cs="Times New Roman"/>
          <w:lang w:val="fr-FR"/>
        </w:rPr>
        <w:t xml:space="preserve"> 2</w:t>
      </w:r>
      <w:r>
        <w:rPr>
          <w:rFonts w:ascii="Times New Roman" w:hAnsi="Times New Roman" w:cs="Times New Roman"/>
          <w:lang w:val="fr-FR"/>
        </w:rPr>
        <w:t>,</w:t>
      </w:r>
      <w:r w:rsidR="001B50F4" w:rsidRPr="00F66B6B">
        <w:rPr>
          <w:rFonts w:ascii="Times New Roman" w:hAnsi="Times New Roman" w:cs="Times New Roman"/>
          <w:lang w:val="fr-FR"/>
        </w:rPr>
        <w:t>5 %</w:t>
      </w:r>
      <w:r>
        <w:rPr>
          <w:rFonts w:ascii="Times New Roman" w:hAnsi="Times New Roman" w:cs="Times New Roman"/>
          <w:lang w:val="fr-FR"/>
        </w:rPr>
        <w:t xml:space="preserve"> et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maintenir le seuil maximal à</w:t>
      </w:r>
      <w:r w:rsidR="001B50F4" w:rsidRPr="00F66B6B">
        <w:rPr>
          <w:rFonts w:ascii="Times New Roman" w:hAnsi="Times New Roman" w:cs="Times New Roman"/>
          <w:lang w:val="fr-FR"/>
        </w:rPr>
        <w:t xml:space="preserve"> 20 %</w:t>
      </w:r>
      <w:r w:rsidR="00B735F6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Lors de sa </w:t>
      </w:r>
      <w:r w:rsidR="00B735F6" w:rsidRPr="00F66B6B">
        <w:rPr>
          <w:rFonts w:ascii="Times New Roman" w:hAnsi="Times New Roman" w:cs="Times New Roman"/>
          <w:lang w:val="fr-FR"/>
        </w:rPr>
        <w:t>13</w:t>
      </w:r>
      <w:r w:rsidR="009E1AAF">
        <w:rPr>
          <w:rFonts w:ascii="Times New Roman" w:hAnsi="Times New Roman" w:cs="Times New Roman"/>
          <w:vertAlign w:val="superscript"/>
          <w:lang w:val="fr-FR"/>
        </w:rPr>
        <w:t>ème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réunion, en juillet 2018, le Comité permanent a confirmé ces critères</w:t>
      </w:r>
      <w:r w:rsidR="00B735F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 s’est mis d’accord sur l’approche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consistant à se rapprocher du barème de l’ONU dans un délai de six ans</w:t>
      </w:r>
      <w:r w:rsidR="00B735F6" w:rsidRPr="00F66B6B">
        <w:rPr>
          <w:rFonts w:ascii="Times New Roman" w:hAnsi="Times New Roman" w:cs="Times New Roman"/>
          <w:lang w:val="fr-FR"/>
        </w:rPr>
        <w:t>.</w:t>
      </w:r>
    </w:p>
    <w:p w:rsidR="001648A1" w:rsidRPr="00F66B6B" w:rsidRDefault="001648A1" w:rsidP="001648A1">
      <w:pPr>
        <w:pStyle w:val="ListParagraph"/>
        <w:tabs>
          <w:tab w:val="left" w:pos="360"/>
        </w:tabs>
        <w:spacing w:line="259" w:lineRule="auto"/>
        <w:ind w:left="0"/>
        <w:contextualSpacing/>
        <w:rPr>
          <w:u w:val="single"/>
          <w:lang w:val="fr-FR"/>
        </w:rPr>
      </w:pPr>
    </w:p>
    <w:p w:rsidR="001648A1" w:rsidRPr="00F66B6B" w:rsidRDefault="00DB7E6B" w:rsidP="00E17014">
      <w:pPr>
        <w:pStyle w:val="ListParagraph"/>
        <w:tabs>
          <w:tab w:val="left" w:pos="360"/>
        </w:tabs>
        <w:spacing w:after="160" w:line="259" w:lineRule="auto"/>
        <w:ind w:left="0"/>
        <w:contextualSpacing/>
        <w:rPr>
          <w:b/>
          <w:lang w:val="fr-FR"/>
        </w:rPr>
      </w:pPr>
      <w:r>
        <w:rPr>
          <w:b/>
          <w:lang w:val="fr-FR"/>
        </w:rPr>
        <w:t>Contexte</w:t>
      </w:r>
    </w:p>
    <w:p w:rsidR="001648A1" w:rsidRPr="00F66B6B" w:rsidRDefault="001648A1" w:rsidP="003132AA">
      <w:pPr>
        <w:pStyle w:val="ListParagraph"/>
        <w:tabs>
          <w:tab w:val="left" w:pos="360"/>
        </w:tabs>
        <w:spacing w:line="259" w:lineRule="auto"/>
        <w:ind w:left="0"/>
        <w:contextualSpacing/>
        <w:rPr>
          <w:b/>
          <w:lang w:val="fr-FR"/>
        </w:rPr>
      </w:pPr>
    </w:p>
    <w:p w:rsidR="00E17014" w:rsidRPr="00F66B6B" w:rsidRDefault="00DB7E6B" w:rsidP="003132AA">
      <w:pPr>
        <w:pStyle w:val="ListParagraph"/>
        <w:tabs>
          <w:tab w:val="left" w:pos="360"/>
        </w:tabs>
        <w:spacing w:line="276" w:lineRule="auto"/>
        <w:ind w:left="0"/>
        <w:contextualSpacing/>
        <w:rPr>
          <w:i/>
          <w:sz w:val="22"/>
          <w:szCs w:val="22"/>
          <w:u w:val="single"/>
          <w:lang w:val="fr-FR"/>
        </w:rPr>
      </w:pPr>
      <w:r>
        <w:rPr>
          <w:i/>
          <w:sz w:val="22"/>
          <w:szCs w:val="22"/>
          <w:u w:val="single"/>
          <w:lang w:val="fr-FR"/>
        </w:rPr>
        <w:t xml:space="preserve">Barème des </w:t>
      </w:r>
      <w:r w:rsidR="00171F0E">
        <w:rPr>
          <w:i/>
          <w:sz w:val="22"/>
          <w:szCs w:val="22"/>
          <w:u w:val="single"/>
          <w:lang w:val="fr-FR"/>
        </w:rPr>
        <w:t>contributions</w:t>
      </w:r>
      <w:r>
        <w:rPr>
          <w:i/>
          <w:sz w:val="22"/>
          <w:szCs w:val="22"/>
          <w:u w:val="single"/>
          <w:lang w:val="fr-FR"/>
        </w:rPr>
        <w:t xml:space="preserve"> de l’ONU</w:t>
      </w:r>
      <w:r w:rsidR="00E17014" w:rsidRPr="00F66B6B">
        <w:rPr>
          <w:i/>
          <w:sz w:val="22"/>
          <w:szCs w:val="22"/>
          <w:u w:val="single"/>
          <w:lang w:val="fr-FR"/>
        </w:rPr>
        <w:t xml:space="preserve"> </w:t>
      </w:r>
      <w:r>
        <w:rPr>
          <w:i/>
          <w:sz w:val="22"/>
          <w:szCs w:val="22"/>
          <w:u w:val="single"/>
          <w:lang w:val="fr-FR"/>
        </w:rPr>
        <w:t>pour la répartition des d</w:t>
      </w:r>
      <w:r w:rsidR="00595EFA">
        <w:rPr>
          <w:i/>
          <w:sz w:val="22"/>
          <w:szCs w:val="22"/>
          <w:u w:val="single"/>
          <w:lang w:val="fr-FR"/>
        </w:rPr>
        <w:t>é</w:t>
      </w:r>
      <w:r>
        <w:rPr>
          <w:i/>
          <w:sz w:val="22"/>
          <w:szCs w:val="22"/>
          <w:u w:val="single"/>
          <w:lang w:val="fr-FR"/>
        </w:rPr>
        <w:t>penses des Nations Unies</w:t>
      </w:r>
    </w:p>
    <w:p w:rsidR="00E17014" w:rsidRPr="00F66B6B" w:rsidRDefault="00DB7E6B" w:rsidP="003132AA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barème des </w:t>
      </w:r>
      <w:r w:rsidR="00171F0E">
        <w:rPr>
          <w:rFonts w:ascii="Times New Roman" w:hAnsi="Times New Roman" w:cs="Times New Roman"/>
          <w:lang w:val="fr-FR"/>
        </w:rPr>
        <w:t>contributions</w:t>
      </w:r>
      <w:r>
        <w:rPr>
          <w:rFonts w:ascii="Times New Roman" w:hAnsi="Times New Roman" w:cs="Times New Roman"/>
          <w:lang w:val="fr-FR"/>
        </w:rPr>
        <w:t xml:space="preserve"> de l’ONU pour la répartition des dépenses des Nations Unies découle du principe fondamental </w:t>
      </w:r>
      <w:r w:rsidR="00866B25">
        <w:rPr>
          <w:rFonts w:ascii="Times New Roman" w:hAnsi="Times New Roman" w:cs="Times New Roman"/>
          <w:lang w:val="fr-FR"/>
        </w:rPr>
        <w:t>selon lequel les dépenses de l’O</w:t>
      </w:r>
      <w:r>
        <w:rPr>
          <w:rFonts w:ascii="Times New Roman" w:hAnsi="Times New Roman" w:cs="Times New Roman"/>
          <w:lang w:val="fr-FR"/>
        </w:rPr>
        <w:t>rganisation</w:t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doivent être réparties largement en fonction de la capacité de paiement de ses États membres</w:t>
      </w:r>
      <w:r w:rsidR="00E17014" w:rsidRPr="00F66B6B">
        <w:rPr>
          <w:rFonts w:ascii="Times New Roman" w:hAnsi="Times New Roman" w:cs="Times New Roman"/>
          <w:lang w:val="fr-FR"/>
        </w:rPr>
        <w:t xml:space="preserve">. </w:t>
      </w:r>
      <w:r w:rsidR="00595EFA">
        <w:rPr>
          <w:rFonts w:ascii="Times New Roman" w:hAnsi="Times New Roman" w:cs="Times New Roman"/>
          <w:lang w:val="fr-FR"/>
        </w:rPr>
        <w:t>Il repose sur une méthodologie</w:t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précise qui prend en compte différents critères et éléments se référant à la situation économique d’un pays</w:t>
      </w:r>
      <w:r w:rsidR="00E17014" w:rsidRPr="00F66B6B">
        <w:rPr>
          <w:rFonts w:ascii="Times New Roman" w:hAnsi="Times New Roman" w:cs="Times New Roman"/>
          <w:lang w:val="fr-FR"/>
        </w:rPr>
        <w:t>.</w:t>
      </w:r>
      <w:r w:rsidR="00E17014" w:rsidRPr="00F66B6B">
        <w:rPr>
          <w:rStyle w:val="FootnoteReference"/>
          <w:rFonts w:ascii="Times New Roman" w:hAnsi="Times New Roman" w:cs="Times New Roman"/>
          <w:lang w:val="fr-FR"/>
        </w:rPr>
        <w:footnoteReference w:id="1"/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Ainsi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e</w:t>
      </w:r>
      <w:r w:rsidR="001B50F4" w:rsidRPr="00F66B6B">
        <w:rPr>
          <w:rFonts w:ascii="Times New Roman" w:hAnsi="Times New Roman" w:cs="Times New Roman"/>
          <w:lang w:val="fr-FR"/>
        </w:rPr>
        <w:t>n g</w:t>
      </w:r>
      <w:r w:rsidR="00595EFA">
        <w:rPr>
          <w:rFonts w:ascii="Times New Roman" w:hAnsi="Times New Roman" w:cs="Times New Roman"/>
          <w:lang w:val="fr-FR"/>
        </w:rPr>
        <w:t>é</w:t>
      </w:r>
      <w:r w:rsidR="001B50F4" w:rsidRPr="00F66B6B">
        <w:rPr>
          <w:rFonts w:ascii="Times New Roman" w:hAnsi="Times New Roman" w:cs="Times New Roman"/>
          <w:lang w:val="fr-FR"/>
        </w:rPr>
        <w:t>n</w:t>
      </w:r>
      <w:r w:rsidR="00595EFA">
        <w:rPr>
          <w:rFonts w:ascii="Times New Roman" w:hAnsi="Times New Roman" w:cs="Times New Roman"/>
          <w:lang w:val="fr-FR"/>
        </w:rPr>
        <w:t>é</w:t>
      </w:r>
      <w:r w:rsidR="001B50F4" w:rsidRPr="00F66B6B">
        <w:rPr>
          <w:rFonts w:ascii="Times New Roman" w:hAnsi="Times New Roman" w:cs="Times New Roman"/>
          <w:lang w:val="fr-FR"/>
        </w:rPr>
        <w:t>ral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1B50F4" w:rsidRPr="00F66B6B">
        <w:rPr>
          <w:rFonts w:ascii="Times New Roman" w:hAnsi="Times New Roman" w:cs="Times New Roman"/>
          <w:lang w:val="fr-FR"/>
        </w:rPr>
        <w:t xml:space="preserve"> </w:t>
      </w:r>
      <w:r w:rsidR="00595EFA">
        <w:rPr>
          <w:rFonts w:ascii="Times New Roman" w:hAnsi="Times New Roman" w:cs="Times New Roman"/>
          <w:lang w:val="fr-FR"/>
        </w:rPr>
        <w:t>un pays dont la situation économique s’est améliorée verra sa contribution augmenter</w:t>
      </w:r>
      <w:r w:rsidR="001B50F4" w:rsidRPr="00F66B6B">
        <w:rPr>
          <w:rFonts w:ascii="Times New Roman" w:hAnsi="Times New Roman" w:cs="Times New Roman"/>
          <w:lang w:val="fr-FR"/>
        </w:rPr>
        <w:t>.</w:t>
      </w:r>
    </w:p>
    <w:p w:rsidR="00BF2FA4" w:rsidRPr="00F66B6B" w:rsidRDefault="00BF2FA4" w:rsidP="003132AA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C91BA2" w:rsidRDefault="00595EFA" w:rsidP="003132AA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  <w:sectPr w:rsidR="00C91BA2" w:rsidSect="0065486F">
          <w:headerReference w:type="default" r:id="rId8"/>
          <w:pgSz w:w="11907" w:h="16840" w:code="9"/>
          <w:pgMar w:top="976" w:right="1134" w:bottom="1134" w:left="1134" w:header="720" w:footer="510" w:gutter="0"/>
          <w:cols w:space="720"/>
          <w:docGrid w:linePitch="360"/>
        </w:sectPr>
      </w:pPr>
      <w:r>
        <w:rPr>
          <w:rFonts w:ascii="Times New Roman" w:hAnsi="Times New Roman" w:cs="Times New Roman"/>
          <w:lang w:val="fr-FR"/>
        </w:rPr>
        <w:t xml:space="preserve">Le barème des </w:t>
      </w:r>
      <w:r w:rsidR="00171F0E">
        <w:rPr>
          <w:rFonts w:ascii="Times New Roman" w:hAnsi="Times New Roman" w:cs="Times New Roman"/>
          <w:lang w:val="fr-FR"/>
        </w:rPr>
        <w:t>contributions</w:t>
      </w:r>
      <w:r>
        <w:rPr>
          <w:rFonts w:ascii="Times New Roman" w:hAnsi="Times New Roman" w:cs="Times New Roman"/>
          <w:lang w:val="fr-FR"/>
        </w:rPr>
        <w:t xml:space="preserve"> est régulièrement mis à jour et adopté par l’Assemblée générale des Nations Unies, et il est valable pour une période de trois ans</w:t>
      </w:r>
      <w:r w:rsidR="00E17014" w:rsidRPr="00F66B6B">
        <w:rPr>
          <w:rStyle w:val="FootnoteReference"/>
          <w:rFonts w:ascii="Times New Roman" w:hAnsi="Times New Roman" w:cs="Times New Roman"/>
          <w:lang w:val="fr-FR"/>
        </w:rPr>
        <w:footnoteReference w:id="2"/>
      </w:r>
      <w:r w:rsidR="00E17014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Il évalue les contributions de tous les États membres de l’ONU, dans le monde entier,</w:t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et est particulièrement adapté de façon à partager un budget à l’échelle </w:t>
      </w:r>
    </w:p>
    <w:p w:rsidR="00E17014" w:rsidRPr="00F66B6B" w:rsidRDefault="00595EFA" w:rsidP="003132AA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lastRenderedPageBreak/>
        <w:t>mondiale</w:t>
      </w:r>
      <w:proofErr w:type="gramEnd"/>
      <w:r w:rsidR="00E17014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Aucun barème spécifique n’est prévu pour les accords multilatéraux régionaux sur l’environnement</w:t>
      </w:r>
      <w:r w:rsidR="00E17014" w:rsidRPr="00F66B6B">
        <w:rPr>
          <w:rFonts w:ascii="Times New Roman" w:hAnsi="Times New Roman" w:cs="Times New Roman"/>
          <w:lang w:val="fr-FR"/>
        </w:rPr>
        <w:t>.</w:t>
      </w:r>
    </w:p>
    <w:p w:rsidR="003132AA" w:rsidRPr="00F66B6B" w:rsidRDefault="003132AA" w:rsidP="003132AA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E17014" w:rsidRPr="00F66B6B" w:rsidRDefault="00F35A4D" w:rsidP="003132AA">
      <w:pPr>
        <w:pStyle w:val="ListParagraph"/>
        <w:tabs>
          <w:tab w:val="left" w:pos="360"/>
        </w:tabs>
        <w:spacing w:line="259" w:lineRule="auto"/>
        <w:ind w:left="0"/>
        <w:contextualSpacing/>
        <w:jc w:val="both"/>
        <w:rPr>
          <w:i/>
          <w:sz w:val="22"/>
          <w:szCs w:val="22"/>
          <w:u w:val="single"/>
          <w:lang w:val="fr-FR"/>
        </w:rPr>
      </w:pPr>
      <w:r>
        <w:rPr>
          <w:i/>
          <w:sz w:val="22"/>
          <w:szCs w:val="22"/>
          <w:u w:val="single"/>
          <w:lang w:val="fr-FR"/>
        </w:rPr>
        <w:t>Contributions annuelles des</w:t>
      </w:r>
      <w:r w:rsidR="00E17014" w:rsidRPr="00F66B6B">
        <w:rPr>
          <w:i/>
          <w:sz w:val="22"/>
          <w:szCs w:val="22"/>
          <w:u w:val="single"/>
          <w:lang w:val="fr-FR"/>
        </w:rPr>
        <w:t xml:space="preserve"> Parties </w:t>
      </w:r>
      <w:r>
        <w:rPr>
          <w:i/>
          <w:sz w:val="22"/>
          <w:szCs w:val="22"/>
          <w:u w:val="single"/>
          <w:lang w:val="fr-FR"/>
        </w:rPr>
        <w:t>contractantes au budget principal de l’</w:t>
      </w:r>
      <w:r w:rsidR="00E17014" w:rsidRPr="00F66B6B">
        <w:rPr>
          <w:i/>
          <w:sz w:val="22"/>
          <w:szCs w:val="22"/>
          <w:u w:val="single"/>
          <w:lang w:val="fr-FR"/>
        </w:rPr>
        <w:t>AEWA</w:t>
      </w:r>
    </w:p>
    <w:p w:rsidR="00E17014" w:rsidRPr="00F66B6B" w:rsidRDefault="00F35A4D" w:rsidP="003132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L’a</w:t>
      </w:r>
      <w:r w:rsidR="00E17014" w:rsidRPr="00F66B6B">
        <w:rPr>
          <w:rFonts w:ascii="Times New Roman" w:hAnsi="Times New Roman" w:cs="Times New Roman"/>
          <w:lang w:val="fr-FR"/>
        </w:rPr>
        <w:t xml:space="preserve">rticle V.2 </w:t>
      </w:r>
      <w:r>
        <w:rPr>
          <w:rFonts w:ascii="Times New Roman" w:hAnsi="Times New Roman" w:cs="Times New Roman"/>
          <w:lang w:val="fr-FR"/>
        </w:rPr>
        <w:t>de l’Accord requie</w:t>
      </w:r>
      <w:r w:rsidR="00171F0E">
        <w:rPr>
          <w:rFonts w:ascii="Times New Roman" w:hAnsi="Times New Roman" w:cs="Times New Roman"/>
          <w:lang w:val="fr-FR"/>
        </w:rPr>
        <w:t>r</w:t>
      </w:r>
      <w:r>
        <w:rPr>
          <w:rFonts w:ascii="Times New Roman" w:hAnsi="Times New Roman" w:cs="Times New Roman"/>
          <w:lang w:val="fr-FR"/>
        </w:rPr>
        <w:t xml:space="preserve">t </w:t>
      </w:r>
      <w:proofErr w:type="gramStart"/>
      <w:r>
        <w:rPr>
          <w:rFonts w:ascii="Times New Roman" w:hAnsi="Times New Roman" w:cs="Times New Roman"/>
          <w:lang w:val="fr-FR"/>
        </w:rPr>
        <w:t xml:space="preserve">que </w:t>
      </w:r>
      <w:r w:rsidR="00E17014" w:rsidRPr="00F66B6B">
        <w:rPr>
          <w:rFonts w:ascii="Times New Roman" w:hAnsi="Times New Roman" w:cs="Times New Roman"/>
          <w:i/>
          <w:lang w:val="fr-FR"/>
        </w:rPr>
        <w:t>a</w:t>
      </w:r>
      <w:proofErr w:type="gramEnd"/>
      <w:r w:rsidR="00E17014" w:rsidRPr="00F66B6B">
        <w:rPr>
          <w:rFonts w:ascii="Times New Roman" w:hAnsi="Times New Roman" w:cs="Times New Roman"/>
          <w:i/>
          <w:lang w:val="fr-FR"/>
        </w:rPr>
        <w:t xml:space="preserve">) </w:t>
      </w:r>
      <w:r>
        <w:rPr>
          <w:rFonts w:ascii="Times New Roman" w:hAnsi="Times New Roman" w:cs="Times New Roman"/>
          <w:i/>
          <w:lang w:val="fr-FR"/>
        </w:rPr>
        <w:t xml:space="preserve">Chaque </w:t>
      </w:r>
      <w:r w:rsidR="00E17014" w:rsidRPr="00F66B6B">
        <w:rPr>
          <w:rFonts w:ascii="Times New Roman" w:hAnsi="Times New Roman" w:cs="Times New Roman"/>
          <w:i/>
          <w:lang w:val="fr-FR"/>
        </w:rPr>
        <w:t>Part</w:t>
      </w:r>
      <w:r>
        <w:rPr>
          <w:rFonts w:ascii="Times New Roman" w:hAnsi="Times New Roman" w:cs="Times New Roman"/>
          <w:i/>
          <w:lang w:val="fr-FR"/>
        </w:rPr>
        <w:t>ie contribue au budget de l’Accord conformément au barème des contributions établi par les Nations Unies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. </w:t>
      </w:r>
      <w:r>
        <w:rPr>
          <w:rFonts w:ascii="Times New Roman" w:hAnsi="Times New Roman" w:cs="Times New Roman"/>
          <w:i/>
          <w:lang w:val="fr-FR"/>
        </w:rPr>
        <w:t>Aucune Partie qui est un État de l’aire de répartition ne peut être appelée à apporter une contribution supérieure à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 25</w:t>
      </w:r>
      <w:r>
        <w:rPr>
          <w:rFonts w:ascii="Times New Roman" w:hAnsi="Times New Roman" w:cs="Times New Roman"/>
          <w:i/>
          <w:lang w:val="fr-FR"/>
        </w:rPr>
        <w:t xml:space="preserve"> %</w:t>
      </w:r>
      <w:r w:rsidR="00E17014" w:rsidRPr="00F66B6B">
        <w:rPr>
          <w:rStyle w:val="FootnoteReference"/>
          <w:rFonts w:ascii="Times New Roman" w:hAnsi="Times New Roman" w:cs="Times New Roman"/>
          <w:i/>
          <w:lang w:val="fr-FR"/>
        </w:rPr>
        <w:footnoteReference w:id="3"/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 </w:t>
      </w:r>
      <w:r>
        <w:rPr>
          <w:rFonts w:ascii="Times New Roman" w:hAnsi="Times New Roman" w:cs="Times New Roman"/>
          <w:i/>
          <w:lang w:val="fr-FR"/>
        </w:rPr>
        <w:t>du budget total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. </w:t>
      </w:r>
      <w:r>
        <w:rPr>
          <w:rFonts w:ascii="Times New Roman" w:hAnsi="Times New Roman" w:cs="Times New Roman"/>
          <w:i/>
          <w:lang w:val="fr-FR"/>
        </w:rPr>
        <w:t xml:space="preserve">Il ne peut être exigé d’aucune organisation d’intégration économique régionale une contribution supérieure à </w:t>
      </w:r>
      <w:r w:rsidR="00E17014" w:rsidRPr="00F66B6B">
        <w:rPr>
          <w:rFonts w:ascii="Times New Roman" w:hAnsi="Times New Roman" w:cs="Times New Roman"/>
          <w:i/>
          <w:lang w:val="fr-FR"/>
        </w:rPr>
        <w:t>2</w:t>
      </w:r>
      <w:r>
        <w:rPr>
          <w:rFonts w:ascii="Times New Roman" w:hAnsi="Times New Roman" w:cs="Times New Roman"/>
          <w:i/>
          <w:lang w:val="fr-FR"/>
        </w:rPr>
        <w:t>,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5 </w:t>
      </w:r>
      <w:r>
        <w:rPr>
          <w:rFonts w:ascii="Times New Roman" w:hAnsi="Times New Roman" w:cs="Times New Roman"/>
          <w:i/>
          <w:lang w:val="fr-FR"/>
        </w:rPr>
        <w:t>% des frais administratifs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. (b) </w:t>
      </w:r>
      <w:r>
        <w:rPr>
          <w:rFonts w:ascii="Times New Roman" w:hAnsi="Times New Roman" w:cs="Times New Roman"/>
          <w:i/>
          <w:lang w:val="fr-FR"/>
        </w:rPr>
        <w:t>les décisions relatives au budget, y compris la modification éventuelle du barème des contributions, sont adoptées par la Réunion des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 Parties </w:t>
      </w:r>
      <w:r>
        <w:rPr>
          <w:rFonts w:ascii="Times New Roman" w:hAnsi="Times New Roman" w:cs="Times New Roman"/>
          <w:i/>
          <w:lang w:val="fr-FR"/>
        </w:rPr>
        <w:t>par</w:t>
      </w:r>
      <w:r w:rsidR="00E17014" w:rsidRPr="00F66B6B">
        <w:rPr>
          <w:rFonts w:ascii="Times New Roman" w:hAnsi="Times New Roman" w:cs="Times New Roman"/>
          <w:i/>
          <w:lang w:val="fr-FR"/>
        </w:rPr>
        <w:t xml:space="preserve"> consensus.</w:t>
      </w:r>
      <w:r w:rsidR="00E17014" w:rsidRPr="00F66B6B">
        <w:rPr>
          <w:rFonts w:ascii="Times New Roman" w:hAnsi="Times New Roman" w:cs="Times New Roman"/>
          <w:lang w:val="fr-FR"/>
        </w:rPr>
        <w:t>”</w:t>
      </w:r>
    </w:p>
    <w:p w:rsidR="00EC6177" w:rsidRPr="00F66B6B" w:rsidRDefault="00EC6177" w:rsidP="003132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fr-FR"/>
        </w:rPr>
      </w:pPr>
    </w:p>
    <w:p w:rsidR="00E17014" w:rsidRPr="00F66B6B" w:rsidRDefault="00F35A4D" w:rsidP="00E1701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Ainsi, selon l’Accord, les contributions de l’</w:t>
      </w:r>
      <w:r w:rsidR="00E17014" w:rsidRPr="00F66B6B">
        <w:rPr>
          <w:rFonts w:ascii="Times New Roman" w:hAnsi="Times New Roman" w:cs="Times New Roman"/>
          <w:lang w:val="fr-FR"/>
        </w:rPr>
        <w:t xml:space="preserve">AEWA </w:t>
      </w:r>
      <w:r>
        <w:rPr>
          <w:rFonts w:ascii="Times New Roman" w:hAnsi="Times New Roman" w:cs="Times New Roman"/>
          <w:lang w:val="fr-FR"/>
        </w:rPr>
        <w:t xml:space="preserve">doivent en principe être calculées sur la base du barème des </w:t>
      </w:r>
      <w:r w:rsidR="00E17014" w:rsidRPr="00F66B6B">
        <w:rPr>
          <w:rFonts w:ascii="Times New Roman" w:hAnsi="Times New Roman" w:cs="Times New Roman"/>
          <w:lang w:val="fr-FR"/>
        </w:rPr>
        <w:t>c</w:t>
      </w:r>
      <w:bookmarkStart w:id="0" w:name="_GoBack"/>
      <w:bookmarkEnd w:id="0"/>
      <w:r w:rsidR="00E17014" w:rsidRPr="00F66B6B">
        <w:rPr>
          <w:rFonts w:ascii="Times New Roman" w:hAnsi="Times New Roman" w:cs="Times New Roman"/>
          <w:lang w:val="fr-FR"/>
        </w:rPr>
        <w:t xml:space="preserve">ontributions </w:t>
      </w:r>
      <w:r>
        <w:rPr>
          <w:rFonts w:ascii="Times New Roman" w:hAnsi="Times New Roman" w:cs="Times New Roman"/>
          <w:lang w:val="fr-FR"/>
        </w:rPr>
        <w:t>de l’ONU</w:t>
      </w:r>
      <w:r w:rsidR="00E17014" w:rsidRPr="00F66B6B">
        <w:rPr>
          <w:rFonts w:ascii="Times New Roman" w:hAnsi="Times New Roman" w:cs="Times New Roman"/>
          <w:lang w:val="fr-FR"/>
        </w:rPr>
        <w:t>.</w:t>
      </w:r>
      <w:r w:rsidR="00E17014" w:rsidRPr="00F66B6B">
        <w:rPr>
          <w:rStyle w:val="FootnoteReference"/>
          <w:rFonts w:ascii="Times New Roman" w:hAnsi="Times New Roman" w:cs="Times New Roman"/>
          <w:lang w:val="fr-FR"/>
        </w:rPr>
        <w:footnoteReference w:id="4"/>
      </w:r>
      <w:r w:rsidR="00E1701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Toutefois</w:t>
      </w:r>
      <w:r w:rsidR="00E17014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l’a</w:t>
      </w:r>
      <w:r w:rsidR="00E17014" w:rsidRPr="00F66B6B">
        <w:rPr>
          <w:rFonts w:ascii="Times New Roman" w:hAnsi="Times New Roman" w:cs="Times New Roman"/>
          <w:lang w:val="fr-FR"/>
        </w:rPr>
        <w:t>rt</w:t>
      </w:r>
      <w:r>
        <w:rPr>
          <w:rFonts w:ascii="Times New Roman" w:hAnsi="Times New Roman" w:cs="Times New Roman"/>
          <w:lang w:val="fr-FR"/>
        </w:rPr>
        <w:t>icle</w:t>
      </w:r>
      <w:r w:rsidR="00E17014" w:rsidRPr="00F66B6B">
        <w:rPr>
          <w:rFonts w:ascii="Times New Roman" w:hAnsi="Times New Roman" w:cs="Times New Roman"/>
          <w:lang w:val="fr-FR"/>
        </w:rPr>
        <w:t xml:space="preserve"> V.2(b) </w:t>
      </w:r>
      <w:r>
        <w:rPr>
          <w:rFonts w:ascii="Times New Roman" w:hAnsi="Times New Roman" w:cs="Times New Roman"/>
          <w:lang w:val="fr-FR"/>
        </w:rPr>
        <w:t>permet aux Parties de modifier le barème des contributions</w:t>
      </w:r>
      <w:r w:rsidR="00E17014" w:rsidRPr="00F66B6B">
        <w:rPr>
          <w:rFonts w:ascii="Times New Roman" w:hAnsi="Times New Roman" w:cs="Times New Roman"/>
          <w:lang w:val="fr-FR"/>
        </w:rPr>
        <w:t>.</w:t>
      </w:r>
    </w:p>
    <w:p w:rsidR="00FC6423" w:rsidRPr="00F66B6B" w:rsidRDefault="00FC6423" w:rsidP="00FC64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132AA" w:rsidRPr="00F66B6B" w:rsidRDefault="003132AA" w:rsidP="00FC64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E5D58" w:rsidRPr="00F66B6B" w:rsidRDefault="00EE5D58" w:rsidP="00FC64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Action </w:t>
      </w:r>
      <w:r w:rsidR="00171F0E">
        <w:rPr>
          <w:rFonts w:ascii="Times New Roman" w:hAnsi="Times New Roman" w:cs="Times New Roman"/>
          <w:b/>
          <w:sz w:val="24"/>
          <w:szCs w:val="24"/>
          <w:lang w:val="fr-FR"/>
        </w:rPr>
        <w:t>requise de la Réunion des</w:t>
      </w:r>
      <w:r w:rsidR="006F7D0F" w:rsidRPr="00F66B6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Parties</w:t>
      </w:r>
    </w:p>
    <w:p w:rsidR="00FC6423" w:rsidRPr="00F66B6B" w:rsidRDefault="00FC6423" w:rsidP="00FC6423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9835FF" w:rsidRPr="00F66B6B" w:rsidRDefault="00171F0E" w:rsidP="006B03CC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est demandé à la Réunion des</w:t>
      </w:r>
      <w:r w:rsidR="006F7D0F" w:rsidRPr="00F66B6B">
        <w:rPr>
          <w:rFonts w:ascii="Times New Roman" w:hAnsi="Times New Roman" w:cs="Times New Roman"/>
          <w:lang w:val="fr-FR"/>
        </w:rPr>
        <w:t xml:space="preserve"> Parties</w:t>
      </w:r>
      <w:r w:rsidR="006B03CC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d’appliquer la méthode décrite</w:t>
      </w:r>
      <w:r w:rsidR="006B03CC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pour l’élaboration du barème des contributions </w:t>
      </w:r>
      <w:r w:rsidR="006B03CC" w:rsidRPr="00F66B6B">
        <w:rPr>
          <w:rFonts w:ascii="Times New Roman" w:hAnsi="Times New Roman" w:cs="Times New Roman"/>
          <w:lang w:val="fr-FR"/>
        </w:rPr>
        <w:t>2019-2021</w:t>
      </w:r>
      <w:r>
        <w:rPr>
          <w:rFonts w:ascii="Times New Roman" w:hAnsi="Times New Roman" w:cs="Times New Roman"/>
          <w:lang w:val="fr-FR"/>
        </w:rPr>
        <w:t xml:space="preserve"> de l’AEWA</w:t>
      </w:r>
      <w:r w:rsidR="006B03CC" w:rsidRPr="00F66B6B">
        <w:rPr>
          <w:rFonts w:ascii="Times New Roman" w:hAnsi="Times New Roman" w:cs="Times New Roman"/>
          <w:lang w:val="fr-FR"/>
        </w:rPr>
        <w:t>.</w:t>
      </w:r>
    </w:p>
    <w:p w:rsidR="004E0D4E" w:rsidRPr="00F66B6B" w:rsidRDefault="004E0D4E">
      <w:pPr>
        <w:rPr>
          <w:rFonts w:ascii="Times New Roman" w:hAnsi="Times New Roman" w:cs="Times New Roman"/>
          <w:lang w:val="fr-FR"/>
        </w:rPr>
      </w:pPr>
    </w:p>
    <w:p w:rsidR="0095281D" w:rsidRPr="00F66B6B" w:rsidRDefault="00171F0E" w:rsidP="00B81380">
      <w:pPr>
        <w:pStyle w:val="ListParagraph"/>
        <w:numPr>
          <w:ilvl w:val="0"/>
          <w:numId w:val="11"/>
        </w:numPr>
        <w:ind w:left="270" w:hanging="270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I</w:t>
      </w:r>
      <w:r w:rsidR="0095281D" w:rsidRPr="00F66B6B">
        <w:rPr>
          <w:b/>
          <w:u w:val="single"/>
          <w:lang w:val="fr-FR"/>
        </w:rPr>
        <w:t>ntroduction</w:t>
      </w:r>
      <w:r>
        <w:rPr>
          <w:b/>
          <w:u w:val="single"/>
          <w:lang w:val="fr-FR"/>
        </w:rPr>
        <w:t xml:space="preserve"> générale</w:t>
      </w:r>
    </w:p>
    <w:p w:rsidR="00B81380" w:rsidRPr="00F66B6B" w:rsidRDefault="00B81380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AE6A86" w:rsidRPr="00F66B6B" w:rsidRDefault="00502D82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barème des contributions de l’ONU a été appliqué pour calculer les</w:t>
      </w:r>
      <w:r w:rsidR="002C41AC" w:rsidRPr="00F66B6B">
        <w:rPr>
          <w:rFonts w:ascii="Times New Roman" w:hAnsi="Times New Roman" w:cs="Times New Roman"/>
          <w:lang w:val="fr-FR"/>
        </w:rPr>
        <w:t xml:space="preserve"> contributions </w:t>
      </w:r>
      <w:r>
        <w:rPr>
          <w:rFonts w:ascii="Times New Roman" w:hAnsi="Times New Roman" w:cs="Times New Roman"/>
          <w:lang w:val="fr-FR"/>
        </w:rPr>
        <w:t>de l’AEWA pour la</w:t>
      </w:r>
      <w:r w:rsidR="002C41AC" w:rsidRPr="00F66B6B">
        <w:rPr>
          <w:rFonts w:ascii="Times New Roman" w:hAnsi="Times New Roman" w:cs="Times New Roman"/>
          <w:lang w:val="fr-FR"/>
        </w:rPr>
        <w:t xml:space="preserve"> MOP</w:t>
      </w:r>
      <w:r w:rsidR="00AE6A86" w:rsidRPr="00F66B6B">
        <w:rPr>
          <w:rFonts w:ascii="Times New Roman" w:hAnsi="Times New Roman" w:cs="Times New Roman"/>
          <w:lang w:val="fr-FR"/>
        </w:rPr>
        <w:t xml:space="preserve">1, </w:t>
      </w:r>
      <w:r>
        <w:rPr>
          <w:rFonts w:ascii="Times New Roman" w:hAnsi="Times New Roman" w:cs="Times New Roman"/>
          <w:lang w:val="fr-FR"/>
        </w:rPr>
        <w:t xml:space="preserve">la </w:t>
      </w:r>
      <w:r w:rsidR="00AE6A86" w:rsidRPr="00F66B6B">
        <w:rPr>
          <w:rFonts w:ascii="Times New Roman" w:hAnsi="Times New Roman" w:cs="Times New Roman"/>
          <w:lang w:val="fr-FR"/>
        </w:rPr>
        <w:t xml:space="preserve">MOP2 </w:t>
      </w:r>
      <w:r>
        <w:rPr>
          <w:rFonts w:ascii="Times New Roman" w:hAnsi="Times New Roman" w:cs="Times New Roman"/>
          <w:lang w:val="fr-FR"/>
        </w:rPr>
        <w:t>et la</w:t>
      </w:r>
      <w:r w:rsidR="00AE6A86" w:rsidRPr="00F66B6B">
        <w:rPr>
          <w:rFonts w:ascii="Times New Roman" w:hAnsi="Times New Roman" w:cs="Times New Roman"/>
          <w:lang w:val="fr-FR"/>
        </w:rPr>
        <w:t xml:space="preserve"> MOP3. </w:t>
      </w:r>
      <w:r>
        <w:rPr>
          <w:rFonts w:ascii="Times New Roman" w:hAnsi="Times New Roman" w:cs="Times New Roman"/>
          <w:lang w:val="fr-FR"/>
        </w:rPr>
        <w:t>Cependant, depuis la</w:t>
      </w:r>
      <w:r w:rsidR="00AE6A86" w:rsidRPr="00F66B6B">
        <w:rPr>
          <w:rFonts w:ascii="Times New Roman" w:hAnsi="Times New Roman" w:cs="Times New Roman"/>
          <w:lang w:val="fr-FR"/>
        </w:rPr>
        <w:t xml:space="preserve"> MOP4 (2008), </w:t>
      </w:r>
      <w:r>
        <w:rPr>
          <w:rFonts w:ascii="Times New Roman" w:hAnsi="Times New Roman" w:cs="Times New Roman"/>
          <w:lang w:val="fr-FR"/>
        </w:rPr>
        <w:t xml:space="preserve">la répartition des </w:t>
      </w:r>
      <w:r w:rsidR="00AE6A86" w:rsidRPr="00F66B6B">
        <w:rPr>
          <w:rFonts w:ascii="Times New Roman" w:hAnsi="Times New Roman" w:cs="Times New Roman"/>
          <w:lang w:val="fr-FR"/>
        </w:rPr>
        <w:t xml:space="preserve">contributions </w:t>
      </w:r>
      <w:r>
        <w:rPr>
          <w:rFonts w:ascii="Times New Roman" w:hAnsi="Times New Roman" w:cs="Times New Roman"/>
          <w:lang w:val="fr-FR"/>
        </w:rPr>
        <w:t>annuelles au budget principal de l’</w:t>
      </w:r>
      <w:r w:rsidR="00AE6A86" w:rsidRPr="00F66B6B">
        <w:rPr>
          <w:rFonts w:ascii="Times New Roman" w:hAnsi="Times New Roman" w:cs="Times New Roman"/>
          <w:lang w:val="fr-FR"/>
        </w:rPr>
        <w:t>AEWA</w:t>
      </w:r>
      <w:r>
        <w:rPr>
          <w:rFonts w:ascii="Times New Roman" w:hAnsi="Times New Roman" w:cs="Times New Roman"/>
          <w:lang w:val="fr-FR"/>
        </w:rPr>
        <w:t xml:space="preserve"> n’a pas suivi strictement le barème des contributions de l’ONU</w:t>
      </w:r>
      <w:r w:rsidR="00AE6A86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Lors de la</w:t>
      </w:r>
      <w:r w:rsidR="00203651" w:rsidRPr="00F66B6B">
        <w:rPr>
          <w:rFonts w:ascii="Times New Roman" w:hAnsi="Times New Roman" w:cs="Times New Roman"/>
          <w:lang w:val="fr-FR"/>
        </w:rPr>
        <w:t xml:space="preserve"> MOP4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203651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</w:t>
      </w:r>
      <w:r w:rsidR="00AE6A86" w:rsidRPr="00F66B6B">
        <w:rPr>
          <w:rFonts w:ascii="Times New Roman" w:hAnsi="Times New Roman" w:cs="Times New Roman"/>
          <w:lang w:val="fr-FR"/>
        </w:rPr>
        <w:t xml:space="preserve"> contributions </w:t>
      </w:r>
      <w:r>
        <w:rPr>
          <w:rFonts w:ascii="Times New Roman" w:hAnsi="Times New Roman" w:cs="Times New Roman"/>
          <w:lang w:val="fr-FR"/>
        </w:rPr>
        <w:t>au budget restant</w:t>
      </w:r>
      <w:r w:rsidR="00AE6A8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–</w:t>
      </w:r>
      <w:r w:rsidR="00AE6A86" w:rsidRPr="00F66B6B">
        <w:rPr>
          <w:rFonts w:ascii="Times New Roman" w:hAnsi="Times New Roman" w:cs="Times New Roman"/>
          <w:lang w:val="fr-FR"/>
        </w:rPr>
        <w:t xml:space="preserve"> a</w:t>
      </w:r>
      <w:r>
        <w:rPr>
          <w:rFonts w:ascii="Times New Roman" w:hAnsi="Times New Roman" w:cs="Times New Roman"/>
          <w:lang w:val="fr-FR"/>
        </w:rPr>
        <w:t>près déduction des contributions minimales et du montant à retirer de la réserve</w:t>
      </w:r>
      <w:r w:rsidR="00AE6A86" w:rsidRPr="00F66B6B">
        <w:rPr>
          <w:rFonts w:ascii="Times New Roman" w:hAnsi="Times New Roman" w:cs="Times New Roman"/>
          <w:lang w:val="fr-FR"/>
        </w:rPr>
        <w:t xml:space="preserve"> – </w:t>
      </w:r>
      <w:r>
        <w:rPr>
          <w:rFonts w:ascii="Times New Roman" w:hAnsi="Times New Roman" w:cs="Times New Roman"/>
          <w:lang w:val="fr-FR"/>
        </w:rPr>
        <w:t>ont été négociées entre les</w:t>
      </w:r>
      <w:r w:rsidR="00AE6A86" w:rsidRPr="00F66B6B">
        <w:rPr>
          <w:rFonts w:ascii="Times New Roman" w:hAnsi="Times New Roman" w:cs="Times New Roman"/>
          <w:lang w:val="fr-FR"/>
        </w:rPr>
        <w:t xml:space="preserve"> Parties.</w:t>
      </w:r>
      <w:r w:rsidR="00203651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</w:t>
      </w:r>
      <w:r w:rsidR="00404F43" w:rsidRPr="00F66B6B">
        <w:rPr>
          <w:rFonts w:ascii="Times New Roman" w:hAnsi="Times New Roman" w:cs="Times New Roman"/>
          <w:lang w:val="fr-FR"/>
        </w:rPr>
        <w:t xml:space="preserve"> contributions calcul</w:t>
      </w:r>
      <w:r>
        <w:rPr>
          <w:rFonts w:ascii="Times New Roman" w:hAnsi="Times New Roman" w:cs="Times New Roman"/>
          <w:lang w:val="fr-FR"/>
        </w:rPr>
        <w:t>ées lors de la</w:t>
      </w:r>
      <w:r w:rsidR="00404F43" w:rsidRPr="00F66B6B">
        <w:rPr>
          <w:rFonts w:ascii="Times New Roman" w:hAnsi="Times New Roman" w:cs="Times New Roman"/>
          <w:lang w:val="fr-FR"/>
        </w:rPr>
        <w:t xml:space="preserve"> MOP4 </w:t>
      </w:r>
      <w:r>
        <w:rPr>
          <w:rFonts w:ascii="Times New Roman" w:hAnsi="Times New Roman" w:cs="Times New Roman"/>
          <w:lang w:val="fr-FR"/>
        </w:rPr>
        <w:t>ont ensuite été gelées pour les dix prochaines années</w:t>
      </w:r>
      <w:r w:rsidR="00404F43" w:rsidRPr="00F66B6B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mêmes chiffres utilisés à la</w:t>
      </w:r>
      <w:r w:rsidR="00404F43" w:rsidRPr="00F66B6B">
        <w:rPr>
          <w:rFonts w:ascii="Times New Roman" w:hAnsi="Times New Roman" w:cs="Times New Roman"/>
          <w:lang w:val="fr-FR"/>
        </w:rPr>
        <w:t xml:space="preserve"> MOP5 </w:t>
      </w:r>
      <w:r>
        <w:rPr>
          <w:rFonts w:ascii="Times New Roman" w:hAnsi="Times New Roman" w:cs="Times New Roman"/>
          <w:lang w:val="fr-FR"/>
        </w:rPr>
        <w:t>et à la</w:t>
      </w:r>
      <w:r w:rsidR="00404F43" w:rsidRPr="00F66B6B">
        <w:rPr>
          <w:rFonts w:ascii="Times New Roman" w:hAnsi="Times New Roman" w:cs="Times New Roman"/>
          <w:lang w:val="fr-FR"/>
        </w:rPr>
        <w:t xml:space="preserve"> MOP6)</w:t>
      </w:r>
      <w:r>
        <w:rPr>
          <w:rFonts w:ascii="Times New Roman" w:hAnsi="Times New Roman" w:cs="Times New Roman"/>
          <w:lang w:val="fr-FR"/>
        </w:rPr>
        <w:t>, quelle que soit la situation économique de chaque pays</w:t>
      </w:r>
      <w:r w:rsidR="00404F43" w:rsidRPr="00F66B6B">
        <w:rPr>
          <w:rFonts w:ascii="Times New Roman" w:hAnsi="Times New Roman" w:cs="Times New Roman"/>
          <w:lang w:val="fr-FR"/>
        </w:rPr>
        <w:t>.</w:t>
      </w:r>
    </w:p>
    <w:p w:rsidR="00AC233A" w:rsidRPr="00F66B6B" w:rsidRDefault="00AC233A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532614" w:rsidRPr="00F66B6B" w:rsidRDefault="00502D82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L’application strict</w:t>
      </w:r>
      <w:r w:rsidR="00071DB4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du barème des contributions de l’ONU pour le budget</w:t>
      </w:r>
      <w:r w:rsidR="002C41AC" w:rsidRPr="00F66B6B">
        <w:rPr>
          <w:rFonts w:ascii="Times New Roman" w:hAnsi="Times New Roman" w:cs="Times New Roman"/>
          <w:lang w:val="fr-FR"/>
        </w:rPr>
        <w:t xml:space="preserve"> 2019-2021 </w:t>
      </w:r>
      <w:r>
        <w:rPr>
          <w:rFonts w:ascii="Times New Roman" w:hAnsi="Times New Roman" w:cs="Times New Roman"/>
          <w:lang w:val="fr-FR"/>
        </w:rPr>
        <w:t>de l’AEWA entraînerait des augmentations considérables dans le cas d’un certain nombre de</w:t>
      </w:r>
      <w:r w:rsidR="00532614" w:rsidRPr="00F66B6B">
        <w:rPr>
          <w:rFonts w:ascii="Times New Roman" w:hAnsi="Times New Roman" w:cs="Times New Roman"/>
          <w:lang w:val="fr-FR"/>
        </w:rPr>
        <w:t xml:space="preserve"> Parties</w:t>
      </w:r>
      <w:r w:rsidR="00AE6A86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même si le budget était maintenu à un niveau de croissance nominale </w:t>
      </w:r>
      <w:r w:rsidR="007A0087">
        <w:rPr>
          <w:rFonts w:ascii="Times New Roman" w:hAnsi="Times New Roman" w:cs="Times New Roman"/>
          <w:lang w:val="fr-FR"/>
        </w:rPr>
        <w:t>nulle</w:t>
      </w:r>
      <w:r w:rsidR="00AE6A86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Toutefois, d’autres pays bénéficieraient de l’application du barème des contributions de l’ONU</w:t>
      </w:r>
      <w:r w:rsidR="00AE6A86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bien qu’ils </w:t>
      </w:r>
      <w:r w:rsidR="002B2AAD">
        <w:rPr>
          <w:rFonts w:ascii="Times New Roman" w:hAnsi="Times New Roman" w:cs="Times New Roman"/>
          <w:lang w:val="fr-FR"/>
        </w:rPr>
        <w:t>puissent</w:t>
      </w:r>
      <w:r>
        <w:rPr>
          <w:rFonts w:ascii="Times New Roman" w:hAnsi="Times New Roman" w:cs="Times New Roman"/>
          <w:lang w:val="fr-FR"/>
        </w:rPr>
        <w:t xml:space="preserve"> être disposés, au moins</w:t>
      </w:r>
      <w:r w:rsidR="00AE6A86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à maintenir le niveau actuel d’engagement financier</w:t>
      </w:r>
      <w:r w:rsidR="00AE6A86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Le Secrétariat tient à souligner qu’il sera crucial pour le fonctionnement ultérieur de l’Accord, de choisir un barème qui n’aura pas d’impact négatif sur le budget total à partager par les </w:t>
      </w:r>
      <w:r w:rsidR="00AE6A86" w:rsidRPr="00F66B6B">
        <w:rPr>
          <w:rFonts w:ascii="Times New Roman" w:hAnsi="Times New Roman" w:cs="Times New Roman"/>
          <w:lang w:val="fr-FR"/>
        </w:rPr>
        <w:t xml:space="preserve">Parties. </w:t>
      </w:r>
      <w:r>
        <w:rPr>
          <w:rFonts w:ascii="Times New Roman" w:hAnsi="Times New Roman" w:cs="Times New Roman"/>
          <w:lang w:val="fr-FR"/>
        </w:rPr>
        <w:t>Pour cette raison, le Comité permanent de l’</w:t>
      </w:r>
      <w:r w:rsidR="006B03CC" w:rsidRPr="00F66B6B">
        <w:rPr>
          <w:rFonts w:ascii="Times New Roman" w:hAnsi="Times New Roman" w:cs="Times New Roman"/>
          <w:lang w:val="fr-FR"/>
        </w:rPr>
        <w:t xml:space="preserve">AEWA </w:t>
      </w:r>
      <w:r>
        <w:rPr>
          <w:rFonts w:ascii="Times New Roman" w:hAnsi="Times New Roman" w:cs="Times New Roman"/>
          <w:lang w:val="fr-FR"/>
        </w:rPr>
        <w:t>a conseillé au Secrétariat d’appliquer les critères suivants pour l’élaboration du barème des contributions</w:t>
      </w:r>
      <w:r w:rsidR="007568BE" w:rsidRPr="00F66B6B">
        <w:rPr>
          <w:rFonts w:ascii="Times New Roman" w:hAnsi="Times New Roman" w:cs="Times New Roman"/>
          <w:lang w:val="fr-FR"/>
        </w:rPr>
        <w:t xml:space="preserve"> </w:t>
      </w:r>
      <w:r w:rsidR="006B03CC" w:rsidRPr="00F66B6B">
        <w:rPr>
          <w:rFonts w:ascii="Times New Roman" w:hAnsi="Times New Roman" w:cs="Times New Roman"/>
          <w:lang w:val="fr-FR"/>
        </w:rPr>
        <w:t>2019-2021</w:t>
      </w:r>
      <w:r>
        <w:rPr>
          <w:rFonts w:ascii="Times New Roman" w:hAnsi="Times New Roman" w:cs="Times New Roman"/>
          <w:lang w:val="fr-FR"/>
        </w:rPr>
        <w:t xml:space="preserve"> de l’AEWA</w:t>
      </w:r>
      <w:r w:rsidRPr="009E1AAF">
        <w:rPr>
          <w:lang w:val="fr-FR"/>
        </w:rPr>
        <w:t> </w:t>
      </w:r>
      <w:r w:rsidR="006B03CC" w:rsidRPr="00F66B6B">
        <w:rPr>
          <w:rFonts w:ascii="Times New Roman" w:hAnsi="Times New Roman" w:cs="Times New Roman"/>
          <w:lang w:val="fr-FR"/>
        </w:rPr>
        <w:t xml:space="preserve">: </w:t>
      </w:r>
    </w:p>
    <w:p w:rsidR="006B03CC" w:rsidRPr="00F66B6B" w:rsidRDefault="006B03CC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Maintenir la cotisation minimale à</w:t>
      </w:r>
      <w:r w:rsidR="006B03CC" w:rsidRPr="00F66B6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</w:t>
      </w:r>
      <w:r w:rsidR="009E1AAF"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000 EUR</w:t>
      </w:r>
      <w:r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;</w:t>
      </w: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Fixer la contribution de l’UE au taux initial de</w:t>
      </w:r>
      <w:r w:rsidR="006B03CC" w:rsidRPr="00F66B6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2,</w:t>
      </w:r>
      <w:r w:rsidR="006B03CC" w:rsidRPr="00F66B6B">
        <w:rPr>
          <w:sz w:val="22"/>
          <w:szCs w:val="22"/>
          <w:lang w:val="fr-FR"/>
        </w:rPr>
        <w:t>5 %</w:t>
      </w:r>
      <w:r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;</w:t>
      </w: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Maintenir le seuil minimal à</w:t>
      </w:r>
      <w:r w:rsidR="006B03CC" w:rsidRPr="00F66B6B">
        <w:rPr>
          <w:sz w:val="22"/>
          <w:szCs w:val="22"/>
          <w:lang w:val="fr-FR"/>
        </w:rPr>
        <w:t xml:space="preserve"> 20 %</w:t>
      </w:r>
      <w:r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;</w:t>
      </w: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Revenir au barème des contributions de l’ONU tout en </w:t>
      </w:r>
      <w:r w:rsidR="00071DB4">
        <w:rPr>
          <w:sz w:val="22"/>
          <w:szCs w:val="22"/>
          <w:lang w:val="fr-FR"/>
        </w:rPr>
        <w:t>ménageant</w:t>
      </w:r>
      <w:r>
        <w:rPr>
          <w:sz w:val="22"/>
          <w:szCs w:val="22"/>
          <w:lang w:val="fr-FR"/>
        </w:rPr>
        <w:t xml:space="preserve"> une période de transition graduelle</w:t>
      </w:r>
      <w:r w:rsidR="006B03CC" w:rsidRPr="00F66B6B">
        <w:rPr>
          <w:sz w:val="22"/>
          <w:szCs w:val="22"/>
          <w:lang w:val="fr-FR"/>
        </w:rPr>
        <w:t xml:space="preserve"> </w:t>
      </w:r>
      <w:r w:rsidR="00866B25">
        <w:rPr>
          <w:sz w:val="22"/>
          <w:szCs w:val="22"/>
          <w:lang w:val="fr-FR"/>
        </w:rPr>
        <w:t>correspondant aux</w:t>
      </w:r>
      <w:r>
        <w:rPr>
          <w:sz w:val="22"/>
          <w:szCs w:val="22"/>
          <w:lang w:val="fr-FR"/>
        </w:rPr>
        <w:t xml:space="preserve"> cycles de la</w:t>
      </w:r>
      <w:r w:rsidR="006B03CC" w:rsidRPr="00F66B6B">
        <w:rPr>
          <w:sz w:val="22"/>
          <w:szCs w:val="22"/>
          <w:lang w:val="fr-FR"/>
        </w:rPr>
        <w:t xml:space="preserve"> MOP (six </w:t>
      </w:r>
      <w:r>
        <w:rPr>
          <w:sz w:val="22"/>
          <w:szCs w:val="22"/>
          <w:lang w:val="fr-FR"/>
        </w:rPr>
        <w:t>ans</w:t>
      </w:r>
      <w:r w:rsidR="006B03CC" w:rsidRPr="00F66B6B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 xml:space="preserve"> </w:t>
      </w:r>
      <w:r w:rsidR="006B03CC" w:rsidRPr="00F66B6B">
        <w:rPr>
          <w:sz w:val="22"/>
          <w:szCs w:val="22"/>
          <w:lang w:val="fr-FR"/>
        </w:rPr>
        <w:t>;</w:t>
      </w:r>
    </w:p>
    <w:p w:rsidR="00404F43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 xml:space="preserve">Geler les </w:t>
      </w:r>
      <w:r w:rsidR="00404F43" w:rsidRPr="00F66B6B">
        <w:rPr>
          <w:sz w:val="22"/>
          <w:szCs w:val="22"/>
          <w:lang w:val="fr-FR"/>
        </w:rPr>
        <w:t>contributions</w:t>
      </w:r>
      <w:r>
        <w:rPr>
          <w:sz w:val="22"/>
          <w:szCs w:val="22"/>
          <w:lang w:val="fr-FR"/>
        </w:rPr>
        <w:t>, qui sinon diminuer</w:t>
      </w:r>
      <w:r w:rsidR="00866B25">
        <w:rPr>
          <w:sz w:val="22"/>
          <w:szCs w:val="22"/>
          <w:lang w:val="fr-FR"/>
        </w:rPr>
        <w:t>aient</w:t>
      </w:r>
      <w:r>
        <w:rPr>
          <w:sz w:val="22"/>
          <w:szCs w:val="22"/>
          <w:lang w:val="fr-FR"/>
        </w:rPr>
        <w:t xml:space="preserve"> </w:t>
      </w:r>
      <w:r w:rsidR="00404F43" w:rsidRPr="00F66B6B">
        <w:rPr>
          <w:sz w:val="22"/>
          <w:szCs w:val="22"/>
          <w:lang w:val="fr-FR"/>
        </w:rPr>
        <w:t>;</w:t>
      </w:r>
    </w:p>
    <w:p w:rsidR="006B03CC" w:rsidRPr="00F66B6B" w:rsidRDefault="003950EB" w:rsidP="006B03C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Diriger les</w:t>
      </w:r>
      <w:r w:rsidR="006B03CC" w:rsidRPr="00F66B6B">
        <w:rPr>
          <w:sz w:val="22"/>
          <w:szCs w:val="22"/>
          <w:lang w:val="fr-FR"/>
        </w:rPr>
        <w:t xml:space="preserve"> contributions </w:t>
      </w:r>
      <w:r>
        <w:rPr>
          <w:sz w:val="22"/>
          <w:szCs w:val="22"/>
          <w:lang w:val="fr-FR"/>
        </w:rPr>
        <w:t>des nouvelles</w:t>
      </w:r>
      <w:r w:rsidR="006B03CC" w:rsidRPr="00F66B6B">
        <w:rPr>
          <w:sz w:val="22"/>
          <w:szCs w:val="22"/>
          <w:lang w:val="fr-FR"/>
        </w:rPr>
        <w:t xml:space="preserve"> Parties </w:t>
      </w:r>
      <w:r>
        <w:rPr>
          <w:sz w:val="22"/>
          <w:szCs w:val="22"/>
          <w:lang w:val="fr-FR"/>
        </w:rPr>
        <w:t>à l’</w:t>
      </w:r>
      <w:r w:rsidR="006B03CC" w:rsidRPr="00F66B6B">
        <w:rPr>
          <w:sz w:val="22"/>
          <w:szCs w:val="22"/>
          <w:lang w:val="fr-FR"/>
        </w:rPr>
        <w:t xml:space="preserve">AEWA </w:t>
      </w:r>
      <w:r>
        <w:rPr>
          <w:sz w:val="22"/>
          <w:szCs w:val="22"/>
          <w:lang w:val="fr-FR"/>
        </w:rPr>
        <w:t>vers le Fonds d’affectation spéciale</w:t>
      </w:r>
      <w:r w:rsidR="006B03CC" w:rsidRPr="00F66B6B">
        <w:rPr>
          <w:sz w:val="22"/>
          <w:szCs w:val="22"/>
          <w:lang w:val="fr-FR"/>
        </w:rPr>
        <w:t xml:space="preserve">. </w:t>
      </w:r>
    </w:p>
    <w:p w:rsidR="006B03CC" w:rsidRPr="00F66B6B" w:rsidRDefault="006B03CC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532614" w:rsidRPr="00F66B6B" w:rsidRDefault="00532614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532614" w:rsidRPr="00F66B6B" w:rsidRDefault="00532614" w:rsidP="00B81380">
      <w:pPr>
        <w:pStyle w:val="ListParagraph"/>
        <w:numPr>
          <w:ilvl w:val="0"/>
          <w:numId w:val="11"/>
        </w:numPr>
        <w:spacing w:line="276" w:lineRule="auto"/>
        <w:ind w:left="270" w:hanging="270"/>
        <w:jc w:val="both"/>
        <w:rPr>
          <w:b/>
          <w:u w:val="single"/>
          <w:lang w:val="fr-FR"/>
        </w:rPr>
      </w:pPr>
      <w:r w:rsidRPr="00F66B6B">
        <w:rPr>
          <w:b/>
          <w:u w:val="single"/>
          <w:lang w:val="fr-FR"/>
        </w:rPr>
        <w:t>M</w:t>
      </w:r>
      <w:r w:rsidR="003950EB">
        <w:rPr>
          <w:b/>
          <w:u w:val="single"/>
          <w:lang w:val="fr-FR"/>
        </w:rPr>
        <w:t>é</w:t>
      </w:r>
      <w:r w:rsidRPr="00F66B6B">
        <w:rPr>
          <w:b/>
          <w:u w:val="single"/>
          <w:lang w:val="fr-FR"/>
        </w:rPr>
        <w:t>thod</w:t>
      </w:r>
      <w:r w:rsidR="003950EB">
        <w:rPr>
          <w:b/>
          <w:u w:val="single"/>
          <w:lang w:val="fr-FR"/>
        </w:rPr>
        <w:t>e employée pour élaborer le barème des</w:t>
      </w:r>
      <w:r w:rsidRPr="00F66B6B">
        <w:rPr>
          <w:b/>
          <w:u w:val="single"/>
          <w:lang w:val="fr-FR"/>
        </w:rPr>
        <w:t xml:space="preserve"> contributions 2019-2021</w:t>
      </w:r>
    </w:p>
    <w:p w:rsidR="006B03CC" w:rsidRPr="00F66B6B" w:rsidRDefault="006B03CC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E795E" w:rsidRPr="00F66B6B" w:rsidRDefault="003950EB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donner suite à la</w:t>
      </w:r>
      <w:r w:rsidR="006B03CC" w:rsidRPr="00F66B6B">
        <w:rPr>
          <w:rFonts w:ascii="Times New Roman" w:hAnsi="Times New Roman" w:cs="Times New Roman"/>
          <w:lang w:val="fr-FR"/>
        </w:rPr>
        <w:t xml:space="preserve"> R</w:t>
      </w:r>
      <w:r>
        <w:rPr>
          <w:rFonts w:ascii="Times New Roman" w:hAnsi="Times New Roman" w:cs="Times New Roman"/>
          <w:lang w:val="fr-FR"/>
        </w:rPr>
        <w:t>é</w:t>
      </w:r>
      <w:r w:rsidR="006B03CC" w:rsidRPr="00F66B6B">
        <w:rPr>
          <w:rFonts w:ascii="Times New Roman" w:hAnsi="Times New Roman" w:cs="Times New Roman"/>
          <w:lang w:val="fr-FR"/>
        </w:rPr>
        <w:t xml:space="preserve">solution 6.18 </w:t>
      </w:r>
      <w:r>
        <w:rPr>
          <w:rFonts w:ascii="Times New Roman" w:hAnsi="Times New Roman" w:cs="Times New Roman"/>
          <w:lang w:val="fr-FR"/>
        </w:rPr>
        <w:t xml:space="preserve">et aux décisions intersessions du Comité permanent à </w:t>
      </w:r>
      <w:r w:rsidR="002B2AAD">
        <w:rPr>
          <w:rFonts w:ascii="Times New Roman" w:hAnsi="Times New Roman" w:cs="Times New Roman"/>
          <w:lang w:val="fr-FR"/>
        </w:rPr>
        <w:t>l’</w:t>
      </w:r>
      <w:r w:rsidR="002B2AAD" w:rsidRPr="00F66B6B">
        <w:rPr>
          <w:rFonts w:ascii="Times New Roman" w:hAnsi="Times New Roman" w:cs="Times New Roman"/>
          <w:lang w:val="fr-FR"/>
        </w:rPr>
        <w:t>AEWA,</w:t>
      </w:r>
      <w:r>
        <w:rPr>
          <w:rFonts w:ascii="Times New Roman" w:hAnsi="Times New Roman" w:cs="Times New Roman"/>
          <w:lang w:val="fr-FR"/>
        </w:rPr>
        <w:t xml:space="preserve"> le Secrétariat a élaboré un barème des</w:t>
      </w:r>
      <w:r w:rsidR="00AE6A86" w:rsidRPr="00F66B6B">
        <w:rPr>
          <w:rFonts w:ascii="Times New Roman" w:hAnsi="Times New Roman" w:cs="Times New Roman"/>
          <w:lang w:val="fr-FR"/>
        </w:rPr>
        <w:t xml:space="preserve"> contribution</w:t>
      </w:r>
      <w:r>
        <w:rPr>
          <w:rFonts w:ascii="Times New Roman" w:hAnsi="Times New Roman" w:cs="Times New Roman"/>
          <w:lang w:val="fr-FR"/>
        </w:rPr>
        <w:t>s</w:t>
      </w:r>
      <w:r w:rsidR="00AE6A86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qui </w:t>
      </w:r>
      <w:r w:rsidR="00071DB4">
        <w:rPr>
          <w:rFonts w:ascii="Times New Roman" w:hAnsi="Times New Roman" w:cs="Times New Roman"/>
          <w:lang w:val="fr-FR"/>
        </w:rPr>
        <w:t>revient au</w:t>
      </w:r>
      <w:r>
        <w:rPr>
          <w:rFonts w:ascii="Times New Roman" w:hAnsi="Times New Roman" w:cs="Times New Roman"/>
          <w:lang w:val="fr-FR"/>
        </w:rPr>
        <w:t xml:space="preserve"> barème de l’ONU</w:t>
      </w:r>
      <w:r w:rsidR="00AE6A86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comme le prévoit </w:t>
      </w:r>
      <w:r w:rsidR="00071DB4">
        <w:rPr>
          <w:rFonts w:ascii="Times New Roman" w:hAnsi="Times New Roman" w:cs="Times New Roman"/>
          <w:lang w:val="fr-FR"/>
        </w:rPr>
        <w:t>notamment</w:t>
      </w:r>
      <w:r>
        <w:rPr>
          <w:rFonts w:ascii="Times New Roman" w:hAnsi="Times New Roman" w:cs="Times New Roman"/>
          <w:lang w:val="fr-FR"/>
        </w:rPr>
        <w:t xml:space="preserve"> l’Accord</w:t>
      </w:r>
      <w:r w:rsidR="00AE6A86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mais avec une période de transition graduelle</w:t>
      </w:r>
      <w:r w:rsidR="00AE6A86" w:rsidRPr="00F66B6B">
        <w:rPr>
          <w:rFonts w:ascii="Times New Roman" w:hAnsi="Times New Roman" w:cs="Times New Roman"/>
          <w:lang w:val="fr-FR"/>
        </w:rPr>
        <w:t xml:space="preserve"> consist</w:t>
      </w:r>
      <w:r>
        <w:rPr>
          <w:rFonts w:ascii="Times New Roman" w:hAnsi="Times New Roman" w:cs="Times New Roman"/>
          <w:lang w:val="fr-FR"/>
        </w:rPr>
        <w:t>ant en deux cycles de la</w:t>
      </w:r>
      <w:r w:rsidR="00AE6A86" w:rsidRPr="00F66B6B">
        <w:rPr>
          <w:rFonts w:ascii="Times New Roman" w:hAnsi="Times New Roman" w:cs="Times New Roman"/>
          <w:lang w:val="fr-FR"/>
        </w:rPr>
        <w:t xml:space="preserve"> MOP (six </w:t>
      </w:r>
      <w:r>
        <w:rPr>
          <w:rFonts w:ascii="Times New Roman" w:hAnsi="Times New Roman" w:cs="Times New Roman"/>
          <w:lang w:val="fr-FR"/>
        </w:rPr>
        <w:t>ans</w:t>
      </w:r>
      <w:r w:rsidR="00AE6A86" w:rsidRPr="00F66B6B">
        <w:rPr>
          <w:rFonts w:ascii="Times New Roman" w:hAnsi="Times New Roman" w:cs="Times New Roman"/>
          <w:lang w:val="fr-FR"/>
        </w:rPr>
        <w:t xml:space="preserve">). </w:t>
      </w:r>
    </w:p>
    <w:p w:rsidR="002E795E" w:rsidRPr="00F66B6B" w:rsidRDefault="003950EB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contribution minimale</w:t>
      </w:r>
      <w:r w:rsidR="002E795E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 w:rsidR="002E795E" w:rsidRPr="00F66B6B">
        <w:rPr>
          <w:rFonts w:ascii="Times New Roman" w:hAnsi="Times New Roman" w:cs="Times New Roman"/>
          <w:lang w:val="fr-FR"/>
        </w:rPr>
        <w:t>2</w:t>
      </w:r>
      <w:r w:rsidR="009E1AAF"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lang w:val="fr-FR"/>
        </w:rPr>
        <w:t xml:space="preserve">000 EUR </w:t>
      </w:r>
      <w:r>
        <w:rPr>
          <w:rFonts w:ascii="Times New Roman" w:hAnsi="Times New Roman" w:cs="Times New Roman"/>
          <w:lang w:val="fr-FR"/>
        </w:rPr>
        <w:t>a été maintenue, la contribution de l’UE a été fixée à</w:t>
      </w:r>
      <w:r w:rsidR="002E795E" w:rsidRPr="00F66B6B">
        <w:rPr>
          <w:rFonts w:ascii="Times New Roman" w:hAnsi="Times New Roman" w:cs="Times New Roman"/>
          <w:lang w:val="fr-FR"/>
        </w:rPr>
        <w:t xml:space="preserve"> 2</w:t>
      </w:r>
      <w:r>
        <w:rPr>
          <w:rFonts w:ascii="Times New Roman" w:hAnsi="Times New Roman" w:cs="Times New Roman"/>
          <w:lang w:val="fr-FR"/>
        </w:rPr>
        <w:t>,</w:t>
      </w:r>
      <w:r w:rsidR="002E795E" w:rsidRPr="00F66B6B">
        <w:rPr>
          <w:rFonts w:ascii="Times New Roman" w:hAnsi="Times New Roman" w:cs="Times New Roman"/>
          <w:lang w:val="fr-FR"/>
        </w:rPr>
        <w:t xml:space="preserve">5 % </w:t>
      </w:r>
      <w:r>
        <w:rPr>
          <w:rFonts w:ascii="Times New Roman" w:hAnsi="Times New Roman" w:cs="Times New Roman"/>
          <w:lang w:val="fr-FR"/>
        </w:rPr>
        <w:t>et le seuil maximal de</w:t>
      </w:r>
      <w:r w:rsidR="002E795E" w:rsidRPr="00F66B6B">
        <w:rPr>
          <w:rFonts w:ascii="Times New Roman" w:hAnsi="Times New Roman" w:cs="Times New Roman"/>
          <w:lang w:val="fr-FR"/>
        </w:rPr>
        <w:t xml:space="preserve"> 20 % a</w:t>
      </w:r>
      <w:r>
        <w:rPr>
          <w:rFonts w:ascii="Times New Roman" w:hAnsi="Times New Roman" w:cs="Times New Roman"/>
          <w:lang w:val="fr-FR"/>
        </w:rPr>
        <w:t xml:space="preserve"> été </w:t>
      </w:r>
      <w:r w:rsidR="00866B25">
        <w:rPr>
          <w:rFonts w:ascii="Times New Roman" w:hAnsi="Times New Roman" w:cs="Times New Roman"/>
          <w:lang w:val="fr-FR"/>
        </w:rPr>
        <w:t>conservé</w:t>
      </w:r>
      <w:r w:rsidR="002E795E" w:rsidRPr="00F66B6B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voir ci-dessus</w:t>
      </w:r>
      <w:r w:rsidR="002E795E" w:rsidRPr="00F66B6B">
        <w:rPr>
          <w:rFonts w:ascii="Times New Roman" w:hAnsi="Times New Roman" w:cs="Times New Roman"/>
          <w:lang w:val="fr-FR"/>
        </w:rPr>
        <w:t xml:space="preserve"> a) - c). </w:t>
      </w:r>
    </w:p>
    <w:p w:rsidR="002E795E" w:rsidRPr="00F66B6B" w:rsidRDefault="002E795E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E795E" w:rsidRPr="00F66B6B" w:rsidRDefault="003950EB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mesures supplémentaires ont été prises pour calculer les</w:t>
      </w:r>
      <w:r w:rsidR="002E795E" w:rsidRPr="00F66B6B">
        <w:rPr>
          <w:rFonts w:ascii="Times New Roman" w:hAnsi="Times New Roman" w:cs="Times New Roman"/>
          <w:lang w:val="fr-FR"/>
        </w:rPr>
        <w:t xml:space="preserve"> contributions</w:t>
      </w:r>
      <w:r w:rsidR="003147F0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finales </w:t>
      </w:r>
      <w:r w:rsidR="003147F0" w:rsidRPr="00F66B6B"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  <w:lang w:val="fr-FR"/>
        </w:rPr>
        <w:t>étape</w:t>
      </w:r>
      <w:r w:rsidR="00616225">
        <w:rPr>
          <w:rFonts w:ascii="Times New Roman" w:hAnsi="Times New Roman" w:cs="Times New Roman"/>
          <w:lang w:val="fr-FR"/>
        </w:rPr>
        <w:t>s</w:t>
      </w:r>
      <w:r w:rsidR="003147F0" w:rsidRPr="00F66B6B">
        <w:rPr>
          <w:rFonts w:ascii="Times New Roman" w:hAnsi="Times New Roman" w:cs="Times New Roman"/>
          <w:lang w:val="fr-FR"/>
        </w:rPr>
        <w:t xml:space="preserve"> d</w:t>
      </w:r>
      <w:r w:rsidR="004E0D4E" w:rsidRPr="00F66B6B">
        <w:rPr>
          <w:rFonts w:ascii="Times New Roman" w:hAnsi="Times New Roman" w:cs="Times New Roman"/>
          <w:lang w:val="fr-FR"/>
        </w:rPr>
        <w:t xml:space="preserve">) </w:t>
      </w:r>
      <w:r w:rsidR="00616225">
        <w:rPr>
          <w:rFonts w:ascii="Times New Roman" w:hAnsi="Times New Roman" w:cs="Times New Roman"/>
          <w:lang w:val="fr-FR"/>
        </w:rPr>
        <w:t>et</w:t>
      </w:r>
      <w:r w:rsidR="004E0D4E" w:rsidRPr="00F66B6B">
        <w:rPr>
          <w:rFonts w:ascii="Times New Roman" w:hAnsi="Times New Roman" w:cs="Times New Roman"/>
          <w:lang w:val="fr-FR"/>
        </w:rPr>
        <w:t xml:space="preserve"> e)</w:t>
      </w:r>
      <w:r w:rsidR="003147F0" w:rsidRPr="00F66B6B">
        <w:rPr>
          <w:rFonts w:ascii="Times New Roman" w:hAnsi="Times New Roman" w:cs="Times New Roman"/>
          <w:lang w:val="fr-FR"/>
        </w:rPr>
        <w:t xml:space="preserve"> </w:t>
      </w:r>
      <w:r w:rsidR="00616225">
        <w:rPr>
          <w:rFonts w:ascii="Times New Roman" w:hAnsi="Times New Roman" w:cs="Times New Roman"/>
          <w:lang w:val="fr-FR"/>
        </w:rPr>
        <w:t>des critères ci-dessus</w:t>
      </w:r>
      <w:r w:rsidR="003147F0" w:rsidRPr="00F66B6B">
        <w:rPr>
          <w:rFonts w:ascii="Times New Roman" w:hAnsi="Times New Roman" w:cs="Times New Roman"/>
          <w:lang w:val="fr-FR"/>
        </w:rPr>
        <w:t>)</w:t>
      </w:r>
      <w:r w:rsidR="00616225"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lang w:val="fr-FR"/>
        </w:rPr>
        <w:t>:</w:t>
      </w:r>
    </w:p>
    <w:p w:rsidR="002E795E" w:rsidRPr="00F66B6B" w:rsidRDefault="002E795E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E795E" w:rsidRPr="00F66B6B" w:rsidRDefault="00616225" w:rsidP="002E795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Toutes les</w:t>
      </w:r>
      <w:r w:rsidR="002E795E" w:rsidRPr="00F66B6B">
        <w:rPr>
          <w:sz w:val="22"/>
          <w:szCs w:val="22"/>
          <w:lang w:val="fr-FR"/>
        </w:rPr>
        <w:t xml:space="preserve"> contributions </w:t>
      </w:r>
      <w:r>
        <w:rPr>
          <w:sz w:val="22"/>
          <w:szCs w:val="22"/>
          <w:lang w:val="fr-FR"/>
        </w:rPr>
        <w:t xml:space="preserve">qui diminueraient par rapport à celles de la </w:t>
      </w:r>
      <w:r w:rsidR="002E795E" w:rsidRPr="00F66B6B">
        <w:rPr>
          <w:sz w:val="22"/>
          <w:szCs w:val="22"/>
          <w:lang w:val="fr-FR"/>
        </w:rPr>
        <w:t xml:space="preserve">MOP6 </w:t>
      </w:r>
      <w:r>
        <w:rPr>
          <w:sz w:val="22"/>
          <w:szCs w:val="22"/>
          <w:lang w:val="fr-FR"/>
        </w:rPr>
        <w:t>ont été gelées à leur montant actuel</w:t>
      </w:r>
      <w:r w:rsidR="002E795E" w:rsidRPr="00F66B6B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 xml:space="preserve">Cela a permis une « économie » de </w:t>
      </w:r>
      <w:r w:rsidR="002E795E" w:rsidRPr="00F66B6B">
        <w:rPr>
          <w:sz w:val="22"/>
          <w:szCs w:val="22"/>
          <w:lang w:val="fr-FR"/>
        </w:rPr>
        <w:t>121</w:t>
      </w:r>
      <w:r>
        <w:rPr>
          <w:sz w:val="22"/>
          <w:szCs w:val="22"/>
          <w:lang w:val="fr-FR"/>
        </w:rPr>
        <w:t xml:space="preserve"> </w:t>
      </w:r>
      <w:r w:rsidR="002E795E" w:rsidRPr="00F66B6B">
        <w:rPr>
          <w:sz w:val="22"/>
          <w:szCs w:val="22"/>
          <w:lang w:val="fr-FR"/>
        </w:rPr>
        <w:t>428 EUR.</w:t>
      </w:r>
    </w:p>
    <w:p w:rsidR="00BF2FA4" w:rsidRPr="00F66B6B" w:rsidRDefault="00BF2FA4" w:rsidP="00BF2FA4">
      <w:pPr>
        <w:pStyle w:val="ListParagraph"/>
        <w:spacing w:line="276" w:lineRule="auto"/>
        <w:jc w:val="both"/>
        <w:rPr>
          <w:sz w:val="12"/>
          <w:szCs w:val="12"/>
          <w:lang w:val="fr-FR"/>
        </w:rPr>
      </w:pPr>
    </w:p>
    <w:p w:rsidR="002E795E" w:rsidRPr="00F66B6B" w:rsidRDefault="00616225" w:rsidP="002E795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montant de</w:t>
      </w:r>
      <w:r w:rsidR="002E795E" w:rsidRPr="00F66B6B">
        <w:rPr>
          <w:sz w:val="22"/>
          <w:szCs w:val="22"/>
          <w:lang w:val="fr-FR"/>
        </w:rPr>
        <w:t xml:space="preserve"> 121</w:t>
      </w:r>
      <w:r>
        <w:rPr>
          <w:sz w:val="22"/>
          <w:szCs w:val="22"/>
          <w:lang w:val="fr-FR"/>
        </w:rPr>
        <w:t xml:space="preserve"> </w:t>
      </w:r>
      <w:r w:rsidR="002E795E" w:rsidRPr="00F66B6B">
        <w:rPr>
          <w:sz w:val="22"/>
          <w:szCs w:val="22"/>
          <w:lang w:val="fr-FR"/>
        </w:rPr>
        <w:t>428 EUR a</w:t>
      </w:r>
      <w:r>
        <w:rPr>
          <w:sz w:val="22"/>
          <w:szCs w:val="22"/>
          <w:lang w:val="fr-FR"/>
        </w:rPr>
        <w:t xml:space="preserve"> été utilisé pour réduire les</w:t>
      </w:r>
      <w:r w:rsidR="002E795E" w:rsidRPr="00F66B6B">
        <w:rPr>
          <w:sz w:val="22"/>
          <w:szCs w:val="22"/>
          <w:lang w:val="fr-FR"/>
        </w:rPr>
        <w:t xml:space="preserve"> contributions </w:t>
      </w:r>
      <w:r>
        <w:rPr>
          <w:sz w:val="22"/>
          <w:szCs w:val="22"/>
          <w:lang w:val="fr-FR"/>
        </w:rPr>
        <w:t>des Parties qui, sinon, apporteraient une contribution de plus de</w:t>
      </w:r>
      <w:r w:rsidR="002E795E" w:rsidRPr="00F66B6B">
        <w:rPr>
          <w:sz w:val="22"/>
          <w:szCs w:val="22"/>
          <w:lang w:val="fr-FR"/>
        </w:rPr>
        <w:t xml:space="preserve"> 10</w:t>
      </w:r>
      <w:r>
        <w:rPr>
          <w:sz w:val="22"/>
          <w:szCs w:val="22"/>
          <w:lang w:val="fr-FR"/>
        </w:rPr>
        <w:t xml:space="preserve"> </w:t>
      </w:r>
      <w:r w:rsidR="002E795E" w:rsidRPr="00F66B6B">
        <w:rPr>
          <w:sz w:val="22"/>
          <w:szCs w:val="22"/>
          <w:lang w:val="fr-FR"/>
        </w:rPr>
        <w:t xml:space="preserve">% </w:t>
      </w:r>
      <w:r>
        <w:rPr>
          <w:sz w:val="22"/>
          <w:szCs w:val="22"/>
          <w:lang w:val="fr-FR"/>
        </w:rPr>
        <w:t xml:space="preserve">au budget principal </w:t>
      </w:r>
      <w:r w:rsidR="002E795E" w:rsidRPr="00F66B6B">
        <w:rPr>
          <w:sz w:val="22"/>
          <w:szCs w:val="22"/>
          <w:lang w:val="fr-FR"/>
        </w:rPr>
        <w:t xml:space="preserve">; </w:t>
      </w:r>
      <w:r>
        <w:rPr>
          <w:sz w:val="22"/>
          <w:szCs w:val="22"/>
          <w:lang w:val="fr-FR"/>
        </w:rPr>
        <w:t xml:space="preserve">les </w:t>
      </w:r>
      <w:r w:rsidR="002E795E" w:rsidRPr="00F66B6B">
        <w:rPr>
          <w:sz w:val="22"/>
          <w:szCs w:val="22"/>
          <w:lang w:val="fr-FR"/>
        </w:rPr>
        <w:t xml:space="preserve">contributions </w:t>
      </w:r>
      <w:r>
        <w:rPr>
          <w:sz w:val="22"/>
          <w:szCs w:val="22"/>
          <w:lang w:val="fr-FR"/>
        </w:rPr>
        <w:t>qui étaient inférieures</w:t>
      </w:r>
      <w:r w:rsidR="002E795E" w:rsidRPr="00F66B6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au montant adopté lors de la</w:t>
      </w:r>
      <w:r w:rsidR="002E795E" w:rsidRPr="00F66B6B">
        <w:rPr>
          <w:sz w:val="22"/>
          <w:szCs w:val="22"/>
          <w:lang w:val="fr-FR"/>
        </w:rPr>
        <w:t xml:space="preserve"> MOP6 </w:t>
      </w:r>
      <w:r>
        <w:rPr>
          <w:sz w:val="22"/>
          <w:szCs w:val="22"/>
          <w:lang w:val="fr-FR"/>
        </w:rPr>
        <w:t>au cours de cet exercice</w:t>
      </w:r>
      <w:r w:rsidR="003147F0" w:rsidRPr="00F66B6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ont de nouveau été gelées et « l’économie » a été utilisée pour </w:t>
      </w:r>
      <w:r w:rsidR="00071DB4">
        <w:rPr>
          <w:sz w:val="22"/>
          <w:szCs w:val="22"/>
          <w:lang w:val="fr-FR"/>
        </w:rPr>
        <w:t>réduire</w:t>
      </w:r>
      <w:r>
        <w:rPr>
          <w:sz w:val="22"/>
          <w:szCs w:val="22"/>
          <w:lang w:val="fr-FR"/>
        </w:rPr>
        <w:t xml:space="preserve"> davantage les contributions les plus affectées</w:t>
      </w:r>
      <w:r w:rsidR="003147F0" w:rsidRPr="00F66B6B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c’est-à-dire ayant le plus augmenté</w:t>
      </w:r>
      <w:r w:rsidR="003147F0" w:rsidRPr="00F66B6B">
        <w:rPr>
          <w:sz w:val="22"/>
          <w:szCs w:val="22"/>
          <w:lang w:val="fr-FR"/>
        </w:rPr>
        <w:t>)</w:t>
      </w:r>
      <w:r w:rsidR="002E795E" w:rsidRPr="00F66B6B">
        <w:rPr>
          <w:sz w:val="22"/>
          <w:szCs w:val="22"/>
          <w:lang w:val="fr-FR"/>
        </w:rPr>
        <w:t xml:space="preserve">.   </w:t>
      </w:r>
    </w:p>
    <w:p w:rsidR="002E795E" w:rsidRPr="00F66B6B" w:rsidRDefault="002E795E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95281D" w:rsidRPr="00F66B6B" w:rsidRDefault="00616225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Ainsi, le barème proposé représente</w:t>
      </w:r>
      <w:r w:rsidR="009C0BC4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u</w:t>
      </w:r>
      <w:r w:rsidR="00404F43" w:rsidRPr="00F66B6B">
        <w:rPr>
          <w:rFonts w:ascii="Times New Roman" w:hAnsi="Times New Roman" w:cs="Times New Roman"/>
          <w:b/>
          <w:lang w:val="fr-FR"/>
        </w:rPr>
        <w:t>n</w:t>
      </w:r>
      <w:r>
        <w:rPr>
          <w:rFonts w:ascii="Times New Roman" w:hAnsi="Times New Roman" w:cs="Times New Roman"/>
          <w:b/>
          <w:lang w:val="fr-FR"/>
        </w:rPr>
        <w:t>e</w:t>
      </w:r>
      <w:r w:rsidR="00404F43" w:rsidRPr="00F66B6B">
        <w:rPr>
          <w:rFonts w:ascii="Times New Roman" w:hAnsi="Times New Roman" w:cs="Times New Roman"/>
          <w:b/>
          <w:lang w:val="fr-FR"/>
        </w:rPr>
        <w:t xml:space="preserve"> approch</w:t>
      </w:r>
      <w:r>
        <w:rPr>
          <w:rFonts w:ascii="Times New Roman" w:hAnsi="Times New Roman" w:cs="Times New Roman"/>
          <w:b/>
          <w:lang w:val="fr-FR"/>
        </w:rPr>
        <w:t>e</w:t>
      </w:r>
      <w:r w:rsidR="00404F43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qui se rapproche progressivement du barème des contributions de l’ONU</w:t>
      </w:r>
      <w:r w:rsidR="009C0BC4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avec l’intégration des critères susmentionnés et des mesures supplémentaires prises pour la période de transition</w:t>
      </w:r>
      <w:r w:rsidR="009C0BC4" w:rsidRPr="00F66B6B">
        <w:rPr>
          <w:rFonts w:ascii="Times New Roman" w:hAnsi="Times New Roman" w:cs="Times New Roman"/>
          <w:lang w:val="fr-FR"/>
        </w:rPr>
        <w:t>.</w:t>
      </w:r>
    </w:p>
    <w:p w:rsidR="00816B29" w:rsidRPr="00F66B6B" w:rsidRDefault="00816B29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2E795E" w:rsidRPr="00F66B6B" w:rsidRDefault="00616225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L’a</w:t>
      </w:r>
      <w:r w:rsidR="003C5EEA" w:rsidRPr="00F66B6B">
        <w:rPr>
          <w:rFonts w:ascii="Times New Roman" w:hAnsi="Times New Roman" w:cs="Times New Roman"/>
          <w:b/>
          <w:lang w:val="fr-FR"/>
        </w:rPr>
        <w:t>nnex</w:t>
      </w:r>
      <w:r>
        <w:rPr>
          <w:rFonts w:ascii="Times New Roman" w:hAnsi="Times New Roman" w:cs="Times New Roman"/>
          <w:b/>
          <w:lang w:val="fr-FR"/>
        </w:rPr>
        <w:t>e</w:t>
      </w:r>
      <w:r w:rsidR="003C5EEA" w:rsidRPr="00F66B6B">
        <w:rPr>
          <w:rFonts w:ascii="Times New Roman" w:hAnsi="Times New Roman" w:cs="Times New Roman"/>
          <w:b/>
          <w:lang w:val="fr-FR"/>
        </w:rPr>
        <w:t xml:space="preserve"> </w:t>
      </w:r>
      <w:r w:rsidR="006F7D0F" w:rsidRPr="00F66B6B">
        <w:rPr>
          <w:rFonts w:ascii="Times New Roman" w:hAnsi="Times New Roman" w:cs="Times New Roman"/>
          <w:b/>
          <w:lang w:val="fr-FR"/>
        </w:rPr>
        <w:t>1</w:t>
      </w:r>
      <w:r>
        <w:rPr>
          <w:rFonts w:ascii="Times New Roman" w:hAnsi="Times New Roman" w:cs="Times New Roman"/>
          <w:lang w:val="fr-FR"/>
        </w:rPr>
        <w:t xml:space="preserve"> fournit un</w:t>
      </w:r>
      <w:r w:rsidR="00063BF3" w:rsidRPr="00F66B6B">
        <w:rPr>
          <w:rFonts w:ascii="Times New Roman" w:hAnsi="Times New Roman" w:cs="Times New Roman"/>
          <w:lang w:val="fr-FR"/>
        </w:rPr>
        <w:t xml:space="preserve"> table</w:t>
      </w:r>
      <w:r>
        <w:rPr>
          <w:rFonts w:ascii="Times New Roman" w:hAnsi="Times New Roman" w:cs="Times New Roman"/>
          <w:lang w:val="fr-FR"/>
        </w:rPr>
        <w:t>au</w:t>
      </w:r>
      <w:r w:rsidR="00063BF3" w:rsidRPr="00F66B6B"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lang w:val="fr-FR"/>
        </w:rPr>
        <w:t>compar</w:t>
      </w:r>
      <w:r>
        <w:rPr>
          <w:rFonts w:ascii="Times New Roman" w:hAnsi="Times New Roman" w:cs="Times New Roman"/>
          <w:lang w:val="fr-FR"/>
        </w:rPr>
        <w:t>ant les chiffres de la</w:t>
      </w:r>
      <w:r w:rsidR="002E795E" w:rsidRPr="00F66B6B">
        <w:rPr>
          <w:rFonts w:ascii="Times New Roman" w:hAnsi="Times New Roman" w:cs="Times New Roman"/>
          <w:lang w:val="fr-FR"/>
        </w:rPr>
        <w:t xml:space="preserve"> MOP6 </w:t>
      </w:r>
      <w:r>
        <w:rPr>
          <w:rFonts w:ascii="Times New Roman" w:hAnsi="Times New Roman" w:cs="Times New Roman"/>
          <w:lang w:val="fr-FR"/>
        </w:rPr>
        <w:t>à ceux de la</w:t>
      </w:r>
      <w:r w:rsidR="002E795E" w:rsidRPr="00F66B6B">
        <w:rPr>
          <w:rFonts w:ascii="Times New Roman" w:hAnsi="Times New Roman" w:cs="Times New Roman"/>
          <w:lang w:val="fr-FR"/>
        </w:rPr>
        <w:t xml:space="preserve"> MOP7 (Sc</w:t>
      </w:r>
      <w:r>
        <w:rPr>
          <w:rFonts w:ascii="Times New Roman" w:hAnsi="Times New Roman" w:cs="Times New Roman"/>
          <w:lang w:val="fr-FR"/>
        </w:rPr>
        <w:t>é</w:t>
      </w:r>
      <w:r w:rsidR="002E795E" w:rsidRPr="00F66B6B">
        <w:rPr>
          <w:rFonts w:ascii="Times New Roman" w:hAnsi="Times New Roman" w:cs="Times New Roman"/>
          <w:lang w:val="fr-FR"/>
        </w:rPr>
        <w:t xml:space="preserve">nario 1 </w:t>
      </w:r>
      <w:r>
        <w:rPr>
          <w:rFonts w:ascii="Times New Roman" w:hAnsi="Times New Roman" w:cs="Times New Roman"/>
          <w:lang w:val="fr-FR"/>
        </w:rPr>
        <w:t>–</w:t>
      </w:r>
      <w:r w:rsidR="002E795E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croissance nominale </w:t>
      </w:r>
      <w:r w:rsidR="007A0087">
        <w:rPr>
          <w:rFonts w:ascii="Times New Roman" w:hAnsi="Times New Roman" w:cs="Times New Roman"/>
          <w:lang w:val="fr-FR"/>
        </w:rPr>
        <w:t>nulle</w:t>
      </w:r>
      <w:r w:rsidR="002E795E" w:rsidRPr="00F66B6B">
        <w:rPr>
          <w:rFonts w:ascii="Times New Roman" w:hAnsi="Times New Roman" w:cs="Times New Roman"/>
          <w:lang w:val="fr-FR"/>
        </w:rPr>
        <w:t>).</w:t>
      </w:r>
    </w:p>
    <w:p w:rsidR="002E795E" w:rsidRPr="00F66B6B" w:rsidRDefault="00616225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première colonne </w:t>
      </w:r>
      <w:r w:rsidR="007D3737">
        <w:rPr>
          <w:rFonts w:ascii="Times New Roman" w:hAnsi="Times New Roman" w:cs="Times New Roman"/>
          <w:lang w:val="fr-FR"/>
        </w:rPr>
        <w:t>mentionnant</w:t>
      </w:r>
      <w:r>
        <w:rPr>
          <w:rFonts w:ascii="Times New Roman" w:hAnsi="Times New Roman" w:cs="Times New Roman"/>
          <w:lang w:val="fr-FR"/>
        </w:rPr>
        <w:t xml:space="preserve"> les contributions</w:t>
      </w:r>
      <w:r w:rsidR="002E795E" w:rsidRPr="00F66B6B">
        <w:rPr>
          <w:rFonts w:ascii="Times New Roman" w:hAnsi="Times New Roman" w:cs="Times New Roman"/>
          <w:lang w:val="fr-FR"/>
        </w:rPr>
        <w:t xml:space="preserve"> (</w:t>
      </w:r>
      <w:r w:rsidRPr="00616225">
        <w:rPr>
          <w:rFonts w:ascii="Times New Roman" w:hAnsi="Times New Roman" w:cs="Times New Roman"/>
          <w:b/>
          <w:lang w:val="fr-FR"/>
        </w:rPr>
        <w:t>« proposition</w:t>
      </w:r>
      <w:r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b/>
          <w:lang w:val="fr-FR"/>
        </w:rPr>
        <w:t>MOP6</w:t>
      </w:r>
      <w:r>
        <w:rPr>
          <w:rFonts w:ascii="Times New Roman" w:hAnsi="Times New Roman" w:cs="Times New Roman"/>
          <w:b/>
          <w:lang w:val="fr-FR"/>
        </w:rPr>
        <w:t> »</w:t>
      </w:r>
      <w:r w:rsidR="002E795E" w:rsidRPr="00F66B6B">
        <w:rPr>
          <w:rFonts w:ascii="Times New Roman" w:hAnsi="Times New Roman" w:cs="Times New Roman"/>
          <w:lang w:val="fr-FR"/>
        </w:rPr>
        <w:t xml:space="preserve">) </w:t>
      </w:r>
      <w:r>
        <w:rPr>
          <w:rFonts w:ascii="Times New Roman" w:hAnsi="Times New Roman" w:cs="Times New Roman"/>
          <w:lang w:val="fr-FR"/>
        </w:rPr>
        <w:t>montre les</w:t>
      </w:r>
      <w:r w:rsidR="002E795E" w:rsidRPr="00F66B6B">
        <w:rPr>
          <w:rFonts w:ascii="Times New Roman" w:hAnsi="Times New Roman" w:cs="Times New Roman"/>
          <w:lang w:val="fr-FR"/>
        </w:rPr>
        <w:t xml:space="preserve"> contributions </w:t>
      </w:r>
      <w:r>
        <w:rPr>
          <w:rFonts w:ascii="Times New Roman" w:hAnsi="Times New Roman" w:cs="Times New Roman"/>
          <w:lang w:val="fr-FR"/>
        </w:rPr>
        <w:t>telles qu’elles ont été calculées lors de la</w:t>
      </w:r>
      <w:r w:rsidR="003147F0" w:rsidRPr="00F66B6B">
        <w:rPr>
          <w:rFonts w:ascii="Times New Roman" w:hAnsi="Times New Roman" w:cs="Times New Roman"/>
          <w:lang w:val="fr-FR"/>
        </w:rPr>
        <w:t xml:space="preserve"> MOP6</w:t>
      </w:r>
      <w:r>
        <w:rPr>
          <w:rFonts w:ascii="Times New Roman" w:hAnsi="Times New Roman" w:cs="Times New Roman"/>
          <w:lang w:val="fr-FR"/>
        </w:rPr>
        <w:t>, sans retrait du Fonds d’affectation spéciale</w:t>
      </w:r>
      <w:r w:rsidR="00404F43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 en se servant du taux utilisé à la</w:t>
      </w:r>
      <w:r w:rsidR="00404F43" w:rsidRPr="00F66B6B">
        <w:rPr>
          <w:rFonts w:ascii="Times New Roman" w:hAnsi="Times New Roman" w:cs="Times New Roman"/>
          <w:lang w:val="fr-FR"/>
        </w:rPr>
        <w:t xml:space="preserve"> MOP4</w:t>
      </w:r>
      <w:r w:rsidR="002E795E" w:rsidRPr="00F66B6B">
        <w:rPr>
          <w:rFonts w:ascii="Times New Roman" w:hAnsi="Times New Roman" w:cs="Times New Roman"/>
          <w:lang w:val="fr-FR"/>
        </w:rPr>
        <w:t>.</w:t>
      </w:r>
    </w:p>
    <w:p w:rsidR="002E795E" w:rsidRPr="00F66B6B" w:rsidRDefault="007D3737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deuxième colonne mentionnant les</w:t>
      </w:r>
      <w:r w:rsidR="003147F0" w:rsidRPr="00F66B6B">
        <w:rPr>
          <w:rFonts w:ascii="Times New Roman" w:hAnsi="Times New Roman" w:cs="Times New Roman"/>
          <w:lang w:val="fr-FR"/>
        </w:rPr>
        <w:t xml:space="preserve"> contributions </w:t>
      </w:r>
      <w:r w:rsidR="002E795E" w:rsidRPr="007D3737">
        <w:rPr>
          <w:rFonts w:ascii="Times New Roman" w:hAnsi="Times New Roman" w:cs="Times New Roman"/>
          <w:lang w:val="fr-FR"/>
        </w:rPr>
        <w:t>(</w:t>
      </w:r>
      <w:r w:rsidRPr="007D3737">
        <w:rPr>
          <w:rFonts w:ascii="Times New Roman" w:hAnsi="Times New Roman" w:cs="Times New Roman"/>
          <w:b/>
          <w:lang w:val="fr-FR"/>
        </w:rPr>
        <w:t>« adoptée par la</w:t>
      </w:r>
      <w:r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b/>
          <w:lang w:val="fr-FR"/>
        </w:rPr>
        <w:t>MOP6</w:t>
      </w:r>
      <w:r>
        <w:rPr>
          <w:rFonts w:ascii="Times New Roman" w:hAnsi="Times New Roman" w:cs="Times New Roman"/>
          <w:b/>
          <w:lang w:val="fr-FR"/>
        </w:rPr>
        <w:t> »</w:t>
      </w:r>
      <w:r w:rsidR="002E795E" w:rsidRPr="00F66B6B">
        <w:rPr>
          <w:rFonts w:ascii="Times New Roman" w:hAnsi="Times New Roman" w:cs="Times New Roman"/>
          <w:lang w:val="fr-FR"/>
        </w:rPr>
        <w:t>) refl</w:t>
      </w:r>
      <w:r>
        <w:rPr>
          <w:rFonts w:ascii="Times New Roman" w:hAnsi="Times New Roman" w:cs="Times New Roman"/>
          <w:lang w:val="fr-FR"/>
        </w:rPr>
        <w:t>ète le</w:t>
      </w:r>
      <w:r w:rsidR="002E795E" w:rsidRPr="00F66B6B">
        <w:rPr>
          <w:rFonts w:ascii="Times New Roman" w:hAnsi="Times New Roman" w:cs="Times New Roman"/>
          <w:lang w:val="fr-FR"/>
        </w:rPr>
        <w:t xml:space="preserve"> budget </w:t>
      </w:r>
      <w:r>
        <w:rPr>
          <w:rFonts w:ascii="Times New Roman" w:hAnsi="Times New Roman" w:cs="Times New Roman"/>
          <w:lang w:val="fr-FR"/>
        </w:rPr>
        <w:t xml:space="preserve">effectivement adopté </w:t>
      </w:r>
      <w:r w:rsidR="00071DB4">
        <w:rPr>
          <w:rFonts w:ascii="Times New Roman" w:hAnsi="Times New Roman" w:cs="Times New Roman"/>
          <w:lang w:val="fr-FR"/>
        </w:rPr>
        <w:t>par la</w:t>
      </w:r>
      <w:r>
        <w:rPr>
          <w:rFonts w:ascii="Times New Roman" w:hAnsi="Times New Roman" w:cs="Times New Roman"/>
          <w:lang w:val="fr-FR"/>
        </w:rPr>
        <w:t xml:space="preserve"> MOP6 </w:t>
      </w:r>
      <w:r w:rsidR="002E795E" w:rsidRPr="00F66B6B">
        <w:rPr>
          <w:rFonts w:ascii="Times New Roman" w:hAnsi="Times New Roman" w:cs="Times New Roman"/>
          <w:u w:val="single"/>
          <w:lang w:val="fr-FR"/>
        </w:rPr>
        <w:t>a</w:t>
      </w:r>
      <w:r>
        <w:rPr>
          <w:rFonts w:ascii="Times New Roman" w:hAnsi="Times New Roman" w:cs="Times New Roman"/>
          <w:u w:val="single"/>
          <w:lang w:val="fr-FR"/>
        </w:rPr>
        <w:t>près le retrait de</w:t>
      </w:r>
      <w:r w:rsidR="002E795E" w:rsidRPr="00F66B6B">
        <w:rPr>
          <w:rFonts w:ascii="Times New Roman" w:hAnsi="Times New Roman" w:cs="Times New Roman"/>
          <w:u w:val="single"/>
          <w:lang w:val="fr-FR"/>
        </w:rPr>
        <w:t xml:space="preserve"> 310</w:t>
      </w:r>
      <w:r>
        <w:rPr>
          <w:rFonts w:ascii="Times New Roman" w:hAnsi="Times New Roman" w:cs="Times New Roman"/>
          <w:u w:val="single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u w:val="single"/>
          <w:lang w:val="fr-FR"/>
        </w:rPr>
        <w:t xml:space="preserve">000 </w:t>
      </w:r>
      <w:r w:rsidR="002B2AAD" w:rsidRPr="00F66B6B">
        <w:rPr>
          <w:rFonts w:ascii="Times New Roman" w:hAnsi="Times New Roman" w:cs="Times New Roman"/>
          <w:u w:val="single"/>
          <w:lang w:val="fr-FR"/>
        </w:rPr>
        <w:t>EUR</w:t>
      </w:r>
      <w:r w:rsidR="002B2AAD" w:rsidRPr="00F66B6B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ce qui a conduit à une diminution globale du budget à partager entre les </w:t>
      </w:r>
      <w:r w:rsidR="002E795E" w:rsidRPr="00F66B6B">
        <w:rPr>
          <w:rFonts w:ascii="Times New Roman" w:hAnsi="Times New Roman" w:cs="Times New Roman"/>
          <w:lang w:val="fr-FR"/>
        </w:rPr>
        <w:t>Parties.</w:t>
      </w:r>
    </w:p>
    <w:p w:rsidR="0024151C" w:rsidRPr="00F66B6B" w:rsidRDefault="007D3737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dernière</w:t>
      </w:r>
      <w:r w:rsidR="002E795E" w:rsidRPr="00F66B6B">
        <w:rPr>
          <w:rFonts w:ascii="Times New Roman" w:hAnsi="Times New Roman" w:cs="Times New Roman"/>
          <w:lang w:val="fr-FR"/>
        </w:rPr>
        <w:t xml:space="preserve"> col</w:t>
      </w:r>
      <w:r>
        <w:rPr>
          <w:rFonts w:ascii="Times New Roman" w:hAnsi="Times New Roman" w:cs="Times New Roman"/>
          <w:lang w:val="fr-FR"/>
        </w:rPr>
        <w:t>onne</w:t>
      </w:r>
      <w:r w:rsidR="002E795E" w:rsidRPr="00F66B6B">
        <w:rPr>
          <w:rFonts w:ascii="Times New Roman" w:hAnsi="Times New Roman" w:cs="Times New Roman"/>
          <w:lang w:val="fr-FR"/>
        </w:rPr>
        <w:t xml:space="preserve"> (</w:t>
      </w:r>
      <w:r w:rsidRPr="007D3737">
        <w:rPr>
          <w:rFonts w:ascii="Times New Roman" w:hAnsi="Times New Roman" w:cs="Times New Roman"/>
          <w:b/>
          <w:lang w:val="fr-FR"/>
        </w:rPr>
        <w:t>« proposition M</w:t>
      </w:r>
      <w:r w:rsidR="002E795E" w:rsidRPr="007D3737">
        <w:rPr>
          <w:rFonts w:ascii="Times New Roman" w:hAnsi="Times New Roman" w:cs="Times New Roman"/>
          <w:b/>
          <w:lang w:val="fr-FR"/>
        </w:rPr>
        <w:t>OP7</w:t>
      </w:r>
      <w:r w:rsidR="005A235F" w:rsidRPr="007D3737">
        <w:rPr>
          <w:rFonts w:ascii="Times New Roman" w:hAnsi="Times New Roman" w:cs="Times New Roman"/>
          <w:b/>
          <w:lang w:val="fr-FR"/>
        </w:rPr>
        <w:t xml:space="preserve"> </w:t>
      </w:r>
      <w:r w:rsidR="005A235F" w:rsidRPr="00F66B6B">
        <w:rPr>
          <w:rFonts w:ascii="Times New Roman" w:hAnsi="Times New Roman" w:cs="Times New Roman"/>
          <w:b/>
          <w:lang w:val="fr-FR"/>
        </w:rPr>
        <w:t>(</w:t>
      </w:r>
      <w:r w:rsidR="002E795E" w:rsidRPr="00F66B6B">
        <w:rPr>
          <w:rFonts w:ascii="Times New Roman" w:hAnsi="Times New Roman" w:cs="Times New Roman"/>
          <w:b/>
          <w:lang w:val="fr-FR"/>
        </w:rPr>
        <w:t>Sc</w:t>
      </w:r>
      <w:r>
        <w:rPr>
          <w:rFonts w:ascii="Times New Roman" w:hAnsi="Times New Roman" w:cs="Times New Roman"/>
          <w:b/>
          <w:lang w:val="fr-FR"/>
        </w:rPr>
        <w:t>é</w:t>
      </w:r>
      <w:r w:rsidR="002E795E" w:rsidRPr="00F66B6B">
        <w:rPr>
          <w:rFonts w:ascii="Times New Roman" w:hAnsi="Times New Roman" w:cs="Times New Roman"/>
          <w:b/>
          <w:lang w:val="fr-FR"/>
        </w:rPr>
        <w:t>nario 1</w:t>
      </w:r>
      <w:r>
        <w:rPr>
          <w:rFonts w:ascii="Times New Roman" w:hAnsi="Times New Roman" w:cs="Times New Roman"/>
          <w:lang w:val="fr-FR"/>
        </w:rPr>
        <w:t> »</w:t>
      </w:r>
      <w:r w:rsidR="002E795E" w:rsidRPr="00F66B6B">
        <w:rPr>
          <w:rFonts w:ascii="Times New Roman" w:hAnsi="Times New Roman" w:cs="Times New Roman"/>
          <w:lang w:val="fr-FR"/>
        </w:rPr>
        <w:t xml:space="preserve">) </w:t>
      </w:r>
      <w:r>
        <w:rPr>
          <w:rFonts w:ascii="Times New Roman" w:hAnsi="Times New Roman" w:cs="Times New Roman"/>
          <w:lang w:val="fr-FR"/>
        </w:rPr>
        <w:t xml:space="preserve">montre les </w:t>
      </w:r>
      <w:r w:rsidR="002E795E" w:rsidRPr="00F66B6B">
        <w:rPr>
          <w:rFonts w:ascii="Times New Roman" w:hAnsi="Times New Roman" w:cs="Times New Roman"/>
          <w:lang w:val="fr-FR"/>
        </w:rPr>
        <w:t xml:space="preserve">contributions </w:t>
      </w:r>
      <w:r>
        <w:rPr>
          <w:rFonts w:ascii="Times New Roman" w:hAnsi="Times New Roman" w:cs="Times New Roman"/>
          <w:lang w:val="fr-FR"/>
        </w:rPr>
        <w:t>des Parties calculées pour le scénario 1 de la</w:t>
      </w:r>
      <w:r w:rsidR="002E795E" w:rsidRPr="00F66B6B">
        <w:rPr>
          <w:rFonts w:ascii="Times New Roman" w:hAnsi="Times New Roman" w:cs="Times New Roman"/>
          <w:lang w:val="fr-FR"/>
        </w:rPr>
        <w:t xml:space="preserve"> </w:t>
      </w:r>
      <w:r w:rsidR="003147F0" w:rsidRPr="00F66B6B">
        <w:rPr>
          <w:rFonts w:ascii="Times New Roman" w:hAnsi="Times New Roman" w:cs="Times New Roman"/>
          <w:lang w:val="fr-FR"/>
        </w:rPr>
        <w:t>MOP7</w:t>
      </w:r>
      <w:r w:rsidR="00866B25">
        <w:rPr>
          <w:rFonts w:ascii="Times New Roman" w:hAnsi="Times New Roman" w:cs="Times New Roman"/>
          <w:lang w:val="fr-FR"/>
        </w:rPr>
        <w:t xml:space="preserve"> </w:t>
      </w:r>
      <w:r w:rsidR="002E795E" w:rsidRPr="00F66B6B"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  <w:lang w:val="fr-FR"/>
        </w:rPr>
        <w:t xml:space="preserve">croissance nominale </w:t>
      </w:r>
      <w:r w:rsidR="007A0087">
        <w:rPr>
          <w:rFonts w:ascii="Times New Roman" w:hAnsi="Times New Roman" w:cs="Times New Roman"/>
          <w:lang w:val="fr-FR"/>
        </w:rPr>
        <w:t>nulle</w:t>
      </w:r>
      <w:r w:rsidR="00B22052" w:rsidRPr="00F66B6B">
        <w:rPr>
          <w:rFonts w:ascii="Times New Roman" w:hAnsi="Times New Roman" w:cs="Times New Roman"/>
          <w:lang w:val="fr-FR"/>
        </w:rPr>
        <w:t>,</w:t>
      </w:r>
      <w:r w:rsidR="003147F0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comparer avec le</w:t>
      </w:r>
      <w:r w:rsidR="003147F0" w:rsidRPr="00F66B6B">
        <w:rPr>
          <w:rFonts w:ascii="Times New Roman" w:hAnsi="Times New Roman" w:cs="Times New Roman"/>
          <w:lang w:val="fr-FR"/>
        </w:rPr>
        <w:t xml:space="preserve"> doc</w:t>
      </w:r>
      <w:r w:rsidR="003132AA" w:rsidRPr="00F66B6B">
        <w:rPr>
          <w:rFonts w:ascii="Times New Roman" w:hAnsi="Times New Roman" w:cs="Times New Roman"/>
          <w:lang w:val="fr-FR"/>
        </w:rPr>
        <w:t>ument AEWA/MOP 7.38).</w:t>
      </w:r>
      <w:r w:rsidR="0024151C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La proposition de la </w:t>
      </w:r>
      <w:r w:rsidR="002E795E" w:rsidRPr="00F66B6B">
        <w:rPr>
          <w:rFonts w:ascii="Times New Roman" w:hAnsi="Times New Roman" w:cs="Times New Roman"/>
          <w:lang w:val="fr-FR"/>
        </w:rPr>
        <w:t xml:space="preserve">MOP7 </w:t>
      </w:r>
      <w:r>
        <w:rPr>
          <w:rFonts w:ascii="Times New Roman" w:hAnsi="Times New Roman" w:cs="Times New Roman"/>
          <w:lang w:val="fr-FR"/>
        </w:rPr>
        <w:t xml:space="preserve">peut être comparée au mieux avec la proposition de la </w:t>
      </w:r>
      <w:r w:rsidR="00B22052" w:rsidRPr="00F66B6B">
        <w:rPr>
          <w:rFonts w:ascii="Times New Roman" w:hAnsi="Times New Roman" w:cs="Times New Roman"/>
          <w:lang w:val="fr-FR"/>
        </w:rPr>
        <w:t>MOP6</w:t>
      </w:r>
      <w:r w:rsidR="002E795E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car aucune des deux ne tient compte d’un retrait quelconque du Fonds d’affectation spéciale</w:t>
      </w:r>
      <w:r w:rsidR="002E795E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Il est évident qu’en raison de l’évolution progressive</w:t>
      </w:r>
      <w:r w:rsidR="00B22052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 direction du barème de l’ONU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B22052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certaines </w:t>
      </w:r>
      <w:r w:rsidR="00063BF3" w:rsidRPr="00F66B6B">
        <w:rPr>
          <w:rFonts w:ascii="Times New Roman" w:hAnsi="Times New Roman" w:cs="Times New Roman"/>
          <w:lang w:val="fr-FR"/>
        </w:rPr>
        <w:t xml:space="preserve">Parties </w:t>
      </w:r>
      <w:r>
        <w:rPr>
          <w:rFonts w:ascii="Times New Roman" w:hAnsi="Times New Roman" w:cs="Times New Roman"/>
          <w:lang w:val="fr-FR"/>
        </w:rPr>
        <w:t>sont confrontées à une forte augmentation de la contribution</w:t>
      </w:r>
      <w:r w:rsidR="00404F43" w:rsidRPr="00F66B6B">
        <w:rPr>
          <w:rFonts w:ascii="Times New Roman" w:hAnsi="Times New Roman" w:cs="Times New Roman"/>
          <w:lang w:val="fr-FR"/>
        </w:rPr>
        <w:t>.</w:t>
      </w:r>
      <w:r w:rsidR="00063BF3" w:rsidRPr="00F66B6B">
        <w:rPr>
          <w:rFonts w:ascii="Times New Roman" w:hAnsi="Times New Roman" w:cs="Times New Roman"/>
          <w:lang w:val="fr-FR"/>
        </w:rPr>
        <w:t xml:space="preserve"> </w:t>
      </w:r>
    </w:p>
    <w:p w:rsidR="00480011" w:rsidRPr="00F66B6B" w:rsidRDefault="007D3737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</w:t>
      </w:r>
      <w:r w:rsidR="00EF48CD" w:rsidRPr="00F66B6B">
        <w:rPr>
          <w:rFonts w:ascii="Times New Roman" w:hAnsi="Times New Roman" w:cs="Times New Roman"/>
          <w:lang w:val="fr-FR"/>
        </w:rPr>
        <w:t>Secr</w:t>
      </w:r>
      <w:r>
        <w:rPr>
          <w:rFonts w:ascii="Times New Roman" w:hAnsi="Times New Roman" w:cs="Times New Roman"/>
          <w:lang w:val="fr-FR"/>
        </w:rPr>
        <w:t>é</w:t>
      </w:r>
      <w:r w:rsidR="00EF48CD" w:rsidRPr="00F66B6B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>souhaite souligner que le retrait de</w:t>
      </w:r>
      <w:r w:rsidR="00480011" w:rsidRPr="00F66B6B">
        <w:rPr>
          <w:rFonts w:ascii="Times New Roman" w:hAnsi="Times New Roman" w:cs="Times New Roman"/>
          <w:lang w:val="fr-FR"/>
        </w:rPr>
        <w:t xml:space="preserve"> 310</w:t>
      </w:r>
      <w:r>
        <w:rPr>
          <w:rFonts w:ascii="Times New Roman" w:hAnsi="Times New Roman" w:cs="Times New Roman"/>
          <w:lang w:val="fr-FR"/>
        </w:rPr>
        <w:t xml:space="preserve"> </w:t>
      </w:r>
      <w:r w:rsidR="0024151C" w:rsidRPr="00F66B6B">
        <w:rPr>
          <w:rFonts w:ascii="Times New Roman" w:hAnsi="Times New Roman" w:cs="Times New Roman"/>
          <w:lang w:val="fr-FR"/>
        </w:rPr>
        <w:t xml:space="preserve">000 </w:t>
      </w:r>
      <w:r w:rsidR="00BF2FA4" w:rsidRPr="00F66B6B">
        <w:rPr>
          <w:rFonts w:ascii="Times New Roman" w:hAnsi="Times New Roman" w:cs="Times New Roman"/>
          <w:lang w:val="fr-FR"/>
        </w:rPr>
        <w:t xml:space="preserve">EUR </w:t>
      </w:r>
      <w:r>
        <w:rPr>
          <w:rFonts w:ascii="Times New Roman" w:hAnsi="Times New Roman" w:cs="Times New Roman"/>
          <w:lang w:val="fr-FR"/>
        </w:rPr>
        <w:t>a entraîné une diminution générale des contributions à la</w:t>
      </w:r>
      <w:r w:rsidR="00EF48CD" w:rsidRPr="00F66B6B">
        <w:rPr>
          <w:rFonts w:ascii="Times New Roman" w:hAnsi="Times New Roman" w:cs="Times New Roman"/>
          <w:lang w:val="fr-FR"/>
        </w:rPr>
        <w:t xml:space="preserve"> MOP6</w:t>
      </w:r>
      <w:r w:rsidR="006F20FC" w:rsidRPr="00F66B6B">
        <w:rPr>
          <w:rFonts w:ascii="Times New Roman" w:hAnsi="Times New Roman" w:cs="Times New Roman"/>
          <w:lang w:val="fr-FR"/>
        </w:rPr>
        <w:t xml:space="preserve"> (compare</w:t>
      </w:r>
      <w:r>
        <w:rPr>
          <w:rFonts w:ascii="Times New Roman" w:hAnsi="Times New Roman" w:cs="Times New Roman"/>
          <w:lang w:val="fr-FR"/>
        </w:rPr>
        <w:t xml:space="preserve">r la proposition MOP6 à </w:t>
      </w:r>
      <w:r w:rsidR="00866B25">
        <w:rPr>
          <w:rFonts w:ascii="Times New Roman" w:hAnsi="Times New Roman" w:cs="Times New Roman"/>
          <w:lang w:val="fr-FR"/>
        </w:rPr>
        <w:t xml:space="preserve">celle </w:t>
      </w:r>
      <w:r>
        <w:rPr>
          <w:rFonts w:ascii="Times New Roman" w:hAnsi="Times New Roman" w:cs="Times New Roman"/>
          <w:lang w:val="fr-FR"/>
        </w:rPr>
        <w:t>adopté</w:t>
      </w:r>
      <w:r w:rsidR="00866B25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par la </w:t>
      </w:r>
      <w:r w:rsidR="00B22052" w:rsidRPr="00F66B6B">
        <w:rPr>
          <w:rFonts w:ascii="Times New Roman" w:hAnsi="Times New Roman" w:cs="Times New Roman"/>
          <w:lang w:val="fr-FR"/>
        </w:rPr>
        <w:t>MOP6</w:t>
      </w:r>
      <w:r w:rsidR="006F20FC" w:rsidRPr="00F66B6B">
        <w:rPr>
          <w:rFonts w:ascii="Times New Roman" w:hAnsi="Times New Roman" w:cs="Times New Roman"/>
          <w:lang w:val="fr-FR"/>
        </w:rPr>
        <w:t>)</w:t>
      </w:r>
      <w:r w:rsidR="00480011" w:rsidRPr="00F66B6B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b/>
          <w:lang w:val="fr-FR"/>
        </w:rPr>
        <w:t>L’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adoption </w:t>
      </w:r>
      <w:r>
        <w:rPr>
          <w:rFonts w:ascii="Times New Roman" w:hAnsi="Times New Roman" w:cs="Times New Roman"/>
          <w:b/>
          <w:lang w:val="fr-FR"/>
        </w:rPr>
        <w:t>d’un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 budg</w:t>
      </w:r>
      <w:r w:rsidR="00901368" w:rsidRPr="00F66B6B">
        <w:rPr>
          <w:rFonts w:ascii="Times New Roman" w:hAnsi="Times New Roman" w:cs="Times New Roman"/>
          <w:b/>
          <w:lang w:val="fr-FR"/>
        </w:rPr>
        <w:t>e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t </w:t>
      </w:r>
      <w:r>
        <w:rPr>
          <w:rFonts w:ascii="Times New Roman" w:hAnsi="Times New Roman" w:cs="Times New Roman"/>
          <w:b/>
          <w:u w:val="single"/>
          <w:lang w:val="fr-FR"/>
        </w:rPr>
        <w:t>sans retrait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071DB4">
        <w:rPr>
          <w:rFonts w:ascii="Times New Roman" w:hAnsi="Times New Roman" w:cs="Times New Roman"/>
          <w:b/>
          <w:lang w:val="fr-FR"/>
        </w:rPr>
        <w:t>lors de</w:t>
      </w:r>
      <w:r>
        <w:rPr>
          <w:rFonts w:ascii="Times New Roman" w:hAnsi="Times New Roman" w:cs="Times New Roman"/>
          <w:b/>
          <w:lang w:val="fr-FR"/>
        </w:rPr>
        <w:t xml:space="preserve"> la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 MOP</w:t>
      </w:r>
      <w:r w:rsidR="0024151C" w:rsidRPr="00F66B6B">
        <w:rPr>
          <w:rFonts w:ascii="Times New Roman" w:hAnsi="Times New Roman" w:cs="Times New Roman"/>
          <w:b/>
          <w:lang w:val="fr-FR"/>
        </w:rPr>
        <w:t xml:space="preserve">7 </w:t>
      </w:r>
      <w:r>
        <w:rPr>
          <w:rFonts w:ascii="Times New Roman" w:hAnsi="Times New Roman" w:cs="Times New Roman"/>
          <w:b/>
          <w:lang w:val="fr-FR"/>
        </w:rPr>
        <w:t>entraînerait naturellement</w:t>
      </w:r>
      <w:r w:rsidR="0024151C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une augmentation des contributions en soi</w:t>
      </w:r>
      <w:r w:rsidR="00EF48CD" w:rsidRPr="00F66B6B">
        <w:rPr>
          <w:rFonts w:ascii="Times New Roman" w:hAnsi="Times New Roman" w:cs="Times New Roman"/>
          <w:b/>
          <w:lang w:val="fr-FR"/>
        </w:rPr>
        <w:t>,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et même à un niveau de croissance nominale </w:t>
      </w:r>
      <w:r w:rsidR="007A0087">
        <w:rPr>
          <w:rFonts w:ascii="Times New Roman" w:hAnsi="Times New Roman" w:cs="Times New Roman"/>
          <w:b/>
          <w:lang w:val="fr-FR"/>
        </w:rPr>
        <w:t>nulle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. </w:t>
      </w:r>
      <w:r w:rsidR="00404F43" w:rsidRPr="00F66B6B">
        <w:rPr>
          <w:rFonts w:ascii="Times New Roman" w:hAnsi="Times New Roman" w:cs="Times New Roman"/>
          <w:b/>
          <w:lang w:val="fr-FR"/>
        </w:rPr>
        <w:t>N</w:t>
      </w:r>
      <w:r w:rsidR="003C16CD">
        <w:rPr>
          <w:rFonts w:ascii="Times New Roman" w:hAnsi="Times New Roman" w:cs="Times New Roman"/>
          <w:b/>
          <w:lang w:val="fr-FR"/>
        </w:rPr>
        <w:t>éanmoins</w:t>
      </w:r>
      <w:r w:rsidR="00404F43" w:rsidRPr="00F66B6B">
        <w:rPr>
          <w:rFonts w:ascii="Times New Roman" w:hAnsi="Times New Roman" w:cs="Times New Roman"/>
          <w:b/>
          <w:lang w:val="fr-FR"/>
        </w:rPr>
        <w:t xml:space="preserve">, </w:t>
      </w:r>
      <w:r w:rsidR="003C16CD">
        <w:rPr>
          <w:rFonts w:ascii="Times New Roman" w:hAnsi="Times New Roman" w:cs="Times New Roman"/>
          <w:b/>
          <w:lang w:val="fr-FR"/>
        </w:rPr>
        <w:t xml:space="preserve">un retrait du Fonds d’affectation </w:t>
      </w:r>
      <w:r w:rsidR="003C16CD">
        <w:rPr>
          <w:rFonts w:ascii="Times New Roman" w:hAnsi="Times New Roman" w:cs="Times New Roman"/>
          <w:b/>
          <w:lang w:val="fr-FR"/>
        </w:rPr>
        <w:lastRenderedPageBreak/>
        <w:t>spéciale ne devrait être adopté qu’à titre exceptionnel et ne représente pas une pratique conseillée à long terme</w:t>
      </w:r>
      <w:r w:rsidR="00404F43" w:rsidRPr="00F66B6B">
        <w:rPr>
          <w:rFonts w:ascii="Times New Roman" w:hAnsi="Times New Roman" w:cs="Times New Roman"/>
          <w:b/>
          <w:lang w:val="fr-FR"/>
        </w:rPr>
        <w:t>.</w:t>
      </w:r>
      <w:r w:rsidR="00480011" w:rsidRPr="00F66B6B">
        <w:rPr>
          <w:rFonts w:ascii="Times New Roman" w:hAnsi="Times New Roman" w:cs="Times New Roman"/>
          <w:b/>
          <w:lang w:val="fr-FR"/>
        </w:rPr>
        <w:t xml:space="preserve"> </w:t>
      </w:r>
    </w:p>
    <w:p w:rsidR="0077702F" w:rsidRPr="00F66B6B" w:rsidRDefault="00071DB4" w:rsidP="002B2AAD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Pour le budget</w:t>
      </w:r>
      <w:r w:rsidR="00FF5462" w:rsidRPr="00F66B6B">
        <w:rPr>
          <w:rFonts w:ascii="Times New Roman" w:hAnsi="Times New Roman" w:cs="Times New Roman"/>
          <w:lang w:val="fr-FR"/>
        </w:rPr>
        <w:t xml:space="preserve"> 2019-2021</w:t>
      </w:r>
      <w:r w:rsidR="00BF2FA4" w:rsidRPr="00F66B6B">
        <w:rPr>
          <w:rFonts w:ascii="Times New Roman" w:hAnsi="Times New Roman" w:cs="Times New Roman"/>
          <w:lang w:val="fr-FR"/>
        </w:rPr>
        <w:t>,</w:t>
      </w:r>
      <w:r w:rsidR="00FF5462" w:rsidRPr="00F66B6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la </w:t>
      </w:r>
      <w:r w:rsidR="00FF5462" w:rsidRPr="00F66B6B">
        <w:rPr>
          <w:rFonts w:ascii="Times New Roman" w:hAnsi="Times New Roman" w:cs="Times New Roman"/>
          <w:lang w:val="fr-FR"/>
        </w:rPr>
        <w:t>Secr</w:t>
      </w:r>
      <w:r>
        <w:rPr>
          <w:rFonts w:ascii="Times New Roman" w:hAnsi="Times New Roman" w:cs="Times New Roman"/>
          <w:lang w:val="fr-FR"/>
        </w:rPr>
        <w:t>é</w:t>
      </w:r>
      <w:r w:rsidR="00FF5462" w:rsidRPr="00F66B6B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>a appliqué une période de transition</w:t>
      </w:r>
      <w:r w:rsidR="00063BF3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au cours de laquelle les</w:t>
      </w:r>
      <w:r w:rsidR="00063BF3" w:rsidRPr="00F66B6B">
        <w:rPr>
          <w:rFonts w:ascii="Times New Roman" w:hAnsi="Times New Roman" w:cs="Times New Roman"/>
          <w:lang w:val="fr-FR"/>
        </w:rPr>
        <w:t xml:space="preserve"> Parties </w:t>
      </w:r>
      <w:r>
        <w:rPr>
          <w:rFonts w:ascii="Times New Roman" w:hAnsi="Times New Roman" w:cs="Times New Roman"/>
          <w:lang w:val="fr-FR"/>
        </w:rPr>
        <w:t>qui connaissent une augmentation</w:t>
      </w:r>
      <w:r w:rsidR="00063BF3" w:rsidRPr="00F66B6B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verront leur contribution augmenter</w:t>
      </w:r>
      <w:r w:rsidR="002B2AAD">
        <w:rPr>
          <w:rFonts w:ascii="Times New Roman" w:hAnsi="Times New Roman" w:cs="Times New Roman"/>
          <w:lang w:val="fr-FR"/>
        </w:rPr>
        <w:t xml:space="preserve"> progressivement chaque année</w:t>
      </w:r>
      <w:r w:rsidR="00063BF3" w:rsidRPr="00F66B6B">
        <w:rPr>
          <w:rFonts w:ascii="Times New Roman" w:hAnsi="Times New Roman" w:cs="Times New Roman"/>
          <w:lang w:val="fr-FR"/>
        </w:rPr>
        <w:t>.</w:t>
      </w:r>
      <w:r w:rsidR="004E0D4E" w:rsidRPr="00F66B6B">
        <w:rPr>
          <w:rFonts w:ascii="Times New Roman" w:hAnsi="Times New Roman" w:cs="Times New Roman"/>
          <w:lang w:val="fr-FR"/>
        </w:rPr>
        <w:t xml:space="preserve"> </w:t>
      </w:r>
      <w:r w:rsidR="00213B08" w:rsidRPr="00F66B6B">
        <w:rPr>
          <w:rFonts w:ascii="Times New Roman" w:hAnsi="Times New Roman" w:cs="Times New Roman"/>
          <w:lang w:val="fr-FR"/>
        </w:rPr>
        <w:t>I</w:t>
      </w:r>
      <w:r w:rsidR="002B2AAD">
        <w:rPr>
          <w:rFonts w:ascii="Times New Roman" w:hAnsi="Times New Roman" w:cs="Times New Roman"/>
          <w:lang w:val="fr-FR"/>
        </w:rPr>
        <w:t>l convient de noter qu’en raison de la période de transition de six ans</w:t>
      </w:r>
      <w:r w:rsidR="00816B29" w:rsidRPr="00F66B6B">
        <w:rPr>
          <w:rFonts w:ascii="Times New Roman" w:hAnsi="Times New Roman" w:cs="Times New Roman"/>
          <w:lang w:val="fr-FR"/>
        </w:rPr>
        <w:t>,</w:t>
      </w:r>
      <w:r w:rsidR="00213B08" w:rsidRPr="00F66B6B">
        <w:rPr>
          <w:rFonts w:ascii="Times New Roman" w:hAnsi="Times New Roman" w:cs="Times New Roman"/>
          <w:lang w:val="fr-FR"/>
        </w:rPr>
        <w:t xml:space="preserve"> </w:t>
      </w:r>
      <w:r w:rsidR="002B2AAD">
        <w:rPr>
          <w:rFonts w:ascii="Times New Roman" w:hAnsi="Times New Roman" w:cs="Times New Roman"/>
          <w:lang w:val="fr-FR"/>
        </w:rPr>
        <w:t xml:space="preserve">cette méthode devra être suivie lors de la </w:t>
      </w:r>
      <w:r w:rsidR="00213B08" w:rsidRPr="00F66B6B">
        <w:rPr>
          <w:rFonts w:ascii="Times New Roman" w:hAnsi="Times New Roman" w:cs="Times New Roman"/>
          <w:lang w:val="fr-FR"/>
        </w:rPr>
        <w:t>MOP8</w:t>
      </w:r>
      <w:r w:rsidR="002B2AAD">
        <w:rPr>
          <w:rFonts w:ascii="Times New Roman" w:hAnsi="Times New Roman" w:cs="Times New Roman"/>
          <w:lang w:val="fr-FR"/>
        </w:rPr>
        <w:t>, afin d’atteindre pleinement son objectif</w:t>
      </w:r>
      <w:r w:rsidR="00213B08" w:rsidRPr="00F66B6B">
        <w:rPr>
          <w:rFonts w:ascii="Times New Roman" w:hAnsi="Times New Roman" w:cs="Times New Roman"/>
          <w:lang w:val="fr-FR"/>
        </w:rPr>
        <w:t xml:space="preserve">. </w:t>
      </w:r>
      <w:r w:rsidR="002B2AAD">
        <w:rPr>
          <w:rFonts w:ascii="Times New Roman" w:hAnsi="Times New Roman" w:cs="Times New Roman"/>
          <w:lang w:val="fr-FR"/>
        </w:rPr>
        <w:t>Ainsi, la présente proposition de budget décrite dans le document</w:t>
      </w:r>
      <w:r w:rsidR="00FF5462" w:rsidRPr="00F66B6B">
        <w:rPr>
          <w:rFonts w:ascii="Times New Roman" w:hAnsi="Times New Roman" w:cs="Times New Roman"/>
          <w:lang w:val="fr-FR"/>
        </w:rPr>
        <w:t xml:space="preserve"> </w:t>
      </w:r>
      <w:r w:rsidR="003132AA" w:rsidRPr="00F66B6B">
        <w:rPr>
          <w:rFonts w:ascii="Times New Roman" w:hAnsi="Times New Roman" w:cs="Times New Roman"/>
          <w:lang w:val="fr-FR"/>
        </w:rPr>
        <w:t>AEWA/MOP 7.38</w:t>
      </w:r>
      <w:r w:rsidR="00FF5462" w:rsidRPr="00F66B6B">
        <w:rPr>
          <w:rFonts w:ascii="Times New Roman" w:hAnsi="Times New Roman" w:cs="Times New Roman"/>
          <w:lang w:val="fr-FR"/>
        </w:rPr>
        <w:t xml:space="preserve"> </w:t>
      </w:r>
      <w:r w:rsidR="00213B08" w:rsidRPr="00F66B6B">
        <w:rPr>
          <w:rFonts w:ascii="Times New Roman" w:hAnsi="Times New Roman" w:cs="Times New Roman"/>
          <w:lang w:val="fr-FR"/>
        </w:rPr>
        <w:t>re</w:t>
      </w:r>
      <w:r w:rsidR="002B2AAD">
        <w:rPr>
          <w:rFonts w:ascii="Times New Roman" w:hAnsi="Times New Roman" w:cs="Times New Roman"/>
          <w:lang w:val="fr-FR"/>
        </w:rPr>
        <w:t>flète</w:t>
      </w:r>
      <w:r w:rsidR="00213B08" w:rsidRPr="00F66B6B">
        <w:rPr>
          <w:rFonts w:ascii="Times New Roman" w:hAnsi="Times New Roman" w:cs="Times New Roman"/>
          <w:lang w:val="fr-FR"/>
        </w:rPr>
        <w:t xml:space="preserve"> </w:t>
      </w:r>
      <w:r w:rsidR="002B2AAD">
        <w:rPr>
          <w:rFonts w:ascii="Times New Roman" w:hAnsi="Times New Roman" w:cs="Times New Roman"/>
          <w:lang w:val="fr-FR"/>
        </w:rPr>
        <w:t>une évolution de</w:t>
      </w:r>
      <w:r w:rsidR="00213B08" w:rsidRPr="00F66B6B">
        <w:rPr>
          <w:rFonts w:ascii="Times New Roman" w:hAnsi="Times New Roman" w:cs="Times New Roman"/>
          <w:lang w:val="fr-FR"/>
        </w:rPr>
        <w:t xml:space="preserve"> 50 % </w:t>
      </w:r>
      <w:r w:rsidR="002B2AAD">
        <w:rPr>
          <w:rFonts w:ascii="Times New Roman" w:hAnsi="Times New Roman" w:cs="Times New Roman"/>
          <w:lang w:val="fr-FR"/>
        </w:rPr>
        <w:t xml:space="preserve">en direction du barème des contributions </w:t>
      </w:r>
      <w:r w:rsidR="00213B08" w:rsidRPr="00F66B6B">
        <w:rPr>
          <w:rFonts w:ascii="Times New Roman" w:hAnsi="Times New Roman" w:cs="Times New Roman"/>
          <w:lang w:val="fr-FR"/>
        </w:rPr>
        <w:t>(</w:t>
      </w:r>
      <w:r w:rsidR="002B2AAD">
        <w:rPr>
          <w:rFonts w:ascii="Times New Roman" w:hAnsi="Times New Roman" w:cs="Times New Roman"/>
          <w:lang w:val="fr-FR"/>
        </w:rPr>
        <w:t>trois années sur six au total</w:t>
      </w:r>
      <w:r w:rsidR="00213B08" w:rsidRPr="00F66B6B">
        <w:rPr>
          <w:rFonts w:ascii="Times New Roman" w:hAnsi="Times New Roman" w:cs="Times New Roman"/>
          <w:lang w:val="fr-FR"/>
        </w:rPr>
        <w:t xml:space="preserve">). </w:t>
      </w:r>
      <w:r w:rsidR="002B2AAD">
        <w:rPr>
          <w:rFonts w:ascii="Times New Roman" w:hAnsi="Times New Roman" w:cs="Times New Roman"/>
          <w:lang w:val="fr-FR"/>
        </w:rPr>
        <w:t>Poursuivi lors de la</w:t>
      </w:r>
      <w:r w:rsidR="009C0BC4" w:rsidRPr="00F66B6B">
        <w:rPr>
          <w:rFonts w:ascii="Times New Roman" w:hAnsi="Times New Roman" w:cs="Times New Roman"/>
          <w:lang w:val="fr-FR"/>
        </w:rPr>
        <w:t xml:space="preserve"> MOP8 </w:t>
      </w:r>
      <w:r w:rsidR="002B2AAD">
        <w:rPr>
          <w:rFonts w:ascii="Times New Roman" w:hAnsi="Times New Roman" w:cs="Times New Roman"/>
          <w:lang w:val="fr-FR"/>
        </w:rPr>
        <w:t>e</w:t>
      </w:r>
      <w:r w:rsidR="009C0BC4" w:rsidRPr="00F66B6B">
        <w:rPr>
          <w:rFonts w:ascii="Times New Roman" w:hAnsi="Times New Roman" w:cs="Times New Roman"/>
          <w:lang w:val="fr-FR"/>
        </w:rPr>
        <w:t>n 2021</w:t>
      </w:r>
      <w:r w:rsidR="00816B29" w:rsidRPr="00F66B6B">
        <w:rPr>
          <w:rFonts w:ascii="Times New Roman" w:hAnsi="Times New Roman" w:cs="Times New Roman"/>
          <w:lang w:val="fr-FR"/>
        </w:rPr>
        <w:t>,</w:t>
      </w:r>
      <w:r w:rsidR="009C0BC4" w:rsidRPr="00F66B6B">
        <w:rPr>
          <w:rFonts w:ascii="Times New Roman" w:hAnsi="Times New Roman" w:cs="Times New Roman"/>
          <w:lang w:val="fr-FR"/>
        </w:rPr>
        <w:t xml:space="preserve"> </w:t>
      </w:r>
      <w:r w:rsidR="002B2AAD">
        <w:rPr>
          <w:rFonts w:ascii="Times New Roman" w:hAnsi="Times New Roman" w:cs="Times New Roman"/>
          <w:lang w:val="fr-FR"/>
        </w:rPr>
        <w:t xml:space="preserve">le nouveau barème sera </w:t>
      </w:r>
      <w:r w:rsidR="009C0BC4" w:rsidRPr="00F66B6B">
        <w:rPr>
          <w:rFonts w:ascii="Times New Roman" w:hAnsi="Times New Roman" w:cs="Times New Roman"/>
          <w:lang w:val="fr-FR"/>
        </w:rPr>
        <w:t>introdu</w:t>
      </w:r>
      <w:r w:rsidR="002B2AAD">
        <w:rPr>
          <w:rFonts w:ascii="Times New Roman" w:hAnsi="Times New Roman" w:cs="Times New Roman"/>
          <w:lang w:val="fr-FR"/>
        </w:rPr>
        <w:t>it</w:t>
      </w:r>
      <w:r w:rsidR="009C0BC4" w:rsidRPr="00F66B6B">
        <w:rPr>
          <w:rFonts w:ascii="Times New Roman" w:hAnsi="Times New Roman" w:cs="Times New Roman"/>
          <w:lang w:val="fr-FR"/>
        </w:rPr>
        <w:t xml:space="preserve"> </w:t>
      </w:r>
      <w:r w:rsidR="002B2AAD">
        <w:rPr>
          <w:rFonts w:ascii="Times New Roman" w:hAnsi="Times New Roman" w:cs="Times New Roman"/>
          <w:lang w:val="fr-FR"/>
        </w:rPr>
        <w:t>sans mesures transitoires lors de la</w:t>
      </w:r>
      <w:r w:rsidR="009C0BC4" w:rsidRPr="00F66B6B">
        <w:rPr>
          <w:rFonts w:ascii="Times New Roman" w:hAnsi="Times New Roman" w:cs="Times New Roman"/>
          <w:lang w:val="fr-FR"/>
        </w:rPr>
        <w:t xml:space="preserve"> MOP9 </w:t>
      </w:r>
      <w:r w:rsidR="002B2AAD">
        <w:rPr>
          <w:rFonts w:ascii="Times New Roman" w:hAnsi="Times New Roman" w:cs="Times New Roman"/>
          <w:lang w:val="fr-FR"/>
        </w:rPr>
        <w:t>e</w:t>
      </w:r>
      <w:r w:rsidR="009C0BC4" w:rsidRPr="00F66B6B">
        <w:rPr>
          <w:rFonts w:ascii="Times New Roman" w:hAnsi="Times New Roman" w:cs="Times New Roman"/>
          <w:lang w:val="fr-FR"/>
        </w:rPr>
        <w:t>n 2025.</w:t>
      </w:r>
      <w:r w:rsidR="0077702F" w:rsidRPr="00F66B6B">
        <w:rPr>
          <w:rFonts w:ascii="Times New Roman" w:hAnsi="Times New Roman" w:cs="Times New Roman"/>
          <w:b/>
          <w:lang w:val="fr-FR"/>
        </w:rPr>
        <w:br w:type="page"/>
      </w:r>
    </w:p>
    <w:p w:rsidR="003132AA" w:rsidRPr="00F66B6B" w:rsidRDefault="0072013D" w:rsidP="0072013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6B6B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Annex </w:t>
      </w:r>
      <w:r w:rsidR="006F7D0F" w:rsidRPr="00F66B6B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</w:p>
    <w:p w:rsidR="00AE1ABD" w:rsidRPr="00F66B6B" w:rsidRDefault="008F1F54" w:rsidP="0072013D">
      <w:pPr>
        <w:rPr>
          <w:rFonts w:ascii="Times New Roman" w:hAnsi="Times New Roman" w:cs="Times New Roman"/>
          <w:b/>
          <w:lang w:val="fr-FR"/>
        </w:rPr>
      </w:pPr>
      <w:r w:rsidRPr="00F66B6B">
        <w:rPr>
          <w:rFonts w:ascii="Times New Roman" w:hAnsi="Times New Roman" w:cs="Times New Roman"/>
          <w:b/>
          <w:lang w:val="fr-FR"/>
        </w:rPr>
        <w:t xml:space="preserve"> </w:t>
      </w:r>
      <w:r w:rsidR="00934761" w:rsidRPr="00F66B6B">
        <w:rPr>
          <w:noProof/>
          <w:lang w:val="nl-NL" w:eastAsia="nl-NL"/>
        </w:rPr>
        <w:drawing>
          <wp:inline distT="0" distB="0" distL="0" distR="0" wp14:anchorId="64C78A52" wp14:editId="561267B8">
            <wp:extent cx="6120765" cy="85561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5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BD" w:rsidRPr="00F66B6B" w:rsidRDefault="00AE1ABD" w:rsidP="0072013D">
      <w:pPr>
        <w:rPr>
          <w:rFonts w:ascii="Times New Roman" w:hAnsi="Times New Roman" w:cs="Times New Roman"/>
          <w:b/>
          <w:lang w:val="fr-FR"/>
        </w:rPr>
      </w:pPr>
    </w:p>
    <w:p w:rsidR="008F1F54" w:rsidRPr="00F66B6B" w:rsidRDefault="00DE25EF" w:rsidP="0072013D">
      <w:pPr>
        <w:rPr>
          <w:rFonts w:ascii="Times New Roman" w:hAnsi="Times New Roman" w:cs="Times New Roman"/>
          <w:b/>
          <w:lang w:val="fr-FR"/>
        </w:rPr>
      </w:pPr>
      <w:r w:rsidRPr="00F66B6B">
        <w:rPr>
          <w:rFonts w:ascii="Times New Roman" w:hAnsi="Times New Roman" w:cs="Times New Roman"/>
          <w:b/>
          <w:lang w:val="fr-FR"/>
        </w:rPr>
        <w:lastRenderedPageBreak/>
        <w:t xml:space="preserve"> </w:t>
      </w:r>
      <w:r w:rsidR="00934761" w:rsidRPr="00F66B6B">
        <w:rPr>
          <w:noProof/>
          <w:lang w:val="nl-NL" w:eastAsia="nl-NL"/>
        </w:rPr>
        <w:drawing>
          <wp:inline distT="0" distB="0" distL="0" distR="0" wp14:anchorId="1B21E852" wp14:editId="7EDA4988">
            <wp:extent cx="6120765" cy="1129702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2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FF1" w:rsidRPr="00F66B6B">
        <w:rPr>
          <w:noProof/>
          <w:lang w:val="nl-NL" w:eastAsia="nl-NL"/>
        </w:rPr>
        <w:drawing>
          <wp:inline distT="0" distB="0" distL="0" distR="0" wp14:anchorId="1743EC02" wp14:editId="23C1B71C">
            <wp:extent cx="6120765" cy="735614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5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EF" w:rsidRPr="00F66B6B" w:rsidRDefault="00DE25EF">
      <w:pPr>
        <w:rPr>
          <w:rFonts w:ascii="Times New Roman" w:hAnsi="Times New Roman" w:cs="Times New Roman"/>
          <w:b/>
          <w:lang w:val="fr-FR"/>
        </w:rPr>
      </w:pPr>
    </w:p>
    <w:sectPr w:rsidR="00DE25EF" w:rsidRPr="00F66B6B" w:rsidSect="0065486F">
      <w:headerReference w:type="default" r:id="rId12"/>
      <w:pgSz w:w="11907" w:h="16840" w:code="9"/>
      <w:pgMar w:top="976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37" w:rsidRDefault="007D3737" w:rsidP="007A39F7">
      <w:pPr>
        <w:spacing w:after="0" w:line="240" w:lineRule="auto"/>
      </w:pPr>
      <w:r>
        <w:separator/>
      </w:r>
    </w:p>
  </w:endnote>
  <w:endnote w:type="continuationSeparator" w:id="0">
    <w:p w:rsidR="007D3737" w:rsidRDefault="007D3737" w:rsidP="007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37" w:rsidRDefault="007D3737" w:rsidP="007A39F7">
      <w:pPr>
        <w:spacing w:after="0" w:line="240" w:lineRule="auto"/>
      </w:pPr>
      <w:r>
        <w:separator/>
      </w:r>
    </w:p>
  </w:footnote>
  <w:footnote w:type="continuationSeparator" w:id="0">
    <w:p w:rsidR="007D3737" w:rsidRDefault="007D3737" w:rsidP="007A39F7">
      <w:pPr>
        <w:spacing w:after="0" w:line="240" w:lineRule="auto"/>
      </w:pPr>
      <w:r>
        <w:continuationSeparator/>
      </w:r>
    </w:p>
  </w:footnote>
  <w:footnote w:id="1">
    <w:p w:rsidR="007D3737" w:rsidRPr="00595EFA" w:rsidRDefault="007D3737" w:rsidP="00E1701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95EFA">
        <w:rPr>
          <w:rStyle w:val="FootnoteReference"/>
          <w:rFonts w:ascii="Times New Roman" w:hAnsi="Times New Roman" w:cs="Times New Roman"/>
          <w:sz w:val="20"/>
          <w:szCs w:val="20"/>
          <w:lang w:val="fr-FR"/>
        </w:rPr>
        <w:footnoteRef/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a) Estimations du revenu national brut ; b) Périodes de base statistique moyenne de trois et six ans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c) </w:t>
      </w:r>
      <w:r>
        <w:rPr>
          <w:rFonts w:ascii="Times New Roman" w:hAnsi="Times New Roman" w:cs="Times New Roman"/>
          <w:sz w:val="20"/>
          <w:szCs w:val="20"/>
          <w:lang w:val="fr-FR"/>
        </w:rPr>
        <w:t>Taux de c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onversion </w:t>
      </w:r>
      <w:r>
        <w:rPr>
          <w:rFonts w:ascii="Times New Roman" w:hAnsi="Times New Roman" w:cs="Times New Roman"/>
          <w:sz w:val="20"/>
          <w:szCs w:val="20"/>
          <w:lang w:val="fr-FR"/>
        </w:rPr>
        <w:t>fondés sur les taux de change du marché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fr-FR"/>
        </w:rPr>
        <w:t>sauf lorsque cela entraînerait des fluctuations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et des distorsions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>excessive</w:t>
      </w:r>
      <w:r>
        <w:rPr>
          <w:rFonts w:ascii="Times New Roman" w:hAnsi="Times New Roman" w:cs="Times New Roman"/>
          <w:sz w:val="20"/>
          <w:szCs w:val="20"/>
          <w:lang w:val="fr-FR"/>
        </w:rPr>
        <w:t>s du revenu de certains États membres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auquel cas ce sont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l</w:t>
      </w:r>
      <w:r>
        <w:rPr>
          <w:rFonts w:ascii="Times New Roman" w:hAnsi="Times New Roman" w:cs="Times New Roman"/>
          <w:sz w:val="20"/>
          <w:szCs w:val="20"/>
          <w:lang w:val="fr-FR"/>
        </w:rPr>
        <w:t>es taux de change corrigés des prix ou d’autres taux de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conversion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appropriés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qui seront appliqués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[…]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d)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 xml:space="preserve">Approche de </w:t>
      </w:r>
      <w:r>
        <w:rPr>
          <w:rFonts w:ascii="Times New Roman" w:hAnsi="Times New Roman" w:cs="Times New Roman"/>
          <w:sz w:val="20"/>
          <w:szCs w:val="20"/>
          <w:lang w:val="fr-FR"/>
        </w:rPr>
        <w:t>l’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ajustement pour e</w:t>
      </w:r>
      <w:r>
        <w:rPr>
          <w:rFonts w:ascii="Times New Roman" w:hAnsi="Times New Roman" w:cs="Times New Roman"/>
          <w:sz w:val="20"/>
          <w:szCs w:val="20"/>
          <w:lang w:val="fr-FR"/>
        </w:rPr>
        <w:t>ndettement utilisée dans le barème des contributions pour la période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2013-2015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e)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Ajustement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71DB4">
        <w:rPr>
          <w:rFonts w:ascii="Times New Roman" w:hAnsi="Times New Roman" w:cs="Times New Roman"/>
          <w:sz w:val="20"/>
          <w:szCs w:val="20"/>
          <w:lang w:val="fr-FR"/>
        </w:rPr>
        <w:t xml:space="preserve">de 80% 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pour les pays à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071DB4">
        <w:rPr>
          <w:rFonts w:ascii="Times New Roman" w:hAnsi="Times New Roman" w:cs="Times New Roman"/>
          <w:sz w:val="20"/>
          <w:szCs w:val="20"/>
          <w:lang w:val="fr-FR"/>
        </w:rPr>
        <w:t xml:space="preserve">faibles </w:t>
      </w:r>
      <w:r>
        <w:rPr>
          <w:rFonts w:ascii="Times New Roman" w:hAnsi="Times New Roman" w:cs="Times New Roman"/>
          <w:sz w:val="20"/>
          <w:szCs w:val="20"/>
          <w:lang w:val="fr-FR"/>
        </w:rPr>
        <w:t>revenu</w:t>
      </w:r>
      <w:r w:rsidR="00071DB4">
        <w:rPr>
          <w:rFonts w:ascii="Times New Roman" w:hAnsi="Times New Roman" w:cs="Times New Roman"/>
          <w:sz w:val="20"/>
          <w:szCs w:val="20"/>
          <w:lang w:val="fr-FR"/>
        </w:rPr>
        <w:t>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par habitant</w:t>
      </w:r>
      <w:r w:rsidR="00071DB4"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avec un seuil de revenu par habitant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>égal à la moyenne du revenu national brut par habitant de tous les États membres pour les périodes statistique</w:t>
      </w:r>
      <w:r w:rsidR="00866B25">
        <w:rPr>
          <w:rFonts w:ascii="Times New Roman" w:hAnsi="Times New Roman" w:cs="Times New Roman"/>
          <w:sz w:val="20"/>
          <w:szCs w:val="20"/>
          <w:lang w:val="fr-FR"/>
        </w:rPr>
        <w:t>s de référence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f) </w:t>
      </w:r>
      <w:r w:rsidR="00C04E66">
        <w:rPr>
          <w:rFonts w:ascii="Times New Roman" w:hAnsi="Times New Roman" w:cs="Times New Roman"/>
          <w:sz w:val="20"/>
          <w:szCs w:val="20"/>
          <w:lang w:val="fr-FR"/>
        </w:rPr>
        <w:t>U</w:t>
      </w:r>
      <w:r>
        <w:rPr>
          <w:rFonts w:ascii="Times New Roman" w:hAnsi="Times New Roman" w:cs="Times New Roman"/>
          <w:sz w:val="20"/>
          <w:szCs w:val="20"/>
          <w:lang w:val="fr-FR"/>
        </w:rPr>
        <w:t>n taux minimal de contribution de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0</w:t>
      </w:r>
      <w:r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0001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%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g) </w:t>
      </w:r>
      <w:r w:rsidR="00C04E66">
        <w:rPr>
          <w:rFonts w:ascii="Times New Roman" w:hAnsi="Times New Roman" w:cs="Times New Roman"/>
          <w:sz w:val="20"/>
          <w:szCs w:val="20"/>
          <w:lang w:val="fr-FR"/>
        </w:rPr>
        <w:t>U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n taux maximal de contribution </w:t>
      </w:r>
      <w:r w:rsidR="00C04E66">
        <w:rPr>
          <w:rFonts w:ascii="Times New Roman" w:hAnsi="Times New Roman" w:cs="Times New Roman"/>
          <w:sz w:val="20"/>
          <w:szCs w:val="20"/>
          <w:lang w:val="fr-FR"/>
        </w:rPr>
        <w:t xml:space="preserve">de 0,01 %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pour les pays les moins développés 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; h) </w:t>
      </w:r>
      <w:r>
        <w:rPr>
          <w:rFonts w:ascii="Times New Roman" w:hAnsi="Times New Roman" w:cs="Times New Roman"/>
          <w:sz w:val="20"/>
          <w:szCs w:val="20"/>
          <w:lang w:val="fr-FR"/>
        </w:rPr>
        <w:t>un taux maximal de contribution de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 22 </w:t>
      </w:r>
      <w:r>
        <w:rPr>
          <w:rFonts w:ascii="Times New Roman" w:hAnsi="Times New Roman" w:cs="Times New Roman"/>
          <w:sz w:val="20"/>
          <w:szCs w:val="20"/>
          <w:lang w:val="fr-FR"/>
        </w:rPr>
        <w:t>%</w:t>
      </w:r>
      <w:r w:rsidRPr="00595EF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</w:footnote>
  <w:footnote w:id="2">
    <w:p w:rsidR="007D3737" w:rsidRPr="009E1AAF" w:rsidRDefault="007D3737" w:rsidP="00F35A4D">
      <w:pPr>
        <w:pStyle w:val="FootnoteText"/>
        <w:rPr>
          <w:rFonts w:ascii="Times New Roman" w:hAnsi="Times New Roman" w:cs="Times New Roman"/>
          <w:lang w:val="fr-FR"/>
        </w:rPr>
      </w:pPr>
      <w:r w:rsidRPr="00595EFA">
        <w:rPr>
          <w:rStyle w:val="FootnoteReference"/>
          <w:rFonts w:ascii="Times New Roman" w:hAnsi="Times New Roman" w:cs="Times New Roman"/>
          <w:lang w:val="fr-FR"/>
        </w:rPr>
        <w:footnoteRef/>
      </w:r>
      <w:r w:rsidRPr="00595EFA">
        <w:rPr>
          <w:rFonts w:ascii="Times New Roman" w:hAnsi="Times New Roman" w:cs="Times New Roman"/>
          <w:lang w:val="fr-FR"/>
        </w:rPr>
        <w:t xml:space="preserve"> </w:t>
      </w:r>
      <w:r w:rsidR="00071DB4">
        <w:rPr>
          <w:rFonts w:ascii="Times New Roman" w:hAnsi="Times New Roman" w:cs="Times New Roman"/>
          <w:lang w:val="fr-FR"/>
        </w:rPr>
        <w:t xml:space="preserve">La </w:t>
      </w:r>
      <w:r>
        <w:rPr>
          <w:rFonts w:ascii="Times New Roman" w:hAnsi="Times New Roman" w:cs="Times New Roman"/>
          <w:lang w:val="fr-FR"/>
        </w:rPr>
        <w:t>Résolution</w:t>
      </w:r>
      <w:r w:rsidRPr="00595EFA">
        <w:rPr>
          <w:rFonts w:ascii="Times New Roman" w:hAnsi="Times New Roman" w:cs="Times New Roman"/>
          <w:lang w:val="fr-FR"/>
        </w:rPr>
        <w:t xml:space="preserve"> 70/245 </w:t>
      </w:r>
      <w:r>
        <w:rPr>
          <w:rFonts w:ascii="Times New Roman" w:hAnsi="Times New Roman" w:cs="Times New Roman"/>
          <w:lang w:val="fr-FR"/>
        </w:rPr>
        <w:t>sur le barème des contributions pour la répartition des dépenses des Nations Unies pour la période</w:t>
      </w:r>
      <w:r w:rsidRPr="00595EFA">
        <w:rPr>
          <w:rFonts w:ascii="Times New Roman" w:hAnsi="Times New Roman" w:cs="Times New Roman"/>
          <w:lang w:val="fr-FR"/>
        </w:rPr>
        <w:t xml:space="preserve"> 2016-2018 </w:t>
      </w:r>
      <w:r>
        <w:rPr>
          <w:rFonts w:ascii="Times New Roman" w:hAnsi="Times New Roman" w:cs="Times New Roman"/>
          <w:lang w:val="fr-FR"/>
        </w:rPr>
        <w:t xml:space="preserve">est disponible à l’adresse suivante </w:t>
      </w:r>
      <w:r w:rsidRPr="00595EFA">
        <w:rPr>
          <w:rFonts w:ascii="Times New Roman" w:hAnsi="Times New Roman" w:cs="Times New Roman"/>
          <w:lang w:val="fr-FR"/>
        </w:rPr>
        <w:t xml:space="preserve">: </w:t>
      </w:r>
      <w:hyperlink r:id="rId1" w:history="1">
        <w:r w:rsidRPr="00595EFA">
          <w:rPr>
            <w:rStyle w:val="Hyperlink"/>
            <w:rFonts w:ascii="Times New Roman" w:hAnsi="Times New Roman" w:cs="Times New Roman"/>
            <w:lang w:val="fr-FR"/>
          </w:rPr>
          <w:t>http://www.un.org/en/ga/search/view_doc.asp?symbol=A/RES/70/245</w:t>
        </w:r>
      </w:hyperlink>
    </w:p>
  </w:footnote>
  <w:footnote w:id="3">
    <w:p w:rsidR="007D3737" w:rsidRPr="00F35A4D" w:rsidRDefault="007D3737" w:rsidP="00E17014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F35A4D">
        <w:rPr>
          <w:rStyle w:val="FootnoteReference"/>
          <w:rFonts w:ascii="Times New Roman" w:hAnsi="Times New Roman" w:cs="Times New Roman"/>
          <w:lang w:val="fr-FR"/>
        </w:rPr>
        <w:footnoteRef/>
      </w:r>
      <w:r w:rsidRPr="00F35A4D">
        <w:rPr>
          <w:rFonts w:ascii="Times New Roman" w:hAnsi="Times New Roman" w:cs="Times New Roman"/>
          <w:lang w:val="fr-FR"/>
        </w:rPr>
        <w:t xml:space="preserve"> Le plafond maximal de 25 % était conforme au barème des contributions de l’ONU à l’époque. </w:t>
      </w:r>
      <w:r>
        <w:rPr>
          <w:rFonts w:ascii="Times New Roman" w:hAnsi="Times New Roman" w:cs="Times New Roman"/>
          <w:lang w:val="fr-FR"/>
        </w:rPr>
        <w:t>Le taux maximal de contribution de l’ONU</w:t>
      </w:r>
      <w:r w:rsidRPr="00F35A4D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est entre-temps passé à</w:t>
      </w:r>
      <w:r w:rsidRPr="00F35A4D">
        <w:rPr>
          <w:rFonts w:ascii="Times New Roman" w:hAnsi="Times New Roman" w:cs="Times New Roman"/>
          <w:lang w:val="fr-FR"/>
        </w:rPr>
        <w:t xml:space="preserve"> 22 % (</w:t>
      </w:r>
      <w:r>
        <w:rPr>
          <w:rFonts w:ascii="Times New Roman" w:hAnsi="Times New Roman" w:cs="Times New Roman"/>
          <w:lang w:val="fr-FR"/>
        </w:rPr>
        <w:t xml:space="preserve">comparer avec la Résolution </w:t>
      </w:r>
      <w:r w:rsidRPr="00F35A4D">
        <w:rPr>
          <w:rFonts w:ascii="Times New Roman" w:hAnsi="Times New Roman" w:cs="Times New Roman"/>
          <w:lang w:val="fr-FR"/>
        </w:rPr>
        <w:t>70/245</w:t>
      </w:r>
      <w:r>
        <w:rPr>
          <w:rFonts w:ascii="Times New Roman" w:hAnsi="Times New Roman" w:cs="Times New Roman"/>
          <w:lang w:val="fr-FR"/>
        </w:rPr>
        <w:t xml:space="preserve"> de l’Assemblée générale</w:t>
      </w:r>
      <w:r w:rsidRPr="00F35A4D">
        <w:rPr>
          <w:rFonts w:ascii="Times New Roman" w:hAnsi="Times New Roman" w:cs="Times New Roman"/>
          <w:lang w:val="fr-FR"/>
        </w:rPr>
        <w:t>).</w:t>
      </w:r>
    </w:p>
  </w:footnote>
  <w:footnote w:id="4">
    <w:p w:rsidR="007D3737" w:rsidRPr="003950EB" w:rsidRDefault="007D3737" w:rsidP="00E17014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3950EB">
        <w:rPr>
          <w:rStyle w:val="FootnoteReference"/>
          <w:rFonts w:ascii="Times New Roman" w:hAnsi="Times New Roman" w:cs="Times New Roman"/>
          <w:lang w:val="fr-FR"/>
        </w:rPr>
        <w:footnoteRef/>
      </w:r>
      <w:r w:rsidRPr="003950EB">
        <w:rPr>
          <w:rFonts w:ascii="Times New Roman" w:hAnsi="Times New Roman" w:cs="Times New Roman"/>
          <w:lang w:val="fr-FR"/>
        </w:rPr>
        <w:t xml:space="preserve"> Comme 39 % </w:t>
      </w:r>
      <w:r>
        <w:rPr>
          <w:rFonts w:ascii="Times New Roman" w:hAnsi="Times New Roman" w:cs="Times New Roman"/>
          <w:lang w:val="fr-FR"/>
        </w:rPr>
        <w:t>seulement des États membres de l’ONU sont Parties à l’</w:t>
      </w:r>
      <w:r w:rsidRPr="003950EB">
        <w:rPr>
          <w:rFonts w:ascii="Times New Roman" w:hAnsi="Times New Roman" w:cs="Times New Roman"/>
          <w:lang w:val="fr-FR"/>
        </w:rPr>
        <w:t>AEWA</w:t>
      </w:r>
      <w:r>
        <w:rPr>
          <w:rFonts w:ascii="Times New Roman" w:hAnsi="Times New Roman" w:cs="Times New Roman"/>
          <w:lang w:val="fr-FR"/>
        </w:rPr>
        <w:t>, les pourcentages du barème de l’ONU doivent bien entendu être recalculés et ne peuvent pas être pris à l’échelle</w:t>
      </w:r>
      <w:r w:rsidRPr="003950EB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3950EB">
        <w:rPr>
          <w:rFonts w:ascii="Times New Roman" w:hAnsi="Times New Roman" w:cs="Times New Roman"/>
          <w:lang w:val="fr-FR"/>
        </w:rPr>
        <w:t>1:</w:t>
      </w:r>
      <w:proofErr w:type="gramEnd"/>
      <w:r w:rsidRPr="003950EB">
        <w:rPr>
          <w:rFonts w:ascii="Times New Roman" w:hAnsi="Times New Roman" w:cs="Times New Roman"/>
          <w:lang w:val="fr-FR"/>
        </w:rPr>
        <w:t xml:space="preserve">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C91BA2" w:rsidRPr="00C91BA2" w:rsidTr="00CF2B92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1BA2" w:rsidRPr="00C91BA2" w:rsidRDefault="00C91BA2" w:rsidP="00C91BA2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C91BA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67FA343" wp14:editId="29A7144A">
                <wp:extent cx="828675" cy="695328"/>
                <wp:effectExtent l="0" t="0" r="9525" b="9522"/>
                <wp:docPr id="2" name="Picture 2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1BA2" w:rsidRPr="00C91BA2" w:rsidRDefault="00C91BA2" w:rsidP="00C91BA2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r w:rsidRPr="00C91BA2">
            <w:rPr>
              <w:rFonts w:ascii="Times New Roman" w:eastAsia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1BA2" w:rsidRPr="00C91BA2" w:rsidRDefault="00C91BA2" w:rsidP="00C91BA2">
          <w:pPr>
            <w:suppressAutoHyphens/>
            <w:autoSpaceDN w:val="0"/>
            <w:spacing w:after="0" w:line="276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C91B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C91BA2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37</w:t>
          </w:r>
        </w:p>
        <w:p w:rsidR="00C91BA2" w:rsidRPr="00C91BA2" w:rsidRDefault="00C91BA2" w:rsidP="00C91BA2">
          <w:pPr>
            <w:suppressAutoHyphens/>
            <w:autoSpaceDN w:val="0"/>
            <w:spacing w:after="0" w:line="276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C91B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25</w:t>
          </w:r>
          <w:r w:rsidRPr="00C91BA2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C91BA2" w:rsidRPr="00C91BA2" w:rsidRDefault="00C91BA2" w:rsidP="00C91BA2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C91B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:rsidR="00C91BA2" w:rsidRPr="00C91BA2" w:rsidRDefault="00C91BA2" w:rsidP="00C91BA2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05 septembre</w:t>
          </w:r>
          <w:r w:rsidRPr="00C91B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:rsidR="00C91BA2" w:rsidRPr="00C91BA2" w:rsidRDefault="00C91BA2" w:rsidP="00C91BA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18"/>
              <w:szCs w:val="18"/>
              <w:lang w:val="fr-FR"/>
            </w:rPr>
          </w:pPr>
        </w:p>
      </w:tc>
    </w:tr>
    <w:tr w:rsidR="00C91BA2" w:rsidRPr="00C91BA2" w:rsidTr="00CF2B92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1BA2" w:rsidRPr="00C91BA2" w:rsidRDefault="00C91BA2" w:rsidP="00C91BA2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fr-FR"/>
            </w:rPr>
          </w:pPr>
          <w:r w:rsidRPr="00C91BA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7</w:t>
          </w:r>
          <w:r w:rsidRPr="00C91BA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C91BA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C91BA2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C91BA2" w:rsidRPr="00C91BA2" w:rsidRDefault="00C91BA2" w:rsidP="00C91BA2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C91BA2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4 - 8 décembre, Durban, Afrique du Sud</w:t>
          </w:r>
        </w:p>
      </w:tc>
    </w:tr>
    <w:tr w:rsidR="00C91BA2" w:rsidRPr="00C91BA2" w:rsidTr="00CF2B92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91BA2" w:rsidRPr="00C91BA2" w:rsidRDefault="00C91BA2" w:rsidP="00C91BA2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4"/>
              <w:szCs w:val="24"/>
              <w:highlight w:val="yellow"/>
              <w:lang w:val="fr-FR"/>
            </w:rPr>
          </w:pPr>
          <w:r w:rsidRPr="00C91BA2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 xml:space="preserve">“Par-delà 2020 : </w:t>
          </w:r>
          <w:proofErr w:type="spellStart"/>
          <w:r w:rsidRPr="00C91BA2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>Faҫonner</w:t>
          </w:r>
          <w:proofErr w:type="spellEnd"/>
          <w:r w:rsidRPr="00C91BA2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 xml:space="preserve"> la conservation des voies de migration pour l’avenir”</w:t>
          </w:r>
        </w:p>
      </w:tc>
    </w:tr>
  </w:tbl>
  <w:p w:rsidR="00C91BA2" w:rsidRPr="00C91BA2" w:rsidRDefault="00C91BA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A2" w:rsidRPr="00C91BA2" w:rsidRDefault="00C91BA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21A"/>
    <w:multiLevelType w:val="hybridMultilevel"/>
    <w:tmpl w:val="2F44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0C6"/>
    <w:multiLevelType w:val="hybridMultilevel"/>
    <w:tmpl w:val="048CC3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786"/>
    <w:multiLevelType w:val="hybridMultilevel"/>
    <w:tmpl w:val="8A1252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735C"/>
    <w:multiLevelType w:val="hybridMultilevel"/>
    <w:tmpl w:val="37147ACA"/>
    <w:lvl w:ilvl="0" w:tplc="06E01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5BD0"/>
    <w:multiLevelType w:val="hybridMultilevel"/>
    <w:tmpl w:val="7550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C51"/>
    <w:multiLevelType w:val="hybridMultilevel"/>
    <w:tmpl w:val="DE8A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7E92"/>
    <w:multiLevelType w:val="hybridMultilevel"/>
    <w:tmpl w:val="46467F74"/>
    <w:lvl w:ilvl="0" w:tplc="785E4B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E907C5"/>
    <w:multiLevelType w:val="hybridMultilevel"/>
    <w:tmpl w:val="0F48B380"/>
    <w:lvl w:ilvl="0" w:tplc="AECA0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7EFA"/>
    <w:multiLevelType w:val="hybridMultilevel"/>
    <w:tmpl w:val="5D4A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E644C"/>
    <w:multiLevelType w:val="hybridMultilevel"/>
    <w:tmpl w:val="100282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7046"/>
    <w:multiLevelType w:val="hybridMultilevel"/>
    <w:tmpl w:val="37147ACA"/>
    <w:lvl w:ilvl="0" w:tplc="06E01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2A59"/>
    <w:multiLevelType w:val="hybridMultilevel"/>
    <w:tmpl w:val="5088D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2115E"/>
    <w:multiLevelType w:val="hybridMultilevel"/>
    <w:tmpl w:val="131C62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9043E"/>
    <w:multiLevelType w:val="hybridMultilevel"/>
    <w:tmpl w:val="E2B495A6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" w15:restartNumberingAfterBreak="0">
    <w:nsid w:val="627279B4"/>
    <w:multiLevelType w:val="hybridMultilevel"/>
    <w:tmpl w:val="1AC0AE4C"/>
    <w:lvl w:ilvl="0" w:tplc="C9F6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D88"/>
    <w:multiLevelType w:val="hybridMultilevel"/>
    <w:tmpl w:val="BFA6D1B8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75807EAB"/>
    <w:multiLevelType w:val="hybridMultilevel"/>
    <w:tmpl w:val="6302D694"/>
    <w:lvl w:ilvl="0" w:tplc="972864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25"/>
    <w:rsid w:val="000026A8"/>
    <w:rsid w:val="000076FF"/>
    <w:rsid w:val="00007C7F"/>
    <w:rsid w:val="000123D0"/>
    <w:rsid w:val="00012D31"/>
    <w:rsid w:val="000137ED"/>
    <w:rsid w:val="00026D35"/>
    <w:rsid w:val="000316EC"/>
    <w:rsid w:val="00033BFD"/>
    <w:rsid w:val="000522D3"/>
    <w:rsid w:val="000578CB"/>
    <w:rsid w:val="0005794A"/>
    <w:rsid w:val="00063BF3"/>
    <w:rsid w:val="0006682C"/>
    <w:rsid w:val="00071DB4"/>
    <w:rsid w:val="000755BB"/>
    <w:rsid w:val="00085A15"/>
    <w:rsid w:val="0009007F"/>
    <w:rsid w:val="000B268A"/>
    <w:rsid w:val="000B2CE9"/>
    <w:rsid w:val="000C25A2"/>
    <w:rsid w:val="000C5BF2"/>
    <w:rsid w:val="000C7CE4"/>
    <w:rsid w:val="000E3139"/>
    <w:rsid w:val="000F32E2"/>
    <w:rsid w:val="000F6760"/>
    <w:rsid w:val="00104DCF"/>
    <w:rsid w:val="00104EB2"/>
    <w:rsid w:val="00114C1A"/>
    <w:rsid w:val="001306FA"/>
    <w:rsid w:val="00142482"/>
    <w:rsid w:val="00145FAA"/>
    <w:rsid w:val="00152AE4"/>
    <w:rsid w:val="001648A1"/>
    <w:rsid w:val="00171F0E"/>
    <w:rsid w:val="00173FF4"/>
    <w:rsid w:val="001916B1"/>
    <w:rsid w:val="001B40C6"/>
    <w:rsid w:val="001B4204"/>
    <w:rsid w:val="001B50F4"/>
    <w:rsid w:val="001C40C7"/>
    <w:rsid w:val="001D0094"/>
    <w:rsid w:val="001D0DA3"/>
    <w:rsid w:val="001D5F14"/>
    <w:rsid w:val="001E0F6B"/>
    <w:rsid w:val="001E79BB"/>
    <w:rsid w:val="001F3D27"/>
    <w:rsid w:val="001F6595"/>
    <w:rsid w:val="002023BB"/>
    <w:rsid w:val="00203651"/>
    <w:rsid w:val="00213B08"/>
    <w:rsid w:val="00213B0D"/>
    <w:rsid w:val="0021448B"/>
    <w:rsid w:val="002152FD"/>
    <w:rsid w:val="00216C94"/>
    <w:rsid w:val="0022291A"/>
    <w:rsid w:val="00240E13"/>
    <w:rsid w:val="0024151C"/>
    <w:rsid w:val="0024346E"/>
    <w:rsid w:val="002569A1"/>
    <w:rsid w:val="00262D5E"/>
    <w:rsid w:val="002703A2"/>
    <w:rsid w:val="002748A0"/>
    <w:rsid w:val="002833F9"/>
    <w:rsid w:val="00284E47"/>
    <w:rsid w:val="00290B3B"/>
    <w:rsid w:val="002930C6"/>
    <w:rsid w:val="002B0EF2"/>
    <w:rsid w:val="002B2AAD"/>
    <w:rsid w:val="002B308F"/>
    <w:rsid w:val="002C2BA4"/>
    <w:rsid w:val="002C41AC"/>
    <w:rsid w:val="002C56D3"/>
    <w:rsid w:val="002E1C12"/>
    <w:rsid w:val="002E3D10"/>
    <w:rsid w:val="002E462F"/>
    <w:rsid w:val="002E795E"/>
    <w:rsid w:val="002F03AE"/>
    <w:rsid w:val="002F2B6B"/>
    <w:rsid w:val="003132AA"/>
    <w:rsid w:val="003147F0"/>
    <w:rsid w:val="00317573"/>
    <w:rsid w:val="003278A5"/>
    <w:rsid w:val="00330438"/>
    <w:rsid w:val="00337896"/>
    <w:rsid w:val="0034096D"/>
    <w:rsid w:val="003422CA"/>
    <w:rsid w:val="003453F2"/>
    <w:rsid w:val="00355A86"/>
    <w:rsid w:val="00373394"/>
    <w:rsid w:val="00375100"/>
    <w:rsid w:val="00394568"/>
    <w:rsid w:val="003950EB"/>
    <w:rsid w:val="0039593B"/>
    <w:rsid w:val="003A702F"/>
    <w:rsid w:val="003B3E89"/>
    <w:rsid w:val="003B48F4"/>
    <w:rsid w:val="003C16CD"/>
    <w:rsid w:val="003C20CC"/>
    <w:rsid w:val="003C5EEA"/>
    <w:rsid w:val="003D4CC7"/>
    <w:rsid w:val="003F3B0E"/>
    <w:rsid w:val="003F3DD6"/>
    <w:rsid w:val="003F3ED8"/>
    <w:rsid w:val="00400D0E"/>
    <w:rsid w:val="00404142"/>
    <w:rsid w:val="00404F43"/>
    <w:rsid w:val="004054F2"/>
    <w:rsid w:val="00406F03"/>
    <w:rsid w:val="004161FB"/>
    <w:rsid w:val="00421774"/>
    <w:rsid w:val="00440371"/>
    <w:rsid w:val="00457C56"/>
    <w:rsid w:val="004647DE"/>
    <w:rsid w:val="0047288D"/>
    <w:rsid w:val="00480011"/>
    <w:rsid w:val="004840EA"/>
    <w:rsid w:val="0048519D"/>
    <w:rsid w:val="004914A3"/>
    <w:rsid w:val="00494D21"/>
    <w:rsid w:val="004960AE"/>
    <w:rsid w:val="004B153A"/>
    <w:rsid w:val="004B4173"/>
    <w:rsid w:val="004C0486"/>
    <w:rsid w:val="004D07D0"/>
    <w:rsid w:val="004D28C0"/>
    <w:rsid w:val="004D7342"/>
    <w:rsid w:val="004E0D4E"/>
    <w:rsid w:val="004E7BDB"/>
    <w:rsid w:val="004F4705"/>
    <w:rsid w:val="00502D82"/>
    <w:rsid w:val="00522C38"/>
    <w:rsid w:val="00532614"/>
    <w:rsid w:val="00532831"/>
    <w:rsid w:val="00535056"/>
    <w:rsid w:val="00535D34"/>
    <w:rsid w:val="005437D5"/>
    <w:rsid w:val="0054787C"/>
    <w:rsid w:val="005562EE"/>
    <w:rsid w:val="00563817"/>
    <w:rsid w:val="005718D4"/>
    <w:rsid w:val="0057399A"/>
    <w:rsid w:val="00575089"/>
    <w:rsid w:val="00580FEA"/>
    <w:rsid w:val="00582208"/>
    <w:rsid w:val="00583F37"/>
    <w:rsid w:val="00595EFA"/>
    <w:rsid w:val="005A235F"/>
    <w:rsid w:val="005A74F8"/>
    <w:rsid w:val="005C4ADF"/>
    <w:rsid w:val="005F77D0"/>
    <w:rsid w:val="006023EE"/>
    <w:rsid w:val="00607922"/>
    <w:rsid w:val="00616225"/>
    <w:rsid w:val="006201DE"/>
    <w:rsid w:val="00625E2C"/>
    <w:rsid w:val="0063481C"/>
    <w:rsid w:val="00640379"/>
    <w:rsid w:val="00640A28"/>
    <w:rsid w:val="0065486F"/>
    <w:rsid w:val="00654ADB"/>
    <w:rsid w:val="00660FFA"/>
    <w:rsid w:val="00662D2A"/>
    <w:rsid w:val="00671B10"/>
    <w:rsid w:val="00690BEB"/>
    <w:rsid w:val="00693E21"/>
    <w:rsid w:val="006942FF"/>
    <w:rsid w:val="006A1824"/>
    <w:rsid w:val="006B03CC"/>
    <w:rsid w:val="006B4AE4"/>
    <w:rsid w:val="006B7288"/>
    <w:rsid w:val="006C57BB"/>
    <w:rsid w:val="006D3B22"/>
    <w:rsid w:val="006E6712"/>
    <w:rsid w:val="006F20FC"/>
    <w:rsid w:val="006F5659"/>
    <w:rsid w:val="006F7D0F"/>
    <w:rsid w:val="00700F89"/>
    <w:rsid w:val="00701393"/>
    <w:rsid w:val="00703EF3"/>
    <w:rsid w:val="00710698"/>
    <w:rsid w:val="00715571"/>
    <w:rsid w:val="007156A8"/>
    <w:rsid w:val="0072013D"/>
    <w:rsid w:val="007317B5"/>
    <w:rsid w:val="00734A7D"/>
    <w:rsid w:val="00754792"/>
    <w:rsid w:val="007568BE"/>
    <w:rsid w:val="0076223B"/>
    <w:rsid w:val="0077702F"/>
    <w:rsid w:val="00781A1C"/>
    <w:rsid w:val="00786262"/>
    <w:rsid w:val="00793E23"/>
    <w:rsid w:val="007A0087"/>
    <w:rsid w:val="007A39F7"/>
    <w:rsid w:val="007C161C"/>
    <w:rsid w:val="007D02BE"/>
    <w:rsid w:val="007D3737"/>
    <w:rsid w:val="007F245E"/>
    <w:rsid w:val="008039BF"/>
    <w:rsid w:val="008057B2"/>
    <w:rsid w:val="00811AC9"/>
    <w:rsid w:val="00816B29"/>
    <w:rsid w:val="00822BA5"/>
    <w:rsid w:val="00825D88"/>
    <w:rsid w:val="0083496C"/>
    <w:rsid w:val="0084710F"/>
    <w:rsid w:val="00851E1E"/>
    <w:rsid w:val="00854A25"/>
    <w:rsid w:val="008607EF"/>
    <w:rsid w:val="00866B25"/>
    <w:rsid w:val="00875B3C"/>
    <w:rsid w:val="0088698A"/>
    <w:rsid w:val="00895AC7"/>
    <w:rsid w:val="008A46D9"/>
    <w:rsid w:val="008A7D1A"/>
    <w:rsid w:val="008B658B"/>
    <w:rsid w:val="008E0D68"/>
    <w:rsid w:val="008F1F54"/>
    <w:rsid w:val="008F6E65"/>
    <w:rsid w:val="00901368"/>
    <w:rsid w:val="00901E5B"/>
    <w:rsid w:val="009041FF"/>
    <w:rsid w:val="009166BA"/>
    <w:rsid w:val="00923509"/>
    <w:rsid w:val="009237B5"/>
    <w:rsid w:val="00934761"/>
    <w:rsid w:val="00941070"/>
    <w:rsid w:val="0095248B"/>
    <w:rsid w:val="0095281D"/>
    <w:rsid w:val="009569B3"/>
    <w:rsid w:val="009611AD"/>
    <w:rsid w:val="0096749B"/>
    <w:rsid w:val="00974601"/>
    <w:rsid w:val="00976E6F"/>
    <w:rsid w:val="009835FF"/>
    <w:rsid w:val="00987423"/>
    <w:rsid w:val="009B1E2E"/>
    <w:rsid w:val="009B5D77"/>
    <w:rsid w:val="009C0BC4"/>
    <w:rsid w:val="009D65E8"/>
    <w:rsid w:val="009E1AAF"/>
    <w:rsid w:val="009E2673"/>
    <w:rsid w:val="009E2AA5"/>
    <w:rsid w:val="009F2BA9"/>
    <w:rsid w:val="00A03259"/>
    <w:rsid w:val="00A04352"/>
    <w:rsid w:val="00A04FE2"/>
    <w:rsid w:val="00A1241E"/>
    <w:rsid w:val="00A22C5C"/>
    <w:rsid w:val="00A33181"/>
    <w:rsid w:val="00A35BAE"/>
    <w:rsid w:val="00A54267"/>
    <w:rsid w:val="00A56408"/>
    <w:rsid w:val="00A57F62"/>
    <w:rsid w:val="00A64182"/>
    <w:rsid w:val="00A80991"/>
    <w:rsid w:val="00A90371"/>
    <w:rsid w:val="00A925FB"/>
    <w:rsid w:val="00AC233A"/>
    <w:rsid w:val="00AD2E14"/>
    <w:rsid w:val="00AD56E2"/>
    <w:rsid w:val="00AD6A72"/>
    <w:rsid w:val="00AD767E"/>
    <w:rsid w:val="00AE1ABD"/>
    <w:rsid w:val="00AE26E0"/>
    <w:rsid w:val="00AE5306"/>
    <w:rsid w:val="00AE6A86"/>
    <w:rsid w:val="00AE756A"/>
    <w:rsid w:val="00AF1775"/>
    <w:rsid w:val="00AF48C7"/>
    <w:rsid w:val="00AF5BD8"/>
    <w:rsid w:val="00AF6AF0"/>
    <w:rsid w:val="00B02001"/>
    <w:rsid w:val="00B02111"/>
    <w:rsid w:val="00B22052"/>
    <w:rsid w:val="00B220B8"/>
    <w:rsid w:val="00B22557"/>
    <w:rsid w:val="00B31BE8"/>
    <w:rsid w:val="00B3374A"/>
    <w:rsid w:val="00B3637E"/>
    <w:rsid w:val="00B52F59"/>
    <w:rsid w:val="00B619B7"/>
    <w:rsid w:val="00B63DC6"/>
    <w:rsid w:val="00B65191"/>
    <w:rsid w:val="00B72DDF"/>
    <w:rsid w:val="00B735F6"/>
    <w:rsid w:val="00B75211"/>
    <w:rsid w:val="00B81380"/>
    <w:rsid w:val="00B93991"/>
    <w:rsid w:val="00B97114"/>
    <w:rsid w:val="00BA1EFB"/>
    <w:rsid w:val="00BC2AE0"/>
    <w:rsid w:val="00BC31C5"/>
    <w:rsid w:val="00BC65C6"/>
    <w:rsid w:val="00BD4022"/>
    <w:rsid w:val="00BD60D0"/>
    <w:rsid w:val="00BF2FA4"/>
    <w:rsid w:val="00C04031"/>
    <w:rsid w:val="00C04E66"/>
    <w:rsid w:val="00C05C6A"/>
    <w:rsid w:val="00C07A8F"/>
    <w:rsid w:val="00C264CA"/>
    <w:rsid w:val="00C26891"/>
    <w:rsid w:val="00C60480"/>
    <w:rsid w:val="00C62DE2"/>
    <w:rsid w:val="00C64918"/>
    <w:rsid w:val="00C670A8"/>
    <w:rsid w:val="00C7071B"/>
    <w:rsid w:val="00C72155"/>
    <w:rsid w:val="00C8108A"/>
    <w:rsid w:val="00C84A1B"/>
    <w:rsid w:val="00C8516C"/>
    <w:rsid w:val="00C91BA2"/>
    <w:rsid w:val="00C92FA2"/>
    <w:rsid w:val="00CA074F"/>
    <w:rsid w:val="00CA0BD0"/>
    <w:rsid w:val="00CB2355"/>
    <w:rsid w:val="00CB7FB9"/>
    <w:rsid w:val="00CC53BA"/>
    <w:rsid w:val="00CC6736"/>
    <w:rsid w:val="00CC6BF5"/>
    <w:rsid w:val="00CE19F6"/>
    <w:rsid w:val="00CF238C"/>
    <w:rsid w:val="00D0091E"/>
    <w:rsid w:val="00D10EE8"/>
    <w:rsid w:val="00D20D07"/>
    <w:rsid w:val="00D31698"/>
    <w:rsid w:val="00D348B8"/>
    <w:rsid w:val="00D34BEC"/>
    <w:rsid w:val="00D368AB"/>
    <w:rsid w:val="00D378B7"/>
    <w:rsid w:val="00D45A3B"/>
    <w:rsid w:val="00D51DF9"/>
    <w:rsid w:val="00D52D1B"/>
    <w:rsid w:val="00D65B26"/>
    <w:rsid w:val="00D770BB"/>
    <w:rsid w:val="00D77CC1"/>
    <w:rsid w:val="00D80CC2"/>
    <w:rsid w:val="00D8137C"/>
    <w:rsid w:val="00D91A33"/>
    <w:rsid w:val="00D91F1E"/>
    <w:rsid w:val="00D97758"/>
    <w:rsid w:val="00DA2150"/>
    <w:rsid w:val="00DA32EC"/>
    <w:rsid w:val="00DB7E6B"/>
    <w:rsid w:val="00DC1801"/>
    <w:rsid w:val="00DC6088"/>
    <w:rsid w:val="00DC69E2"/>
    <w:rsid w:val="00DD36EA"/>
    <w:rsid w:val="00DD7EDF"/>
    <w:rsid w:val="00DE25EF"/>
    <w:rsid w:val="00DE415F"/>
    <w:rsid w:val="00E0483A"/>
    <w:rsid w:val="00E0562E"/>
    <w:rsid w:val="00E062DC"/>
    <w:rsid w:val="00E1131E"/>
    <w:rsid w:val="00E16846"/>
    <w:rsid w:val="00E17014"/>
    <w:rsid w:val="00E427AD"/>
    <w:rsid w:val="00E502E6"/>
    <w:rsid w:val="00E51C94"/>
    <w:rsid w:val="00E604E8"/>
    <w:rsid w:val="00E64E6B"/>
    <w:rsid w:val="00E71928"/>
    <w:rsid w:val="00E7714A"/>
    <w:rsid w:val="00E87E3B"/>
    <w:rsid w:val="00E91C84"/>
    <w:rsid w:val="00E933E6"/>
    <w:rsid w:val="00E93BEA"/>
    <w:rsid w:val="00EA02D4"/>
    <w:rsid w:val="00EA0B40"/>
    <w:rsid w:val="00EB2EE1"/>
    <w:rsid w:val="00EC3EFB"/>
    <w:rsid w:val="00EC441F"/>
    <w:rsid w:val="00EC6177"/>
    <w:rsid w:val="00EE1BA4"/>
    <w:rsid w:val="00EE23BC"/>
    <w:rsid w:val="00EE3FF1"/>
    <w:rsid w:val="00EE5D58"/>
    <w:rsid w:val="00EF1659"/>
    <w:rsid w:val="00EF48CD"/>
    <w:rsid w:val="00F00F90"/>
    <w:rsid w:val="00F01409"/>
    <w:rsid w:val="00F20245"/>
    <w:rsid w:val="00F20410"/>
    <w:rsid w:val="00F30490"/>
    <w:rsid w:val="00F30AE0"/>
    <w:rsid w:val="00F35A4D"/>
    <w:rsid w:val="00F43733"/>
    <w:rsid w:val="00F46548"/>
    <w:rsid w:val="00F46A71"/>
    <w:rsid w:val="00F5389D"/>
    <w:rsid w:val="00F665F7"/>
    <w:rsid w:val="00F66B6B"/>
    <w:rsid w:val="00F6780D"/>
    <w:rsid w:val="00F7407A"/>
    <w:rsid w:val="00F809A3"/>
    <w:rsid w:val="00F81EE1"/>
    <w:rsid w:val="00F86B8B"/>
    <w:rsid w:val="00F94120"/>
    <w:rsid w:val="00F94340"/>
    <w:rsid w:val="00FA7DBE"/>
    <w:rsid w:val="00FC6423"/>
    <w:rsid w:val="00FD771A"/>
    <w:rsid w:val="00FE23DF"/>
    <w:rsid w:val="00FE479C"/>
    <w:rsid w:val="00FE6195"/>
    <w:rsid w:val="00FE74B9"/>
    <w:rsid w:val="00FF1A9D"/>
    <w:rsid w:val="00FF2E0C"/>
    <w:rsid w:val="00FF5253"/>
    <w:rsid w:val="00FF5462"/>
    <w:rsid w:val="00FF55AB"/>
    <w:rsid w:val="00FF565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7E9A032"/>
  <w15:docId w15:val="{1B26C512-13F2-47CF-99C8-89BCCE53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F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F7"/>
  </w:style>
  <w:style w:type="paragraph" w:styleId="Footer">
    <w:name w:val="footer"/>
    <w:basedOn w:val="Normal"/>
    <w:link w:val="FooterChar"/>
    <w:uiPriority w:val="99"/>
    <w:unhideWhenUsed/>
    <w:rsid w:val="007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F7"/>
  </w:style>
  <w:style w:type="paragraph" w:styleId="BalloonText">
    <w:name w:val="Balloon Text"/>
    <w:basedOn w:val="Normal"/>
    <w:link w:val="BalloonTextChar"/>
    <w:uiPriority w:val="99"/>
    <w:semiHidden/>
    <w:unhideWhenUsed/>
    <w:rsid w:val="00AF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1C1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A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2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E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E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04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4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en/ga/search/view_doc.asp?symbol=A/RES/70/2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E6BC-7A8C-49F7-BBD2-01C6FEE9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3</cp:revision>
  <cp:lastPrinted>2018-09-05T10:44:00Z</cp:lastPrinted>
  <dcterms:created xsi:type="dcterms:W3CDTF">2018-09-11T09:19:00Z</dcterms:created>
  <dcterms:modified xsi:type="dcterms:W3CDTF">2018-09-11T11:11:00Z</dcterms:modified>
</cp:coreProperties>
</file>