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Default="00100C1D" w:rsidP="009D0771">
      <w:pPr>
        <w:spacing w:line="276" w:lineRule="auto"/>
        <w:jc w:val="center"/>
        <w:rPr>
          <w:b/>
          <w:lang w:val="en-GB"/>
        </w:rPr>
      </w:pPr>
    </w:p>
    <w:p w14:paraId="57F42132" w14:textId="77777777" w:rsidR="00100C1D" w:rsidRPr="00C15E93" w:rsidRDefault="009D0771" w:rsidP="009D0771">
      <w:pPr>
        <w:spacing w:line="276" w:lineRule="auto"/>
        <w:jc w:val="center"/>
        <w:rPr>
          <w:b/>
          <w:lang w:val="en-GB"/>
        </w:rPr>
      </w:pPr>
      <w:r w:rsidRPr="00C15E93">
        <w:rPr>
          <w:b/>
          <w:lang w:val="en-GB"/>
        </w:rPr>
        <w:t xml:space="preserve">DRAFT GUIDANCE ON SATISFYING THE CONDITIONS OF PARAGRAPH 2.1.3 </w:t>
      </w:r>
    </w:p>
    <w:p w14:paraId="4BAA6257" w14:textId="77777777" w:rsidR="001D05E3" w:rsidRPr="00C15E93" w:rsidRDefault="009D0771" w:rsidP="009D0771">
      <w:pPr>
        <w:spacing w:line="276" w:lineRule="auto"/>
        <w:jc w:val="center"/>
        <w:rPr>
          <w:b/>
          <w:lang w:val="en-GB"/>
        </w:rPr>
      </w:pPr>
      <w:r w:rsidRPr="00C15E93">
        <w:rPr>
          <w:b/>
          <w:lang w:val="en-GB"/>
        </w:rPr>
        <w:t xml:space="preserve">OF THE AEWA ACTION PLAN </w:t>
      </w:r>
    </w:p>
    <w:p w14:paraId="628B8203" w14:textId="77777777" w:rsidR="00656570" w:rsidRPr="00C15E93" w:rsidRDefault="00656570" w:rsidP="009D0771">
      <w:pPr>
        <w:spacing w:line="276" w:lineRule="auto"/>
        <w:jc w:val="center"/>
        <w:rPr>
          <w:b/>
          <w:lang w:val="en-GB"/>
        </w:rPr>
      </w:pPr>
    </w:p>
    <w:p w14:paraId="51403100" w14:textId="3A622BE5" w:rsidR="00443CFB" w:rsidRDefault="002D1FB1" w:rsidP="002D1FB1">
      <w:pPr>
        <w:jc w:val="center"/>
        <w:rPr>
          <w:lang w:val="en-GB"/>
        </w:rPr>
      </w:pPr>
      <w:r>
        <w:rPr>
          <w:lang w:val="en-GB"/>
        </w:rPr>
        <w:t>(</w:t>
      </w:r>
      <w:r w:rsidRPr="002D1FB1">
        <w:rPr>
          <w:i/>
          <w:lang w:val="en-GB"/>
        </w:rPr>
        <w:t>Compiled by the Technical Committee</w:t>
      </w:r>
      <w:r>
        <w:rPr>
          <w:lang w:val="en-GB"/>
        </w:rPr>
        <w:t>)</w:t>
      </w:r>
    </w:p>
    <w:p w14:paraId="1391F5AF" w14:textId="77777777" w:rsidR="007239E5" w:rsidRPr="00443CFB" w:rsidRDefault="007239E5" w:rsidP="00273D89">
      <w:pPr>
        <w:jc w:val="both"/>
        <w:rPr>
          <w:lang w:val="en-GB"/>
        </w:rPr>
      </w:pPr>
    </w:p>
    <w:p w14:paraId="5F41E846" w14:textId="75B238F6" w:rsidR="00613F85" w:rsidRPr="00C15E93" w:rsidRDefault="00613F85" w:rsidP="00273D89">
      <w:pPr>
        <w:jc w:val="both"/>
        <w:rPr>
          <w:b/>
          <w:lang w:val="en-GB"/>
        </w:rPr>
      </w:pPr>
      <w:r w:rsidRPr="00C15E93">
        <w:rPr>
          <w:b/>
          <w:lang w:val="en-GB"/>
        </w:rPr>
        <w:t>Introduction</w:t>
      </w:r>
    </w:p>
    <w:p w14:paraId="7E78C0D5" w14:textId="77777777" w:rsidR="00613F85" w:rsidRPr="00C15E93" w:rsidRDefault="00613F85" w:rsidP="00273D89">
      <w:pPr>
        <w:jc w:val="both"/>
        <w:rPr>
          <w:lang w:val="en-GB"/>
        </w:rPr>
      </w:pPr>
    </w:p>
    <w:p w14:paraId="798AB1CC" w14:textId="77777777" w:rsidR="00C8484A" w:rsidRPr="00417F06" w:rsidRDefault="00E16660" w:rsidP="009D0771">
      <w:pPr>
        <w:spacing w:line="276" w:lineRule="auto"/>
        <w:jc w:val="both"/>
        <w:rPr>
          <w:sz w:val="22"/>
          <w:szCs w:val="22"/>
          <w:lang w:val="en-GB"/>
        </w:rPr>
      </w:pPr>
      <w:r w:rsidRPr="00417F06">
        <w:rPr>
          <w:sz w:val="22"/>
          <w:szCs w:val="22"/>
          <w:lang w:val="en-GB"/>
        </w:rPr>
        <w:t>P</w:t>
      </w:r>
      <w:r w:rsidR="001E5F35" w:rsidRPr="00417F06">
        <w:rPr>
          <w:sz w:val="22"/>
          <w:szCs w:val="22"/>
          <w:lang w:val="en-GB"/>
        </w:rPr>
        <w:t xml:space="preserve">aragraph 2.1.3 of the AEWA Action Plan </w:t>
      </w:r>
      <w:r w:rsidR="00A10CB7" w:rsidRPr="00417F06">
        <w:rPr>
          <w:sz w:val="22"/>
          <w:szCs w:val="22"/>
          <w:lang w:val="en-GB"/>
        </w:rPr>
        <w:t xml:space="preserve">identifies </w:t>
      </w:r>
      <w:r w:rsidR="009A6086" w:rsidRPr="00417F06">
        <w:rPr>
          <w:sz w:val="22"/>
          <w:szCs w:val="22"/>
          <w:lang w:val="en-GB"/>
        </w:rPr>
        <w:t>the circumstances</w:t>
      </w:r>
      <w:r w:rsidRPr="00417F06">
        <w:rPr>
          <w:sz w:val="22"/>
          <w:szCs w:val="22"/>
          <w:lang w:val="en-GB"/>
        </w:rPr>
        <w:t xml:space="preserve"> in which Contracting P</w:t>
      </w:r>
      <w:r w:rsidR="000F4590" w:rsidRPr="00417F06">
        <w:rPr>
          <w:sz w:val="22"/>
          <w:szCs w:val="22"/>
          <w:lang w:val="en-GB"/>
        </w:rPr>
        <w:t>arties may</w:t>
      </w:r>
      <w:r w:rsidRPr="00417F06">
        <w:rPr>
          <w:sz w:val="22"/>
          <w:szCs w:val="22"/>
          <w:lang w:val="en-GB"/>
        </w:rPr>
        <w:t xml:space="preserve"> permit certain activities that are otherwise prohibited</w:t>
      </w:r>
      <w:r w:rsidR="00A10CB7" w:rsidRPr="00417F06">
        <w:rPr>
          <w:sz w:val="22"/>
          <w:szCs w:val="22"/>
          <w:lang w:val="en-GB"/>
        </w:rPr>
        <w:t xml:space="preserve"> by the Agreement</w:t>
      </w:r>
      <w:r w:rsidRPr="00417F06">
        <w:rPr>
          <w:sz w:val="22"/>
          <w:szCs w:val="22"/>
          <w:lang w:val="en-GB"/>
        </w:rPr>
        <w:t xml:space="preserve">. </w:t>
      </w:r>
      <w:r w:rsidR="00A10CB7" w:rsidRPr="00417F06">
        <w:rPr>
          <w:sz w:val="22"/>
          <w:szCs w:val="22"/>
          <w:lang w:val="en-GB"/>
        </w:rPr>
        <w:t xml:space="preserve">The paragraph thereby allows Contracting Parties a measure of flexibility in implementing their AEWA commitments. </w:t>
      </w:r>
      <w:r w:rsidR="000E4E8A" w:rsidRPr="00417F06">
        <w:rPr>
          <w:sz w:val="22"/>
          <w:szCs w:val="22"/>
          <w:lang w:val="en-GB"/>
        </w:rPr>
        <w:t xml:space="preserve">However, the possibilities for using exemptions are constrained insofar as Contracting Parties can only rely upon paragraph 2.1.3 if several general and specific conditions are met. </w:t>
      </w:r>
    </w:p>
    <w:p w14:paraId="58D3DA37" w14:textId="77777777" w:rsidR="00C8484A" w:rsidRPr="00417F06" w:rsidRDefault="00C8484A" w:rsidP="009D0771">
      <w:pPr>
        <w:spacing w:line="276" w:lineRule="auto"/>
        <w:jc w:val="both"/>
        <w:rPr>
          <w:sz w:val="22"/>
          <w:szCs w:val="22"/>
          <w:lang w:val="en-GB"/>
        </w:rPr>
      </w:pPr>
    </w:p>
    <w:p w14:paraId="52675A9A" w14:textId="77777777" w:rsidR="00EA68CB" w:rsidRPr="00417F06" w:rsidRDefault="00C8484A" w:rsidP="009D0771">
      <w:pPr>
        <w:spacing w:line="276" w:lineRule="auto"/>
        <w:jc w:val="both"/>
        <w:rPr>
          <w:color w:val="000000" w:themeColor="text1"/>
          <w:sz w:val="22"/>
          <w:szCs w:val="22"/>
          <w:lang w:val="en-GB"/>
        </w:rPr>
      </w:pPr>
      <w:r w:rsidRPr="00417F06">
        <w:rPr>
          <w:sz w:val="22"/>
          <w:szCs w:val="22"/>
          <w:lang w:val="en-GB"/>
        </w:rPr>
        <w:t>After briefly describing</w:t>
      </w:r>
      <w:r w:rsidR="00613F85" w:rsidRPr="00417F06">
        <w:rPr>
          <w:sz w:val="22"/>
          <w:szCs w:val="22"/>
          <w:lang w:val="en-GB"/>
        </w:rPr>
        <w:t xml:space="preserve"> the prohibitions that Contracting Parties are ordinarily required to implement under paragraphs 2.1.1 and 2.1.2 of the AEWA Action Plan</w:t>
      </w:r>
      <w:r w:rsidR="00B44D01" w:rsidRPr="00417F06">
        <w:rPr>
          <w:sz w:val="22"/>
          <w:szCs w:val="22"/>
          <w:lang w:val="en-GB"/>
        </w:rPr>
        <w:t xml:space="preserve"> (and the limitations thereto)</w:t>
      </w:r>
      <w:r w:rsidR="00613F85" w:rsidRPr="00417F06">
        <w:rPr>
          <w:sz w:val="22"/>
          <w:szCs w:val="22"/>
          <w:lang w:val="en-GB"/>
        </w:rPr>
        <w:t>, this document provides guidance</w:t>
      </w:r>
      <w:r w:rsidR="000E4E8A" w:rsidRPr="00417F06">
        <w:rPr>
          <w:sz w:val="22"/>
          <w:szCs w:val="22"/>
          <w:lang w:val="en-GB"/>
        </w:rPr>
        <w:t xml:space="preserve"> on satisfying the conditions described in</w:t>
      </w:r>
      <w:r w:rsidR="00613F85" w:rsidRPr="00417F06">
        <w:rPr>
          <w:sz w:val="22"/>
          <w:szCs w:val="22"/>
          <w:lang w:val="en-GB"/>
        </w:rPr>
        <w:t xml:space="preserve"> paragraph 2.1.3. This includes, but is not limited to, guidance on measures to be taken to prevent exemptions from operating to </w:t>
      </w:r>
      <w:r w:rsidR="00D34DB8" w:rsidRPr="00417F06">
        <w:rPr>
          <w:sz w:val="22"/>
          <w:szCs w:val="22"/>
          <w:lang w:val="en-GB"/>
        </w:rPr>
        <w:t>the detriment of Table 1 populations</w:t>
      </w:r>
      <w:r w:rsidR="005E1FED" w:rsidRPr="00417F06">
        <w:rPr>
          <w:sz w:val="22"/>
          <w:szCs w:val="22"/>
          <w:lang w:val="en-GB"/>
        </w:rPr>
        <w:t xml:space="preserve">. Such </w:t>
      </w:r>
      <w:r w:rsidR="000D4A05" w:rsidRPr="00417F06">
        <w:rPr>
          <w:sz w:val="22"/>
          <w:szCs w:val="22"/>
          <w:lang w:val="en-GB"/>
        </w:rPr>
        <w:t>guidance was</w:t>
      </w:r>
      <w:r w:rsidR="0098559B" w:rsidRPr="00417F06">
        <w:rPr>
          <w:sz w:val="22"/>
          <w:szCs w:val="22"/>
          <w:lang w:val="en-GB"/>
        </w:rPr>
        <w:t xml:space="preserve"> </w:t>
      </w:r>
      <w:r w:rsidR="00D34DB8" w:rsidRPr="00417F06">
        <w:rPr>
          <w:sz w:val="22"/>
          <w:szCs w:val="22"/>
          <w:lang w:val="en-GB"/>
        </w:rPr>
        <w:t xml:space="preserve">called for in the </w:t>
      </w:r>
      <w:r w:rsidR="00D34DB8" w:rsidRPr="00417F06">
        <w:rPr>
          <w:color w:val="000000" w:themeColor="text1"/>
          <w:sz w:val="22"/>
          <w:szCs w:val="22"/>
          <w:lang w:val="en-GB"/>
        </w:rPr>
        <w:t>2007</w:t>
      </w:r>
      <w:r w:rsidRPr="00417F06">
        <w:rPr>
          <w:color w:val="000000" w:themeColor="text1"/>
          <w:sz w:val="22"/>
          <w:szCs w:val="22"/>
          <w:lang w:val="en-GB"/>
        </w:rPr>
        <w:t xml:space="preserve"> </w:t>
      </w:r>
      <w:hyperlink r:id="rId8" w:history="1">
        <w:r w:rsidR="00D34DB8" w:rsidRPr="00417F06">
          <w:rPr>
            <w:rStyle w:val="Hyperlink"/>
            <w:i/>
            <w:color w:val="000000" w:themeColor="text1"/>
            <w:sz w:val="22"/>
            <w:szCs w:val="22"/>
            <w:lang w:val="en-GB"/>
          </w:rPr>
          <w:t xml:space="preserve">Review on hunting and trade legislation in countries relating to the species listed in Annex 2 to the African-Eurasian Migratory </w:t>
        </w:r>
        <w:proofErr w:type="spellStart"/>
        <w:r w:rsidR="00D34DB8" w:rsidRPr="00417F06">
          <w:rPr>
            <w:rStyle w:val="Hyperlink"/>
            <w:i/>
            <w:color w:val="000000" w:themeColor="text1"/>
            <w:sz w:val="22"/>
            <w:szCs w:val="22"/>
            <w:lang w:val="en-GB"/>
          </w:rPr>
          <w:t>Waterbird</w:t>
        </w:r>
        <w:proofErr w:type="spellEnd"/>
        <w:r w:rsidR="00D34DB8" w:rsidRPr="00417F06">
          <w:rPr>
            <w:rStyle w:val="Hyperlink"/>
            <w:i/>
            <w:color w:val="000000" w:themeColor="text1"/>
            <w:sz w:val="22"/>
            <w:szCs w:val="22"/>
            <w:lang w:val="en-GB"/>
          </w:rPr>
          <w:t xml:space="preserve"> Agreement</w:t>
        </w:r>
      </w:hyperlink>
      <w:r w:rsidR="0098559B" w:rsidRPr="00417F06">
        <w:rPr>
          <w:color w:val="000000" w:themeColor="text1"/>
          <w:sz w:val="22"/>
          <w:szCs w:val="22"/>
          <w:lang w:val="en-GB"/>
        </w:rPr>
        <w:t xml:space="preserve">, the recommendations of which were endorsed by </w:t>
      </w:r>
      <w:hyperlink r:id="rId9" w:history="1">
        <w:r w:rsidR="0098559B" w:rsidRPr="00417F06">
          <w:rPr>
            <w:rStyle w:val="Hyperlink"/>
            <w:sz w:val="22"/>
            <w:szCs w:val="22"/>
            <w:lang w:val="en-GB"/>
          </w:rPr>
          <w:t>Resolution 4.3</w:t>
        </w:r>
      </w:hyperlink>
      <w:r w:rsidR="00D34DB8" w:rsidRPr="00417F06">
        <w:rPr>
          <w:color w:val="000000" w:themeColor="text1"/>
          <w:sz w:val="22"/>
          <w:szCs w:val="22"/>
          <w:lang w:val="en-GB"/>
        </w:rPr>
        <w:t>.</w:t>
      </w:r>
      <w:r w:rsidRPr="00417F06">
        <w:rPr>
          <w:color w:val="000000" w:themeColor="text1"/>
          <w:sz w:val="22"/>
          <w:szCs w:val="22"/>
          <w:lang w:val="en-GB"/>
        </w:rPr>
        <w:t xml:space="preserve"> </w:t>
      </w:r>
    </w:p>
    <w:p w14:paraId="620BB1FD" w14:textId="77777777" w:rsidR="00121497" w:rsidRPr="00417F06" w:rsidRDefault="00121497" w:rsidP="009D0771">
      <w:pPr>
        <w:spacing w:line="276" w:lineRule="auto"/>
        <w:jc w:val="both"/>
        <w:rPr>
          <w:color w:val="000000" w:themeColor="text1"/>
          <w:sz w:val="22"/>
          <w:szCs w:val="22"/>
          <w:lang w:val="en-GB"/>
        </w:rPr>
      </w:pPr>
    </w:p>
    <w:p w14:paraId="75B83443" w14:textId="1761050A" w:rsidR="0098559B" w:rsidRPr="00417F06" w:rsidRDefault="00121497" w:rsidP="009D0771">
      <w:pPr>
        <w:spacing w:line="276" w:lineRule="auto"/>
        <w:jc w:val="both"/>
        <w:rPr>
          <w:sz w:val="22"/>
          <w:szCs w:val="22"/>
          <w:lang w:val="en-GB"/>
        </w:rPr>
      </w:pPr>
      <w:r w:rsidRPr="00417F06">
        <w:rPr>
          <w:sz w:val="22"/>
          <w:szCs w:val="22"/>
          <w:lang w:val="en-GB"/>
        </w:rPr>
        <w:t xml:space="preserve">In drafting this guidance, consideration was paid to the extensive body of guidelines that have been developed on the interpretation and application of similar legal text in </w:t>
      </w:r>
      <w:r w:rsidRPr="00417F06">
        <w:rPr>
          <w:color w:val="000000" w:themeColor="text1"/>
          <w:sz w:val="22"/>
          <w:szCs w:val="22"/>
          <w:lang w:val="en-GB"/>
        </w:rPr>
        <w:t>the European Union’s Birds and Habitats Directives</w:t>
      </w:r>
      <w:r w:rsidR="003859E7" w:rsidRPr="00417F06">
        <w:rPr>
          <w:rStyle w:val="FootnoteReference"/>
          <w:color w:val="000000" w:themeColor="text1"/>
          <w:sz w:val="22"/>
          <w:szCs w:val="22"/>
          <w:lang w:val="en-GB"/>
        </w:rPr>
        <w:footnoteReference w:id="1"/>
      </w:r>
      <w:r w:rsidR="00391B49" w:rsidRPr="00417F06">
        <w:rPr>
          <w:color w:val="000000" w:themeColor="text1"/>
          <w:sz w:val="22"/>
          <w:szCs w:val="22"/>
          <w:lang w:val="en-GB"/>
        </w:rPr>
        <w:t xml:space="preserve"> and the </w:t>
      </w:r>
      <w:r w:rsidR="00391B49" w:rsidRPr="00417F06">
        <w:rPr>
          <w:sz w:val="22"/>
          <w:szCs w:val="22"/>
          <w:lang w:val="en-GB"/>
        </w:rPr>
        <w:t>Council of Europe</w:t>
      </w:r>
      <w:r w:rsidR="003A180B" w:rsidRPr="00417F06">
        <w:rPr>
          <w:sz w:val="22"/>
          <w:szCs w:val="22"/>
          <w:lang w:val="en-GB"/>
        </w:rPr>
        <w:t>’</w:t>
      </w:r>
      <w:r w:rsidR="00391B49" w:rsidRPr="00417F06">
        <w:rPr>
          <w:sz w:val="22"/>
          <w:szCs w:val="22"/>
          <w:lang w:val="en-GB"/>
        </w:rPr>
        <w:t>s Convention on the Conservation of European </w:t>
      </w:r>
      <w:r w:rsidR="00391B49" w:rsidRPr="00417F06">
        <w:rPr>
          <w:bCs/>
          <w:sz w:val="22"/>
          <w:szCs w:val="22"/>
          <w:lang w:val="en-GB"/>
        </w:rPr>
        <w:t>Wildlife</w:t>
      </w:r>
      <w:r w:rsidR="00391B49" w:rsidRPr="00417F06">
        <w:rPr>
          <w:sz w:val="22"/>
          <w:szCs w:val="22"/>
          <w:lang w:val="en-GB"/>
        </w:rPr>
        <w:t> and Natural Habitats (Bern Convention)</w:t>
      </w:r>
      <w:r w:rsidRPr="00417F06">
        <w:rPr>
          <w:sz w:val="22"/>
          <w:szCs w:val="22"/>
          <w:lang w:val="en-GB"/>
        </w:rPr>
        <w:t>.</w:t>
      </w:r>
      <w:r w:rsidR="003D39CF" w:rsidRPr="00417F06">
        <w:rPr>
          <w:rStyle w:val="FootnoteReference"/>
          <w:sz w:val="22"/>
          <w:szCs w:val="22"/>
          <w:lang w:val="en-GB"/>
        </w:rPr>
        <w:footnoteReference w:id="2"/>
      </w:r>
      <w:r w:rsidRPr="00417F06">
        <w:rPr>
          <w:sz w:val="22"/>
          <w:szCs w:val="22"/>
          <w:lang w:val="en-GB"/>
        </w:rPr>
        <w:t xml:space="preserve"> However, due regard was paid to differences between AEWA’s provisions and those of other legal instruments. </w:t>
      </w:r>
    </w:p>
    <w:p w14:paraId="36B9EA1F" w14:textId="77777777" w:rsidR="0098559B" w:rsidRPr="00417F06" w:rsidRDefault="0098559B" w:rsidP="009D0771">
      <w:pPr>
        <w:spacing w:line="276" w:lineRule="auto"/>
        <w:jc w:val="both"/>
        <w:rPr>
          <w:sz w:val="22"/>
          <w:szCs w:val="22"/>
          <w:lang w:val="en-GB"/>
        </w:rPr>
      </w:pPr>
    </w:p>
    <w:p w14:paraId="155783CD" w14:textId="4E2C5FB8" w:rsidR="00DB1165" w:rsidRPr="00C57AD5" w:rsidRDefault="00121497" w:rsidP="00BB1069">
      <w:pPr>
        <w:spacing w:line="276" w:lineRule="auto"/>
        <w:jc w:val="both"/>
        <w:rPr>
          <w:color w:val="000000" w:themeColor="text1"/>
          <w:sz w:val="22"/>
          <w:szCs w:val="22"/>
          <w:lang w:val="en-GB"/>
        </w:rPr>
        <w:sectPr w:rsidR="00DB1165" w:rsidRPr="00C57AD5" w:rsidSect="00E423F2">
          <w:headerReference w:type="even" r:id="rId10"/>
          <w:headerReference w:type="default" r:id="rId11"/>
          <w:footerReference w:type="even" r:id="rId12"/>
          <w:footerReference w:type="default" r:id="rId13"/>
          <w:headerReference w:type="first" r:id="rId14"/>
          <w:footerReference w:type="first" r:id="rId15"/>
          <w:pgSz w:w="11900" w:h="16840" w:code="9"/>
          <w:pgMar w:top="1134" w:right="1134" w:bottom="1134" w:left="1134" w:header="709" w:footer="709" w:gutter="0"/>
          <w:cols w:space="708"/>
          <w:docGrid w:linePitch="360"/>
        </w:sectPr>
      </w:pPr>
      <w:r w:rsidRPr="00417F06">
        <w:rPr>
          <w:sz w:val="22"/>
          <w:szCs w:val="22"/>
          <w:lang w:val="en-GB"/>
        </w:rPr>
        <w:t xml:space="preserve">The guidance should be read alongside </w:t>
      </w:r>
      <w:r w:rsidR="00B959F3" w:rsidRPr="00417F06">
        <w:rPr>
          <w:sz w:val="22"/>
          <w:szCs w:val="22"/>
          <w:lang w:val="en-GB"/>
        </w:rPr>
        <w:t>various other guidelines</w:t>
      </w:r>
      <w:r w:rsidR="00915ECB" w:rsidRPr="00417F06">
        <w:rPr>
          <w:sz w:val="22"/>
          <w:szCs w:val="22"/>
          <w:lang w:val="en-GB"/>
        </w:rPr>
        <w:t xml:space="preserve"> that have been adopted by the AEWA Meeting of the Parties</w:t>
      </w:r>
      <w:r w:rsidR="00B959F3" w:rsidRPr="00417F06">
        <w:rPr>
          <w:sz w:val="22"/>
          <w:szCs w:val="22"/>
          <w:lang w:val="en-GB"/>
        </w:rPr>
        <w:t xml:space="preserve"> – in particular, the </w:t>
      </w:r>
      <w:hyperlink r:id="rId16" w:history="1">
        <w:r w:rsidR="00B959F3" w:rsidRPr="00417F06">
          <w:rPr>
            <w:rStyle w:val="Hyperlink"/>
            <w:i/>
            <w:sz w:val="22"/>
            <w:szCs w:val="22"/>
            <w:lang w:val="en-GB"/>
          </w:rPr>
          <w:t xml:space="preserve">Guidelines on National Legislation for the Protection of Species of Migratory </w:t>
        </w:r>
        <w:proofErr w:type="spellStart"/>
        <w:r w:rsidR="00B959F3" w:rsidRPr="00417F06">
          <w:rPr>
            <w:rStyle w:val="Hyperlink"/>
            <w:i/>
            <w:sz w:val="22"/>
            <w:szCs w:val="22"/>
            <w:lang w:val="en-GB"/>
          </w:rPr>
          <w:t>Waterbirds</w:t>
        </w:r>
        <w:proofErr w:type="spellEnd"/>
        <w:r w:rsidR="00B959F3" w:rsidRPr="00417F06">
          <w:rPr>
            <w:rStyle w:val="Hyperlink"/>
            <w:i/>
            <w:sz w:val="22"/>
            <w:szCs w:val="22"/>
            <w:lang w:val="en-GB"/>
          </w:rPr>
          <w:t xml:space="preserve"> and their Habitats</w:t>
        </w:r>
      </w:hyperlink>
      <w:r w:rsidR="00B959F3" w:rsidRPr="00417F06">
        <w:rPr>
          <w:sz w:val="22"/>
          <w:szCs w:val="22"/>
          <w:lang w:val="en-GB"/>
        </w:rPr>
        <w:t xml:space="preserve"> </w:t>
      </w:r>
      <w:r w:rsidR="00BA549F" w:rsidRPr="00417F06">
        <w:rPr>
          <w:sz w:val="22"/>
          <w:szCs w:val="22"/>
          <w:lang w:val="en-GB"/>
        </w:rPr>
        <w:t xml:space="preserve">(part V) </w:t>
      </w:r>
      <w:r w:rsidR="00B959F3" w:rsidRPr="00417F06">
        <w:rPr>
          <w:sz w:val="22"/>
          <w:szCs w:val="22"/>
          <w:lang w:val="en-GB"/>
        </w:rPr>
        <w:t xml:space="preserve">and the </w:t>
      </w:r>
      <w:hyperlink r:id="rId17" w:history="1">
        <w:r w:rsidR="00B959F3" w:rsidRPr="00417F06">
          <w:rPr>
            <w:rStyle w:val="Hyperlink"/>
            <w:i/>
            <w:sz w:val="22"/>
            <w:szCs w:val="22"/>
            <w:lang w:val="en-GB"/>
          </w:rPr>
          <w:t xml:space="preserve">Guidelines on Sustainable Harvest of Migratory </w:t>
        </w:r>
        <w:proofErr w:type="spellStart"/>
        <w:r w:rsidR="00B959F3" w:rsidRPr="00417F06">
          <w:rPr>
            <w:rStyle w:val="Hyperlink"/>
            <w:i/>
            <w:sz w:val="22"/>
            <w:szCs w:val="22"/>
            <w:lang w:val="en-GB"/>
          </w:rPr>
          <w:t>Waterbirds</w:t>
        </w:r>
        <w:proofErr w:type="spellEnd"/>
      </w:hyperlink>
      <w:r w:rsidR="00B959F3" w:rsidRPr="00C15E93">
        <w:rPr>
          <w:i/>
          <w:color w:val="000000" w:themeColor="text1"/>
          <w:sz w:val="22"/>
          <w:szCs w:val="22"/>
          <w:lang w:val="en-GB"/>
        </w:rPr>
        <w:t>.</w:t>
      </w:r>
      <w:r w:rsidR="003A180B" w:rsidRPr="00C15E93">
        <w:rPr>
          <w:i/>
          <w:color w:val="000000" w:themeColor="text1"/>
          <w:sz w:val="22"/>
          <w:szCs w:val="22"/>
          <w:lang w:val="en-GB"/>
        </w:rPr>
        <w:t xml:space="preserve"> </w:t>
      </w:r>
    </w:p>
    <w:p w14:paraId="0826005B" w14:textId="04D9FEFF" w:rsidR="006F437F" w:rsidRDefault="00613F85" w:rsidP="004B59B5">
      <w:pPr>
        <w:shd w:val="clear" w:color="auto" w:fill="D9E2F3" w:themeFill="accent1" w:themeFillTint="33"/>
        <w:jc w:val="both"/>
        <w:rPr>
          <w:b/>
          <w:lang w:val="en-GB"/>
        </w:rPr>
      </w:pPr>
      <w:r w:rsidRPr="00C15E93">
        <w:rPr>
          <w:b/>
          <w:lang w:val="en-GB"/>
        </w:rPr>
        <w:lastRenderedPageBreak/>
        <w:t>T</w:t>
      </w:r>
      <w:r w:rsidR="00046113" w:rsidRPr="00C15E93">
        <w:rPr>
          <w:b/>
          <w:lang w:val="en-GB"/>
        </w:rPr>
        <w:t>he p</w:t>
      </w:r>
      <w:r w:rsidR="00AD710E" w:rsidRPr="00C15E93">
        <w:rPr>
          <w:b/>
          <w:lang w:val="en-GB"/>
        </w:rPr>
        <w:t xml:space="preserve">rohibitions required by paragraphs 2.1.1 and 2.1.2 of the </w:t>
      </w:r>
      <w:r w:rsidR="00021F8C" w:rsidRPr="00C15E93">
        <w:rPr>
          <w:b/>
          <w:lang w:val="en-GB"/>
        </w:rPr>
        <w:t>AEWA Action Plan</w:t>
      </w:r>
    </w:p>
    <w:p w14:paraId="3A18380E" w14:textId="77777777" w:rsidR="00E423F2" w:rsidRPr="00C15E93" w:rsidRDefault="00E423F2" w:rsidP="00273D89">
      <w:pPr>
        <w:jc w:val="both"/>
        <w:rPr>
          <w:b/>
          <w:lang w:val="en-GB"/>
        </w:rPr>
      </w:pPr>
    </w:p>
    <w:p w14:paraId="34E85869" w14:textId="77777777" w:rsidR="00EB03F5" w:rsidRPr="00417F06" w:rsidRDefault="009D7FA2" w:rsidP="00C84343">
      <w:pPr>
        <w:spacing w:line="276" w:lineRule="auto"/>
        <w:jc w:val="both"/>
        <w:rPr>
          <w:sz w:val="22"/>
          <w:szCs w:val="22"/>
          <w:lang w:val="en-GB"/>
        </w:rPr>
      </w:pPr>
      <w:r w:rsidRPr="00417F06">
        <w:rPr>
          <w:sz w:val="22"/>
          <w:szCs w:val="22"/>
          <w:lang w:val="en-GB"/>
        </w:rPr>
        <w:t>A Contracting Party need only resort to rel</w:t>
      </w:r>
      <w:r w:rsidR="00E26F12" w:rsidRPr="00417F06">
        <w:rPr>
          <w:sz w:val="22"/>
          <w:szCs w:val="22"/>
          <w:lang w:val="en-GB"/>
        </w:rPr>
        <w:t>ying</w:t>
      </w:r>
      <w:r w:rsidRPr="00417F06">
        <w:rPr>
          <w:sz w:val="22"/>
          <w:szCs w:val="22"/>
          <w:lang w:val="en-GB"/>
        </w:rPr>
        <w:t xml:space="preserve"> upon paragraph 2.1.3 of the AEWA Action Plan if it</w:t>
      </w:r>
      <w:r w:rsidR="00EB03F5" w:rsidRPr="00417F06">
        <w:rPr>
          <w:sz w:val="22"/>
          <w:szCs w:val="22"/>
          <w:lang w:val="en-GB"/>
        </w:rPr>
        <w:t xml:space="preserve"> wishes to allow an activity </w:t>
      </w:r>
      <w:r w:rsidR="005E6CA2" w:rsidRPr="00417F06">
        <w:rPr>
          <w:sz w:val="22"/>
          <w:szCs w:val="22"/>
          <w:lang w:val="en-GB"/>
        </w:rPr>
        <w:t>for which prohibition is prescribed</w:t>
      </w:r>
      <w:r w:rsidR="00EB03F5" w:rsidRPr="00417F06">
        <w:rPr>
          <w:sz w:val="22"/>
          <w:szCs w:val="22"/>
          <w:lang w:val="en-GB"/>
        </w:rPr>
        <w:t xml:space="preserve"> by paragraph 2.1.1 or 2.1.2.</w:t>
      </w:r>
      <w:r w:rsidR="003D39CF" w:rsidRPr="00417F06">
        <w:rPr>
          <w:rStyle w:val="FootnoteReference"/>
          <w:sz w:val="22"/>
          <w:szCs w:val="22"/>
          <w:lang w:val="en-GB"/>
        </w:rPr>
        <w:footnoteReference w:id="3"/>
      </w:r>
      <w:r w:rsidR="00644A7E" w:rsidRPr="00417F06">
        <w:rPr>
          <w:sz w:val="22"/>
          <w:szCs w:val="22"/>
          <w:lang w:val="en-GB"/>
        </w:rPr>
        <w:t xml:space="preserve"> These prohibitions concern:</w:t>
      </w:r>
    </w:p>
    <w:p w14:paraId="50947435" w14:textId="77777777" w:rsidR="00DB1165" w:rsidRPr="00417F06" w:rsidRDefault="00DB1165" w:rsidP="00C84343">
      <w:pPr>
        <w:spacing w:line="276" w:lineRule="auto"/>
        <w:jc w:val="both"/>
        <w:rPr>
          <w:sz w:val="22"/>
          <w:szCs w:val="22"/>
          <w:lang w:val="en-GB"/>
        </w:rPr>
      </w:pPr>
    </w:p>
    <w:p w14:paraId="6A3AFAB4" w14:textId="2449370E" w:rsidR="00644A7E" w:rsidRPr="00417F06" w:rsidRDefault="00644A7E"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The </w:t>
      </w:r>
      <w:r w:rsidR="00715C81" w:rsidRPr="00417F06">
        <w:rPr>
          <w:rFonts w:ascii="Times New Roman" w:hAnsi="Times New Roman" w:cs="Times New Roman"/>
          <w:sz w:val="22"/>
          <w:szCs w:val="22"/>
          <w:lang w:val="en-GB"/>
        </w:rPr>
        <w:t>taking</w:t>
      </w:r>
      <w:r w:rsidR="00FA50AD" w:rsidRPr="00417F06">
        <w:rPr>
          <w:rStyle w:val="FootnoteReference"/>
          <w:rFonts w:ascii="Times New Roman" w:hAnsi="Times New Roman" w:cs="Times New Roman"/>
          <w:sz w:val="22"/>
          <w:szCs w:val="22"/>
          <w:lang w:val="en-GB"/>
        </w:rPr>
        <w:footnoteReference w:id="4"/>
      </w:r>
      <w:r w:rsidR="00715C81" w:rsidRPr="00417F06">
        <w:rPr>
          <w:rFonts w:ascii="Times New Roman" w:hAnsi="Times New Roman" w:cs="Times New Roman"/>
          <w:sz w:val="22"/>
          <w:szCs w:val="22"/>
          <w:lang w:val="en-GB"/>
        </w:rPr>
        <w:t xml:space="preserve"> of birds and eggs of</w:t>
      </w:r>
      <w:r w:rsidR="00361E64" w:rsidRPr="00417F06">
        <w:rPr>
          <w:rFonts w:ascii="Times New Roman" w:hAnsi="Times New Roman" w:cs="Times New Roman"/>
          <w:sz w:val="22"/>
          <w:szCs w:val="22"/>
          <w:lang w:val="en-GB"/>
        </w:rPr>
        <w:t xml:space="preserve"> populations listed in C</w:t>
      </w:r>
      <w:r w:rsidRPr="00417F06">
        <w:rPr>
          <w:rFonts w:ascii="Times New Roman" w:hAnsi="Times New Roman" w:cs="Times New Roman"/>
          <w:sz w:val="22"/>
          <w:szCs w:val="22"/>
          <w:lang w:val="en-GB"/>
        </w:rPr>
        <w:t>olumn A of Table 1.</w:t>
      </w:r>
      <w:r w:rsidR="00A80B3E" w:rsidRPr="00417F06">
        <w:rPr>
          <w:rFonts w:ascii="Times New Roman" w:hAnsi="Times New Roman" w:cs="Times New Roman"/>
          <w:sz w:val="22"/>
          <w:szCs w:val="22"/>
          <w:lang w:val="en-GB"/>
        </w:rPr>
        <w:t xml:space="preserve"> (Para. 2.1.1(a).)</w:t>
      </w:r>
      <w:r w:rsidR="009B2D1F">
        <w:rPr>
          <w:rFonts w:ascii="Times New Roman" w:hAnsi="Times New Roman" w:cs="Times New Roman"/>
          <w:sz w:val="22"/>
          <w:szCs w:val="22"/>
          <w:lang w:val="en-GB"/>
        </w:rPr>
        <w:t>;</w:t>
      </w:r>
    </w:p>
    <w:p w14:paraId="73B0C958" w14:textId="77777777" w:rsidR="001C7FA3" w:rsidRPr="00417F06" w:rsidRDefault="001C7FA3" w:rsidP="00C84343">
      <w:pPr>
        <w:pStyle w:val="ListParagraph"/>
        <w:spacing w:line="276" w:lineRule="auto"/>
        <w:jc w:val="both"/>
        <w:rPr>
          <w:rFonts w:ascii="Times New Roman" w:hAnsi="Times New Roman" w:cs="Times New Roman"/>
          <w:sz w:val="22"/>
          <w:szCs w:val="22"/>
          <w:lang w:val="en-GB"/>
        </w:rPr>
      </w:pPr>
    </w:p>
    <w:p w14:paraId="60291BC5" w14:textId="27D1D580" w:rsidR="00644A7E" w:rsidRPr="00417F06" w:rsidRDefault="00644A7E" w:rsidP="00C84343">
      <w:pPr>
        <w:pStyle w:val="ListParagraph"/>
        <w:numPr>
          <w:ilvl w:val="0"/>
          <w:numId w:val="8"/>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sz w:val="22"/>
          <w:szCs w:val="22"/>
          <w:lang w:val="en-GB"/>
        </w:rPr>
        <w:t>The deliberate distur</w:t>
      </w:r>
      <w:r w:rsidR="00361E64" w:rsidRPr="00417F06">
        <w:rPr>
          <w:rFonts w:ascii="Times New Roman" w:hAnsi="Times New Roman" w:cs="Times New Roman"/>
          <w:sz w:val="22"/>
          <w:szCs w:val="22"/>
          <w:lang w:val="en-GB"/>
        </w:rPr>
        <w:t>bance of populati</w:t>
      </w:r>
      <w:r w:rsidR="00361E64" w:rsidRPr="00417F06">
        <w:rPr>
          <w:rFonts w:ascii="Times New Roman" w:hAnsi="Times New Roman" w:cs="Times New Roman"/>
          <w:color w:val="000000" w:themeColor="text1"/>
          <w:sz w:val="22"/>
          <w:szCs w:val="22"/>
          <w:lang w:val="en-GB"/>
        </w:rPr>
        <w:t>ons listed in C</w:t>
      </w:r>
      <w:r w:rsidRPr="00417F06">
        <w:rPr>
          <w:rFonts w:ascii="Times New Roman" w:hAnsi="Times New Roman" w:cs="Times New Roman"/>
          <w:color w:val="000000" w:themeColor="text1"/>
          <w:sz w:val="22"/>
          <w:szCs w:val="22"/>
          <w:lang w:val="en-GB"/>
        </w:rPr>
        <w:t>olumn A of Table 1</w:t>
      </w:r>
      <w:r w:rsidR="00715C81" w:rsidRPr="00417F06">
        <w:rPr>
          <w:rFonts w:ascii="Times New Roman" w:hAnsi="Times New Roman" w:cs="Times New Roman"/>
          <w:color w:val="000000" w:themeColor="text1"/>
          <w:sz w:val="22"/>
          <w:szCs w:val="22"/>
          <w:lang w:val="en-GB"/>
        </w:rPr>
        <w:t>,</w:t>
      </w:r>
      <w:r w:rsidRPr="00417F06">
        <w:rPr>
          <w:rFonts w:ascii="Times New Roman" w:hAnsi="Times New Roman" w:cs="Times New Roman"/>
          <w:color w:val="000000" w:themeColor="text1"/>
          <w:sz w:val="22"/>
          <w:szCs w:val="22"/>
          <w:lang w:val="en-GB"/>
        </w:rPr>
        <w:t xml:space="preserve"> insofar as such disturbance would be significant for the population’s conservation.</w:t>
      </w:r>
      <w:r w:rsidR="00A80B3E" w:rsidRPr="00417F06">
        <w:rPr>
          <w:rFonts w:ascii="Times New Roman" w:hAnsi="Times New Roman" w:cs="Times New Roman"/>
          <w:color w:val="000000" w:themeColor="text1"/>
          <w:sz w:val="22"/>
          <w:szCs w:val="22"/>
          <w:lang w:val="en-GB"/>
        </w:rPr>
        <w:t xml:space="preserve"> (Para. 2.1.1(b).)</w:t>
      </w:r>
      <w:r w:rsidR="009B2D1F">
        <w:rPr>
          <w:rFonts w:ascii="Times New Roman" w:hAnsi="Times New Roman" w:cs="Times New Roman"/>
          <w:color w:val="000000" w:themeColor="text1"/>
          <w:sz w:val="22"/>
          <w:szCs w:val="22"/>
          <w:lang w:val="en-GB"/>
        </w:rPr>
        <w:t>;</w:t>
      </w:r>
    </w:p>
    <w:p w14:paraId="241B3680" w14:textId="77777777" w:rsidR="001C7FA3" w:rsidRPr="00417F06" w:rsidRDefault="001C7FA3" w:rsidP="00C84343">
      <w:pPr>
        <w:spacing w:line="276" w:lineRule="auto"/>
        <w:jc w:val="both"/>
        <w:rPr>
          <w:color w:val="000000" w:themeColor="text1"/>
          <w:sz w:val="22"/>
          <w:szCs w:val="22"/>
          <w:lang w:val="en-GB"/>
        </w:rPr>
      </w:pPr>
    </w:p>
    <w:p w14:paraId="43068F7C" w14:textId="37F858EE" w:rsidR="00776BC5" w:rsidRPr="00417F06" w:rsidRDefault="00E20784"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color w:val="000000" w:themeColor="text1"/>
          <w:sz w:val="22"/>
          <w:szCs w:val="22"/>
          <w:lang w:val="en-GB"/>
        </w:rPr>
        <w:t xml:space="preserve"> </w:t>
      </w:r>
      <w:r w:rsidR="00715C81" w:rsidRPr="00417F06">
        <w:rPr>
          <w:rFonts w:ascii="Times New Roman" w:hAnsi="Times New Roman" w:cs="Times New Roman"/>
          <w:color w:val="000000" w:themeColor="text1"/>
          <w:sz w:val="22"/>
          <w:szCs w:val="22"/>
          <w:lang w:val="en-GB"/>
        </w:rPr>
        <w:t>The taking of birds belo</w:t>
      </w:r>
      <w:r w:rsidR="00361E64" w:rsidRPr="00417F06">
        <w:rPr>
          <w:rFonts w:ascii="Times New Roman" w:hAnsi="Times New Roman" w:cs="Times New Roman"/>
          <w:color w:val="000000" w:themeColor="text1"/>
          <w:sz w:val="22"/>
          <w:szCs w:val="22"/>
          <w:lang w:val="en-GB"/>
        </w:rPr>
        <w:t>nging to populations listed in C</w:t>
      </w:r>
      <w:r w:rsidR="00715C81" w:rsidRPr="00417F06">
        <w:rPr>
          <w:rFonts w:ascii="Times New Roman" w:hAnsi="Times New Roman" w:cs="Times New Roman"/>
          <w:color w:val="000000" w:themeColor="text1"/>
          <w:sz w:val="22"/>
          <w:szCs w:val="22"/>
          <w:lang w:val="en-GB"/>
        </w:rPr>
        <w:t>olumn B</w:t>
      </w:r>
      <w:r w:rsidR="00122ECB" w:rsidRPr="00417F06">
        <w:rPr>
          <w:rFonts w:ascii="Times New Roman" w:hAnsi="Times New Roman" w:cs="Times New Roman"/>
          <w:color w:val="000000" w:themeColor="text1"/>
          <w:sz w:val="22"/>
          <w:szCs w:val="22"/>
          <w:lang w:val="en-GB"/>
        </w:rPr>
        <w:t>,</w:t>
      </w:r>
      <w:r w:rsidR="00715C81" w:rsidRPr="00417F06">
        <w:rPr>
          <w:rFonts w:ascii="Times New Roman" w:hAnsi="Times New Roman" w:cs="Times New Roman"/>
          <w:color w:val="000000" w:themeColor="text1"/>
          <w:sz w:val="22"/>
          <w:szCs w:val="22"/>
          <w:lang w:val="en-GB"/>
        </w:rPr>
        <w:t xml:space="preserve"> </w:t>
      </w:r>
      <w:r w:rsidR="00122ECB" w:rsidRPr="00417F06">
        <w:rPr>
          <w:rFonts w:ascii="Times New Roman" w:hAnsi="Times New Roman" w:cs="Times New Roman"/>
          <w:color w:val="000000" w:themeColor="text1"/>
          <w:sz w:val="22"/>
          <w:szCs w:val="22"/>
          <w:lang w:val="en-GB"/>
        </w:rPr>
        <w:t>or</w:t>
      </w:r>
      <w:r w:rsidR="00361E64" w:rsidRPr="00417F06">
        <w:rPr>
          <w:rFonts w:ascii="Times New Roman" w:hAnsi="Times New Roman" w:cs="Times New Roman"/>
          <w:color w:val="000000" w:themeColor="text1"/>
          <w:sz w:val="22"/>
          <w:szCs w:val="22"/>
          <w:lang w:val="en-GB"/>
        </w:rPr>
        <w:t xml:space="preserve"> (where allowed) C</w:t>
      </w:r>
      <w:r w:rsidR="00122ECB" w:rsidRPr="00417F06">
        <w:rPr>
          <w:rFonts w:ascii="Times New Roman" w:hAnsi="Times New Roman" w:cs="Times New Roman"/>
          <w:color w:val="000000" w:themeColor="text1"/>
          <w:sz w:val="22"/>
          <w:szCs w:val="22"/>
          <w:lang w:val="en-GB"/>
        </w:rPr>
        <w:t xml:space="preserve">olumn A, </w:t>
      </w:r>
      <w:r w:rsidR="00715C81" w:rsidRPr="00417F06">
        <w:rPr>
          <w:rFonts w:ascii="Times New Roman" w:hAnsi="Times New Roman" w:cs="Times New Roman"/>
          <w:color w:val="000000" w:themeColor="text1"/>
          <w:sz w:val="22"/>
          <w:szCs w:val="22"/>
          <w:lang w:val="en-GB"/>
        </w:rPr>
        <w:t>of Table 1</w:t>
      </w:r>
      <w:r w:rsidR="00F07D2F" w:rsidRPr="00417F06">
        <w:rPr>
          <w:rFonts w:ascii="Times New Roman" w:hAnsi="Times New Roman" w:cs="Times New Roman"/>
          <w:color w:val="000000" w:themeColor="text1"/>
          <w:sz w:val="22"/>
          <w:szCs w:val="22"/>
          <w:lang w:val="en-GB"/>
        </w:rPr>
        <w:t xml:space="preserve"> </w:t>
      </w:r>
      <w:r w:rsidR="00776BC5" w:rsidRPr="00417F06">
        <w:rPr>
          <w:rFonts w:ascii="Times New Roman" w:hAnsi="Times New Roman" w:cs="Times New Roman"/>
          <w:color w:val="000000" w:themeColor="text1"/>
          <w:sz w:val="22"/>
          <w:szCs w:val="22"/>
          <w:lang w:val="en-GB"/>
        </w:rPr>
        <w:t xml:space="preserve">during their various stages of reproduction and rearing and during their return to their breeding grounds if the taking has an unfavourable impact on the conservation status of the population concerned. </w:t>
      </w:r>
      <w:r w:rsidR="00BA5311" w:rsidRPr="00417F06">
        <w:rPr>
          <w:rFonts w:ascii="Times New Roman" w:hAnsi="Times New Roman" w:cs="Times New Roman"/>
          <w:color w:val="000000" w:themeColor="text1"/>
          <w:sz w:val="22"/>
          <w:szCs w:val="22"/>
          <w:lang w:val="en-GB"/>
        </w:rPr>
        <w:t>(</w:t>
      </w:r>
      <w:r w:rsidR="00BA5311" w:rsidRPr="00417F06">
        <w:rPr>
          <w:rFonts w:ascii="Times New Roman" w:hAnsi="Times New Roman" w:cs="Times New Roman"/>
          <w:sz w:val="22"/>
          <w:szCs w:val="22"/>
          <w:lang w:val="en-GB"/>
        </w:rPr>
        <w:t>Para.</w:t>
      </w:r>
      <w:r w:rsidR="00A80B3E" w:rsidRPr="00417F06">
        <w:rPr>
          <w:rFonts w:ascii="Times New Roman" w:hAnsi="Times New Roman" w:cs="Times New Roman"/>
          <w:sz w:val="22"/>
          <w:szCs w:val="22"/>
          <w:lang w:val="en-GB"/>
        </w:rPr>
        <w:t xml:space="preserve"> 2.1.2(a).)</w:t>
      </w:r>
      <w:r w:rsidR="009B2D1F">
        <w:rPr>
          <w:rFonts w:ascii="Times New Roman" w:hAnsi="Times New Roman" w:cs="Times New Roman"/>
          <w:sz w:val="22"/>
          <w:szCs w:val="22"/>
          <w:lang w:val="en-GB"/>
        </w:rPr>
        <w:t>;</w:t>
      </w:r>
    </w:p>
    <w:p w14:paraId="6DBB70B8" w14:textId="77777777" w:rsidR="001C7FA3" w:rsidRPr="00417F06" w:rsidRDefault="001C7FA3" w:rsidP="00C84343">
      <w:pPr>
        <w:spacing w:line="276" w:lineRule="auto"/>
        <w:jc w:val="both"/>
        <w:rPr>
          <w:sz w:val="22"/>
          <w:szCs w:val="22"/>
          <w:lang w:val="en-GB"/>
        </w:rPr>
      </w:pPr>
    </w:p>
    <w:p w14:paraId="4AE03988" w14:textId="000860D0" w:rsidR="008F451C" w:rsidRPr="00417F06" w:rsidRDefault="006E21C7"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The taking of birds belo</w:t>
      </w:r>
      <w:r w:rsidR="00361E64" w:rsidRPr="00417F06">
        <w:rPr>
          <w:rFonts w:ascii="Times New Roman" w:hAnsi="Times New Roman" w:cs="Times New Roman"/>
          <w:sz w:val="22"/>
          <w:szCs w:val="22"/>
          <w:lang w:val="en-GB"/>
        </w:rPr>
        <w:t>nging to populations listed in C</w:t>
      </w:r>
      <w:r w:rsidRPr="00417F06">
        <w:rPr>
          <w:rFonts w:ascii="Times New Roman" w:hAnsi="Times New Roman" w:cs="Times New Roman"/>
          <w:sz w:val="22"/>
          <w:szCs w:val="22"/>
          <w:lang w:val="en-GB"/>
        </w:rPr>
        <w:t>olumn B, or</w:t>
      </w:r>
      <w:r w:rsidR="00361E64" w:rsidRPr="00417F06">
        <w:rPr>
          <w:rFonts w:ascii="Times New Roman" w:hAnsi="Times New Roman" w:cs="Times New Roman"/>
          <w:sz w:val="22"/>
          <w:szCs w:val="22"/>
          <w:lang w:val="en-GB"/>
        </w:rPr>
        <w:t xml:space="preserve"> (where allowed) C</w:t>
      </w:r>
      <w:r w:rsidRPr="00417F06">
        <w:rPr>
          <w:rFonts w:ascii="Times New Roman" w:hAnsi="Times New Roman" w:cs="Times New Roman"/>
          <w:sz w:val="22"/>
          <w:szCs w:val="22"/>
          <w:lang w:val="en-GB"/>
        </w:rPr>
        <w:t xml:space="preserve">olumn A, of Table 1 through the use of means that are indiscriminate or capable of causing mass destructions, </w:t>
      </w:r>
      <w:r w:rsidR="008F451C" w:rsidRPr="00417F06">
        <w:rPr>
          <w:rFonts w:ascii="Times New Roman" w:hAnsi="Times New Roman" w:cs="Times New Roman"/>
          <w:sz w:val="22"/>
          <w:szCs w:val="22"/>
          <w:lang w:val="en-GB"/>
        </w:rPr>
        <w:t>as well as local disappearance of, or serious disturbance to, populations of a species.</w:t>
      </w:r>
      <w:r w:rsidR="006C513F" w:rsidRPr="00417F06">
        <w:rPr>
          <w:rFonts w:ascii="Times New Roman" w:hAnsi="Times New Roman" w:cs="Times New Roman"/>
          <w:sz w:val="22"/>
          <w:szCs w:val="22"/>
          <w:lang w:val="en-GB"/>
        </w:rPr>
        <w:t xml:space="preserve"> </w:t>
      </w:r>
      <w:r w:rsidR="00904649" w:rsidRPr="00417F06">
        <w:rPr>
          <w:rFonts w:ascii="Times New Roman" w:hAnsi="Times New Roman" w:cs="Times New Roman"/>
          <w:sz w:val="22"/>
          <w:szCs w:val="22"/>
          <w:lang w:val="en-GB"/>
        </w:rPr>
        <w:t xml:space="preserve">This provision includes </w:t>
      </w:r>
      <w:r w:rsidR="00904649" w:rsidRPr="00417F06">
        <w:rPr>
          <w:rFonts w:ascii="Times New Roman" w:hAnsi="Times New Roman" w:cs="Times New Roman"/>
          <w:color w:val="000000" w:themeColor="text1"/>
          <w:sz w:val="22"/>
          <w:szCs w:val="22"/>
          <w:lang w:val="en-GB"/>
        </w:rPr>
        <w:t>a</w:t>
      </w:r>
      <w:r w:rsidR="006C513F" w:rsidRPr="00417F06">
        <w:rPr>
          <w:rFonts w:ascii="Times New Roman" w:hAnsi="Times New Roman" w:cs="Times New Roman"/>
          <w:color w:val="000000" w:themeColor="text1"/>
          <w:sz w:val="22"/>
          <w:szCs w:val="22"/>
          <w:lang w:val="en-GB"/>
        </w:rPr>
        <w:t xml:space="preserve"> non-exhaustive list of means of taking</w:t>
      </w:r>
      <w:r w:rsidR="003F4AD3" w:rsidRPr="00417F06">
        <w:rPr>
          <w:rFonts w:ascii="Times New Roman" w:hAnsi="Times New Roman" w:cs="Times New Roman"/>
          <w:color w:val="000000" w:themeColor="text1"/>
          <w:sz w:val="22"/>
          <w:szCs w:val="22"/>
          <w:lang w:val="en-GB"/>
        </w:rPr>
        <w:t xml:space="preserve"> that must be prohibited</w:t>
      </w:r>
      <w:r w:rsidR="006C513F" w:rsidRPr="00417F06">
        <w:rPr>
          <w:rFonts w:ascii="Times New Roman" w:hAnsi="Times New Roman" w:cs="Times New Roman"/>
          <w:color w:val="000000" w:themeColor="text1"/>
          <w:sz w:val="22"/>
          <w:szCs w:val="22"/>
          <w:lang w:val="en-GB"/>
        </w:rPr>
        <w:t xml:space="preserve">. </w:t>
      </w:r>
      <w:r w:rsidR="00A80B3E" w:rsidRPr="00417F06">
        <w:rPr>
          <w:rFonts w:ascii="Times New Roman" w:hAnsi="Times New Roman" w:cs="Times New Roman"/>
          <w:sz w:val="22"/>
          <w:szCs w:val="22"/>
          <w:lang w:val="en-GB"/>
        </w:rPr>
        <w:t>(Para. 2.1.2(b).)</w:t>
      </w:r>
      <w:r w:rsidR="009B2D1F">
        <w:rPr>
          <w:rFonts w:ascii="Times New Roman" w:hAnsi="Times New Roman" w:cs="Times New Roman"/>
          <w:sz w:val="22"/>
          <w:szCs w:val="22"/>
          <w:lang w:val="en-GB"/>
        </w:rPr>
        <w:t>; and</w:t>
      </w:r>
    </w:p>
    <w:p w14:paraId="170BE575" w14:textId="77777777" w:rsidR="001C7FA3" w:rsidRPr="00417F06" w:rsidRDefault="001C7FA3" w:rsidP="00C84343">
      <w:pPr>
        <w:spacing w:line="276" w:lineRule="auto"/>
        <w:jc w:val="both"/>
        <w:rPr>
          <w:sz w:val="22"/>
          <w:szCs w:val="22"/>
          <w:lang w:val="en-GB"/>
        </w:rPr>
      </w:pPr>
    </w:p>
    <w:p w14:paraId="3E6E852F" w14:textId="2250E721" w:rsidR="00527FC1" w:rsidRPr="00417F06" w:rsidRDefault="00904649"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w:t>
      </w:r>
      <w:r w:rsidR="00527FC1" w:rsidRPr="00417F06">
        <w:rPr>
          <w:rFonts w:ascii="Times New Roman" w:hAnsi="Times New Roman" w:cs="Times New Roman"/>
          <w:sz w:val="22"/>
          <w:szCs w:val="22"/>
          <w:lang w:val="en-GB"/>
        </w:rPr>
        <w:t xml:space="preserve">he possession or utilization of, and trade in, birds or eggs of those populations which have been taken in contravention </w:t>
      </w:r>
      <w:r w:rsidR="00A80B3E" w:rsidRPr="00417F06">
        <w:rPr>
          <w:rFonts w:ascii="Times New Roman" w:hAnsi="Times New Roman" w:cs="Times New Roman"/>
          <w:sz w:val="22"/>
          <w:szCs w:val="22"/>
          <w:lang w:val="en-GB"/>
        </w:rPr>
        <w:t xml:space="preserve">of </w:t>
      </w:r>
      <w:r w:rsidR="00145AC2" w:rsidRPr="00417F06">
        <w:rPr>
          <w:rFonts w:ascii="Times New Roman" w:hAnsi="Times New Roman" w:cs="Times New Roman"/>
          <w:sz w:val="22"/>
          <w:szCs w:val="22"/>
          <w:lang w:val="en-GB"/>
        </w:rPr>
        <w:t>the above prohibitions</w:t>
      </w:r>
      <w:r w:rsidR="00527FC1" w:rsidRPr="00417F06">
        <w:rPr>
          <w:rFonts w:ascii="Times New Roman" w:hAnsi="Times New Roman" w:cs="Times New Roman"/>
          <w:sz w:val="22"/>
          <w:szCs w:val="22"/>
          <w:lang w:val="en-GB"/>
        </w:rPr>
        <w:t>, as well as the possession or utilization of, and trade in, any readily recognizable parts or derivatives</w:t>
      </w:r>
      <w:r w:rsidR="00C57AD5" w:rsidRPr="00417F06">
        <w:rPr>
          <w:rStyle w:val="FootnoteReference"/>
          <w:rFonts w:ascii="Times New Roman" w:hAnsi="Times New Roman" w:cs="Times New Roman"/>
          <w:sz w:val="22"/>
          <w:szCs w:val="22"/>
          <w:lang w:val="en-GB"/>
        </w:rPr>
        <w:footnoteReference w:id="5"/>
      </w:r>
      <w:r w:rsidR="00527FC1" w:rsidRPr="00417F06">
        <w:rPr>
          <w:rFonts w:ascii="Times New Roman" w:hAnsi="Times New Roman" w:cs="Times New Roman"/>
          <w:sz w:val="22"/>
          <w:szCs w:val="22"/>
          <w:lang w:val="en-GB"/>
        </w:rPr>
        <w:t xml:space="preserve"> of such birds and their eggs. </w:t>
      </w:r>
      <w:r w:rsidR="00A80B3E" w:rsidRPr="00417F06">
        <w:rPr>
          <w:rFonts w:ascii="Times New Roman" w:hAnsi="Times New Roman" w:cs="Times New Roman"/>
          <w:sz w:val="22"/>
          <w:szCs w:val="22"/>
          <w:lang w:val="en-GB"/>
        </w:rPr>
        <w:t>(Paras 2.1.1(c) &amp; 2.1.2(d).)</w:t>
      </w:r>
      <w:r w:rsidR="009B2D1F">
        <w:rPr>
          <w:rFonts w:ascii="Times New Roman" w:hAnsi="Times New Roman" w:cs="Times New Roman"/>
          <w:sz w:val="22"/>
          <w:szCs w:val="22"/>
          <w:lang w:val="en-GB"/>
        </w:rPr>
        <w:t>.</w:t>
      </w:r>
      <w:r w:rsidR="00527FC1" w:rsidRPr="00417F06">
        <w:rPr>
          <w:rFonts w:ascii="MS Mincho" w:eastAsia="MS Mincho" w:hAnsi="MS Mincho" w:cs="MS Mincho"/>
          <w:sz w:val="22"/>
          <w:szCs w:val="22"/>
          <w:lang w:val="en-GB"/>
        </w:rPr>
        <w:t> </w:t>
      </w:r>
    </w:p>
    <w:p w14:paraId="30F82116" w14:textId="77777777" w:rsidR="003F4AD3" w:rsidRPr="00417F06" w:rsidRDefault="003F4AD3" w:rsidP="00C84343">
      <w:pPr>
        <w:spacing w:line="276" w:lineRule="auto"/>
        <w:jc w:val="both"/>
        <w:rPr>
          <w:sz w:val="22"/>
          <w:szCs w:val="22"/>
          <w:lang w:val="en-GB"/>
        </w:rPr>
      </w:pPr>
    </w:p>
    <w:p w14:paraId="3A1A07A2" w14:textId="51150AE2" w:rsidR="00E20784" w:rsidRPr="00417F06" w:rsidRDefault="00A35A64" w:rsidP="00C84343">
      <w:pPr>
        <w:spacing w:line="276" w:lineRule="auto"/>
        <w:jc w:val="both"/>
        <w:rPr>
          <w:sz w:val="22"/>
          <w:szCs w:val="22"/>
          <w:lang w:val="en-GB"/>
        </w:rPr>
      </w:pPr>
      <w:r w:rsidRPr="00417F06">
        <w:rPr>
          <w:sz w:val="22"/>
          <w:szCs w:val="22"/>
          <w:lang w:val="en-GB"/>
        </w:rPr>
        <w:t>The prohibitions described in points</w:t>
      </w:r>
      <w:r w:rsidR="009D7FA2" w:rsidRPr="00417F06">
        <w:rPr>
          <w:sz w:val="22"/>
          <w:szCs w:val="22"/>
          <w:lang w:val="en-GB"/>
        </w:rPr>
        <w:t xml:space="preserve"> (ii) and (iii) a</w:t>
      </w:r>
      <w:r w:rsidRPr="00417F06">
        <w:rPr>
          <w:sz w:val="22"/>
          <w:szCs w:val="22"/>
          <w:lang w:val="en-GB"/>
        </w:rPr>
        <w:t xml:space="preserve">re not framed in absolute </w:t>
      </w:r>
      <w:r w:rsidR="00D678B6" w:rsidRPr="00417F06">
        <w:rPr>
          <w:sz w:val="22"/>
          <w:szCs w:val="22"/>
          <w:lang w:val="en-GB"/>
        </w:rPr>
        <w:t>terms but</w:t>
      </w:r>
      <w:r w:rsidRPr="00417F06">
        <w:rPr>
          <w:color w:val="000000" w:themeColor="text1"/>
          <w:sz w:val="22"/>
          <w:szCs w:val="22"/>
          <w:lang w:val="en-GB"/>
        </w:rPr>
        <w:t xml:space="preserve"> are contingent upon the impacts that </w:t>
      </w:r>
      <w:r w:rsidR="002F35DE" w:rsidRPr="00417F06">
        <w:rPr>
          <w:color w:val="000000" w:themeColor="text1"/>
          <w:sz w:val="22"/>
          <w:szCs w:val="22"/>
          <w:lang w:val="en-GB"/>
        </w:rPr>
        <w:t xml:space="preserve">disturbance or taking </w:t>
      </w:r>
      <w:r w:rsidRPr="00417F06">
        <w:rPr>
          <w:color w:val="000000" w:themeColor="text1"/>
          <w:sz w:val="22"/>
          <w:szCs w:val="22"/>
          <w:lang w:val="en-GB"/>
        </w:rPr>
        <w:t>will have upon Table 1 populations.</w:t>
      </w:r>
      <w:r w:rsidR="009B2911" w:rsidRPr="00417F06">
        <w:rPr>
          <w:color w:val="000000" w:themeColor="text1"/>
          <w:sz w:val="22"/>
          <w:szCs w:val="22"/>
          <w:lang w:val="en-GB"/>
        </w:rPr>
        <w:t xml:space="preserve"> </w:t>
      </w:r>
      <w:r w:rsidR="00452EA5" w:rsidRPr="00417F06">
        <w:rPr>
          <w:sz w:val="22"/>
          <w:szCs w:val="22"/>
          <w:lang w:val="en-GB"/>
        </w:rPr>
        <w:t xml:space="preserve">Guidance on when deliberate disturbance should be considered significant for a population’s conservation, such that it must be prohibited, is annexed to </w:t>
      </w:r>
      <w:hyperlink r:id="rId18" w:history="1">
        <w:r w:rsidR="00452EA5" w:rsidRPr="00417F06">
          <w:rPr>
            <w:rStyle w:val="Hyperlink"/>
            <w:sz w:val="22"/>
            <w:szCs w:val="22"/>
            <w:lang w:val="en-GB"/>
          </w:rPr>
          <w:t>AEWA Resolution 6.7</w:t>
        </w:r>
      </w:hyperlink>
      <w:r w:rsidR="00452EA5" w:rsidRPr="00417F06">
        <w:rPr>
          <w:sz w:val="22"/>
          <w:szCs w:val="22"/>
          <w:lang w:val="en-GB"/>
        </w:rPr>
        <w:t>.</w:t>
      </w:r>
      <w:r w:rsidR="00452EA5" w:rsidRPr="00417F06">
        <w:rPr>
          <w:rStyle w:val="FootnoteReference"/>
          <w:color w:val="000000" w:themeColor="text1"/>
          <w:sz w:val="22"/>
          <w:szCs w:val="22"/>
          <w:lang w:val="en-GB"/>
        </w:rPr>
        <w:t xml:space="preserve"> </w:t>
      </w:r>
      <w:r w:rsidR="00452EA5" w:rsidRPr="00417F06">
        <w:rPr>
          <w:rStyle w:val="FootnoteReference"/>
          <w:color w:val="000000" w:themeColor="text1"/>
          <w:sz w:val="22"/>
          <w:szCs w:val="22"/>
          <w:lang w:val="en-GB"/>
        </w:rPr>
        <w:footnoteReference w:id="6"/>
      </w:r>
      <w:r w:rsidR="00452EA5" w:rsidRPr="00417F06">
        <w:rPr>
          <w:sz w:val="22"/>
          <w:szCs w:val="22"/>
          <w:lang w:val="en-GB"/>
        </w:rPr>
        <w:t xml:space="preserve"> Guidance on whether </w:t>
      </w:r>
      <w:r w:rsidR="003F4AD3" w:rsidRPr="00417F06">
        <w:rPr>
          <w:sz w:val="22"/>
          <w:szCs w:val="22"/>
          <w:lang w:val="en-GB"/>
        </w:rPr>
        <w:t xml:space="preserve">taking during a population’s </w:t>
      </w:r>
      <w:r w:rsidR="003F4AD3" w:rsidRPr="00417F06">
        <w:rPr>
          <w:color w:val="000000" w:themeColor="text1"/>
          <w:sz w:val="22"/>
          <w:szCs w:val="22"/>
          <w:lang w:val="en-GB"/>
        </w:rPr>
        <w:t>stages of reproduction and rearing, or during its return to its breeding grounds, would have an unfavourable impact on the population’s conservation status</w:t>
      </w:r>
      <w:r w:rsidR="00E26F12" w:rsidRPr="00417F06">
        <w:rPr>
          <w:color w:val="000000" w:themeColor="text1"/>
          <w:sz w:val="22"/>
          <w:szCs w:val="22"/>
          <w:lang w:val="en-GB"/>
        </w:rPr>
        <w:t>, and must thus be prohibited,</w:t>
      </w:r>
      <w:r w:rsidR="003F4AD3" w:rsidRPr="00417F06">
        <w:rPr>
          <w:color w:val="000000" w:themeColor="text1"/>
          <w:sz w:val="22"/>
          <w:szCs w:val="22"/>
          <w:lang w:val="en-GB"/>
        </w:rPr>
        <w:t xml:space="preserve"> is provided in</w:t>
      </w:r>
      <w:r w:rsidR="00774822" w:rsidRPr="00417F06">
        <w:rPr>
          <w:color w:val="000000" w:themeColor="text1"/>
          <w:sz w:val="22"/>
          <w:szCs w:val="22"/>
          <w:lang w:val="en-GB"/>
        </w:rPr>
        <w:t xml:space="preserve"> the</w:t>
      </w:r>
      <w:r w:rsidR="003F4AD3" w:rsidRPr="00417F06">
        <w:rPr>
          <w:color w:val="000000" w:themeColor="text1"/>
          <w:sz w:val="22"/>
          <w:szCs w:val="22"/>
          <w:lang w:val="en-GB"/>
        </w:rPr>
        <w:t xml:space="preserve"> </w:t>
      </w:r>
      <w:hyperlink r:id="rId19" w:history="1">
        <w:r w:rsidR="003F4AD3" w:rsidRPr="00417F06">
          <w:rPr>
            <w:rStyle w:val="Hyperlink"/>
            <w:i/>
            <w:sz w:val="22"/>
            <w:szCs w:val="22"/>
            <w:lang w:val="en-GB"/>
          </w:rPr>
          <w:t xml:space="preserve">AEWA Guidelines on Sustainable Harvest of Migratory </w:t>
        </w:r>
        <w:proofErr w:type="spellStart"/>
        <w:r w:rsidR="003F4AD3" w:rsidRPr="00417F06">
          <w:rPr>
            <w:rStyle w:val="Hyperlink"/>
            <w:i/>
            <w:sz w:val="22"/>
            <w:szCs w:val="22"/>
            <w:lang w:val="en-GB"/>
          </w:rPr>
          <w:t>Waterbirds</w:t>
        </w:r>
        <w:proofErr w:type="spellEnd"/>
      </w:hyperlink>
      <w:r w:rsidR="003F4AD3" w:rsidRPr="00417F06">
        <w:rPr>
          <w:i/>
          <w:color w:val="000000" w:themeColor="text1"/>
          <w:sz w:val="22"/>
          <w:szCs w:val="22"/>
          <w:lang w:val="en-GB"/>
        </w:rPr>
        <w:t>.</w:t>
      </w:r>
      <w:r w:rsidR="00E26F12" w:rsidRPr="00417F06">
        <w:rPr>
          <w:rStyle w:val="FootnoteReference"/>
          <w:color w:val="000000" w:themeColor="text1"/>
          <w:sz w:val="22"/>
          <w:szCs w:val="22"/>
          <w:lang w:val="en-GB"/>
        </w:rPr>
        <w:t xml:space="preserve"> </w:t>
      </w:r>
      <w:r w:rsidR="00E26F12" w:rsidRPr="00417F06">
        <w:rPr>
          <w:rStyle w:val="FootnoteReference"/>
          <w:color w:val="000000" w:themeColor="text1"/>
          <w:sz w:val="22"/>
          <w:szCs w:val="22"/>
          <w:lang w:val="en-GB"/>
        </w:rPr>
        <w:footnoteReference w:id="7"/>
      </w:r>
      <w:r w:rsidR="003F4AD3" w:rsidRPr="00417F06">
        <w:rPr>
          <w:i/>
          <w:color w:val="000000" w:themeColor="text1"/>
          <w:sz w:val="22"/>
          <w:szCs w:val="22"/>
          <w:lang w:val="en-GB"/>
        </w:rPr>
        <w:t xml:space="preserve"> </w:t>
      </w:r>
    </w:p>
    <w:p w14:paraId="13A3A600" w14:textId="77777777" w:rsidR="005E6CA2" w:rsidRPr="00417F06" w:rsidRDefault="005E6CA2" w:rsidP="00C84343">
      <w:pPr>
        <w:spacing w:line="276" w:lineRule="auto"/>
        <w:jc w:val="both"/>
        <w:rPr>
          <w:sz w:val="22"/>
          <w:szCs w:val="22"/>
          <w:lang w:val="en-GB"/>
        </w:rPr>
      </w:pPr>
    </w:p>
    <w:p w14:paraId="082400CE" w14:textId="77777777" w:rsidR="00644A7E" w:rsidRPr="00417F06" w:rsidRDefault="00145AC2" w:rsidP="00C84343">
      <w:pPr>
        <w:spacing w:line="276" w:lineRule="auto"/>
        <w:jc w:val="both"/>
        <w:rPr>
          <w:sz w:val="22"/>
          <w:szCs w:val="22"/>
          <w:lang w:val="en-GB"/>
        </w:rPr>
      </w:pPr>
      <w:r w:rsidRPr="00417F06">
        <w:rPr>
          <w:sz w:val="22"/>
          <w:szCs w:val="22"/>
          <w:lang w:val="en-GB"/>
        </w:rPr>
        <w:t xml:space="preserve">Both paragraphs </w:t>
      </w:r>
      <w:r w:rsidR="005711E7" w:rsidRPr="00417F06">
        <w:rPr>
          <w:sz w:val="22"/>
          <w:szCs w:val="22"/>
          <w:lang w:val="en-GB"/>
        </w:rPr>
        <w:t xml:space="preserve">2.1.1 and 2.1.2 </w:t>
      </w:r>
      <w:r w:rsidRPr="00417F06">
        <w:rPr>
          <w:sz w:val="22"/>
          <w:szCs w:val="22"/>
          <w:lang w:val="en-GB"/>
        </w:rPr>
        <w:t>contain exemptions which, if satisfied</w:t>
      </w:r>
      <w:r w:rsidR="001C7FA3" w:rsidRPr="00417F06">
        <w:rPr>
          <w:sz w:val="22"/>
          <w:szCs w:val="22"/>
          <w:lang w:val="en-GB"/>
        </w:rPr>
        <w:t>,</w:t>
      </w:r>
      <w:r w:rsidR="00007A1F" w:rsidRPr="00417F06">
        <w:rPr>
          <w:sz w:val="22"/>
          <w:szCs w:val="22"/>
          <w:lang w:val="en-GB"/>
        </w:rPr>
        <w:t xml:space="preserve"> </w:t>
      </w:r>
      <w:r w:rsidR="00361E64" w:rsidRPr="00417F06">
        <w:rPr>
          <w:color w:val="000000" w:themeColor="text1"/>
          <w:sz w:val="22"/>
          <w:szCs w:val="22"/>
          <w:lang w:val="en-GB"/>
        </w:rPr>
        <w:t xml:space="preserve">eliminate </w:t>
      </w:r>
      <w:r w:rsidR="00361E64" w:rsidRPr="00417F06">
        <w:rPr>
          <w:sz w:val="22"/>
          <w:szCs w:val="22"/>
          <w:lang w:val="en-GB"/>
        </w:rPr>
        <w:t>the need to rely upon paragraph 2.1.3.</w:t>
      </w:r>
      <w:r w:rsidR="001C7FA3" w:rsidRPr="00417F06">
        <w:rPr>
          <w:sz w:val="22"/>
          <w:szCs w:val="22"/>
          <w:lang w:val="en-GB"/>
        </w:rPr>
        <w:t xml:space="preserve"> Thus</w:t>
      </w:r>
      <w:r w:rsidR="00361E64" w:rsidRPr="00417F06">
        <w:rPr>
          <w:sz w:val="22"/>
          <w:szCs w:val="22"/>
          <w:lang w:val="en-GB"/>
        </w:rPr>
        <w:t>:</w:t>
      </w:r>
    </w:p>
    <w:p w14:paraId="683F9827" w14:textId="77777777" w:rsidR="00361E64" w:rsidRPr="00417F06" w:rsidRDefault="00361E64" w:rsidP="00C84343">
      <w:pPr>
        <w:spacing w:line="276" w:lineRule="auto"/>
        <w:jc w:val="both"/>
        <w:rPr>
          <w:sz w:val="22"/>
          <w:szCs w:val="22"/>
          <w:lang w:val="en-GB"/>
        </w:rPr>
      </w:pPr>
    </w:p>
    <w:p w14:paraId="6ABD0EA5" w14:textId="47AFD5A3" w:rsidR="00361E64" w:rsidRPr="00417F06" w:rsidRDefault="00361E64"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The hunting of Column A populations that are marked with an asterisk or included in Category 4 is permissible, provided that this occurs sustainably</w:t>
      </w:r>
      <w:r w:rsidR="007F004A" w:rsidRPr="00417F06">
        <w:rPr>
          <w:rFonts w:ascii="Times New Roman" w:hAnsi="Times New Roman" w:cs="Times New Roman"/>
          <w:sz w:val="22"/>
          <w:szCs w:val="22"/>
          <w:lang w:val="en-GB"/>
        </w:rPr>
        <w:t>, endeavouring to implement the principles of adaptive harvest management</w:t>
      </w:r>
      <w:r w:rsidRPr="00417F06">
        <w:rPr>
          <w:rFonts w:ascii="Times New Roman" w:hAnsi="Times New Roman" w:cs="Times New Roman"/>
          <w:sz w:val="22"/>
          <w:szCs w:val="22"/>
          <w:lang w:val="en-GB"/>
        </w:rPr>
        <w:t xml:space="preserve"> within the framework of an international species action plan</w:t>
      </w:r>
      <w:r w:rsidR="009B2D1F">
        <w:rPr>
          <w:rFonts w:ascii="Times New Roman" w:hAnsi="Times New Roman" w:cs="Times New Roman"/>
          <w:sz w:val="22"/>
          <w:szCs w:val="22"/>
          <w:lang w:val="en-GB"/>
        </w:rPr>
        <w:t>;</w:t>
      </w:r>
      <w:r w:rsidRPr="00417F06">
        <w:rPr>
          <w:rFonts w:ascii="Times New Roman" w:hAnsi="Times New Roman" w:cs="Times New Roman"/>
          <w:sz w:val="22"/>
          <w:szCs w:val="22"/>
          <w:lang w:val="en-GB"/>
        </w:rPr>
        <w:t xml:space="preserve"> </w:t>
      </w:r>
      <w:r w:rsidR="009B2D1F">
        <w:rPr>
          <w:rFonts w:ascii="Times New Roman" w:hAnsi="Times New Roman" w:cs="Times New Roman"/>
          <w:sz w:val="22"/>
          <w:szCs w:val="22"/>
          <w:lang w:val="en-GB"/>
        </w:rPr>
        <w:t>and</w:t>
      </w:r>
    </w:p>
    <w:p w14:paraId="62EA06FA" w14:textId="77777777" w:rsidR="000133D3" w:rsidRPr="00417F06" w:rsidRDefault="00A80B3E"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lastRenderedPageBreak/>
        <w:t xml:space="preserve">The modes of taking that Parties </w:t>
      </w:r>
      <w:r w:rsidR="001C7FA3" w:rsidRPr="00417F06">
        <w:rPr>
          <w:rFonts w:ascii="Times New Roman" w:hAnsi="Times New Roman" w:cs="Times New Roman"/>
          <w:sz w:val="22"/>
          <w:szCs w:val="22"/>
          <w:lang w:val="en-GB"/>
        </w:rPr>
        <w:t xml:space="preserve">are required to prohibit in terms of paragraph 2.1.2(b) may be permitted to accommodate use for livelihood purposes, </w:t>
      </w:r>
      <w:r w:rsidR="000133D3" w:rsidRPr="00417F06">
        <w:rPr>
          <w:rFonts w:ascii="Times New Roman" w:hAnsi="Times New Roman" w:cs="Times New Roman"/>
          <w:sz w:val="22"/>
          <w:szCs w:val="22"/>
          <w:lang w:val="en-GB"/>
        </w:rPr>
        <w:t xml:space="preserve">where </w:t>
      </w:r>
      <w:r w:rsidR="001C7FA3" w:rsidRPr="00417F06">
        <w:rPr>
          <w:rFonts w:ascii="Times New Roman" w:hAnsi="Times New Roman" w:cs="Times New Roman"/>
          <w:sz w:val="22"/>
          <w:szCs w:val="22"/>
          <w:lang w:val="en-GB"/>
        </w:rPr>
        <w:t xml:space="preserve">sustainable. </w:t>
      </w:r>
    </w:p>
    <w:p w14:paraId="471A90F1" w14:textId="77777777" w:rsidR="00774822" w:rsidRPr="00417F06" w:rsidRDefault="00774822" w:rsidP="00C84343">
      <w:pPr>
        <w:spacing w:line="276" w:lineRule="auto"/>
        <w:jc w:val="both"/>
        <w:rPr>
          <w:sz w:val="22"/>
          <w:szCs w:val="22"/>
          <w:lang w:val="en-GB"/>
        </w:rPr>
      </w:pPr>
    </w:p>
    <w:p w14:paraId="61374B82" w14:textId="77777777" w:rsidR="00774822" w:rsidRPr="00C15E93" w:rsidRDefault="00774822" w:rsidP="00C84343">
      <w:pPr>
        <w:pStyle w:val="ListParagraph"/>
        <w:spacing w:line="276" w:lineRule="auto"/>
        <w:jc w:val="both"/>
        <w:rPr>
          <w:rFonts w:ascii="Times New Roman" w:hAnsi="Times New Roman" w:cs="Times New Roman"/>
          <w:lang w:val="en-GB"/>
        </w:rPr>
      </w:pPr>
    </w:p>
    <w:p w14:paraId="2158B1E4" w14:textId="77777777" w:rsidR="00100C1D" w:rsidRPr="00C15E93" w:rsidRDefault="00100C1D" w:rsidP="00100C1D">
      <w:pPr>
        <w:shd w:val="clear" w:color="auto" w:fill="D9E2F3" w:themeFill="accent1" w:themeFillTint="33"/>
        <w:jc w:val="both"/>
        <w:rPr>
          <w:lang w:val="en-GB"/>
        </w:rPr>
      </w:pPr>
      <w:r w:rsidRPr="00C15E93">
        <w:rPr>
          <w:b/>
          <w:lang w:val="en-GB"/>
        </w:rPr>
        <w:t>Guidance on granting exemptions to accommodate use for livelihood purposes</w:t>
      </w:r>
    </w:p>
    <w:p w14:paraId="62AD2E60" w14:textId="77777777" w:rsidR="00100C1D" w:rsidRPr="00C15E93" w:rsidRDefault="00100C1D" w:rsidP="00273D89">
      <w:pPr>
        <w:jc w:val="both"/>
        <w:rPr>
          <w:lang w:val="en-GB"/>
        </w:rPr>
      </w:pPr>
    </w:p>
    <w:p w14:paraId="64DD9A1A" w14:textId="1012127A" w:rsidR="00F72EFE" w:rsidRPr="00417F06" w:rsidRDefault="00B44D01" w:rsidP="00F72EFE">
      <w:pPr>
        <w:spacing w:line="276" w:lineRule="auto"/>
        <w:jc w:val="both"/>
        <w:rPr>
          <w:color w:val="70AD47" w:themeColor="accent6"/>
          <w:sz w:val="22"/>
          <w:szCs w:val="22"/>
          <w:lang w:val="en-GB"/>
        </w:rPr>
      </w:pPr>
      <w:r w:rsidRPr="00417F06">
        <w:rPr>
          <w:color w:val="000000" w:themeColor="text1"/>
          <w:sz w:val="22"/>
          <w:szCs w:val="22"/>
          <w:lang w:val="en-GB"/>
        </w:rPr>
        <w:t>T</w:t>
      </w:r>
      <w:r w:rsidR="00C947D7" w:rsidRPr="00417F06">
        <w:rPr>
          <w:color w:val="000000" w:themeColor="text1"/>
          <w:sz w:val="22"/>
          <w:szCs w:val="22"/>
          <w:lang w:val="en-GB"/>
        </w:rPr>
        <w:t xml:space="preserve">he exemption can only be relied upon to accommodate sustainable use. The </w:t>
      </w:r>
      <w:r w:rsidR="0031150D" w:rsidRPr="00417F06">
        <w:rPr>
          <w:color w:val="000000" w:themeColor="text1"/>
          <w:sz w:val="22"/>
          <w:szCs w:val="22"/>
          <w:lang w:val="en-GB"/>
        </w:rPr>
        <w:t xml:space="preserve">assessment of whether </w:t>
      </w:r>
      <w:r w:rsidR="00C571EE" w:rsidRPr="00417F06">
        <w:rPr>
          <w:color w:val="000000" w:themeColor="text1"/>
          <w:sz w:val="22"/>
          <w:szCs w:val="22"/>
          <w:lang w:val="en-GB"/>
        </w:rPr>
        <w:t xml:space="preserve">taking for livelihood purposes is sustainable </w:t>
      </w:r>
      <w:r w:rsidR="000E34D7" w:rsidRPr="00417F06">
        <w:rPr>
          <w:color w:val="000000" w:themeColor="text1"/>
          <w:sz w:val="22"/>
          <w:szCs w:val="22"/>
          <w:lang w:val="en-GB"/>
        </w:rPr>
        <w:t xml:space="preserve">should </w:t>
      </w:r>
      <w:r w:rsidR="009756A2" w:rsidRPr="00417F06">
        <w:rPr>
          <w:color w:val="000000" w:themeColor="text1"/>
          <w:sz w:val="22"/>
          <w:szCs w:val="22"/>
          <w:lang w:val="en-GB"/>
        </w:rPr>
        <w:t xml:space="preserve">consider </w:t>
      </w:r>
      <w:r w:rsidR="0031150D" w:rsidRPr="00417F06">
        <w:rPr>
          <w:color w:val="000000" w:themeColor="text1"/>
          <w:sz w:val="22"/>
          <w:szCs w:val="22"/>
          <w:lang w:val="en-GB"/>
        </w:rPr>
        <w:t xml:space="preserve">the cumulative impacts </w:t>
      </w:r>
      <w:r w:rsidR="00C571EE" w:rsidRPr="00417F06">
        <w:rPr>
          <w:color w:val="000000" w:themeColor="text1"/>
          <w:sz w:val="22"/>
          <w:szCs w:val="22"/>
          <w:lang w:val="en-GB"/>
        </w:rPr>
        <w:t xml:space="preserve">of taking </w:t>
      </w:r>
      <w:r w:rsidR="005E6847" w:rsidRPr="00417F06">
        <w:rPr>
          <w:color w:val="000000" w:themeColor="text1"/>
          <w:sz w:val="22"/>
          <w:szCs w:val="22"/>
          <w:lang w:val="en-GB"/>
        </w:rPr>
        <w:t>throughout the population’s range</w:t>
      </w:r>
      <w:r w:rsidR="008F5658" w:rsidRPr="00417F06">
        <w:rPr>
          <w:color w:val="000000" w:themeColor="text1"/>
          <w:sz w:val="22"/>
          <w:szCs w:val="22"/>
          <w:lang w:val="en-GB"/>
        </w:rPr>
        <w:t>.</w:t>
      </w:r>
      <w:r w:rsidR="00153E1E" w:rsidRPr="00417F06">
        <w:rPr>
          <w:color w:val="000000" w:themeColor="text1"/>
          <w:sz w:val="22"/>
          <w:szCs w:val="22"/>
          <w:lang w:val="en-GB"/>
        </w:rPr>
        <w:t xml:space="preserve"> Contracting Parties relying upon the exemption should </w:t>
      </w:r>
      <w:r w:rsidR="00C42E47" w:rsidRPr="00417F06">
        <w:rPr>
          <w:color w:val="000000" w:themeColor="text1"/>
          <w:sz w:val="22"/>
          <w:szCs w:val="22"/>
          <w:lang w:val="en-GB"/>
        </w:rPr>
        <w:t xml:space="preserve">monitor its impact and take measures to ensure that livelihood taking does not become unsustainable. </w:t>
      </w:r>
      <w:r w:rsidR="00F72EFE" w:rsidRPr="00417F06">
        <w:rPr>
          <w:sz w:val="22"/>
          <w:szCs w:val="22"/>
          <w:lang w:val="en-GB"/>
        </w:rPr>
        <w:t>Use for “livelihood purposes” can include both direct consumption and selling at markets.</w:t>
      </w:r>
      <w:r w:rsidR="00F72EFE" w:rsidRPr="00417F06">
        <w:rPr>
          <w:rStyle w:val="FootnoteReference"/>
          <w:sz w:val="22"/>
          <w:szCs w:val="22"/>
          <w:lang w:val="en-GB"/>
        </w:rPr>
        <w:footnoteReference w:id="8"/>
      </w:r>
      <w:r w:rsidR="00F72EFE" w:rsidRPr="00417F06">
        <w:rPr>
          <w:color w:val="70AD47" w:themeColor="accent6"/>
          <w:sz w:val="22"/>
          <w:szCs w:val="22"/>
          <w:lang w:val="en-GB"/>
        </w:rPr>
        <w:t xml:space="preserve"> </w:t>
      </w:r>
    </w:p>
    <w:p w14:paraId="6DE6DC6F" w14:textId="45913222" w:rsidR="00153E1E" w:rsidRPr="00417F06" w:rsidRDefault="00153E1E" w:rsidP="00C84343">
      <w:pPr>
        <w:spacing w:line="276" w:lineRule="auto"/>
        <w:jc w:val="both"/>
        <w:rPr>
          <w:color w:val="000000" w:themeColor="text1"/>
          <w:sz w:val="22"/>
          <w:szCs w:val="22"/>
          <w:lang w:val="en-GB"/>
        </w:rPr>
      </w:pPr>
    </w:p>
    <w:p w14:paraId="38DF0B61" w14:textId="22937791" w:rsidR="00754075" w:rsidRPr="00417F06" w:rsidRDefault="005711E7" w:rsidP="00C84343">
      <w:pPr>
        <w:spacing w:line="276" w:lineRule="auto"/>
        <w:jc w:val="both"/>
        <w:rPr>
          <w:sz w:val="22"/>
          <w:szCs w:val="22"/>
          <w:lang w:val="en-GB"/>
        </w:rPr>
      </w:pPr>
      <w:r w:rsidRPr="00417F06">
        <w:rPr>
          <w:sz w:val="22"/>
          <w:szCs w:val="22"/>
          <w:lang w:val="en-GB"/>
        </w:rPr>
        <w:t>T</w:t>
      </w:r>
      <w:r w:rsidR="000133D3" w:rsidRPr="00417F06">
        <w:rPr>
          <w:sz w:val="22"/>
          <w:szCs w:val="22"/>
          <w:lang w:val="en-GB"/>
        </w:rPr>
        <w:t xml:space="preserve">his ground of exemption is not available </w:t>
      </w:r>
      <w:r w:rsidR="00A02420" w:rsidRPr="00417F06">
        <w:rPr>
          <w:sz w:val="22"/>
          <w:szCs w:val="22"/>
          <w:lang w:val="en-GB"/>
        </w:rPr>
        <w:t xml:space="preserve">in respect of </w:t>
      </w:r>
      <w:r w:rsidRPr="00417F06">
        <w:rPr>
          <w:sz w:val="22"/>
          <w:szCs w:val="22"/>
          <w:lang w:val="en-GB"/>
        </w:rPr>
        <w:t xml:space="preserve">the prohibitions prescribed by </w:t>
      </w:r>
      <w:r w:rsidR="00A02420" w:rsidRPr="00417F06">
        <w:rPr>
          <w:sz w:val="22"/>
          <w:szCs w:val="22"/>
          <w:lang w:val="en-GB"/>
        </w:rPr>
        <w:t>paragraph 2.1.1</w:t>
      </w:r>
      <w:r w:rsidR="00754075" w:rsidRPr="00417F06">
        <w:rPr>
          <w:sz w:val="22"/>
          <w:szCs w:val="22"/>
          <w:lang w:val="en-GB"/>
        </w:rPr>
        <w:t xml:space="preserve"> of the AEWA Action Plan</w:t>
      </w:r>
      <w:r w:rsidR="00A02420" w:rsidRPr="00417F06">
        <w:rPr>
          <w:sz w:val="22"/>
          <w:szCs w:val="22"/>
          <w:lang w:val="en-GB"/>
        </w:rPr>
        <w:t>.</w:t>
      </w:r>
      <w:r w:rsidRPr="00417F06">
        <w:rPr>
          <w:sz w:val="22"/>
          <w:szCs w:val="22"/>
          <w:lang w:val="en-GB"/>
        </w:rPr>
        <w:t xml:space="preserve"> Thus</w:t>
      </w:r>
      <w:r w:rsidR="00A02420" w:rsidRPr="00417F06">
        <w:rPr>
          <w:sz w:val="22"/>
          <w:szCs w:val="22"/>
          <w:lang w:val="en-GB"/>
        </w:rPr>
        <w:t xml:space="preserve">, </w:t>
      </w:r>
      <w:r w:rsidR="00754075" w:rsidRPr="00417F06">
        <w:rPr>
          <w:sz w:val="22"/>
          <w:szCs w:val="22"/>
          <w:lang w:val="en-GB"/>
        </w:rPr>
        <w:t>if the utilization of indiscriminate means of taking would result in the taking of, or significant disturbance to, birds belonging to Column A populations, a Contracting Party wishing to allow such means</w:t>
      </w:r>
      <w:r w:rsidR="00E423F2" w:rsidRPr="00417F06">
        <w:rPr>
          <w:sz w:val="22"/>
          <w:szCs w:val="22"/>
          <w:lang w:val="en-GB"/>
        </w:rPr>
        <w:t>,</w:t>
      </w:r>
      <w:r w:rsidR="00754075" w:rsidRPr="00417F06">
        <w:rPr>
          <w:sz w:val="22"/>
          <w:szCs w:val="22"/>
          <w:lang w:val="en-GB"/>
        </w:rPr>
        <w:t xml:space="preserve"> in order to accommodate livelihoods use will need to rely on the exemptions in paragraph 2.1.3 rather than that in paragraph 2.1.2(b).</w:t>
      </w:r>
    </w:p>
    <w:p w14:paraId="5FC46932" w14:textId="3C3FA265" w:rsidR="00754075" w:rsidRDefault="00754075" w:rsidP="00273D89">
      <w:pPr>
        <w:jc w:val="both"/>
        <w:rPr>
          <w:lang w:val="en-GB"/>
        </w:rPr>
      </w:pPr>
    </w:p>
    <w:p w14:paraId="7045C96A" w14:textId="77777777" w:rsidR="00417F06" w:rsidRPr="00C15E93" w:rsidRDefault="00417F06" w:rsidP="00273D89">
      <w:pPr>
        <w:jc w:val="both"/>
        <w:rPr>
          <w:lang w:val="en-GB"/>
        </w:rPr>
      </w:pPr>
    </w:p>
    <w:p w14:paraId="0D047EA8" w14:textId="77777777" w:rsidR="00FA50AD" w:rsidRPr="00C15E93" w:rsidRDefault="00FA50AD" w:rsidP="004B59B5">
      <w:pPr>
        <w:shd w:val="clear" w:color="auto" w:fill="D9E2F3" w:themeFill="accent1" w:themeFillTint="33"/>
        <w:jc w:val="both"/>
        <w:rPr>
          <w:b/>
          <w:lang w:val="en-GB"/>
        </w:rPr>
      </w:pPr>
      <w:r w:rsidRPr="00C15E93">
        <w:rPr>
          <w:b/>
          <w:lang w:val="en-GB"/>
        </w:rPr>
        <w:t>Exemptions permitted by paragraph 2.1.3 of the AEWA Action Plan</w:t>
      </w:r>
    </w:p>
    <w:p w14:paraId="007B9E32" w14:textId="77777777" w:rsidR="008E7FE5" w:rsidRPr="00C15E93" w:rsidRDefault="008E7FE5" w:rsidP="00273D89">
      <w:pPr>
        <w:jc w:val="both"/>
        <w:rPr>
          <w:u w:val="single"/>
          <w:lang w:val="en-GB"/>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C15E93" w14:paraId="2C44B584" w14:textId="77777777" w:rsidTr="00100C1D">
        <w:tc>
          <w:tcPr>
            <w:tcW w:w="5000" w:type="pct"/>
            <w:shd w:val="clear" w:color="auto" w:fill="F2F2F2" w:themeFill="background1" w:themeFillShade="F2"/>
          </w:tcPr>
          <w:p w14:paraId="21708941" w14:textId="77777777" w:rsidR="00C84343" w:rsidRPr="00C15E93" w:rsidRDefault="00C84343" w:rsidP="00273D89">
            <w:pPr>
              <w:jc w:val="both"/>
              <w:rPr>
                <w:b/>
                <w:sz w:val="22"/>
                <w:szCs w:val="22"/>
                <w:lang w:val="en-GB"/>
              </w:rPr>
            </w:pPr>
          </w:p>
          <w:p w14:paraId="754E5914" w14:textId="77777777" w:rsidR="00690938" w:rsidRPr="00C15E93" w:rsidRDefault="00690938" w:rsidP="00273D89">
            <w:pPr>
              <w:jc w:val="both"/>
              <w:rPr>
                <w:b/>
                <w:sz w:val="22"/>
                <w:szCs w:val="22"/>
                <w:lang w:val="en-GB"/>
              </w:rPr>
            </w:pPr>
            <w:r w:rsidRPr="00C15E93">
              <w:rPr>
                <w:b/>
                <w:sz w:val="22"/>
                <w:szCs w:val="22"/>
                <w:lang w:val="en-GB"/>
              </w:rPr>
              <w:t>AEWA Action Plan, para. 2.1.3</w:t>
            </w:r>
          </w:p>
          <w:p w14:paraId="59BC5122" w14:textId="77777777" w:rsidR="00690938" w:rsidRPr="00C15E93" w:rsidRDefault="00690938" w:rsidP="00273D89">
            <w:pPr>
              <w:jc w:val="both"/>
              <w:rPr>
                <w:b/>
                <w:sz w:val="22"/>
                <w:szCs w:val="22"/>
                <w:lang w:val="en-GB"/>
              </w:rPr>
            </w:pPr>
          </w:p>
          <w:p w14:paraId="28816722" w14:textId="77777777" w:rsidR="00690938" w:rsidRPr="00C15E93" w:rsidRDefault="00690938" w:rsidP="004B59B5">
            <w:pPr>
              <w:spacing w:line="276" w:lineRule="auto"/>
              <w:jc w:val="both"/>
              <w:rPr>
                <w:sz w:val="22"/>
                <w:szCs w:val="22"/>
                <w:lang w:val="en-GB"/>
              </w:rPr>
            </w:pPr>
            <w:r w:rsidRPr="00C15E93">
              <w:rPr>
                <w:sz w:val="22"/>
                <w:szCs w:val="22"/>
                <w:lang w:val="en-GB"/>
              </w:rPr>
              <w:t xml:space="preserve">Parties may grant exemptions to the prohibitions laid down in paragraphs 2.1.1 and 2.1.2, irrespective of the provisions of Article III, paragraph 5, of the Convention, where there is no other satisfactory solution, for the following purposes: </w:t>
            </w:r>
          </w:p>
          <w:p w14:paraId="075E5EC5" w14:textId="77777777" w:rsidR="00690938" w:rsidRPr="00C15E93" w:rsidRDefault="00690938" w:rsidP="004B59B5">
            <w:pPr>
              <w:spacing w:line="276" w:lineRule="auto"/>
              <w:jc w:val="both"/>
              <w:rPr>
                <w:sz w:val="22"/>
                <w:szCs w:val="22"/>
                <w:lang w:val="en-GB"/>
              </w:rPr>
            </w:pPr>
          </w:p>
          <w:p w14:paraId="4A664FC2"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prevent serious damage to crops, water and fisheries; </w:t>
            </w:r>
          </w:p>
          <w:p w14:paraId="520E950D" w14:textId="77777777" w:rsidR="00690938" w:rsidRPr="00C15E93" w:rsidRDefault="00690938" w:rsidP="004B59B5">
            <w:pPr>
              <w:pStyle w:val="ListParagraph"/>
              <w:spacing w:line="276" w:lineRule="auto"/>
              <w:jc w:val="both"/>
              <w:rPr>
                <w:rFonts w:ascii="Times New Roman" w:hAnsi="Times New Roman" w:cs="Times New Roman"/>
                <w:sz w:val="22"/>
                <w:szCs w:val="22"/>
                <w:lang w:val="en-GB"/>
              </w:rPr>
            </w:pPr>
          </w:p>
          <w:p w14:paraId="1478E9D1"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in the interests of air safety, public health and public safety, or for other imperative reasons of overriding public interest, including those of a social or economic nature and beneficial consequences of primary importance to the environment; </w:t>
            </w:r>
          </w:p>
          <w:p w14:paraId="7DAEC572" w14:textId="77777777" w:rsidR="00690938" w:rsidRPr="00C15E93" w:rsidRDefault="00690938" w:rsidP="004B59B5">
            <w:pPr>
              <w:spacing w:line="276" w:lineRule="auto"/>
              <w:jc w:val="both"/>
              <w:rPr>
                <w:sz w:val="22"/>
                <w:szCs w:val="22"/>
                <w:lang w:val="en-GB"/>
              </w:rPr>
            </w:pPr>
          </w:p>
          <w:p w14:paraId="34D9B467"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for the purpose of research and education, of re-establishment and for the breeding necessary for these purposes; </w:t>
            </w:r>
          </w:p>
          <w:p w14:paraId="1EEAB55A" w14:textId="77777777" w:rsidR="00690938" w:rsidRPr="00C15E93" w:rsidRDefault="00690938" w:rsidP="004B59B5">
            <w:pPr>
              <w:spacing w:line="276" w:lineRule="auto"/>
              <w:jc w:val="both"/>
              <w:rPr>
                <w:sz w:val="22"/>
                <w:szCs w:val="22"/>
                <w:lang w:val="en-GB"/>
              </w:rPr>
            </w:pPr>
          </w:p>
          <w:p w14:paraId="2D3C00AF"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permit under strictly supervised conditions, on a selective basis and to a limited extent, the taking and keeping or other judicious use of certain birds in small numbers; and </w:t>
            </w:r>
          </w:p>
          <w:p w14:paraId="71F2FBE2" w14:textId="77777777" w:rsidR="00690938" w:rsidRPr="00C15E93" w:rsidRDefault="00690938" w:rsidP="004B59B5">
            <w:pPr>
              <w:spacing w:line="276" w:lineRule="auto"/>
              <w:jc w:val="both"/>
              <w:rPr>
                <w:sz w:val="22"/>
                <w:szCs w:val="22"/>
                <w:lang w:val="en-GB"/>
              </w:rPr>
            </w:pPr>
          </w:p>
          <w:p w14:paraId="11B603CB"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for the purpose of enhancing the propagation or survival of the populations concerned. </w:t>
            </w:r>
          </w:p>
          <w:p w14:paraId="0EBC2B6F" w14:textId="77777777" w:rsidR="00690938" w:rsidRPr="00C15E93" w:rsidRDefault="00690938" w:rsidP="004B59B5">
            <w:pPr>
              <w:spacing w:line="276" w:lineRule="auto"/>
              <w:jc w:val="both"/>
              <w:rPr>
                <w:sz w:val="22"/>
                <w:szCs w:val="22"/>
                <w:lang w:val="en-GB"/>
              </w:rPr>
            </w:pPr>
          </w:p>
          <w:p w14:paraId="63DB0D00" w14:textId="2C7F879A" w:rsidR="00690938" w:rsidRPr="00C15E93" w:rsidRDefault="00690938" w:rsidP="004B59B5">
            <w:pPr>
              <w:spacing w:line="276" w:lineRule="auto"/>
              <w:jc w:val="both"/>
              <w:rPr>
                <w:sz w:val="22"/>
                <w:szCs w:val="22"/>
                <w:lang w:val="en-GB"/>
              </w:rPr>
            </w:pPr>
            <w:r w:rsidRPr="00C15E93">
              <w:rPr>
                <w:sz w:val="22"/>
                <w:szCs w:val="22"/>
                <w:lang w:val="en-GB"/>
              </w:rPr>
              <w:t xml:space="preserve">Such exemptions shall be precise as to content and limited in space and time and shall not operate to the detriment of the populations listed in Table 1. Parties shall, as soon as possible, inform the Agreement </w:t>
            </w:r>
            <w:r w:rsidR="009B2D1F">
              <w:rPr>
                <w:sz w:val="22"/>
                <w:szCs w:val="22"/>
                <w:lang w:val="en-GB"/>
              </w:rPr>
              <w:t>S</w:t>
            </w:r>
            <w:r w:rsidRPr="00C15E93">
              <w:rPr>
                <w:sz w:val="22"/>
                <w:szCs w:val="22"/>
                <w:lang w:val="en-GB"/>
              </w:rPr>
              <w:t xml:space="preserve">ecretariat of any exemptions granted pursuant to this provision. </w:t>
            </w:r>
          </w:p>
          <w:p w14:paraId="658EA45F" w14:textId="77777777" w:rsidR="00C84343" w:rsidRPr="00C15E93" w:rsidRDefault="00C84343" w:rsidP="00273D89">
            <w:pPr>
              <w:jc w:val="both"/>
              <w:rPr>
                <w:sz w:val="22"/>
                <w:szCs w:val="22"/>
                <w:lang w:val="en-GB"/>
              </w:rPr>
            </w:pPr>
          </w:p>
        </w:tc>
      </w:tr>
    </w:tbl>
    <w:p w14:paraId="62F45D19" w14:textId="77777777" w:rsidR="00DB1165" w:rsidRPr="00C15E93" w:rsidRDefault="00DB1165" w:rsidP="00C84343">
      <w:pPr>
        <w:spacing w:line="276" w:lineRule="auto"/>
        <w:jc w:val="both"/>
        <w:rPr>
          <w:sz w:val="22"/>
          <w:szCs w:val="22"/>
          <w:lang w:val="en-GB"/>
        </w:rPr>
      </w:pPr>
    </w:p>
    <w:p w14:paraId="53A4613F" w14:textId="77777777" w:rsidR="00F22F05" w:rsidRPr="00C15E93" w:rsidRDefault="00690938" w:rsidP="00417F06">
      <w:pPr>
        <w:spacing w:line="276" w:lineRule="auto"/>
        <w:jc w:val="both"/>
        <w:rPr>
          <w:sz w:val="22"/>
          <w:szCs w:val="22"/>
          <w:lang w:val="en-GB"/>
        </w:rPr>
      </w:pPr>
      <w:r w:rsidRPr="00C15E93">
        <w:rPr>
          <w:sz w:val="22"/>
          <w:szCs w:val="22"/>
          <w:lang w:val="en-GB"/>
        </w:rPr>
        <w:lastRenderedPageBreak/>
        <w:t>Paragraph 2.1.3</w:t>
      </w:r>
      <w:r w:rsidR="003C6D2C" w:rsidRPr="00C15E93">
        <w:rPr>
          <w:sz w:val="22"/>
          <w:szCs w:val="22"/>
          <w:lang w:val="en-GB"/>
        </w:rPr>
        <w:t xml:space="preserve"> </w:t>
      </w:r>
      <w:r w:rsidR="006C0EF2" w:rsidRPr="00C15E93">
        <w:rPr>
          <w:sz w:val="22"/>
          <w:szCs w:val="22"/>
          <w:lang w:val="en-GB"/>
        </w:rPr>
        <w:t>identifies</w:t>
      </w:r>
      <w:r w:rsidRPr="00C15E93">
        <w:rPr>
          <w:sz w:val="22"/>
          <w:szCs w:val="22"/>
          <w:lang w:val="en-GB"/>
        </w:rPr>
        <w:t xml:space="preserve"> an exhaustive, non-cumulative list of reasons for which exemptions may be granted. It</w:t>
      </w:r>
      <w:r w:rsidR="00F22F05" w:rsidRPr="00C15E93">
        <w:rPr>
          <w:sz w:val="22"/>
          <w:szCs w:val="22"/>
          <w:lang w:val="en-GB"/>
        </w:rPr>
        <w:t xml:space="preserve"> additionally identifies the following</w:t>
      </w:r>
      <w:r w:rsidRPr="00C15E93">
        <w:rPr>
          <w:sz w:val="22"/>
          <w:szCs w:val="22"/>
          <w:lang w:val="en-GB"/>
        </w:rPr>
        <w:t xml:space="preserve"> general conditions for exemptions, whic</w:t>
      </w:r>
      <w:r w:rsidR="006C0EF2" w:rsidRPr="00C15E93">
        <w:rPr>
          <w:sz w:val="22"/>
          <w:szCs w:val="22"/>
          <w:lang w:val="en-GB"/>
        </w:rPr>
        <w:t>h have implications for both an</w:t>
      </w:r>
      <w:r w:rsidRPr="00C15E93">
        <w:rPr>
          <w:sz w:val="22"/>
          <w:szCs w:val="22"/>
          <w:lang w:val="en-GB"/>
        </w:rPr>
        <w:t xml:space="preserve"> exemption’s prior justification </w:t>
      </w:r>
      <w:r w:rsidR="009C272B" w:rsidRPr="00C15E93">
        <w:rPr>
          <w:sz w:val="22"/>
          <w:szCs w:val="22"/>
          <w:lang w:val="en-GB"/>
        </w:rPr>
        <w:t>and its sub</w:t>
      </w:r>
      <w:r w:rsidR="00F22F05" w:rsidRPr="00C15E93">
        <w:rPr>
          <w:sz w:val="22"/>
          <w:szCs w:val="22"/>
          <w:lang w:val="en-GB"/>
        </w:rPr>
        <w:t>sequent application:</w:t>
      </w:r>
    </w:p>
    <w:p w14:paraId="64338D91" w14:textId="77777777" w:rsidR="00F22F05" w:rsidRPr="00C15E93" w:rsidRDefault="00F22F05" w:rsidP="00417F06">
      <w:pPr>
        <w:spacing w:line="276" w:lineRule="auto"/>
        <w:jc w:val="both"/>
        <w:rPr>
          <w:sz w:val="22"/>
          <w:szCs w:val="22"/>
          <w:lang w:val="en-GB"/>
        </w:rPr>
      </w:pPr>
    </w:p>
    <w:p w14:paraId="28CAF228" w14:textId="3FA3AE59"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There must be no other satisfactory solution</w:t>
      </w:r>
      <w:r w:rsidR="009B2D1F">
        <w:rPr>
          <w:rFonts w:ascii="Times New Roman" w:hAnsi="Times New Roman" w:cs="Times New Roman"/>
          <w:sz w:val="22"/>
          <w:szCs w:val="22"/>
          <w:lang w:val="en-GB"/>
        </w:rPr>
        <w:t>;</w:t>
      </w:r>
    </w:p>
    <w:p w14:paraId="0CB8B363" w14:textId="056467E6"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precise as to content</w:t>
      </w:r>
      <w:r w:rsidR="009B2D1F">
        <w:rPr>
          <w:rFonts w:ascii="Times New Roman" w:hAnsi="Times New Roman" w:cs="Times New Roman"/>
          <w:sz w:val="22"/>
          <w:szCs w:val="22"/>
          <w:lang w:val="en-GB"/>
        </w:rPr>
        <w:t>;</w:t>
      </w:r>
    </w:p>
    <w:p w14:paraId="24C6A20D" w14:textId="77F294AE"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limited in space and time</w:t>
      </w:r>
      <w:r w:rsidR="009B2D1F">
        <w:rPr>
          <w:rFonts w:ascii="Times New Roman" w:hAnsi="Times New Roman" w:cs="Times New Roman"/>
          <w:sz w:val="22"/>
          <w:szCs w:val="22"/>
          <w:lang w:val="en-GB"/>
        </w:rPr>
        <w:t>; and</w:t>
      </w:r>
    </w:p>
    <w:p w14:paraId="73439254"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The exemption must not operate to the detriment of Table 1 populations. </w:t>
      </w:r>
    </w:p>
    <w:p w14:paraId="025196E8" w14:textId="77777777" w:rsidR="00F22F05" w:rsidRPr="00C15E93" w:rsidRDefault="009C272B" w:rsidP="00417F06">
      <w:pPr>
        <w:spacing w:line="276" w:lineRule="auto"/>
        <w:jc w:val="both"/>
        <w:rPr>
          <w:sz w:val="22"/>
          <w:szCs w:val="22"/>
          <w:lang w:val="en-GB"/>
        </w:rPr>
      </w:pPr>
      <w:r w:rsidRPr="00C15E93">
        <w:rPr>
          <w:sz w:val="22"/>
          <w:szCs w:val="22"/>
          <w:lang w:val="en-GB"/>
        </w:rPr>
        <w:t xml:space="preserve"> </w:t>
      </w:r>
    </w:p>
    <w:p w14:paraId="0F16F576" w14:textId="77777777" w:rsidR="00690938" w:rsidRPr="00C15E93" w:rsidRDefault="003447A4" w:rsidP="00417F06">
      <w:pPr>
        <w:spacing w:line="276" w:lineRule="auto"/>
        <w:jc w:val="both"/>
        <w:rPr>
          <w:sz w:val="22"/>
          <w:szCs w:val="22"/>
          <w:lang w:val="en-GB"/>
        </w:rPr>
      </w:pPr>
      <w:r w:rsidRPr="00C15E93">
        <w:rPr>
          <w:sz w:val="22"/>
          <w:szCs w:val="22"/>
          <w:lang w:val="en-GB"/>
        </w:rPr>
        <w:t xml:space="preserve">These general conditions are cumulative. </w:t>
      </w:r>
    </w:p>
    <w:p w14:paraId="7ED365AA" w14:textId="77777777" w:rsidR="00690938" w:rsidRPr="00C15E93" w:rsidRDefault="00690938" w:rsidP="00273D89">
      <w:pPr>
        <w:jc w:val="both"/>
        <w:rPr>
          <w:sz w:val="22"/>
          <w:szCs w:val="22"/>
          <w:lang w:val="en-GB"/>
        </w:rPr>
      </w:pPr>
    </w:p>
    <w:p w14:paraId="0EF02BA3" w14:textId="77777777" w:rsidR="00100C1D" w:rsidRPr="00C15E93" w:rsidRDefault="00100C1D" w:rsidP="00273D89">
      <w:pPr>
        <w:jc w:val="both"/>
        <w:rPr>
          <w:sz w:val="22"/>
          <w:szCs w:val="22"/>
          <w:lang w:val="en-GB"/>
        </w:rPr>
      </w:pPr>
    </w:p>
    <w:p w14:paraId="2EC6CFE0" w14:textId="77777777" w:rsidR="00690938" w:rsidRPr="00C15E93" w:rsidRDefault="00100C1D" w:rsidP="00100C1D">
      <w:pPr>
        <w:shd w:val="clear" w:color="auto" w:fill="D9E2F3" w:themeFill="accent1" w:themeFillTint="33"/>
        <w:jc w:val="both"/>
        <w:rPr>
          <w:lang w:val="en-GB"/>
        </w:rPr>
      </w:pPr>
      <w:r w:rsidRPr="00C15E93">
        <w:rPr>
          <w:b/>
          <w:lang w:val="en-GB"/>
        </w:rPr>
        <w:t>Guidance on determining that there is “no other satisfactory solution”</w:t>
      </w:r>
    </w:p>
    <w:p w14:paraId="1C219F0A" w14:textId="77777777" w:rsidR="00100C1D" w:rsidRPr="00C15E93" w:rsidRDefault="00100C1D" w:rsidP="00366792">
      <w:pPr>
        <w:jc w:val="both"/>
        <w:rPr>
          <w:color w:val="000000" w:themeColor="text1"/>
          <w:sz w:val="22"/>
          <w:szCs w:val="22"/>
          <w:lang w:val="en-GB"/>
        </w:rPr>
      </w:pPr>
    </w:p>
    <w:p w14:paraId="50DF143B" w14:textId="0CEDF5BD" w:rsidR="00AB69EE" w:rsidRPr="00C15E93" w:rsidRDefault="004054E0" w:rsidP="006C5CF1">
      <w:pPr>
        <w:spacing w:line="276" w:lineRule="auto"/>
        <w:jc w:val="both"/>
        <w:rPr>
          <w:color w:val="000000" w:themeColor="text1"/>
          <w:sz w:val="22"/>
          <w:szCs w:val="22"/>
          <w:lang w:val="en-GB"/>
        </w:rPr>
      </w:pPr>
      <w:r w:rsidRPr="00C15E93">
        <w:rPr>
          <w:color w:val="000000" w:themeColor="text1"/>
          <w:sz w:val="22"/>
          <w:szCs w:val="22"/>
          <w:lang w:val="en-GB"/>
        </w:rPr>
        <w:t>The use of exemptions must be restricted to cases in which there is no other satisfactory solution</w:t>
      </w:r>
      <w:r w:rsidR="00AB69EE" w:rsidRPr="00C15E93">
        <w:rPr>
          <w:color w:val="000000" w:themeColor="text1"/>
          <w:sz w:val="22"/>
          <w:szCs w:val="22"/>
          <w:lang w:val="en-GB"/>
        </w:rPr>
        <w:t xml:space="preserve"> which does not involve setting aside the prohibitions ordinarily required by AEWA</w:t>
      </w:r>
      <w:r w:rsidRPr="00C15E93">
        <w:rPr>
          <w:color w:val="000000" w:themeColor="text1"/>
          <w:sz w:val="22"/>
          <w:szCs w:val="22"/>
          <w:lang w:val="en-GB"/>
        </w:rPr>
        <w:t xml:space="preserve">. </w:t>
      </w:r>
    </w:p>
    <w:p w14:paraId="1917EDDB" w14:textId="77777777" w:rsidR="00AB69EE" w:rsidRPr="00417F06" w:rsidRDefault="00AB69EE" w:rsidP="00C84343">
      <w:pPr>
        <w:spacing w:line="276" w:lineRule="auto"/>
        <w:jc w:val="both"/>
        <w:rPr>
          <w:color w:val="000000" w:themeColor="text1"/>
          <w:sz w:val="22"/>
          <w:szCs w:val="22"/>
          <w:lang w:val="en-GB"/>
        </w:rPr>
      </w:pPr>
    </w:p>
    <w:p w14:paraId="460CBCE8" w14:textId="77777777" w:rsidR="008B69A3" w:rsidRPr="00417F06" w:rsidRDefault="00285821" w:rsidP="00C84343">
      <w:pPr>
        <w:spacing w:line="276" w:lineRule="auto"/>
        <w:jc w:val="both"/>
        <w:rPr>
          <w:sz w:val="22"/>
          <w:szCs w:val="22"/>
          <w:lang w:val="en-GB"/>
        </w:rPr>
      </w:pPr>
      <w:r w:rsidRPr="00417F06">
        <w:rPr>
          <w:sz w:val="22"/>
          <w:szCs w:val="22"/>
          <w:lang w:val="en-GB"/>
        </w:rPr>
        <w:t>T</w:t>
      </w:r>
      <w:r w:rsidR="00366792" w:rsidRPr="00417F06">
        <w:rPr>
          <w:sz w:val="22"/>
          <w:szCs w:val="22"/>
          <w:lang w:val="en-GB"/>
        </w:rPr>
        <w:t>he availability of another satisfactory solution should be determined by considering</w:t>
      </w:r>
      <w:r w:rsidR="008B69A3" w:rsidRPr="00417F06">
        <w:rPr>
          <w:sz w:val="22"/>
          <w:szCs w:val="22"/>
          <w:lang w:val="en-GB"/>
        </w:rPr>
        <w:t>:</w:t>
      </w:r>
    </w:p>
    <w:p w14:paraId="71B7DBA8" w14:textId="77777777" w:rsidR="008B69A3" w:rsidRPr="00417F06" w:rsidRDefault="008B69A3" w:rsidP="00C84343">
      <w:pPr>
        <w:spacing w:line="276" w:lineRule="auto"/>
        <w:jc w:val="both"/>
        <w:rPr>
          <w:sz w:val="22"/>
          <w:szCs w:val="22"/>
          <w:lang w:val="en-GB"/>
        </w:rPr>
      </w:pPr>
    </w:p>
    <w:p w14:paraId="3572B1E5" w14:textId="77777777" w:rsidR="004C12AE" w:rsidRPr="00417F06" w:rsidRDefault="004C12AE" w:rsidP="00C84343">
      <w:pPr>
        <w:pStyle w:val="ListParagraph"/>
        <w:numPr>
          <w:ilvl w:val="0"/>
          <w:numId w:val="12"/>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color w:val="000000" w:themeColor="text1"/>
          <w:sz w:val="22"/>
          <w:szCs w:val="22"/>
          <w:lang w:val="en-GB"/>
        </w:rPr>
        <w:t>the particular problem or situation that needs to be addressed (</w:t>
      </w:r>
      <w:r w:rsidR="008A61FB" w:rsidRPr="00417F06">
        <w:rPr>
          <w:rFonts w:ascii="Times New Roman" w:hAnsi="Times New Roman" w:cs="Times New Roman"/>
          <w:color w:val="000000" w:themeColor="text1"/>
          <w:sz w:val="22"/>
          <w:szCs w:val="22"/>
          <w:lang w:val="en-GB"/>
        </w:rPr>
        <w:t>i.e. the purpose for which the exemption is sought; this</w:t>
      </w:r>
      <w:r w:rsidRPr="00417F06">
        <w:rPr>
          <w:rFonts w:ascii="Times New Roman" w:hAnsi="Times New Roman" w:cs="Times New Roman"/>
          <w:color w:val="000000" w:themeColor="text1"/>
          <w:sz w:val="22"/>
          <w:szCs w:val="22"/>
          <w:lang w:val="en-GB"/>
        </w:rPr>
        <w:t xml:space="preserve"> must be capable of being covered by one of</w:t>
      </w:r>
      <w:r w:rsidR="006C0EF2" w:rsidRPr="00417F06">
        <w:rPr>
          <w:rFonts w:ascii="Times New Roman" w:hAnsi="Times New Roman" w:cs="Times New Roman"/>
          <w:color w:val="000000" w:themeColor="text1"/>
          <w:sz w:val="22"/>
          <w:szCs w:val="22"/>
          <w:lang w:val="en-GB"/>
        </w:rPr>
        <w:t xml:space="preserve"> the grounds identified in paragraph</w:t>
      </w:r>
      <w:r w:rsidRPr="00417F06">
        <w:rPr>
          <w:rFonts w:ascii="Times New Roman" w:hAnsi="Times New Roman" w:cs="Times New Roman"/>
          <w:color w:val="000000" w:themeColor="text1"/>
          <w:sz w:val="22"/>
          <w:szCs w:val="22"/>
          <w:lang w:val="en-GB"/>
        </w:rPr>
        <w:t xml:space="preserve"> 2.1.3</w:t>
      </w:r>
      <w:r w:rsidR="006C0EF2" w:rsidRPr="00417F06">
        <w:rPr>
          <w:rFonts w:ascii="Times New Roman" w:hAnsi="Times New Roman" w:cs="Times New Roman"/>
          <w:color w:val="000000" w:themeColor="text1"/>
          <w:sz w:val="22"/>
          <w:szCs w:val="22"/>
          <w:lang w:val="en-GB"/>
        </w:rPr>
        <w:t xml:space="preserve">, subparagraphs </w:t>
      </w:r>
      <w:r w:rsidRPr="00417F06">
        <w:rPr>
          <w:rFonts w:ascii="Times New Roman" w:hAnsi="Times New Roman" w:cs="Times New Roman"/>
          <w:color w:val="000000" w:themeColor="text1"/>
          <w:sz w:val="22"/>
          <w:szCs w:val="22"/>
          <w:lang w:val="en-GB"/>
        </w:rPr>
        <w:t xml:space="preserve">(a)-(e)); </w:t>
      </w:r>
    </w:p>
    <w:p w14:paraId="0C1F6D65" w14:textId="77777777" w:rsidR="00AB69EE" w:rsidRPr="00417F06" w:rsidRDefault="00AB69EE" w:rsidP="00C84343">
      <w:pPr>
        <w:pStyle w:val="ListParagraph"/>
        <w:spacing w:line="276" w:lineRule="auto"/>
        <w:ind w:left="1080"/>
        <w:jc w:val="both"/>
        <w:rPr>
          <w:rFonts w:ascii="Times New Roman" w:hAnsi="Times New Roman" w:cs="Times New Roman"/>
          <w:color w:val="70AD47" w:themeColor="accent6"/>
          <w:sz w:val="22"/>
          <w:szCs w:val="22"/>
          <w:lang w:val="en-GB"/>
        </w:rPr>
      </w:pPr>
    </w:p>
    <w:p w14:paraId="2CB46EF2" w14:textId="77777777" w:rsidR="008B69A3" w:rsidRPr="00417F06" w:rsidRDefault="00347041"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possible alternative solutions</w:t>
      </w:r>
      <w:r w:rsidR="00366792" w:rsidRPr="00417F06">
        <w:rPr>
          <w:rFonts w:ascii="Times New Roman" w:hAnsi="Times New Roman" w:cs="Times New Roman"/>
          <w:sz w:val="22"/>
          <w:szCs w:val="22"/>
          <w:lang w:val="en-GB"/>
        </w:rPr>
        <w:t xml:space="preserve"> which do not involve deviating from paragraphs 2.1.1 and 2.1.2</w:t>
      </w:r>
      <w:r w:rsidR="00285821" w:rsidRPr="00417F06">
        <w:rPr>
          <w:rFonts w:ascii="Times New Roman" w:hAnsi="Times New Roman" w:cs="Times New Roman"/>
          <w:sz w:val="22"/>
          <w:szCs w:val="22"/>
          <w:lang w:val="en-GB"/>
        </w:rPr>
        <w:t xml:space="preserve"> of the AEWA Action Plan</w:t>
      </w:r>
      <w:r w:rsidR="00AD2980" w:rsidRPr="00417F06">
        <w:rPr>
          <w:rFonts w:ascii="Times New Roman" w:hAnsi="Times New Roman" w:cs="Times New Roman"/>
          <w:sz w:val="22"/>
          <w:szCs w:val="22"/>
          <w:lang w:val="en-GB"/>
        </w:rPr>
        <w:t xml:space="preserve"> </w:t>
      </w:r>
      <w:r w:rsidR="00AD2980" w:rsidRPr="00417F06">
        <w:rPr>
          <w:rFonts w:ascii="Times New Roman" w:hAnsi="Times New Roman" w:cs="Times New Roman"/>
          <w:color w:val="000000" w:themeColor="text1"/>
          <w:sz w:val="22"/>
          <w:szCs w:val="22"/>
          <w:lang w:val="en-GB"/>
        </w:rPr>
        <w:t>(e.g. reducing conflicts through habitat management or scaring techniques)</w:t>
      </w:r>
      <w:r w:rsidR="004C12AE" w:rsidRPr="00417F06">
        <w:rPr>
          <w:rFonts w:ascii="Times New Roman" w:hAnsi="Times New Roman" w:cs="Times New Roman"/>
          <w:color w:val="000000" w:themeColor="text1"/>
          <w:sz w:val="22"/>
          <w:szCs w:val="22"/>
          <w:lang w:val="en-GB"/>
        </w:rPr>
        <w:t>;</w:t>
      </w:r>
      <w:r w:rsidR="00366792" w:rsidRPr="00417F06">
        <w:rPr>
          <w:rFonts w:ascii="Times New Roman" w:hAnsi="Times New Roman" w:cs="Times New Roman"/>
          <w:color w:val="000000" w:themeColor="text1"/>
          <w:sz w:val="22"/>
          <w:szCs w:val="22"/>
          <w:lang w:val="en-GB"/>
        </w:rPr>
        <w:t xml:space="preserve"> and </w:t>
      </w:r>
    </w:p>
    <w:p w14:paraId="2110F6AF" w14:textId="77777777" w:rsidR="008B69A3" w:rsidRPr="00417F06" w:rsidRDefault="008B69A3" w:rsidP="00C84343">
      <w:pPr>
        <w:pStyle w:val="ListParagraph"/>
        <w:spacing w:line="276" w:lineRule="auto"/>
        <w:ind w:left="1080"/>
        <w:jc w:val="both"/>
        <w:rPr>
          <w:rFonts w:ascii="Times New Roman" w:hAnsi="Times New Roman" w:cs="Times New Roman"/>
          <w:sz w:val="22"/>
          <w:szCs w:val="22"/>
          <w:lang w:val="en-GB"/>
        </w:rPr>
      </w:pPr>
    </w:p>
    <w:p w14:paraId="22D456F7" w14:textId="77777777" w:rsidR="00285821" w:rsidRPr="00417F06" w:rsidRDefault="00366792"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whether these </w:t>
      </w:r>
      <w:r w:rsidR="004C12AE" w:rsidRPr="00417F06">
        <w:rPr>
          <w:rFonts w:ascii="Times New Roman" w:hAnsi="Times New Roman" w:cs="Times New Roman"/>
          <w:sz w:val="22"/>
          <w:szCs w:val="22"/>
          <w:lang w:val="en-GB"/>
        </w:rPr>
        <w:t xml:space="preserve">alternatives </w:t>
      </w:r>
      <w:r w:rsidRPr="00417F06">
        <w:rPr>
          <w:rFonts w:ascii="Times New Roman" w:hAnsi="Times New Roman" w:cs="Times New Roman"/>
          <w:sz w:val="22"/>
          <w:szCs w:val="22"/>
          <w:lang w:val="en-GB"/>
        </w:rPr>
        <w:t xml:space="preserve">are capable of </w:t>
      </w:r>
      <w:r w:rsidRPr="00417F06">
        <w:rPr>
          <w:rFonts w:ascii="Times New Roman" w:hAnsi="Times New Roman" w:cs="Times New Roman"/>
          <w:color w:val="000000" w:themeColor="text1"/>
          <w:sz w:val="22"/>
          <w:szCs w:val="22"/>
          <w:lang w:val="en-GB"/>
        </w:rPr>
        <w:t xml:space="preserve">resolving the problem/situation </w:t>
      </w:r>
      <w:r w:rsidRPr="00417F06">
        <w:rPr>
          <w:rFonts w:ascii="Times New Roman" w:hAnsi="Times New Roman" w:cs="Times New Roman"/>
          <w:sz w:val="22"/>
          <w:szCs w:val="22"/>
          <w:lang w:val="en-GB"/>
        </w:rPr>
        <w:t xml:space="preserve">for which the exemption is sought. </w:t>
      </w:r>
    </w:p>
    <w:p w14:paraId="4A5C8A2A" w14:textId="6FED835C" w:rsidR="00366792" w:rsidRPr="00417F06" w:rsidRDefault="007F7C94" w:rsidP="004B59B5">
      <w:pPr>
        <w:pStyle w:val="NormalWeb"/>
        <w:spacing w:line="276" w:lineRule="auto"/>
        <w:jc w:val="both"/>
        <w:rPr>
          <w:sz w:val="22"/>
          <w:szCs w:val="22"/>
          <w:lang w:val="en-GB"/>
        </w:rPr>
      </w:pPr>
      <w:r w:rsidRPr="00417F06">
        <w:rPr>
          <w:rFonts w:ascii="TimesNewRomanPSMT" w:hAnsi="TimesNewRomanPSMT" w:cs="TimesNewRomanPSMT"/>
          <w:sz w:val="22"/>
          <w:szCs w:val="22"/>
        </w:rPr>
        <w:t>The competent national authority should choose, among possible alternatives, the most appropriate one that will have the least adverse effects on the species</w:t>
      </w:r>
      <w:r w:rsidR="00E423F2" w:rsidRPr="00417F06">
        <w:rPr>
          <w:rFonts w:ascii="TimesNewRomanPSMT" w:hAnsi="TimesNewRomanPSMT" w:cs="TimesNewRomanPSMT"/>
          <w:sz w:val="22"/>
          <w:szCs w:val="22"/>
        </w:rPr>
        <w:t>,</w:t>
      </w:r>
      <w:r w:rsidRPr="00417F06">
        <w:rPr>
          <w:rFonts w:ascii="TimesNewRomanPSMT" w:hAnsi="TimesNewRomanPSMT" w:cs="TimesNewRomanPSMT"/>
          <w:sz w:val="22"/>
          <w:szCs w:val="22"/>
        </w:rPr>
        <w:t xml:space="preserve"> while solving the problem</w:t>
      </w:r>
      <w:r w:rsidR="00341955" w:rsidRPr="00417F06">
        <w:rPr>
          <w:rFonts w:ascii="TimesNewRomanPSMT" w:hAnsi="TimesNewRomanPSMT" w:cs="TimesNewRomanPSMT"/>
          <w:sz w:val="22"/>
          <w:szCs w:val="22"/>
        </w:rPr>
        <w:t xml:space="preserve"> or situation</w:t>
      </w:r>
      <w:r w:rsidRPr="00417F06">
        <w:rPr>
          <w:rFonts w:ascii="TimesNewRomanPSMT" w:hAnsi="TimesNewRomanPSMT" w:cs="TimesNewRomanPSMT"/>
          <w:sz w:val="22"/>
          <w:szCs w:val="22"/>
        </w:rPr>
        <w:t xml:space="preserve">. The reasoning of the choice should be objective and verifiable. </w:t>
      </w:r>
    </w:p>
    <w:p w14:paraId="72BFBF3E" w14:textId="77777777" w:rsidR="00100C1D" w:rsidRPr="00C15E93" w:rsidRDefault="00100C1D" w:rsidP="00273D89">
      <w:pPr>
        <w:jc w:val="both"/>
        <w:rPr>
          <w:lang w:val="en-GB"/>
        </w:rPr>
      </w:pPr>
    </w:p>
    <w:p w14:paraId="4118A975" w14:textId="77777777" w:rsidR="00366792" w:rsidRPr="00C15E93" w:rsidRDefault="00100C1D" w:rsidP="00100C1D">
      <w:pPr>
        <w:shd w:val="clear" w:color="auto" w:fill="D9E2F3" w:themeFill="accent1" w:themeFillTint="33"/>
        <w:jc w:val="both"/>
        <w:rPr>
          <w:lang w:val="en-GB"/>
        </w:rPr>
      </w:pPr>
      <w:r w:rsidRPr="00C15E93">
        <w:rPr>
          <w:b/>
          <w:lang w:val="en-GB"/>
        </w:rPr>
        <w:t>Guidance on the grounds of justification identified in subparagraphs (a)-(e)</w:t>
      </w:r>
    </w:p>
    <w:p w14:paraId="6A29B1C3" w14:textId="77777777" w:rsidR="00100C1D" w:rsidRPr="00C15E93" w:rsidRDefault="00100C1D" w:rsidP="00273D89">
      <w:pPr>
        <w:jc w:val="both"/>
        <w:rPr>
          <w:lang w:val="en-GB"/>
        </w:rPr>
      </w:pPr>
    </w:p>
    <w:p w14:paraId="5C9571E3" w14:textId="77777777" w:rsidR="00366792" w:rsidRPr="00417F06" w:rsidRDefault="003734BB" w:rsidP="00C84343">
      <w:pPr>
        <w:spacing w:line="276" w:lineRule="auto"/>
        <w:jc w:val="both"/>
        <w:rPr>
          <w:sz w:val="22"/>
          <w:szCs w:val="22"/>
          <w:lang w:val="en-GB"/>
        </w:rPr>
      </w:pPr>
      <w:r w:rsidRPr="00417F06">
        <w:rPr>
          <w:sz w:val="22"/>
          <w:szCs w:val="22"/>
          <w:lang w:val="en-GB"/>
        </w:rPr>
        <w:t>All exemptions must be based on at least one of the grounds listed exhaustively in paragraph 2.1.3</w:t>
      </w:r>
      <w:r w:rsidR="006C0EF2" w:rsidRPr="00417F06">
        <w:rPr>
          <w:sz w:val="22"/>
          <w:szCs w:val="22"/>
          <w:lang w:val="en-GB"/>
        </w:rPr>
        <w:t xml:space="preserve">, subparagraphs </w:t>
      </w:r>
      <w:r w:rsidRPr="00417F06">
        <w:rPr>
          <w:sz w:val="22"/>
          <w:szCs w:val="22"/>
          <w:lang w:val="en-GB"/>
        </w:rPr>
        <w:t>(a)-(e).</w:t>
      </w:r>
    </w:p>
    <w:p w14:paraId="6C3EE874" w14:textId="77777777" w:rsidR="00CC3B6C" w:rsidRPr="00417F06" w:rsidRDefault="00CC3B6C" w:rsidP="00C84343">
      <w:pPr>
        <w:spacing w:line="276" w:lineRule="auto"/>
        <w:jc w:val="both"/>
        <w:rPr>
          <w:sz w:val="22"/>
          <w:szCs w:val="22"/>
          <w:lang w:val="en-GB"/>
        </w:rPr>
      </w:pPr>
    </w:p>
    <w:p w14:paraId="4468A5EC" w14:textId="05007E06" w:rsidR="00366792" w:rsidRPr="00417F06" w:rsidRDefault="003734BB"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Preventing serious damage to crops, water and fisheries</w:t>
      </w:r>
    </w:p>
    <w:p w14:paraId="7DB22B44" w14:textId="77777777" w:rsidR="00366792" w:rsidRPr="00417F06" w:rsidRDefault="00366792" w:rsidP="00C84343">
      <w:pPr>
        <w:spacing w:line="276" w:lineRule="auto"/>
        <w:jc w:val="both"/>
        <w:rPr>
          <w:sz w:val="22"/>
          <w:szCs w:val="22"/>
          <w:lang w:val="en-GB"/>
        </w:rPr>
      </w:pPr>
    </w:p>
    <w:p w14:paraId="3732DC6B" w14:textId="77777777" w:rsidR="0011468B" w:rsidRPr="00417F06" w:rsidRDefault="00AD2980" w:rsidP="00C84343">
      <w:pPr>
        <w:spacing w:line="276" w:lineRule="auto"/>
        <w:jc w:val="both"/>
        <w:rPr>
          <w:sz w:val="22"/>
          <w:szCs w:val="22"/>
          <w:lang w:val="en-GB"/>
        </w:rPr>
      </w:pPr>
      <w:r w:rsidRPr="00417F06">
        <w:rPr>
          <w:sz w:val="22"/>
          <w:szCs w:val="22"/>
          <w:lang w:val="en-GB"/>
        </w:rPr>
        <w:t>T</w:t>
      </w:r>
      <w:r w:rsidR="0011468B" w:rsidRPr="00417F06">
        <w:rPr>
          <w:sz w:val="22"/>
          <w:szCs w:val="22"/>
          <w:lang w:val="en-GB"/>
        </w:rPr>
        <w:t xml:space="preserve">he measures permitted must be preventative in nature. It is not necessary that damage already have been sustained. However, it must be probable that damage will occur in the future if the exemption is not granted. </w:t>
      </w:r>
    </w:p>
    <w:p w14:paraId="353ED382" w14:textId="77777777" w:rsidR="00366792" w:rsidRPr="00417F06" w:rsidRDefault="00366792" w:rsidP="00C84343">
      <w:pPr>
        <w:spacing w:line="276" w:lineRule="auto"/>
        <w:jc w:val="both"/>
        <w:rPr>
          <w:sz w:val="22"/>
          <w:szCs w:val="22"/>
          <w:lang w:val="en-GB"/>
        </w:rPr>
      </w:pPr>
    </w:p>
    <w:p w14:paraId="4644E583" w14:textId="05D54714" w:rsidR="00065FA8" w:rsidRPr="00417F06" w:rsidRDefault="00F4341F" w:rsidP="00C84343">
      <w:pPr>
        <w:spacing w:line="276" w:lineRule="auto"/>
        <w:jc w:val="both"/>
        <w:rPr>
          <w:color w:val="000000" w:themeColor="text1"/>
          <w:sz w:val="22"/>
          <w:szCs w:val="22"/>
          <w:lang w:val="en-GB"/>
        </w:rPr>
      </w:pPr>
      <w:r w:rsidRPr="00417F06">
        <w:rPr>
          <w:sz w:val="22"/>
          <w:szCs w:val="22"/>
          <w:lang w:val="en-GB"/>
        </w:rPr>
        <w:t xml:space="preserve">The damage </w:t>
      </w:r>
      <w:r w:rsidR="007A21E7" w:rsidRPr="00417F06">
        <w:rPr>
          <w:sz w:val="22"/>
          <w:szCs w:val="22"/>
          <w:lang w:val="en-GB"/>
        </w:rPr>
        <w:t xml:space="preserve">concerned </w:t>
      </w:r>
      <w:r w:rsidRPr="00417F06">
        <w:rPr>
          <w:sz w:val="22"/>
          <w:szCs w:val="22"/>
          <w:lang w:val="en-GB"/>
        </w:rPr>
        <w:t xml:space="preserve">must be serious, as opposed to minor. </w:t>
      </w:r>
      <w:r w:rsidR="00427460" w:rsidRPr="00417F06">
        <w:rPr>
          <w:sz w:val="22"/>
          <w:szCs w:val="22"/>
          <w:lang w:val="en-GB"/>
        </w:rPr>
        <w:t>Whether damage is “serious” in this context</w:t>
      </w:r>
      <w:r w:rsidRPr="00417F06">
        <w:rPr>
          <w:sz w:val="22"/>
          <w:szCs w:val="22"/>
          <w:lang w:val="en-GB"/>
        </w:rPr>
        <w:t xml:space="preserve"> should be evaluated in terms of the intensity and duration of the </w:t>
      </w:r>
      <w:r w:rsidRPr="00417F06">
        <w:rPr>
          <w:color w:val="000000" w:themeColor="text1"/>
          <w:sz w:val="22"/>
          <w:szCs w:val="22"/>
          <w:lang w:val="en-GB"/>
        </w:rPr>
        <w:t>prejudice</w:t>
      </w:r>
      <w:r w:rsidR="000C5044" w:rsidRPr="00417F06">
        <w:rPr>
          <w:color w:val="000000" w:themeColor="text1"/>
          <w:sz w:val="22"/>
          <w:szCs w:val="22"/>
          <w:lang w:val="en-GB"/>
        </w:rPr>
        <w:t xml:space="preserve"> that would be sustained as a result of the damage</w:t>
      </w:r>
      <w:r w:rsidR="009F68EB" w:rsidRPr="00417F06">
        <w:rPr>
          <w:color w:val="000000" w:themeColor="text1"/>
          <w:sz w:val="22"/>
          <w:szCs w:val="22"/>
          <w:lang w:val="en-GB"/>
        </w:rPr>
        <w:t>,</w:t>
      </w:r>
      <w:r w:rsidRPr="00417F06">
        <w:rPr>
          <w:color w:val="000000" w:themeColor="text1"/>
          <w:sz w:val="22"/>
          <w:szCs w:val="22"/>
          <w:lang w:val="en-GB"/>
        </w:rPr>
        <w:t xml:space="preserve"> and the scale of the destruction or deterioration </w:t>
      </w:r>
      <w:r w:rsidR="009F68EB" w:rsidRPr="00417F06">
        <w:rPr>
          <w:color w:val="000000" w:themeColor="text1"/>
          <w:sz w:val="22"/>
          <w:szCs w:val="22"/>
          <w:lang w:val="en-GB"/>
        </w:rPr>
        <w:t>concerned</w:t>
      </w:r>
      <w:r w:rsidRPr="00417F06">
        <w:rPr>
          <w:color w:val="000000" w:themeColor="text1"/>
          <w:sz w:val="22"/>
          <w:szCs w:val="22"/>
          <w:lang w:val="en-GB"/>
        </w:rPr>
        <w:t>. </w:t>
      </w:r>
      <w:r w:rsidR="00052CDC" w:rsidRPr="00417F06">
        <w:rPr>
          <w:sz w:val="22"/>
          <w:szCs w:val="22"/>
          <w:lang w:val="en-GB"/>
        </w:rPr>
        <w:t xml:space="preserve">Damage need not be widespread in order to be </w:t>
      </w:r>
      <w:r w:rsidR="00981EBB" w:rsidRPr="00417F06">
        <w:rPr>
          <w:sz w:val="22"/>
          <w:szCs w:val="22"/>
          <w:lang w:val="en-GB"/>
        </w:rPr>
        <w:t xml:space="preserve">considered serious. </w:t>
      </w:r>
      <w:r w:rsidR="00981EBB" w:rsidRPr="00417F06">
        <w:rPr>
          <w:color w:val="000000" w:themeColor="text1"/>
          <w:sz w:val="22"/>
          <w:szCs w:val="22"/>
          <w:lang w:val="en-GB"/>
        </w:rPr>
        <w:t xml:space="preserve">However, </w:t>
      </w:r>
      <w:r w:rsidR="00A312DD" w:rsidRPr="00417F06">
        <w:rPr>
          <w:color w:val="000000" w:themeColor="text1"/>
          <w:sz w:val="22"/>
          <w:szCs w:val="22"/>
          <w:lang w:val="en-GB"/>
        </w:rPr>
        <w:t xml:space="preserve">the scale of </w:t>
      </w:r>
      <w:r w:rsidR="00FD26E4" w:rsidRPr="00417F06">
        <w:rPr>
          <w:color w:val="000000" w:themeColor="text1"/>
          <w:sz w:val="22"/>
          <w:szCs w:val="22"/>
          <w:lang w:val="en-GB"/>
        </w:rPr>
        <w:t xml:space="preserve">the measures </w:t>
      </w:r>
      <w:r w:rsidR="00065FA8" w:rsidRPr="00417F06">
        <w:rPr>
          <w:color w:val="000000" w:themeColor="text1"/>
          <w:sz w:val="22"/>
          <w:szCs w:val="22"/>
          <w:lang w:val="en-GB"/>
        </w:rPr>
        <w:t xml:space="preserve">allowed </w:t>
      </w:r>
      <w:r w:rsidR="00FD26E4" w:rsidRPr="00417F06">
        <w:rPr>
          <w:color w:val="000000" w:themeColor="text1"/>
          <w:sz w:val="22"/>
          <w:szCs w:val="22"/>
          <w:lang w:val="en-GB"/>
        </w:rPr>
        <w:t xml:space="preserve">by </w:t>
      </w:r>
      <w:r w:rsidR="00065FA8" w:rsidRPr="00417F06">
        <w:rPr>
          <w:color w:val="000000" w:themeColor="text1"/>
          <w:sz w:val="22"/>
          <w:szCs w:val="22"/>
          <w:lang w:val="en-GB"/>
        </w:rPr>
        <w:t>an exemption</w:t>
      </w:r>
      <w:r w:rsidR="00FD26E4" w:rsidRPr="00417F06">
        <w:rPr>
          <w:color w:val="000000" w:themeColor="text1"/>
          <w:sz w:val="22"/>
          <w:szCs w:val="22"/>
          <w:lang w:val="en-GB"/>
        </w:rPr>
        <w:t xml:space="preserve"> </w:t>
      </w:r>
      <w:r w:rsidR="00B3317B" w:rsidRPr="00417F06">
        <w:rPr>
          <w:color w:val="000000" w:themeColor="text1"/>
          <w:sz w:val="22"/>
          <w:szCs w:val="22"/>
          <w:lang w:val="en-GB"/>
        </w:rPr>
        <w:t xml:space="preserve">needs to align with the nature and scale of the </w:t>
      </w:r>
      <w:r w:rsidR="00065FA8" w:rsidRPr="00417F06">
        <w:rPr>
          <w:color w:val="000000" w:themeColor="text1"/>
          <w:sz w:val="22"/>
          <w:szCs w:val="22"/>
          <w:lang w:val="en-GB"/>
        </w:rPr>
        <w:t>problem that such measures are intended to remedy.</w:t>
      </w:r>
      <w:r w:rsidR="00981EBB" w:rsidRPr="00417F06">
        <w:rPr>
          <w:color w:val="000000" w:themeColor="text1"/>
          <w:sz w:val="22"/>
          <w:szCs w:val="22"/>
          <w:lang w:val="en-GB"/>
        </w:rPr>
        <w:t xml:space="preserve"> </w:t>
      </w:r>
      <w:r w:rsidR="00F239C5" w:rsidRPr="00417F06">
        <w:rPr>
          <w:color w:val="000000" w:themeColor="text1"/>
          <w:sz w:val="22"/>
          <w:szCs w:val="22"/>
          <w:lang w:val="en-GB"/>
        </w:rPr>
        <w:t>It follo</w:t>
      </w:r>
      <w:r w:rsidR="005137F1" w:rsidRPr="00417F06">
        <w:rPr>
          <w:color w:val="000000" w:themeColor="text1"/>
          <w:sz w:val="22"/>
          <w:szCs w:val="22"/>
          <w:lang w:val="en-GB"/>
        </w:rPr>
        <w:t xml:space="preserve">ws </w:t>
      </w:r>
      <w:r w:rsidR="00506117" w:rsidRPr="00417F06">
        <w:rPr>
          <w:color w:val="000000" w:themeColor="text1"/>
          <w:sz w:val="22"/>
          <w:szCs w:val="22"/>
          <w:lang w:val="en-GB"/>
        </w:rPr>
        <w:t xml:space="preserve">that damage </w:t>
      </w:r>
      <w:r w:rsidR="00506117" w:rsidRPr="00417F06">
        <w:rPr>
          <w:color w:val="000000" w:themeColor="text1"/>
          <w:sz w:val="22"/>
          <w:szCs w:val="22"/>
          <w:lang w:val="en-GB"/>
        </w:rPr>
        <w:lastRenderedPageBreak/>
        <w:t>over large area</w:t>
      </w:r>
      <w:r w:rsidR="00F30CFA" w:rsidRPr="00417F06">
        <w:rPr>
          <w:color w:val="000000" w:themeColor="text1"/>
          <w:sz w:val="22"/>
          <w:szCs w:val="22"/>
          <w:lang w:val="en-GB"/>
        </w:rPr>
        <w:t>s</w:t>
      </w:r>
      <w:r w:rsidR="00506117" w:rsidRPr="00417F06">
        <w:rPr>
          <w:color w:val="000000" w:themeColor="text1"/>
          <w:sz w:val="22"/>
          <w:szCs w:val="22"/>
          <w:lang w:val="en-GB"/>
        </w:rPr>
        <w:t xml:space="preserve">, </w:t>
      </w:r>
      <w:r w:rsidR="0041327D" w:rsidRPr="00417F06">
        <w:rPr>
          <w:color w:val="000000" w:themeColor="text1"/>
          <w:sz w:val="22"/>
          <w:szCs w:val="22"/>
          <w:lang w:val="en-GB"/>
        </w:rPr>
        <w:t>and/or</w:t>
      </w:r>
      <w:r w:rsidR="00506117" w:rsidRPr="00417F06">
        <w:rPr>
          <w:color w:val="000000" w:themeColor="text1"/>
          <w:sz w:val="22"/>
          <w:szCs w:val="22"/>
          <w:lang w:val="en-GB"/>
        </w:rPr>
        <w:t xml:space="preserve"> </w:t>
      </w:r>
      <w:r w:rsidR="0041327D" w:rsidRPr="00417F06">
        <w:rPr>
          <w:color w:val="000000" w:themeColor="text1"/>
          <w:sz w:val="22"/>
          <w:szCs w:val="22"/>
          <w:lang w:val="en-GB"/>
        </w:rPr>
        <w:t xml:space="preserve">that is </w:t>
      </w:r>
      <w:r w:rsidR="00F40FF7" w:rsidRPr="00417F06">
        <w:rPr>
          <w:color w:val="000000" w:themeColor="text1"/>
          <w:sz w:val="22"/>
          <w:szCs w:val="22"/>
          <w:lang w:val="en-GB"/>
        </w:rPr>
        <w:t xml:space="preserve">demonstrably </w:t>
      </w:r>
      <w:r w:rsidR="0041327D" w:rsidRPr="00417F06">
        <w:rPr>
          <w:color w:val="000000" w:themeColor="text1"/>
          <w:sz w:val="22"/>
          <w:szCs w:val="22"/>
          <w:lang w:val="en-GB"/>
        </w:rPr>
        <w:t xml:space="preserve">linked to the size of a population, may justify exemptions that are more generalized in their territorial scope than damage that is very localized. </w:t>
      </w:r>
    </w:p>
    <w:p w14:paraId="5C25B0C6" w14:textId="77777777" w:rsidR="00366792" w:rsidRPr="00417F06" w:rsidRDefault="00366792" w:rsidP="00C84343">
      <w:pPr>
        <w:spacing w:line="276" w:lineRule="auto"/>
        <w:jc w:val="both"/>
        <w:rPr>
          <w:sz w:val="22"/>
          <w:szCs w:val="22"/>
          <w:lang w:val="en-GB"/>
        </w:rPr>
      </w:pPr>
    </w:p>
    <w:p w14:paraId="2CFB8222" w14:textId="7EEF58AF" w:rsidR="003A4A53" w:rsidRPr="00417F06" w:rsidRDefault="00262ECB" w:rsidP="00C84343">
      <w:pPr>
        <w:spacing w:line="276" w:lineRule="auto"/>
        <w:jc w:val="both"/>
        <w:rPr>
          <w:sz w:val="22"/>
          <w:szCs w:val="22"/>
          <w:lang w:val="en-GB"/>
        </w:rPr>
      </w:pPr>
      <w:r w:rsidRPr="00417F06">
        <w:rPr>
          <w:sz w:val="22"/>
          <w:szCs w:val="22"/>
          <w:lang w:val="en-GB"/>
        </w:rPr>
        <w:t xml:space="preserve">This exemption can only be relied upon in respect of damage to crops, water, or fisheries. Exemptions aimed at preventing damage to other </w:t>
      </w:r>
      <w:r w:rsidR="007A21E7" w:rsidRPr="00417F06">
        <w:rPr>
          <w:sz w:val="22"/>
          <w:szCs w:val="22"/>
          <w:lang w:val="en-GB"/>
        </w:rPr>
        <w:t xml:space="preserve">interests (e.g. to other </w:t>
      </w:r>
      <w:r w:rsidRPr="00417F06">
        <w:rPr>
          <w:sz w:val="22"/>
          <w:szCs w:val="22"/>
          <w:lang w:val="en-GB"/>
        </w:rPr>
        <w:t xml:space="preserve">forms of property or </w:t>
      </w:r>
      <w:r w:rsidR="007A21E7" w:rsidRPr="00417F06">
        <w:rPr>
          <w:sz w:val="22"/>
          <w:szCs w:val="22"/>
          <w:lang w:val="en-GB"/>
        </w:rPr>
        <w:t>to flora and fauna</w:t>
      </w:r>
      <w:r w:rsidRPr="00417F06">
        <w:rPr>
          <w:sz w:val="22"/>
          <w:szCs w:val="22"/>
          <w:lang w:val="en-GB"/>
        </w:rPr>
        <w:t xml:space="preserve">) will therefore only be permissible if the grounds described in </w:t>
      </w:r>
      <w:r w:rsidR="00F40FF7" w:rsidRPr="00417F06">
        <w:rPr>
          <w:sz w:val="22"/>
          <w:szCs w:val="22"/>
          <w:lang w:val="en-GB"/>
        </w:rPr>
        <w:t xml:space="preserve">subparagraphs </w:t>
      </w:r>
      <w:r w:rsidRPr="00417F06">
        <w:rPr>
          <w:sz w:val="22"/>
          <w:szCs w:val="22"/>
          <w:lang w:val="en-GB"/>
        </w:rPr>
        <w:t xml:space="preserve">(b) </w:t>
      </w:r>
      <w:r w:rsidRPr="00417F06">
        <w:rPr>
          <w:color w:val="000000" w:themeColor="text1"/>
          <w:sz w:val="22"/>
          <w:szCs w:val="22"/>
          <w:lang w:val="en-GB"/>
        </w:rPr>
        <w:t xml:space="preserve">or (d) </w:t>
      </w:r>
      <w:r w:rsidRPr="00417F06">
        <w:rPr>
          <w:sz w:val="22"/>
          <w:szCs w:val="22"/>
          <w:lang w:val="en-GB"/>
        </w:rPr>
        <w:t>are present</w:t>
      </w:r>
      <w:r w:rsidR="00DB513A" w:rsidRPr="00417F06">
        <w:rPr>
          <w:sz w:val="22"/>
          <w:szCs w:val="22"/>
          <w:lang w:val="en-GB"/>
        </w:rPr>
        <w:t>.</w:t>
      </w:r>
    </w:p>
    <w:p w14:paraId="47BC22E6" w14:textId="77777777" w:rsidR="00DB513A" w:rsidRPr="00417F06" w:rsidRDefault="00DB513A" w:rsidP="00C84343">
      <w:pPr>
        <w:spacing w:line="276" w:lineRule="auto"/>
        <w:jc w:val="both"/>
        <w:rPr>
          <w:sz w:val="22"/>
          <w:szCs w:val="22"/>
          <w:lang w:val="en-GB"/>
        </w:rPr>
      </w:pPr>
    </w:p>
    <w:p w14:paraId="1793B583" w14:textId="77777777" w:rsidR="00DB513A" w:rsidRPr="00417F06" w:rsidRDefault="00DB513A" w:rsidP="00C84343">
      <w:pPr>
        <w:spacing w:line="276" w:lineRule="auto"/>
        <w:jc w:val="both"/>
        <w:rPr>
          <w:sz w:val="22"/>
          <w:szCs w:val="22"/>
          <w:lang w:val="en-GB"/>
        </w:rPr>
      </w:pPr>
      <w:r w:rsidRPr="00417F06">
        <w:rPr>
          <w:sz w:val="22"/>
          <w:szCs w:val="22"/>
          <w:lang w:val="en-GB"/>
        </w:rPr>
        <w:t xml:space="preserve">Broader guidance on reducing damage to crops and fisheries (including potential solutions which do not involve deviating from paragraphs 2.1.1 and 2.1.2 of the AEWA Action Plan) is provided in the </w:t>
      </w:r>
      <w:hyperlink r:id="rId20" w:history="1">
        <w:r w:rsidRPr="00417F06">
          <w:rPr>
            <w:rStyle w:val="Hyperlink"/>
            <w:i/>
            <w:sz w:val="22"/>
            <w:szCs w:val="22"/>
            <w:lang w:val="en-GB"/>
          </w:rPr>
          <w:t xml:space="preserve">AEWA Guidelines on reducing crop damage, damage to fisheries, bird strikes and other forms of conflict between </w:t>
        </w:r>
        <w:proofErr w:type="spellStart"/>
        <w:r w:rsidRPr="00417F06">
          <w:rPr>
            <w:rStyle w:val="Hyperlink"/>
            <w:i/>
            <w:sz w:val="22"/>
            <w:szCs w:val="22"/>
            <w:lang w:val="en-GB"/>
          </w:rPr>
          <w:t>waterbirds</w:t>
        </w:r>
        <w:proofErr w:type="spellEnd"/>
        <w:r w:rsidRPr="00417F06">
          <w:rPr>
            <w:rStyle w:val="Hyperlink"/>
            <w:i/>
            <w:sz w:val="22"/>
            <w:szCs w:val="22"/>
            <w:lang w:val="en-GB"/>
          </w:rPr>
          <w:t xml:space="preserve"> and human activities</w:t>
        </w:r>
      </w:hyperlink>
      <w:r w:rsidRPr="00417F06">
        <w:rPr>
          <w:i/>
          <w:sz w:val="22"/>
          <w:szCs w:val="22"/>
          <w:lang w:val="en-GB"/>
        </w:rPr>
        <w:t>.</w:t>
      </w:r>
    </w:p>
    <w:p w14:paraId="18A721E8" w14:textId="77777777" w:rsidR="00036E5B" w:rsidRPr="00417F06" w:rsidRDefault="00036E5B" w:rsidP="00C84343">
      <w:pPr>
        <w:spacing w:line="276" w:lineRule="auto"/>
        <w:jc w:val="both"/>
        <w:rPr>
          <w:sz w:val="22"/>
          <w:szCs w:val="22"/>
          <w:lang w:val="en-GB"/>
        </w:rPr>
      </w:pPr>
    </w:p>
    <w:p w14:paraId="5ECC876A" w14:textId="77777777" w:rsidR="00946918" w:rsidRPr="00417F06" w:rsidRDefault="001616F7"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 xml:space="preserve">Air safety, public health and public safety, and other imperative </w:t>
      </w:r>
      <w:r w:rsidR="00981EBB" w:rsidRPr="00417F06">
        <w:rPr>
          <w:rFonts w:ascii="Times New Roman" w:hAnsi="Times New Roman" w:cs="Times New Roman"/>
          <w:b/>
          <w:i/>
          <w:sz w:val="22"/>
          <w:szCs w:val="22"/>
          <w:lang w:val="en-GB"/>
        </w:rPr>
        <w:t>reasons of overriding public interest</w:t>
      </w:r>
      <w:r w:rsidR="004F6BBF" w:rsidRPr="00417F06">
        <w:rPr>
          <w:rFonts w:ascii="Times New Roman" w:hAnsi="Times New Roman" w:cs="Times New Roman"/>
          <w:b/>
          <w:i/>
          <w:sz w:val="22"/>
          <w:szCs w:val="22"/>
          <w:lang w:val="en-GB"/>
        </w:rPr>
        <w:t>, including those of a social or economic nature and beneficial consequences of primary importance to the environment</w:t>
      </w:r>
    </w:p>
    <w:p w14:paraId="6773C7F2" w14:textId="77777777" w:rsidR="00946918" w:rsidRPr="00417F06" w:rsidRDefault="00946918" w:rsidP="00C84343">
      <w:pPr>
        <w:pStyle w:val="ListParagraph"/>
        <w:spacing w:line="276" w:lineRule="auto"/>
        <w:jc w:val="both"/>
        <w:rPr>
          <w:rFonts w:ascii="Times New Roman" w:hAnsi="Times New Roman" w:cs="Times New Roman"/>
          <w:sz w:val="22"/>
          <w:szCs w:val="22"/>
          <w:lang w:val="en-GB"/>
        </w:rPr>
      </w:pPr>
    </w:p>
    <w:p w14:paraId="5FCA71F8" w14:textId="77777777" w:rsidR="00B53ECA" w:rsidRPr="00417F06" w:rsidRDefault="00B5776E" w:rsidP="00C84343">
      <w:pPr>
        <w:spacing w:line="276" w:lineRule="auto"/>
        <w:jc w:val="both"/>
        <w:rPr>
          <w:sz w:val="22"/>
          <w:szCs w:val="22"/>
          <w:lang w:val="en-GB"/>
        </w:rPr>
      </w:pPr>
      <w:r w:rsidRPr="00417F06">
        <w:rPr>
          <w:sz w:val="22"/>
          <w:szCs w:val="22"/>
          <w:lang w:val="en-GB"/>
        </w:rPr>
        <w:t xml:space="preserve">This ground for exemption may be relied upon if the presence of birds </w:t>
      </w:r>
      <w:r w:rsidR="005B06CC" w:rsidRPr="00417F06">
        <w:rPr>
          <w:sz w:val="22"/>
          <w:szCs w:val="22"/>
          <w:lang w:val="en-GB"/>
        </w:rPr>
        <w:t xml:space="preserve">causes a demonstrable risk to human health or increases the risk of accidents. </w:t>
      </w:r>
      <w:r w:rsidR="00B53ECA" w:rsidRPr="00417F06">
        <w:rPr>
          <w:sz w:val="22"/>
          <w:szCs w:val="22"/>
          <w:lang w:val="en-GB"/>
        </w:rPr>
        <w:t xml:space="preserve">Broader guidance on reducing bird strikes is provided in the </w:t>
      </w:r>
      <w:hyperlink r:id="rId21" w:history="1">
        <w:r w:rsidR="00B53ECA" w:rsidRPr="00417F06">
          <w:rPr>
            <w:rStyle w:val="Hyperlink"/>
            <w:i/>
            <w:sz w:val="22"/>
            <w:szCs w:val="22"/>
            <w:lang w:val="en-GB"/>
          </w:rPr>
          <w:t xml:space="preserve">AEWA Guidelines on reducing crop damage, damage to fisheries, bird strikes and other forms of conflict between </w:t>
        </w:r>
        <w:proofErr w:type="spellStart"/>
        <w:r w:rsidR="00B53ECA" w:rsidRPr="00417F06">
          <w:rPr>
            <w:rStyle w:val="Hyperlink"/>
            <w:i/>
            <w:sz w:val="22"/>
            <w:szCs w:val="22"/>
            <w:lang w:val="en-GB"/>
          </w:rPr>
          <w:t>waterbirds</w:t>
        </w:r>
        <w:proofErr w:type="spellEnd"/>
        <w:r w:rsidR="00B53ECA" w:rsidRPr="00417F06">
          <w:rPr>
            <w:rStyle w:val="Hyperlink"/>
            <w:i/>
            <w:sz w:val="22"/>
            <w:szCs w:val="22"/>
            <w:lang w:val="en-GB"/>
          </w:rPr>
          <w:t xml:space="preserve"> and human activities</w:t>
        </w:r>
      </w:hyperlink>
      <w:r w:rsidR="00B53ECA" w:rsidRPr="00417F06">
        <w:rPr>
          <w:i/>
          <w:sz w:val="22"/>
          <w:szCs w:val="22"/>
          <w:lang w:val="en-GB"/>
        </w:rPr>
        <w:t>.</w:t>
      </w:r>
    </w:p>
    <w:p w14:paraId="748315E0" w14:textId="77777777" w:rsidR="00B53ECA" w:rsidRPr="00417F06" w:rsidRDefault="00B53ECA" w:rsidP="00C84343">
      <w:pPr>
        <w:spacing w:line="276" w:lineRule="auto"/>
        <w:jc w:val="both"/>
        <w:rPr>
          <w:sz w:val="22"/>
          <w:szCs w:val="22"/>
          <w:lang w:val="en-GB"/>
        </w:rPr>
      </w:pPr>
    </w:p>
    <w:p w14:paraId="63EB29F5" w14:textId="77777777" w:rsidR="00B53ECA" w:rsidRPr="00417F06" w:rsidRDefault="00B53ECA" w:rsidP="00C84343">
      <w:pPr>
        <w:spacing w:line="276" w:lineRule="auto"/>
        <w:jc w:val="both"/>
        <w:rPr>
          <w:sz w:val="22"/>
          <w:szCs w:val="22"/>
          <w:lang w:val="en-GB"/>
        </w:rPr>
      </w:pPr>
      <w:r w:rsidRPr="00417F06">
        <w:rPr>
          <w:sz w:val="22"/>
          <w:szCs w:val="22"/>
          <w:lang w:val="en-GB"/>
        </w:rPr>
        <w:t>O</w:t>
      </w:r>
      <w:r w:rsidR="001616F7" w:rsidRPr="00417F06">
        <w:rPr>
          <w:sz w:val="22"/>
          <w:szCs w:val="22"/>
          <w:lang w:val="en-GB"/>
        </w:rPr>
        <w:t xml:space="preserve">ther </w:t>
      </w:r>
      <w:r w:rsidR="00981EBB" w:rsidRPr="00417F06">
        <w:rPr>
          <w:sz w:val="22"/>
          <w:szCs w:val="22"/>
          <w:lang w:val="en-GB"/>
        </w:rPr>
        <w:t>kinds of interests upon which Contracting Parties may rely to justify an exemption for overriding public interests include</w:t>
      </w:r>
      <w:r w:rsidRPr="00417F06">
        <w:rPr>
          <w:sz w:val="22"/>
          <w:szCs w:val="22"/>
          <w:lang w:val="en-GB"/>
        </w:rPr>
        <w:t>:</w:t>
      </w:r>
    </w:p>
    <w:p w14:paraId="4FB5984F" w14:textId="77777777" w:rsidR="00B53ECA" w:rsidRPr="00417F06" w:rsidRDefault="00B53ECA" w:rsidP="00C84343">
      <w:pPr>
        <w:spacing w:line="276" w:lineRule="auto"/>
        <w:jc w:val="both"/>
        <w:rPr>
          <w:sz w:val="22"/>
          <w:szCs w:val="22"/>
          <w:lang w:val="en-GB"/>
        </w:rPr>
      </w:pPr>
    </w:p>
    <w:p w14:paraId="04A0F5A8"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social interests;</w:t>
      </w:r>
      <w:r w:rsidR="00981EBB" w:rsidRPr="00417F06">
        <w:rPr>
          <w:rFonts w:ascii="Times New Roman" w:hAnsi="Times New Roman" w:cs="Times New Roman"/>
          <w:sz w:val="22"/>
          <w:szCs w:val="22"/>
          <w:lang w:val="en-GB"/>
        </w:rPr>
        <w:t xml:space="preserve"> </w:t>
      </w:r>
    </w:p>
    <w:p w14:paraId="2DFCD12D" w14:textId="77777777" w:rsidR="00B53ECA" w:rsidRPr="00417F06" w:rsidRDefault="00981EBB"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economic interests</w:t>
      </w:r>
      <w:r w:rsidR="00B53ECA" w:rsidRPr="00417F06">
        <w:rPr>
          <w:rFonts w:ascii="Times New Roman" w:hAnsi="Times New Roman" w:cs="Times New Roman"/>
          <w:sz w:val="22"/>
          <w:szCs w:val="22"/>
          <w:lang w:val="en-GB"/>
        </w:rPr>
        <w:t>; and</w:t>
      </w:r>
    </w:p>
    <w:p w14:paraId="56F16617"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81EBB" w:rsidRPr="00417F06">
        <w:rPr>
          <w:rFonts w:ascii="Times New Roman" w:hAnsi="Times New Roman" w:cs="Times New Roman"/>
          <w:sz w:val="22"/>
          <w:szCs w:val="22"/>
          <w:lang w:val="en-GB"/>
        </w:rPr>
        <w:t xml:space="preserve">environmental protection. </w:t>
      </w:r>
    </w:p>
    <w:p w14:paraId="05E669C9" w14:textId="77777777" w:rsidR="00B53ECA" w:rsidRPr="00417F06" w:rsidRDefault="00B53ECA" w:rsidP="00C84343">
      <w:pPr>
        <w:spacing w:line="276" w:lineRule="auto"/>
        <w:jc w:val="both"/>
        <w:rPr>
          <w:sz w:val="22"/>
          <w:szCs w:val="22"/>
          <w:lang w:val="en-GB"/>
        </w:rPr>
      </w:pPr>
    </w:p>
    <w:p w14:paraId="7374E6EF" w14:textId="7D7A9A26" w:rsidR="00981EBB" w:rsidRDefault="00B53ECA" w:rsidP="00C84343">
      <w:pPr>
        <w:spacing w:line="276" w:lineRule="auto"/>
        <w:jc w:val="both"/>
        <w:rPr>
          <w:sz w:val="22"/>
          <w:szCs w:val="22"/>
          <w:lang w:val="en-GB"/>
        </w:rPr>
      </w:pPr>
      <w:r w:rsidRPr="00417F06">
        <w:rPr>
          <w:sz w:val="22"/>
          <w:szCs w:val="22"/>
          <w:lang w:val="en-GB"/>
        </w:rPr>
        <w:t>However, t</w:t>
      </w:r>
      <w:r w:rsidR="00981EBB" w:rsidRPr="00417F06">
        <w:rPr>
          <w:sz w:val="22"/>
          <w:szCs w:val="22"/>
          <w:lang w:val="en-GB"/>
        </w:rPr>
        <w:t xml:space="preserve">his list is not exhaustive. </w:t>
      </w:r>
    </w:p>
    <w:p w14:paraId="63789F70" w14:textId="77777777" w:rsidR="009B2D1F" w:rsidRPr="00417F06" w:rsidRDefault="009B2D1F" w:rsidP="00C84343">
      <w:pPr>
        <w:spacing w:line="276" w:lineRule="auto"/>
        <w:jc w:val="both"/>
        <w:rPr>
          <w:sz w:val="22"/>
          <w:szCs w:val="22"/>
          <w:lang w:val="en-GB"/>
        </w:rPr>
      </w:pPr>
    </w:p>
    <w:p w14:paraId="66CC5163" w14:textId="77777777" w:rsidR="00184FA5" w:rsidRPr="00417F06" w:rsidRDefault="00184FA5" w:rsidP="00C84343">
      <w:pPr>
        <w:spacing w:line="276" w:lineRule="auto"/>
        <w:jc w:val="both"/>
        <w:rPr>
          <w:sz w:val="22"/>
          <w:szCs w:val="22"/>
          <w:lang w:val="en-GB"/>
        </w:rPr>
      </w:pPr>
      <w:r w:rsidRPr="00417F06">
        <w:rPr>
          <w:sz w:val="22"/>
          <w:szCs w:val="22"/>
          <w:lang w:val="en-GB"/>
        </w:rPr>
        <w:t xml:space="preserve">The interests concerned must be public interests, as opposed to the private interests of particular companies or individuals. </w:t>
      </w:r>
    </w:p>
    <w:p w14:paraId="475B38D4" w14:textId="77777777" w:rsidR="00981EBB" w:rsidRPr="00417F06" w:rsidRDefault="00981EBB" w:rsidP="00C84343">
      <w:pPr>
        <w:spacing w:line="276" w:lineRule="auto"/>
        <w:jc w:val="both"/>
        <w:rPr>
          <w:sz w:val="22"/>
          <w:szCs w:val="22"/>
          <w:lang w:val="en-GB"/>
        </w:rPr>
      </w:pPr>
    </w:p>
    <w:p w14:paraId="119FEC25" w14:textId="5E23D85D" w:rsidR="00D87522" w:rsidRPr="00417F06" w:rsidRDefault="003A7468" w:rsidP="00C84343">
      <w:pPr>
        <w:spacing w:line="276" w:lineRule="auto"/>
        <w:jc w:val="both"/>
        <w:rPr>
          <w:color w:val="000000" w:themeColor="text1"/>
          <w:sz w:val="22"/>
          <w:szCs w:val="22"/>
          <w:lang w:val="en-GB"/>
        </w:rPr>
      </w:pPr>
      <w:r w:rsidRPr="00417F06">
        <w:rPr>
          <w:sz w:val="22"/>
          <w:szCs w:val="22"/>
          <w:lang w:val="en-GB"/>
        </w:rPr>
        <w:t xml:space="preserve">Not every public interest (even if it is of a social, economic, or environmental nature) will necessarily </w:t>
      </w:r>
      <w:r w:rsidR="00014DEF" w:rsidRPr="00417F06">
        <w:rPr>
          <w:sz w:val="22"/>
          <w:szCs w:val="22"/>
          <w:lang w:val="en-GB"/>
        </w:rPr>
        <w:t xml:space="preserve">qualify as a ground for exemption. To do so, an interest must be </w:t>
      </w:r>
      <w:r w:rsidR="008E2E41" w:rsidRPr="00417F06">
        <w:rPr>
          <w:color w:val="000000" w:themeColor="text1"/>
          <w:sz w:val="22"/>
          <w:szCs w:val="22"/>
          <w:lang w:val="en-GB"/>
        </w:rPr>
        <w:t xml:space="preserve">imperative and </w:t>
      </w:r>
      <w:r w:rsidR="00981EBB" w:rsidRPr="00417F06">
        <w:rPr>
          <w:sz w:val="22"/>
          <w:szCs w:val="22"/>
          <w:lang w:val="en-GB"/>
        </w:rPr>
        <w:t xml:space="preserve">overriding </w:t>
      </w:r>
      <w:r w:rsidR="00C443CB" w:rsidRPr="00417F06">
        <w:rPr>
          <w:sz w:val="22"/>
          <w:szCs w:val="22"/>
          <w:lang w:val="en-GB"/>
        </w:rPr>
        <w:t>in nature. The interest</w:t>
      </w:r>
      <w:r w:rsidR="00981EBB" w:rsidRPr="00417F06">
        <w:rPr>
          <w:sz w:val="22"/>
          <w:szCs w:val="22"/>
          <w:lang w:val="en-GB"/>
        </w:rPr>
        <w:t xml:space="preserve"> </w:t>
      </w:r>
      <w:r w:rsidR="00014DEF" w:rsidRPr="00417F06">
        <w:rPr>
          <w:sz w:val="22"/>
          <w:szCs w:val="22"/>
          <w:lang w:val="en-GB"/>
        </w:rPr>
        <w:t xml:space="preserve">must </w:t>
      </w:r>
      <w:r w:rsidR="00B53ECA" w:rsidRPr="00417F06">
        <w:rPr>
          <w:sz w:val="22"/>
          <w:szCs w:val="22"/>
          <w:lang w:val="en-GB"/>
        </w:rPr>
        <w:t xml:space="preserve">therefore </w:t>
      </w:r>
      <w:r w:rsidR="00981EBB" w:rsidRPr="00417F06">
        <w:rPr>
          <w:sz w:val="22"/>
          <w:szCs w:val="22"/>
          <w:lang w:val="en-GB"/>
        </w:rPr>
        <w:t>be carefully balanced against the conservation interests protected by AEWA</w:t>
      </w:r>
      <w:r w:rsidR="00981EBB" w:rsidRPr="00417F06">
        <w:rPr>
          <w:color w:val="000000" w:themeColor="text1"/>
          <w:sz w:val="22"/>
          <w:szCs w:val="22"/>
          <w:lang w:val="en-GB"/>
        </w:rPr>
        <w:t xml:space="preserve">. </w:t>
      </w:r>
      <w:r w:rsidR="001F4190" w:rsidRPr="00417F06">
        <w:rPr>
          <w:color w:val="000000" w:themeColor="text1"/>
          <w:sz w:val="22"/>
          <w:szCs w:val="22"/>
          <w:lang w:val="en-GB"/>
        </w:rPr>
        <w:t xml:space="preserve">For instance, for this exemption to be relied upon with the purpose of protecting </w:t>
      </w:r>
      <w:r w:rsidR="005104BC" w:rsidRPr="00417F06">
        <w:rPr>
          <w:color w:val="000000" w:themeColor="text1"/>
          <w:sz w:val="22"/>
          <w:szCs w:val="22"/>
          <w:lang w:val="en-GB"/>
        </w:rPr>
        <w:t xml:space="preserve">other </w:t>
      </w:r>
      <w:r w:rsidR="001F4190" w:rsidRPr="00417F06">
        <w:rPr>
          <w:color w:val="000000" w:themeColor="text1"/>
          <w:sz w:val="22"/>
          <w:szCs w:val="22"/>
          <w:lang w:val="en-GB"/>
        </w:rPr>
        <w:t xml:space="preserve">fauna and flora, the species </w:t>
      </w:r>
      <w:r w:rsidR="000F5ECB" w:rsidRPr="00970D05">
        <w:rPr>
          <w:color w:val="000000" w:themeColor="text1"/>
          <w:sz w:val="22"/>
          <w:szCs w:val="22"/>
          <w:u w:val="single"/>
          <w:lang w:val="en-GB"/>
        </w:rPr>
        <w:t>being protected</w:t>
      </w:r>
      <w:r w:rsidR="000F5ECB">
        <w:rPr>
          <w:color w:val="000000" w:themeColor="text1"/>
          <w:sz w:val="22"/>
          <w:szCs w:val="22"/>
          <w:lang w:val="en-GB"/>
        </w:rPr>
        <w:t xml:space="preserve"> should have a higher conservation priority than the </w:t>
      </w:r>
      <w:r w:rsidR="001D6F35" w:rsidRPr="001D6F35">
        <w:rPr>
          <w:color w:val="000000" w:themeColor="text1"/>
          <w:sz w:val="22"/>
          <w:szCs w:val="22"/>
          <w:lang w:val="en-GB"/>
        </w:rPr>
        <w:t>AEWA-listed population</w:t>
      </w:r>
      <w:r w:rsidR="00A71B86">
        <w:rPr>
          <w:color w:val="000000" w:themeColor="text1"/>
          <w:sz w:val="22"/>
          <w:szCs w:val="22"/>
          <w:lang w:val="en-GB"/>
        </w:rPr>
        <w:t>,</w:t>
      </w:r>
      <w:r w:rsidR="000F5ECB">
        <w:rPr>
          <w:color w:val="000000" w:themeColor="text1"/>
          <w:sz w:val="22"/>
          <w:szCs w:val="22"/>
          <w:lang w:val="en-GB"/>
        </w:rPr>
        <w:t xml:space="preserve"> in respect of which the exemption is granted</w:t>
      </w:r>
      <w:r w:rsidR="004F6BBF" w:rsidRPr="00417F06">
        <w:rPr>
          <w:color w:val="000000" w:themeColor="text1"/>
          <w:sz w:val="22"/>
          <w:szCs w:val="22"/>
          <w:lang w:val="en-GB"/>
        </w:rPr>
        <w:t xml:space="preserve">. </w:t>
      </w:r>
    </w:p>
    <w:p w14:paraId="3F32F3B9" w14:textId="77777777" w:rsidR="00D87522" w:rsidRPr="00417F06" w:rsidRDefault="00D87522" w:rsidP="00C84343">
      <w:pPr>
        <w:spacing w:line="276" w:lineRule="auto"/>
        <w:jc w:val="both"/>
        <w:rPr>
          <w:color w:val="000000" w:themeColor="text1"/>
          <w:sz w:val="22"/>
          <w:szCs w:val="22"/>
          <w:lang w:val="en-GB"/>
        </w:rPr>
      </w:pPr>
    </w:p>
    <w:p w14:paraId="20BCE776" w14:textId="1E968A1E" w:rsidR="00981EBB" w:rsidRPr="00417F06" w:rsidRDefault="00C443CB" w:rsidP="00C84343">
      <w:pPr>
        <w:spacing w:line="276" w:lineRule="auto"/>
        <w:jc w:val="both"/>
        <w:rPr>
          <w:color w:val="000000" w:themeColor="text1"/>
          <w:sz w:val="22"/>
          <w:szCs w:val="22"/>
        </w:rPr>
      </w:pPr>
      <w:r w:rsidRPr="00417F06">
        <w:rPr>
          <w:color w:val="000000" w:themeColor="text1"/>
          <w:sz w:val="22"/>
          <w:szCs w:val="22"/>
          <w:lang w:val="en-GB"/>
        </w:rPr>
        <w:t>In most instances, a</w:t>
      </w:r>
      <w:r w:rsidR="00DD69BA" w:rsidRPr="00417F06">
        <w:rPr>
          <w:color w:val="000000" w:themeColor="text1"/>
          <w:sz w:val="22"/>
          <w:szCs w:val="22"/>
          <w:lang w:val="en-GB"/>
        </w:rPr>
        <w:t xml:space="preserve"> public</w:t>
      </w:r>
      <w:r w:rsidRPr="00417F06">
        <w:rPr>
          <w:color w:val="000000" w:themeColor="text1"/>
          <w:sz w:val="22"/>
          <w:szCs w:val="22"/>
          <w:lang w:val="en-GB"/>
        </w:rPr>
        <w:t xml:space="preserve"> interest should only be considered overriding if it is </w:t>
      </w:r>
      <w:r w:rsidR="00DD69BA" w:rsidRPr="00417F06">
        <w:rPr>
          <w:color w:val="000000" w:themeColor="text1"/>
          <w:sz w:val="22"/>
          <w:szCs w:val="22"/>
          <w:lang w:val="en-GB"/>
        </w:rPr>
        <w:t xml:space="preserve">a </w:t>
      </w:r>
      <w:r w:rsidRPr="00417F06">
        <w:rPr>
          <w:color w:val="000000" w:themeColor="text1"/>
          <w:sz w:val="22"/>
          <w:szCs w:val="22"/>
          <w:lang w:val="en-GB"/>
        </w:rPr>
        <w:t>long-term</w:t>
      </w:r>
      <w:r w:rsidR="00DD69BA" w:rsidRPr="00417F06">
        <w:rPr>
          <w:color w:val="000000" w:themeColor="text1"/>
          <w:sz w:val="22"/>
          <w:szCs w:val="22"/>
          <w:lang w:val="en-GB"/>
        </w:rPr>
        <w:t xml:space="preserve"> interest</w:t>
      </w:r>
      <w:r w:rsidRPr="00417F06">
        <w:rPr>
          <w:color w:val="000000" w:themeColor="text1"/>
          <w:sz w:val="22"/>
          <w:szCs w:val="22"/>
          <w:lang w:val="en-GB"/>
        </w:rPr>
        <w:t xml:space="preserve">. </w:t>
      </w:r>
      <w:r w:rsidR="001A7897" w:rsidRPr="00417F06">
        <w:rPr>
          <w:color w:val="000000" w:themeColor="text1"/>
          <w:sz w:val="22"/>
          <w:szCs w:val="22"/>
          <w:lang w:val="en-GB"/>
        </w:rPr>
        <w:t>Further, since all of the grounds for exemption identified in paragraph 2.1.3 are</w:t>
      </w:r>
      <w:r w:rsidR="00981EBB" w:rsidRPr="00417F06">
        <w:rPr>
          <w:color w:val="000000" w:themeColor="text1"/>
          <w:sz w:val="22"/>
          <w:szCs w:val="22"/>
          <w:lang w:val="en-GB"/>
        </w:rPr>
        <w:t xml:space="preserve"> qualified by the requirement that they </w:t>
      </w:r>
      <w:r w:rsidR="009B2D1F">
        <w:rPr>
          <w:color w:val="000000" w:themeColor="text1"/>
          <w:sz w:val="22"/>
          <w:szCs w:val="22"/>
          <w:lang w:val="en-GB"/>
        </w:rPr>
        <w:t xml:space="preserve">do </w:t>
      </w:r>
      <w:r w:rsidR="00981EBB" w:rsidRPr="00417F06">
        <w:rPr>
          <w:color w:val="000000" w:themeColor="text1"/>
          <w:sz w:val="22"/>
          <w:szCs w:val="22"/>
          <w:lang w:val="en-GB"/>
        </w:rPr>
        <w:t xml:space="preserve">not operate to the detriment of Table 1 populations, </w:t>
      </w:r>
      <w:r w:rsidR="001A7897" w:rsidRPr="00417F06">
        <w:rPr>
          <w:color w:val="000000" w:themeColor="text1"/>
          <w:sz w:val="22"/>
          <w:szCs w:val="22"/>
          <w:lang w:val="en-GB"/>
        </w:rPr>
        <w:t>it is not</w:t>
      </w:r>
      <w:r w:rsidR="00981EBB" w:rsidRPr="00417F06">
        <w:rPr>
          <w:color w:val="000000" w:themeColor="text1"/>
          <w:sz w:val="22"/>
          <w:szCs w:val="22"/>
          <w:lang w:val="en-GB"/>
        </w:rPr>
        <w:t xml:space="preserve"> permissible for </w:t>
      </w:r>
      <w:r w:rsidR="001A7897" w:rsidRPr="00417F06">
        <w:rPr>
          <w:color w:val="000000" w:themeColor="text1"/>
          <w:sz w:val="22"/>
          <w:szCs w:val="22"/>
          <w:lang w:val="en-GB"/>
        </w:rPr>
        <w:t>public interests to entirely</w:t>
      </w:r>
      <w:r w:rsidR="00981EBB" w:rsidRPr="00417F06">
        <w:rPr>
          <w:color w:val="000000" w:themeColor="text1"/>
          <w:sz w:val="22"/>
          <w:szCs w:val="22"/>
          <w:lang w:val="en-GB"/>
        </w:rPr>
        <w:t xml:space="preserve"> outweigh conservation concerns.</w:t>
      </w:r>
    </w:p>
    <w:p w14:paraId="0A0858E3" w14:textId="77777777" w:rsidR="00981EBB" w:rsidRPr="00417F06" w:rsidRDefault="00981EBB" w:rsidP="00C84343">
      <w:pPr>
        <w:pStyle w:val="ListParagraph"/>
        <w:spacing w:line="276" w:lineRule="auto"/>
        <w:jc w:val="both"/>
        <w:rPr>
          <w:rFonts w:ascii="Times New Roman" w:hAnsi="Times New Roman" w:cs="Times New Roman"/>
          <w:sz w:val="22"/>
          <w:szCs w:val="22"/>
          <w:lang w:val="en-GB"/>
        </w:rPr>
      </w:pPr>
    </w:p>
    <w:p w14:paraId="7D46A6B9" w14:textId="77777777" w:rsidR="00B53ECA"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Research and education, re-establishment, and the breeding necessary for these purposes</w:t>
      </w:r>
    </w:p>
    <w:p w14:paraId="1A76F222"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6033BD9E" w14:textId="77777777" w:rsidR="00D84840" w:rsidRPr="00417F06" w:rsidRDefault="005B1161" w:rsidP="00C84343">
      <w:pPr>
        <w:spacing w:line="276" w:lineRule="auto"/>
        <w:jc w:val="both"/>
        <w:rPr>
          <w:sz w:val="22"/>
          <w:szCs w:val="22"/>
          <w:lang w:val="en-GB"/>
        </w:rPr>
      </w:pPr>
      <w:r w:rsidRPr="00417F06">
        <w:rPr>
          <w:sz w:val="22"/>
          <w:szCs w:val="22"/>
          <w:lang w:val="en-GB"/>
        </w:rPr>
        <w:t xml:space="preserve">This would, for example, cover the </w:t>
      </w:r>
      <w:r w:rsidR="00056D04" w:rsidRPr="00417F06">
        <w:rPr>
          <w:sz w:val="22"/>
          <w:szCs w:val="22"/>
          <w:lang w:val="en-GB"/>
        </w:rPr>
        <w:t>ringing</w:t>
      </w:r>
      <w:r w:rsidRPr="00417F06">
        <w:rPr>
          <w:sz w:val="22"/>
          <w:szCs w:val="22"/>
          <w:lang w:val="en-GB"/>
        </w:rPr>
        <w:t xml:space="preserve"> of individual birds for research purposes</w:t>
      </w:r>
      <w:r w:rsidR="0065481F" w:rsidRPr="00417F06">
        <w:rPr>
          <w:sz w:val="22"/>
          <w:szCs w:val="22"/>
          <w:lang w:val="en-GB"/>
        </w:rPr>
        <w:t xml:space="preserve">. </w:t>
      </w:r>
    </w:p>
    <w:p w14:paraId="3BFE4A3D" w14:textId="77777777" w:rsidR="00D84840" w:rsidRPr="00417F06" w:rsidRDefault="00D84840" w:rsidP="00C84343">
      <w:pPr>
        <w:spacing w:line="276" w:lineRule="auto"/>
        <w:jc w:val="both"/>
        <w:rPr>
          <w:sz w:val="22"/>
          <w:szCs w:val="22"/>
          <w:lang w:val="en-GB"/>
        </w:rPr>
      </w:pPr>
    </w:p>
    <w:p w14:paraId="2572D8F5" w14:textId="46C7FDB1" w:rsidR="00D84840" w:rsidRPr="00417F06" w:rsidRDefault="00D84840" w:rsidP="00C84343">
      <w:pPr>
        <w:spacing w:line="276" w:lineRule="auto"/>
        <w:jc w:val="both"/>
        <w:rPr>
          <w:sz w:val="22"/>
          <w:szCs w:val="22"/>
          <w:lang w:val="en-GB"/>
        </w:rPr>
      </w:pPr>
      <w:r w:rsidRPr="00417F06">
        <w:rPr>
          <w:sz w:val="22"/>
          <w:szCs w:val="22"/>
          <w:lang w:val="en-GB"/>
        </w:rPr>
        <w:lastRenderedPageBreak/>
        <w:t>Contracting Parties grant</w:t>
      </w:r>
      <w:r w:rsidR="00507954" w:rsidRPr="00417F06">
        <w:rPr>
          <w:sz w:val="22"/>
          <w:szCs w:val="22"/>
          <w:lang w:val="en-GB"/>
        </w:rPr>
        <w:t>ing</w:t>
      </w:r>
      <w:r w:rsidRPr="00417F06">
        <w:rPr>
          <w:sz w:val="22"/>
          <w:szCs w:val="22"/>
          <w:lang w:val="en-GB"/>
        </w:rPr>
        <w:t xml:space="preserve"> exemptions in order to re-establish Table 1 populations into parts of their range where they no longer exist should also </w:t>
      </w:r>
      <w:r w:rsidR="00507954" w:rsidRPr="00417F06">
        <w:rPr>
          <w:sz w:val="22"/>
          <w:szCs w:val="22"/>
          <w:lang w:val="en-GB"/>
        </w:rPr>
        <w:t>consider paragraph 2.4 of the AEWA Action Plan (requiring that such Parties endeavo</w:t>
      </w:r>
      <w:r w:rsidR="00E17FBA" w:rsidRPr="00417F06">
        <w:rPr>
          <w:sz w:val="22"/>
          <w:szCs w:val="22"/>
          <w:lang w:val="en-GB"/>
        </w:rPr>
        <w:t>u</w:t>
      </w:r>
      <w:r w:rsidR="00507954" w:rsidRPr="00417F06">
        <w:rPr>
          <w:sz w:val="22"/>
          <w:szCs w:val="22"/>
          <w:lang w:val="en-GB"/>
        </w:rPr>
        <w:t xml:space="preserve">r to develop and follow a detailed re-establishment plan and inform the </w:t>
      </w:r>
      <w:r w:rsidR="009B2D1F">
        <w:rPr>
          <w:sz w:val="22"/>
          <w:szCs w:val="22"/>
          <w:lang w:val="en-GB"/>
        </w:rPr>
        <w:t>UNEP/</w:t>
      </w:r>
      <w:r w:rsidR="00507954" w:rsidRPr="00417F06">
        <w:rPr>
          <w:sz w:val="22"/>
          <w:szCs w:val="22"/>
          <w:lang w:val="en-GB"/>
        </w:rPr>
        <w:t>AEWA Secretariat, in advance, of all re-establishment programmes). Broader guidance on re-establishments and other forms of translocation for conservation purposes is provided in</w:t>
      </w:r>
      <w:r w:rsidR="0082105A" w:rsidRPr="00417F06">
        <w:rPr>
          <w:sz w:val="22"/>
          <w:szCs w:val="22"/>
          <w:lang w:val="en-GB"/>
        </w:rPr>
        <w:t xml:space="preserve"> the</w:t>
      </w:r>
      <w:r w:rsidR="00507954" w:rsidRPr="00417F06">
        <w:rPr>
          <w:sz w:val="22"/>
          <w:szCs w:val="22"/>
          <w:lang w:val="en-GB"/>
        </w:rPr>
        <w:t xml:space="preserve"> </w:t>
      </w:r>
      <w:hyperlink r:id="rId22" w:history="1">
        <w:r w:rsidR="00507954" w:rsidRPr="00417F06">
          <w:rPr>
            <w:rStyle w:val="Hyperlink"/>
            <w:i/>
            <w:sz w:val="22"/>
            <w:szCs w:val="22"/>
            <w:lang w:val="en-GB"/>
          </w:rPr>
          <w:t>IUCN Guidelines for Reintroductions and Other Conservation Translocations</w:t>
        </w:r>
      </w:hyperlink>
      <w:r w:rsidR="00507954" w:rsidRPr="00417F06">
        <w:rPr>
          <w:sz w:val="22"/>
          <w:szCs w:val="22"/>
          <w:lang w:val="en-GB"/>
        </w:rPr>
        <w:t xml:space="preserve"> and the </w:t>
      </w:r>
      <w:hyperlink r:id="rId23" w:history="1">
        <w:r w:rsidR="00507954" w:rsidRPr="00417F06">
          <w:rPr>
            <w:rStyle w:val="Hyperlink"/>
            <w:i/>
            <w:sz w:val="22"/>
            <w:szCs w:val="22"/>
            <w:lang w:val="en-GB"/>
          </w:rPr>
          <w:t xml:space="preserve">AEWA Guidelines for Translocation of </w:t>
        </w:r>
        <w:proofErr w:type="spellStart"/>
        <w:r w:rsidR="00507954" w:rsidRPr="00417F06">
          <w:rPr>
            <w:rStyle w:val="Hyperlink"/>
            <w:i/>
            <w:sz w:val="22"/>
            <w:szCs w:val="22"/>
            <w:lang w:val="en-GB"/>
          </w:rPr>
          <w:t>Waterbirds</w:t>
        </w:r>
        <w:proofErr w:type="spellEnd"/>
        <w:r w:rsidR="00507954" w:rsidRPr="00417F06">
          <w:rPr>
            <w:rStyle w:val="Hyperlink"/>
            <w:i/>
            <w:sz w:val="22"/>
            <w:szCs w:val="22"/>
            <w:lang w:val="en-GB"/>
          </w:rPr>
          <w:t xml:space="preserve"> for Conservation Purposes: Complementing the IUCN Guidelines</w:t>
        </w:r>
      </w:hyperlink>
      <w:r w:rsidR="00507954" w:rsidRPr="00417F06">
        <w:rPr>
          <w:sz w:val="22"/>
          <w:szCs w:val="22"/>
          <w:lang w:val="en-GB"/>
        </w:rPr>
        <w:t xml:space="preserve">. </w:t>
      </w:r>
    </w:p>
    <w:p w14:paraId="41F9FDD4" w14:textId="77777777" w:rsidR="00D84840" w:rsidRPr="00417F06" w:rsidRDefault="00D84840" w:rsidP="00C84343">
      <w:pPr>
        <w:spacing w:line="276" w:lineRule="auto"/>
        <w:jc w:val="both"/>
        <w:rPr>
          <w:sz w:val="22"/>
          <w:szCs w:val="22"/>
          <w:lang w:val="en-GB"/>
        </w:rPr>
      </w:pPr>
    </w:p>
    <w:p w14:paraId="2E8B8B27" w14:textId="77777777" w:rsidR="00B53ECA" w:rsidRPr="00417F06" w:rsidRDefault="009310D5" w:rsidP="00C84343">
      <w:pPr>
        <w:spacing w:line="276" w:lineRule="auto"/>
        <w:jc w:val="both"/>
        <w:rPr>
          <w:sz w:val="22"/>
          <w:szCs w:val="22"/>
          <w:lang w:val="en-GB"/>
        </w:rPr>
      </w:pPr>
      <w:r w:rsidRPr="00417F06">
        <w:rPr>
          <w:sz w:val="22"/>
          <w:szCs w:val="22"/>
          <w:lang w:val="en-GB"/>
        </w:rPr>
        <w:t>Importantly</w:t>
      </w:r>
      <w:r w:rsidR="00B94DC0" w:rsidRPr="00417F06">
        <w:rPr>
          <w:sz w:val="22"/>
          <w:szCs w:val="22"/>
          <w:lang w:val="en-GB"/>
        </w:rPr>
        <w:t>, even this ground for exemption is subject to the condition that no other satisfactory solution be available.</w:t>
      </w:r>
    </w:p>
    <w:p w14:paraId="3A66288A"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7C2E1A02" w14:textId="77777777" w:rsidR="00036E5B"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Permitting</w:t>
      </w:r>
      <w:r w:rsidR="00036E5B" w:rsidRPr="00417F06">
        <w:rPr>
          <w:rFonts w:ascii="Times New Roman" w:hAnsi="Times New Roman" w:cs="Times New Roman"/>
          <w:sz w:val="22"/>
          <w:szCs w:val="22"/>
          <w:lang w:val="en-GB"/>
        </w:rPr>
        <w:t xml:space="preserve"> </w:t>
      </w:r>
      <w:r w:rsidR="00036E5B" w:rsidRPr="00417F06">
        <w:rPr>
          <w:rFonts w:ascii="Times New Roman" w:hAnsi="Times New Roman" w:cs="Times New Roman"/>
          <w:b/>
          <w:i/>
          <w:sz w:val="22"/>
          <w:szCs w:val="22"/>
          <w:lang w:val="en-GB"/>
        </w:rPr>
        <w:t>under strictly supervised conditions, on a selective basis and to a limited extent, the taking and keeping or other judicious use of ce</w:t>
      </w:r>
      <w:r w:rsidR="00E0032B" w:rsidRPr="00417F06">
        <w:rPr>
          <w:rFonts w:ascii="Times New Roman" w:hAnsi="Times New Roman" w:cs="Times New Roman"/>
          <w:b/>
          <w:i/>
          <w:sz w:val="22"/>
          <w:szCs w:val="22"/>
          <w:lang w:val="en-GB"/>
        </w:rPr>
        <w:t>rtain birds in small numbers</w:t>
      </w:r>
    </w:p>
    <w:p w14:paraId="0FA8C3CD" w14:textId="77777777" w:rsidR="00E0032B" w:rsidRPr="00417F06" w:rsidRDefault="00E0032B" w:rsidP="00C84343">
      <w:pPr>
        <w:spacing w:line="276" w:lineRule="auto"/>
        <w:jc w:val="both"/>
        <w:rPr>
          <w:sz w:val="22"/>
          <w:szCs w:val="22"/>
          <w:lang w:val="en-GB"/>
        </w:rPr>
      </w:pPr>
    </w:p>
    <w:p w14:paraId="586C59BA" w14:textId="77777777" w:rsidR="009310D5" w:rsidRPr="00417F06" w:rsidRDefault="009310D5" w:rsidP="00C84343">
      <w:pPr>
        <w:spacing w:line="276" w:lineRule="auto"/>
        <w:jc w:val="both"/>
        <w:rPr>
          <w:color w:val="000000" w:themeColor="text1"/>
          <w:sz w:val="22"/>
          <w:szCs w:val="22"/>
          <w:lang w:val="en-GB"/>
        </w:rPr>
      </w:pPr>
      <w:r w:rsidRPr="00417F06">
        <w:rPr>
          <w:sz w:val="22"/>
          <w:szCs w:val="22"/>
          <w:lang w:val="en-GB"/>
        </w:rPr>
        <w:t>This ground differs in nature from the others identified in paragraph 2.1.3 insofar as it does not indicate the purpose for which the exemption can be granted. A Contracting Party may consequently rely on the exemption for any reason</w:t>
      </w:r>
      <w:r w:rsidR="00C83D56" w:rsidRPr="00417F06">
        <w:rPr>
          <w:sz w:val="22"/>
          <w:szCs w:val="22"/>
          <w:lang w:val="en-GB"/>
        </w:rPr>
        <w:t xml:space="preserve"> not already covered by subparagraphs</w:t>
      </w:r>
      <w:r w:rsidR="00E26C9F" w:rsidRPr="00417F06">
        <w:rPr>
          <w:sz w:val="22"/>
          <w:szCs w:val="22"/>
          <w:lang w:val="en-GB"/>
        </w:rPr>
        <w:t xml:space="preserve"> (a)-(c) or</w:t>
      </w:r>
      <w:r w:rsidR="00640AF9" w:rsidRPr="00417F06">
        <w:rPr>
          <w:sz w:val="22"/>
          <w:szCs w:val="22"/>
          <w:lang w:val="en-GB"/>
        </w:rPr>
        <w:t xml:space="preserve"> (e). To do so, </w:t>
      </w:r>
      <w:r w:rsidRPr="00417F06">
        <w:rPr>
          <w:sz w:val="22"/>
          <w:szCs w:val="22"/>
          <w:lang w:val="en-GB"/>
        </w:rPr>
        <w:t>both the general conditions described in paragraph 2.1.3 and the specific</w:t>
      </w:r>
      <w:r w:rsidRPr="00417F06">
        <w:rPr>
          <w:color w:val="5B9BD5" w:themeColor="accent5"/>
          <w:sz w:val="22"/>
          <w:szCs w:val="22"/>
          <w:lang w:val="en-GB"/>
        </w:rPr>
        <w:t xml:space="preserve"> </w:t>
      </w:r>
      <w:r w:rsidRPr="00417F06">
        <w:rPr>
          <w:sz w:val="22"/>
          <w:szCs w:val="22"/>
          <w:lang w:val="en-GB"/>
        </w:rPr>
        <w:t>conditions d</w:t>
      </w:r>
      <w:r w:rsidR="00640AF9" w:rsidRPr="00417F06">
        <w:rPr>
          <w:sz w:val="22"/>
          <w:szCs w:val="22"/>
          <w:lang w:val="en-GB"/>
        </w:rPr>
        <w:t>escribed in subparagraph (d) must be</w:t>
      </w:r>
      <w:r w:rsidRPr="00417F06">
        <w:rPr>
          <w:sz w:val="22"/>
          <w:szCs w:val="22"/>
          <w:lang w:val="en-GB"/>
        </w:rPr>
        <w:t xml:space="preserve"> satisfied. </w:t>
      </w:r>
      <w:r w:rsidRPr="00417F06">
        <w:rPr>
          <w:color w:val="000000" w:themeColor="text1"/>
          <w:sz w:val="22"/>
          <w:szCs w:val="22"/>
          <w:lang w:val="en-GB"/>
        </w:rPr>
        <w:t>The following guidance shoul</w:t>
      </w:r>
      <w:r w:rsidR="003D2E77" w:rsidRPr="00417F06">
        <w:rPr>
          <w:color w:val="000000" w:themeColor="text1"/>
          <w:sz w:val="22"/>
          <w:szCs w:val="22"/>
          <w:lang w:val="en-GB"/>
        </w:rPr>
        <w:t>d be taken into consideration when</w:t>
      </w:r>
      <w:r w:rsidRPr="00417F06">
        <w:rPr>
          <w:color w:val="000000" w:themeColor="text1"/>
          <w:sz w:val="22"/>
          <w:szCs w:val="22"/>
          <w:lang w:val="en-GB"/>
        </w:rPr>
        <w:t xml:space="preserve"> interpreting the latter:</w:t>
      </w:r>
    </w:p>
    <w:p w14:paraId="4FBB0EA2" w14:textId="77777777" w:rsidR="00DF59A9" w:rsidRPr="00417F06" w:rsidRDefault="00DF59A9" w:rsidP="00C84343">
      <w:pPr>
        <w:spacing w:line="276" w:lineRule="auto"/>
        <w:jc w:val="both"/>
        <w:rPr>
          <w:color w:val="000000" w:themeColor="text1"/>
          <w:sz w:val="22"/>
          <w:szCs w:val="22"/>
          <w:lang w:val="en-GB"/>
        </w:rPr>
      </w:pPr>
    </w:p>
    <w:p w14:paraId="562D436D" w14:textId="7F0F2057" w:rsidR="009310D5" w:rsidRPr="00417F06" w:rsidRDefault="009310D5" w:rsidP="00833810">
      <w:pPr>
        <w:pStyle w:val="ListParagraph"/>
        <w:numPr>
          <w:ilvl w:val="0"/>
          <w:numId w:val="20"/>
        </w:numPr>
        <w:tabs>
          <w:tab w:val="left" w:pos="851"/>
        </w:tabs>
        <w:spacing w:line="276" w:lineRule="auto"/>
        <w:ind w:left="993" w:hanging="567"/>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DF59A9" w:rsidRPr="00417F06">
        <w:rPr>
          <w:rFonts w:ascii="Times New Roman" w:hAnsi="Times New Roman" w:cs="Times New Roman"/>
          <w:sz w:val="22"/>
          <w:szCs w:val="22"/>
          <w:u w:val="single"/>
          <w:lang w:val="en-GB"/>
        </w:rPr>
        <w:t xml:space="preserve">under </w:t>
      </w:r>
      <w:r w:rsidRPr="00417F06">
        <w:rPr>
          <w:rFonts w:ascii="Times New Roman" w:hAnsi="Times New Roman" w:cs="Times New Roman"/>
          <w:sz w:val="22"/>
          <w:szCs w:val="22"/>
          <w:u w:val="single"/>
          <w:lang w:val="en-GB"/>
        </w:rPr>
        <w:t>strictly supervised conditions</w:t>
      </w:r>
      <w:r w:rsidRPr="00417F06">
        <w:rPr>
          <w:rFonts w:ascii="Times New Roman" w:hAnsi="Times New Roman" w:cs="Times New Roman"/>
          <w:sz w:val="22"/>
          <w:szCs w:val="22"/>
          <w:lang w:val="en-GB"/>
        </w:rPr>
        <w:t>”</w:t>
      </w:r>
    </w:p>
    <w:p w14:paraId="21809FFD" w14:textId="77777777" w:rsidR="00DF59A9" w:rsidRPr="00417F06" w:rsidRDefault="00DF59A9" w:rsidP="00C84343">
      <w:pPr>
        <w:spacing w:line="276" w:lineRule="auto"/>
        <w:jc w:val="both"/>
        <w:rPr>
          <w:color w:val="000000" w:themeColor="text1"/>
          <w:sz w:val="22"/>
          <w:szCs w:val="22"/>
          <w:lang w:val="en-GB"/>
        </w:rPr>
      </w:pPr>
    </w:p>
    <w:p w14:paraId="5E867C42" w14:textId="07D56713" w:rsidR="009310D5" w:rsidRDefault="002468F1" w:rsidP="00C84343">
      <w:pPr>
        <w:spacing w:line="276" w:lineRule="auto"/>
        <w:jc w:val="both"/>
        <w:rPr>
          <w:color w:val="000000" w:themeColor="text1"/>
          <w:sz w:val="22"/>
          <w:szCs w:val="22"/>
          <w:lang w:val="en-GB"/>
        </w:rPr>
      </w:pPr>
      <w:r w:rsidRPr="00417F06">
        <w:rPr>
          <w:color w:val="000000" w:themeColor="text1"/>
          <w:sz w:val="22"/>
          <w:szCs w:val="22"/>
          <w:lang w:val="en-GB"/>
        </w:rPr>
        <w:t>This condition</w:t>
      </w:r>
      <w:r w:rsidR="00A36AD8" w:rsidRPr="00417F06">
        <w:rPr>
          <w:color w:val="000000" w:themeColor="text1"/>
          <w:sz w:val="22"/>
          <w:szCs w:val="22"/>
          <w:lang w:val="en-GB"/>
        </w:rPr>
        <w:t xml:space="preserve"> should be interpreted to mean that the authority granting the exemption must possess the necessary means for overseeing</w:t>
      </w:r>
      <w:r w:rsidR="00AF39B6" w:rsidRPr="00417F06">
        <w:rPr>
          <w:color w:val="000000" w:themeColor="text1"/>
          <w:sz w:val="22"/>
          <w:szCs w:val="22"/>
          <w:lang w:val="en-GB"/>
        </w:rPr>
        <w:t xml:space="preserve"> the activities authorized thereby. To this end, it is advisable that the authorization</w:t>
      </w:r>
      <w:r w:rsidR="00CD65F4" w:rsidRPr="00417F06">
        <w:rPr>
          <w:color w:val="000000" w:themeColor="text1"/>
          <w:sz w:val="22"/>
          <w:szCs w:val="22"/>
          <w:lang w:val="en-GB"/>
        </w:rPr>
        <w:t>s</w:t>
      </w:r>
      <w:r w:rsidR="009310D5" w:rsidRPr="00417F06">
        <w:rPr>
          <w:color w:val="000000" w:themeColor="text1"/>
          <w:sz w:val="22"/>
          <w:szCs w:val="22"/>
          <w:lang w:val="en-GB"/>
        </w:rPr>
        <w:t xml:space="preserve"> through which </w:t>
      </w:r>
      <w:r w:rsidR="00AF39B6" w:rsidRPr="00417F06">
        <w:rPr>
          <w:color w:val="000000" w:themeColor="text1"/>
          <w:sz w:val="22"/>
          <w:szCs w:val="22"/>
          <w:lang w:val="en-GB"/>
        </w:rPr>
        <w:t xml:space="preserve">exemptions are granted </w:t>
      </w:r>
      <w:r w:rsidR="009310D5" w:rsidRPr="00417F06">
        <w:rPr>
          <w:color w:val="000000" w:themeColor="text1"/>
          <w:sz w:val="22"/>
          <w:szCs w:val="22"/>
          <w:lang w:val="en-GB"/>
        </w:rPr>
        <w:t xml:space="preserve">(whether these be in the form of individualized permits/licenses or more generalized in nature) clearly identify the conditions under </w:t>
      </w:r>
      <w:r w:rsidR="001F2D80" w:rsidRPr="00417F06">
        <w:rPr>
          <w:color w:val="000000" w:themeColor="text1"/>
          <w:sz w:val="22"/>
          <w:szCs w:val="22"/>
          <w:lang w:val="en-GB"/>
        </w:rPr>
        <w:t xml:space="preserve">which the activity is permitted; and </w:t>
      </w:r>
      <w:r w:rsidR="00AF39B6" w:rsidRPr="00417F06">
        <w:rPr>
          <w:color w:val="000000" w:themeColor="text1"/>
          <w:sz w:val="22"/>
          <w:szCs w:val="22"/>
          <w:lang w:val="en-GB"/>
        </w:rPr>
        <w:t xml:space="preserve">that </w:t>
      </w:r>
      <w:r w:rsidR="001F2D80" w:rsidRPr="00417F06">
        <w:rPr>
          <w:color w:val="000000" w:themeColor="text1"/>
          <w:sz w:val="22"/>
          <w:szCs w:val="22"/>
          <w:lang w:val="en-GB"/>
        </w:rPr>
        <w:t>m</w:t>
      </w:r>
      <w:r w:rsidR="009310D5" w:rsidRPr="00417F06">
        <w:rPr>
          <w:color w:val="000000" w:themeColor="text1"/>
          <w:sz w:val="22"/>
          <w:szCs w:val="22"/>
          <w:lang w:val="en-GB"/>
        </w:rPr>
        <w:t xml:space="preserve">echanisms be in place to </w:t>
      </w:r>
      <w:r w:rsidR="006F1E06" w:rsidRPr="00417F06">
        <w:rPr>
          <w:color w:val="000000" w:themeColor="text1"/>
          <w:sz w:val="22"/>
          <w:szCs w:val="22"/>
          <w:lang w:val="en-GB"/>
        </w:rPr>
        <w:t xml:space="preserve">closely </w:t>
      </w:r>
      <w:r w:rsidR="009310D5" w:rsidRPr="00417F06">
        <w:rPr>
          <w:color w:val="000000" w:themeColor="text1"/>
          <w:sz w:val="22"/>
          <w:szCs w:val="22"/>
          <w:lang w:val="en-GB"/>
        </w:rPr>
        <w:t>monitor compliance with such conditions</w:t>
      </w:r>
      <w:r w:rsidR="00913F48" w:rsidRPr="00417F06">
        <w:rPr>
          <w:color w:val="000000" w:themeColor="text1"/>
          <w:sz w:val="22"/>
          <w:szCs w:val="22"/>
          <w:lang w:val="en-GB"/>
        </w:rPr>
        <w:t xml:space="preserve"> and respond to instances of non-compliance</w:t>
      </w:r>
      <w:r w:rsidR="009310D5" w:rsidRPr="00417F06">
        <w:rPr>
          <w:color w:val="000000" w:themeColor="text1"/>
          <w:sz w:val="22"/>
          <w:szCs w:val="22"/>
          <w:lang w:val="en-GB"/>
        </w:rPr>
        <w:t xml:space="preserve">.  </w:t>
      </w:r>
    </w:p>
    <w:p w14:paraId="20DFF5E2" w14:textId="77777777" w:rsidR="00833810" w:rsidRPr="00417F06" w:rsidRDefault="00833810" w:rsidP="00833810">
      <w:pPr>
        <w:tabs>
          <w:tab w:val="left" w:pos="567"/>
          <w:tab w:val="left" w:pos="851"/>
        </w:tabs>
        <w:spacing w:line="276" w:lineRule="auto"/>
        <w:jc w:val="both"/>
        <w:rPr>
          <w:color w:val="000000" w:themeColor="text1"/>
          <w:sz w:val="22"/>
          <w:szCs w:val="22"/>
          <w:lang w:val="en-GB"/>
        </w:rPr>
      </w:pPr>
    </w:p>
    <w:p w14:paraId="6859D786" w14:textId="092E69FB"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C408B0" w:rsidRPr="00417F06">
        <w:rPr>
          <w:rFonts w:ascii="Times New Roman" w:hAnsi="Times New Roman" w:cs="Times New Roman"/>
          <w:sz w:val="22"/>
          <w:szCs w:val="22"/>
          <w:u w:val="single"/>
          <w:lang w:val="en-GB"/>
        </w:rPr>
        <w:t xml:space="preserve">on a </w:t>
      </w:r>
      <w:r w:rsidRPr="00417F06">
        <w:rPr>
          <w:rFonts w:ascii="Times New Roman" w:hAnsi="Times New Roman" w:cs="Times New Roman"/>
          <w:sz w:val="22"/>
          <w:szCs w:val="22"/>
          <w:u w:val="single"/>
          <w:lang w:val="en-GB"/>
        </w:rPr>
        <w:t>selective basis</w:t>
      </w:r>
      <w:r w:rsidRPr="00417F06">
        <w:rPr>
          <w:rFonts w:ascii="Times New Roman" w:hAnsi="Times New Roman" w:cs="Times New Roman"/>
          <w:sz w:val="22"/>
          <w:szCs w:val="22"/>
          <w:lang w:val="en-GB"/>
        </w:rPr>
        <w:t>”</w:t>
      </w:r>
    </w:p>
    <w:p w14:paraId="59AE30EE" w14:textId="77777777" w:rsidR="00C408B0" w:rsidRPr="00417F06" w:rsidRDefault="00C408B0" w:rsidP="00C84343">
      <w:pPr>
        <w:spacing w:line="276" w:lineRule="auto"/>
        <w:jc w:val="both"/>
        <w:rPr>
          <w:sz w:val="22"/>
          <w:szCs w:val="22"/>
          <w:lang w:val="en-GB"/>
        </w:rPr>
      </w:pPr>
    </w:p>
    <w:p w14:paraId="0A9800F7" w14:textId="77777777" w:rsidR="009310D5" w:rsidRPr="00417F06" w:rsidRDefault="009310D5" w:rsidP="00C84343">
      <w:pPr>
        <w:spacing w:line="276" w:lineRule="auto"/>
        <w:jc w:val="both"/>
        <w:rPr>
          <w:color w:val="70AD47" w:themeColor="accent6"/>
          <w:sz w:val="22"/>
          <w:szCs w:val="22"/>
          <w:lang w:val="en-GB"/>
        </w:rPr>
      </w:pPr>
      <w:r w:rsidRPr="00417F06">
        <w:rPr>
          <w:sz w:val="22"/>
          <w:szCs w:val="22"/>
          <w:lang w:val="en-GB"/>
        </w:rPr>
        <w:t xml:space="preserve">This condition </w:t>
      </w:r>
      <w:r w:rsidR="00C408B0" w:rsidRPr="00417F06">
        <w:rPr>
          <w:sz w:val="22"/>
          <w:szCs w:val="22"/>
          <w:lang w:val="en-GB"/>
        </w:rPr>
        <w:t xml:space="preserve">should be interpreted to mean that the </w:t>
      </w:r>
      <w:r w:rsidR="003E33DE" w:rsidRPr="00417F06">
        <w:rPr>
          <w:sz w:val="22"/>
          <w:szCs w:val="22"/>
          <w:lang w:val="en-GB"/>
        </w:rPr>
        <w:t>activity must be highly specific in its effect</w:t>
      </w:r>
      <w:r w:rsidR="001A3014" w:rsidRPr="00417F06">
        <w:rPr>
          <w:sz w:val="22"/>
          <w:szCs w:val="22"/>
          <w:lang w:val="en-GB"/>
        </w:rPr>
        <w:t xml:space="preserve">. </w:t>
      </w:r>
      <w:r w:rsidR="00DB3FC5" w:rsidRPr="00417F06">
        <w:rPr>
          <w:sz w:val="22"/>
          <w:szCs w:val="22"/>
          <w:lang w:val="en-GB"/>
        </w:rPr>
        <w:t xml:space="preserve">The activity needs to target particular species </w:t>
      </w:r>
      <w:r w:rsidR="00876973" w:rsidRPr="00417F06">
        <w:rPr>
          <w:sz w:val="22"/>
          <w:szCs w:val="22"/>
          <w:lang w:val="en-GB"/>
        </w:rPr>
        <w:t xml:space="preserve">(or even particular </w:t>
      </w:r>
      <w:r w:rsidR="00A8513E" w:rsidRPr="00417F06">
        <w:rPr>
          <w:sz w:val="22"/>
          <w:szCs w:val="22"/>
          <w:lang w:val="en-GB"/>
        </w:rPr>
        <w:t>gender or age classes within a species)</w:t>
      </w:r>
      <w:r w:rsidR="0051561A" w:rsidRPr="00417F06">
        <w:rPr>
          <w:sz w:val="22"/>
          <w:szCs w:val="22"/>
          <w:lang w:val="en-GB"/>
        </w:rPr>
        <w:t>. The methods of taking authorized by the exemption</w:t>
      </w:r>
      <w:r w:rsidR="00C15DBE" w:rsidRPr="00417F06">
        <w:rPr>
          <w:sz w:val="22"/>
          <w:szCs w:val="22"/>
          <w:lang w:val="en-GB"/>
        </w:rPr>
        <w:t xml:space="preserve"> </w:t>
      </w:r>
      <w:r w:rsidR="0051561A" w:rsidRPr="00417F06">
        <w:rPr>
          <w:sz w:val="22"/>
          <w:szCs w:val="22"/>
          <w:lang w:val="en-GB"/>
        </w:rPr>
        <w:t>should</w:t>
      </w:r>
      <w:r w:rsidR="00C15DBE" w:rsidRPr="00417F06">
        <w:rPr>
          <w:sz w:val="22"/>
          <w:szCs w:val="22"/>
          <w:lang w:val="en-GB"/>
        </w:rPr>
        <w:t xml:space="preserve"> either avoid the taking of non-target species</w:t>
      </w:r>
      <w:r w:rsidR="00AC6616" w:rsidRPr="00417F06">
        <w:rPr>
          <w:sz w:val="22"/>
          <w:szCs w:val="22"/>
          <w:lang w:val="en-GB"/>
        </w:rPr>
        <w:t xml:space="preserve"> or, where the methods themselves are not entirely selective, </w:t>
      </w:r>
      <w:r w:rsidR="00C15DBE" w:rsidRPr="00417F06">
        <w:rPr>
          <w:sz w:val="22"/>
          <w:szCs w:val="22"/>
          <w:lang w:val="en-GB"/>
        </w:rPr>
        <w:t xml:space="preserve">allow </w:t>
      </w:r>
      <w:r w:rsidRPr="00417F06">
        <w:rPr>
          <w:sz w:val="22"/>
          <w:szCs w:val="22"/>
          <w:lang w:val="en-GB"/>
        </w:rPr>
        <w:t xml:space="preserve">for individuals of the target species to be kept and those of other species to be released unharmed. </w:t>
      </w:r>
      <w:r w:rsidR="004A0DB4" w:rsidRPr="00417F06">
        <w:rPr>
          <w:color w:val="000000" w:themeColor="text1"/>
          <w:sz w:val="22"/>
          <w:szCs w:val="22"/>
          <w:lang w:val="en-GB"/>
        </w:rPr>
        <w:t>Measures should further be taken to minimize the risk of confusion</w:t>
      </w:r>
      <w:r w:rsidR="00691146" w:rsidRPr="00417F06">
        <w:rPr>
          <w:color w:val="000000" w:themeColor="text1"/>
          <w:sz w:val="22"/>
          <w:szCs w:val="22"/>
          <w:lang w:val="en-GB"/>
        </w:rPr>
        <w:t xml:space="preserve"> between target and non-target species</w:t>
      </w:r>
      <w:r w:rsidR="004A0DB4" w:rsidRPr="00417F06">
        <w:rPr>
          <w:color w:val="000000" w:themeColor="text1"/>
          <w:sz w:val="22"/>
          <w:szCs w:val="22"/>
          <w:lang w:val="en-GB"/>
        </w:rPr>
        <w:t xml:space="preserve">. </w:t>
      </w:r>
    </w:p>
    <w:p w14:paraId="0469C9C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696F1DDA" w14:textId="5AEE1C21"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B12BFE" w:rsidRPr="00417F06">
        <w:rPr>
          <w:rFonts w:ascii="Times New Roman" w:hAnsi="Times New Roman" w:cs="Times New Roman"/>
          <w:sz w:val="22"/>
          <w:szCs w:val="22"/>
          <w:u w:val="single"/>
          <w:lang w:val="en-GB"/>
        </w:rPr>
        <w:t xml:space="preserve">to a </w:t>
      </w:r>
      <w:r w:rsidRPr="00417F06">
        <w:rPr>
          <w:rFonts w:ascii="Times New Roman" w:hAnsi="Times New Roman" w:cs="Times New Roman"/>
          <w:sz w:val="22"/>
          <w:szCs w:val="22"/>
          <w:u w:val="single"/>
          <w:lang w:val="en-GB"/>
        </w:rPr>
        <w:t>limited extent</w:t>
      </w:r>
      <w:r w:rsidRPr="00417F06">
        <w:rPr>
          <w:rFonts w:ascii="Times New Roman" w:hAnsi="Times New Roman" w:cs="Times New Roman"/>
          <w:sz w:val="22"/>
          <w:szCs w:val="22"/>
          <w:lang w:val="en-GB"/>
        </w:rPr>
        <w:t>”</w:t>
      </w:r>
    </w:p>
    <w:p w14:paraId="66D91B5F" w14:textId="77777777" w:rsidR="00B12BFE" w:rsidRPr="00417F06" w:rsidRDefault="00B12BFE" w:rsidP="00C84343">
      <w:pPr>
        <w:spacing w:line="276" w:lineRule="auto"/>
        <w:jc w:val="both"/>
        <w:rPr>
          <w:sz w:val="22"/>
          <w:szCs w:val="22"/>
          <w:lang w:val="en-GB"/>
        </w:rPr>
      </w:pPr>
    </w:p>
    <w:p w14:paraId="31FBE9EC" w14:textId="77777777" w:rsidR="009310D5" w:rsidRPr="00417F06" w:rsidRDefault="00884E77" w:rsidP="00C84343">
      <w:pPr>
        <w:spacing w:line="276" w:lineRule="auto"/>
        <w:jc w:val="both"/>
        <w:rPr>
          <w:color w:val="00B0F0"/>
          <w:sz w:val="22"/>
          <w:szCs w:val="22"/>
          <w:lang w:val="en-GB"/>
        </w:rPr>
      </w:pPr>
      <w:r w:rsidRPr="00417F06">
        <w:rPr>
          <w:sz w:val="22"/>
          <w:szCs w:val="22"/>
          <w:lang w:val="en-GB"/>
        </w:rPr>
        <w:t>This condition can be satisfied by limiting the</w:t>
      </w:r>
      <w:r w:rsidR="00EA4220" w:rsidRPr="00417F06">
        <w:rPr>
          <w:sz w:val="22"/>
          <w:szCs w:val="22"/>
          <w:lang w:val="en-GB"/>
        </w:rPr>
        <w:t xml:space="preserve"> </w:t>
      </w:r>
      <w:r w:rsidR="00EA4220" w:rsidRPr="00417F06">
        <w:rPr>
          <w:color w:val="000000" w:themeColor="text1"/>
          <w:sz w:val="22"/>
          <w:szCs w:val="22"/>
          <w:lang w:val="en-GB"/>
        </w:rPr>
        <w:t xml:space="preserve">persons, </w:t>
      </w:r>
      <w:r w:rsidR="00EA4220" w:rsidRPr="00417F06">
        <w:rPr>
          <w:sz w:val="22"/>
          <w:szCs w:val="22"/>
          <w:lang w:val="en-GB"/>
        </w:rPr>
        <w:t>places and times in respect of which the exemption applies.</w:t>
      </w:r>
      <w:r w:rsidR="00C34593" w:rsidRPr="00417F06">
        <w:rPr>
          <w:sz w:val="22"/>
          <w:szCs w:val="22"/>
          <w:lang w:val="en-GB"/>
        </w:rPr>
        <w:t xml:space="preserve"> </w:t>
      </w:r>
    </w:p>
    <w:p w14:paraId="2849D77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33DC4DDF" w14:textId="280955D4"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Pr="00417F06">
        <w:rPr>
          <w:rFonts w:ascii="Times New Roman" w:hAnsi="Times New Roman" w:cs="Times New Roman"/>
          <w:sz w:val="22"/>
          <w:szCs w:val="22"/>
          <w:u w:val="single"/>
          <w:lang w:val="en-GB"/>
        </w:rPr>
        <w:t>judicious use</w:t>
      </w:r>
      <w:r w:rsidRPr="00417F06">
        <w:rPr>
          <w:rFonts w:ascii="Times New Roman" w:hAnsi="Times New Roman" w:cs="Times New Roman"/>
          <w:sz w:val="22"/>
          <w:szCs w:val="22"/>
          <w:lang w:val="en-GB"/>
        </w:rPr>
        <w:t>”</w:t>
      </w:r>
    </w:p>
    <w:p w14:paraId="25A422BB" w14:textId="77777777" w:rsidR="009310D5" w:rsidRPr="00417F06" w:rsidRDefault="009310D5" w:rsidP="00C84343">
      <w:pPr>
        <w:spacing w:line="276" w:lineRule="auto"/>
        <w:jc w:val="both"/>
        <w:rPr>
          <w:sz w:val="22"/>
          <w:szCs w:val="22"/>
          <w:lang w:val="en-GB"/>
        </w:rPr>
      </w:pPr>
    </w:p>
    <w:p w14:paraId="24D514AF" w14:textId="77777777" w:rsidR="000E2806" w:rsidRPr="00417F06" w:rsidRDefault="00F55B3F" w:rsidP="00C84343">
      <w:pPr>
        <w:spacing w:line="276" w:lineRule="auto"/>
        <w:jc w:val="both"/>
        <w:rPr>
          <w:sz w:val="22"/>
          <w:szCs w:val="22"/>
          <w:lang w:val="en-GB"/>
        </w:rPr>
      </w:pPr>
      <w:r w:rsidRPr="00417F06">
        <w:rPr>
          <w:sz w:val="22"/>
          <w:szCs w:val="22"/>
          <w:lang w:val="en-GB"/>
        </w:rPr>
        <w:t>The expression “other judicious use” should be interpreted to mean activities other than taking and keeping</w:t>
      </w:r>
      <w:r w:rsidR="004A15BF" w:rsidRPr="00417F06">
        <w:rPr>
          <w:sz w:val="22"/>
          <w:szCs w:val="22"/>
          <w:lang w:val="en-GB"/>
        </w:rPr>
        <w:t xml:space="preserve"> </w:t>
      </w:r>
      <w:r w:rsidR="00833AE8" w:rsidRPr="00417F06">
        <w:rPr>
          <w:sz w:val="22"/>
          <w:szCs w:val="22"/>
          <w:lang w:val="en-GB"/>
        </w:rPr>
        <w:t xml:space="preserve">that </w:t>
      </w:r>
      <w:r w:rsidR="00BA627F" w:rsidRPr="00417F06">
        <w:rPr>
          <w:sz w:val="22"/>
          <w:szCs w:val="22"/>
          <w:lang w:val="en-GB"/>
        </w:rPr>
        <w:t>are reasonable</w:t>
      </w:r>
      <w:r w:rsidR="005017FB" w:rsidRPr="00417F06">
        <w:rPr>
          <w:sz w:val="22"/>
          <w:szCs w:val="22"/>
          <w:lang w:val="en-GB"/>
        </w:rPr>
        <w:t xml:space="preserve"> and prudent</w:t>
      </w:r>
      <w:r w:rsidR="00BA627F" w:rsidRPr="00417F06">
        <w:rPr>
          <w:sz w:val="22"/>
          <w:szCs w:val="22"/>
          <w:lang w:val="en-GB"/>
        </w:rPr>
        <w:t>, as distinct from</w:t>
      </w:r>
      <w:r w:rsidR="005017FB" w:rsidRPr="00417F06">
        <w:rPr>
          <w:sz w:val="22"/>
          <w:szCs w:val="22"/>
          <w:lang w:val="en-GB"/>
        </w:rPr>
        <w:t xml:space="preserve"> any excessive action that might</w:t>
      </w:r>
      <w:r w:rsidR="00BA627F" w:rsidRPr="00417F06">
        <w:rPr>
          <w:sz w:val="22"/>
          <w:szCs w:val="22"/>
          <w:lang w:val="en-GB"/>
        </w:rPr>
        <w:t xml:space="preserve"> </w:t>
      </w:r>
      <w:r w:rsidR="0033477C" w:rsidRPr="00417F06">
        <w:rPr>
          <w:sz w:val="22"/>
          <w:szCs w:val="22"/>
          <w:lang w:val="en-GB"/>
        </w:rPr>
        <w:t>prejudice</w:t>
      </w:r>
      <w:r w:rsidR="00833AE8" w:rsidRPr="00417F06">
        <w:rPr>
          <w:sz w:val="22"/>
          <w:szCs w:val="22"/>
          <w:lang w:val="en-GB"/>
        </w:rPr>
        <w:t xml:space="preserve"> </w:t>
      </w:r>
      <w:r w:rsidR="009001F6" w:rsidRPr="00417F06">
        <w:rPr>
          <w:sz w:val="22"/>
          <w:szCs w:val="22"/>
          <w:lang w:val="en-GB"/>
        </w:rPr>
        <w:t xml:space="preserve">a population’s maintenance at, or restoration to, a favourable </w:t>
      </w:r>
      <w:r w:rsidR="00833AE8" w:rsidRPr="00417F06">
        <w:rPr>
          <w:sz w:val="22"/>
          <w:szCs w:val="22"/>
          <w:lang w:val="en-GB"/>
        </w:rPr>
        <w:t xml:space="preserve">conservation status. </w:t>
      </w:r>
      <w:r w:rsidR="00AE7348" w:rsidRPr="00417F06">
        <w:rPr>
          <w:sz w:val="22"/>
          <w:szCs w:val="22"/>
          <w:lang w:val="en-GB"/>
        </w:rPr>
        <w:t>Depending on the circumstances, this could, for instance, i</w:t>
      </w:r>
      <w:r w:rsidR="0033477C" w:rsidRPr="00417F06">
        <w:rPr>
          <w:sz w:val="22"/>
          <w:szCs w:val="22"/>
          <w:lang w:val="en-GB"/>
        </w:rPr>
        <w:t xml:space="preserve">nclude hunting for recreational, cultural or livelihood </w:t>
      </w:r>
      <w:r w:rsidR="00AE7348" w:rsidRPr="00417F06">
        <w:rPr>
          <w:sz w:val="22"/>
          <w:szCs w:val="22"/>
          <w:lang w:val="en-GB"/>
        </w:rPr>
        <w:t xml:space="preserve">purposes, </w:t>
      </w:r>
      <w:r w:rsidR="00C64EA9" w:rsidRPr="00417F06">
        <w:rPr>
          <w:sz w:val="22"/>
          <w:szCs w:val="22"/>
          <w:lang w:val="en-GB"/>
        </w:rPr>
        <w:t xml:space="preserve">or the capture of live birds for sale. </w:t>
      </w:r>
    </w:p>
    <w:p w14:paraId="1D87529F" w14:textId="2E6C298E" w:rsidR="00F55B3F" w:rsidRDefault="00F55B3F" w:rsidP="00C84343">
      <w:pPr>
        <w:spacing w:line="276" w:lineRule="auto"/>
        <w:jc w:val="both"/>
        <w:rPr>
          <w:sz w:val="22"/>
          <w:szCs w:val="22"/>
          <w:lang w:val="en-GB"/>
        </w:rPr>
      </w:pPr>
    </w:p>
    <w:p w14:paraId="0682EDB4" w14:textId="77777777" w:rsidR="00B75BA9" w:rsidRPr="00417F06" w:rsidRDefault="00B75BA9" w:rsidP="00C84343">
      <w:pPr>
        <w:spacing w:line="276" w:lineRule="auto"/>
        <w:jc w:val="both"/>
        <w:rPr>
          <w:sz w:val="22"/>
          <w:szCs w:val="22"/>
          <w:lang w:val="en-GB"/>
        </w:rPr>
      </w:pPr>
    </w:p>
    <w:p w14:paraId="6B795774" w14:textId="3C4C1294" w:rsidR="009310D5" w:rsidRPr="00417F06" w:rsidRDefault="00833810" w:rsidP="00C84343">
      <w:pPr>
        <w:pStyle w:val="ListParagraph"/>
        <w:numPr>
          <w:ilvl w:val="0"/>
          <w:numId w:val="9"/>
        </w:num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9310D5" w:rsidRPr="00417F06">
        <w:rPr>
          <w:rFonts w:ascii="Times New Roman" w:hAnsi="Times New Roman" w:cs="Times New Roman"/>
          <w:sz w:val="22"/>
          <w:szCs w:val="22"/>
          <w:u w:val="single"/>
          <w:lang w:val="en-GB"/>
        </w:rPr>
        <w:t>small numbers</w:t>
      </w:r>
      <w:r w:rsidR="009310D5" w:rsidRPr="00417F06">
        <w:rPr>
          <w:rFonts w:ascii="Times New Roman" w:hAnsi="Times New Roman" w:cs="Times New Roman"/>
          <w:sz w:val="22"/>
          <w:szCs w:val="22"/>
          <w:lang w:val="en-GB"/>
        </w:rPr>
        <w:t>”</w:t>
      </w:r>
      <w:r w:rsidR="003126DB" w:rsidRPr="00417F06">
        <w:rPr>
          <w:rFonts w:ascii="Times New Roman" w:hAnsi="Times New Roman" w:cs="Times New Roman"/>
          <w:sz w:val="22"/>
          <w:szCs w:val="22"/>
          <w:lang w:val="en-GB"/>
        </w:rPr>
        <w:t xml:space="preserve"> </w:t>
      </w:r>
    </w:p>
    <w:p w14:paraId="291CF81A" w14:textId="77777777" w:rsidR="00904DD8" w:rsidRPr="00417F06" w:rsidRDefault="00904DD8" w:rsidP="00C84343">
      <w:pPr>
        <w:spacing w:line="276" w:lineRule="auto"/>
        <w:jc w:val="both"/>
        <w:rPr>
          <w:sz w:val="22"/>
          <w:szCs w:val="22"/>
          <w:lang w:val="en-GB"/>
        </w:rPr>
      </w:pPr>
    </w:p>
    <w:p w14:paraId="5766B3C4" w14:textId="3B4496BB" w:rsidR="00842B1D" w:rsidRPr="00417F06" w:rsidRDefault="009310D5" w:rsidP="00C84343">
      <w:pPr>
        <w:spacing w:line="276" w:lineRule="auto"/>
        <w:jc w:val="both"/>
        <w:rPr>
          <w:sz w:val="22"/>
          <w:szCs w:val="22"/>
          <w:lang w:val="en-GB"/>
        </w:rPr>
      </w:pPr>
      <w:r w:rsidRPr="00417F06">
        <w:rPr>
          <w:sz w:val="22"/>
          <w:szCs w:val="22"/>
          <w:lang w:val="en-GB"/>
        </w:rPr>
        <w:t>This expression should be construed in light of the conservation status of the population concerned</w:t>
      </w:r>
      <w:r w:rsidR="001F770B" w:rsidRPr="00417F06">
        <w:rPr>
          <w:sz w:val="22"/>
          <w:szCs w:val="22"/>
          <w:lang w:val="en-GB"/>
        </w:rPr>
        <w:t>, and its annual reproduction and mortality rates</w:t>
      </w:r>
      <w:r w:rsidRPr="00417F06">
        <w:rPr>
          <w:sz w:val="22"/>
          <w:szCs w:val="22"/>
          <w:lang w:val="en-GB"/>
        </w:rPr>
        <w:t>. The number of birds that a Contracting Party allows to be taken under the exemption</w:t>
      </w:r>
      <w:r w:rsidR="007F03F8" w:rsidRPr="00417F06">
        <w:rPr>
          <w:sz w:val="22"/>
          <w:szCs w:val="22"/>
          <w:lang w:val="en-GB"/>
        </w:rPr>
        <w:t xml:space="preserve"> should</w:t>
      </w:r>
      <w:r w:rsidRPr="00417F06">
        <w:rPr>
          <w:color w:val="70AD47" w:themeColor="accent6"/>
          <w:sz w:val="22"/>
          <w:szCs w:val="22"/>
          <w:lang w:val="en-GB"/>
        </w:rPr>
        <w:t xml:space="preserve"> </w:t>
      </w:r>
      <w:r w:rsidRPr="00417F06">
        <w:rPr>
          <w:sz w:val="22"/>
          <w:szCs w:val="22"/>
          <w:lang w:val="en-GB"/>
        </w:rPr>
        <w:t xml:space="preserve">be sufficiently small as to have a negligible effect on the population dynamics </w:t>
      </w:r>
      <w:r w:rsidRPr="00417F06">
        <w:rPr>
          <w:color w:val="000000" w:themeColor="text1"/>
          <w:sz w:val="22"/>
          <w:szCs w:val="22"/>
          <w:lang w:val="en-GB"/>
        </w:rPr>
        <w:t>of the population in question</w:t>
      </w:r>
      <w:r w:rsidRPr="00417F06">
        <w:rPr>
          <w:sz w:val="22"/>
          <w:szCs w:val="22"/>
          <w:lang w:val="en-GB"/>
        </w:rPr>
        <w:t xml:space="preserve">. </w:t>
      </w:r>
    </w:p>
    <w:p w14:paraId="1A0B5A7F" w14:textId="77777777" w:rsidR="00036E5B" w:rsidRPr="00417F06" w:rsidRDefault="00036E5B" w:rsidP="00C84343">
      <w:pPr>
        <w:spacing w:line="276" w:lineRule="auto"/>
        <w:jc w:val="both"/>
        <w:rPr>
          <w:sz w:val="22"/>
          <w:szCs w:val="22"/>
          <w:lang w:val="en-GB"/>
        </w:rPr>
      </w:pPr>
    </w:p>
    <w:p w14:paraId="409B6A04" w14:textId="77777777" w:rsidR="00036E5B" w:rsidRPr="00417F06" w:rsidRDefault="00E0032B"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F</w:t>
      </w:r>
      <w:r w:rsidR="00036E5B" w:rsidRPr="00417F06">
        <w:rPr>
          <w:rFonts w:ascii="Times New Roman" w:hAnsi="Times New Roman" w:cs="Times New Roman"/>
          <w:b/>
          <w:i/>
          <w:sz w:val="22"/>
          <w:szCs w:val="22"/>
          <w:lang w:val="en-GB"/>
        </w:rPr>
        <w:t>or the purpose of enhancing the propagation or survival</w:t>
      </w:r>
      <w:r w:rsidR="00000C0B" w:rsidRPr="00417F06">
        <w:rPr>
          <w:rFonts w:ascii="Times New Roman" w:hAnsi="Times New Roman" w:cs="Times New Roman"/>
          <w:b/>
          <w:i/>
          <w:sz w:val="22"/>
          <w:szCs w:val="22"/>
          <w:lang w:val="en-GB"/>
        </w:rPr>
        <w:t xml:space="preserve"> of the populations concerned</w:t>
      </w:r>
      <w:r w:rsidR="00036E5B" w:rsidRPr="00417F06">
        <w:rPr>
          <w:rFonts w:ascii="Times New Roman" w:hAnsi="Times New Roman" w:cs="Times New Roman"/>
          <w:b/>
          <w:i/>
          <w:sz w:val="22"/>
          <w:szCs w:val="22"/>
          <w:lang w:val="en-GB"/>
        </w:rPr>
        <w:t xml:space="preserve"> </w:t>
      </w:r>
    </w:p>
    <w:p w14:paraId="253EF7EB" w14:textId="77777777" w:rsidR="00000C0B" w:rsidRPr="00417F06" w:rsidRDefault="00000C0B" w:rsidP="00C84343">
      <w:pPr>
        <w:spacing w:line="276" w:lineRule="auto"/>
        <w:jc w:val="both"/>
        <w:rPr>
          <w:color w:val="70AD47" w:themeColor="accent6"/>
          <w:sz w:val="22"/>
          <w:szCs w:val="22"/>
          <w:lang w:val="en-GB"/>
        </w:rPr>
      </w:pPr>
    </w:p>
    <w:p w14:paraId="7BB9AB63" w14:textId="4DCE2941" w:rsidR="00000C0B" w:rsidRPr="00417F06" w:rsidRDefault="005050E9" w:rsidP="00C84343">
      <w:pPr>
        <w:spacing w:line="276" w:lineRule="auto"/>
        <w:jc w:val="both"/>
        <w:rPr>
          <w:sz w:val="22"/>
          <w:szCs w:val="22"/>
          <w:lang w:val="en-GB"/>
        </w:rPr>
      </w:pPr>
      <w:r w:rsidRPr="00417F06">
        <w:rPr>
          <w:color w:val="000000" w:themeColor="text1"/>
          <w:sz w:val="22"/>
          <w:szCs w:val="22"/>
          <w:lang w:val="en-GB"/>
        </w:rPr>
        <w:t xml:space="preserve">This ground </w:t>
      </w:r>
      <w:r w:rsidR="0082105A" w:rsidRPr="00417F06">
        <w:rPr>
          <w:color w:val="000000" w:themeColor="text1"/>
          <w:sz w:val="22"/>
          <w:szCs w:val="22"/>
          <w:lang w:val="en-GB"/>
        </w:rPr>
        <w:t>can</w:t>
      </w:r>
      <w:r w:rsidR="00FD7051" w:rsidRPr="00417F06">
        <w:rPr>
          <w:color w:val="000000" w:themeColor="text1"/>
          <w:sz w:val="22"/>
          <w:szCs w:val="22"/>
          <w:lang w:val="en-GB"/>
        </w:rPr>
        <w:t>, for example</w:t>
      </w:r>
      <w:r w:rsidR="0055053D" w:rsidRPr="00417F06">
        <w:rPr>
          <w:color w:val="000000" w:themeColor="text1"/>
          <w:sz w:val="22"/>
          <w:szCs w:val="22"/>
          <w:lang w:val="en-GB"/>
        </w:rPr>
        <w:t>,</w:t>
      </w:r>
      <w:r w:rsidR="0082105A" w:rsidRPr="00417F06">
        <w:rPr>
          <w:color w:val="000000" w:themeColor="text1"/>
          <w:sz w:val="22"/>
          <w:szCs w:val="22"/>
          <w:lang w:val="en-GB"/>
        </w:rPr>
        <w:t xml:space="preserve"> be relied upon to allow exemptions for the purpose of</w:t>
      </w:r>
      <w:r w:rsidR="00F30CFA" w:rsidRPr="00417F06">
        <w:rPr>
          <w:color w:val="000000" w:themeColor="text1"/>
          <w:sz w:val="22"/>
          <w:szCs w:val="22"/>
          <w:lang w:val="en-GB"/>
        </w:rPr>
        <w:t xml:space="preserve"> </w:t>
      </w:r>
      <w:r w:rsidR="0082105A" w:rsidRPr="00417F06">
        <w:rPr>
          <w:color w:val="000000" w:themeColor="text1"/>
          <w:sz w:val="22"/>
          <w:szCs w:val="22"/>
          <w:lang w:val="en-GB"/>
        </w:rPr>
        <w:t>conservation translocations other than re-establishments (the latter already being covered by</w:t>
      </w:r>
      <w:r w:rsidR="002D5AC2" w:rsidRPr="00417F06">
        <w:rPr>
          <w:color w:val="000000" w:themeColor="text1"/>
          <w:sz w:val="22"/>
          <w:szCs w:val="22"/>
          <w:lang w:val="en-GB"/>
        </w:rPr>
        <w:t xml:space="preserve"> subparagraph (c))</w:t>
      </w:r>
      <w:r w:rsidR="003126DB" w:rsidRPr="00417F06">
        <w:rPr>
          <w:color w:val="000000" w:themeColor="text1"/>
          <w:sz w:val="22"/>
          <w:szCs w:val="22"/>
          <w:lang w:val="en-GB"/>
        </w:rPr>
        <w:t>.</w:t>
      </w:r>
      <w:r w:rsidR="0082105A" w:rsidRPr="00417F06">
        <w:rPr>
          <w:color w:val="000000" w:themeColor="text1"/>
          <w:sz w:val="22"/>
          <w:szCs w:val="22"/>
          <w:lang w:val="en-GB"/>
        </w:rPr>
        <w:t xml:space="preserve"> Broader guidance on such activities is provided in </w:t>
      </w:r>
      <w:r w:rsidR="0082105A" w:rsidRPr="00417F06">
        <w:rPr>
          <w:sz w:val="22"/>
          <w:szCs w:val="22"/>
          <w:lang w:val="en-GB"/>
        </w:rPr>
        <w:t xml:space="preserve">the </w:t>
      </w:r>
      <w:hyperlink r:id="rId24" w:history="1">
        <w:r w:rsidR="0082105A" w:rsidRPr="00417F06">
          <w:rPr>
            <w:rStyle w:val="Hyperlink"/>
            <w:i/>
            <w:sz w:val="22"/>
            <w:szCs w:val="22"/>
            <w:lang w:val="en-GB"/>
          </w:rPr>
          <w:t>IUCN Guidelines for Reintroductions and Other Conservation Translocations</w:t>
        </w:r>
      </w:hyperlink>
      <w:r w:rsidR="0082105A" w:rsidRPr="00417F06">
        <w:rPr>
          <w:sz w:val="22"/>
          <w:szCs w:val="22"/>
          <w:lang w:val="en-GB"/>
        </w:rPr>
        <w:t xml:space="preserve"> and the </w:t>
      </w:r>
      <w:hyperlink r:id="rId25" w:history="1">
        <w:r w:rsidR="0082105A" w:rsidRPr="00417F06">
          <w:rPr>
            <w:rStyle w:val="Hyperlink"/>
            <w:i/>
            <w:sz w:val="22"/>
            <w:szCs w:val="22"/>
            <w:lang w:val="en-GB"/>
          </w:rPr>
          <w:t xml:space="preserve">AEWA Guidelines for Translocation of </w:t>
        </w:r>
        <w:proofErr w:type="spellStart"/>
        <w:r w:rsidR="0082105A" w:rsidRPr="00417F06">
          <w:rPr>
            <w:rStyle w:val="Hyperlink"/>
            <w:i/>
            <w:sz w:val="22"/>
            <w:szCs w:val="22"/>
            <w:lang w:val="en-GB"/>
          </w:rPr>
          <w:t>Waterbirds</w:t>
        </w:r>
        <w:proofErr w:type="spellEnd"/>
        <w:r w:rsidR="0082105A" w:rsidRPr="00417F06">
          <w:rPr>
            <w:rStyle w:val="Hyperlink"/>
            <w:i/>
            <w:sz w:val="22"/>
            <w:szCs w:val="22"/>
            <w:lang w:val="en-GB"/>
          </w:rPr>
          <w:t xml:space="preserve"> for Conservation Purposes: Complementing the IUCN Guidelines</w:t>
        </w:r>
      </w:hyperlink>
      <w:r w:rsidR="004F6BBF" w:rsidRPr="00417F06">
        <w:rPr>
          <w:sz w:val="22"/>
          <w:szCs w:val="22"/>
          <w:lang w:val="en-GB"/>
        </w:rPr>
        <w:t>.</w:t>
      </w:r>
    </w:p>
    <w:p w14:paraId="1CF0FDF0" w14:textId="77777777" w:rsidR="00942242" w:rsidRPr="00C15E93" w:rsidRDefault="00942242" w:rsidP="00273D89">
      <w:pPr>
        <w:jc w:val="both"/>
        <w:rPr>
          <w:color w:val="70AD47" w:themeColor="accent6"/>
          <w:lang w:val="en-GB"/>
        </w:rPr>
      </w:pPr>
    </w:p>
    <w:p w14:paraId="7E1331F9" w14:textId="77777777" w:rsidR="00DB1165" w:rsidRPr="00C15E93" w:rsidRDefault="00DB1165" w:rsidP="00ED07B9">
      <w:pPr>
        <w:jc w:val="both"/>
        <w:rPr>
          <w:lang w:val="en-GB"/>
        </w:rPr>
      </w:pPr>
    </w:p>
    <w:p w14:paraId="2A60BB98" w14:textId="77777777" w:rsidR="00ED07B9" w:rsidRPr="00C15E93" w:rsidRDefault="00100C1D" w:rsidP="00100C1D">
      <w:pPr>
        <w:shd w:val="clear" w:color="auto" w:fill="D9E2F3" w:themeFill="accent1" w:themeFillTint="33"/>
        <w:jc w:val="both"/>
        <w:rPr>
          <w:lang w:val="en-GB"/>
        </w:rPr>
      </w:pPr>
      <w:r w:rsidRPr="00C15E93">
        <w:rPr>
          <w:b/>
          <w:lang w:val="en-GB"/>
        </w:rPr>
        <w:t>Guidance on ensuring that exemptions do not operate to the detriment of Table 1 populations, and that they are precise as to content and limited in space and time</w:t>
      </w:r>
    </w:p>
    <w:p w14:paraId="5C0976CE" w14:textId="77777777" w:rsidR="00D52E77" w:rsidRPr="00C15E93" w:rsidRDefault="00D52E77" w:rsidP="00FE25CF">
      <w:pPr>
        <w:jc w:val="both"/>
        <w:rPr>
          <w:lang w:val="en-GB"/>
        </w:rPr>
      </w:pPr>
    </w:p>
    <w:p w14:paraId="721FACB3" w14:textId="77777777" w:rsidR="00EA0073" w:rsidRPr="00417F06" w:rsidRDefault="00EA0073" w:rsidP="00C84343">
      <w:pPr>
        <w:spacing w:line="276" w:lineRule="auto"/>
        <w:jc w:val="both"/>
        <w:rPr>
          <w:sz w:val="22"/>
          <w:szCs w:val="22"/>
          <w:lang w:val="en-GB"/>
        </w:rPr>
      </w:pPr>
      <w:r w:rsidRPr="00417F06">
        <w:rPr>
          <w:sz w:val="22"/>
          <w:szCs w:val="22"/>
          <w:lang w:val="en-GB"/>
        </w:rPr>
        <w:t xml:space="preserve">In light of Article II.1 of AEWA’s </w:t>
      </w:r>
      <w:r w:rsidR="001C65BB" w:rsidRPr="00417F06">
        <w:rPr>
          <w:sz w:val="22"/>
          <w:szCs w:val="22"/>
          <w:lang w:val="en-GB"/>
        </w:rPr>
        <w:t xml:space="preserve">Agreement text, an exemption should be considered to </w:t>
      </w:r>
      <w:r w:rsidR="00476501" w:rsidRPr="00417F06">
        <w:rPr>
          <w:sz w:val="22"/>
          <w:szCs w:val="22"/>
          <w:lang w:val="en-GB"/>
        </w:rPr>
        <w:t>“</w:t>
      </w:r>
      <w:r w:rsidR="001C65BB" w:rsidRPr="00417F06">
        <w:rPr>
          <w:sz w:val="22"/>
          <w:szCs w:val="22"/>
          <w:lang w:val="en-GB"/>
        </w:rPr>
        <w:t xml:space="preserve">operate to </w:t>
      </w:r>
      <w:r w:rsidR="00476501" w:rsidRPr="00417F06">
        <w:rPr>
          <w:sz w:val="22"/>
          <w:szCs w:val="22"/>
          <w:lang w:val="en-GB"/>
        </w:rPr>
        <w:t>the detriment” of a population</w:t>
      </w:r>
      <w:r w:rsidR="001C65BB" w:rsidRPr="00417F06">
        <w:rPr>
          <w:sz w:val="22"/>
          <w:szCs w:val="22"/>
          <w:lang w:val="en-GB"/>
        </w:rPr>
        <w:t xml:space="preserve"> if it </w:t>
      </w:r>
      <w:r w:rsidR="00B171D3" w:rsidRPr="00417F06">
        <w:rPr>
          <w:color w:val="000000" w:themeColor="text1"/>
          <w:sz w:val="22"/>
          <w:szCs w:val="22"/>
          <w:lang w:val="en-GB"/>
        </w:rPr>
        <w:t>is detrimental to</w:t>
      </w:r>
      <w:r w:rsidR="001C65BB" w:rsidRPr="00417F06">
        <w:rPr>
          <w:color w:val="000000" w:themeColor="text1"/>
          <w:sz w:val="22"/>
          <w:szCs w:val="22"/>
          <w:lang w:val="en-GB"/>
        </w:rPr>
        <w:t xml:space="preserve"> </w:t>
      </w:r>
      <w:r w:rsidR="001C65BB" w:rsidRPr="00417F06">
        <w:rPr>
          <w:sz w:val="22"/>
          <w:szCs w:val="22"/>
          <w:lang w:val="en-GB"/>
        </w:rPr>
        <w:t xml:space="preserve">the population’s maintenance at, or restoration to, a favourable conservation status. This assessment should be based on current data on the state of the population, including its size, its distribution, the state of its habitat, and its future prospects. </w:t>
      </w:r>
      <w:r w:rsidR="008214DD" w:rsidRPr="00417F06">
        <w:rPr>
          <w:sz w:val="22"/>
          <w:szCs w:val="22"/>
          <w:lang w:val="en-GB"/>
        </w:rPr>
        <w:t>If there is uncertainty</w:t>
      </w:r>
      <w:r w:rsidRPr="00417F06">
        <w:rPr>
          <w:sz w:val="22"/>
          <w:szCs w:val="22"/>
          <w:lang w:val="en-GB"/>
        </w:rPr>
        <w:t xml:space="preserve"> concerning the impacts of a proposed exemption, </w:t>
      </w:r>
      <w:r w:rsidR="008214DD" w:rsidRPr="00417F06">
        <w:rPr>
          <w:sz w:val="22"/>
          <w:szCs w:val="22"/>
          <w:lang w:val="en-GB"/>
        </w:rPr>
        <w:t xml:space="preserve">the precautionary principle should be taken into account </w:t>
      </w:r>
      <w:r w:rsidRPr="00417F06">
        <w:rPr>
          <w:sz w:val="22"/>
          <w:szCs w:val="22"/>
          <w:lang w:val="en-GB"/>
        </w:rPr>
        <w:t xml:space="preserve">(Article II.2). </w:t>
      </w:r>
    </w:p>
    <w:p w14:paraId="4431567F" w14:textId="77777777" w:rsidR="004F3F1B" w:rsidRPr="00417F06" w:rsidRDefault="004F3F1B" w:rsidP="001C65BB">
      <w:pPr>
        <w:jc w:val="both"/>
        <w:rPr>
          <w:sz w:val="22"/>
          <w:szCs w:val="22"/>
          <w:lang w:val="en-GB"/>
        </w:rPr>
      </w:pPr>
    </w:p>
    <w:p w14:paraId="33D02F90" w14:textId="67E5BFF2" w:rsidR="00F6346F" w:rsidRPr="00417F06" w:rsidRDefault="001C65BB" w:rsidP="00C84343">
      <w:pPr>
        <w:spacing w:line="276" w:lineRule="auto"/>
        <w:jc w:val="both"/>
        <w:rPr>
          <w:sz w:val="22"/>
          <w:szCs w:val="22"/>
          <w:lang w:val="en-GB"/>
        </w:rPr>
      </w:pPr>
      <w:r w:rsidRPr="00417F06">
        <w:rPr>
          <w:sz w:val="22"/>
          <w:szCs w:val="22"/>
          <w:lang w:val="en-GB"/>
        </w:rPr>
        <w:t xml:space="preserve">The relevant scale </w:t>
      </w:r>
      <w:r w:rsidR="007B6D35" w:rsidRPr="00417F06">
        <w:rPr>
          <w:sz w:val="22"/>
          <w:szCs w:val="22"/>
          <w:lang w:val="en-GB"/>
        </w:rPr>
        <w:t xml:space="preserve">at which to </w:t>
      </w:r>
      <w:r w:rsidR="004F3F1B" w:rsidRPr="00417F06">
        <w:rPr>
          <w:sz w:val="22"/>
          <w:szCs w:val="22"/>
          <w:lang w:val="en-GB"/>
        </w:rPr>
        <w:t xml:space="preserve">both determine conservation status and </w:t>
      </w:r>
      <w:r w:rsidR="007B6D35" w:rsidRPr="00417F06">
        <w:rPr>
          <w:sz w:val="22"/>
          <w:szCs w:val="22"/>
          <w:lang w:val="en-GB"/>
        </w:rPr>
        <w:t>evaluate whether an exemption’s impact</w:t>
      </w:r>
      <w:r w:rsidR="00BE73F2" w:rsidRPr="00417F06">
        <w:rPr>
          <w:sz w:val="22"/>
          <w:szCs w:val="22"/>
          <w:lang w:val="en-GB"/>
        </w:rPr>
        <w:t xml:space="preserve"> is likely to</w:t>
      </w:r>
      <w:r w:rsidR="007B6D35" w:rsidRPr="00417F06">
        <w:rPr>
          <w:sz w:val="22"/>
          <w:szCs w:val="22"/>
          <w:lang w:val="en-GB"/>
        </w:rPr>
        <w:t xml:space="preserve"> be detrimental</w:t>
      </w:r>
      <w:r w:rsidR="00B75BA9">
        <w:rPr>
          <w:sz w:val="22"/>
          <w:szCs w:val="22"/>
          <w:lang w:val="en-GB"/>
        </w:rPr>
        <w:t>,</w:t>
      </w:r>
      <w:r w:rsidR="007B6D35" w:rsidRPr="00417F06">
        <w:rPr>
          <w:sz w:val="22"/>
          <w:szCs w:val="22"/>
          <w:lang w:val="en-GB"/>
        </w:rPr>
        <w:t xml:space="preserve"> </w:t>
      </w:r>
      <w:r w:rsidRPr="00417F06">
        <w:rPr>
          <w:sz w:val="22"/>
          <w:szCs w:val="22"/>
          <w:lang w:val="en-GB"/>
        </w:rPr>
        <w:t xml:space="preserve">is the </w:t>
      </w:r>
      <w:r w:rsidR="00EA0073" w:rsidRPr="00417F06">
        <w:rPr>
          <w:sz w:val="22"/>
          <w:szCs w:val="22"/>
          <w:lang w:val="en-GB"/>
        </w:rPr>
        <w:t>population</w:t>
      </w:r>
      <w:r w:rsidR="00072A79" w:rsidRPr="00417F06">
        <w:rPr>
          <w:sz w:val="22"/>
          <w:szCs w:val="22"/>
          <w:lang w:val="en-GB"/>
        </w:rPr>
        <w:t xml:space="preserve"> level. Hence, t</w:t>
      </w:r>
      <w:r w:rsidR="00570228" w:rsidRPr="00417F06">
        <w:rPr>
          <w:sz w:val="22"/>
          <w:szCs w:val="22"/>
          <w:lang w:val="en-GB"/>
        </w:rPr>
        <w:t>he</w:t>
      </w:r>
      <w:r w:rsidRPr="00417F06">
        <w:rPr>
          <w:sz w:val="22"/>
          <w:szCs w:val="22"/>
          <w:lang w:val="en-GB"/>
        </w:rPr>
        <w:t xml:space="preserve"> cumulative effects of </w:t>
      </w:r>
      <w:r w:rsidR="00F6346F" w:rsidRPr="00417F06">
        <w:rPr>
          <w:sz w:val="22"/>
          <w:szCs w:val="22"/>
          <w:lang w:val="en-GB"/>
        </w:rPr>
        <w:t>exemptions</w:t>
      </w:r>
      <w:r w:rsidR="00EA0073" w:rsidRPr="00417F06">
        <w:rPr>
          <w:sz w:val="22"/>
          <w:szCs w:val="22"/>
          <w:lang w:val="en-GB"/>
        </w:rPr>
        <w:t xml:space="preserve"> </w:t>
      </w:r>
      <w:r w:rsidR="00072A79" w:rsidRPr="00417F06">
        <w:rPr>
          <w:sz w:val="22"/>
          <w:szCs w:val="22"/>
          <w:lang w:val="en-GB"/>
        </w:rPr>
        <w:t xml:space="preserve">across the population’s </w:t>
      </w:r>
      <w:r w:rsidR="006A7DD4" w:rsidRPr="00417F06">
        <w:rPr>
          <w:sz w:val="22"/>
          <w:szCs w:val="22"/>
          <w:lang w:val="en-GB"/>
        </w:rPr>
        <w:t xml:space="preserve">flyway </w:t>
      </w:r>
      <w:r w:rsidR="00EA0073" w:rsidRPr="00417F06">
        <w:rPr>
          <w:sz w:val="22"/>
          <w:szCs w:val="22"/>
          <w:lang w:val="en-GB"/>
        </w:rPr>
        <w:t xml:space="preserve">need to </w:t>
      </w:r>
      <w:r w:rsidRPr="00417F06">
        <w:rPr>
          <w:sz w:val="22"/>
          <w:szCs w:val="22"/>
          <w:lang w:val="en-GB"/>
        </w:rPr>
        <w:t>be taken into</w:t>
      </w:r>
      <w:r w:rsidR="00F6346F" w:rsidRPr="00417F06">
        <w:rPr>
          <w:sz w:val="22"/>
          <w:szCs w:val="22"/>
          <w:lang w:val="en-GB"/>
        </w:rPr>
        <w:t xml:space="preserve"> account</w:t>
      </w:r>
      <w:r w:rsidR="00570228" w:rsidRPr="00417F06">
        <w:rPr>
          <w:sz w:val="22"/>
          <w:szCs w:val="22"/>
          <w:lang w:val="en-GB"/>
        </w:rPr>
        <w:t xml:space="preserve">. </w:t>
      </w:r>
    </w:p>
    <w:p w14:paraId="54BD7097" w14:textId="77777777" w:rsidR="00101166" w:rsidRPr="00417F06" w:rsidRDefault="00101166" w:rsidP="00C84343">
      <w:pPr>
        <w:spacing w:line="276" w:lineRule="auto"/>
        <w:jc w:val="both"/>
        <w:rPr>
          <w:sz w:val="22"/>
          <w:szCs w:val="22"/>
          <w:lang w:val="en-GB"/>
        </w:rPr>
      </w:pPr>
    </w:p>
    <w:p w14:paraId="0295436D" w14:textId="03A98E6B" w:rsidR="00101166" w:rsidRPr="00417F06" w:rsidRDefault="00101166" w:rsidP="00C84343">
      <w:pPr>
        <w:spacing w:line="276" w:lineRule="auto"/>
        <w:jc w:val="both"/>
        <w:rPr>
          <w:sz w:val="22"/>
          <w:szCs w:val="22"/>
          <w:lang w:val="en-GB"/>
        </w:rPr>
      </w:pPr>
      <w:r w:rsidRPr="00417F06">
        <w:rPr>
          <w:sz w:val="22"/>
          <w:szCs w:val="22"/>
          <w:lang w:val="en-GB"/>
        </w:rPr>
        <w:t xml:space="preserve">An </w:t>
      </w:r>
      <w:r w:rsidR="00B75BA9">
        <w:rPr>
          <w:sz w:val="22"/>
          <w:szCs w:val="22"/>
          <w:lang w:val="en-GB"/>
        </w:rPr>
        <w:t>I</w:t>
      </w:r>
      <w:r w:rsidRPr="00417F06">
        <w:rPr>
          <w:sz w:val="22"/>
          <w:szCs w:val="22"/>
          <w:lang w:val="en-GB"/>
        </w:rPr>
        <w:t xml:space="preserve">nternational </w:t>
      </w:r>
      <w:r w:rsidR="00B75BA9">
        <w:rPr>
          <w:sz w:val="22"/>
          <w:szCs w:val="22"/>
          <w:lang w:val="en-GB"/>
        </w:rPr>
        <w:t>S</w:t>
      </w:r>
      <w:r w:rsidRPr="00417F06">
        <w:rPr>
          <w:sz w:val="22"/>
          <w:szCs w:val="22"/>
          <w:lang w:val="en-GB"/>
        </w:rPr>
        <w:t xml:space="preserve">pecies </w:t>
      </w:r>
      <w:r w:rsidR="00B75BA9">
        <w:rPr>
          <w:sz w:val="22"/>
          <w:szCs w:val="22"/>
          <w:lang w:val="en-GB"/>
        </w:rPr>
        <w:t>A</w:t>
      </w:r>
      <w:r w:rsidRPr="00417F06">
        <w:rPr>
          <w:sz w:val="22"/>
          <w:szCs w:val="22"/>
          <w:lang w:val="en-GB"/>
        </w:rPr>
        <w:t xml:space="preserve">ction </w:t>
      </w:r>
      <w:r w:rsidR="00B75BA9">
        <w:rPr>
          <w:sz w:val="22"/>
          <w:szCs w:val="22"/>
          <w:lang w:val="en-GB"/>
        </w:rPr>
        <w:t>P</w:t>
      </w:r>
      <w:r w:rsidRPr="00417F06">
        <w:rPr>
          <w:sz w:val="22"/>
          <w:szCs w:val="22"/>
          <w:lang w:val="en-GB"/>
        </w:rPr>
        <w:t xml:space="preserve">lan or </w:t>
      </w:r>
      <w:r w:rsidR="00B75BA9">
        <w:rPr>
          <w:sz w:val="22"/>
          <w:szCs w:val="22"/>
          <w:lang w:val="en-GB"/>
        </w:rPr>
        <w:t>M</w:t>
      </w:r>
      <w:r w:rsidRPr="00417F06">
        <w:rPr>
          <w:sz w:val="22"/>
          <w:szCs w:val="22"/>
          <w:lang w:val="en-GB"/>
        </w:rPr>
        <w:t xml:space="preserve">anagement </w:t>
      </w:r>
      <w:r w:rsidR="00B75BA9">
        <w:rPr>
          <w:sz w:val="22"/>
          <w:szCs w:val="22"/>
          <w:lang w:val="en-GB"/>
        </w:rPr>
        <w:t>P</w:t>
      </w:r>
      <w:r w:rsidRPr="00417F06">
        <w:rPr>
          <w:sz w:val="22"/>
          <w:szCs w:val="22"/>
          <w:lang w:val="en-GB"/>
        </w:rPr>
        <w:t xml:space="preserve">lan can provide a framework for ensuring that the cumulative impact of national exemption schemes is not detrimental to </w:t>
      </w:r>
      <w:r w:rsidR="00E9421D" w:rsidRPr="00417F06">
        <w:rPr>
          <w:sz w:val="22"/>
          <w:szCs w:val="22"/>
          <w:lang w:val="en-GB"/>
        </w:rPr>
        <w:t>a population’s</w:t>
      </w:r>
      <w:r w:rsidRPr="00417F06">
        <w:rPr>
          <w:sz w:val="22"/>
          <w:szCs w:val="22"/>
          <w:lang w:val="en-GB"/>
        </w:rPr>
        <w:t xml:space="preserve"> conservation status</w:t>
      </w:r>
      <w:r w:rsidR="004E2671" w:rsidRPr="00417F06">
        <w:rPr>
          <w:sz w:val="22"/>
          <w:szCs w:val="22"/>
          <w:lang w:val="en-GB"/>
        </w:rPr>
        <w:t>. The existence and i</w:t>
      </w:r>
      <w:r w:rsidRPr="00417F06">
        <w:rPr>
          <w:sz w:val="22"/>
          <w:szCs w:val="22"/>
          <w:lang w:val="en-GB"/>
        </w:rPr>
        <w:t xml:space="preserve">mplementation of such a plan can consequently assist Contracting Parties to demonstrate that </w:t>
      </w:r>
      <w:r w:rsidR="00072A79" w:rsidRPr="00417F06">
        <w:rPr>
          <w:sz w:val="22"/>
          <w:szCs w:val="22"/>
          <w:lang w:val="en-GB"/>
        </w:rPr>
        <w:t>their exemptions</w:t>
      </w:r>
      <w:r w:rsidR="004E2671" w:rsidRPr="00417F06">
        <w:rPr>
          <w:sz w:val="22"/>
          <w:szCs w:val="22"/>
          <w:lang w:val="en-GB"/>
        </w:rPr>
        <w:t xml:space="preserve"> will not operate to the detriment of specific Table 1 populations</w:t>
      </w:r>
      <w:r w:rsidRPr="00417F06">
        <w:rPr>
          <w:sz w:val="22"/>
          <w:szCs w:val="22"/>
          <w:lang w:val="en-GB"/>
        </w:rPr>
        <w:t xml:space="preserve">. </w:t>
      </w:r>
    </w:p>
    <w:p w14:paraId="334855A9" w14:textId="77777777" w:rsidR="00101166" w:rsidRPr="00417F06" w:rsidRDefault="00101166" w:rsidP="00C84343">
      <w:pPr>
        <w:spacing w:line="276" w:lineRule="auto"/>
        <w:jc w:val="both"/>
        <w:rPr>
          <w:sz w:val="22"/>
          <w:szCs w:val="22"/>
          <w:lang w:val="en-GB"/>
        </w:rPr>
      </w:pPr>
    </w:p>
    <w:p w14:paraId="790AFC8D" w14:textId="50C7815E" w:rsidR="00FE4F07" w:rsidRPr="00417F06" w:rsidRDefault="00F6346F" w:rsidP="00C84343">
      <w:pPr>
        <w:spacing w:line="276" w:lineRule="auto"/>
        <w:jc w:val="both"/>
        <w:rPr>
          <w:sz w:val="22"/>
          <w:szCs w:val="22"/>
          <w:lang w:val="en-GB"/>
        </w:rPr>
      </w:pPr>
      <w:r w:rsidRPr="00417F06">
        <w:rPr>
          <w:sz w:val="22"/>
          <w:szCs w:val="22"/>
          <w:lang w:val="en-GB"/>
        </w:rPr>
        <w:t>Special caution needs to</w:t>
      </w:r>
      <w:r w:rsidR="001C65BB" w:rsidRPr="00417F06">
        <w:rPr>
          <w:sz w:val="22"/>
          <w:szCs w:val="22"/>
          <w:lang w:val="en-GB"/>
        </w:rPr>
        <w:t xml:space="preserve"> be taken when assessing the </w:t>
      </w:r>
      <w:r w:rsidR="00D5727D" w:rsidRPr="00417F06">
        <w:rPr>
          <w:sz w:val="22"/>
          <w:szCs w:val="22"/>
          <w:lang w:val="en-GB"/>
        </w:rPr>
        <w:t xml:space="preserve">potential </w:t>
      </w:r>
      <w:r w:rsidR="001C65BB" w:rsidRPr="00417F06">
        <w:rPr>
          <w:sz w:val="22"/>
          <w:szCs w:val="22"/>
          <w:lang w:val="en-GB"/>
        </w:rPr>
        <w:t>impacts of exemptions upon populations with an unfavourable conservation status.</w:t>
      </w:r>
      <w:r w:rsidR="007F065E" w:rsidRPr="00417F06">
        <w:rPr>
          <w:sz w:val="22"/>
          <w:szCs w:val="22"/>
          <w:lang w:val="en-GB"/>
        </w:rPr>
        <w:t xml:space="preserve"> For an exemption to be permissible in respect of such a population, it must either operate to the population’s benefit or be neutral in the sense that it does not impair the prospect of restoring a favourable conservation status. </w:t>
      </w:r>
      <w:r w:rsidR="00EC6B1B" w:rsidRPr="00417F06">
        <w:rPr>
          <w:sz w:val="22"/>
          <w:szCs w:val="22"/>
          <w:lang w:val="en-GB"/>
        </w:rPr>
        <w:t xml:space="preserve">This will be easier to demonstrate if appropriate measures are being taken to promote the population’s recovery and the exemption is unlikely to work against, render ineffective, or neutralize these measures. Ideally, such measures should be implemented within the framework of an </w:t>
      </w:r>
      <w:r w:rsidR="00B75BA9">
        <w:rPr>
          <w:sz w:val="22"/>
          <w:szCs w:val="22"/>
          <w:lang w:val="en-GB"/>
        </w:rPr>
        <w:t>I</w:t>
      </w:r>
      <w:r w:rsidR="00EC6B1B" w:rsidRPr="00417F06">
        <w:rPr>
          <w:sz w:val="22"/>
          <w:szCs w:val="22"/>
          <w:lang w:val="en-GB"/>
        </w:rPr>
        <w:t xml:space="preserve">nternational </w:t>
      </w:r>
      <w:r w:rsidR="00B75BA9">
        <w:rPr>
          <w:sz w:val="22"/>
          <w:szCs w:val="22"/>
          <w:lang w:val="en-GB"/>
        </w:rPr>
        <w:t>S</w:t>
      </w:r>
      <w:r w:rsidR="00EC6B1B" w:rsidRPr="00417F06">
        <w:rPr>
          <w:sz w:val="22"/>
          <w:szCs w:val="22"/>
          <w:lang w:val="en-GB"/>
        </w:rPr>
        <w:t xml:space="preserve">pecies </w:t>
      </w:r>
      <w:r w:rsidR="00B75BA9">
        <w:rPr>
          <w:sz w:val="22"/>
          <w:szCs w:val="22"/>
          <w:lang w:val="en-GB"/>
        </w:rPr>
        <w:t>A</w:t>
      </w:r>
      <w:r w:rsidR="00EC6B1B" w:rsidRPr="00417F06">
        <w:rPr>
          <w:sz w:val="22"/>
          <w:szCs w:val="22"/>
          <w:lang w:val="en-GB"/>
        </w:rPr>
        <w:t xml:space="preserve">ction </w:t>
      </w:r>
      <w:r w:rsidR="00B75BA9">
        <w:rPr>
          <w:sz w:val="22"/>
          <w:szCs w:val="22"/>
          <w:lang w:val="en-GB"/>
        </w:rPr>
        <w:t>P</w:t>
      </w:r>
      <w:r w:rsidR="00EC6B1B" w:rsidRPr="00417F06">
        <w:rPr>
          <w:sz w:val="22"/>
          <w:szCs w:val="22"/>
          <w:lang w:val="en-GB"/>
        </w:rPr>
        <w:t>lan.</w:t>
      </w:r>
    </w:p>
    <w:p w14:paraId="35879AFE" w14:textId="77777777" w:rsidR="00FE4F07" w:rsidRPr="00417F06" w:rsidRDefault="00FE4F07" w:rsidP="00C84343">
      <w:pPr>
        <w:spacing w:line="276" w:lineRule="auto"/>
        <w:jc w:val="both"/>
        <w:rPr>
          <w:sz w:val="22"/>
          <w:szCs w:val="22"/>
          <w:lang w:val="en-GB"/>
        </w:rPr>
      </w:pPr>
    </w:p>
    <w:p w14:paraId="2E51E029" w14:textId="67B8EA34" w:rsidR="00EC123C" w:rsidRPr="00417F06" w:rsidRDefault="005F577F" w:rsidP="00C84343">
      <w:pPr>
        <w:spacing w:line="276" w:lineRule="auto"/>
        <w:jc w:val="both"/>
        <w:rPr>
          <w:sz w:val="22"/>
          <w:szCs w:val="22"/>
          <w:lang w:val="en-GB"/>
        </w:rPr>
      </w:pPr>
      <w:r w:rsidRPr="00417F06">
        <w:rPr>
          <w:sz w:val="22"/>
          <w:szCs w:val="22"/>
          <w:lang w:val="en-GB"/>
        </w:rPr>
        <w:t>The</w:t>
      </w:r>
      <w:r w:rsidR="0017751F" w:rsidRPr="00417F06">
        <w:rPr>
          <w:sz w:val="22"/>
          <w:szCs w:val="22"/>
          <w:lang w:val="en-GB"/>
        </w:rPr>
        <w:t xml:space="preserve"> condition </w:t>
      </w:r>
      <w:r w:rsidRPr="00417F06">
        <w:rPr>
          <w:sz w:val="22"/>
          <w:szCs w:val="22"/>
          <w:lang w:val="en-GB"/>
        </w:rPr>
        <w:t xml:space="preserve">that exemptions </w:t>
      </w:r>
      <w:r w:rsidR="00B75BA9">
        <w:rPr>
          <w:sz w:val="22"/>
          <w:szCs w:val="22"/>
          <w:lang w:val="en-GB"/>
        </w:rPr>
        <w:t xml:space="preserve">do </w:t>
      </w:r>
      <w:r w:rsidRPr="00417F06">
        <w:rPr>
          <w:sz w:val="22"/>
          <w:szCs w:val="22"/>
          <w:lang w:val="en-GB"/>
        </w:rPr>
        <w:t>not operate to the detriment of Table 1 populations</w:t>
      </w:r>
      <w:r w:rsidR="00B75BA9">
        <w:rPr>
          <w:sz w:val="22"/>
          <w:szCs w:val="22"/>
          <w:lang w:val="en-GB"/>
        </w:rPr>
        <w:t>,</w:t>
      </w:r>
      <w:r w:rsidRPr="00417F06">
        <w:rPr>
          <w:sz w:val="22"/>
          <w:szCs w:val="22"/>
          <w:lang w:val="en-GB"/>
        </w:rPr>
        <w:t xml:space="preserve"> </w:t>
      </w:r>
      <w:r w:rsidR="0017751F" w:rsidRPr="00417F06">
        <w:rPr>
          <w:sz w:val="22"/>
          <w:szCs w:val="22"/>
          <w:lang w:val="en-GB"/>
        </w:rPr>
        <w:t>should be taken into consideration</w:t>
      </w:r>
      <w:r w:rsidR="00A168D3" w:rsidRPr="00417F06">
        <w:rPr>
          <w:sz w:val="22"/>
          <w:szCs w:val="22"/>
          <w:lang w:val="en-GB"/>
        </w:rPr>
        <w:t xml:space="preserve"> when determining </w:t>
      </w:r>
      <w:r w:rsidR="008F2DD4" w:rsidRPr="00417F06">
        <w:rPr>
          <w:sz w:val="22"/>
          <w:szCs w:val="22"/>
          <w:lang w:val="en-GB"/>
        </w:rPr>
        <w:t>whether or not to grant an exemption</w:t>
      </w:r>
      <w:r w:rsidR="00084432" w:rsidRPr="00417F06">
        <w:rPr>
          <w:sz w:val="22"/>
          <w:szCs w:val="22"/>
          <w:lang w:val="en-GB"/>
        </w:rPr>
        <w:t xml:space="preserve"> in the first place</w:t>
      </w:r>
      <w:r w:rsidR="008F2DD4" w:rsidRPr="00417F06">
        <w:rPr>
          <w:sz w:val="22"/>
          <w:szCs w:val="22"/>
          <w:lang w:val="en-GB"/>
        </w:rPr>
        <w:t xml:space="preserve">. </w:t>
      </w:r>
      <w:r w:rsidR="00D133A7" w:rsidRPr="00417F06">
        <w:rPr>
          <w:sz w:val="22"/>
          <w:szCs w:val="22"/>
          <w:lang w:val="en-GB"/>
        </w:rPr>
        <w:t xml:space="preserve">If </w:t>
      </w:r>
      <w:r w:rsidR="008F2DD4" w:rsidRPr="00417F06">
        <w:rPr>
          <w:sz w:val="22"/>
          <w:szCs w:val="22"/>
          <w:lang w:val="en-GB"/>
        </w:rPr>
        <w:t xml:space="preserve">an exemption is granted, the condition should additionally be taken into account when </w:t>
      </w:r>
      <w:r w:rsidR="00D868D4" w:rsidRPr="00417F06">
        <w:rPr>
          <w:sz w:val="22"/>
          <w:szCs w:val="22"/>
          <w:lang w:val="en-GB"/>
        </w:rPr>
        <w:t xml:space="preserve">determining the </w:t>
      </w:r>
      <w:r w:rsidR="005B4208" w:rsidRPr="00417F06">
        <w:rPr>
          <w:sz w:val="22"/>
          <w:szCs w:val="22"/>
          <w:lang w:val="en-GB"/>
        </w:rPr>
        <w:t xml:space="preserve">various limitations </w:t>
      </w:r>
      <w:r w:rsidR="00D868D4" w:rsidRPr="00417F06">
        <w:rPr>
          <w:sz w:val="22"/>
          <w:szCs w:val="22"/>
          <w:lang w:val="en-GB"/>
        </w:rPr>
        <w:t xml:space="preserve">subject to which </w:t>
      </w:r>
      <w:r w:rsidR="000E7110" w:rsidRPr="00417F06">
        <w:rPr>
          <w:sz w:val="22"/>
          <w:szCs w:val="22"/>
          <w:lang w:val="en-GB"/>
        </w:rPr>
        <w:t xml:space="preserve">it is </w:t>
      </w:r>
      <w:r w:rsidR="00B75BA9" w:rsidRPr="00417F06">
        <w:rPr>
          <w:sz w:val="22"/>
          <w:szCs w:val="22"/>
          <w:lang w:val="en-GB"/>
        </w:rPr>
        <w:t>authorized and</w:t>
      </w:r>
      <w:r w:rsidR="00D868D4" w:rsidRPr="00417F06">
        <w:rPr>
          <w:sz w:val="22"/>
          <w:szCs w:val="22"/>
          <w:lang w:val="en-GB"/>
        </w:rPr>
        <w:t xml:space="preserve"> ensuring that these are adhered to. </w:t>
      </w:r>
      <w:r w:rsidR="00B625B0" w:rsidRPr="00417F06">
        <w:rPr>
          <w:sz w:val="22"/>
          <w:szCs w:val="22"/>
          <w:lang w:val="en-GB"/>
        </w:rPr>
        <w:t>Read</w:t>
      </w:r>
      <w:r w:rsidR="002D52E6" w:rsidRPr="00417F06">
        <w:rPr>
          <w:sz w:val="22"/>
          <w:szCs w:val="22"/>
          <w:lang w:val="en-GB"/>
        </w:rPr>
        <w:t>ing this</w:t>
      </w:r>
      <w:r w:rsidR="00BD07F9" w:rsidRPr="00417F06">
        <w:rPr>
          <w:sz w:val="22"/>
          <w:szCs w:val="22"/>
          <w:lang w:val="en-GB"/>
        </w:rPr>
        <w:t xml:space="preserve"> condition</w:t>
      </w:r>
      <w:r w:rsidR="00B625B0" w:rsidRPr="00417F06">
        <w:rPr>
          <w:sz w:val="22"/>
          <w:szCs w:val="22"/>
          <w:lang w:val="en-GB"/>
        </w:rPr>
        <w:t xml:space="preserve"> with the accompanying requirements that exemptions be precise as to content and limited in space and time</w:t>
      </w:r>
      <w:r w:rsidR="00D133A7" w:rsidRPr="00417F06">
        <w:rPr>
          <w:sz w:val="22"/>
          <w:szCs w:val="22"/>
          <w:lang w:val="en-GB"/>
        </w:rPr>
        <w:t xml:space="preserve">, it is advisable that </w:t>
      </w:r>
      <w:r w:rsidR="00D53F2A" w:rsidRPr="00417F06">
        <w:rPr>
          <w:color w:val="000000" w:themeColor="text1"/>
          <w:sz w:val="22"/>
          <w:szCs w:val="22"/>
          <w:lang w:val="en-GB"/>
        </w:rPr>
        <w:t>each authorization</w:t>
      </w:r>
      <w:r w:rsidR="00D133A7" w:rsidRPr="00417F06">
        <w:rPr>
          <w:color w:val="000000" w:themeColor="text1"/>
          <w:sz w:val="22"/>
          <w:szCs w:val="22"/>
          <w:lang w:val="en-GB"/>
        </w:rPr>
        <w:t xml:space="preserve"> </w:t>
      </w:r>
      <w:r w:rsidR="00D133A7" w:rsidRPr="00417F06">
        <w:rPr>
          <w:sz w:val="22"/>
          <w:szCs w:val="22"/>
          <w:lang w:val="en-GB"/>
        </w:rPr>
        <w:t xml:space="preserve">clearly identify the </w:t>
      </w:r>
      <w:r w:rsidR="00D53F2A" w:rsidRPr="00417F06">
        <w:rPr>
          <w:sz w:val="22"/>
          <w:szCs w:val="22"/>
          <w:lang w:val="en-GB"/>
        </w:rPr>
        <w:t>species to which it applies, the means authorized for taking, and the persons</w:t>
      </w:r>
      <w:r w:rsidR="007F004A" w:rsidRPr="00417F06">
        <w:rPr>
          <w:sz w:val="22"/>
          <w:szCs w:val="22"/>
          <w:lang w:val="en-GB"/>
        </w:rPr>
        <w:t xml:space="preserve">/entities, </w:t>
      </w:r>
      <w:r w:rsidR="00D53F2A" w:rsidRPr="00417F06">
        <w:rPr>
          <w:sz w:val="22"/>
          <w:szCs w:val="22"/>
          <w:lang w:val="en-GB"/>
        </w:rPr>
        <w:t>places, times, and quantities in respect of which the exemption</w:t>
      </w:r>
      <w:r w:rsidR="00AC3A97" w:rsidRPr="00417F06">
        <w:rPr>
          <w:sz w:val="22"/>
          <w:szCs w:val="22"/>
          <w:lang w:val="en-GB"/>
        </w:rPr>
        <w:t xml:space="preserve"> is allowed</w:t>
      </w:r>
      <w:r w:rsidR="00D53F2A" w:rsidRPr="00417F06">
        <w:rPr>
          <w:sz w:val="22"/>
          <w:szCs w:val="22"/>
          <w:lang w:val="en-GB"/>
        </w:rPr>
        <w:t>.</w:t>
      </w:r>
      <w:r w:rsidR="008507BA" w:rsidRPr="00417F06">
        <w:rPr>
          <w:sz w:val="22"/>
          <w:szCs w:val="22"/>
          <w:lang w:val="en-GB"/>
        </w:rPr>
        <w:t xml:space="preserve"> </w:t>
      </w:r>
      <w:r w:rsidR="00131DB2" w:rsidRPr="00417F06">
        <w:rPr>
          <w:sz w:val="22"/>
          <w:szCs w:val="22"/>
          <w:lang w:val="en-GB"/>
        </w:rPr>
        <w:t>To ensure that there is no detrimental impact upon Table 1 popula</w:t>
      </w:r>
      <w:r w:rsidR="000150BD" w:rsidRPr="00417F06">
        <w:rPr>
          <w:sz w:val="22"/>
          <w:szCs w:val="22"/>
          <w:lang w:val="en-GB"/>
        </w:rPr>
        <w:t>tions, mechanisms should</w:t>
      </w:r>
      <w:r w:rsidR="00131DB2" w:rsidRPr="00417F06">
        <w:rPr>
          <w:sz w:val="22"/>
          <w:szCs w:val="22"/>
          <w:lang w:val="en-GB"/>
        </w:rPr>
        <w:t xml:space="preserve"> be in place to monitor compliance with these conditions and respond to instances of non-compliance.</w:t>
      </w:r>
      <w:r w:rsidR="000150BD" w:rsidRPr="00417F06">
        <w:rPr>
          <w:sz w:val="22"/>
          <w:szCs w:val="22"/>
          <w:lang w:val="en-GB"/>
        </w:rPr>
        <w:t xml:space="preserve"> The impacts of exempt</w:t>
      </w:r>
      <w:r w:rsidR="003E54B3" w:rsidRPr="00417F06">
        <w:rPr>
          <w:sz w:val="22"/>
          <w:szCs w:val="22"/>
          <w:lang w:val="en-GB"/>
        </w:rPr>
        <w:t>ions should</w:t>
      </w:r>
      <w:r w:rsidR="000150BD" w:rsidRPr="00417F06">
        <w:rPr>
          <w:sz w:val="22"/>
          <w:szCs w:val="22"/>
          <w:lang w:val="en-GB"/>
        </w:rPr>
        <w:t xml:space="preserve"> </w:t>
      </w:r>
      <w:r w:rsidR="006A7DD4" w:rsidRPr="00417F06">
        <w:rPr>
          <w:sz w:val="22"/>
          <w:szCs w:val="22"/>
          <w:lang w:val="en-GB"/>
        </w:rPr>
        <w:t xml:space="preserve">also </w:t>
      </w:r>
      <w:r w:rsidR="000150BD" w:rsidRPr="00417F06">
        <w:rPr>
          <w:sz w:val="22"/>
          <w:szCs w:val="22"/>
          <w:lang w:val="en-GB"/>
        </w:rPr>
        <w:t>be monitored</w:t>
      </w:r>
      <w:r w:rsidR="00B75BA9">
        <w:rPr>
          <w:sz w:val="22"/>
          <w:szCs w:val="22"/>
          <w:lang w:val="en-GB"/>
        </w:rPr>
        <w:t>,</w:t>
      </w:r>
      <w:r w:rsidR="000150BD" w:rsidRPr="00417F06">
        <w:rPr>
          <w:sz w:val="22"/>
          <w:szCs w:val="22"/>
          <w:lang w:val="en-GB"/>
        </w:rPr>
        <w:t xml:space="preserve"> so </w:t>
      </w:r>
      <w:r w:rsidR="003E54B3" w:rsidRPr="00417F06">
        <w:rPr>
          <w:sz w:val="22"/>
          <w:szCs w:val="22"/>
          <w:lang w:val="en-GB"/>
        </w:rPr>
        <w:t>as to detect any unintended risks should these arise.</w:t>
      </w:r>
    </w:p>
    <w:p w14:paraId="221A9F6C" w14:textId="77777777" w:rsidR="00DB1165" w:rsidRPr="00417F06" w:rsidRDefault="00DB1165" w:rsidP="00C84343">
      <w:pPr>
        <w:spacing w:line="276" w:lineRule="auto"/>
        <w:jc w:val="both"/>
        <w:rPr>
          <w:sz w:val="22"/>
          <w:szCs w:val="22"/>
          <w:lang w:val="en-GB"/>
        </w:rPr>
      </w:pPr>
    </w:p>
    <w:p w14:paraId="7262A8A1" w14:textId="77777777" w:rsidR="00DB1165" w:rsidRPr="00C15E93" w:rsidRDefault="00DB1165" w:rsidP="00C84343">
      <w:pPr>
        <w:spacing w:line="276" w:lineRule="auto"/>
        <w:jc w:val="both"/>
        <w:rPr>
          <w:lang w:val="en-GB"/>
        </w:rPr>
      </w:pPr>
    </w:p>
    <w:p w14:paraId="4DEC23BF" w14:textId="7D71F07F" w:rsidR="0018429C" w:rsidRPr="00C15E93" w:rsidRDefault="00E035F8" w:rsidP="004B59B5">
      <w:pPr>
        <w:shd w:val="clear" w:color="auto" w:fill="D9E2F3" w:themeFill="accent1" w:themeFillTint="33"/>
        <w:jc w:val="both"/>
        <w:rPr>
          <w:b/>
          <w:lang w:val="en-GB"/>
        </w:rPr>
      </w:pPr>
      <w:r w:rsidRPr="00C15E93">
        <w:rPr>
          <w:b/>
          <w:lang w:val="en-GB"/>
        </w:rPr>
        <w:t xml:space="preserve">Reporting exemptions to the </w:t>
      </w:r>
      <w:r w:rsidR="00B75BA9">
        <w:rPr>
          <w:b/>
          <w:lang w:val="en-GB"/>
        </w:rPr>
        <w:t>UNEP/</w:t>
      </w:r>
      <w:r w:rsidRPr="00C15E93">
        <w:rPr>
          <w:b/>
          <w:lang w:val="en-GB"/>
        </w:rPr>
        <w:t>AEWA Secretariat</w:t>
      </w:r>
    </w:p>
    <w:p w14:paraId="77242894" w14:textId="77777777" w:rsidR="00E035F8" w:rsidRPr="00C15E93" w:rsidRDefault="00E035F8" w:rsidP="00EC123C">
      <w:pPr>
        <w:jc w:val="both"/>
        <w:rPr>
          <w:b/>
          <w:u w:val="single"/>
          <w:lang w:val="en-GB"/>
        </w:rPr>
      </w:pPr>
    </w:p>
    <w:p w14:paraId="4135BFEF" w14:textId="6F9516D9" w:rsidR="00C73742" w:rsidRPr="00417F06" w:rsidRDefault="008718CD" w:rsidP="00C84343">
      <w:pPr>
        <w:spacing w:line="276" w:lineRule="auto"/>
        <w:jc w:val="both"/>
        <w:rPr>
          <w:sz w:val="22"/>
          <w:szCs w:val="22"/>
          <w:lang w:val="en-GB"/>
        </w:rPr>
      </w:pPr>
      <w:r w:rsidRPr="00417F06">
        <w:rPr>
          <w:sz w:val="22"/>
          <w:szCs w:val="22"/>
          <w:lang w:val="en-GB"/>
        </w:rPr>
        <w:t xml:space="preserve">Paragraph 2.1.3 requires Contracting Parties to “as soon as possible” inform the </w:t>
      </w:r>
      <w:r w:rsidR="00B75BA9">
        <w:rPr>
          <w:sz w:val="22"/>
          <w:szCs w:val="22"/>
          <w:lang w:val="en-GB"/>
        </w:rPr>
        <w:t>UNEP/</w:t>
      </w:r>
      <w:r w:rsidRPr="00417F06">
        <w:rPr>
          <w:sz w:val="22"/>
          <w:szCs w:val="22"/>
          <w:lang w:val="en-GB"/>
        </w:rPr>
        <w:t>AEWA Secretariat of any exemptions granted pursuant to this provision. Ideally, such notification</w:t>
      </w:r>
      <w:r w:rsidR="00631AA3" w:rsidRPr="00417F06">
        <w:rPr>
          <w:sz w:val="22"/>
          <w:szCs w:val="22"/>
          <w:lang w:val="en-GB"/>
        </w:rPr>
        <w:t>s</w:t>
      </w:r>
      <w:r w:rsidRPr="00417F06">
        <w:rPr>
          <w:sz w:val="22"/>
          <w:szCs w:val="22"/>
          <w:lang w:val="en-GB"/>
        </w:rPr>
        <w:t xml:space="preserve"> should </w:t>
      </w:r>
      <w:r w:rsidR="00631AA3" w:rsidRPr="00417F06">
        <w:rPr>
          <w:sz w:val="22"/>
          <w:szCs w:val="22"/>
          <w:lang w:val="en-GB"/>
        </w:rPr>
        <w:t xml:space="preserve">immediately follow the granting of each exemption. </w:t>
      </w:r>
    </w:p>
    <w:p w14:paraId="46110B91" w14:textId="77777777" w:rsidR="00C73742" w:rsidRPr="00417F06" w:rsidRDefault="00C73742" w:rsidP="00C84343">
      <w:pPr>
        <w:spacing w:line="276" w:lineRule="auto"/>
        <w:jc w:val="both"/>
        <w:rPr>
          <w:sz w:val="22"/>
          <w:szCs w:val="22"/>
          <w:lang w:val="en-GB"/>
        </w:rPr>
      </w:pPr>
    </w:p>
    <w:p w14:paraId="16F5880E" w14:textId="3BFDB843" w:rsidR="00E035F8" w:rsidRPr="00417F06" w:rsidRDefault="00C73742" w:rsidP="00C84343">
      <w:pPr>
        <w:spacing w:line="276" w:lineRule="auto"/>
        <w:jc w:val="both"/>
        <w:rPr>
          <w:i/>
          <w:sz w:val="22"/>
          <w:szCs w:val="22"/>
          <w:lang w:val="en-GB"/>
        </w:rPr>
      </w:pPr>
      <w:r w:rsidRPr="00417F06">
        <w:rPr>
          <w:sz w:val="22"/>
          <w:szCs w:val="22"/>
          <w:lang w:val="en-GB"/>
        </w:rPr>
        <w:t xml:space="preserve">Information should be provided on each species for which an exemption was granted and should include the purpose of the exemption, the number of individuals (or eggs) for which the exemption was granted, the territorial coverage and the time span of the exemption. </w:t>
      </w:r>
      <w:r w:rsidR="008718CD" w:rsidRPr="00417F06">
        <w:rPr>
          <w:sz w:val="22"/>
          <w:szCs w:val="22"/>
          <w:lang w:val="en-GB"/>
        </w:rPr>
        <w:t xml:space="preserve"> </w:t>
      </w:r>
    </w:p>
    <w:p w14:paraId="64713469" w14:textId="77777777" w:rsidR="00842B1D" w:rsidRPr="00417F06" w:rsidRDefault="00842B1D" w:rsidP="00C84343">
      <w:pPr>
        <w:spacing w:line="276" w:lineRule="auto"/>
        <w:jc w:val="both"/>
        <w:rPr>
          <w:sz w:val="22"/>
          <w:szCs w:val="22"/>
          <w:lang w:val="en-GB"/>
        </w:rPr>
      </w:pPr>
    </w:p>
    <w:p w14:paraId="65F48A3E" w14:textId="77777777" w:rsidR="008507BA" w:rsidRPr="00417F06" w:rsidRDefault="008507BA" w:rsidP="00C84343">
      <w:pPr>
        <w:spacing w:line="276" w:lineRule="auto"/>
        <w:jc w:val="both"/>
        <w:rPr>
          <w:sz w:val="22"/>
          <w:szCs w:val="22"/>
          <w:lang w:val="en-GB"/>
        </w:rPr>
      </w:pPr>
    </w:p>
    <w:sectPr w:rsidR="008507BA" w:rsidRPr="00417F06" w:rsidSect="009D0771">
      <w:headerReference w:type="default" r:id="rId26"/>
      <w:footerReference w:type="default" r:id="rId27"/>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C3C3" w14:textId="77777777" w:rsidR="00DF3CF2" w:rsidRDefault="00DF3CF2" w:rsidP="004C42A0">
      <w:r>
        <w:separator/>
      </w:r>
    </w:p>
  </w:endnote>
  <w:endnote w:type="continuationSeparator" w:id="0">
    <w:p w14:paraId="1BB469B3" w14:textId="77777777" w:rsidR="00DF3CF2" w:rsidRDefault="00DF3CF2"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C344E4" w:rsidRDefault="00C344E4" w:rsidP="005E0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C344E4" w:rsidRDefault="00C344E4"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00C1D" w:rsidRPr="00100C1D" w:rsidRDefault="00100C1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788" w14:textId="77777777" w:rsidR="00DE7D0B" w:rsidRDefault="00DE7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750F70E2" w:rsidR="00100C1D" w:rsidRPr="00100C1D" w:rsidRDefault="00100C1D">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417F06">
          <w:rPr>
            <w:noProof/>
            <w:sz w:val="20"/>
            <w:szCs w:val="20"/>
          </w:rPr>
          <w:t>8</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92E4" w14:textId="77777777" w:rsidR="00DF3CF2" w:rsidRDefault="00DF3CF2" w:rsidP="004C42A0">
      <w:r>
        <w:separator/>
      </w:r>
    </w:p>
  </w:footnote>
  <w:footnote w:type="continuationSeparator" w:id="0">
    <w:p w14:paraId="1935EC44" w14:textId="77777777" w:rsidR="00DF3CF2" w:rsidRDefault="00DF3CF2" w:rsidP="004C42A0">
      <w:r>
        <w:continuationSeparator/>
      </w:r>
    </w:p>
  </w:footnote>
  <w:footnote w:id="1">
    <w:p w14:paraId="05FCC0E6" w14:textId="77777777" w:rsidR="003859E7" w:rsidRPr="003D39CF" w:rsidRDefault="003859E7" w:rsidP="003D39CF">
      <w:pPr>
        <w:widowControl w:val="0"/>
        <w:autoSpaceDE w:val="0"/>
        <w:autoSpaceDN w:val="0"/>
        <w:adjustRightInd w:val="0"/>
        <w:spacing w:after="240"/>
        <w:contextualSpacing/>
        <w:jc w:val="both"/>
        <w:rPr>
          <w:color w:val="000000"/>
          <w:sz w:val="20"/>
          <w:szCs w:val="20"/>
        </w:rPr>
      </w:pPr>
      <w:r w:rsidRPr="003D39CF">
        <w:rPr>
          <w:rStyle w:val="FootnoteReference"/>
          <w:sz w:val="20"/>
          <w:szCs w:val="20"/>
        </w:rPr>
        <w:footnoteRef/>
      </w:r>
      <w:r w:rsidRPr="003D39CF">
        <w:rPr>
          <w:sz w:val="20"/>
          <w:szCs w:val="20"/>
        </w:rPr>
        <w:t xml:space="preserve"> Including </w:t>
      </w:r>
      <w:r w:rsidR="00E4021F" w:rsidRPr="003D39CF">
        <w:rPr>
          <w:color w:val="000000"/>
          <w:sz w:val="20"/>
          <w:szCs w:val="20"/>
        </w:rPr>
        <w:t xml:space="preserve">European Commission (2008), </w:t>
      </w:r>
      <w:hyperlink r:id="rId1" w:history="1">
        <w:r w:rsidR="00E4021F" w:rsidRPr="003D39CF">
          <w:rPr>
            <w:rStyle w:val="Hyperlink"/>
            <w:i/>
            <w:sz w:val="20"/>
            <w:szCs w:val="20"/>
          </w:rPr>
          <w:t>Guidance document on hunting under Council Directive 79/409/EEC on the conservation of wild birds “The Birds Directive”</w:t>
        </w:r>
      </w:hyperlink>
      <w:r w:rsidR="00E4021F" w:rsidRPr="003D39CF">
        <w:rPr>
          <w:color w:val="000000"/>
          <w:sz w:val="20"/>
          <w:szCs w:val="20"/>
        </w:rPr>
        <w:t xml:space="preserve">; </w:t>
      </w:r>
      <w:r w:rsidR="003D39CF" w:rsidRPr="003D39CF">
        <w:rPr>
          <w:color w:val="000000"/>
          <w:sz w:val="20"/>
          <w:szCs w:val="20"/>
        </w:rPr>
        <w:t xml:space="preserve">European Commission (2007), </w:t>
      </w:r>
      <w:hyperlink r:id="rId2" w:history="1">
        <w:r w:rsidR="003D39CF" w:rsidRPr="003D39CF">
          <w:rPr>
            <w:rStyle w:val="Hyperlink"/>
            <w:i/>
            <w:sz w:val="20"/>
            <w:szCs w:val="20"/>
          </w:rPr>
          <w:t>Guidance document on the strict protection of animal species of Community interest under the Habitats Directive 92/43/EE</w:t>
        </w:r>
      </w:hyperlink>
      <w:r w:rsidR="003D39CF" w:rsidRPr="003D39CF">
        <w:rPr>
          <w:color w:val="000000"/>
          <w:sz w:val="20"/>
          <w:szCs w:val="20"/>
        </w:rPr>
        <w:t xml:space="preserve">; and </w:t>
      </w:r>
      <w:r w:rsidRPr="003D39CF">
        <w:rPr>
          <w:color w:val="000000"/>
          <w:sz w:val="20"/>
          <w:szCs w:val="20"/>
        </w:rPr>
        <w:t>relevant decisions of the Court of Justice of the European Union</w:t>
      </w:r>
      <w:r w:rsidR="003D39CF" w:rsidRPr="003D39CF">
        <w:rPr>
          <w:color w:val="000000"/>
          <w:sz w:val="20"/>
          <w:szCs w:val="20"/>
        </w:rPr>
        <w:t>.</w:t>
      </w:r>
      <w:r w:rsidRPr="003D39CF">
        <w:rPr>
          <w:color w:val="000000"/>
          <w:sz w:val="20"/>
          <w:szCs w:val="20"/>
        </w:rPr>
        <w:t xml:space="preserve"> </w:t>
      </w:r>
    </w:p>
  </w:footnote>
  <w:footnote w:id="2">
    <w:p w14:paraId="4C80EB7B" w14:textId="77777777" w:rsidR="003D39CF" w:rsidRPr="003D39CF" w:rsidRDefault="003D39CF" w:rsidP="007D01A9">
      <w:pPr>
        <w:widowControl w:val="0"/>
        <w:autoSpaceDE w:val="0"/>
        <w:autoSpaceDN w:val="0"/>
        <w:adjustRightInd w:val="0"/>
        <w:contextualSpacing/>
        <w:jc w:val="both"/>
        <w:rPr>
          <w:rFonts w:ascii="Times" w:hAnsi="Times" w:cs="Times"/>
          <w:color w:val="000000"/>
          <w:sz w:val="20"/>
          <w:szCs w:val="20"/>
        </w:rPr>
      </w:pPr>
      <w:r w:rsidRPr="003D39CF">
        <w:rPr>
          <w:rStyle w:val="FootnoteReference"/>
          <w:sz w:val="20"/>
          <w:szCs w:val="20"/>
        </w:rPr>
        <w:footnoteRef/>
      </w:r>
      <w:r w:rsidRPr="003D39CF">
        <w:rPr>
          <w:sz w:val="20"/>
          <w:szCs w:val="20"/>
        </w:rPr>
        <w:t xml:space="preserve"> Bern Convention Standing Committee, </w:t>
      </w:r>
      <w:hyperlink r:id="rId3" w:history="1">
        <w:r w:rsidRPr="003D39CF">
          <w:rPr>
            <w:rStyle w:val="Hyperlink"/>
            <w:sz w:val="20"/>
            <w:szCs w:val="20"/>
          </w:rPr>
          <w:t>Revised Resolution No. 2 (1993) on the interpretation of Articles 8 and 9 of the Convention</w:t>
        </w:r>
      </w:hyperlink>
      <w:r w:rsidRPr="003D39CF">
        <w:rPr>
          <w:color w:val="000000"/>
          <w:sz w:val="20"/>
          <w:szCs w:val="20"/>
        </w:rPr>
        <w:t xml:space="preserve">. </w:t>
      </w:r>
    </w:p>
  </w:footnote>
  <w:footnote w:id="3">
    <w:p w14:paraId="08D6A2CE" w14:textId="77777777" w:rsidR="003D39CF" w:rsidRDefault="003D39CF" w:rsidP="007D01A9">
      <w:pPr>
        <w:pStyle w:val="FootnoteText"/>
      </w:pPr>
      <w:r w:rsidRPr="003D39CF">
        <w:rPr>
          <w:rStyle w:val="FootnoteReference"/>
          <w:rFonts w:ascii="Times New Roman" w:hAnsi="Times New Roman" w:cs="Times New Roman"/>
          <w:sz w:val="20"/>
          <w:szCs w:val="20"/>
        </w:rPr>
        <w:footnoteRef/>
      </w:r>
      <w:r w:rsidRPr="003D39CF">
        <w:rPr>
          <w:rFonts w:ascii="Times New Roman" w:hAnsi="Times New Roman" w:cs="Times New Roman"/>
          <w:sz w:val="20"/>
          <w:szCs w:val="20"/>
        </w:rPr>
        <w:t xml:space="preserve"> </w:t>
      </w:r>
      <w:r w:rsidRPr="00B959F3">
        <w:rPr>
          <w:rFonts w:ascii="Times New Roman" w:hAnsi="Times New Roman" w:cs="Times New Roman"/>
          <w:sz w:val="20"/>
          <w:szCs w:val="20"/>
        </w:rPr>
        <w:t xml:space="preserve">Guidance on implementing these prohibitions (and exemptions thereto) through domestic legislation is provided in </w:t>
      </w:r>
      <w:r w:rsidRPr="00524832">
        <w:rPr>
          <w:rFonts w:ascii="Times New Roman" w:hAnsi="Times New Roman" w:cs="Times New Roman"/>
          <w:sz w:val="20"/>
          <w:szCs w:val="20"/>
        </w:rPr>
        <w:t>the</w:t>
      </w:r>
      <w:r w:rsidRPr="00B959F3">
        <w:rPr>
          <w:rFonts w:ascii="Times New Roman" w:hAnsi="Times New Roman" w:cs="Times New Roman"/>
          <w:i/>
          <w:sz w:val="20"/>
          <w:szCs w:val="20"/>
        </w:rPr>
        <w:t xml:space="preserve"> </w:t>
      </w:r>
      <w:hyperlink r:id="rId4" w:history="1">
        <w:r w:rsidRPr="00524832">
          <w:rPr>
            <w:rStyle w:val="Hyperlink"/>
            <w:rFonts w:ascii="Times New Roman" w:hAnsi="Times New Roman" w:cs="Times New Roman"/>
            <w:i/>
            <w:sz w:val="20"/>
            <w:szCs w:val="20"/>
          </w:rPr>
          <w:t xml:space="preserve">AEWA Guidelines on National Legislation for the Protection of Species of Migratory </w:t>
        </w:r>
        <w:proofErr w:type="spellStart"/>
        <w:r w:rsidRPr="00524832">
          <w:rPr>
            <w:rStyle w:val="Hyperlink"/>
            <w:rFonts w:ascii="Times New Roman" w:hAnsi="Times New Roman" w:cs="Times New Roman"/>
            <w:i/>
            <w:sz w:val="20"/>
            <w:szCs w:val="20"/>
          </w:rPr>
          <w:t>Waterbirds</w:t>
        </w:r>
        <w:proofErr w:type="spellEnd"/>
        <w:r w:rsidRPr="00524832">
          <w:rPr>
            <w:rStyle w:val="Hyperlink"/>
            <w:rFonts w:ascii="Times New Roman" w:hAnsi="Times New Roman" w:cs="Times New Roman"/>
            <w:i/>
            <w:sz w:val="20"/>
            <w:szCs w:val="20"/>
          </w:rPr>
          <w:t xml:space="preserve"> and their Habitats</w:t>
        </w:r>
      </w:hyperlink>
      <w:r w:rsidRPr="00B959F3">
        <w:rPr>
          <w:rFonts w:ascii="Times New Roman" w:hAnsi="Times New Roman" w:cs="Times New Roman"/>
          <w:i/>
          <w:sz w:val="20"/>
          <w:szCs w:val="20"/>
        </w:rPr>
        <w:t>.</w:t>
      </w:r>
    </w:p>
  </w:footnote>
  <w:footnote w:id="4">
    <w:p w14:paraId="2D307980" w14:textId="77777777" w:rsidR="003D2E77" w:rsidRPr="00FA50AD" w:rsidRDefault="003D2E77" w:rsidP="00FA50AD">
      <w:pPr>
        <w:jc w:val="both"/>
        <w:rPr>
          <w:sz w:val="20"/>
          <w:szCs w:val="20"/>
        </w:rPr>
      </w:pPr>
      <w:r w:rsidRPr="00FA50AD">
        <w:rPr>
          <w:rStyle w:val="FootnoteReference"/>
          <w:sz w:val="20"/>
          <w:szCs w:val="20"/>
        </w:rPr>
        <w:footnoteRef/>
      </w:r>
      <w:r w:rsidRPr="00FA50AD">
        <w:rPr>
          <w:sz w:val="20"/>
          <w:szCs w:val="20"/>
        </w:rPr>
        <w:t xml:space="preserve"> In the context of these provisions, “taking” includes hunting, capturing, harassing and deliberate killing, as well as attempting to engage in any such conduct (Convention on the Conservation of Migratory Species of Wild Animals, Art. I.1(i), read with AEWA Art. I.2).</w:t>
      </w:r>
    </w:p>
  </w:footnote>
  <w:footnote w:id="5">
    <w:p w14:paraId="4D57375F" w14:textId="7C3A82D3" w:rsidR="00C57AD5" w:rsidRPr="004B59B5" w:rsidRDefault="00C57AD5" w:rsidP="004B59B5">
      <w:pPr>
        <w:pStyle w:val="FootnoteText"/>
        <w:jc w:val="both"/>
        <w:rPr>
          <w:rFonts w:ascii="Times New Roman" w:hAnsi="Times New Roman" w:cs="Times New Roman"/>
          <w:sz w:val="20"/>
          <w:szCs w:val="20"/>
        </w:rPr>
      </w:pPr>
      <w:r w:rsidRPr="004B59B5">
        <w:rPr>
          <w:rStyle w:val="FootnoteReference"/>
          <w:rFonts w:ascii="Times New Roman" w:hAnsi="Times New Roman" w:cs="Times New Roman"/>
          <w:sz w:val="20"/>
          <w:szCs w:val="20"/>
        </w:rPr>
        <w:footnoteRef/>
      </w:r>
      <w:r w:rsidRPr="004B59B5">
        <w:rPr>
          <w:rFonts w:ascii="Times New Roman" w:hAnsi="Times New Roman" w:cs="Times New Roman"/>
          <w:sz w:val="20"/>
          <w:szCs w:val="20"/>
        </w:rPr>
        <w:t xml:space="preserve"> </w:t>
      </w:r>
      <w:r w:rsidR="00AE3D30" w:rsidRPr="004B59B5">
        <w:rPr>
          <w:rFonts w:ascii="Times New Roman" w:hAnsi="Times New Roman" w:cs="Times New Roman"/>
          <w:sz w:val="20"/>
          <w:szCs w:val="20"/>
        </w:rPr>
        <w:t>For the purposes of paragraph 2.1.1(c) and 2.1.2(d) of the AEWA Action Plan, the term ‘</w:t>
      </w:r>
      <w:r w:rsidR="00AE3D30" w:rsidRPr="004B59B5">
        <w:rPr>
          <w:rFonts w:ascii="Times New Roman" w:hAnsi="Times New Roman" w:cs="Times New Roman"/>
          <w:i/>
          <w:sz w:val="20"/>
          <w:szCs w:val="20"/>
        </w:rPr>
        <w:t>readily recognizable part or derivative</w:t>
      </w:r>
      <w:r w:rsidR="00AE3D30" w:rsidRPr="004B59B5">
        <w:rPr>
          <w:rFonts w:ascii="Times New Roman" w:hAnsi="Times New Roman" w:cs="Times New Roman"/>
          <w:sz w:val="20"/>
          <w:szCs w:val="20"/>
        </w:rPr>
        <w:t>’ should be interpreted to include any specimen which appears from an accompanying document, the packaging or a mark or label, or from any other circumstances, to be a part or derivative of a bird or egg of a population to which these provisions apply.</w:t>
      </w:r>
    </w:p>
  </w:footnote>
  <w:footnote w:id="6">
    <w:p w14:paraId="37B1F3F9" w14:textId="77777777" w:rsidR="003D2E77" w:rsidRPr="00851A96" w:rsidRDefault="003D2E77" w:rsidP="00452EA5">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Appendix I to this Resolution additionally provides g</w:t>
      </w:r>
      <w:r w:rsidRPr="00851A96">
        <w:rPr>
          <w:rFonts w:ascii="Times New Roman" w:hAnsi="Times New Roman" w:cs="Times New Roman"/>
          <w:sz w:val="20"/>
          <w:szCs w:val="20"/>
        </w:rPr>
        <w:t>uidance on interpreting the terms “deliberate”</w:t>
      </w:r>
      <w:r>
        <w:rPr>
          <w:rFonts w:ascii="Times New Roman" w:hAnsi="Times New Roman" w:cs="Times New Roman"/>
          <w:sz w:val="20"/>
          <w:szCs w:val="20"/>
        </w:rPr>
        <w:t xml:space="preserve"> and</w:t>
      </w:r>
      <w:r w:rsidRPr="00851A96">
        <w:rPr>
          <w:rFonts w:ascii="Times New Roman" w:hAnsi="Times New Roman" w:cs="Times New Roman"/>
          <w:sz w:val="20"/>
          <w:szCs w:val="20"/>
        </w:rPr>
        <w:t xml:space="preserve"> “disturbance</w:t>
      </w:r>
      <w:r>
        <w:rPr>
          <w:rFonts w:ascii="Times New Roman" w:hAnsi="Times New Roman" w:cs="Times New Roman"/>
          <w:sz w:val="20"/>
          <w:szCs w:val="20"/>
        </w:rPr>
        <w:t>”</w:t>
      </w:r>
      <w:r w:rsidRPr="00851A96">
        <w:rPr>
          <w:rFonts w:ascii="Times New Roman" w:hAnsi="Times New Roman" w:cs="Times New Roman"/>
          <w:sz w:val="20"/>
          <w:szCs w:val="20"/>
        </w:rPr>
        <w:t xml:space="preserve">. </w:t>
      </w:r>
    </w:p>
  </w:footnote>
  <w:footnote w:id="7">
    <w:p w14:paraId="40E97471" w14:textId="77777777" w:rsidR="003D2E77" w:rsidRDefault="003D2E77" w:rsidP="00E26F12">
      <w:pPr>
        <w:pStyle w:val="FootnoteText"/>
        <w:jc w:val="both"/>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The Guidelines additionally provide g</w:t>
      </w:r>
      <w:r w:rsidRPr="00851A96">
        <w:rPr>
          <w:rFonts w:ascii="Times New Roman" w:hAnsi="Times New Roman" w:cs="Times New Roman"/>
          <w:sz w:val="20"/>
          <w:szCs w:val="20"/>
        </w:rPr>
        <w:t>uidance on defining periods of breeding and pre-nuptial migration for migrat</w:t>
      </w:r>
      <w:r>
        <w:rPr>
          <w:rFonts w:ascii="Times New Roman" w:hAnsi="Times New Roman" w:cs="Times New Roman"/>
          <w:sz w:val="20"/>
          <w:szCs w:val="20"/>
        </w:rPr>
        <w:t xml:space="preserve">ory African-Eurasian </w:t>
      </w:r>
      <w:proofErr w:type="spellStart"/>
      <w:r>
        <w:rPr>
          <w:rFonts w:ascii="Times New Roman" w:hAnsi="Times New Roman" w:cs="Times New Roman"/>
          <w:sz w:val="20"/>
          <w:szCs w:val="20"/>
        </w:rPr>
        <w:t>waterbirds</w:t>
      </w:r>
      <w:proofErr w:type="spellEnd"/>
      <w:r w:rsidRPr="00851A96">
        <w:rPr>
          <w:rFonts w:ascii="Times New Roman" w:hAnsi="Times New Roman" w:cs="Times New Roman"/>
          <w:sz w:val="20"/>
          <w:szCs w:val="20"/>
        </w:rPr>
        <w:t>.</w:t>
      </w:r>
    </w:p>
  </w:footnote>
  <w:footnote w:id="8">
    <w:p w14:paraId="246DCAD6" w14:textId="6B17AFC6" w:rsidR="00F72EFE" w:rsidRPr="00851A96" w:rsidRDefault="00F72EFE" w:rsidP="00F72EFE">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sidRPr="00937890">
        <w:rPr>
          <w:rFonts w:ascii="Times New Roman" w:hAnsi="Times New Roman" w:cs="Times New Roman"/>
          <w:sz w:val="20"/>
          <w:szCs w:val="20"/>
        </w:rPr>
        <w:t xml:space="preserve">For further discussion of the various motivations for harvest (including livelihoods), and measures to ensure that harvest is sustainable, see the </w:t>
      </w:r>
      <w:hyperlink r:id="rId5" w:history="1">
        <w:r w:rsidRPr="00937890">
          <w:rPr>
            <w:rStyle w:val="Hyperlink"/>
            <w:rFonts w:ascii="Times New Roman" w:hAnsi="Times New Roman" w:cs="Times New Roman"/>
            <w:i/>
            <w:sz w:val="20"/>
            <w:szCs w:val="20"/>
          </w:rPr>
          <w:t xml:space="preserve">AEWA Guidelines on Sustainable Harvest of Migratory </w:t>
        </w:r>
        <w:proofErr w:type="spellStart"/>
        <w:r w:rsidRPr="00937890">
          <w:rPr>
            <w:rStyle w:val="Hyperlink"/>
            <w:rFonts w:ascii="Times New Roman" w:hAnsi="Times New Roman" w:cs="Times New Roman"/>
            <w:i/>
            <w:sz w:val="20"/>
            <w:szCs w:val="20"/>
          </w:rPr>
          <w:t>Waterbirds</w:t>
        </w:r>
        <w:proofErr w:type="spellEnd"/>
      </w:hyperlink>
      <w:r w:rsidRPr="0093789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030B" w14:textId="77777777" w:rsidR="00DE7D0B" w:rsidRDefault="00DE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678B6" w14:paraId="22326686" w14:textId="77777777" w:rsidTr="008627D7">
      <w:trPr>
        <w:trHeight w:val="1256"/>
      </w:trPr>
      <w:tc>
        <w:tcPr>
          <w:tcW w:w="1985" w:type="dxa"/>
          <w:shd w:val="clear" w:color="auto" w:fill="auto"/>
          <w:tcMar>
            <w:top w:w="0" w:type="dxa"/>
            <w:left w:w="108" w:type="dxa"/>
            <w:bottom w:w="0" w:type="dxa"/>
            <w:right w:w="108" w:type="dxa"/>
          </w:tcMar>
        </w:tcPr>
        <w:p w14:paraId="4D625DDF" w14:textId="77777777" w:rsidR="00D678B6" w:rsidRDefault="00D678B6" w:rsidP="00D678B6">
          <w:r>
            <w:rPr>
              <w:noProof/>
              <w:lang w:val="en-GB" w:eastAsia="en-GB"/>
            </w:rPr>
            <w:drawing>
              <wp:inline distT="0" distB="0" distL="0" distR="0" wp14:anchorId="2BFA03D9" wp14:editId="3172623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1B81F4F" w14:textId="77777777" w:rsidR="00D678B6" w:rsidRDefault="00D678B6" w:rsidP="00D678B6">
          <w:pPr>
            <w:jc w:val="center"/>
            <w:rPr>
              <w:i/>
              <w:caps/>
            </w:rPr>
          </w:pPr>
          <w:r>
            <w:rPr>
              <w:i/>
              <w:caps/>
              <w:sz w:val="22"/>
              <w:szCs w:val="22"/>
            </w:rPr>
            <w:t xml:space="preserve">Agreement on the Conservation of </w:t>
          </w:r>
        </w:p>
        <w:p w14:paraId="1F95F7BD" w14:textId="77777777" w:rsidR="00D678B6" w:rsidRDefault="00D678B6" w:rsidP="00D678B6">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74DBF90" w14:textId="07ABF34A" w:rsidR="00D678B6" w:rsidRPr="00CC2CC9" w:rsidRDefault="00D678B6" w:rsidP="00D678B6">
          <w:pPr>
            <w:spacing w:line="276" w:lineRule="auto"/>
            <w:jc w:val="right"/>
            <w:rPr>
              <w:lang w:val="en-GB"/>
            </w:rPr>
          </w:pPr>
          <w:r w:rsidRPr="00CC2CC9">
            <w:rPr>
              <w:i/>
              <w:iCs/>
              <w:sz w:val="20"/>
              <w:szCs w:val="20"/>
              <w:lang w:val="en-GB"/>
            </w:rPr>
            <w:t xml:space="preserve">Doc. </w:t>
          </w:r>
          <w:r w:rsidRPr="00CC2CC9">
            <w:rPr>
              <w:bCs/>
              <w:i/>
              <w:iCs/>
              <w:sz w:val="20"/>
              <w:szCs w:val="20"/>
              <w:lang w:val="en-GB"/>
            </w:rPr>
            <w:t>AEWA/MOP</w:t>
          </w:r>
          <w:r w:rsidR="00443CFB">
            <w:rPr>
              <w:bCs/>
              <w:i/>
              <w:iCs/>
              <w:sz w:val="20"/>
              <w:szCs w:val="20"/>
              <w:lang w:val="en-GB"/>
            </w:rPr>
            <w:t xml:space="preserve"> </w:t>
          </w:r>
          <w:r w:rsidRPr="00CC2CC9">
            <w:rPr>
              <w:bCs/>
              <w:i/>
              <w:iCs/>
              <w:sz w:val="20"/>
              <w:szCs w:val="20"/>
              <w:lang w:val="en-GB"/>
            </w:rPr>
            <w:t>7</w:t>
          </w:r>
          <w:r>
            <w:rPr>
              <w:bCs/>
              <w:i/>
              <w:iCs/>
              <w:sz w:val="20"/>
              <w:szCs w:val="20"/>
              <w:lang w:val="en-GB"/>
            </w:rPr>
            <w:t>.32</w:t>
          </w:r>
        </w:p>
        <w:p w14:paraId="5CBAD01A" w14:textId="62EBF9BF" w:rsidR="00D678B6" w:rsidRPr="00CC2CC9" w:rsidRDefault="00D678B6" w:rsidP="00D678B6">
          <w:pPr>
            <w:spacing w:line="276" w:lineRule="auto"/>
            <w:jc w:val="right"/>
            <w:rPr>
              <w:lang w:val="en-GB"/>
            </w:rPr>
          </w:pPr>
          <w:r w:rsidRPr="00CC2CC9">
            <w:rPr>
              <w:i/>
              <w:iCs/>
              <w:sz w:val="20"/>
              <w:szCs w:val="20"/>
              <w:lang w:val="en-GB"/>
            </w:rPr>
            <w:t xml:space="preserve">Agenda item: </w:t>
          </w:r>
          <w:r>
            <w:rPr>
              <w:i/>
              <w:iCs/>
              <w:sz w:val="20"/>
              <w:szCs w:val="20"/>
              <w:lang w:val="en-GB"/>
            </w:rPr>
            <w:t>22</w:t>
          </w:r>
        </w:p>
        <w:p w14:paraId="05CE58A7" w14:textId="77777777" w:rsidR="00D678B6" w:rsidRPr="00874AE9" w:rsidRDefault="00D678B6" w:rsidP="00D678B6">
          <w:pPr>
            <w:spacing w:line="276" w:lineRule="auto"/>
            <w:jc w:val="right"/>
          </w:pPr>
          <w:r w:rsidRPr="00874AE9">
            <w:rPr>
              <w:i/>
              <w:iCs/>
              <w:sz w:val="20"/>
              <w:szCs w:val="20"/>
            </w:rPr>
            <w:t xml:space="preserve">Original: </w:t>
          </w:r>
          <w:r w:rsidRPr="00874AE9">
            <w:rPr>
              <w:bCs/>
              <w:i/>
              <w:iCs/>
              <w:sz w:val="20"/>
              <w:szCs w:val="20"/>
            </w:rPr>
            <w:t>English</w:t>
          </w:r>
        </w:p>
        <w:p w14:paraId="582BC506" w14:textId="2926CCC8" w:rsidR="00D678B6" w:rsidRDefault="00874AE9" w:rsidP="00D678B6">
          <w:pPr>
            <w:spacing w:line="276" w:lineRule="auto"/>
            <w:jc w:val="right"/>
          </w:pPr>
          <w:r w:rsidRPr="00970D05">
            <w:rPr>
              <w:i/>
              <w:iCs/>
              <w:sz w:val="20"/>
              <w:szCs w:val="20"/>
            </w:rPr>
            <w:t xml:space="preserve">29 </w:t>
          </w:r>
          <w:r w:rsidR="00D678B6" w:rsidRPr="00970D05">
            <w:rPr>
              <w:i/>
              <w:iCs/>
              <w:sz w:val="20"/>
              <w:szCs w:val="20"/>
            </w:rPr>
            <w:t>August 2018</w:t>
          </w:r>
        </w:p>
      </w:tc>
    </w:tr>
    <w:tr w:rsidR="00D678B6" w14:paraId="0621A2E6" w14:textId="77777777" w:rsidTr="008627D7">
      <w:tc>
        <w:tcPr>
          <w:tcW w:w="9639" w:type="dxa"/>
          <w:gridSpan w:val="3"/>
          <w:shd w:val="clear" w:color="auto" w:fill="auto"/>
          <w:tcMar>
            <w:top w:w="0" w:type="dxa"/>
            <w:left w:w="108" w:type="dxa"/>
            <w:bottom w:w="0" w:type="dxa"/>
            <w:right w:w="108" w:type="dxa"/>
          </w:tcMar>
        </w:tcPr>
        <w:p w14:paraId="0293F960" w14:textId="77777777" w:rsidR="00D678B6" w:rsidRDefault="00D678B6" w:rsidP="00D678B6">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1D2916D" w14:textId="3814BE74" w:rsidR="00D678B6" w:rsidRDefault="00DE7D0B" w:rsidP="00D678B6">
          <w:pPr>
            <w:jc w:val="center"/>
          </w:pPr>
          <w:r>
            <w:rPr>
              <w:i/>
              <w:iCs/>
            </w:rPr>
            <w:t>0</w:t>
          </w:r>
          <w:r w:rsidR="00D678B6">
            <w:rPr>
              <w:i/>
              <w:iCs/>
            </w:rPr>
            <w:t>4-</w:t>
          </w:r>
          <w:r>
            <w:rPr>
              <w:i/>
              <w:iCs/>
            </w:rPr>
            <w:t>0</w:t>
          </w:r>
          <w:bookmarkStart w:id="0" w:name="_GoBack"/>
          <w:bookmarkEnd w:id="0"/>
          <w:r w:rsidR="00D678B6">
            <w:rPr>
              <w:i/>
              <w:iCs/>
            </w:rPr>
            <w:t>8 December 2018, Durban, South Africa</w:t>
          </w:r>
        </w:p>
      </w:tc>
    </w:tr>
    <w:tr w:rsidR="00D678B6" w14:paraId="7DEDEF15" w14:textId="77777777" w:rsidTr="008627D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37300AE" w14:textId="77777777" w:rsidR="00D678B6" w:rsidRPr="00B13237" w:rsidRDefault="00D678B6" w:rsidP="00D678B6">
          <w:pPr>
            <w:jc w:val="center"/>
            <w:rPr>
              <w:i/>
            </w:rPr>
          </w:pPr>
          <w:r>
            <w:rPr>
              <w:i/>
            </w:rPr>
            <w:t>“</w:t>
          </w:r>
          <w:r w:rsidRPr="00B13237">
            <w:rPr>
              <w:i/>
            </w:rPr>
            <w:t>Beyond 2020: Shaping flyway conservation for the future</w:t>
          </w:r>
          <w:r>
            <w:rPr>
              <w:i/>
            </w:rPr>
            <w:t>”</w:t>
          </w:r>
        </w:p>
      </w:tc>
    </w:tr>
  </w:tbl>
  <w:p w14:paraId="60A442D4" w14:textId="77777777" w:rsidR="009D0771" w:rsidRDefault="009D0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70FD" w14:textId="77777777" w:rsidR="00DE7D0B" w:rsidRDefault="00DE7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00C1D" w:rsidRDefault="0010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F5E"/>
    <w:multiLevelType w:val="hybridMultilevel"/>
    <w:tmpl w:val="C4243C76"/>
    <w:lvl w:ilvl="0" w:tplc="BED6D20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num>
  <w:num w:numId="5">
    <w:abstractNumId w:val="2"/>
  </w:num>
  <w:num w:numId="6">
    <w:abstractNumId w:val="12"/>
  </w:num>
  <w:num w:numId="7">
    <w:abstractNumId w:val="5"/>
  </w:num>
  <w:num w:numId="8">
    <w:abstractNumId w:val="17"/>
  </w:num>
  <w:num w:numId="9">
    <w:abstractNumId w:val="10"/>
  </w:num>
  <w:num w:numId="10">
    <w:abstractNumId w:val="1"/>
  </w:num>
  <w:num w:numId="11">
    <w:abstractNumId w:val="19"/>
  </w:num>
  <w:num w:numId="12">
    <w:abstractNumId w:val="18"/>
  </w:num>
  <w:num w:numId="13">
    <w:abstractNumId w:val="15"/>
  </w:num>
  <w:num w:numId="14">
    <w:abstractNumId w:val="4"/>
  </w:num>
  <w:num w:numId="15">
    <w:abstractNumId w:val="7"/>
  </w:num>
  <w:num w:numId="16">
    <w:abstractNumId w:val="8"/>
  </w:num>
  <w:num w:numId="17">
    <w:abstractNumId w:val="16"/>
  </w:num>
  <w:num w:numId="18">
    <w:abstractNumId w:val="11"/>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1F"/>
    <w:rsid w:val="00000C0B"/>
    <w:rsid w:val="0000160B"/>
    <w:rsid w:val="00002EA6"/>
    <w:rsid w:val="000047BA"/>
    <w:rsid w:val="00007A1F"/>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6427"/>
    <w:rsid w:val="00056D04"/>
    <w:rsid w:val="000648CA"/>
    <w:rsid w:val="00065FA8"/>
    <w:rsid w:val="00072A79"/>
    <w:rsid w:val="00074263"/>
    <w:rsid w:val="00082310"/>
    <w:rsid w:val="00084432"/>
    <w:rsid w:val="00085862"/>
    <w:rsid w:val="00093C4F"/>
    <w:rsid w:val="000969D2"/>
    <w:rsid w:val="000A02E8"/>
    <w:rsid w:val="000A093C"/>
    <w:rsid w:val="000A1BE8"/>
    <w:rsid w:val="000A468D"/>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5ECB"/>
    <w:rsid w:val="000F689F"/>
    <w:rsid w:val="00100C1D"/>
    <w:rsid w:val="00101166"/>
    <w:rsid w:val="00101372"/>
    <w:rsid w:val="00107A9B"/>
    <w:rsid w:val="00113D4B"/>
    <w:rsid w:val="0011468B"/>
    <w:rsid w:val="00114B2E"/>
    <w:rsid w:val="00117DA5"/>
    <w:rsid w:val="00121497"/>
    <w:rsid w:val="00122ECB"/>
    <w:rsid w:val="00131DB2"/>
    <w:rsid w:val="00132A9C"/>
    <w:rsid w:val="00135471"/>
    <w:rsid w:val="00136E30"/>
    <w:rsid w:val="00143ED9"/>
    <w:rsid w:val="00145AC2"/>
    <w:rsid w:val="001515AC"/>
    <w:rsid w:val="00153584"/>
    <w:rsid w:val="00153E1E"/>
    <w:rsid w:val="00155A7D"/>
    <w:rsid w:val="00155F3E"/>
    <w:rsid w:val="001616F7"/>
    <w:rsid w:val="001654E1"/>
    <w:rsid w:val="00173C14"/>
    <w:rsid w:val="0017751F"/>
    <w:rsid w:val="00182860"/>
    <w:rsid w:val="0018429C"/>
    <w:rsid w:val="001844B1"/>
    <w:rsid w:val="00184FA5"/>
    <w:rsid w:val="00192E96"/>
    <w:rsid w:val="00193687"/>
    <w:rsid w:val="001A3014"/>
    <w:rsid w:val="001A7897"/>
    <w:rsid w:val="001B1E11"/>
    <w:rsid w:val="001B5C32"/>
    <w:rsid w:val="001B7D6A"/>
    <w:rsid w:val="001C65BB"/>
    <w:rsid w:val="001C7FA3"/>
    <w:rsid w:val="001D05E3"/>
    <w:rsid w:val="001D6F35"/>
    <w:rsid w:val="001E209E"/>
    <w:rsid w:val="001E30D2"/>
    <w:rsid w:val="001E5F35"/>
    <w:rsid w:val="001F2D80"/>
    <w:rsid w:val="001F4190"/>
    <w:rsid w:val="001F43BD"/>
    <w:rsid w:val="001F456D"/>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C120E"/>
    <w:rsid w:val="002C5E50"/>
    <w:rsid w:val="002D1FB1"/>
    <w:rsid w:val="002D3F1F"/>
    <w:rsid w:val="002D4887"/>
    <w:rsid w:val="002D52E6"/>
    <w:rsid w:val="002D5AC2"/>
    <w:rsid w:val="002E5BA3"/>
    <w:rsid w:val="002F35DE"/>
    <w:rsid w:val="002F3852"/>
    <w:rsid w:val="003038BA"/>
    <w:rsid w:val="00306DB9"/>
    <w:rsid w:val="00307516"/>
    <w:rsid w:val="0031150D"/>
    <w:rsid w:val="003126DB"/>
    <w:rsid w:val="003146B5"/>
    <w:rsid w:val="0033374A"/>
    <w:rsid w:val="0033432E"/>
    <w:rsid w:val="0033477C"/>
    <w:rsid w:val="00336B90"/>
    <w:rsid w:val="00341955"/>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3CFB"/>
    <w:rsid w:val="00446282"/>
    <w:rsid w:val="004467D7"/>
    <w:rsid w:val="00452EA5"/>
    <w:rsid w:val="00454D3C"/>
    <w:rsid w:val="00455DC0"/>
    <w:rsid w:val="00476501"/>
    <w:rsid w:val="00480285"/>
    <w:rsid w:val="00487CFA"/>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7AE7"/>
    <w:rsid w:val="006C0EF2"/>
    <w:rsid w:val="006C2D94"/>
    <w:rsid w:val="006C417C"/>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5C81"/>
    <w:rsid w:val="00723298"/>
    <w:rsid w:val="007239E5"/>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715E"/>
    <w:rsid w:val="00817C0D"/>
    <w:rsid w:val="00817F68"/>
    <w:rsid w:val="0082105A"/>
    <w:rsid w:val="008214DD"/>
    <w:rsid w:val="0082722E"/>
    <w:rsid w:val="008335E2"/>
    <w:rsid w:val="00833810"/>
    <w:rsid w:val="00833AE8"/>
    <w:rsid w:val="0083735A"/>
    <w:rsid w:val="00837F0B"/>
    <w:rsid w:val="00842B1D"/>
    <w:rsid w:val="00846749"/>
    <w:rsid w:val="008507BA"/>
    <w:rsid w:val="00851A96"/>
    <w:rsid w:val="008554B6"/>
    <w:rsid w:val="00861248"/>
    <w:rsid w:val="008642C6"/>
    <w:rsid w:val="00865732"/>
    <w:rsid w:val="008718CD"/>
    <w:rsid w:val="00872E82"/>
    <w:rsid w:val="00874AE9"/>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3C9"/>
    <w:rsid w:val="008F2DD4"/>
    <w:rsid w:val="008F451C"/>
    <w:rsid w:val="008F5658"/>
    <w:rsid w:val="008F5EFE"/>
    <w:rsid w:val="008F788A"/>
    <w:rsid w:val="009001F6"/>
    <w:rsid w:val="00904649"/>
    <w:rsid w:val="00904DD8"/>
    <w:rsid w:val="00913F48"/>
    <w:rsid w:val="00915ECB"/>
    <w:rsid w:val="00922804"/>
    <w:rsid w:val="009230DE"/>
    <w:rsid w:val="0092475B"/>
    <w:rsid w:val="009259FB"/>
    <w:rsid w:val="00927463"/>
    <w:rsid w:val="0093103A"/>
    <w:rsid w:val="009310D5"/>
    <w:rsid w:val="00937890"/>
    <w:rsid w:val="00942242"/>
    <w:rsid w:val="00945788"/>
    <w:rsid w:val="00946918"/>
    <w:rsid w:val="009510E6"/>
    <w:rsid w:val="0095133A"/>
    <w:rsid w:val="0095535A"/>
    <w:rsid w:val="0096374A"/>
    <w:rsid w:val="0096540B"/>
    <w:rsid w:val="009709E1"/>
    <w:rsid w:val="00970D05"/>
    <w:rsid w:val="009756A2"/>
    <w:rsid w:val="00981EBB"/>
    <w:rsid w:val="0098559B"/>
    <w:rsid w:val="00986619"/>
    <w:rsid w:val="00993391"/>
    <w:rsid w:val="00994CE0"/>
    <w:rsid w:val="009A2A9B"/>
    <w:rsid w:val="009A487A"/>
    <w:rsid w:val="009A4B93"/>
    <w:rsid w:val="009A6086"/>
    <w:rsid w:val="009A63E4"/>
    <w:rsid w:val="009B00BB"/>
    <w:rsid w:val="009B2911"/>
    <w:rsid w:val="009B2D1F"/>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CB7"/>
    <w:rsid w:val="00A10CF3"/>
    <w:rsid w:val="00A168D3"/>
    <w:rsid w:val="00A201AC"/>
    <w:rsid w:val="00A26A55"/>
    <w:rsid w:val="00A3045E"/>
    <w:rsid w:val="00A312DD"/>
    <w:rsid w:val="00A34BE0"/>
    <w:rsid w:val="00A35A64"/>
    <w:rsid w:val="00A36AD8"/>
    <w:rsid w:val="00A37F31"/>
    <w:rsid w:val="00A42DCD"/>
    <w:rsid w:val="00A53B5D"/>
    <w:rsid w:val="00A57B0E"/>
    <w:rsid w:val="00A667F0"/>
    <w:rsid w:val="00A67432"/>
    <w:rsid w:val="00A7121A"/>
    <w:rsid w:val="00A71B86"/>
    <w:rsid w:val="00A80B3E"/>
    <w:rsid w:val="00A8513E"/>
    <w:rsid w:val="00A8562C"/>
    <w:rsid w:val="00A9031A"/>
    <w:rsid w:val="00A90468"/>
    <w:rsid w:val="00A957AE"/>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12BFE"/>
    <w:rsid w:val="00B14D50"/>
    <w:rsid w:val="00B171D3"/>
    <w:rsid w:val="00B20728"/>
    <w:rsid w:val="00B305E2"/>
    <w:rsid w:val="00B330E6"/>
    <w:rsid w:val="00B3317B"/>
    <w:rsid w:val="00B350CA"/>
    <w:rsid w:val="00B35534"/>
    <w:rsid w:val="00B44D01"/>
    <w:rsid w:val="00B477AE"/>
    <w:rsid w:val="00B53ECA"/>
    <w:rsid w:val="00B55FCA"/>
    <w:rsid w:val="00B5776E"/>
    <w:rsid w:val="00B57933"/>
    <w:rsid w:val="00B57B11"/>
    <w:rsid w:val="00B61E12"/>
    <w:rsid w:val="00B625B0"/>
    <w:rsid w:val="00B63928"/>
    <w:rsid w:val="00B64566"/>
    <w:rsid w:val="00B734D0"/>
    <w:rsid w:val="00B73CE4"/>
    <w:rsid w:val="00B75BA9"/>
    <w:rsid w:val="00B80230"/>
    <w:rsid w:val="00B81A2B"/>
    <w:rsid w:val="00B92112"/>
    <w:rsid w:val="00B928FE"/>
    <w:rsid w:val="00B94DC0"/>
    <w:rsid w:val="00B959F3"/>
    <w:rsid w:val="00BA5311"/>
    <w:rsid w:val="00BA5315"/>
    <w:rsid w:val="00BA549F"/>
    <w:rsid w:val="00BA5936"/>
    <w:rsid w:val="00BA627F"/>
    <w:rsid w:val="00BB1069"/>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678B6"/>
    <w:rsid w:val="00D70973"/>
    <w:rsid w:val="00D75E1A"/>
    <w:rsid w:val="00D84840"/>
    <w:rsid w:val="00D868D4"/>
    <w:rsid w:val="00D87522"/>
    <w:rsid w:val="00D903EF"/>
    <w:rsid w:val="00D95781"/>
    <w:rsid w:val="00D96491"/>
    <w:rsid w:val="00D96F19"/>
    <w:rsid w:val="00D97957"/>
    <w:rsid w:val="00DA1855"/>
    <w:rsid w:val="00DA1CCE"/>
    <w:rsid w:val="00DA1F2E"/>
    <w:rsid w:val="00DA37F9"/>
    <w:rsid w:val="00DA3BC6"/>
    <w:rsid w:val="00DA78DF"/>
    <w:rsid w:val="00DB1165"/>
    <w:rsid w:val="00DB3FC5"/>
    <w:rsid w:val="00DB513A"/>
    <w:rsid w:val="00DB6F2D"/>
    <w:rsid w:val="00DD69BA"/>
    <w:rsid w:val="00DD6EA3"/>
    <w:rsid w:val="00DD79DE"/>
    <w:rsid w:val="00DE6617"/>
    <w:rsid w:val="00DE69DC"/>
    <w:rsid w:val="00DE7D0B"/>
    <w:rsid w:val="00DF04FA"/>
    <w:rsid w:val="00DF0553"/>
    <w:rsid w:val="00DF3CF2"/>
    <w:rsid w:val="00DF50C2"/>
    <w:rsid w:val="00DF59A9"/>
    <w:rsid w:val="00DF607D"/>
    <w:rsid w:val="00DF750D"/>
    <w:rsid w:val="00DF7F0B"/>
    <w:rsid w:val="00E0032B"/>
    <w:rsid w:val="00E035F8"/>
    <w:rsid w:val="00E10622"/>
    <w:rsid w:val="00E12058"/>
    <w:rsid w:val="00E15C72"/>
    <w:rsid w:val="00E16660"/>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C2DB7"/>
    <w:rsid w:val="00FC59CA"/>
    <w:rsid w:val="00FC622A"/>
    <w:rsid w:val="00FD26E4"/>
    <w:rsid w:val="00FD7051"/>
    <w:rsid w:val="00FE25CF"/>
    <w:rsid w:val="00FE4F07"/>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5B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4_9_review_hunting_trade_0.pdf" TargetMode="External"/><Relationship Id="rId13" Type="http://schemas.openxmlformats.org/officeDocument/2006/relationships/footer" Target="footer2.xml"/><Relationship Id="rId18" Type="http://schemas.openxmlformats.org/officeDocument/2006/relationships/hyperlink" Target="http://www.unep-aewa.org/sites/default/files/document/aewa_mop6_res7_guidance_definitions_en.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nep-aewa.org/sites/default/files/publication/cg_8new_0.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ep-aewa.org/sites/default/files/publication/ts62_cg5_sustainable%20_harvest_guidelines_0.pdf" TargetMode="External"/><Relationship Id="rId25" Type="http://schemas.openxmlformats.org/officeDocument/2006/relationships/hyperlink" Target="http://www.unep-aewa.org/sites/default/files/publication/ts%2049%20_translocation_guidelines.pdf" TargetMode="External"/><Relationship Id="rId2" Type="http://schemas.openxmlformats.org/officeDocument/2006/relationships/numbering" Target="numbering.xml"/><Relationship Id="rId16" Type="http://schemas.openxmlformats.org/officeDocument/2006/relationships/hyperlink" Target="http://www.unep-aewa.org/sites/default/files/document/mop6_35_draft_legislation_guidelines.pdf" TargetMode="External"/><Relationship Id="rId20" Type="http://schemas.openxmlformats.org/officeDocument/2006/relationships/hyperlink" Target="http://www.unep-aewa.org/sites/default/files/publication/cg_8new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ortals.iucn.org/library/efiles/documents/2013-009.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nep-aewa.org/sites/default/files/publication/ts%2049%20_translocation_guidelines.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nep-aewa.org/sites/default/files/publication/ts62_cg5_sustainable%20_harvest_guidelines_0.pdf" TargetMode="External"/><Relationship Id="rId4" Type="http://schemas.openxmlformats.org/officeDocument/2006/relationships/settings" Target="settings.xml"/><Relationship Id="rId9" Type="http://schemas.openxmlformats.org/officeDocument/2006/relationships/hyperlink" Target="http://www.unep-aewa.org/sites/default/files/document/res4_3_hunting_trade_legislation_final_0.pdf" TargetMode="External"/><Relationship Id="rId14" Type="http://schemas.openxmlformats.org/officeDocument/2006/relationships/header" Target="header3.xml"/><Relationship Id="rId22" Type="http://schemas.openxmlformats.org/officeDocument/2006/relationships/hyperlink" Target="https://portals.iucn.org/library/efiles/documents/2013-009.pd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461dd" TargetMode="External"/><Relationship Id="rId2" Type="http://schemas.openxmlformats.org/officeDocument/2006/relationships/hyperlink" Target="http://ec.europa.eu/environment/nature/conservation/species/guidance/pdf/guidance_en.pdf" TargetMode="External"/><Relationship Id="rId1" Type="http://schemas.openxmlformats.org/officeDocument/2006/relationships/hyperlink" Target="http://ec.europa.eu/environment/nature/conservation/wildbirds/hunting/docs/hunting_guide_en.pdf" TargetMode="External"/><Relationship Id="rId5" Type="http://schemas.openxmlformats.org/officeDocument/2006/relationships/hyperlink" Target="http://www.unep-aewa.org/sites/default/files/publication/ts62_cg5_sustainable%20_harvest_guidelines_0.pdf" TargetMode="External"/><Relationship Id="rId4" Type="http://schemas.openxmlformats.org/officeDocument/2006/relationships/hyperlink" Target="http://www.unep-aewa.org/sites/default/files/document/mop6_35_draft_legislation_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BE1F5-0EA7-4EBA-9ED7-9E59DDF3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Lewis</dc:creator>
  <cp:keywords/>
  <dc:description/>
  <cp:lastModifiedBy>Jolanta Kremer</cp:lastModifiedBy>
  <cp:revision>4</cp:revision>
  <cp:lastPrinted>2018-08-29T14:27:00Z</cp:lastPrinted>
  <dcterms:created xsi:type="dcterms:W3CDTF">2018-08-29T14:27:00Z</dcterms:created>
  <dcterms:modified xsi:type="dcterms:W3CDTF">2018-10-16T12:28:00Z</dcterms:modified>
</cp:coreProperties>
</file>