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7C4E" w14:textId="77777777" w:rsidR="003A7BC0" w:rsidRPr="004779F8" w:rsidRDefault="003A7BC0" w:rsidP="00EA4F53">
      <w:pPr>
        <w:jc w:val="center"/>
        <w:rPr>
          <w:b/>
          <w:lang w:val="en-GB"/>
        </w:rPr>
      </w:pPr>
    </w:p>
    <w:p w14:paraId="16A1FC1E" w14:textId="77777777" w:rsidR="00160B05" w:rsidRPr="004779F8" w:rsidRDefault="00CD3C1E" w:rsidP="00160B05">
      <w:pPr>
        <w:spacing w:line="276" w:lineRule="auto"/>
        <w:jc w:val="center"/>
        <w:rPr>
          <w:b/>
          <w:lang w:val="en-GB"/>
        </w:rPr>
      </w:pPr>
      <w:r w:rsidRPr="004779F8">
        <w:rPr>
          <w:b/>
          <w:lang w:val="en-GB"/>
        </w:rPr>
        <w:t xml:space="preserve">FINAL REPORT ON THE </w:t>
      </w:r>
      <w:r w:rsidR="003A7BC0" w:rsidRPr="004779F8">
        <w:rPr>
          <w:b/>
          <w:lang w:val="en-GB"/>
        </w:rPr>
        <w:t xml:space="preserve">IMPLEMENTATION </w:t>
      </w:r>
      <w:r w:rsidR="005B20AE" w:rsidRPr="004779F8">
        <w:rPr>
          <w:b/>
          <w:lang w:val="en-GB"/>
        </w:rPr>
        <w:t xml:space="preserve">OF THE </w:t>
      </w:r>
    </w:p>
    <w:p w14:paraId="1A3299B3" w14:textId="17A456C8" w:rsidR="003A7BC0" w:rsidRPr="004779F8" w:rsidRDefault="005B20AE" w:rsidP="00160B05">
      <w:pPr>
        <w:spacing w:line="276" w:lineRule="auto"/>
        <w:jc w:val="center"/>
        <w:rPr>
          <w:b/>
          <w:lang w:val="en-GB"/>
        </w:rPr>
      </w:pPr>
      <w:r w:rsidRPr="004779F8">
        <w:rPr>
          <w:b/>
          <w:lang w:val="en-GB"/>
        </w:rPr>
        <w:t>AEWA STRATEGIC PLAN 2009-201</w:t>
      </w:r>
      <w:r w:rsidR="00CD3C1E" w:rsidRPr="004779F8">
        <w:rPr>
          <w:b/>
          <w:lang w:val="en-GB"/>
        </w:rPr>
        <w:t>8</w:t>
      </w:r>
    </w:p>
    <w:p w14:paraId="5C970C02" w14:textId="77777777" w:rsidR="003A7BC0" w:rsidRPr="004779F8" w:rsidRDefault="003A7BC0">
      <w:pPr>
        <w:rPr>
          <w:lang w:val="en-GB"/>
        </w:rPr>
      </w:pPr>
    </w:p>
    <w:p w14:paraId="29B48EDB" w14:textId="136523AA" w:rsidR="003A7BC0" w:rsidRPr="004779F8" w:rsidRDefault="003A7BC0" w:rsidP="00EA4F53">
      <w:pPr>
        <w:jc w:val="center"/>
        <w:rPr>
          <w:i/>
          <w:sz w:val="22"/>
          <w:szCs w:val="22"/>
          <w:lang w:val="en-GB"/>
        </w:rPr>
      </w:pPr>
      <w:r w:rsidRPr="004779F8">
        <w:rPr>
          <w:i/>
          <w:sz w:val="22"/>
          <w:szCs w:val="22"/>
          <w:lang w:val="en-GB"/>
        </w:rPr>
        <w:t xml:space="preserve">Compiled by the UNEP/AEWA </w:t>
      </w:r>
      <w:r w:rsidR="005B20AE" w:rsidRPr="004779F8">
        <w:rPr>
          <w:i/>
          <w:sz w:val="22"/>
          <w:szCs w:val="22"/>
          <w:lang w:val="en-GB"/>
        </w:rPr>
        <w:t>Secretariat</w:t>
      </w:r>
      <w:r w:rsidR="00A44E59" w:rsidRPr="004779F8">
        <w:rPr>
          <w:i/>
          <w:sz w:val="22"/>
          <w:szCs w:val="22"/>
          <w:lang w:val="en-GB"/>
        </w:rPr>
        <w:t xml:space="preserve"> for the AEWA Standing Committee</w:t>
      </w:r>
    </w:p>
    <w:p w14:paraId="2A15DFF7" w14:textId="77777777" w:rsidR="00160B05" w:rsidRPr="004779F8" w:rsidRDefault="00160B05" w:rsidP="00EA4F53">
      <w:pPr>
        <w:jc w:val="center"/>
        <w:rPr>
          <w:i/>
          <w:sz w:val="22"/>
          <w:szCs w:val="22"/>
          <w:lang w:val="en-GB"/>
        </w:rPr>
      </w:pPr>
    </w:p>
    <w:p w14:paraId="0ED93124" w14:textId="77777777" w:rsidR="003A7BC0" w:rsidRPr="004779F8" w:rsidRDefault="003A7BC0">
      <w:pPr>
        <w:rPr>
          <w:sz w:val="22"/>
          <w:szCs w:val="22"/>
          <w:lang w:val="en-GB"/>
        </w:rPr>
      </w:pPr>
    </w:p>
    <w:p w14:paraId="3D3EF3CA" w14:textId="77777777" w:rsidR="00C93DD6" w:rsidRPr="004779F8" w:rsidRDefault="00C93DD6" w:rsidP="00D5743F">
      <w:pPr>
        <w:shd w:val="clear" w:color="auto" w:fill="DBE5F1" w:themeFill="accent1" w:themeFillTint="33"/>
        <w:jc w:val="both"/>
        <w:rPr>
          <w:b/>
          <w:sz w:val="22"/>
          <w:szCs w:val="22"/>
          <w:lang w:val="en-GB"/>
        </w:rPr>
      </w:pPr>
      <w:r w:rsidRPr="004779F8">
        <w:rPr>
          <w:b/>
          <w:lang w:val="en-GB"/>
        </w:rPr>
        <w:t xml:space="preserve">Summary </w:t>
      </w:r>
    </w:p>
    <w:p w14:paraId="331B71B0" w14:textId="77777777" w:rsidR="00C93DD6" w:rsidRPr="004779F8" w:rsidRDefault="00C93DD6" w:rsidP="00C93DD6">
      <w:pPr>
        <w:jc w:val="both"/>
        <w:rPr>
          <w:b/>
          <w:sz w:val="22"/>
          <w:szCs w:val="22"/>
          <w:lang w:val="en-GB"/>
        </w:rPr>
      </w:pPr>
    </w:p>
    <w:p w14:paraId="20F0E287" w14:textId="2B125DAD" w:rsidR="00E568EA" w:rsidRPr="004779F8" w:rsidRDefault="00C93DD6" w:rsidP="00160B05">
      <w:pPr>
        <w:spacing w:line="276" w:lineRule="auto"/>
        <w:jc w:val="both"/>
        <w:rPr>
          <w:sz w:val="22"/>
          <w:szCs w:val="22"/>
          <w:lang w:val="en-GB"/>
        </w:rPr>
      </w:pPr>
      <w:r w:rsidRPr="004779F8">
        <w:rPr>
          <w:sz w:val="22"/>
          <w:szCs w:val="22"/>
          <w:lang w:val="en-GB"/>
        </w:rPr>
        <w:t xml:space="preserve">The AEWA Strategic Plan for the period 2009-2017 was adopted by MOP4 in 2008. </w:t>
      </w:r>
      <w:r w:rsidR="005B67F4" w:rsidRPr="004779F8">
        <w:rPr>
          <w:sz w:val="22"/>
          <w:szCs w:val="22"/>
          <w:lang w:val="en-GB"/>
        </w:rPr>
        <w:t>Through Resolution 6.1</w:t>
      </w:r>
      <w:r w:rsidR="00CD3C1E" w:rsidRPr="004779F8">
        <w:rPr>
          <w:sz w:val="22"/>
          <w:szCs w:val="22"/>
          <w:lang w:val="en-GB"/>
        </w:rPr>
        <w:t>4</w:t>
      </w:r>
      <w:r w:rsidR="005B67F4" w:rsidRPr="004779F8">
        <w:rPr>
          <w:sz w:val="22"/>
          <w:szCs w:val="22"/>
          <w:lang w:val="en-GB"/>
        </w:rPr>
        <w:t xml:space="preserve"> MOP6 </w:t>
      </w:r>
      <w:r w:rsidR="00CD3C1E" w:rsidRPr="004779F8">
        <w:rPr>
          <w:sz w:val="22"/>
          <w:szCs w:val="22"/>
          <w:lang w:val="en-GB"/>
        </w:rPr>
        <w:t xml:space="preserve">in 2015 </w:t>
      </w:r>
      <w:r w:rsidR="005B67F4" w:rsidRPr="004779F8">
        <w:rPr>
          <w:sz w:val="22"/>
          <w:szCs w:val="22"/>
          <w:lang w:val="en-GB"/>
        </w:rPr>
        <w:t xml:space="preserve">extended the </w:t>
      </w:r>
      <w:r w:rsidR="00CD3C1E" w:rsidRPr="004779F8">
        <w:rPr>
          <w:sz w:val="22"/>
          <w:szCs w:val="22"/>
          <w:lang w:val="en-GB"/>
        </w:rPr>
        <w:t xml:space="preserve">longevity of the Strategic Plan until MOP7 in 2018. </w:t>
      </w:r>
      <w:r w:rsidR="00C03B4D" w:rsidRPr="004779F8">
        <w:rPr>
          <w:sz w:val="22"/>
          <w:szCs w:val="22"/>
          <w:lang w:val="en-GB"/>
        </w:rPr>
        <w:t xml:space="preserve">Previously, the UNEP/AEWA Secretariat </w:t>
      </w:r>
      <w:r w:rsidR="00584511" w:rsidRPr="004779F8">
        <w:rPr>
          <w:sz w:val="22"/>
          <w:szCs w:val="22"/>
          <w:lang w:val="en-GB"/>
        </w:rPr>
        <w:t xml:space="preserve">has </w:t>
      </w:r>
      <w:r w:rsidR="00C03B4D" w:rsidRPr="004779F8">
        <w:rPr>
          <w:sz w:val="22"/>
          <w:szCs w:val="22"/>
          <w:lang w:val="en-GB"/>
        </w:rPr>
        <w:t xml:space="preserve">compiled two </w:t>
      </w:r>
      <w:r w:rsidRPr="004779F8">
        <w:rPr>
          <w:sz w:val="22"/>
          <w:szCs w:val="22"/>
          <w:lang w:val="en-GB"/>
        </w:rPr>
        <w:t>report</w:t>
      </w:r>
      <w:r w:rsidR="00C03B4D" w:rsidRPr="004779F8">
        <w:rPr>
          <w:sz w:val="22"/>
          <w:szCs w:val="22"/>
          <w:lang w:val="en-GB"/>
        </w:rPr>
        <w:t>s on the progress of implementation of the Strategic Plan</w:t>
      </w:r>
      <w:r w:rsidRPr="004779F8">
        <w:rPr>
          <w:sz w:val="22"/>
          <w:szCs w:val="22"/>
          <w:lang w:val="en-GB"/>
        </w:rPr>
        <w:t xml:space="preserve"> </w:t>
      </w:r>
      <w:r w:rsidR="00584511" w:rsidRPr="004779F8">
        <w:rPr>
          <w:sz w:val="22"/>
          <w:szCs w:val="22"/>
          <w:lang w:val="en-GB"/>
        </w:rPr>
        <w:t>for the Standing Committee</w:t>
      </w:r>
      <w:r w:rsidR="00584511" w:rsidRPr="00852729">
        <w:rPr>
          <w:sz w:val="22"/>
          <w:szCs w:val="22"/>
          <w:lang w:val="en-GB"/>
        </w:rPr>
        <w:t>,</w:t>
      </w:r>
      <w:r w:rsidR="00584511" w:rsidRPr="001D2AAF">
        <w:rPr>
          <w:sz w:val="22"/>
          <w:szCs w:val="22"/>
          <w:lang w:val="en-GB"/>
        </w:rPr>
        <w:t xml:space="preserve"> </w:t>
      </w:r>
      <w:r w:rsidR="00E568EA" w:rsidRPr="001D2AAF">
        <w:rPr>
          <w:sz w:val="22"/>
          <w:szCs w:val="22"/>
          <w:lang w:val="en-GB"/>
        </w:rPr>
        <w:t>f</w:t>
      </w:r>
      <w:r w:rsidR="00E568EA" w:rsidRPr="004779F8">
        <w:rPr>
          <w:sz w:val="22"/>
          <w:szCs w:val="22"/>
          <w:lang w:val="en-GB"/>
        </w:rPr>
        <w:t>or the period</w:t>
      </w:r>
      <w:r w:rsidR="00C03B4D" w:rsidRPr="004779F8">
        <w:rPr>
          <w:sz w:val="22"/>
          <w:szCs w:val="22"/>
          <w:lang w:val="en-GB"/>
        </w:rPr>
        <w:t>s</w:t>
      </w:r>
      <w:r w:rsidR="00E568EA" w:rsidRPr="004779F8">
        <w:rPr>
          <w:sz w:val="22"/>
          <w:szCs w:val="22"/>
          <w:lang w:val="en-GB"/>
        </w:rPr>
        <w:t xml:space="preserve"> </w:t>
      </w:r>
      <w:r w:rsidR="00C03B4D" w:rsidRPr="004779F8">
        <w:rPr>
          <w:sz w:val="22"/>
          <w:szCs w:val="22"/>
          <w:lang w:val="en-GB"/>
        </w:rPr>
        <w:t xml:space="preserve">2009-2011 and </w:t>
      </w:r>
      <w:r w:rsidR="00E568EA" w:rsidRPr="004779F8">
        <w:rPr>
          <w:sz w:val="22"/>
          <w:szCs w:val="22"/>
          <w:lang w:val="en-GB"/>
        </w:rPr>
        <w:t>2012-2015</w:t>
      </w:r>
      <w:r w:rsidR="00584511" w:rsidRPr="004779F8">
        <w:rPr>
          <w:sz w:val="22"/>
          <w:szCs w:val="22"/>
          <w:lang w:val="en-GB"/>
        </w:rPr>
        <w:t xml:space="preserve">, </w:t>
      </w:r>
      <w:r w:rsidR="00C03B4D" w:rsidRPr="004779F8">
        <w:rPr>
          <w:sz w:val="22"/>
          <w:szCs w:val="22"/>
          <w:lang w:val="en-GB"/>
        </w:rPr>
        <w:t>which were</w:t>
      </w:r>
      <w:r w:rsidR="00034823" w:rsidRPr="004779F8">
        <w:rPr>
          <w:sz w:val="22"/>
          <w:szCs w:val="22"/>
          <w:lang w:val="en-GB"/>
        </w:rPr>
        <w:t xml:space="preserve"> </w:t>
      </w:r>
      <w:r w:rsidR="00C03B4D" w:rsidRPr="004779F8">
        <w:rPr>
          <w:sz w:val="22"/>
          <w:szCs w:val="22"/>
          <w:lang w:val="en-GB"/>
        </w:rPr>
        <w:t xml:space="preserve">submitted </w:t>
      </w:r>
      <w:r w:rsidR="00034823" w:rsidRPr="004779F8">
        <w:rPr>
          <w:sz w:val="22"/>
          <w:szCs w:val="22"/>
          <w:lang w:val="en-GB"/>
        </w:rPr>
        <w:t>to MOP5 in 2012</w:t>
      </w:r>
      <w:r w:rsidR="00C03B4D" w:rsidRPr="004779F8">
        <w:rPr>
          <w:sz w:val="22"/>
          <w:szCs w:val="22"/>
          <w:lang w:val="en-GB"/>
        </w:rPr>
        <w:t xml:space="preserve"> and MOP6 in 2015 respectively</w:t>
      </w:r>
      <w:r w:rsidRPr="004779F8">
        <w:rPr>
          <w:sz w:val="22"/>
          <w:szCs w:val="22"/>
          <w:lang w:val="en-GB"/>
        </w:rPr>
        <w:t>.</w:t>
      </w:r>
      <w:r w:rsidR="00C03B4D" w:rsidRPr="004779F8">
        <w:rPr>
          <w:sz w:val="22"/>
          <w:szCs w:val="22"/>
          <w:lang w:val="en-GB"/>
        </w:rPr>
        <w:t xml:space="preserve"> The current report represents the final and concluding report on the implementation of the AEWA Strategic Plan 2009-2018.</w:t>
      </w:r>
    </w:p>
    <w:p w14:paraId="2F82B8A8" w14:textId="77777777" w:rsidR="00E568EA" w:rsidRPr="004779F8" w:rsidRDefault="00E568EA" w:rsidP="00160B05">
      <w:pPr>
        <w:spacing w:line="276" w:lineRule="auto"/>
        <w:jc w:val="both"/>
        <w:rPr>
          <w:sz w:val="22"/>
          <w:szCs w:val="22"/>
          <w:lang w:val="en-GB"/>
        </w:rPr>
      </w:pPr>
    </w:p>
    <w:p w14:paraId="3EE53698" w14:textId="062ED894" w:rsidR="00C93DD6" w:rsidRPr="004779F8" w:rsidRDefault="00C93DD6" w:rsidP="00160B05">
      <w:pPr>
        <w:spacing w:line="276" w:lineRule="auto"/>
        <w:jc w:val="both"/>
        <w:rPr>
          <w:sz w:val="22"/>
          <w:szCs w:val="22"/>
          <w:lang w:val="en-GB"/>
        </w:rPr>
      </w:pPr>
      <w:r w:rsidRPr="004779F8">
        <w:rPr>
          <w:sz w:val="22"/>
          <w:szCs w:val="22"/>
          <w:lang w:val="en-GB"/>
        </w:rPr>
        <w:t xml:space="preserve">To achieve the Strategic Plan goal, five objectives have been set, each with its associated targets, amounting to 26 altogether. The targets are measured by 35 quantifiable indicators. Another 12 indicators have been assigned to measure the overall progress towards the goal. This report has been produced </w:t>
      </w:r>
      <w:proofErr w:type="gramStart"/>
      <w:r w:rsidRPr="004779F8">
        <w:rPr>
          <w:sz w:val="22"/>
          <w:szCs w:val="22"/>
          <w:lang w:val="en-GB"/>
        </w:rPr>
        <w:t>on the basis of</w:t>
      </w:r>
      <w:proofErr w:type="gramEnd"/>
      <w:r w:rsidRPr="004779F8">
        <w:rPr>
          <w:sz w:val="22"/>
          <w:szCs w:val="22"/>
          <w:lang w:val="en-GB"/>
        </w:rPr>
        <w:t xml:space="preserve"> the Strategic Plan Logical Framework. The assessments are drawn from various sources, predominantly other MOP</w:t>
      </w:r>
      <w:r w:rsidR="00080B4E" w:rsidRPr="004779F8">
        <w:rPr>
          <w:sz w:val="22"/>
          <w:szCs w:val="22"/>
          <w:lang w:val="en-GB"/>
        </w:rPr>
        <w:t>7</w:t>
      </w:r>
      <w:r w:rsidRPr="004779F8">
        <w:rPr>
          <w:sz w:val="22"/>
          <w:szCs w:val="22"/>
          <w:lang w:val="en-GB"/>
        </w:rPr>
        <w:t xml:space="preserve"> documents. Each target or indicator has been assessed and placed in one of six categories.</w:t>
      </w:r>
    </w:p>
    <w:p w14:paraId="7A6C2DE5" w14:textId="77777777" w:rsidR="00C93DD6" w:rsidRPr="004779F8" w:rsidRDefault="00C93DD6" w:rsidP="00160B05">
      <w:pPr>
        <w:spacing w:line="276" w:lineRule="auto"/>
        <w:rPr>
          <w:sz w:val="22"/>
          <w:szCs w:val="22"/>
          <w:lang w:val="en-GB"/>
        </w:rPr>
      </w:pPr>
    </w:p>
    <w:p w14:paraId="2329B1BD" w14:textId="10BE1559" w:rsidR="00C93DD6" w:rsidRPr="004779F8" w:rsidRDefault="00B2772D" w:rsidP="00160B05">
      <w:pPr>
        <w:spacing w:line="276" w:lineRule="auto"/>
        <w:jc w:val="both"/>
        <w:rPr>
          <w:sz w:val="22"/>
          <w:szCs w:val="22"/>
          <w:lang w:val="en-GB"/>
        </w:rPr>
      </w:pPr>
      <w:r w:rsidRPr="004779F8">
        <w:rPr>
          <w:sz w:val="22"/>
          <w:szCs w:val="22"/>
          <w:lang w:val="en-GB"/>
        </w:rPr>
        <w:t>T</w:t>
      </w:r>
      <w:r w:rsidR="009B2912" w:rsidRPr="004779F8">
        <w:rPr>
          <w:sz w:val="22"/>
          <w:szCs w:val="22"/>
          <w:lang w:val="en-GB"/>
        </w:rPr>
        <w:t>he achiev</w:t>
      </w:r>
      <w:r w:rsidRPr="004779F8">
        <w:rPr>
          <w:sz w:val="22"/>
          <w:szCs w:val="22"/>
          <w:lang w:val="en-GB"/>
        </w:rPr>
        <w:t>ement</w:t>
      </w:r>
      <w:r w:rsidR="009B2912" w:rsidRPr="004779F8">
        <w:rPr>
          <w:sz w:val="22"/>
          <w:szCs w:val="22"/>
          <w:lang w:val="en-GB"/>
        </w:rPr>
        <w:t xml:space="preserve"> </w:t>
      </w:r>
      <w:r w:rsidRPr="004779F8">
        <w:rPr>
          <w:sz w:val="22"/>
          <w:szCs w:val="22"/>
          <w:lang w:val="en-GB"/>
        </w:rPr>
        <w:t xml:space="preserve">of </w:t>
      </w:r>
      <w:r w:rsidR="009B2912" w:rsidRPr="004779F8">
        <w:rPr>
          <w:sz w:val="22"/>
          <w:szCs w:val="22"/>
          <w:lang w:val="en-GB"/>
        </w:rPr>
        <w:t>the</w:t>
      </w:r>
      <w:r w:rsidRPr="004779F8">
        <w:rPr>
          <w:sz w:val="22"/>
          <w:szCs w:val="22"/>
          <w:lang w:val="en-GB"/>
        </w:rPr>
        <w:t xml:space="preserve"> overall</w:t>
      </w:r>
      <w:r w:rsidR="009B2912" w:rsidRPr="004779F8">
        <w:rPr>
          <w:sz w:val="22"/>
          <w:szCs w:val="22"/>
          <w:lang w:val="en-GB"/>
        </w:rPr>
        <w:t xml:space="preserve"> Strategic Plan goal </w:t>
      </w:r>
      <w:r w:rsidRPr="004779F8">
        <w:rPr>
          <w:sz w:val="22"/>
          <w:szCs w:val="22"/>
          <w:lang w:val="en-GB"/>
        </w:rPr>
        <w:t xml:space="preserve">is </w:t>
      </w:r>
      <w:r w:rsidR="009B2912" w:rsidRPr="004779F8">
        <w:rPr>
          <w:sz w:val="22"/>
          <w:szCs w:val="22"/>
          <w:lang w:val="en-GB"/>
        </w:rPr>
        <w:t xml:space="preserve">described as </w:t>
      </w:r>
      <w:r w:rsidRPr="004779F8">
        <w:rPr>
          <w:sz w:val="22"/>
          <w:szCs w:val="22"/>
          <w:lang w:val="en-GB"/>
        </w:rPr>
        <w:t xml:space="preserve">highly </w:t>
      </w:r>
      <w:r w:rsidR="009B2912" w:rsidRPr="004779F8">
        <w:rPr>
          <w:sz w:val="22"/>
          <w:szCs w:val="22"/>
          <w:lang w:val="en-GB"/>
        </w:rPr>
        <w:t xml:space="preserve">insufficient. </w:t>
      </w:r>
      <w:r w:rsidR="00DC030C" w:rsidRPr="004779F8">
        <w:rPr>
          <w:sz w:val="22"/>
          <w:szCs w:val="22"/>
          <w:lang w:val="en-GB"/>
        </w:rPr>
        <w:t>The</w:t>
      </w:r>
      <w:r w:rsidRPr="004779F8">
        <w:rPr>
          <w:sz w:val="22"/>
          <w:szCs w:val="22"/>
          <w:lang w:val="en-GB"/>
        </w:rPr>
        <w:t xml:space="preserve"> thresholds of half of the indicators have not been reached and due to unavailability of data 34% of in</w:t>
      </w:r>
      <w:r w:rsidR="00DC030C" w:rsidRPr="004779F8">
        <w:rPr>
          <w:sz w:val="22"/>
          <w:szCs w:val="22"/>
          <w:lang w:val="en-GB"/>
        </w:rPr>
        <w:t>dicators have not been assessed</w:t>
      </w:r>
      <w:r w:rsidRPr="004779F8">
        <w:rPr>
          <w:sz w:val="22"/>
          <w:szCs w:val="22"/>
          <w:lang w:val="en-GB"/>
        </w:rPr>
        <w:t>.</w:t>
      </w:r>
      <w:r w:rsidR="00DC030C" w:rsidRPr="004779F8">
        <w:rPr>
          <w:sz w:val="22"/>
          <w:szCs w:val="22"/>
          <w:lang w:val="en-GB"/>
        </w:rPr>
        <w:t xml:space="preserve"> </w:t>
      </w:r>
      <w:r w:rsidRPr="004779F8">
        <w:rPr>
          <w:sz w:val="22"/>
          <w:szCs w:val="22"/>
          <w:lang w:val="en-GB"/>
        </w:rPr>
        <w:t xml:space="preserve">The threshold of only one indicator (8%) was reached and on another one (8%) it was nearly reached. </w:t>
      </w:r>
    </w:p>
    <w:p w14:paraId="119469C4" w14:textId="77777777" w:rsidR="00C93DD6" w:rsidRPr="004779F8" w:rsidRDefault="00C93DD6" w:rsidP="00160B05">
      <w:pPr>
        <w:spacing w:line="276" w:lineRule="auto"/>
        <w:jc w:val="both"/>
        <w:rPr>
          <w:sz w:val="22"/>
          <w:szCs w:val="22"/>
          <w:lang w:val="en-GB"/>
        </w:rPr>
      </w:pPr>
    </w:p>
    <w:p w14:paraId="105C92A4" w14:textId="536E518B" w:rsidR="00E568EA" w:rsidRPr="001D2AAF" w:rsidRDefault="00C93DD6" w:rsidP="00160B05">
      <w:pPr>
        <w:spacing w:line="276" w:lineRule="auto"/>
        <w:jc w:val="both"/>
        <w:rPr>
          <w:sz w:val="22"/>
          <w:szCs w:val="22"/>
          <w:lang w:val="en-GB"/>
        </w:rPr>
      </w:pPr>
      <w:r w:rsidRPr="000F0222">
        <w:rPr>
          <w:sz w:val="22"/>
          <w:szCs w:val="22"/>
          <w:lang w:val="en-GB"/>
        </w:rPr>
        <w:t xml:space="preserve">The overall progress towards achieving the Strategic Plan objectives </w:t>
      </w:r>
      <w:r w:rsidR="00B2772D" w:rsidRPr="000F0222">
        <w:rPr>
          <w:sz w:val="22"/>
          <w:szCs w:val="22"/>
          <w:lang w:val="en-GB"/>
        </w:rPr>
        <w:t xml:space="preserve">was ranked </w:t>
      </w:r>
      <w:r w:rsidRPr="000F0222">
        <w:rPr>
          <w:sz w:val="22"/>
          <w:szCs w:val="22"/>
          <w:lang w:val="en-GB"/>
        </w:rPr>
        <w:t xml:space="preserve">as </w:t>
      </w:r>
      <w:r w:rsidR="0059006C" w:rsidRPr="000F0222">
        <w:rPr>
          <w:sz w:val="22"/>
          <w:szCs w:val="22"/>
          <w:lang w:val="en-GB"/>
        </w:rPr>
        <w:t>average but</w:t>
      </w:r>
      <w:r w:rsidR="00720AC4" w:rsidRPr="000F0222">
        <w:rPr>
          <w:sz w:val="22"/>
          <w:szCs w:val="22"/>
          <w:lang w:val="en-GB"/>
        </w:rPr>
        <w:t xml:space="preserve"> </w:t>
      </w:r>
      <w:r w:rsidR="00B2772D" w:rsidRPr="000F0222">
        <w:rPr>
          <w:sz w:val="22"/>
          <w:szCs w:val="22"/>
          <w:lang w:val="en-GB"/>
        </w:rPr>
        <w:t>has had a consistently improving trend over the period of Strategic Plan implementation</w:t>
      </w:r>
      <w:r w:rsidR="00720AC4" w:rsidRPr="000F0222">
        <w:rPr>
          <w:sz w:val="22"/>
          <w:szCs w:val="22"/>
          <w:lang w:val="en-GB"/>
        </w:rPr>
        <w:t>.</w:t>
      </w:r>
      <w:r w:rsidRPr="000F0222">
        <w:rPr>
          <w:sz w:val="22"/>
          <w:szCs w:val="22"/>
          <w:lang w:val="en-GB"/>
        </w:rPr>
        <w:t xml:space="preserve"> </w:t>
      </w:r>
      <w:r w:rsidR="00B2772D" w:rsidRPr="004779F8">
        <w:rPr>
          <w:sz w:val="22"/>
          <w:szCs w:val="22"/>
          <w:lang w:val="en-GB"/>
        </w:rPr>
        <w:t xml:space="preserve">Altogether 30% of targets have either </w:t>
      </w:r>
      <w:r w:rsidR="0059006C" w:rsidRPr="004779F8">
        <w:rPr>
          <w:sz w:val="22"/>
          <w:szCs w:val="22"/>
          <w:lang w:val="en-GB"/>
        </w:rPr>
        <w:t xml:space="preserve">been </w:t>
      </w:r>
      <w:r w:rsidR="00B2772D" w:rsidRPr="000F0222">
        <w:rPr>
          <w:i/>
          <w:sz w:val="22"/>
          <w:szCs w:val="22"/>
          <w:lang w:val="en-GB"/>
        </w:rPr>
        <w:t>achieved</w:t>
      </w:r>
      <w:r w:rsidR="00B2772D" w:rsidRPr="004779F8">
        <w:rPr>
          <w:sz w:val="22"/>
          <w:szCs w:val="22"/>
          <w:lang w:val="en-GB"/>
        </w:rPr>
        <w:t xml:space="preserve"> (11%) or </w:t>
      </w:r>
      <w:r w:rsidR="00B2772D" w:rsidRPr="000F0222">
        <w:rPr>
          <w:i/>
          <w:sz w:val="22"/>
          <w:szCs w:val="22"/>
          <w:lang w:val="en-GB"/>
        </w:rPr>
        <w:t>significant progress</w:t>
      </w:r>
      <w:r w:rsidR="00B2772D" w:rsidRPr="004779F8">
        <w:rPr>
          <w:sz w:val="22"/>
          <w:szCs w:val="22"/>
          <w:lang w:val="en-GB"/>
        </w:rPr>
        <w:t xml:space="preserve"> has been registered (19%). </w:t>
      </w:r>
      <w:r w:rsidR="0002019C" w:rsidRPr="004779F8">
        <w:rPr>
          <w:sz w:val="22"/>
          <w:szCs w:val="22"/>
          <w:lang w:val="en-GB"/>
        </w:rPr>
        <w:t>M</w:t>
      </w:r>
      <w:r w:rsidR="00B2772D" w:rsidRPr="004779F8">
        <w:rPr>
          <w:sz w:val="22"/>
          <w:szCs w:val="22"/>
          <w:lang w:val="en-GB"/>
        </w:rPr>
        <w:t xml:space="preserve">ore than a quarter (27%) of the indicators </w:t>
      </w:r>
      <w:r w:rsidR="0002019C" w:rsidRPr="004779F8">
        <w:rPr>
          <w:sz w:val="22"/>
          <w:szCs w:val="22"/>
          <w:lang w:val="en-GB"/>
        </w:rPr>
        <w:t xml:space="preserve">have been assessed </w:t>
      </w:r>
      <w:r w:rsidR="0059006C" w:rsidRPr="004779F8">
        <w:rPr>
          <w:sz w:val="22"/>
          <w:szCs w:val="22"/>
          <w:lang w:val="en-GB"/>
        </w:rPr>
        <w:t>as showing</w:t>
      </w:r>
      <w:r w:rsidR="0002019C" w:rsidRPr="004779F8">
        <w:rPr>
          <w:sz w:val="22"/>
          <w:szCs w:val="22"/>
          <w:lang w:val="en-GB"/>
        </w:rPr>
        <w:t xml:space="preserve"> </w:t>
      </w:r>
      <w:r w:rsidR="0002019C" w:rsidRPr="000F0222">
        <w:rPr>
          <w:i/>
          <w:sz w:val="22"/>
          <w:szCs w:val="22"/>
          <w:lang w:val="en-GB"/>
        </w:rPr>
        <w:t>good progress</w:t>
      </w:r>
      <w:r w:rsidR="0002019C" w:rsidRPr="004779F8">
        <w:rPr>
          <w:sz w:val="22"/>
          <w:szCs w:val="22"/>
          <w:lang w:val="en-GB"/>
        </w:rPr>
        <w:t xml:space="preserve"> and the remaining have </w:t>
      </w:r>
      <w:r w:rsidR="0059006C" w:rsidRPr="004779F8">
        <w:rPr>
          <w:sz w:val="22"/>
          <w:szCs w:val="22"/>
          <w:lang w:val="en-GB"/>
        </w:rPr>
        <w:t>shown</w:t>
      </w:r>
      <w:r w:rsidR="0002019C" w:rsidRPr="004779F8">
        <w:rPr>
          <w:sz w:val="22"/>
          <w:szCs w:val="22"/>
          <w:lang w:val="en-GB"/>
        </w:rPr>
        <w:t xml:space="preserve"> only </w:t>
      </w:r>
      <w:r w:rsidR="0002019C" w:rsidRPr="000F0222">
        <w:rPr>
          <w:i/>
          <w:sz w:val="22"/>
          <w:szCs w:val="22"/>
          <w:lang w:val="en-GB"/>
        </w:rPr>
        <w:t>limited progress</w:t>
      </w:r>
      <w:r w:rsidR="0002019C" w:rsidRPr="004779F8">
        <w:rPr>
          <w:sz w:val="22"/>
          <w:szCs w:val="22"/>
          <w:lang w:val="en-GB"/>
        </w:rPr>
        <w:t xml:space="preserve"> (31%) or have </w:t>
      </w:r>
      <w:r w:rsidR="0002019C" w:rsidRPr="000F0222">
        <w:rPr>
          <w:i/>
          <w:sz w:val="22"/>
          <w:szCs w:val="22"/>
          <w:lang w:val="en-GB"/>
        </w:rPr>
        <w:t>not been assessed</w:t>
      </w:r>
      <w:r w:rsidR="0002019C" w:rsidRPr="00852729">
        <w:rPr>
          <w:sz w:val="22"/>
          <w:szCs w:val="22"/>
          <w:lang w:val="en-GB"/>
        </w:rPr>
        <w:t xml:space="preserve"> (12%).</w:t>
      </w:r>
    </w:p>
    <w:p w14:paraId="1FA4CBDD" w14:textId="77777777" w:rsidR="00E568EA" w:rsidRPr="004779F8" w:rsidRDefault="00E568EA" w:rsidP="00160B05">
      <w:pPr>
        <w:spacing w:line="276" w:lineRule="auto"/>
        <w:jc w:val="both"/>
        <w:rPr>
          <w:sz w:val="22"/>
          <w:szCs w:val="22"/>
          <w:lang w:val="en-GB"/>
        </w:rPr>
      </w:pPr>
    </w:p>
    <w:p w14:paraId="64A05E71" w14:textId="5B912183" w:rsidR="0039034C" w:rsidRPr="000F0222" w:rsidRDefault="00D85A35" w:rsidP="00160B05">
      <w:pPr>
        <w:spacing w:line="276" w:lineRule="auto"/>
        <w:jc w:val="both"/>
        <w:rPr>
          <w:sz w:val="22"/>
          <w:szCs w:val="22"/>
          <w:lang w:val="en-GB"/>
        </w:rPr>
      </w:pPr>
      <w:r w:rsidRPr="000F0222">
        <w:rPr>
          <w:sz w:val="22"/>
          <w:szCs w:val="22"/>
          <w:lang w:val="en-GB"/>
        </w:rPr>
        <w:t>Amongst the five objectives none is outstanding in terms of reaching its associated targets</w:t>
      </w:r>
      <w:r w:rsidR="00E26FC1" w:rsidRPr="000F0222">
        <w:rPr>
          <w:sz w:val="22"/>
          <w:szCs w:val="22"/>
          <w:lang w:val="en-GB"/>
        </w:rPr>
        <w:t xml:space="preserve">, but Objective 2 has </w:t>
      </w:r>
      <w:r w:rsidR="0059006C" w:rsidRPr="000F0222">
        <w:rPr>
          <w:sz w:val="22"/>
          <w:szCs w:val="22"/>
          <w:lang w:val="en-GB"/>
        </w:rPr>
        <w:t xml:space="preserve">the </w:t>
      </w:r>
      <w:r w:rsidR="00E26FC1" w:rsidRPr="000F0222">
        <w:rPr>
          <w:sz w:val="22"/>
          <w:szCs w:val="22"/>
          <w:lang w:val="en-GB"/>
        </w:rPr>
        <w:t xml:space="preserve">highest score with 80% of the targets either </w:t>
      </w:r>
      <w:r w:rsidR="00E26FC1" w:rsidRPr="000F0222">
        <w:rPr>
          <w:i/>
          <w:sz w:val="22"/>
          <w:szCs w:val="22"/>
          <w:lang w:val="en-GB"/>
        </w:rPr>
        <w:t>reached</w:t>
      </w:r>
      <w:r w:rsidR="00E26FC1" w:rsidRPr="000F0222">
        <w:rPr>
          <w:sz w:val="22"/>
          <w:szCs w:val="22"/>
          <w:lang w:val="en-GB"/>
        </w:rPr>
        <w:t xml:space="preserve"> (20%, 1 target), </w:t>
      </w:r>
      <w:r w:rsidR="00A03174">
        <w:rPr>
          <w:sz w:val="22"/>
          <w:szCs w:val="22"/>
          <w:lang w:val="en-GB"/>
        </w:rPr>
        <w:t xml:space="preserve">or showing </w:t>
      </w:r>
      <w:r w:rsidR="00E26FC1" w:rsidRPr="000F0222">
        <w:rPr>
          <w:i/>
          <w:sz w:val="22"/>
          <w:szCs w:val="22"/>
          <w:lang w:val="en-GB"/>
        </w:rPr>
        <w:t>significant</w:t>
      </w:r>
      <w:r w:rsidR="00E26FC1" w:rsidRPr="000F0222">
        <w:rPr>
          <w:sz w:val="22"/>
          <w:szCs w:val="22"/>
          <w:lang w:val="en-GB"/>
        </w:rPr>
        <w:t xml:space="preserve"> (20%, 1 target) or </w:t>
      </w:r>
      <w:r w:rsidR="00E26FC1" w:rsidRPr="000F0222">
        <w:rPr>
          <w:i/>
          <w:sz w:val="22"/>
          <w:szCs w:val="22"/>
          <w:lang w:val="en-GB"/>
        </w:rPr>
        <w:t>good</w:t>
      </w:r>
      <w:r w:rsidR="00E26FC1" w:rsidRPr="000F0222">
        <w:rPr>
          <w:sz w:val="22"/>
          <w:szCs w:val="22"/>
          <w:lang w:val="en-GB"/>
        </w:rPr>
        <w:t xml:space="preserve"> (40%, 2 targets) </w:t>
      </w:r>
      <w:r w:rsidR="00E26FC1" w:rsidRPr="000F0222">
        <w:rPr>
          <w:i/>
          <w:sz w:val="22"/>
          <w:szCs w:val="22"/>
          <w:lang w:val="en-GB"/>
        </w:rPr>
        <w:t>progress</w:t>
      </w:r>
      <w:r w:rsidR="00E26FC1" w:rsidRPr="000F0222">
        <w:rPr>
          <w:sz w:val="22"/>
          <w:szCs w:val="22"/>
          <w:lang w:val="en-GB"/>
        </w:rPr>
        <w:t>.</w:t>
      </w:r>
      <w:r w:rsidRPr="000F0222">
        <w:rPr>
          <w:sz w:val="22"/>
          <w:szCs w:val="22"/>
          <w:lang w:val="en-GB"/>
        </w:rPr>
        <w:t xml:space="preserve"> </w:t>
      </w:r>
      <w:r w:rsidR="00E26FC1" w:rsidRPr="000F0222">
        <w:rPr>
          <w:sz w:val="22"/>
          <w:szCs w:val="22"/>
          <w:lang w:val="en-GB"/>
        </w:rPr>
        <w:t xml:space="preserve">All </w:t>
      </w:r>
      <w:r w:rsidRPr="000F0222">
        <w:rPr>
          <w:sz w:val="22"/>
          <w:szCs w:val="22"/>
          <w:lang w:val="en-GB"/>
        </w:rPr>
        <w:t>objectives</w:t>
      </w:r>
      <w:r w:rsidR="00E26FC1" w:rsidRPr="000F0222">
        <w:rPr>
          <w:sz w:val="22"/>
          <w:szCs w:val="22"/>
          <w:lang w:val="en-GB"/>
        </w:rPr>
        <w:t xml:space="preserve"> </w:t>
      </w:r>
      <w:r w:rsidR="00DC030C" w:rsidRPr="000F0222">
        <w:rPr>
          <w:sz w:val="22"/>
          <w:szCs w:val="22"/>
          <w:lang w:val="en-GB"/>
        </w:rPr>
        <w:t>demonstrated</w:t>
      </w:r>
      <w:r w:rsidR="00E26FC1" w:rsidRPr="000F0222">
        <w:rPr>
          <w:sz w:val="22"/>
          <w:szCs w:val="22"/>
          <w:lang w:val="en-GB"/>
        </w:rPr>
        <w:t xml:space="preserve"> </w:t>
      </w:r>
      <w:r w:rsidR="0059006C" w:rsidRPr="000F0222">
        <w:rPr>
          <w:sz w:val="22"/>
          <w:szCs w:val="22"/>
          <w:lang w:val="en-GB"/>
        </w:rPr>
        <w:t xml:space="preserve">an </w:t>
      </w:r>
      <w:r w:rsidR="00E26FC1" w:rsidRPr="000F0222">
        <w:rPr>
          <w:sz w:val="22"/>
          <w:szCs w:val="22"/>
          <w:lang w:val="en-GB"/>
        </w:rPr>
        <w:t xml:space="preserve">increasing trend towards reaching their targets over the period of Strategic Plan implementation </w:t>
      </w:r>
      <w:r w:rsidRPr="000F0222">
        <w:rPr>
          <w:sz w:val="22"/>
          <w:szCs w:val="22"/>
          <w:lang w:val="en-GB"/>
        </w:rPr>
        <w:t>apart from Objective 4</w:t>
      </w:r>
      <w:r w:rsidR="00E26FC1" w:rsidRPr="000F0222">
        <w:rPr>
          <w:sz w:val="22"/>
          <w:szCs w:val="22"/>
          <w:lang w:val="en-GB"/>
        </w:rPr>
        <w:t>, which was constant</w:t>
      </w:r>
      <w:r w:rsidRPr="000F0222">
        <w:rPr>
          <w:sz w:val="22"/>
          <w:szCs w:val="22"/>
          <w:lang w:val="en-GB"/>
        </w:rPr>
        <w:t xml:space="preserve">. </w:t>
      </w:r>
    </w:p>
    <w:p w14:paraId="213C8AFE" w14:textId="77777777" w:rsidR="005629EE" w:rsidRPr="000F0222" w:rsidRDefault="005629EE" w:rsidP="00160B05">
      <w:pPr>
        <w:spacing w:line="276" w:lineRule="auto"/>
        <w:jc w:val="both"/>
        <w:rPr>
          <w:sz w:val="22"/>
          <w:szCs w:val="22"/>
          <w:lang w:val="en-GB"/>
        </w:rPr>
      </w:pPr>
    </w:p>
    <w:p w14:paraId="33B6ECA7" w14:textId="77777777" w:rsidR="000F0222" w:rsidRDefault="00C93DD6" w:rsidP="00160B05">
      <w:pPr>
        <w:spacing w:line="276" w:lineRule="auto"/>
        <w:jc w:val="both"/>
        <w:rPr>
          <w:sz w:val="22"/>
          <w:szCs w:val="22"/>
          <w:lang w:val="en-GB"/>
        </w:rPr>
        <w:sectPr w:rsidR="000F0222" w:rsidSect="00C15143">
          <w:headerReference w:type="default" r:id="rId8"/>
          <w:footerReference w:type="default" r:id="rId9"/>
          <w:pgSz w:w="11907" w:h="16840" w:code="9"/>
          <w:pgMar w:top="1021" w:right="1134" w:bottom="851" w:left="1134" w:header="709" w:footer="709" w:gutter="0"/>
          <w:cols w:space="708"/>
          <w:docGrid w:linePitch="360"/>
        </w:sectPr>
      </w:pPr>
      <w:r w:rsidRPr="004779F8">
        <w:rPr>
          <w:sz w:val="22"/>
          <w:szCs w:val="22"/>
          <w:lang w:val="en-GB"/>
        </w:rPr>
        <w:t xml:space="preserve">A detailed overview was made of the </w:t>
      </w:r>
      <w:r w:rsidR="0002019C" w:rsidRPr="004779F8">
        <w:rPr>
          <w:sz w:val="22"/>
          <w:szCs w:val="22"/>
          <w:lang w:val="en-GB"/>
        </w:rPr>
        <w:t xml:space="preserve">achievement of </w:t>
      </w:r>
      <w:r w:rsidRPr="004779F8">
        <w:rPr>
          <w:sz w:val="22"/>
          <w:szCs w:val="22"/>
          <w:lang w:val="en-GB"/>
        </w:rPr>
        <w:t>each objective and its associated targets</w:t>
      </w:r>
      <w:r w:rsidR="00D85A35" w:rsidRPr="004779F8">
        <w:rPr>
          <w:sz w:val="22"/>
          <w:szCs w:val="22"/>
          <w:lang w:val="en-GB"/>
        </w:rPr>
        <w:t xml:space="preserve"> </w:t>
      </w:r>
      <w:r w:rsidRPr="004779F8">
        <w:rPr>
          <w:sz w:val="22"/>
          <w:szCs w:val="22"/>
          <w:lang w:val="en-GB"/>
        </w:rPr>
        <w:t xml:space="preserve">and the report concludes with </w:t>
      </w:r>
      <w:r w:rsidR="0002019C" w:rsidRPr="00852729">
        <w:rPr>
          <w:sz w:val="22"/>
          <w:szCs w:val="22"/>
          <w:lang w:val="en-GB"/>
        </w:rPr>
        <w:t xml:space="preserve">carry over </w:t>
      </w:r>
      <w:r w:rsidRPr="001D2AAF">
        <w:rPr>
          <w:sz w:val="22"/>
          <w:szCs w:val="22"/>
          <w:lang w:val="en-GB"/>
        </w:rPr>
        <w:t xml:space="preserve">recommendations </w:t>
      </w:r>
      <w:r w:rsidR="0002019C" w:rsidRPr="001D2AAF">
        <w:rPr>
          <w:sz w:val="22"/>
          <w:szCs w:val="22"/>
          <w:lang w:val="en-GB"/>
        </w:rPr>
        <w:t xml:space="preserve">for the </w:t>
      </w:r>
      <w:r w:rsidRPr="004779F8">
        <w:rPr>
          <w:sz w:val="22"/>
          <w:szCs w:val="22"/>
          <w:lang w:val="en-GB"/>
        </w:rPr>
        <w:t xml:space="preserve">implementation of the </w:t>
      </w:r>
      <w:r w:rsidR="0002019C" w:rsidRPr="004779F8">
        <w:rPr>
          <w:sz w:val="22"/>
          <w:szCs w:val="22"/>
          <w:lang w:val="en-GB"/>
        </w:rPr>
        <w:t xml:space="preserve">new AEWA </w:t>
      </w:r>
      <w:r w:rsidRPr="004779F8">
        <w:rPr>
          <w:sz w:val="22"/>
          <w:szCs w:val="22"/>
          <w:lang w:val="en-GB"/>
        </w:rPr>
        <w:t xml:space="preserve">Strategic Plan </w:t>
      </w:r>
      <w:r w:rsidR="0002019C" w:rsidRPr="004779F8">
        <w:rPr>
          <w:sz w:val="22"/>
          <w:szCs w:val="22"/>
          <w:lang w:val="en-GB"/>
        </w:rPr>
        <w:t>2019-2027</w:t>
      </w:r>
      <w:r w:rsidRPr="000F0222">
        <w:rPr>
          <w:sz w:val="22"/>
          <w:szCs w:val="22"/>
          <w:lang w:val="en-GB"/>
        </w:rPr>
        <w:t xml:space="preserve">, which will require </w:t>
      </w:r>
      <w:r w:rsidR="0002019C" w:rsidRPr="000F0222">
        <w:rPr>
          <w:sz w:val="22"/>
          <w:szCs w:val="22"/>
          <w:lang w:val="en-GB"/>
        </w:rPr>
        <w:t xml:space="preserve">significantly increased </w:t>
      </w:r>
      <w:r w:rsidR="003E2D56" w:rsidRPr="000F0222">
        <w:rPr>
          <w:sz w:val="22"/>
          <w:szCs w:val="22"/>
          <w:lang w:val="en-GB"/>
        </w:rPr>
        <w:t>cooperation, resources</w:t>
      </w:r>
      <w:r w:rsidR="0002019C" w:rsidRPr="000F0222">
        <w:rPr>
          <w:sz w:val="22"/>
          <w:szCs w:val="22"/>
          <w:lang w:val="en-GB"/>
        </w:rPr>
        <w:t>,</w:t>
      </w:r>
      <w:r w:rsidR="003E2D56" w:rsidRPr="000F0222">
        <w:rPr>
          <w:sz w:val="22"/>
          <w:szCs w:val="22"/>
          <w:lang w:val="en-GB"/>
        </w:rPr>
        <w:t xml:space="preserve"> capacity</w:t>
      </w:r>
      <w:r w:rsidR="0002019C" w:rsidRPr="000F0222">
        <w:rPr>
          <w:sz w:val="22"/>
          <w:szCs w:val="22"/>
          <w:lang w:val="en-GB"/>
        </w:rPr>
        <w:t xml:space="preserve"> and focused input</w:t>
      </w:r>
      <w:r w:rsidRPr="000F0222">
        <w:rPr>
          <w:sz w:val="22"/>
          <w:szCs w:val="22"/>
          <w:lang w:val="en-GB"/>
        </w:rPr>
        <w:t>.</w:t>
      </w:r>
    </w:p>
    <w:p w14:paraId="5E2D4DE4" w14:textId="0E963689" w:rsidR="00C93DD6" w:rsidRPr="004779F8" w:rsidRDefault="00C93DD6" w:rsidP="00160B05">
      <w:pPr>
        <w:spacing w:line="276" w:lineRule="auto"/>
        <w:jc w:val="both"/>
        <w:rPr>
          <w:sz w:val="22"/>
          <w:szCs w:val="22"/>
          <w:lang w:val="en-GB"/>
        </w:rPr>
      </w:pPr>
    </w:p>
    <w:p w14:paraId="3C4F8302" w14:textId="036FBDDE" w:rsidR="00C63136" w:rsidRPr="00E802AD" w:rsidRDefault="00E02663" w:rsidP="00160B05">
      <w:pPr>
        <w:spacing w:line="276" w:lineRule="auto"/>
        <w:jc w:val="both"/>
        <w:rPr>
          <w:sz w:val="22"/>
          <w:szCs w:val="22"/>
          <w:lang w:val="en-GB"/>
        </w:rPr>
      </w:pPr>
      <w:r w:rsidRPr="000F0222">
        <w:rPr>
          <w:sz w:val="22"/>
          <w:szCs w:val="22"/>
          <w:lang w:val="en-GB"/>
        </w:rPr>
        <w:t xml:space="preserve">A discrepancy has been identified between </w:t>
      </w:r>
      <w:r w:rsidR="00C63136" w:rsidRPr="000F0222">
        <w:rPr>
          <w:sz w:val="22"/>
          <w:szCs w:val="22"/>
          <w:lang w:val="en-GB"/>
        </w:rPr>
        <w:t xml:space="preserve">the </w:t>
      </w:r>
      <w:r w:rsidR="0002019C" w:rsidRPr="000F0222">
        <w:rPr>
          <w:sz w:val="22"/>
          <w:szCs w:val="22"/>
          <w:lang w:val="en-GB"/>
        </w:rPr>
        <w:t xml:space="preserve">overall average </w:t>
      </w:r>
      <w:r w:rsidRPr="000F0222">
        <w:rPr>
          <w:sz w:val="22"/>
          <w:szCs w:val="22"/>
          <w:lang w:val="en-GB"/>
        </w:rPr>
        <w:t>implementation of the Strategic Plan</w:t>
      </w:r>
      <w:r w:rsidR="0002019C" w:rsidRPr="000F0222">
        <w:rPr>
          <w:sz w:val="22"/>
          <w:szCs w:val="22"/>
          <w:lang w:val="en-GB"/>
        </w:rPr>
        <w:t xml:space="preserve">, </w:t>
      </w:r>
      <w:r w:rsidR="00B53295">
        <w:rPr>
          <w:sz w:val="22"/>
          <w:szCs w:val="22"/>
          <w:lang w:val="en-GB"/>
        </w:rPr>
        <w:t xml:space="preserve">even if with </w:t>
      </w:r>
      <w:r w:rsidR="0002019C" w:rsidRPr="00E802AD">
        <w:rPr>
          <w:sz w:val="22"/>
          <w:szCs w:val="22"/>
          <w:lang w:val="en-GB"/>
        </w:rPr>
        <w:t>a consistent</w:t>
      </w:r>
      <w:r w:rsidR="0059006C" w:rsidRPr="00E802AD">
        <w:rPr>
          <w:sz w:val="22"/>
          <w:szCs w:val="22"/>
          <w:lang w:val="en-GB"/>
        </w:rPr>
        <w:t>ly</w:t>
      </w:r>
      <w:r w:rsidR="0002019C" w:rsidRPr="00E802AD">
        <w:rPr>
          <w:sz w:val="22"/>
          <w:szCs w:val="22"/>
          <w:lang w:val="en-GB"/>
        </w:rPr>
        <w:t xml:space="preserve"> increasing trend over the decade</w:t>
      </w:r>
      <w:r w:rsidR="00885090">
        <w:rPr>
          <w:sz w:val="22"/>
          <w:szCs w:val="22"/>
          <w:lang w:val="en-GB"/>
        </w:rPr>
        <w:t>,</w:t>
      </w:r>
      <w:r w:rsidRPr="00E802AD">
        <w:rPr>
          <w:sz w:val="22"/>
          <w:szCs w:val="22"/>
          <w:lang w:val="en-GB"/>
        </w:rPr>
        <w:t xml:space="preserve"> and </w:t>
      </w:r>
      <w:r w:rsidR="0002019C" w:rsidRPr="00E802AD">
        <w:rPr>
          <w:sz w:val="22"/>
          <w:szCs w:val="22"/>
          <w:lang w:val="en-GB"/>
        </w:rPr>
        <w:t xml:space="preserve">the highly insufficient </w:t>
      </w:r>
      <w:r w:rsidRPr="00E802AD">
        <w:rPr>
          <w:sz w:val="22"/>
          <w:szCs w:val="22"/>
          <w:lang w:val="en-GB"/>
        </w:rPr>
        <w:t>achiev</w:t>
      </w:r>
      <w:r w:rsidR="0002019C" w:rsidRPr="00E802AD">
        <w:rPr>
          <w:sz w:val="22"/>
          <w:szCs w:val="22"/>
          <w:lang w:val="en-GB"/>
        </w:rPr>
        <w:t>ement</w:t>
      </w:r>
      <w:r w:rsidRPr="00E802AD">
        <w:rPr>
          <w:sz w:val="22"/>
          <w:szCs w:val="22"/>
          <w:lang w:val="en-GB"/>
        </w:rPr>
        <w:t xml:space="preserve"> </w:t>
      </w:r>
      <w:r w:rsidR="0059006C" w:rsidRPr="00E802AD">
        <w:rPr>
          <w:sz w:val="22"/>
          <w:szCs w:val="22"/>
          <w:lang w:val="en-GB"/>
        </w:rPr>
        <w:t xml:space="preserve">of </w:t>
      </w:r>
      <w:r w:rsidRPr="00E802AD">
        <w:rPr>
          <w:sz w:val="22"/>
          <w:szCs w:val="22"/>
          <w:lang w:val="en-GB"/>
        </w:rPr>
        <w:t>the goal of the Plan.</w:t>
      </w:r>
      <w:r w:rsidR="00B62AD2">
        <w:rPr>
          <w:sz w:val="22"/>
          <w:szCs w:val="22"/>
          <w:lang w:val="en-GB"/>
        </w:rPr>
        <w:t xml:space="preserve"> </w:t>
      </w:r>
      <w:r w:rsidRPr="00E802AD">
        <w:rPr>
          <w:sz w:val="22"/>
          <w:szCs w:val="22"/>
          <w:lang w:val="en-GB"/>
        </w:rPr>
        <w:t>This discrepancy points t</w:t>
      </w:r>
      <w:r w:rsidR="0002019C" w:rsidRPr="00E802AD">
        <w:rPr>
          <w:sz w:val="22"/>
          <w:szCs w:val="22"/>
          <w:lang w:val="en-GB"/>
        </w:rPr>
        <w:t>o</w:t>
      </w:r>
      <w:r w:rsidRPr="00E802AD">
        <w:rPr>
          <w:sz w:val="22"/>
          <w:szCs w:val="22"/>
          <w:lang w:val="en-GB"/>
        </w:rPr>
        <w:t xml:space="preserve"> the need to allocate more attention to targets that can directly influence the status of the AEWA </w:t>
      </w:r>
      <w:proofErr w:type="spellStart"/>
      <w:r w:rsidRPr="00E802AD">
        <w:rPr>
          <w:sz w:val="22"/>
          <w:szCs w:val="22"/>
          <w:lang w:val="en-GB"/>
        </w:rPr>
        <w:t>waterbird</w:t>
      </w:r>
      <w:proofErr w:type="spellEnd"/>
      <w:r w:rsidR="0002019C" w:rsidRPr="00E802AD">
        <w:rPr>
          <w:sz w:val="22"/>
          <w:szCs w:val="22"/>
          <w:lang w:val="en-GB"/>
        </w:rPr>
        <w:t xml:space="preserve"> populations</w:t>
      </w:r>
      <w:r w:rsidRPr="00E802AD">
        <w:rPr>
          <w:sz w:val="22"/>
          <w:szCs w:val="22"/>
          <w:lang w:val="en-GB"/>
        </w:rPr>
        <w:t>.</w:t>
      </w:r>
    </w:p>
    <w:p w14:paraId="2AD25675" w14:textId="77777777" w:rsidR="00160B05" w:rsidRPr="00E802AD" w:rsidRDefault="00160B05" w:rsidP="00160B05">
      <w:pPr>
        <w:spacing w:line="276" w:lineRule="auto"/>
        <w:jc w:val="both"/>
        <w:rPr>
          <w:sz w:val="22"/>
          <w:szCs w:val="22"/>
          <w:lang w:val="en-GB"/>
        </w:rPr>
      </w:pPr>
    </w:p>
    <w:p w14:paraId="07620387" w14:textId="77777777" w:rsidR="00160B05" w:rsidRPr="00E802AD" w:rsidRDefault="00160B05" w:rsidP="00160B05">
      <w:pPr>
        <w:spacing w:line="276" w:lineRule="auto"/>
        <w:jc w:val="both"/>
        <w:rPr>
          <w:sz w:val="22"/>
          <w:szCs w:val="22"/>
          <w:lang w:val="en-GB"/>
        </w:rPr>
      </w:pPr>
    </w:p>
    <w:p w14:paraId="117C5B1F" w14:textId="77777777" w:rsidR="00C93DD6" w:rsidRPr="004779F8" w:rsidRDefault="00C93DD6" w:rsidP="00D5743F">
      <w:pPr>
        <w:shd w:val="clear" w:color="auto" w:fill="DBE5F1" w:themeFill="accent1" w:themeFillTint="33"/>
        <w:rPr>
          <w:b/>
          <w:lang w:val="en-GB"/>
        </w:rPr>
      </w:pPr>
      <w:r w:rsidRPr="004779F8">
        <w:rPr>
          <w:b/>
          <w:lang w:val="en-GB"/>
        </w:rPr>
        <w:t xml:space="preserve">Introduction </w:t>
      </w:r>
    </w:p>
    <w:p w14:paraId="6AC07226" w14:textId="77777777" w:rsidR="00C93DD6" w:rsidRPr="00852729" w:rsidRDefault="00C93DD6" w:rsidP="00C93DD6">
      <w:pPr>
        <w:jc w:val="both"/>
        <w:rPr>
          <w:sz w:val="22"/>
          <w:szCs w:val="22"/>
          <w:lang w:val="en-GB"/>
        </w:rPr>
      </w:pPr>
    </w:p>
    <w:p w14:paraId="73E81D5A" w14:textId="3B009BF0" w:rsidR="000209B3" w:rsidRPr="004779F8" w:rsidRDefault="00C93DD6" w:rsidP="00160B05">
      <w:pPr>
        <w:spacing w:line="276" w:lineRule="auto"/>
        <w:jc w:val="both"/>
        <w:rPr>
          <w:sz w:val="22"/>
          <w:szCs w:val="22"/>
          <w:lang w:val="en-GB"/>
        </w:rPr>
      </w:pPr>
      <w:r w:rsidRPr="004779F8">
        <w:rPr>
          <w:sz w:val="22"/>
          <w:szCs w:val="22"/>
          <w:lang w:val="en-GB"/>
        </w:rPr>
        <w:t>The AEWA Strategic Plan for the period 2009-2017 was adopted in 2008 by the 4</w:t>
      </w:r>
      <w:r w:rsidRPr="004779F8">
        <w:rPr>
          <w:sz w:val="22"/>
          <w:szCs w:val="22"/>
          <w:vertAlign w:val="superscript"/>
          <w:lang w:val="en-GB"/>
        </w:rPr>
        <w:t>th</w:t>
      </w:r>
      <w:r w:rsidRPr="004779F8">
        <w:rPr>
          <w:sz w:val="22"/>
          <w:szCs w:val="22"/>
          <w:lang w:val="en-GB"/>
        </w:rPr>
        <w:t xml:space="preserve"> Session of the Meeting of the Parties (MOP) </w:t>
      </w:r>
      <w:r w:rsidR="0059006C" w:rsidRPr="004779F8">
        <w:rPr>
          <w:sz w:val="22"/>
          <w:szCs w:val="22"/>
          <w:lang w:val="en-GB"/>
        </w:rPr>
        <w:t>through R</w:t>
      </w:r>
      <w:r w:rsidRPr="004779F8">
        <w:rPr>
          <w:sz w:val="22"/>
          <w:szCs w:val="22"/>
          <w:lang w:val="en-GB"/>
        </w:rPr>
        <w:t xml:space="preserve">esolution 4.7. </w:t>
      </w:r>
      <w:r w:rsidR="00080B4E" w:rsidRPr="004779F8">
        <w:rPr>
          <w:sz w:val="22"/>
          <w:szCs w:val="22"/>
          <w:lang w:val="en-GB"/>
        </w:rPr>
        <w:t>Later in 2015, through Resolution 6.14</w:t>
      </w:r>
      <w:r w:rsidR="00C442A6" w:rsidRPr="004779F8">
        <w:rPr>
          <w:sz w:val="22"/>
          <w:szCs w:val="22"/>
          <w:lang w:val="en-GB"/>
        </w:rPr>
        <w:t>,</w:t>
      </w:r>
      <w:r w:rsidR="00080B4E" w:rsidRPr="004779F8">
        <w:rPr>
          <w:sz w:val="22"/>
          <w:szCs w:val="22"/>
          <w:lang w:val="en-GB"/>
        </w:rPr>
        <w:t xml:space="preserve"> MOP6 extended the longevity of the Strategic Plan until MOP7 in 2018. </w:t>
      </w:r>
      <w:r w:rsidRPr="004779F8">
        <w:rPr>
          <w:sz w:val="22"/>
          <w:szCs w:val="22"/>
          <w:lang w:val="en-GB"/>
        </w:rPr>
        <w:t>The Strategic Plan aims at providing the context for implementation of the Agreement, putting forward a medium-term perspective, by setting the overall goal, the objectives and</w:t>
      </w:r>
      <w:r w:rsidR="00683420" w:rsidRPr="004779F8">
        <w:rPr>
          <w:sz w:val="22"/>
          <w:szCs w:val="22"/>
          <w:lang w:val="en-GB"/>
        </w:rPr>
        <w:t xml:space="preserve"> </w:t>
      </w:r>
      <w:r w:rsidRPr="004779F8">
        <w:rPr>
          <w:sz w:val="22"/>
          <w:szCs w:val="22"/>
          <w:lang w:val="en-GB"/>
        </w:rPr>
        <w:t>targets for a period of nine years (three triennial MOP cycles</w:t>
      </w:r>
      <w:r w:rsidR="00080B4E" w:rsidRPr="004779F8">
        <w:rPr>
          <w:rStyle w:val="FootnoteReference"/>
          <w:sz w:val="22"/>
          <w:szCs w:val="22"/>
          <w:lang w:val="en-GB"/>
        </w:rPr>
        <w:footnoteReference w:id="1"/>
      </w:r>
      <w:r w:rsidRPr="004779F8">
        <w:rPr>
          <w:sz w:val="22"/>
          <w:szCs w:val="22"/>
          <w:lang w:val="en-GB"/>
        </w:rPr>
        <w:t>). It is intended to provide coherent and strategic guidance to the Contracting Parties and other stakeholders in their endeavour to act effectively both n</w:t>
      </w:r>
      <w:r w:rsidRPr="00852729">
        <w:rPr>
          <w:sz w:val="22"/>
          <w:szCs w:val="22"/>
          <w:lang w:val="en-GB"/>
        </w:rPr>
        <w:t>ationally</w:t>
      </w:r>
      <w:r w:rsidR="00C442A6" w:rsidRPr="001D2AAF">
        <w:rPr>
          <w:sz w:val="22"/>
          <w:szCs w:val="22"/>
          <w:lang w:val="en-GB"/>
        </w:rPr>
        <w:t xml:space="preserve"> </w:t>
      </w:r>
      <w:r w:rsidRPr="001D2AAF">
        <w:rPr>
          <w:sz w:val="22"/>
          <w:szCs w:val="22"/>
          <w:lang w:val="en-GB"/>
        </w:rPr>
        <w:t>and regionally</w:t>
      </w:r>
      <w:r w:rsidR="00C442A6" w:rsidRPr="004779F8">
        <w:rPr>
          <w:sz w:val="22"/>
          <w:szCs w:val="22"/>
          <w:lang w:val="en-GB"/>
        </w:rPr>
        <w:t>,</w:t>
      </w:r>
      <w:r w:rsidRPr="004779F8">
        <w:rPr>
          <w:sz w:val="22"/>
          <w:szCs w:val="22"/>
          <w:lang w:val="en-GB"/>
        </w:rPr>
        <w:t xml:space="preserve"> whilst cooperating internationally along the flyways. The Strategic Plan further provides guidance to the AEWA governing bodies (the Meeting of the Parties, the Standing and Technical Committees) and the UNEP/AEWA Secretariat.</w:t>
      </w:r>
    </w:p>
    <w:p w14:paraId="2ABB0812" w14:textId="77777777" w:rsidR="002A3F1F" w:rsidRPr="004779F8" w:rsidRDefault="002A3F1F" w:rsidP="00160B05">
      <w:pPr>
        <w:spacing w:line="276" w:lineRule="auto"/>
        <w:jc w:val="both"/>
        <w:rPr>
          <w:sz w:val="22"/>
          <w:szCs w:val="22"/>
          <w:lang w:val="en-GB"/>
        </w:rPr>
      </w:pPr>
    </w:p>
    <w:p w14:paraId="4CA71EF9" w14:textId="77777777" w:rsidR="00C93DD6" w:rsidRPr="004779F8" w:rsidRDefault="00C93DD6" w:rsidP="00160B05">
      <w:pPr>
        <w:spacing w:line="276" w:lineRule="auto"/>
        <w:jc w:val="both"/>
        <w:rPr>
          <w:sz w:val="22"/>
          <w:szCs w:val="22"/>
          <w:lang w:val="en-GB"/>
        </w:rPr>
      </w:pPr>
      <w:r w:rsidRPr="004779F8">
        <w:rPr>
          <w:sz w:val="22"/>
          <w:szCs w:val="22"/>
          <w:lang w:val="en-GB"/>
        </w:rPr>
        <w:t xml:space="preserve">Resolution 4.7, amongst others, requested the Standing Committee to monitor the implementation of the Strategic Plan and report progress to each ordinary session of the MOP. </w:t>
      </w:r>
    </w:p>
    <w:p w14:paraId="425C0F2C" w14:textId="77777777" w:rsidR="00C93DD6" w:rsidRPr="004779F8" w:rsidRDefault="00C93DD6" w:rsidP="00160B05">
      <w:pPr>
        <w:spacing w:line="276" w:lineRule="auto"/>
        <w:jc w:val="both"/>
        <w:rPr>
          <w:sz w:val="22"/>
          <w:szCs w:val="22"/>
          <w:lang w:val="en-GB"/>
        </w:rPr>
      </w:pPr>
    </w:p>
    <w:p w14:paraId="60BEE738" w14:textId="216B0B80" w:rsidR="00C93DD6" w:rsidRPr="004779F8" w:rsidRDefault="00C93DD6" w:rsidP="00160B05">
      <w:pPr>
        <w:spacing w:line="276" w:lineRule="auto"/>
        <w:jc w:val="both"/>
        <w:rPr>
          <w:sz w:val="22"/>
          <w:szCs w:val="22"/>
          <w:lang w:val="en-GB"/>
        </w:rPr>
      </w:pPr>
      <w:r w:rsidRPr="004779F8">
        <w:rPr>
          <w:sz w:val="22"/>
          <w:szCs w:val="22"/>
          <w:lang w:val="en-GB"/>
        </w:rPr>
        <w:t xml:space="preserve">This </w:t>
      </w:r>
      <w:r w:rsidR="0057390A" w:rsidRPr="004779F8">
        <w:rPr>
          <w:sz w:val="22"/>
          <w:szCs w:val="22"/>
          <w:lang w:val="en-GB"/>
        </w:rPr>
        <w:t xml:space="preserve">final and concluding </w:t>
      </w:r>
      <w:r w:rsidRPr="004779F8">
        <w:rPr>
          <w:sz w:val="22"/>
          <w:szCs w:val="22"/>
          <w:lang w:val="en-GB"/>
        </w:rPr>
        <w:t>report on the implementation of the Strategic Plan 2009-201</w:t>
      </w:r>
      <w:r w:rsidR="00E56D8D" w:rsidRPr="004779F8">
        <w:rPr>
          <w:sz w:val="22"/>
          <w:szCs w:val="22"/>
          <w:lang w:val="en-GB"/>
        </w:rPr>
        <w:t>8</w:t>
      </w:r>
      <w:r w:rsidRPr="004779F8">
        <w:rPr>
          <w:sz w:val="22"/>
          <w:szCs w:val="22"/>
          <w:lang w:val="en-GB"/>
        </w:rPr>
        <w:t xml:space="preserve"> has been compiled by the UNEP/AEWA Secretariat for the St</w:t>
      </w:r>
      <w:r w:rsidR="00C442A6" w:rsidRPr="004779F8">
        <w:rPr>
          <w:sz w:val="22"/>
          <w:szCs w:val="22"/>
          <w:lang w:val="en-GB"/>
        </w:rPr>
        <w:t>anding Committee</w:t>
      </w:r>
      <w:r w:rsidRPr="004779F8">
        <w:rPr>
          <w:sz w:val="22"/>
          <w:szCs w:val="22"/>
          <w:lang w:val="en-GB"/>
        </w:rPr>
        <w:t xml:space="preserve"> and approved by the Committee for submission to MOP</w:t>
      </w:r>
      <w:r w:rsidR="00E56D8D" w:rsidRPr="004779F8">
        <w:rPr>
          <w:sz w:val="22"/>
          <w:szCs w:val="22"/>
          <w:lang w:val="en-GB"/>
        </w:rPr>
        <w:t>7</w:t>
      </w:r>
      <w:r w:rsidRPr="004779F8">
        <w:rPr>
          <w:sz w:val="22"/>
          <w:szCs w:val="22"/>
          <w:lang w:val="en-GB"/>
        </w:rPr>
        <w:t xml:space="preserve">. </w:t>
      </w:r>
    </w:p>
    <w:p w14:paraId="16B94030" w14:textId="77777777" w:rsidR="00C93DD6" w:rsidRPr="004779F8" w:rsidRDefault="00C93DD6" w:rsidP="00160B05">
      <w:pPr>
        <w:spacing w:line="276" w:lineRule="auto"/>
        <w:jc w:val="both"/>
        <w:rPr>
          <w:sz w:val="22"/>
          <w:szCs w:val="22"/>
          <w:lang w:val="en-GB"/>
        </w:rPr>
      </w:pPr>
    </w:p>
    <w:p w14:paraId="5BE03A0B" w14:textId="77777777" w:rsidR="00C93DD6" w:rsidRPr="004779F8" w:rsidRDefault="00C93DD6" w:rsidP="00C93DD6">
      <w:pPr>
        <w:jc w:val="both"/>
        <w:rPr>
          <w:sz w:val="22"/>
          <w:szCs w:val="22"/>
          <w:lang w:val="en-GB"/>
        </w:rPr>
      </w:pPr>
    </w:p>
    <w:p w14:paraId="441F9236" w14:textId="77777777" w:rsidR="00C93DD6" w:rsidRPr="004779F8" w:rsidRDefault="00C93DD6" w:rsidP="00D5743F">
      <w:pPr>
        <w:shd w:val="clear" w:color="auto" w:fill="DBE5F1" w:themeFill="accent1" w:themeFillTint="33"/>
        <w:jc w:val="both"/>
        <w:rPr>
          <w:b/>
          <w:lang w:val="en-GB"/>
        </w:rPr>
      </w:pPr>
      <w:r w:rsidRPr="004779F8">
        <w:rPr>
          <w:b/>
          <w:lang w:val="en-GB"/>
        </w:rPr>
        <w:t>Report structure and approach</w:t>
      </w:r>
    </w:p>
    <w:p w14:paraId="0A38EFC5" w14:textId="77777777" w:rsidR="00C93DD6" w:rsidRPr="004779F8" w:rsidRDefault="00C93DD6" w:rsidP="00160B05">
      <w:pPr>
        <w:spacing w:line="276" w:lineRule="auto"/>
        <w:jc w:val="both"/>
        <w:rPr>
          <w:sz w:val="22"/>
          <w:szCs w:val="22"/>
          <w:lang w:val="en-GB"/>
        </w:rPr>
      </w:pPr>
    </w:p>
    <w:p w14:paraId="45531D5A" w14:textId="3FE8FC82" w:rsidR="00C93DD6" w:rsidRPr="004779F8" w:rsidRDefault="00C93DD6" w:rsidP="00160B05">
      <w:pPr>
        <w:spacing w:line="276" w:lineRule="auto"/>
        <w:jc w:val="both"/>
        <w:rPr>
          <w:sz w:val="22"/>
          <w:szCs w:val="22"/>
          <w:lang w:val="en-GB"/>
        </w:rPr>
      </w:pPr>
      <w:r w:rsidRPr="004779F8">
        <w:rPr>
          <w:sz w:val="22"/>
          <w:szCs w:val="22"/>
          <w:lang w:val="en-GB"/>
        </w:rPr>
        <w:t xml:space="preserve">The vision put forward in the Strategic Plan </w:t>
      </w:r>
      <w:r w:rsidR="00683420" w:rsidRPr="004779F8">
        <w:rPr>
          <w:sz w:val="22"/>
          <w:szCs w:val="22"/>
          <w:lang w:val="en-GB"/>
        </w:rPr>
        <w:t>is</w:t>
      </w:r>
      <w:r w:rsidRPr="004779F8">
        <w:rPr>
          <w:sz w:val="22"/>
          <w:szCs w:val="22"/>
          <w:lang w:val="en-GB"/>
        </w:rPr>
        <w:t xml:space="preserve"> as follows:</w:t>
      </w:r>
    </w:p>
    <w:p w14:paraId="2099D5CC" w14:textId="77777777" w:rsidR="00C93DD6" w:rsidRPr="004779F8" w:rsidRDefault="00C93DD6" w:rsidP="00160B05">
      <w:pPr>
        <w:spacing w:line="276" w:lineRule="auto"/>
        <w:jc w:val="both"/>
        <w:rPr>
          <w:sz w:val="22"/>
          <w:szCs w:val="22"/>
          <w:lang w:val="en-GB"/>
        </w:rPr>
      </w:pPr>
    </w:p>
    <w:p w14:paraId="48ABAD41" w14:textId="5327D944" w:rsidR="00C93DD6" w:rsidRPr="004779F8" w:rsidRDefault="00C93DD6" w:rsidP="00160B05">
      <w:pPr>
        <w:tabs>
          <w:tab w:val="left" w:pos="0"/>
        </w:tabs>
        <w:spacing w:line="276" w:lineRule="auto"/>
        <w:ind w:left="993" w:right="1134" w:hanging="993"/>
        <w:jc w:val="both"/>
        <w:rPr>
          <w:i/>
          <w:sz w:val="22"/>
          <w:szCs w:val="22"/>
          <w:lang w:val="en-GB"/>
        </w:rPr>
      </w:pPr>
      <w:r w:rsidRPr="004779F8">
        <w:rPr>
          <w:i/>
          <w:sz w:val="22"/>
          <w:szCs w:val="22"/>
          <w:lang w:val="en-GB"/>
        </w:rPr>
        <w:tab/>
      </w:r>
      <w:r w:rsidR="00683420" w:rsidRPr="004779F8">
        <w:rPr>
          <w:i/>
          <w:sz w:val="22"/>
          <w:szCs w:val="22"/>
          <w:lang w:val="en-GB"/>
        </w:rPr>
        <w:t>‘</w:t>
      </w:r>
      <w:r w:rsidRPr="004779F8">
        <w:rPr>
          <w:i/>
          <w:sz w:val="22"/>
          <w:szCs w:val="22"/>
          <w:lang w:val="en-GB"/>
        </w:rPr>
        <w:t xml:space="preserve">All countries along the African-Eurasian Flyways share viable </w:t>
      </w:r>
      <w:proofErr w:type="spellStart"/>
      <w:r w:rsidRPr="004779F8">
        <w:rPr>
          <w:i/>
          <w:sz w:val="22"/>
          <w:szCs w:val="22"/>
          <w:lang w:val="en-GB"/>
        </w:rPr>
        <w:t>waterbird</w:t>
      </w:r>
      <w:proofErr w:type="spellEnd"/>
      <w:r w:rsidRPr="004779F8">
        <w:rPr>
          <w:i/>
          <w:sz w:val="22"/>
          <w:szCs w:val="22"/>
          <w:lang w:val="en-GB"/>
        </w:rPr>
        <w:t xml:space="preserve"> populations, and people throughout the region understand, respect, facilitate and sustain the phenomenon of their migration</w:t>
      </w:r>
      <w:r w:rsidR="00683420" w:rsidRPr="004779F8">
        <w:rPr>
          <w:i/>
          <w:sz w:val="22"/>
          <w:szCs w:val="22"/>
          <w:lang w:val="en-GB"/>
        </w:rPr>
        <w:t>’</w:t>
      </w:r>
      <w:r w:rsidRPr="004779F8">
        <w:rPr>
          <w:i/>
          <w:sz w:val="22"/>
          <w:szCs w:val="22"/>
          <w:lang w:val="en-GB"/>
        </w:rPr>
        <w:t>.</w:t>
      </w:r>
    </w:p>
    <w:p w14:paraId="7D226EA7" w14:textId="77777777" w:rsidR="00C93DD6" w:rsidRPr="004779F8" w:rsidRDefault="00C93DD6" w:rsidP="00160B05">
      <w:pPr>
        <w:spacing w:line="276" w:lineRule="auto"/>
        <w:rPr>
          <w:sz w:val="22"/>
          <w:szCs w:val="22"/>
          <w:lang w:val="en-GB"/>
        </w:rPr>
      </w:pPr>
    </w:p>
    <w:p w14:paraId="2CFBE6EB" w14:textId="77777777" w:rsidR="00C93DD6" w:rsidRPr="004779F8" w:rsidRDefault="00C93DD6" w:rsidP="00160B05">
      <w:pPr>
        <w:spacing w:line="276" w:lineRule="auto"/>
        <w:jc w:val="both"/>
        <w:rPr>
          <w:sz w:val="22"/>
          <w:szCs w:val="22"/>
          <w:lang w:val="en-GB"/>
        </w:rPr>
      </w:pPr>
      <w:r w:rsidRPr="004779F8">
        <w:rPr>
          <w:sz w:val="22"/>
          <w:szCs w:val="22"/>
          <w:lang w:val="en-GB"/>
        </w:rPr>
        <w:t xml:space="preserve">The goal of this Strategic Plan is </w:t>
      </w:r>
      <w:r w:rsidRPr="004779F8">
        <w:rPr>
          <w:b/>
          <w:sz w:val="22"/>
          <w:szCs w:val="22"/>
          <w:lang w:val="en-GB"/>
        </w:rPr>
        <w:t xml:space="preserve">to maintain or to restore migratory </w:t>
      </w:r>
      <w:proofErr w:type="spellStart"/>
      <w:r w:rsidRPr="004779F8">
        <w:rPr>
          <w:b/>
          <w:sz w:val="22"/>
          <w:szCs w:val="22"/>
          <w:lang w:val="en-GB"/>
        </w:rPr>
        <w:t>waterbird</w:t>
      </w:r>
      <w:proofErr w:type="spellEnd"/>
      <w:r w:rsidRPr="004779F8">
        <w:rPr>
          <w:b/>
          <w:sz w:val="22"/>
          <w:szCs w:val="22"/>
          <w:lang w:val="en-GB"/>
        </w:rPr>
        <w:t xml:space="preserve"> species and their populations at a favourable conservation status </w:t>
      </w:r>
      <w:r w:rsidRPr="004779F8">
        <w:rPr>
          <w:b/>
          <w:bCs/>
          <w:sz w:val="22"/>
          <w:szCs w:val="22"/>
          <w:lang w:val="en-GB"/>
        </w:rPr>
        <w:t xml:space="preserve">throughout their flyways </w:t>
      </w:r>
      <w:r w:rsidRPr="004779F8">
        <w:rPr>
          <w:bCs/>
          <w:sz w:val="22"/>
          <w:szCs w:val="22"/>
          <w:lang w:val="en-GB"/>
        </w:rPr>
        <w:t xml:space="preserve">and it sets five related objectives corresponding to the headings of the AEWA Action Plan, each aiming at achieving, respectively, favourable conservation status, sustainable use, increased knowledge, improved communication, and improved cooperation and capacity. </w:t>
      </w:r>
    </w:p>
    <w:p w14:paraId="56D68EBA" w14:textId="77777777" w:rsidR="00C93DD6" w:rsidRPr="004779F8" w:rsidRDefault="00C93DD6" w:rsidP="00160B05">
      <w:pPr>
        <w:spacing w:line="276" w:lineRule="auto"/>
        <w:rPr>
          <w:sz w:val="22"/>
          <w:szCs w:val="22"/>
          <w:lang w:val="en-GB"/>
        </w:rPr>
      </w:pPr>
    </w:p>
    <w:p w14:paraId="002E48BF" w14:textId="22A4E1A7" w:rsidR="00C93DD6" w:rsidRPr="004779F8" w:rsidRDefault="00C93DD6" w:rsidP="00160B05">
      <w:pPr>
        <w:spacing w:line="276" w:lineRule="auto"/>
        <w:jc w:val="both"/>
        <w:rPr>
          <w:sz w:val="22"/>
          <w:szCs w:val="22"/>
          <w:lang w:val="en-GB"/>
        </w:rPr>
      </w:pPr>
      <w:r w:rsidRPr="004779F8">
        <w:rPr>
          <w:sz w:val="22"/>
          <w:szCs w:val="22"/>
          <w:lang w:val="en-GB"/>
        </w:rPr>
        <w:t xml:space="preserve">To achieve each objective, a series of targets has been set – three for Objective 4, five for </w:t>
      </w:r>
      <w:r w:rsidR="005E6232" w:rsidRPr="004779F8">
        <w:rPr>
          <w:sz w:val="22"/>
          <w:szCs w:val="22"/>
          <w:lang w:val="en-GB"/>
        </w:rPr>
        <w:t xml:space="preserve">each of </w:t>
      </w:r>
      <w:r w:rsidRPr="004779F8">
        <w:rPr>
          <w:sz w:val="22"/>
          <w:szCs w:val="22"/>
          <w:lang w:val="en-GB"/>
        </w:rPr>
        <w:t xml:space="preserve">Objectives 1, 2 and 3, and eight for Objective 5. Each target is measured by quantifiable indicators, usually one per target, </w:t>
      </w:r>
      <w:proofErr w:type="gramStart"/>
      <w:r w:rsidRPr="004779F8">
        <w:rPr>
          <w:sz w:val="22"/>
          <w:szCs w:val="22"/>
          <w:lang w:val="en-GB"/>
        </w:rPr>
        <w:t>with the exception of</w:t>
      </w:r>
      <w:proofErr w:type="gramEnd"/>
      <w:r w:rsidRPr="004779F8">
        <w:rPr>
          <w:sz w:val="22"/>
          <w:szCs w:val="22"/>
          <w:lang w:val="en-GB"/>
        </w:rPr>
        <w:t xml:space="preserve"> Targets 2.1 and 3.1 (two indicators) and Target 4.2 (nine indicators), amounting to 35 in total. Twelve indicators have also been assigned to measure the progress towards achieving the overall goal of the Strategic Plan – eight of which are at the Agreement-wide level and four at the national level. The sources </w:t>
      </w:r>
      <w:r w:rsidRPr="004779F8">
        <w:rPr>
          <w:sz w:val="22"/>
          <w:szCs w:val="22"/>
          <w:lang w:val="en-GB"/>
        </w:rPr>
        <w:lastRenderedPageBreak/>
        <w:t xml:space="preserve">of </w:t>
      </w:r>
      <w:r w:rsidR="00403907" w:rsidRPr="004779F8">
        <w:rPr>
          <w:sz w:val="22"/>
          <w:szCs w:val="22"/>
          <w:lang w:val="en-GB"/>
        </w:rPr>
        <w:t xml:space="preserve">data for </w:t>
      </w:r>
      <w:r w:rsidRPr="004779F8">
        <w:rPr>
          <w:sz w:val="22"/>
          <w:szCs w:val="22"/>
          <w:lang w:val="en-GB"/>
        </w:rPr>
        <w:t xml:space="preserve">these indicators have also been </w:t>
      </w:r>
      <w:r w:rsidR="00C442A6" w:rsidRPr="004779F8">
        <w:rPr>
          <w:sz w:val="22"/>
          <w:szCs w:val="22"/>
          <w:lang w:val="en-GB"/>
        </w:rPr>
        <w:t>identified and</w:t>
      </w:r>
      <w:r w:rsidRPr="004779F8">
        <w:rPr>
          <w:sz w:val="22"/>
          <w:szCs w:val="22"/>
          <w:lang w:val="en-GB"/>
        </w:rPr>
        <w:t xml:space="preserve"> have been reflected in the Strategic Plan Logical Framework as ‘means of verification’.</w:t>
      </w:r>
    </w:p>
    <w:p w14:paraId="0AA96C54" w14:textId="77777777" w:rsidR="00C93DD6" w:rsidRPr="004779F8" w:rsidRDefault="00C93DD6" w:rsidP="00160B05">
      <w:pPr>
        <w:spacing w:line="276" w:lineRule="auto"/>
        <w:jc w:val="both"/>
        <w:rPr>
          <w:sz w:val="22"/>
          <w:szCs w:val="22"/>
          <w:lang w:val="en-GB"/>
        </w:rPr>
      </w:pPr>
    </w:p>
    <w:p w14:paraId="07B3029A" w14:textId="00285837" w:rsidR="00683420" w:rsidRPr="004779F8" w:rsidRDefault="00C93DD6" w:rsidP="00160B05">
      <w:pPr>
        <w:spacing w:line="276" w:lineRule="auto"/>
        <w:jc w:val="both"/>
        <w:rPr>
          <w:sz w:val="22"/>
          <w:szCs w:val="22"/>
          <w:lang w:val="en-GB"/>
        </w:rPr>
      </w:pPr>
      <w:r w:rsidRPr="004779F8">
        <w:rPr>
          <w:sz w:val="22"/>
          <w:szCs w:val="22"/>
          <w:lang w:val="en-GB"/>
        </w:rPr>
        <w:t>To compile this report</w:t>
      </w:r>
      <w:r w:rsidR="00683420" w:rsidRPr="004779F8">
        <w:rPr>
          <w:sz w:val="22"/>
          <w:szCs w:val="22"/>
          <w:lang w:val="en-GB"/>
        </w:rPr>
        <w:t>,</w:t>
      </w:r>
      <w:r w:rsidRPr="004779F8">
        <w:rPr>
          <w:sz w:val="22"/>
          <w:szCs w:val="22"/>
          <w:lang w:val="en-GB"/>
        </w:rPr>
        <w:t xml:space="preserve"> the detailed overview of progress against each target and indicator was produced first, </w:t>
      </w:r>
      <w:proofErr w:type="gramStart"/>
      <w:r w:rsidRPr="004779F8">
        <w:rPr>
          <w:sz w:val="22"/>
          <w:szCs w:val="22"/>
          <w:lang w:val="en-GB"/>
        </w:rPr>
        <w:t>on the basis of</w:t>
      </w:r>
      <w:proofErr w:type="gramEnd"/>
      <w:r w:rsidRPr="004779F8">
        <w:rPr>
          <w:sz w:val="22"/>
          <w:szCs w:val="22"/>
          <w:lang w:val="en-GB"/>
        </w:rPr>
        <w:t xml:space="preserve"> the Strategic Plan Logical Framework, which is presented in Tables 3-8. Summaries of progress have been drawn from </w:t>
      </w:r>
      <w:proofErr w:type="gramStart"/>
      <w:r w:rsidRPr="004779F8">
        <w:rPr>
          <w:sz w:val="22"/>
          <w:szCs w:val="22"/>
          <w:lang w:val="en-GB"/>
        </w:rPr>
        <w:t>a number of</w:t>
      </w:r>
      <w:proofErr w:type="gramEnd"/>
      <w:r w:rsidRPr="004779F8">
        <w:rPr>
          <w:sz w:val="22"/>
          <w:szCs w:val="22"/>
          <w:lang w:val="en-GB"/>
        </w:rPr>
        <w:t xml:space="preserve"> other MOP</w:t>
      </w:r>
      <w:r w:rsidR="00CE1072" w:rsidRPr="004779F8">
        <w:rPr>
          <w:sz w:val="22"/>
          <w:szCs w:val="22"/>
          <w:lang w:val="en-GB"/>
        </w:rPr>
        <w:t>7</w:t>
      </w:r>
      <w:r w:rsidRPr="004779F8">
        <w:rPr>
          <w:sz w:val="22"/>
          <w:szCs w:val="22"/>
          <w:lang w:val="en-GB"/>
        </w:rPr>
        <w:t xml:space="preserve"> documents, such as</w:t>
      </w:r>
      <w:r w:rsidR="00683420" w:rsidRPr="004779F8">
        <w:rPr>
          <w:sz w:val="22"/>
          <w:szCs w:val="22"/>
          <w:lang w:val="en-GB"/>
        </w:rPr>
        <w:t>:</w:t>
      </w:r>
    </w:p>
    <w:p w14:paraId="1A9AAE82" w14:textId="682BDD9E" w:rsidR="00683420" w:rsidRPr="004779F8" w:rsidRDefault="00683420" w:rsidP="00160B05">
      <w:pPr>
        <w:spacing w:line="276" w:lineRule="auto"/>
        <w:jc w:val="both"/>
        <w:rPr>
          <w:sz w:val="22"/>
          <w:szCs w:val="22"/>
          <w:lang w:val="en-GB"/>
        </w:rPr>
      </w:pPr>
    </w:p>
    <w:p w14:paraId="5467840B" w14:textId="26CCE2CA" w:rsidR="00683420" w:rsidRPr="000F0222" w:rsidRDefault="005E60C8" w:rsidP="00160B05">
      <w:pPr>
        <w:pStyle w:val="ListParagraph"/>
        <w:numPr>
          <w:ilvl w:val="0"/>
          <w:numId w:val="3"/>
        </w:numPr>
        <w:spacing w:line="276" w:lineRule="auto"/>
        <w:jc w:val="both"/>
        <w:rPr>
          <w:sz w:val="22"/>
          <w:szCs w:val="22"/>
          <w:lang w:val="en-GB"/>
        </w:rPr>
      </w:pPr>
      <w:r w:rsidRPr="004779F8">
        <w:rPr>
          <w:sz w:val="22"/>
          <w:szCs w:val="22"/>
          <w:lang w:val="en-GB"/>
        </w:rPr>
        <w:t xml:space="preserve">AEWA/MOP </w:t>
      </w:r>
      <w:r w:rsidR="00896068" w:rsidRPr="004779F8">
        <w:rPr>
          <w:sz w:val="22"/>
          <w:szCs w:val="22"/>
          <w:lang w:val="en-GB"/>
        </w:rPr>
        <w:t>7</w:t>
      </w:r>
      <w:r w:rsidRPr="004779F8">
        <w:rPr>
          <w:sz w:val="22"/>
          <w:szCs w:val="22"/>
          <w:lang w:val="en-GB"/>
        </w:rPr>
        <w:t>.9 (</w:t>
      </w:r>
      <w:r w:rsidRPr="004779F8">
        <w:rPr>
          <w:i/>
          <w:sz w:val="22"/>
          <w:szCs w:val="22"/>
          <w:lang w:val="en-GB"/>
        </w:rPr>
        <w:t>Report of the Secretariat</w:t>
      </w:r>
      <w:r w:rsidRPr="004779F8">
        <w:rPr>
          <w:sz w:val="22"/>
          <w:szCs w:val="22"/>
          <w:lang w:val="en-GB"/>
        </w:rPr>
        <w:t>)</w:t>
      </w:r>
      <w:r w:rsidR="00683420" w:rsidRPr="004779F8">
        <w:rPr>
          <w:sz w:val="22"/>
          <w:szCs w:val="22"/>
          <w:lang w:val="en-GB"/>
        </w:rPr>
        <w:t>;</w:t>
      </w:r>
    </w:p>
    <w:p w14:paraId="65E04A5B" w14:textId="72A03801" w:rsidR="00683420" w:rsidRPr="000F0222" w:rsidRDefault="005E60C8" w:rsidP="00160B05">
      <w:pPr>
        <w:pStyle w:val="ListParagraph"/>
        <w:numPr>
          <w:ilvl w:val="0"/>
          <w:numId w:val="3"/>
        </w:numPr>
        <w:spacing w:line="276" w:lineRule="auto"/>
        <w:jc w:val="both"/>
        <w:rPr>
          <w:sz w:val="22"/>
          <w:szCs w:val="22"/>
          <w:lang w:val="en-GB"/>
        </w:rPr>
      </w:pPr>
      <w:r w:rsidRPr="004779F8">
        <w:rPr>
          <w:sz w:val="22"/>
          <w:szCs w:val="22"/>
          <w:lang w:val="en-GB"/>
        </w:rPr>
        <w:t xml:space="preserve">AEWA/MOP </w:t>
      </w:r>
      <w:r w:rsidR="00896068" w:rsidRPr="004779F8">
        <w:rPr>
          <w:sz w:val="22"/>
          <w:szCs w:val="22"/>
          <w:lang w:val="en-GB"/>
        </w:rPr>
        <w:t>7</w:t>
      </w:r>
      <w:r w:rsidRPr="004779F8">
        <w:rPr>
          <w:sz w:val="22"/>
          <w:szCs w:val="22"/>
          <w:lang w:val="en-GB"/>
        </w:rPr>
        <w:t>.11 (</w:t>
      </w:r>
      <w:r w:rsidR="0020704F" w:rsidRPr="004779F8">
        <w:rPr>
          <w:i/>
          <w:sz w:val="22"/>
          <w:szCs w:val="22"/>
          <w:lang w:val="en-GB"/>
        </w:rPr>
        <w:t>Report on the Implementation of the African Initiative and the Plan of Action for Africa 2012-2018</w:t>
      </w:r>
      <w:r w:rsidRPr="00964C3E">
        <w:rPr>
          <w:sz w:val="22"/>
          <w:szCs w:val="22"/>
          <w:lang w:val="en-GB"/>
        </w:rPr>
        <w:t>)</w:t>
      </w:r>
      <w:r w:rsidR="00683420" w:rsidRPr="003915B9">
        <w:rPr>
          <w:sz w:val="22"/>
          <w:szCs w:val="22"/>
          <w:lang w:val="en-GB"/>
        </w:rPr>
        <w:t>;</w:t>
      </w:r>
    </w:p>
    <w:p w14:paraId="6D619580" w14:textId="6C73E8CD" w:rsidR="00683420" w:rsidRPr="000F0222" w:rsidRDefault="00C93DD6" w:rsidP="00160B05">
      <w:pPr>
        <w:pStyle w:val="ListParagraph"/>
        <w:numPr>
          <w:ilvl w:val="0"/>
          <w:numId w:val="3"/>
        </w:numPr>
        <w:spacing w:line="276" w:lineRule="auto"/>
        <w:jc w:val="both"/>
        <w:rPr>
          <w:sz w:val="22"/>
          <w:szCs w:val="22"/>
          <w:lang w:val="en-GB"/>
        </w:rPr>
      </w:pPr>
      <w:r w:rsidRPr="004779F8">
        <w:rPr>
          <w:sz w:val="22"/>
          <w:szCs w:val="22"/>
          <w:lang w:val="en-GB"/>
        </w:rPr>
        <w:t xml:space="preserve">AEWA/MOP </w:t>
      </w:r>
      <w:r w:rsidR="00896068" w:rsidRPr="004779F8">
        <w:rPr>
          <w:sz w:val="22"/>
          <w:szCs w:val="22"/>
          <w:lang w:val="en-GB"/>
        </w:rPr>
        <w:t>7</w:t>
      </w:r>
      <w:r w:rsidRPr="004779F8">
        <w:rPr>
          <w:sz w:val="22"/>
          <w:szCs w:val="22"/>
          <w:lang w:val="en-GB"/>
        </w:rPr>
        <w:t>.1</w:t>
      </w:r>
      <w:r w:rsidR="00896068" w:rsidRPr="004779F8">
        <w:rPr>
          <w:sz w:val="22"/>
          <w:szCs w:val="22"/>
          <w:lang w:val="en-GB"/>
        </w:rPr>
        <w:t>2</w:t>
      </w:r>
      <w:r w:rsidRPr="00964C3E">
        <w:rPr>
          <w:sz w:val="22"/>
          <w:szCs w:val="22"/>
          <w:lang w:val="en-GB"/>
        </w:rPr>
        <w:t xml:space="preserve"> (</w:t>
      </w:r>
      <w:r w:rsidRPr="000F0222">
        <w:rPr>
          <w:i/>
          <w:sz w:val="22"/>
          <w:szCs w:val="22"/>
          <w:lang w:val="en-GB"/>
        </w:rPr>
        <w:t xml:space="preserve">Analysis of </w:t>
      </w:r>
      <w:r w:rsidR="0020704F" w:rsidRPr="000F0222">
        <w:rPr>
          <w:i/>
          <w:sz w:val="22"/>
          <w:szCs w:val="22"/>
          <w:lang w:val="en-GB"/>
        </w:rPr>
        <w:t xml:space="preserve">the </w:t>
      </w:r>
      <w:r w:rsidRPr="000F0222">
        <w:rPr>
          <w:i/>
          <w:sz w:val="22"/>
          <w:szCs w:val="22"/>
          <w:lang w:val="en-GB"/>
        </w:rPr>
        <w:t xml:space="preserve">AEWA National Reports for the </w:t>
      </w:r>
      <w:r w:rsidR="0020704F" w:rsidRPr="000F0222">
        <w:rPr>
          <w:i/>
          <w:sz w:val="22"/>
          <w:szCs w:val="22"/>
          <w:lang w:val="en-GB"/>
        </w:rPr>
        <w:t>T</w:t>
      </w:r>
      <w:r w:rsidRPr="000F0222">
        <w:rPr>
          <w:i/>
          <w:sz w:val="22"/>
          <w:szCs w:val="22"/>
          <w:lang w:val="en-GB"/>
        </w:rPr>
        <w:t>riennium 20</w:t>
      </w:r>
      <w:r w:rsidR="005E6232" w:rsidRPr="000F0222">
        <w:rPr>
          <w:i/>
          <w:sz w:val="22"/>
          <w:szCs w:val="22"/>
          <w:lang w:val="en-GB"/>
        </w:rPr>
        <w:t>1</w:t>
      </w:r>
      <w:r w:rsidR="00896068" w:rsidRPr="000F0222">
        <w:rPr>
          <w:i/>
          <w:sz w:val="22"/>
          <w:szCs w:val="22"/>
          <w:lang w:val="en-GB"/>
        </w:rPr>
        <w:t>5</w:t>
      </w:r>
      <w:r w:rsidRPr="000F0222">
        <w:rPr>
          <w:i/>
          <w:sz w:val="22"/>
          <w:szCs w:val="22"/>
          <w:lang w:val="en-GB"/>
        </w:rPr>
        <w:t>-201</w:t>
      </w:r>
      <w:r w:rsidR="00896068" w:rsidRPr="000F0222">
        <w:rPr>
          <w:i/>
          <w:sz w:val="22"/>
          <w:szCs w:val="22"/>
          <w:lang w:val="en-GB"/>
        </w:rPr>
        <w:t>7</w:t>
      </w:r>
      <w:r w:rsidRPr="004779F8">
        <w:rPr>
          <w:sz w:val="22"/>
          <w:szCs w:val="22"/>
          <w:lang w:val="en-GB"/>
        </w:rPr>
        <w:t>)</w:t>
      </w:r>
      <w:r w:rsidR="00683420" w:rsidRPr="004779F8">
        <w:rPr>
          <w:sz w:val="22"/>
          <w:szCs w:val="22"/>
          <w:lang w:val="en-GB"/>
        </w:rPr>
        <w:t>;</w:t>
      </w:r>
    </w:p>
    <w:p w14:paraId="513AB505" w14:textId="7D760EC7" w:rsidR="00373C19" w:rsidRDefault="00373C19" w:rsidP="00373C19">
      <w:pPr>
        <w:pStyle w:val="ListParagraph"/>
        <w:numPr>
          <w:ilvl w:val="0"/>
          <w:numId w:val="3"/>
        </w:numPr>
        <w:spacing w:line="276" w:lineRule="auto"/>
        <w:jc w:val="both"/>
        <w:rPr>
          <w:sz w:val="22"/>
          <w:szCs w:val="22"/>
          <w:lang w:val="en-GB"/>
        </w:rPr>
      </w:pPr>
      <w:r>
        <w:rPr>
          <w:sz w:val="22"/>
          <w:szCs w:val="22"/>
          <w:lang w:val="en-GB"/>
        </w:rPr>
        <w:t>AEWA/MOP 7.13 (</w:t>
      </w:r>
      <w:r w:rsidRPr="000F0222">
        <w:rPr>
          <w:i/>
          <w:sz w:val="22"/>
          <w:szCs w:val="22"/>
          <w:lang w:val="en-GB"/>
        </w:rPr>
        <w:t>Report on the Implementation of the AEWA Communication Strategy</w:t>
      </w:r>
      <w:r>
        <w:rPr>
          <w:sz w:val="22"/>
          <w:szCs w:val="22"/>
          <w:lang w:val="en-GB"/>
        </w:rPr>
        <w:t>);</w:t>
      </w:r>
    </w:p>
    <w:p w14:paraId="1ECA1851" w14:textId="4BE5FD7E" w:rsidR="00683420" w:rsidRPr="000F0222" w:rsidRDefault="00C93DD6" w:rsidP="00160B05">
      <w:pPr>
        <w:pStyle w:val="ListParagraph"/>
        <w:numPr>
          <w:ilvl w:val="0"/>
          <w:numId w:val="3"/>
        </w:numPr>
        <w:spacing w:line="276" w:lineRule="auto"/>
        <w:jc w:val="both"/>
        <w:rPr>
          <w:sz w:val="22"/>
          <w:szCs w:val="22"/>
          <w:lang w:val="en-GB"/>
        </w:rPr>
      </w:pPr>
      <w:r w:rsidRPr="004779F8">
        <w:rPr>
          <w:sz w:val="22"/>
          <w:szCs w:val="22"/>
          <w:lang w:val="en-GB"/>
        </w:rPr>
        <w:t xml:space="preserve">AEWA/MOP </w:t>
      </w:r>
      <w:r w:rsidR="00896068" w:rsidRPr="004779F8">
        <w:rPr>
          <w:sz w:val="22"/>
          <w:szCs w:val="22"/>
          <w:lang w:val="en-GB"/>
        </w:rPr>
        <w:t>7</w:t>
      </w:r>
      <w:r w:rsidRPr="004779F8">
        <w:rPr>
          <w:sz w:val="22"/>
          <w:szCs w:val="22"/>
          <w:lang w:val="en-GB"/>
        </w:rPr>
        <w:t>.14 (</w:t>
      </w:r>
      <w:r w:rsidR="00896068" w:rsidRPr="000F0222">
        <w:rPr>
          <w:i/>
          <w:sz w:val="22"/>
          <w:szCs w:val="22"/>
          <w:lang w:val="en-GB"/>
        </w:rPr>
        <w:t>7</w:t>
      </w:r>
      <w:r w:rsidRPr="000F0222">
        <w:rPr>
          <w:i/>
          <w:sz w:val="22"/>
          <w:szCs w:val="22"/>
          <w:vertAlign w:val="superscript"/>
          <w:lang w:val="en-GB"/>
        </w:rPr>
        <w:t>th</w:t>
      </w:r>
      <w:r w:rsidRPr="000F0222">
        <w:rPr>
          <w:i/>
          <w:sz w:val="22"/>
          <w:szCs w:val="22"/>
          <w:lang w:val="en-GB"/>
        </w:rPr>
        <w:t xml:space="preserve"> edition of the AEWA Conservation Status Report</w:t>
      </w:r>
      <w:r w:rsidRPr="004779F8">
        <w:rPr>
          <w:sz w:val="22"/>
          <w:szCs w:val="22"/>
          <w:lang w:val="en-GB"/>
        </w:rPr>
        <w:t>)</w:t>
      </w:r>
      <w:r w:rsidR="00683420" w:rsidRPr="004779F8">
        <w:rPr>
          <w:sz w:val="22"/>
          <w:szCs w:val="22"/>
          <w:lang w:val="en-GB"/>
        </w:rPr>
        <w:t>;</w:t>
      </w:r>
    </w:p>
    <w:p w14:paraId="33F0E513" w14:textId="76E8AAA8" w:rsidR="00683420" w:rsidRPr="000F0222" w:rsidRDefault="00683420" w:rsidP="00160B05">
      <w:pPr>
        <w:pStyle w:val="ListParagraph"/>
        <w:numPr>
          <w:ilvl w:val="0"/>
          <w:numId w:val="3"/>
        </w:numPr>
        <w:spacing w:line="276" w:lineRule="auto"/>
        <w:jc w:val="both"/>
        <w:rPr>
          <w:sz w:val="22"/>
          <w:szCs w:val="22"/>
          <w:lang w:val="en-GB"/>
        </w:rPr>
      </w:pPr>
      <w:r w:rsidRPr="004779F8">
        <w:rPr>
          <w:sz w:val="22"/>
          <w:szCs w:val="22"/>
          <w:lang w:val="en-GB"/>
        </w:rPr>
        <w:t>A</w:t>
      </w:r>
      <w:r w:rsidR="00C52C55" w:rsidRPr="004779F8">
        <w:rPr>
          <w:sz w:val="22"/>
          <w:szCs w:val="22"/>
          <w:lang w:val="en-GB"/>
        </w:rPr>
        <w:t xml:space="preserve">EWA/MOP </w:t>
      </w:r>
      <w:r w:rsidR="00896068" w:rsidRPr="004779F8">
        <w:rPr>
          <w:sz w:val="22"/>
          <w:szCs w:val="22"/>
          <w:lang w:val="en-GB"/>
        </w:rPr>
        <w:t>7</w:t>
      </w:r>
      <w:r w:rsidR="00C52C55" w:rsidRPr="004779F8">
        <w:rPr>
          <w:sz w:val="22"/>
          <w:szCs w:val="22"/>
          <w:lang w:val="en-GB"/>
        </w:rPr>
        <w:t>.</w:t>
      </w:r>
      <w:r w:rsidR="00896068" w:rsidRPr="00964C3E">
        <w:rPr>
          <w:sz w:val="22"/>
          <w:szCs w:val="22"/>
          <w:lang w:val="en-GB"/>
        </w:rPr>
        <w:t>2</w:t>
      </w:r>
      <w:r w:rsidR="00C52C55" w:rsidRPr="003915B9">
        <w:rPr>
          <w:sz w:val="22"/>
          <w:szCs w:val="22"/>
          <w:lang w:val="en-GB"/>
        </w:rPr>
        <w:t>1 (</w:t>
      </w:r>
      <w:r w:rsidR="00896068" w:rsidRPr="000F0222">
        <w:rPr>
          <w:i/>
          <w:sz w:val="22"/>
          <w:szCs w:val="22"/>
          <w:lang w:val="en-GB"/>
        </w:rPr>
        <w:t xml:space="preserve">Summary of the </w:t>
      </w:r>
      <w:proofErr w:type="gramStart"/>
      <w:r w:rsidR="00896068" w:rsidRPr="000F0222">
        <w:rPr>
          <w:i/>
          <w:sz w:val="22"/>
          <w:szCs w:val="22"/>
          <w:lang w:val="en-GB"/>
        </w:rPr>
        <w:t>current status</w:t>
      </w:r>
      <w:proofErr w:type="gramEnd"/>
      <w:r w:rsidR="00896068" w:rsidRPr="000F0222">
        <w:rPr>
          <w:i/>
          <w:sz w:val="22"/>
          <w:szCs w:val="22"/>
          <w:lang w:val="en-GB"/>
        </w:rPr>
        <w:t xml:space="preserve"> of </w:t>
      </w:r>
      <w:r w:rsidR="00C52C55" w:rsidRPr="000F0222">
        <w:rPr>
          <w:i/>
          <w:sz w:val="22"/>
          <w:szCs w:val="22"/>
          <w:lang w:val="en-GB"/>
        </w:rPr>
        <w:t xml:space="preserve">Single Species Action and </w:t>
      </w:r>
      <w:r w:rsidR="00896068" w:rsidRPr="000F0222">
        <w:rPr>
          <w:i/>
          <w:sz w:val="22"/>
          <w:szCs w:val="22"/>
          <w:lang w:val="en-GB"/>
        </w:rPr>
        <w:t xml:space="preserve">Species </w:t>
      </w:r>
      <w:r w:rsidR="00C52C55" w:rsidRPr="000F0222">
        <w:rPr>
          <w:i/>
          <w:sz w:val="22"/>
          <w:szCs w:val="22"/>
          <w:lang w:val="en-GB"/>
        </w:rPr>
        <w:t xml:space="preserve">Management Plan </w:t>
      </w:r>
      <w:r w:rsidR="00896068" w:rsidRPr="000F0222">
        <w:rPr>
          <w:i/>
          <w:sz w:val="22"/>
          <w:szCs w:val="22"/>
          <w:lang w:val="en-GB"/>
        </w:rPr>
        <w:t>production and coordination</w:t>
      </w:r>
      <w:r w:rsidR="00C442A6" w:rsidRPr="000F0222">
        <w:rPr>
          <w:i/>
          <w:sz w:val="22"/>
          <w:szCs w:val="22"/>
          <w:lang w:val="en-GB"/>
        </w:rPr>
        <w:t xml:space="preserve"> </w:t>
      </w:r>
      <w:r w:rsidR="00896068" w:rsidRPr="000F0222">
        <w:rPr>
          <w:i/>
          <w:sz w:val="22"/>
          <w:szCs w:val="22"/>
          <w:lang w:val="en-GB"/>
        </w:rPr>
        <w:t>with recommendations to MOP for extension, revision and retirement</w:t>
      </w:r>
      <w:r w:rsidR="00C52C55" w:rsidRPr="004779F8">
        <w:rPr>
          <w:sz w:val="22"/>
          <w:szCs w:val="22"/>
          <w:lang w:val="en-GB"/>
        </w:rPr>
        <w:t>)</w:t>
      </w:r>
      <w:r w:rsidRPr="004779F8">
        <w:rPr>
          <w:sz w:val="22"/>
          <w:szCs w:val="22"/>
          <w:lang w:val="en-GB"/>
        </w:rPr>
        <w:t>,</w:t>
      </w:r>
      <w:r w:rsidRPr="000F0222">
        <w:rPr>
          <w:sz w:val="22"/>
          <w:szCs w:val="22"/>
          <w:lang w:val="en-GB"/>
        </w:rPr>
        <w:t xml:space="preserve"> and</w:t>
      </w:r>
    </w:p>
    <w:p w14:paraId="20AD9B0D" w14:textId="5FED63FB" w:rsidR="00C93DD6" w:rsidRPr="000F0222" w:rsidRDefault="00C93DD6" w:rsidP="00160B05">
      <w:pPr>
        <w:pStyle w:val="ListParagraph"/>
        <w:numPr>
          <w:ilvl w:val="0"/>
          <w:numId w:val="3"/>
        </w:numPr>
        <w:spacing w:line="276" w:lineRule="auto"/>
        <w:jc w:val="both"/>
        <w:rPr>
          <w:sz w:val="22"/>
          <w:szCs w:val="22"/>
          <w:lang w:val="en-GB"/>
        </w:rPr>
      </w:pPr>
      <w:r w:rsidRPr="004779F8">
        <w:rPr>
          <w:sz w:val="22"/>
          <w:szCs w:val="22"/>
          <w:lang w:val="en-GB"/>
        </w:rPr>
        <w:t>other</w:t>
      </w:r>
      <w:r w:rsidR="00683420" w:rsidRPr="004779F8">
        <w:rPr>
          <w:sz w:val="22"/>
          <w:szCs w:val="22"/>
          <w:lang w:val="en-GB"/>
        </w:rPr>
        <w:t xml:space="preserve"> documents</w:t>
      </w:r>
      <w:r w:rsidRPr="004779F8">
        <w:rPr>
          <w:sz w:val="22"/>
          <w:szCs w:val="22"/>
          <w:lang w:val="en-GB"/>
        </w:rPr>
        <w:t xml:space="preserve">, as well as some other information sources. </w:t>
      </w:r>
    </w:p>
    <w:p w14:paraId="1E345370" w14:textId="5871BD9D" w:rsidR="0020704F" w:rsidRPr="000F0222" w:rsidRDefault="0020704F" w:rsidP="00160B05">
      <w:pPr>
        <w:spacing w:line="276" w:lineRule="auto"/>
        <w:jc w:val="both"/>
        <w:rPr>
          <w:sz w:val="22"/>
          <w:szCs w:val="22"/>
          <w:lang w:val="en-GB"/>
        </w:rPr>
      </w:pPr>
    </w:p>
    <w:p w14:paraId="3F21FCFB" w14:textId="0645123F" w:rsidR="00C93DD6" w:rsidRPr="00964C3E" w:rsidRDefault="0020704F" w:rsidP="00160B05">
      <w:pPr>
        <w:spacing w:line="276" w:lineRule="auto"/>
        <w:jc w:val="both"/>
        <w:rPr>
          <w:sz w:val="22"/>
          <w:szCs w:val="22"/>
          <w:lang w:val="en-GB"/>
        </w:rPr>
      </w:pPr>
      <w:r w:rsidRPr="004779F8">
        <w:rPr>
          <w:sz w:val="22"/>
          <w:szCs w:val="22"/>
          <w:lang w:val="en-GB"/>
        </w:rPr>
        <w:t xml:space="preserve">Being the final and concluding report on the implementation of the Strategic Plan 2009-2018, its builds on the progress reports submitted to MOP5 and MOP6 (documents AEWA/MOP 5.11 and AEWA/MOP 6.12) as well as the data sources used for the compilation of those reports, mostly various documents submitted to both sessions of the MOP. </w:t>
      </w:r>
    </w:p>
    <w:p w14:paraId="49F1AE41" w14:textId="77777777" w:rsidR="0020704F" w:rsidRPr="00852729" w:rsidRDefault="0020704F" w:rsidP="00160B05">
      <w:pPr>
        <w:spacing w:line="276" w:lineRule="auto"/>
        <w:rPr>
          <w:sz w:val="22"/>
          <w:szCs w:val="22"/>
          <w:lang w:val="en-GB"/>
        </w:rPr>
      </w:pPr>
    </w:p>
    <w:p w14:paraId="15F30DC7" w14:textId="2A718754" w:rsidR="00C93DD6" w:rsidRPr="004779F8" w:rsidRDefault="00C93DD6" w:rsidP="00160B05">
      <w:pPr>
        <w:spacing w:line="276" w:lineRule="auto"/>
        <w:jc w:val="both"/>
        <w:rPr>
          <w:sz w:val="22"/>
          <w:szCs w:val="22"/>
          <w:lang w:val="en-GB"/>
        </w:rPr>
      </w:pPr>
      <w:r w:rsidRPr="004779F8">
        <w:rPr>
          <w:sz w:val="22"/>
          <w:szCs w:val="22"/>
          <w:lang w:val="en-GB"/>
        </w:rPr>
        <w:t xml:space="preserve">Progress towards each indicator or target has been assessed </w:t>
      </w:r>
      <w:proofErr w:type="gramStart"/>
      <w:r w:rsidRPr="004779F8">
        <w:rPr>
          <w:sz w:val="22"/>
          <w:szCs w:val="22"/>
          <w:lang w:val="en-GB"/>
        </w:rPr>
        <w:t>on the basis of</w:t>
      </w:r>
      <w:proofErr w:type="gramEnd"/>
      <w:r w:rsidRPr="004779F8">
        <w:rPr>
          <w:sz w:val="22"/>
          <w:szCs w:val="22"/>
          <w:lang w:val="en-GB"/>
        </w:rPr>
        <w:t xml:space="preserve"> the available information and they have been placed in one of the following six categories: </w:t>
      </w:r>
      <w:r w:rsidRPr="004779F8">
        <w:rPr>
          <w:i/>
          <w:sz w:val="22"/>
          <w:szCs w:val="22"/>
          <w:lang w:val="en-GB"/>
        </w:rPr>
        <w:t>not achieved/not reached/no progress</w:t>
      </w:r>
      <w:r w:rsidRPr="004779F8">
        <w:rPr>
          <w:sz w:val="22"/>
          <w:szCs w:val="22"/>
          <w:lang w:val="en-GB"/>
        </w:rPr>
        <w:t xml:space="preserve">, </w:t>
      </w:r>
      <w:r w:rsidRPr="004779F8">
        <w:rPr>
          <w:i/>
          <w:sz w:val="22"/>
          <w:szCs w:val="22"/>
          <w:lang w:val="en-GB"/>
        </w:rPr>
        <w:t>limited progress</w:t>
      </w:r>
      <w:r w:rsidRPr="004779F8">
        <w:rPr>
          <w:sz w:val="22"/>
          <w:szCs w:val="22"/>
          <w:lang w:val="en-GB"/>
        </w:rPr>
        <w:t xml:space="preserve">, </w:t>
      </w:r>
      <w:r w:rsidRPr="004779F8">
        <w:rPr>
          <w:i/>
          <w:sz w:val="22"/>
          <w:szCs w:val="22"/>
          <w:lang w:val="en-GB"/>
        </w:rPr>
        <w:t>good progress</w:t>
      </w:r>
      <w:r w:rsidRPr="004779F8">
        <w:rPr>
          <w:sz w:val="22"/>
          <w:szCs w:val="22"/>
          <w:lang w:val="en-GB"/>
        </w:rPr>
        <w:t xml:space="preserve">, </w:t>
      </w:r>
      <w:r w:rsidRPr="004779F8">
        <w:rPr>
          <w:i/>
          <w:sz w:val="22"/>
          <w:szCs w:val="22"/>
          <w:lang w:val="en-GB"/>
        </w:rPr>
        <w:t>significant progress</w:t>
      </w:r>
      <w:r w:rsidRPr="004779F8">
        <w:rPr>
          <w:sz w:val="22"/>
          <w:szCs w:val="22"/>
          <w:lang w:val="en-GB"/>
        </w:rPr>
        <w:t xml:space="preserve">, </w:t>
      </w:r>
      <w:r w:rsidRPr="004779F8">
        <w:rPr>
          <w:i/>
          <w:sz w:val="22"/>
          <w:szCs w:val="22"/>
          <w:lang w:val="en-GB"/>
        </w:rPr>
        <w:t>achieved/reached</w:t>
      </w:r>
      <w:r w:rsidRPr="004779F8">
        <w:rPr>
          <w:sz w:val="22"/>
          <w:szCs w:val="22"/>
          <w:lang w:val="en-GB"/>
        </w:rPr>
        <w:t xml:space="preserve">, </w:t>
      </w:r>
      <w:r w:rsidRPr="004779F8">
        <w:rPr>
          <w:i/>
          <w:sz w:val="22"/>
          <w:szCs w:val="22"/>
          <w:lang w:val="en-GB"/>
        </w:rPr>
        <w:t>not assessed</w:t>
      </w:r>
      <w:r w:rsidRPr="004779F8">
        <w:rPr>
          <w:sz w:val="22"/>
          <w:szCs w:val="22"/>
          <w:lang w:val="en-GB"/>
        </w:rPr>
        <w:t xml:space="preserve">. </w:t>
      </w:r>
      <w:r w:rsidR="009B2912" w:rsidRPr="004779F8">
        <w:rPr>
          <w:sz w:val="22"/>
          <w:szCs w:val="22"/>
          <w:lang w:val="en-GB"/>
        </w:rPr>
        <w:t>The</w:t>
      </w:r>
      <w:r w:rsidR="00CB736D" w:rsidRPr="004779F8">
        <w:rPr>
          <w:sz w:val="22"/>
          <w:szCs w:val="22"/>
          <w:lang w:val="en-GB"/>
        </w:rPr>
        <w:t xml:space="preserve"> </w:t>
      </w:r>
      <w:r w:rsidR="0020704F" w:rsidRPr="004779F8">
        <w:rPr>
          <w:sz w:val="22"/>
          <w:szCs w:val="22"/>
          <w:lang w:val="en-GB"/>
        </w:rPr>
        <w:t xml:space="preserve">overall </w:t>
      </w:r>
      <w:r w:rsidR="00CB736D" w:rsidRPr="004779F8">
        <w:rPr>
          <w:sz w:val="22"/>
          <w:szCs w:val="22"/>
          <w:lang w:val="en-GB"/>
        </w:rPr>
        <w:t>change since MOP</w:t>
      </w:r>
      <w:r w:rsidR="0020704F" w:rsidRPr="004779F8">
        <w:rPr>
          <w:sz w:val="22"/>
          <w:szCs w:val="22"/>
          <w:lang w:val="en-GB"/>
        </w:rPr>
        <w:t>4 (2008)</w:t>
      </w:r>
      <w:r w:rsidR="00CB736D" w:rsidRPr="004779F8">
        <w:rPr>
          <w:sz w:val="22"/>
          <w:szCs w:val="22"/>
          <w:lang w:val="en-GB"/>
        </w:rPr>
        <w:t xml:space="preserve"> </w:t>
      </w:r>
      <w:r w:rsidR="0020704F" w:rsidRPr="004779F8">
        <w:rPr>
          <w:sz w:val="22"/>
          <w:szCs w:val="22"/>
          <w:lang w:val="en-GB"/>
        </w:rPr>
        <w:t xml:space="preserve">or the earliest assessment after that </w:t>
      </w:r>
      <w:r w:rsidR="00CB736D" w:rsidRPr="004779F8">
        <w:rPr>
          <w:sz w:val="22"/>
          <w:szCs w:val="22"/>
          <w:lang w:val="en-GB"/>
        </w:rPr>
        <w:t xml:space="preserve">has been recorded for each indicator. </w:t>
      </w:r>
    </w:p>
    <w:p w14:paraId="28644C55" w14:textId="77777777" w:rsidR="00C93DD6" w:rsidRPr="004779F8" w:rsidRDefault="00C93DD6" w:rsidP="00160B05">
      <w:pPr>
        <w:spacing w:line="276" w:lineRule="auto"/>
        <w:jc w:val="both"/>
        <w:rPr>
          <w:sz w:val="22"/>
          <w:szCs w:val="22"/>
          <w:lang w:val="en-GB"/>
        </w:rPr>
      </w:pPr>
    </w:p>
    <w:p w14:paraId="2AD125D5" w14:textId="33657A78" w:rsidR="00C93DD6" w:rsidRPr="004779F8" w:rsidRDefault="00C93DD6" w:rsidP="00160B05">
      <w:pPr>
        <w:spacing w:line="276" w:lineRule="auto"/>
        <w:jc w:val="both"/>
        <w:rPr>
          <w:sz w:val="22"/>
          <w:szCs w:val="22"/>
          <w:lang w:val="en-GB"/>
        </w:rPr>
      </w:pPr>
      <w:proofErr w:type="gramStart"/>
      <w:r w:rsidRPr="004779F8">
        <w:rPr>
          <w:sz w:val="22"/>
          <w:szCs w:val="22"/>
          <w:lang w:val="en-GB"/>
        </w:rPr>
        <w:t>On the basis of</w:t>
      </w:r>
      <w:proofErr w:type="gramEnd"/>
      <w:r w:rsidRPr="004779F8">
        <w:rPr>
          <w:sz w:val="22"/>
          <w:szCs w:val="22"/>
          <w:lang w:val="en-GB"/>
        </w:rPr>
        <w:t xml:space="preserve"> these accounts, an overall assessment was made of the </w:t>
      </w:r>
      <w:r w:rsidR="00B67574" w:rsidRPr="004779F8">
        <w:rPr>
          <w:sz w:val="22"/>
          <w:szCs w:val="22"/>
          <w:lang w:val="en-GB"/>
        </w:rPr>
        <w:t xml:space="preserve">level of </w:t>
      </w:r>
      <w:r w:rsidRPr="004779F8">
        <w:rPr>
          <w:sz w:val="22"/>
          <w:szCs w:val="22"/>
          <w:lang w:val="en-GB"/>
        </w:rPr>
        <w:t xml:space="preserve">achieving the Strategic Plan goal, all objectives as a whole and each objective separately. The major achievements have been acknowledged and the significant gaps have been pointed out. Recommendations for </w:t>
      </w:r>
      <w:r w:rsidR="00FE4391" w:rsidRPr="004779F8">
        <w:rPr>
          <w:sz w:val="22"/>
          <w:szCs w:val="22"/>
          <w:lang w:val="en-GB"/>
        </w:rPr>
        <w:t>the implementation of the new Strategic Plan for the period 2019-2027</w:t>
      </w:r>
      <w:r w:rsidRPr="004779F8">
        <w:rPr>
          <w:sz w:val="22"/>
          <w:szCs w:val="22"/>
          <w:lang w:val="en-GB"/>
        </w:rPr>
        <w:t xml:space="preserve"> have also been proposed and shall be </w:t>
      </w:r>
      <w:proofErr w:type="gramStart"/>
      <w:r w:rsidR="00FE4391" w:rsidRPr="004779F8">
        <w:rPr>
          <w:sz w:val="22"/>
          <w:szCs w:val="22"/>
          <w:lang w:val="en-GB"/>
        </w:rPr>
        <w:t>taken into account</w:t>
      </w:r>
      <w:proofErr w:type="gramEnd"/>
      <w:r w:rsidR="00FE4391" w:rsidRPr="004779F8">
        <w:rPr>
          <w:sz w:val="22"/>
          <w:szCs w:val="22"/>
          <w:lang w:val="en-GB"/>
        </w:rPr>
        <w:t xml:space="preserve"> </w:t>
      </w:r>
      <w:r w:rsidRPr="004779F8">
        <w:rPr>
          <w:sz w:val="22"/>
          <w:szCs w:val="22"/>
          <w:lang w:val="en-GB"/>
        </w:rPr>
        <w:t xml:space="preserve">by the Parties, the Agreement’s governing bodies, the UNEP/AEWA Secretariat and all other involved stakeholders and partners. </w:t>
      </w:r>
    </w:p>
    <w:p w14:paraId="34A524C3" w14:textId="77777777" w:rsidR="00C93DD6" w:rsidRPr="004779F8" w:rsidRDefault="00C93DD6" w:rsidP="00160B05">
      <w:pPr>
        <w:spacing w:line="276" w:lineRule="auto"/>
        <w:jc w:val="both"/>
        <w:rPr>
          <w:sz w:val="22"/>
          <w:szCs w:val="22"/>
          <w:lang w:val="en-GB"/>
        </w:rPr>
      </w:pPr>
    </w:p>
    <w:p w14:paraId="3E801226" w14:textId="77777777" w:rsidR="00C93DD6" w:rsidRPr="004779F8" w:rsidRDefault="00C93DD6" w:rsidP="00160B05">
      <w:pPr>
        <w:spacing w:line="276" w:lineRule="auto"/>
        <w:jc w:val="both"/>
        <w:rPr>
          <w:sz w:val="22"/>
          <w:szCs w:val="22"/>
          <w:lang w:val="en-GB"/>
        </w:rPr>
      </w:pPr>
    </w:p>
    <w:p w14:paraId="52451651" w14:textId="5718184C" w:rsidR="00C93DD6" w:rsidRPr="004779F8" w:rsidRDefault="00B67574" w:rsidP="00D5743F">
      <w:pPr>
        <w:shd w:val="clear" w:color="auto" w:fill="DBE5F1" w:themeFill="accent1" w:themeFillTint="33"/>
        <w:jc w:val="both"/>
        <w:rPr>
          <w:b/>
          <w:lang w:val="en-GB"/>
        </w:rPr>
      </w:pPr>
      <w:r w:rsidRPr="004779F8">
        <w:rPr>
          <w:b/>
          <w:lang w:val="en-GB"/>
        </w:rPr>
        <w:t xml:space="preserve">Level of </w:t>
      </w:r>
      <w:r w:rsidR="00C93DD6" w:rsidRPr="004779F8">
        <w:rPr>
          <w:b/>
          <w:lang w:val="en-GB"/>
        </w:rPr>
        <w:t>achieving the Strategic Plan goal</w:t>
      </w:r>
    </w:p>
    <w:p w14:paraId="3F760B73" w14:textId="77777777" w:rsidR="00C93DD6" w:rsidRPr="004779F8" w:rsidRDefault="00C93DD6" w:rsidP="00160B05">
      <w:pPr>
        <w:spacing w:line="276" w:lineRule="auto"/>
        <w:jc w:val="both"/>
        <w:rPr>
          <w:sz w:val="22"/>
          <w:szCs w:val="22"/>
          <w:lang w:val="en-GB"/>
        </w:rPr>
      </w:pPr>
    </w:p>
    <w:p w14:paraId="2EA21571" w14:textId="1B6C44D1" w:rsidR="00C93DD6" w:rsidRDefault="00C93DD6" w:rsidP="00160B05">
      <w:pPr>
        <w:spacing w:line="276" w:lineRule="auto"/>
        <w:jc w:val="both"/>
        <w:rPr>
          <w:sz w:val="22"/>
          <w:szCs w:val="22"/>
          <w:lang w:val="en-GB"/>
        </w:rPr>
      </w:pPr>
      <w:r w:rsidRPr="000F0222">
        <w:rPr>
          <w:sz w:val="22"/>
          <w:szCs w:val="22"/>
          <w:lang w:val="en-GB"/>
        </w:rPr>
        <w:t xml:space="preserve">The Strategic Plan goal follows the Agreement’s fundamental principles (Article II) and aims at </w:t>
      </w:r>
      <w:r w:rsidRPr="004779F8">
        <w:rPr>
          <w:b/>
          <w:sz w:val="22"/>
          <w:szCs w:val="22"/>
          <w:lang w:val="en-GB"/>
        </w:rPr>
        <w:t xml:space="preserve">maintaining or restoring migratory </w:t>
      </w:r>
      <w:proofErr w:type="spellStart"/>
      <w:r w:rsidRPr="004779F8">
        <w:rPr>
          <w:b/>
          <w:sz w:val="22"/>
          <w:szCs w:val="22"/>
          <w:lang w:val="en-GB"/>
        </w:rPr>
        <w:t>waterbird</w:t>
      </w:r>
      <w:proofErr w:type="spellEnd"/>
      <w:r w:rsidRPr="004779F8">
        <w:rPr>
          <w:b/>
          <w:sz w:val="22"/>
          <w:szCs w:val="22"/>
          <w:lang w:val="en-GB"/>
        </w:rPr>
        <w:t xml:space="preserve"> species and their populations at a favourable conservation status </w:t>
      </w:r>
      <w:r w:rsidRPr="004779F8">
        <w:rPr>
          <w:b/>
          <w:bCs/>
          <w:sz w:val="22"/>
          <w:szCs w:val="22"/>
          <w:lang w:val="en-GB"/>
        </w:rPr>
        <w:t>throughout their flyways</w:t>
      </w:r>
      <w:r w:rsidRPr="00964C3E">
        <w:rPr>
          <w:bCs/>
          <w:sz w:val="22"/>
          <w:szCs w:val="22"/>
          <w:lang w:val="en-GB"/>
        </w:rPr>
        <w:t xml:space="preserve">. The progress towards the overall goal is measured through 12 indicators - </w:t>
      </w:r>
      <w:r w:rsidRPr="003915B9">
        <w:rPr>
          <w:sz w:val="22"/>
          <w:szCs w:val="22"/>
          <w:lang w:val="en-GB"/>
        </w:rPr>
        <w:t>eight at the Agreement-wide level and fou</w:t>
      </w:r>
      <w:r w:rsidRPr="00852729">
        <w:rPr>
          <w:sz w:val="22"/>
          <w:szCs w:val="22"/>
          <w:lang w:val="en-GB"/>
        </w:rPr>
        <w:t>r at the national level. Table 1 presents the distribution of these 12 indicators across the six categories of progress.</w:t>
      </w:r>
    </w:p>
    <w:p w14:paraId="2398CDEF" w14:textId="382112A8" w:rsidR="000F0222" w:rsidRDefault="000F0222" w:rsidP="00160B05">
      <w:pPr>
        <w:spacing w:line="276" w:lineRule="auto"/>
        <w:jc w:val="both"/>
        <w:rPr>
          <w:sz w:val="22"/>
          <w:szCs w:val="22"/>
          <w:lang w:val="en-GB"/>
        </w:rPr>
      </w:pPr>
    </w:p>
    <w:p w14:paraId="67D57FC9" w14:textId="04942A2C" w:rsidR="000F0222" w:rsidRDefault="000F0222" w:rsidP="00160B05">
      <w:pPr>
        <w:spacing w:line="276" w:lineRule="auto"/>
        <w:jc w:val="both"/>
        <w:rPr>
          <w:sz w:val="22"/>
          <w:szCs w:val="22"/>
          <w:lang w:val="en-GB"/>
        </w:rPr>
      </w:pPr>
    </w:p>
    <w:p w14:paraId="43229FE5" w14:textId="225CD9BA" w:rsidR="000F0222" w:rsidRDefault="000F0222" w:rsidP="00160B05">
      <w:pPr>
        <w:spacing w:line="276" w:lineRule="auto"/>
        <w:jc w:val="both"/>
        <w:rPr>
          <w:sz w:val="22"/>
          <w:szCs w:val="22"/>
          <w:lang w:val="en-GB"/>
        </w:rPr>
      </w:pPr>
    </w:p>
    <w:p w14:paraId="5F197DA0" w14:textId="77777777" w:rsidR="000F0222" w:rsidRPr="00852729" w:rsidRDefault="000F0222" w:rsidP="00160B05">
      <w:pPr>
        <w:spacing w:line="276" w:lineRule="auto"/>
        <w:jc w:val="both"/>
        <w:rPr>
          <w:sz w:val="22"/>
          <w:szCs w:val="22"/>
          <w:lang w:val="en-GB"/>
        </w:rPr>
      </w:pPr>
    </w:p>
    <w:p w14:paraId="5137EFBA" w14:textId="77777777" w:rsidR="00C93DD6" w:rsidRPr="004779F8" w:rsidRDefault="00C93DD6" w:rsidP="00160B05">
      <w:pPr>
        <w:spacing w:line="276" w:lineRule="auto"/>
        <w:jc w:val="both"/>
        <w:rPr>
          <w:sz w:val="22"/>
          <w:szCs w:val="22"/>
          <w:lang w:val="en-GB"/>
        </w:rPr>
      </w:pPr>
    </w:p>
    <w:p w14:paraId="69F484EA" w14:textId="77777777" w:rsidR="00144BCF" w:rsidRPr="004779F8" w:rsidRDefault="00144BCF" w:rsidP="00161792">
      <w:pPr>
        <w:jc w:val="both"/>
        <w:rPr>
          <w:sz w:val="22"/>
          <w:szCs w:val="22"/>
          <w:lang w:val="en-GB"/>
        </w:rPr>
      </w:pPr>
    </w:p>
    <w:tbl>
      <w:tblPr>
        <w:tblStyle w:val="TableGrid"/>
        <w:tblW w:w="0" w:type="auto"/>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132"/>
        <w:gridCol w:w="2132"/>
        <w:gridCol w:w="2132"/>
        <w:gridCol w:w="2133"/>
      </w:tblGrid>
      <w:tr w:rsidR="00144BCF" w:rsidRPr="004779F8" w14:paraId="5C4AEB91" w14:textId="77777777" w:rsidTr="00144BCF">
        <w:trPr>
          <w:trHeight w:val="567"/>
          <w:jc w:val="center"/>
        </w:trPr>
        <w:tc>
          <w:tcPr>
            <w:tcW w:w="2132" w:type="dxa"/>
            <w:shd w:val="clear" w:color="auto" w:fill="auto"/>
            <w:vAlign w:val="center"/>
          </w:tcPr>
          <w:p w14:paraId="649BF6BF" w14:textId="77777777" w:rsidR="00144BCF" w:rsidRPr="000F0222" w:rsidRDefault="00144BCF" w:rsidP="00144BCF">
            <w:pPr>
              <w:jc w:val="center"/>
              <w:rPr>
                <w:b/>
                <w:lang w:val="en-GB"/>
              </w:rPr>
            </w:pPr>
          </w:p>
        </w:tc>
        <w:tc>
          <w:tcPr>
            <w:tcW w:w="2132" w:type="dxa"/>
            <w:shd w:val="clear" w:color="auto" w:fill="F2F2F2" w:themeFill="background1" w:themeFillShade="F2"/>
            <w:vAlign w:val="center"/>
          </w:tcPr>
          <w:p w14:paraId="4E55F340" w14:textId="77777777" w:rsidR="00144BCF" w:rsidRPr="000F0222" w:rsidRDefault="00144BCF" w:rsidP="00144BCF">
            <w:pPr>
              <w:jc w:val="center"/>
              <w:rPr>
                <w:b/>
                <w:lang w:val="en-GB"/>
              </w:rPr>
            </w:pPr>
            <w:r w:rsidRPr="000F0222">
              <w:rPr>
                <w:b/>
                <w:lang w:val="en-GB"/>
              </w:rPr>
              <w:t>International level</w:t>
            </w:r>
          </w:p>
        </w:tc>
        <w:tc>
          <w:tcPr>
            <w:tcW w:w="2132" w:type="dxa"/>
            <w:shd w:val="clear" w:color="auto" w:fill="F2F2F2" w:themeFill="background1" w:themeFillShade="F2"/>
            <w:vAlign w:val="center"/>
          </w:tcPr>
          <w:p w14:paraId="5261AD60" w14:textId="77777777" w:rsidR="00144BCF" w:rsidRPr="000F0222" w:rsidRDefault="00144BCF" w:rsidP="00144BCF">
            <w:pPr>
              <w:jc w:val="center"/>
              <w:rPr>
                <w:b/>
                <w:lang w:val="en-GB"/>
              </w:rPr>
            </w:pPr>
            <w:r w:rsidRPr="000F0222">
              <w:rPr>
                <w:b/>
                <w:lang w:val="en-GB"/>
              </w:rPr>
              <w:t>National level</w:t>
            </w:r>
          </w:p>
        </w:tc>
        <w:tc>
          <w:tcPr>
            <w:tcW w:w="2133" w:type="dxa"/>
            <w:shd w:val="clear" w:color="auto" w:fill="F2F2F2" w:themeFill="background1" w:themeFillShade="F2"/>
            <w:vAlign w:val="center"/>
          </w:tcPr>
          <w:p w14:paraId="08450E86" w14:textId="77777777" w:rsidR="00144BCF" w:rsidRPr="000F0222" w:rsidRDefault="00144BCF" w:rsidP="00144BCF">
            <w:pPr>
              <w:jc w:val="center"/>
              <w:rPr>
                <w:b/>
                <w:lang w:val="en-GB"/>
              </w:rPr>
            </w:pPr>
            <w:r w:rsidRPr="000F0222">
              <w:rPr>
                <w:b/>
                <w:lang w:val="en-GB"/>
              </w:rPr>
              <w:t>Overall</w:t>
            </w:r>
          </w:p>
        </w:tc>
      </w:tr>
      <w:tr w:rsidR="00144BCF" w:rsidRPr="004779F8" w14:paraId="5DED95CC" w14:textId="77777777" w:rsidTr="00FF1A82">
        <w:trPr>
          <w:trHeight w:val="680"/>
          <w:jc w:val="center"/>
        </w:trPr>
        <w:tc>
          <w:tcPr>
            <w:tcW w:w="2132" w:type="dxa"/>
            <w:shd w:val="clear" w:color="auto" w:fill="FABF8F" w:themeFill="accent6" w:themeFillTint="99"/>
            <w:vAlign w:val="center"/>
          </w:tcPr>
          <w:p w14:paraId="413BFF0E" w14:textId="77777777" w:rsidR="00144BCF" w:rsidRPr="000F0222" w:rsidRDefault="00144BCF" w:rsidP="00144BCF">
            <w:pPr>
              <w:jc w:val="center"/>
              <w:rPr>
                <w:b/>
                <w:sz w:val="22"/>
                <w:szCs w:val="22"/>
                <w:lang w:val="en-GB"/>
              </w:rPr>
            </w:pPr>
            <w:r w:rsidRPr="000F0222">
              <w:rPr>
                <w:b/>
                <w:sz w:val="22"/>
                <w:szCs w:val="22"/>
                <w:lang w:val="en-GB"/>
              </w:rPr>
              <w:t>Not achieved/</w:t>
            </w:r>
          </w:p>
          <w:p w14:paraId="35B48CB6" w14:textId="77777777" w:rsidR="00144BCF" w:rsidRPr="000F0222" w:rsidRDefault="00144BCF" w:rsidP="00144BCF">
            <w:pPr>
              <w:jc w:val="center"/>
              <w:rPr>
                <w:b/>
                <w:sz w:val="22"/>
                <w:szCs w:val="22"/>
                <w:lang w:val="en-GB"/>
              </w:rPr>
            </w:pPr>
            <w:r w:rsidRPr="000F0222">
              <w:rPr>
                <w:b/>
                <w:sz w:val="22"/>
                <w:szCs w:val="22"/>
                <w:lang w:val="en-GB"/>
              </w:rPr>
              <w:t>no progress</w:t>
            </w:r>
          </w:p>
        </w:tc>
        <w:tc>
          <w:tcPr>
            <w:tcW w:w="2132" w:type="dxa"/>
            <w:shd w:val="clear" w:color="auto" w:fill="FABF8F" w:themeFill="accent6" w:themeFillTint="99"/>
            <w:vAlign w:val="center"/>
          </w:tcPr>
          <w:p w14:paraId="6A86E6AD" w14:textId="74DAAC31" w:rsidR="00144BCF" w:rsidRPr="000F0222" w:rsidRDefault="00144BCF" w:rsidP="00144BCF">
            <w:pPr>
              <w:jc w:val="center"/>
              <w:rPr>
                <w:b/>
                <w:lang w:val="en-GB"/>
              </w:rPr>
            </w:pPr>
            <w:r w:rsidRPr="000F0222">
              <w:rPr>
                <w:b/>
                <w:lang w:val="en-GB"/>
              </w:rPr>
              <w:t>3</w:t>
            </w:r>
            <w:r w:rsidR="00A0199C" w:rsidRPr="000F0222">
              <w:rPr>
                <w:b/>
                <w:lang w:val="en-GB"/>
              </w:rPr>
              <w:t xml:space="preserve"> / 5</w:t>
            </w:r>
            <w:r w:rsidR="003602E4" w:rsidRPr="000F0222">
              <w:rPr>
                <w:b/>
                <w:lang w:val="en-GB"/>
              </w:rPr>
              <w:t xml:space="preserve"> / </w:t>
            </w:r>
            <w:r w:rsidR="006D4C97" w:rsidRPr="000F0222">
              <w:rPr>
                <w:b/>
                <w:color w:val="FF0000"/>
                <w:lang w:val="en-GB"/>
              </w:rPr>
              <w:t>6</w:t>
            </w:r>
          </w:p>
        </w:tc>
        <w:tc>
          <w:tcPr>
            <w:tcW w:w="2132" w:type="dxa"/>
            <w:shd w:val="clear" w:color="auto" w:fill="FABF8F" w:themeFill="accent6" w:themeFillTint="99"/>
            <w:vAlign w:val="center"/>
          </w:tcPr>
          <w:p w14:paraId="544C5C67" w14:textId="014D526F" w:rsidR="00144BCF" w:rsidRPr="000F0222" w:rsidRDefault="00144BCF" w:rsidP="00A0199C">
            <w:pPr>
              <w:jc w:val="center"/>
              <w:rPr>
                <w:b/>
                <w:lang w:val="en-GB"/>
              </w:rPr>
            </w:pPr>
            <w:r w:rsidRPr="000F0222">
              <w:rPr>
                <w:b/>
                <w:lang w:val="en-GB"/>
              </w:rPr>
              <w:t>2</w:t>
            </w:r>
            <w:r w:rsidR="00A0199C" w:rsidRPr="000F0222">
              <w:rPr>
                <w:b/>
                <w:lang w:val="en-GB"/>
              </w:rPr>
              <w:t xml:space="preserve"> / -</w:t>
            </w:r>
            <w:r w:rsidR="006D4C97" w:rsidRPr="000F0222">
              <w:rPr>
                <w:b/>
                <w:lang w:val="en-GB"/>
              </w:rPr>
              <w:t xml:space="preserve"> / </w:t>
            </w:r>
            <w:r w:rsidR="006D4C97" w:rsidRPr="000F0222">
              <w:rPr>
                <w:b/>
                <w:color w:val="FF0000"/>
                <w:lang w:val="en-GB"/>
              </w:rPr>
              <w:t>-</w:t>
            </w:r>
          </w:p>
        </w:tc>
        <w:tc>
          <w:tcPr>
            <w:tcW w:w="2133" w:type="dxa"/>
            <w:shd w:val="clear" w:color="auto" w:fill="FABF8F" w:themeFill="accent6" w:themeFillTint="99"/>
            <w:vAlign w:val="center"/>
          </w:tcPr>
          <w:p w14:paraId="1081C84B" w14:textId="28B188D7" w:rsidR="00144BCF" w:rsidRPr="000F0222" w:rsidRDefault="00144BCF" w:rsidP="00144BCF">
            <w:pPr>
              <w:jc w:val="center"/>
              <w:rPr>
                <w:b/>
                <w:lang w:val="en-GB"/>
              </w:rPr>
            </w:pPr>
            <w:r w:rsidRPr="000F0222">
              <w:rPr>
                <w:b/>
                <w:lang w:val="en-GB"/>
              </w:rPr>
              <w:t>5</w:t>
            </w:r>
            <w:r w:rsidR="00A0199C" w:rsidRPr="000F0222">
              <w:rPr>
                <w:b/>
                <w:lang w:val="en-GB"/>
              </w:rPr>
              <w:t xml:space="preserve"> / 5</w:t>
            </w:r>
            <w:r w:rsidR="006D4C97" w:rsidRPr="000F0222">
              <w:rPr>
                <w:b/>
                <w:lang w:val="en-GB"/>
              </w:rPr>
              <w:t xml:space="preserve"> / </w:t>
            </w:r>
            <w:r w:rsidR="006D4C97" w:rsidRPr="000F0222">
              <w:rPr>
                <w:b/>
                <w:color w:val="FF0000"/>
                <w:lang w:val="en-GB"/>
              </w:rPr>
              <w:t>6</w:t>
            </w:r>
          </w:p>
        </w:tc>
      </w:tr>
      <w:tr w:rsidR="00144BCF" w:rsidRPr="004779F8" w14:paraId="6A30D6B4" w14:textId="77777777" w:rsidTr="00FF1A82">
        <w:trPr>
          <w:trHeight w:val="680"/>
          <w:jc w:val="center"/>
        </w:trPr>
        <w:tc>
          <w:tcPr>
            <w:tcW w:w="2132" w:type="dxa"/>
            <w:shd w:val="clear" w:color="auto" w:fill="FABF8F" w:themeFill="accent6" w:themeFillTint="99"/>
            <w:vAlign w:val="center"/>
          </w:tcPr>
          <w:p w14:paraId="7E98A7EB" w14:textId="77777777" w:rsidR="00144BCF" w:rsidRPr="000F0222" w:rsidRDefault="00144BCF" w:rsidP="00144BCF">
            <w:pPr>
              <w:jc w:val="center"/>
              <w:rPr>
                <w:b/>
                <w:sz w:val="22"/>
                <w:szCs w:val="22"/>
                <w:lang w:val="en-GB"/>
              </w:rPr>
            </w:pPr>
            <w:r w:rsidRPr="000F0222">
              <w:rPr>
                <w:b/>
                <w:sz w:val="22"/>
                <w:szCs w:val="22"/>
                <w:lang w:val="en-GB"/>
              </w:rPr>
              <w:t>Limited progress</w:t>
            </w:r>
          </w:p>
        </w:tc>
        <w:tc>
          <w:tcPr>
            <w:tcW w:w="2132" w:type="dxa"/>
            <w:shd w:val="clear" w:color="auto" w:fill="FABF8F" w:themeFill="accent6" w:themeFillTint="99"/>
            <w:vAlign w:val="center"/>
          </w:tcPr>
          <w:p w14:paraId="416EE964" w14:textId="0FA5BEB2" w:rsidR="00144BCF" w:rsidRPr="000F0222" w:rsidRDefault="00144BCF" w:rsidP="00144BCF">
            <w:pPr>
              <w:jc w:val="center"/>
              <w:rPr>
                <w:b/>
                <w:lang w:val="en-GB"/>
              </w:rPr>
            </w:pPr>
            <w:r w:rsidRPr="000F0222">
              <w:rPr>
                <w:b/>
                <w:lang w:val="en-GB"/>
              </w:rPr>
              <w:t>2</w:t>
            </w:r>
            <w:r w:rsidR="00A0199C" w:rsidRPr="000F0222">
              <w:rPr>
                <w:b/>
                <w:lang w:val="en-GB"/>
              </w:rPr>
              <w:t xml:space="preserve"> / 2</w:t>
            </w:r>
            <w:r w:rsidR="006D4C97" w:rsidRPr="000F0222">
              <w:rPr>
                <w:b/>
                <w:lang w:val="en-GB"/>
              </w:rPr>
              <w:t xml:space="preserve"> / </w:t>
            </w:r>
            <w:r w:rsidR="006D4C97" w:rsidRPr="000F0222">
              <w:rPr>
                <w:b/>
                <w:color w:val="FF0000"/>
                <w:lang w:val="en-GB"/>
              </w:rPr>
              <w:t>-</w:t>
            </w:r>
          </w:p>
        </w:tc>
        <w:tc>
          <w:tcPr>
            <w:tcW w:w="2132" w:type="dxa"/>
            <w:shd w:val="clear" w:color="auto" w:fill="FABF8F" w:themeFill="accent6" w:themeFillTint="99"/>
            <w:vAlign w:val="center"/>
          </w:tcPr>
          <w:p w14:paraId="56FC8774" w14:textId="1019A802" w:rsidR="00144BCF" w:rsidRPr="000F0222" w:rsidRDefault="00144BCF" w:rsidP="00144BCF">
            <w:pPr>
              <w:jc w:val="center"/>
              <w:rPr>
                <w:b/>
                <w:lang w:val="en-GB"/>
              </w:rPr>
            </w:pPr>
            <w:r w:rsidRPr="000F0222">
              <w:rPr>
                <w:b/>
                <w:lang w:val="en-GB"/>
              </w:rPr>
              <w:t>1</w:t>
            </w:r>
            <w:r w:rsidR="00A0199C" w:rsidRPr="000F0222">
              <w:rPr>
                <w:b/>
                <w:lang w:val="en-GB"/>
              </w:rPr>
              <w:t xml:space="preserve"> / -</w:t>
            </w:r>
            <w:r w:rsidR="006D4C97" w:rsidRPr="000F0222">
              <w:rPr>
                <w:b/>
                <w:lang w:val="en-GB"/>
              </w:rPr>
              <w:t xml:space="preserve"> / </w:t>
            </w:r>
            <w:r w:rsidR="006D4C97" w:rsidRPr="000F0222">
              <w:rPr>
                <w:b/>
                <w:color w:val="FF0000"/>
                <w:lang w:val="en-GB"/>
              </w:rPr>
              <w:t>-</w:t>
            </w:r>
          </w:p>
        </w:tc>
        <w:tc>
          <w:tcPr>
            <w:tcW w:w="2133" w:type="dxa"/>
            <w:shd w:val="clear" w:color="auto" w:fill="FABF8F" w:themeFill="accent6" w:themeFillTint="99"/>
            <w:vAlign w:val="center"/>
          </w:tcPr>
          <w:p w14:paraId="30E55D16" w14:textId="2133D1C5" w:rsidR="00144BCF" w:rsidRPr="000F0222" w:rsidRDefault="00144BCF" w:rsidP="00144BCF">
            <w:pPr>
              <w:jc w:val="center"/>
              <w:rPr>
                <w:b/>
                <w:lang w:val="en-GB"/>
              </w:rPr>
            </w:pPr>
            <w:r w:rsidRPr="000F0222">
              <w:rPr>
                <w:b/>
                <w:lang w:val="en-GB"/>
              </w:rPr>
              <w:t>3</w:t>
            </w:r>
            <w:r w:rsidR="00A0199C" w:rsidRPr="000F0222">
              <w:rPr>
                <w:b/>
                <w:lang w:val="en-GB"/>
              </w:rPr>
              <w:t xml:space="preserve"> / 2</w:t>
            </w:r>
            <w:r w:rsidR="006D4C97" w:rsidRPr="000F0222">
              <w:rPr>
                <w:b/>
                <w:lang w:val="en-GB"/>
              </w:rPr>
              <w:t xml:space="preserve"> / </w:t>
            </w:r>
            <w:r w:rsidR="006D4C97" w:rsidRPr="000F0222">
              <w:rPr>
                <w:b/>
                <w:color w:val="FF0000"/>
                <w:lang w:val="en-GB"/>
              </w:rPr>
              <w:t>-</w:t>
            </w:r>
          </w:p>
        </w:tc>
      </w:tr>
      <w:tr w:rsidR="00144BCF" w:rsidRPr="004779F8" w14:paraId="637C9E15" w14:textId="77777777" w:rsidTr="00144BCF">
        <w:trPr>
          <w:trHeight w:val="680"/>
          <w:jc w:val="center"/>
        </w:trPr>
        <w:tc>
          <w:tcPr>
            <w:tcW w:w="2132" w:type="dxa"/>
            <w:shd w:val="clear" w:color="auto" w:fill="FFFF99"/>
            <w:vAlign w:val="center"/>
          </w:tcPr>
          <w:p w14:paraId="6EA99CB1" w14:textId="77777777" w:rsidR="00144BCF" w:rsidRPr="000F0222" w:rsidRDefault="00144BCF" w:rsidP="00144BCF">
            <w:pPr>
              <w:jc w:val="center"/>
              <w:rPr>
                <w:b/>
                <w:sz w:val="22"/>
                <w:szCs w:val="22"/>
                <w:lang w:val="en-GB"/>
              </w:rPr>
            </w:pPr>
            <w:r w:rsidRPr="000F0222">
              <w:rPr>
                <w:b/>
                <w:sz w:val="22"/>
                <w:szCs w:val="22"/>
                <w:lang w:val="en-GB"/>
              </w:rPr>
              <w:t>Good progress</w:t>
            </w:r>
          </w:p>
        </w:tc>
        <w:tc>
          <w:tcPr>
            <w:tcW w:w="2132" w:type="dxa"/>
            <w:shd w:val="clear" w:color="auto" w:fill="FFFF99"/>
            <w:vAlign w:val="center"/>
          </w:tcPr>
          <w:p w14:paraId="7BED2251" w14:textId="16F02F60" w:rsidR="00144BCF" w:rsidRPr="000F0222" w:rsidRDefault="00144BCF" w:rsidP="00144BCF">
            <w:pPr>
              <w:jc w:val="center"/>
              <w:rPr>
                <w:b/>
                <w:lang w:val="en-GB"/>
              </w:rPr>
            </w:pPr>
            <w:r w:rsidRPr="000F0222">
              <w:rPr>
                <w:b/>
                <w:lang w:val="en-GB"/>
              </w:rPr>
              <w:t>2</w:t>
            </w:r>
            <w:r w:rsidR="00A0199C" w:rsidRPr="000F0222">
              <w:rPr>
                <w:b/>
                <w:lang w:val="en-GB"/>
              </w:rPr>
              <w:t xml:space="preserve"> / 1</w:t>
            </w:r>
            <w:r w:rsidR="006D4C97" w:rsidRPr="000F0222">
              <w:rPr>
                <w:b/>
                <w:lang w:val="en-GB"/>
              </w:rPr>
              <w:t xml:space="preserve"> / </w:t>
            </w:r>
            <w:r w:rsidR="006D4C97" w:rsidRPr="000F0222">
              <w:rPr>
                <w:b/>
                <w:color w:val="FF0000"/>
                <w:lang w:val="en-GB"/>
              </w:rPr>
              <w:t>-</w:t>
            </w:r>
          </w:p>
        </w:tc>
        <w:tc>
          <w:tcPr>
            <w:tcW w:w="2132" w:type="dxa"/>
            <w:shd w:val="clear" w:color="auto" w:fill="FFFF99"/>
            <w:vAlign w:val="center"/>
          </w:tcPr>
          <w:p w14:paraId="534A6C8B" w14:textId="77777777" w:rsidR="00144BCF" w:rsidRPr="000F0222" w:rsidRDefault="00144BCF" w:rsidP="00144BCF">
            <w:pPr>
              <w:jc w:val="center"/>
              <w:rPr>
                <w:b/>
                <w:lang w:val="en-GB"/>
              </w:rPr>
            </w:pPr>
          </w:p>
        </w:tc>
        <w:tc>
          <w:tcPr>
            <w:tcW w:w="2133" w:type="dxa"/>
            <w:shd w:val="clear" w:color="auto" w:fill="FFFF99"/>
            <w:vAlign w:val="center"/>
          </w:tcPr>
          <w:p w14:paraId="6932F8B8" w14:textId="2C155BA4" w:rsidR="00144BCF" w:rsidRPr="000F0222" w:rsidRDefault="00144BCF" w:rsidP="00144BCF">
            <w:pPr>
              <w:jc w:val="center"/>
              <w:rPr>
                <w:b/>
                <w:lang w:val="en-GB"/>
              </w:rPr>
            </w:pPr>
            <w:r w:rsidRPr="000F0222">
              <w:rPr>
                <w:b/>
                <w:lang w:val="en-GB"/>
              </w:rPr>
              <w:t>2</w:t>
            </w:r>
            <w:r w:rsidR="00A0199C" w:rsidRPr="000F0222">
              <w:rPr>
                <w:b/>
                <w:lang w:val="en-GB"/>
              </w:rPr>
              <w:t xml:space="preserve"> / 1</w:t>
            </w:r>
            <w:r w:rsidR="006D4C97" w:rsidRPr="000F0222">
              <w:rPr>
                <w:b/>
                <w:lang w:val="en-GB"/>
              </w:rPr>
              <w:t xml:space="preserve"> / </w:t>
            </w:r>
            <w:r w:rsidR="006D4C97" w:rsidRPr="000F0222">
              <w:rPr>
                <w:b/>
                <w:color w:val="FF0000"/>
                <w:lang w:val="en-GB"/>
              </w:rPr>
              <w:t>-</w:t>
            </w:r>
          </w:p>
        </w:tc>
      </w:tr>
      <w:tr w:rsidR="00144BCF" w:rsidRPr="004779F8" w14:paraId="666FE873" w14:textId="77777777" w:rsidTr="00FF1A82">
        <w:trPr>
          <w:trHeight w:val="680"/>
          <w:jc w:val="center"/>
        </w:trPr>
        <w:tc>
          <w:tcPr>
            <w:tcW w:w="2132" w:type="dxa"/>
            <w:shd w:val="clear" w:color="auto" w:fill="C2D69B" w:themeFill="accent3" w:themeFillTint="99"/>
            <w:vAlign w:val="center"/>
          </w:tcPr>
          <w:p w14:paraId="3EC97368" w14:textId="77777777" w:rsidR="00144BCF" w:rsidRPr="000F0222" w:rsidRDefault="00144BCF" w:rsidP="00144BCF">
            <w:pPr>
              <w:jc w:val="center"/>
              <w:rPr>
                <w:b/>
                <w:sz w:val="22"/>
                <w:szCs w:val="22"/>
                <w:lang w:val="en-GB"/>
              </w:rPr>
            </w:pPr>
            <w:r w:rsidRPr="000F0222">
              <w:rPr>
                <w:b/>
                <w:sz w:val="22"/>
                <w:szCs w:val="22"/>
                <w:lang w:val="en-GB"/>
              </w:rPr>
              <w:t>Significant progress</w:t>
            </w:r>
          </w:p>
        </w:tc>
        <w:tc>
          <w:tcPr>
            <w:tcW w:w="2132" w:type="dxa"/>
            <w:shd w:val="clear" w:color="auto" w:fill="C2D69B" w:themeFill="accent3" w:themeFillTint="99"/>
            <w:vAlign w:val="center"/>
          </w:tcPr>
          <w:p w14:paraId="515D2636" w14:textId="0AA13761" w:rsidR="00144BCF" w:rsidRPr="000F0222" w:rsidRDefault="00726120" w:rsidP="00144BCF">
            <w:pPr>
              <w:jc w:val="center"/>
              <w:rPr>
                <w:b/>
                <w:lang w:val="en-GB"/>
              </w:rPr>
            </w:pPr>
            <w:r w:rsidRPr="000F0222">
              <w:rPr>
                <w:b/>
                <w:lang w:val="en-GB"/>
              </w:rPr>
              <w:t xml:space="preserve">- / - / </w:t>
            </w:r>
            <w:r w:rsidR="006D4C97" w:rsidRPr="000F0222">
              <w:rPr>
                <w:b/>
                <w:color w:val="FF0000"/>
                <w:lang w:val="en-GB"/>
              </w:rPr>
              <w:t>1</w:t>
            </w:r>
          </w:p>
        </w:tc>
        <w:tc>
          <w:tcPr>
            <w:tcW w:w="2132" w:type="dxa"/>
            <w:shd w:val="clear" w:color="auto" w:fill="C2D69B" w:themeFill="accent3" w:themeFillTint="99"/>
            <w:vAlign w:val="center"/>
          </w:tcPr>
          <w:p w14:paraId="7D8FBFC1" w14:textId="77777777" w:rsidR="00144BCF" w:rsidRPr="000F0222" w:rsidRDefault="00144BCF" w:rsidP="00144BCF">
            <w:pPr>
              <w:jc w:val="center"/>
              <w:rPr>
                <w:b/>
                <w:lang w:val="en-GB"/>
              </w:rPr>
            </w:pPr>
          </w:p>
        </w:tc>
        <w:tc>
          <w:tcPr>
            <w:tcW w:w="2133" w:type="dxa"/>
            <w:shd w:val="clear" w:color="auto" w:fill="C2D69B" w:themeFill="accent3" w:themeFillTint="99"/>
            <w:vAlign w:val="center"/>
          </w:tcPr>
          <w:p w14:paraId="0EBC3CA9" w14:textId="2AC11EC4" w:rsidR="00144BCF" w:rsidRPr="000F0222" w:rsidRDefault="00726120" w:rsidP="00144BCF">
            <w:pPr>
              <w:jc w:val="center"/>
              <w:rPr>
                <w:b/>
                <w:lang w:val="en-GB"/>
              </w:rPr>
            </w:pPr>
            <w:r w:rsidRPr="000F0222">
              <w:rPr>
                <w:b/>
                <w:lang w:val="en-GB"/>
              </w:rPr>
              <w:t xml:space="preserve">- / - / </w:t>
            </w:r>
            <w:r w:rsidR="006D4C97" w:rsidRPr="000F0222">
              <w:rPr>
                <w:b/>
                <w:color w:val="FF0000"/>
                <w:lang w:val="en-GB"/>
              </w:rPr>
              <w:t>1</w:t>
            </w:r>
          </w:p>
        </w:tc>
      </w:tr>
      <w:tr w:rsidR="00144BCF" w:rsidRPr="004779F8" w14:paraId="25A1A067" w14:textId="77777777" w:rsidTr="00FF1A82">
        <w:trPr>
          <w:trHeight w:val="680"/>
          <w:jc w:val="center"/>
        </w:trPr>
        <w:tc>
          <w:tcPr>
            <w:tcW w:w="2132" w:type="dxa"/>
            <w:shd w:val="clear" w:color="auto" w:fill="C2D69B" w:themeFill="accent3" w:themeFillTint="99"/>
            <w:vAlign w:val="center"/>
          </w:tcPr>
          <w:p w14:paraId="6E35616F" w14:textId="77777777" w:rsidR="00144BCF" w:rsidRPr="000F0222" w:rsidRDefault="00144BCF" w:rsidP="00144BCF">
            <w:pPr>
              <w:jc w:val="center"/>
              <w:rPr>
                <w:b/>
                <w:sz w:val="22"/>
                <w:szCs w:val="22"/>
                <w:lang w:val="en-GB"/>
              </w:rPr>
            </w:pPr>
            <w:r w:rsidRPr="000F0222">
              <w:rPr>
                <w:b/>
                <w:sz w:val="22"/>
                <w:szCs w:val="22"/>
                <w:lang w:val="en-GB"/>
              </w:rPr>
              <w:t>Achieved</w:t>
            </w:r>
          </w:p>
        </w:tc>
        <w:tc>
          <w:tcPr>
            <w:tcW w:w="2132" w:type="dxa"/>
            <w:shd w:val="clear" w:color="auto" w:fill="C2D69B" w:themeFill="accent3" w:themeFillTint="99"/>
            <w:vAlign w:val="center"/>
          </w:tcPr>
          <w:p w14:paraId="10E7E17A" w14:textId="1B40D203" w:rsidR="00144BCF" w:rsidRPr="000F0222" w:rsidRDefault="00144BCF" w:rsidP="00144BCF">
            <w:pPr>
              <w:jc w:val="center"/>
              <w:rPr>
                <w:b/>
                <w:lang w:val="en-GB"/>
              </w:rPr>
            </w:pPr>
            <w:r w:rsidRPr="000F0222">
              <w:rPr>
                <w:b/>
                <w:lang w:val="en-GB"/>
              </w:rPr>
              <w:t>1</w:t>
            </w:r>
            <w:r w:rsidR="00A0199C" w:rsidRPr="000F0222">
              <w:rPr>
                <w:b/>
                <w:lang w:val="en-GB"/>
              </w:rPr>
              <w:t xml:space="preserve"> / -</w:t>
            </w:r>
            <w:r w:rsidR="006D4C97" w:rsidRPr="000F0222">
              <w:rPr>
                <w:b/>
                <w:lang w:val="en-GB"/>
              </w:rPr>
              <w:t xml:space="preserve"> / </w:t>
            </w:r>
            <w:r w:rsidR="006D4C97" w:rsidRPr="000F0222">
              <w:rPr>
                <w:b/>
                <w:color w:val="FF0000"/>
                <w:lang w:val="en-GB"/>
              </w:rPr>
              <w:t>1</w:t>
            </w:r>
          </w:p>
        </w:tc>
        <w:tc>
          <w:tcPr>
            <w:tcW w:w="2132" w:type="dxa"/>
            <w:shd w:val="clear" w:color="auto" w:fill="C2D69B" w:themeFill="accent3" w:themeFillTint="99"/>
            <w:vAlign w:val="center"/>
          </w:tcPr>
          <w:p w14:paraId="2AC1CC6E" w14:textId="77777777" w:rsidR="00144BCF" w:rsidRPr="000F0222" w:rsidRDefault="00144BCF" w:rsidP="00144BCF">
            <w:pPr>
              <w:jc w:val="center"/>
              <w:rPr>
                <w:b/>
                <w:lang w:val="en-GB"/>
              </w:rPr>
            </w:pPr>
          </w:p>
        </w:tc>
        <w:tc>
          <w:tcPr>
            <w:tcW w:w="2133" w:type="dxa"/>
            <w:shd w:val="clear" w:color="auto" w:fill="C2D69B" w:themeFill="accent3" w:themeFillTint="99"/>
            <w:vAlign w:val="center"/>
          </w:tcPr>
          <w:p w14:paraId="67CC59E5" w14:textId="2BB3A1C8" w:rsidR="00144BCF" w:rsidRPr="000F0222" w:rsidRDefault="00144BCF" w:rsidP="00144BCF">
            <w:pPr>
              <w:jc w:val="center"/>
              <w:rPr>
                <w:b/>
                <w:lang w:val="en-GB"/>
              </w:rPr>
            </w:pPr>
            <w:r w:rsidRPr="000F0222">
              <w:rPr>
                <w:b/>
                <w:lang w:val="en-GB"/>
              </w:rPr>
              <w:t>1</w:t>
            </w:r>
            <w:r w:rsidR="00A0199C" w:rsidRPr="000F0222">
              <w:rPr>
                <w:b/>
                <w:lang w:val="en-GB"/>
              </w:rPr>
              <w:t xml:space="preserve"> / -</w:t>
            </w:r>
            <w:r w:rsidR="006D4C97" w:rsidRPr="000F0222">
              <w:rPr>
                <w:b/>
                <w:lang w:val="en-GB"/>
              </w:rPr>
              <w:t xml:space="preserve"> / </w:t>
            </w:r>
            <w:r w:rsidR="006D4C97" w:rsidRPr="000F0222">
              <w:rPr>
                <w:b/>
                <w:color w:val="FF0000"/>
                <w:lang w:val="en-GB"/>
              </w:rPr>
              <w:t>1</w:t>
            </w:r>
          </w:p>
        </w:tc>
      </w:tr>
      <w:tr w:rsidR="00144BCF" w:rsidRPr="004779F8" w14:paraId="07E643FF" w14:textId="77777777" w:rsidTr="00144BCF">
        <w:trPr>
          <w:trHeight w:val="680"/>
          <w:jc w:val="center"/>
        </w:trPr>
        <w:tc>
          <w:tcPr>
            <w:tcW w:w="2132" w:type="dxa"/>
            <w:shd w:val="clear" w:color="auto" w:fill="A6A6A6" w:themeFill="background1" w:themeFillShade="A6"/>
            <w:vAlign w:val="center"/>
          </w:tcPr>
          <w:p w14:paraId="44934CB6" w14:textId="77777777" w:rsidR="00144BCF" w:rsidRPr="000F0222" w:rsidRDefault="00144BCF" w:rsidP="00144BCF">
            <w:pPr>
              <w:jc w:val="center"/>
              <w:rPr>
                <w:b/>
                <w:sz w:val="22"/>
                <w:szCs w:val="22"/>
                <w:lang w:val="en-GB"/>
              </w:rPr>
            </w:pPr>
            <w:r w:rsidRPr="000F0222">
              <w:rPr>
                <w:b/>
                <w:sz w:val="22"/>
                <w:szCs w:val="22"/>
                <w:lang w:val="en-GB"/>
              </w:rPr>
              <w:t>Not assessed</w:t>
            </w:r>
          </w:p>
        </w:tc>
        <w:tc>
          <w:tcPr>
            <w:tcW w:w="2132" w:type="dxa"/>
            <w:shd w:val="clear" w:color="auto" w:fill="A6A6A6" w:themeFill="background1" w:themeFillShade="A6"/>
            <w:vAlign w:val="center"/>
          </w:tcPr>
          <w:p w14:paraId="61F2ABEB" w14:textId="77777777" w:rsidR="00144BCF" w:rsidRPr="000F0222" w:rsidRDefault="00144BCF" w:rsidP="00144BCF">
            <w:pPr>
              <w:jc w:val="center"/>
              <w:rPr>
                <w:b/>
                <w:lang w:val="en-GB"/>
              </w:rPr>
            </w:pPr>
          </w:p>
        </w:tc>
        <w:tc>
          <w:tcPr>
            <w:tcW w:w="2132" w:type="dxa"/>
            <w:shd w:val="clear" w:color="auto" w:fill="A6A6A6" w:themeFill="background1" w:themeFillShade="A6"/>
            <w:vAlign w:val="center"/>
          </w:tcPr>
          <w:p w14:paraId="35BA535A" w14:textId="2BEA5930" w:rsidR="00144BCF" w:rsidRPr="000F0222" w:rsidRDefault="00144BCF" w:rsidP="00144BCF">
            <w:pPr>
              <w:jc w:val="center"/>
              <w:rPr>
                <w:b/>
                <w:lang w:val="en-GB"/>
              </w:rPr>
            </w:pPr>
            <w:r w:rsidRPr="000F0222">
              <w:rPr>
                <w:b/>
                <w:lang w:val="en-GB"/>
              </w:rPr>
              <w:t>1</w:t>
            </w:r>
            <w:r w:rsidR="00A0199C" w:rsidRPr="000F0222">
              <w:rPr>
                <w:b/>
                <w:lang w:val="en-GB"/>
              </w:rPr>
              <w:t xml:space="preserve"> / 4</w:t>
            </w:r>
            <w:r w:rsidR="006D4C97" w:rsidRPr="000F0222">
              <w:rPr>
                <w:b/>
                <w:lang w:val="en-GB"/>
              </w:rPr>
              <w:t xml:space="preserve"> / </w:t>
            </w:r>
            <w:r w:rsidR="006D4C97" w:rsidRPr="000F0222">
              <w:rPr>
                <w:b/>
                <w:color w:val="FF0000"/>
                <w:lang w:val="en-GB"/>
              </w:rPr>
              <w:t>4</w:t>
            </w:r>
          </w:p>
        </w:tc>
        <w:tc>
          <w:tcPr>
            <w:tcW w:w="2133" w:type="dxa"/>
            <w:shd w:val="clear" w:color="auto" w:fill="A6A6A6" w:themeFill="background1" w:themeFillShade="A6"/>
            <w:vAlign w:val="center"/>
          </w:tcPr>
          <w:p w14:paraId="481C7CA3" w14:textId="53640927" w:rsidR="00144BCF" w:rsidRPr="000F0222" w:rsidRDefault="00144BCF" w:rsidP="00144BCF">
            <w:pPr>
              <w:jc w:val="center"/>
              <w:rPr>
                <w:b/>
                <w:lang w:val="en-GB"/>
              </w:rPr>
            </w:pPr>
            <w:r w:rsidRPr="000F0222">
              <w:rPr>
                <w:b/>
                <w:lang w:val="en-GB"/>
              </w:rPr>
              <w:t>1</w:t>
            </w:r>
            <w:r w:rsidR="00A0199C" w:rsidRPr="000F0222">
              <w:rPr>
                <w:b/>
                <w:lang w:val="en-GB"/>
              </w:rPr>
              <w:t xml:space="preserve"> / 4</w:t>
            </w:r>
            <w:r w:rsidR="006D4C97" w:rsidRPr="000F0222">
              <w:rPr>
                <w:b/>
                <w:lang w:val="en-GB"/>
              </w:rPr>
              <w:t xml:space="preserve"> / </w:t>
            </w:r>
            <w:r w:rsidR="006D4C97" w:rsidRPr="000F0222">
              <w:rPr>
                <w:b/>
                <w:color w:val="FF0000"/>
                <w:lang w:val="en-GB"/>
              </w:rPr>
              <w:t>4</w:t>
            </w:r>
          </w:p>
        </w:tc>
      </w:tr>
      <w:tr w:rsidR="00144BCF" w:rsidRPr="004779F8" w14:paraId="7BCE98EB" w14:textId="77777777" w:rsidTr="00144BCF">
        <w:trPr>
          <w:trHeight w:val="680"/>
          <w:jc w:val="center"/>
        </w:trPr>
        <w:tc>
          <w:tcPr>
            <w:tcW w:w="2132" w:type="dxa"/>
            <w:shd w:val="clear" w:color="auto" w:fill="F2F2F2" w:themeFill="background1" w:themeFillShade="F2"/>
            <w:vAlign w:val="center"/>
          </w:tcPr>
          <w:p w14:paraId="27CB4BC1" w14:textId="77777777" w:rsidR="00144BCF" w:rsidRPr="000F0222" w:rsidRDefault="00144BCF" w:rsidP="00144BCF">
            <w:pPr>
              <w:jc w:val="center"/>
              <w:rPr>
                <w:b/>
                <w:sz w:val="22"/>
                <w:szCs w:val="22"/>
                <w:lang w:val="en-GB"/>
              </w:rPr>
            </w:pPr>
            <w:r w:rsidRPr="000F0222">
              <w:rPr>
                <w:b/>
                <w:sz w:val="22"/>
                <w:szCs w:val="22"/>
                <w:lang w:val="en-GB"/>
              </w:rPr>
              <w:t>Overall</w:t>
            </w:r>
          </w:p>
        </w:tc>
        <w:tc>
          <w:tcPr>
            <w:tcW w:w="2132" w:type="dxa"/>
            <w:shd w:val="clear" w:color="auto" w:fill="F2F2F2" w:themeFill="background1" w:themeFillShade="F2"/>
            <w:vAlign w:val="center"/>
          </w:tcPr>
          <w:p w14:paraId="3D25F4D8" w14:textId="77777777" w:rsidR="00144BCF" w:rsidRPr="000F0222" w:rsidRDefault="00144BCF" w:rsidP="00144BCF">
            <w:pPr>
              <w:jc w:val="center"/>
              <w:rPr>
                <w:b/>
                <w:lang w:val="en-GB"/>
              </w:rPr>
            </w:pPr>
            <w:r w:rsidRPr="000F0222">
              <w:rPr>
                <w:b/>
                <w:lang w:val="en-GB"/>
              </w:rPr>
              <w:t>8</w:t>
            </w:r>
          </w:p>
        </w:tc>
        <w:tc>
          <w:tcPr>
            <w:tcW w:w="2132" w:type="dxa"/>
            <w:shd w:val="clear" w:color="auto" w:fill="F2F2F2" w:themeFill="background1" w:themeFillShade="F2"/>
            <w:vAlign w:val="center"/>
          </w:tcPr>
          <w:p w14:paraId="742ED21D" w14:textId="77777777" w:rsidR="00144BCF" w:rsidRPr="000F0222" w:rsidRDefault="00144BCF" w:rsidP="00144BCF">
            <w:pPr>
              <w:jc w:val="center"/>
              <w:rPr>
                <w:b/>
                <w:lang w:val="en-GB"/>
              </w:rPr>
            </w:pPr>
            <w:r w:rsidRPr="000F0222">
              <w:rPr>
                <w:b/>
                <w:lang w:val="en-GB"/>
              </w:rPr>
              <w:t>4</w:t>
            </w:r>
          </w:p>
        </w:tc>
        <w:tc>
          <w:tcPr>
            <w:tcW w:w="2133" w:type="dxa"/>
            <w:shd w:val="clear" w:color="auto" w:fill="F2F2F2" w:themeFill="background1" w:themeFillShade="F2"/>
            <w:vAlign w:val="center"/>
          </w:tcPr>
          <w:p w14:paraId="433FA5F6" w14:textId="77777777" w:rsidR="00144BCF" w:rsidRPr="000F0222" w:rsidRDefault="00144BCF" w:rsidP="00144BCF">
            <w:pPr>
              <w:jc w:val="center"/>
              <w:rPr>
                <w:b/>
                <w:lang w:val="en-GB"/>
              </w:rPr>
            </w:pPr>
            <w:r w:rsidRPr="000F0222">
              <w:rPr>
                <w:b/>
                <w:lang w:val="en-GB"/>
              </w:rPr>
              <w:t>12</w:t>
            </w:r>
          </w:p>
        </w:tc>
      </w:tr>
    </w:tbl>
    <w:p w14:paraId="3FCD654F" w14:textId="77777777" w:rsidR="00144BCF" w:rsidRPr="004779F8" w:rsidRDefault="00144BCF" w:rsidP="00161792">
      <w:pPr>
        <w:jc w:val="both"/>
        <w:rPr>
          <w:sz w:val="22"/>
          <w:szCs w:val="22"/>
          <w:lang w:val="en-GB"/>
        </w:rPr>
      </w:pPr>
    </w:p>
    <w:p w14:paraId="45B45DF1" w14:textId="16E5C250" w:rsidR="00144BCF" w:rsidRPr="004779F8" w:rsidRDefault="00280489" w:rsidP="00161792">
      <w:pPr>
        <w:jc w:val="both"/>
        <w:rPr>
          <w:i/>
          <w:sz w:val="22"/>
          <w:szCs w:val="22"/>
          <w:lang w:val="en-GB"/>
        </w:rPr>
      </w:pPr>
      <w:r w:rsidRPr="00964C3E">
        <w:rPr>
          <w:i/>
          <w:sz w:val="22"/>
          <w:szCs w:val="22"/>
          <w:lang w:val="en-GB"/>
        </w:rPr>
        <w:t>Table 1. Number of Strategic Plan goal indicators according to their category</w:t>
      </w:r>
      <w:r w:rsidRPr="003915B9">
        <w:rPr>
          <w:i/>
          <w:sz w:val="22"/>
          <w:szCs w:val="22"/>
          <w:lang w:val="en-GB"/>
        </w:rPr>
        <w:t xml:space="preserve"> of progress.</w:t>
      </w:r>
      <w:r w:rsidR="00A0199C" w:rsidRPr="003915B9">
        <w:rPr>
          <w:i/>
          <w:sz w:val="22"/>
          <w:szCs w:val="22"/>
          <w:lang w:val="en-GB"/>
        </w:rPr>
        <w:t xml:space="preserve"> </w:t>
      </w:r>
      <w:bookmarkStart w:id="0" w:name="OLE_LINK1"/>
      <w:bookmarkStart w:id="1" w:name="OLE_LINK2"/>
      <w:r w:rsidR="00A0199C" w:rsidRPr="003915B9">
        <w:rPr>
          <w:i/>
          <w:sz w:val="22"/>
          <w:szCs w:val="22"/>
          <w:lang w:val="en-GB"/>
        </w:rPr>
        <w:t>The number</w:t>
      </w:r>
      <w:r w:rsidR="00B4335A" w:rsidRPr="00613A29">
        <w:rPr>
          <w:i/>
          <w:sz w:val="22"/>
          <w:szCs w:val="22"/>
          <w:lang w:val="en-GB"/>
        </w:rPr>
        <w:t>s</w:t>
      </w:r>
      <w:r w:rsidR="00A0199C" w:rsidRPr="008C5535">
        <w:rPr>
          <w:i/>
          <w:sz w:val="22"/>
          <w:szCs w:val="22"/>
          <w:lang w:val="en-GB"/>
        </w:rPr>
        <w:t xml:space="preserve"> on the left in black represent</w:t>
      </w:r>
      <w:r w:rsidR="00C442A6" w:rsidRPr="008C5535">
        <w:rPr>
          <w:i/>
          <w:sz w:val="22"/>
          <w:szCs w:val="22"/>
          <w:lang w:val="en-GB"/>
        </w:rPr>
        <w:t xml:space="preserve"> the</w:t>
      </w:r>
      <w:r w:rsidR="00A0199C" w:rsidRPr="008C5535">
        <w:rPr>
          <w:i/>
          <w:sz w:val="22"/>
          <w:szCs w:val="22"/>
          <w:lang w:val="en-GB"/>
        </w:rPr>
        <w:t xml:space="preserve"> situation at MOP5 in 2012</w:t>
      </w:r>
      <w:r w:rsidR="00B4335A" w:rsidRPr="00852729">
        <w:rPr>
          <w:i/>
          <w:sz w:val="22"/>
          <w:szCs w:val="22"/>
          <w:lang w:val="en-GB"/>
        </w:rPr>
        <w:t xml:space="preserve"> and MOP6 in 2015 respectively</w:t>
      </w:r>
      <w:r w:rsidR="00A0199C" w:rsidRPr="001D2AAF">
        <w:rPr>
          <w:i/>
          <w:sz w:val="22"/>
          <w:szCs w:val="22"/>
          <w:lang w:val="en-GB"/>
        </w:rPr>
        <w:t xml:space="preserve">, the number on the right in red </w:t>
      </w:r>
      <w:r w:rsidR="004779F8">
        <w:rPr>
          <w:i/>
          <w:sz w:val="22"/>
          <w:szCs w:val="22"/>
          <w:lang w:val="en-GB"/>
        </w:rPr>
        <w:t>represents</w:t>
      </w:r>
      <w:r w:rsidR="00A0199C" w:rsidRPr="004779F8">
        <w:rPr>
          <w:i/>
          <w:sz w:val="22"/>
          <w:szCs w:val="22"/>
          <w:lang w:val="en-GB"/>
        </w:rPr>
        <w:t xml:space="preserve"> </w:t>
      </w:r>
      <w:r w:rsidR="00C442A6" w:rsidRPr="004779F8">
        <w:rPr>
          <w:i/>
          <w:sz w:val="22"/>
          <w:szCs w:val="22"/>
          <w:lang w:val="en-GB"/>
        </w:rPr>
        <w:t xml:space="preserve">the </w:t>
      </w:r>
      <w:r w:rsidR="00A0199C" w:rsidRPr="004779F8">
        <w:rPr>
          <w:i/>
          <w:sz w:val="22"/>
          <w:szCs w:val="22"/>
          <w:lang w:val="en-GB"/>
        </w:rPr>
        <w:t>current situation</w:t>
      </w:r>
      <w:r w:rsidR="00B4335A" w:rsidRPr="004779F8">
        <w:rPr>
          <w:i/>
          <w:sz w:val="22"/>
          <w:szCs w:val="22"/>
          <w:lang w:val="en-GB"/>
        </w:rPr>
        <w:t xml:space="preserve"> at MOP7 (2018)</w:t>
      </w:r>
      <w:r w:rsidR="00A0199C" w:rsidRPr="004779F8">
        <w:rPr>
          <w:i/>
          <w:sz w:val="22"/>
          <w:szCs w:val="22"/>
          <w:lang w:val="en-GB"/>
        </w:rPr>
        <w:t xml:space="preserve">. </w:t>
      </w:r>
      <w:r w:rsidRPr="004779F8">
        <w:rPr>
          <w:i/>
          <w:sz w:val="22"/>
          <w:szCs w:val="22"/>
          <w:lang w:val="en-GB"/>
        </w:rPr>
        <w:t xml:space="preserve"> </w:t>
      </w:r>
      <w:bookmarkEnd w:id="0"/>
      <w:bookmarkEnd w:id="1"/>
    </w:p>
    <w:p w14:paraId="3384C303" w14:textId="77777777" w:rsidR="00280489" w:rsidRPr="00964C3E" w:rsidRDefault="00280489" w:rsidP="00161792">
      <w:pPr>
        <w:jc w:val="both"/>
        <w:rPr>
          <w:b/>
          <w:sz w:val="22"/>
          <w:szCs w:val="22"/>
          <w:lang w:val="en-GB"/>
        </w:rPr>
      </w:pPr>
    </w:p>
    <w:p w14:paraId="084603F0" w14:textId="767E78CE" w:rsidR="00764115" w:rsidRPr="004779F8" w:rsidRDefault="00280489" w:rsidP="00160B05">
      <w:pPr>
        <w:spacing w:line="276" w:lineRule="auto"/>
        <w:jc w:val="both"/>
        <w:rPr>
          <w:sz w:val="22"/>
          <w:szCs w:val="22"/>
          <w:lang w:val="en-GB"/>
        </w:rPr>
      </w:pPr>
      <w:bookmarkStart w:id="2" w:name="_Hlk526460218"/>
      <w:r w:rsidRPr="004779F8">
        <w:rPr>
          <w:sz w:val="22"/>
          <w:szCs w:val="22"/>
          <w:lang w:val="en-GB"/>
        </w:rPr>
        <w:t xml:space="preserve">Overall, </w:t>
      </w:r>
      <w:r w:rsidR="00B2772D" w:rsidRPr="004779F8">
        <w:rPr>
          <w:sz w:val="22"/>
          <w:szCs w:val="22"/>
          <w:lang w:val="en-GB"/>
        </w:rPr>
        <w:t xml:space="preserve">the thresholds of </w:t>
      </w:r>
      <w:r w:rsidR="00B67574" w:rsidRPr="004779F8">
        <w:rPr>
          <w:sz w:val="22"/>
          <w:szCs w:val="22"/>
          <w:lang w:val="en-GB"/>
        </w:rPr>
        <w:t>half</w:t>
      </w:r>
      <w:r w:rsidRPr="004779F8">
        <w:rPr>
          <w:sz w:val="22"/>
          <w:szCs w:val="22"/>
          <w:lang w:val="en-GB"/>
        </w:rPr>
        <w:t xml:space="preserve"> of </w:t>
      </w:r>
      <w:r w:rsidR="00B2772D" w:rsidRPr="004779F8">
        <w:rPr>
          <w:sz w:val="22"/>
          <w:szCs w:val="22"/>
          <w:lang w:val="en-GB"/>
        </w:rPr>
        <w:t xml:space="preserve">the </w:t>
      </w:r>
      <w:r w:rsidRPr="004779F8">
        <w:rPr>
          <w:sz w:val="22"/>
          <w:szCs w:val="22"/>
          <w:lang w:val="en-GB"/>
        </w:rPr>
        <w:t xml:space="preserve">indicators have not been </w:t>
      </w:r>
      <w:r w:rsidR="00B2772D" w:rsidRPr="004779F8">
        <w:rPr>
          <w:sz w:val="22"/>
          <w:szCs w:val="22"/>
          <w:lang w:val="en-GB"/>
        </w:rPr>
        <w:t xml:space="preserve">reached </w:t>
      </w:r>
      <w:r w:rsidR="00460393" w:rsidRPr="004779F8">
        <w:rPr>
          <w:sz w:val="22"/>
          <w:szCs w:val="22"/>
          <w:lang w:val="en-GB"/>
        </w:rPr>
        <w:t xml:space="preserve">and in fact the </w:t>
      </w:r>
      <w:r w:rsidR="00D44F87" w:rsidRPr="004779F8">
        <w:rPr>
          <w:sz w:val="22"/>
          <w:szCs w:val="22"/>
          <w:lang w:val="en-GB"/>
        </w:rPr>
        <w:t>parameters have worsened over the period of the Strategic Plan. The</w:t>
      </w:r>
      <w:r w:rsidR="00B67574" w:rsidRPr="004779F8">
        <w:rPr>
          <w:sz w:val="22"/>
          <w:szCs w:val="22"/>
          <w:lang w:val="en-GB"/>
        </w:rPr>
        <w:t xml:space="preserve"> threshold of one indicator (8%) was </w:t>
      </w:r>
      <w:r w:rsidR="00B67574" w:rsidRPr="000F0222">
        <w:rPr>
          <w:i/>
          <w:sz w:val="22"/>
          <w:szCs w:val="22"/>
          <w:lang w:val="en-GB"/>
        </w:rPr>
        <w:t>reached</w:t>
      </w:r>
      <w:r w:rsidR="00B67574" w:rsidRPr="004779F8">
        <w:rPr>
          <w:sz w:val="22"/>
          <w:szCs w:val="22"/>
          <w:lang w:val="en-GB"/>
        </w:rPr>
        <w:t xml:space="preserve"> and on another one (8%) it was closely missed. Due to unavailability of data</w:t>
      </w:r>
      <w:r w:rsidR="00C442A6" w:rsidRPr="004779F8">
        <w:rPr>
          <w:sz w:val="22"/>
          <w:szCs w:val="22"/>
          <w:lang w:val="en-GB"/>
        </w:rPr>
        <w:t>,</w:t>
      </w:r>
      <w:r w:rsidR="00B67574" w:rsidRPr="004779F8">
        <w:rPr>
          <w:sz w:val="22"/>
          <w:szCs w:val="22"/>
          <w:lang w:val="en-GB"/>
        </w:rPr>
        <w:t xml:space="preserve"> </w:t>
      </w:r>
      <w:r w:rsidR="00DE7136" w:rsidRPr="004779F8">
        <w:rPr>
          <w:sz w:val="22"/>
          <w:szCs w:val="22"/>
          <w:lang w:val="en-GB"/>
        </w:rPr>
        <w:t>3</w:t>
      </w:r>
      <w:r w:rsidR="00B67574" w:rsidRPr="004779F8">
        <w:rPr>
          <w:sz w:val="22"/>
          <w:szCs w:val="22"/>
          <w:lang w:val="en-GB"/>
        </w:rPr>
        <w:t>4</w:t>
      </w:r>
      <w:r w:rsidR="00075BC3" w:rsidRPr="004779F8">
        <w:rPr>
          <w:sz w:val="22"/>
          <w:szCs w:val="22"/>
          <w:lang w:val="en-GB"/>
        </w:rPr>
        <w:t xml:space="preserve">% </w:t>
      </w:r>
      <w:r w:rsidR="00B67574" w:rsidRPr="004779F8">
        <w:rPr>
          <w:sz w:val="22"/>
          <w:szCs w:val="22"/>
          <w:lang w:val="en-GB"/>
        </w:rPr>
        <w:t xml:space="preserve">of indicators </w:t>
      </w:r>
      <w:r w:rsidR="00075BC3" w:rsidRPr="004779F8">
        <w:rPr>
          <w:sz w:val="22"/>
          <w:szCs w:val="22"/>
          <w:lang w:val="en-GB"/>
        </w:rPr>
        <w:t xml:space="preserve">have </w:t>
      </w:r>
      <w:r w:rsidR="00DE7136" w:rsidRPr="000F0222">
        <w:rPr>
          <w:i/>
          <w:sz w:val="22"/>
          <w:szCs w:val="22"/>
          <w:lang w:val="en-GB"/>
        </w:rPr>
        <w:t xml:space="preserve">not </w:t>
      </w:r>
      <w:r w:rsidR="00075BC3" w:rsidRPr="000F0222">
        <w:rPr>
          <w:i/>
          <w:sz w:val="22"/>
          <w:szCs w:val="22"/>
          <w:lang w:val="en-GB"/>
        </w:rPr>
        <w:t xml:space="preserve">been </w:t>
      </w:r>
      <w:r w:rsidR="00DE7136" w:rsidRPr="000F0222">
        <w:rPr>
          <w:i/>
          <w:sz w:val="22"/>
          <w:szCs w:val="22"/>
          <w:lang w:val="en-GB"/>
        </w:rPr>
        <w:t>assessed</w:t>
      </w:r>
      <w:bookmarkEnd w:id="2"/>
      <w:r w:rsidR="00DE7136" w:rsidRPr="004779F8">
        <w:rPr>
          <w:sz w:val="22"/>
          <w:szCs w:val="22"/>
          <w:lang w:val="en-GB"/>
        </w:rPr>
        <w:t xml:space="preserve"> </w:t>
      </w:r>
      <w:r w:rsidR="00075BC3" w:rsidRPr="004779F8">
        <w:rPr>
          <w:sz w:val="22"/>
          <w:szCs w:val="22"/>
          <w:lang w:val="en-GB"/>
        </w:rPr>
        <w:t xml:space="preserve">(see </w:t>
      </w:r>
      <w:r w:rsidR="00C8008E">
        <w:rPr>
          <w:sz w:val="22"/>
          <w:szCs w:val="22"/>
          <w:lang w:val="en-GB"/>
        </w:rPr>
        <w:br w:type="textWrapping" w:clear="all"/>
      </w:r>
      <w:r w:rsidR="00075BC3" w:rsidRPr="004779F8">
        <w:rPr>
          <w:i/>
          <w:sz w:val="22"/>
          <w:szCs w:val="22"/>
          <w:lang w:val="en-GB"/>
        </w:rPr>
        <w:t>Figure 1</w:t>
      </w:r>
      <w:r w:rsidR="00075BC3" w:rsidRPr="004779F8">
        <w:rPr>
          <w:sz w:val="22"/>
          <w:szCs w:val="22"/>
          <w:lang w:val="en-GB"/>
        </w:rPr>
        <w:t>).</w:t>
      </w:r>
      <w:r w:rsidR="00E26B65" w:rsidRPr="004779F8">
        <w:rPr>
          <w:sz w:val="22"/>
          <w:szCs w:val="22"/>
          <w:lang w:val="en-GB"/>
        </w:rPr>
        <w:t xml:space="preserve"> </w:t>
      </w:r>
    </w:p>
    <w:p w14:paraId="2433666B" w14:textId="77777777" w:rsidR="00764115" w:rsidRPr="004779F8" w:rsidRDefault="00764115" w:rsidP="00160B05">
      <w:pPr>
        <w:spacing w:line="276" w:lineRule="auto"/>
        <w:jc w:val="both"/>
        <w:rPr>
          <w:sz w:val="22"/>
          <w:szCs w:val="22"/>
          <w:lang w:val="en-GB"/>
        </w:rPr>
      </w:pPr>
    </w:p>
    <w:p w14:paraId="75D48F14" w14:textId="3D70DC5F" w:rsidR="00764115" w:rsidRPr="004779F8" w:rsidRDefault="00E26B65" w:rsidP="00160B05">
      <w:pPr>
        <w:spacing w:line="276" w:lineRule="auto"/>
        <w:jc w:val="both"/>
        <w:rPr>
          <w:sz w:val="22"/>
          <w:szCs w:val="22"/>
          <w:lang w:val="en-GB"/>
        </w:rPr>
      </w:pPr>
      <w:r w:rsidRPr="004779F8">
        <w:rPr>
          <w:sz w:val="22"/>
          <w:szCs w:val="22"/>
          <w:lang w:val="en-GB"/>
        </w:rPr>
        <w:t>In</w:t>
      </w:r>
      <w:r w:rsidR="00DE7136" w:rsidRPr="004779F8">
        <w:rPr>
          <w:sz w:val="22"/>
          <w:szCs w:val="22"/>
          <w:lang w:val="en-GB"/>
        </w:rPr>
        <w:t xml:space="preserve"> comparison to the situation at MOP5 in 2012</w:t>
      </w:r>
      <w:r w:rsidR="00DA21BA" w:rsidRPr="004779F8">
        <w:rPr>
          <w:sz w:val="22"/>
          <w:szCs w:val="22"/>
          <w:lang w:val="en-GB"/>
        </w:rPr>
        <w:t xml:space="preserve"> and MOP6</w:t>
      </w:r>
      <w:r w:rsidRPr="004779F8">
        <w:rPr>
          <w:sz w:val="22"/>
          <w:szCs w:val="22"/>
          <w:lang w:val="en-GB"/>
        </w:rPr>
        <w:t xml:space="preserve"> </w:t>
      </w:r>
      <w:r w:rsidR="00DA21BA" w:rsidRPr="004779F8">
        <w:rPr>
          <w:sz w:val="22"/>
          <w:szCs w:val="22"/>
          <w:lang w:val="en-GB"/>
        </w:rPr>
        <w:t xml:space="preserve">in 2015 </w:t>
      </w:r>
      <w:r w:rsidRPr="004779F8">
        <w:rPr>
          <w:sz w:val="22"/>
          <w:szCs w:val="22"/>
          <w:lang w:val="en-GB"/>
        </w:rPr>
        <w:t xml:space="preserve">(see </w:t>
      </w:r>
      <w:r w:rsidRPr="004779F8">
        <w:rPr>
          <w:i/>
          <w:sz w:val="22"/>
          <w:szCs w:val="22"/>
          <w:lang w:val="en-GB"/>
        </w:rPr>
        <w:t>Figure</w:t>
      </w:r>
      <w:r w:rsidR="00DA21BA" w:rsidRPr="004779F8">
        <w:rPr>
          <w:i/>
          <w:sz w:val="22"/>
          <w:szCs w:val="22"/>
          <w:lang w:val="en-GB"/>
        </w:rPr>
        <w:t>s</w:t>
      </w:r>
      <w:r w:rsidRPr="004779F8">
        <w:rPr>
          <w:i/>
          <w:sz w:val="22"/>
          <w:szCs w:val="22"/>
          <w:lang w:val="en-GB"/>
        </w:rPr>
        <w:t xml:space="preserve"> 2</w:t>
      </w:r>
      <w:r w:rsidR="00DA21BA" w:rsidRPr="004779F8">
        <w:rPr>
          <w:i/>
          <w:sz w:val="22"/>
          <w:szCs w:val="22"/>
          <w:lang w:val="en-GB"/>
        </w:rPr>
        <w:t xml:space="preserve"> </w:t>
      </w:r>
      <w:r w:rsidR="00DA21BA" w:rsidRPr="004779F8">
        <w:rPr>
          <w:sz w:val="22"/>
          <w:szCs w:val="22"/>
          <w:lang w:val="en-GB"/>
        </w:rPr>
        <w:t>and</w:t>
      </w:r>
      <w:r w:rsidR="00DA21BA" w:rsidRPr="004779F8">
        <w:rPr>
          <w:i/>
          <w:sz w:val="22"/>
          <w:szCs w:val="22"/>
          <w:lang w:val="en-GB"/>
        </w:rPr>
        <w:t xml:space="preserve"> 3</w:t>
      </w:r>
      <w:r w:rsidRPr="004779F8">
        <w:rPr>
          <w:sz w:val="22"/>
          <w:szCs w:val="22"/>
          <w:lang w:val="en-GB"/>
        </w:rPr>
        <w:t>)</w:t>
      </w:r>
      <w:r w:rsidR="00DA21BA" w:rsidRPr="004779F8">
        <w:rPr>
          <w:sz w:val="22"/>
          <w:szCs w:val="22"/>
          <w:lang w:val="en-GB"/>
        </w:rPr>
        <w:t xml:space="preserve"> the proportion of not achieved indicators has increased.</w:t>
      </w:r>
      <w:r w:rsidR="00DE7136" w:rsidRPr="004779F8">
        <w:rPr>
          <w:sz w:val="22"/>
          <w:szCs w:val="22"/>
          <w:lang w:val="en-GB"/>
        </w:rPr>
        <w:t xml:space="preserve"> </w:t>
      </w:r>
      <w:r w:rsidR="00DA21BA" w:rsidRPr="004779F8">
        <w:rPr>
          <w:sz w:val="22"/>
          <w:szCs w:val="22"/>
          <w:lang w:val="en-GB"/>
        </w:rPr>
        <w:t xml:space="preserve">Altogether four indicators have not been </w:t>
      </w:r>
      <w:r w:rsidR="00C442A6" w:rsidRPr="004779F8">
        <w:rPr>
          <w:sz w:val="22"/>
          <w:szCs w:val="22"/>
          <w:lang w:val="en-GB"/>
        </w:rPr>
        <w:t>assessed but</w:t>
      </w:r>
      <w:r w:rsidR="00DA21BA" w:rsidRPr="004779F8">
        <w:rPr>
          <w:sz w:val="22"/>
          <w:szCs w:val="22"/>
          <w:lang w:val="en-GB"/>
        </w:rPr>
        <w:t xml:space="preserve"> compared to MOP5 in 2012 when three of them were assessed they were either </w:t>
      </w:r>
      <w:r w:rsidR="00DA21BA" w:rsidRPr="004779F8">
        <w:rPr>
          <w:i/>
          <w:sz w:val="22"/>
          <w:szCs w:val="22"/>
          <w:lang w:val="en-GB"/>
        </w:rPr>
        <w:t>not achieved</w:t>
      </w:r>
      <w:r w:rsidR="00DA21BA" w:rsidRPr="004779F8">
        <w:rPr>
          <w:sz w:val="22"/>
          <w:szCs w:val="22"/>
          <w:lang w:val="en-GB"/>
        </w:rPr>
        <w:t xml:space="preserve"> or with </w:t>
      </w:r>
      <w:r w:rsidR="00DA21BA" w:rsidRPr="004779F8">
        <w:rPr>
          <w:i/>
          <w:sz w:val="22"/>
          <w:szCs w:val="22"/>
          <w:lang w:val="en-GB"/>
        </w:rPr>
        <w:t xml:space="preserve">limited progress </w:t>
      </w:r>
      <w:r w:rsidR="00DA21BA" w:rsidRPr="004779F8">
        <w:rPr>
          <w:sz w:val="22"/>
          <w:szCs w:val="22"/>
          <w:lang w:val="en-GB"/>
        </w:rPr>
        <w:t>(</w:t>
      </w:r>
      <w:r w:rsidR="00E554C4" w:rsidRPr="004779F8">
        <w:rPr>
          <w:sz w:val="22"/>
          <w:szCs w:val="22"/>
          <w:lang w:val="en-GB"/>
        </w:rPr>
        <w:t xml:space="preserve">see </w:t>
      </w:r>
      <w:r w:rsidR="00DA21BA" w:rsidRPr="004779F8">
        <w:rPr>
          <w:i/>
          <w:sz w:val="22"/>
          <w:szCs w:val="22"/>
          <w:lang w:val="en-GB"/>
        </w:rPr>
        <w:t>Figure 9</w:t>
      </w:r>
      <w:r w:rsidR="00DA21BA" w:rsidRPr="004779F8">
        <w:rPr>
          <w:sz w:val="22"/>
          <w:szCs w:val="22"/>
          <w:lang w:val="en-GB"/>
        </w:rPr>
        <w:t xml:space="preserve">). Eventually </w:t>
      </w:r>
      <w:r w:rsidR="00E554C4" w:rsidRPr="004779F8">
        <w:rPr>
          <w:sz w:val="22"/>
          <w:szCs w:val="22"/>
          <w:lang w:val="en-GB"/>
        </w:rPr>
        <w:t xml:space="preserve">of </w:t>
      </w:r>
      <w:r w:rsidR="00DA21BA" w:rsidRPr="004779F8">
        <w:rPr>
          <w:sz w:val="22"/>
          <w:szCs w:val="22"/>
          <w:lang w:val="en-GB"/>
        </w:rPr>
        <w:t xml:space="preserve">two of the indicators which </w:t>
      </w:r>
      <w:r w:rsidR="007C736B" w:rsidRPr="004779F8">
        <w:rPr>
          <w:sz w:val="22"/>
          <w:szCs w:val="22"/>
          <w:lang w:val="en-GB"/>
        </w:rPr>
        <w:t xml:space="preserve">were </w:t>
      </w:r>
      <w:r w:rsidR="00DA21BA" w:rsidRPr="004779F8">
        <w:rPr>
          <w:sz w:val="22"/>
          <w:szCs w:val="22"/>
          <w:lang w:val="en-GB"/>
        </w:rPr>
        <w:t xml:space="preserve">previously assessed as </w:t>
      </w:r>
      <w:r w:rsidR="00B62AD2">
        <w:rPr>
          <w:sz w:val="22"/>
          <w:szCs w:val="22"/>
          <w:lang w:val="en-GB"/>
        </w:rPr>
        <w:t>showing</w:t>
      </w:r>
      <w:r w:rsidR="00DA21BA" w:rsidRPr="004779F8">
        <w:rPr>
          <w:sz w:val="22"/>
          <w:szCs w:val="22"/>
          <w:lang w:val="en-GB"/>
        </w:rPr>
        <w:t xml:space="preserve"> </w:t>
      </w:r>
      <w:r w:rsidR="00DA21BA" w:rsidRPr="004779F8">
        <w:rPr>
          <w:i/>
          <w:sz w:val="22"/>
          <w:szCs w:val="22"/>
          <w:lang w:val="en-GB"/>
        </w:rPr>
        <w:t>limited progress</w:t>
      </w:r>
      <w:r w:rsidR="00E554C4" w:rsidRPr="004779F8">
        <w:rPr>
          <w:sz w:val="22"/>
          <w:szCs w:val="22"/>
          <w:lang w:val="en-GB"/>
        </w:rPr>
        <w:t>, one has</w:t>
      </w:r>
      <w:r w:rsidR="00DA21BA" w:rsidRPr="004779F8">
        <w:rPr>
          <w:sz w:val="22"/>
          <w:szCs w:val="22"/>
          <w:lang w:val="en-GB"/>
        </w:rPr>
        <w:t xml:space="preserve"> now b</w:t>
      </w:r>
      <w:r w:rsidR="00E554C4" w:rsidRPr="004779F8">
        <w:rPr>
          <w:sz w:val="22"/>
          <w:szCs w:val="22"/>
          <w:lang w:val="en-GB"/>
        </w:rPr>
        <w:t xml:space="preserve">een </w:t>
      </w:r>
      <w:r w:rsidR="00E554C4" w:rsidRPr="004779F8">
        <w:rPr>
          <w:i/>
          <w:sz w:val="22"/>
          <w:szCs w:val="22"/>
          <w:lang w:val="en-GB"/>
        </w:rPr>
        <w:t xml:space="preserve">achieved </w:t>
      </w:r>
      <w:r w:rsidR="00E554C4" w:rsidRPr="004779F8">
        <w:rPr>
          <w:sz w:val="22"/>
          <w:szCs w:val="22"/>
          <w:lang w:val="en-GB"/>
        </w:rPr>
        <w:t xml:space="preserve">and the other one nearly achieved. </w:t>
      </w:r>
    </w:p>
    <w:p w14:paraId="7E02A3E6" w14:textId="77777777" w:rsidR="007C736B" w:rsidRPr="004779F8" w:rsidRDefault="007C736B" w:rsidP="00160B05">
      <w:pPr>
        <w:spacing w:line="276" w:lineRule="auto"/>
        <w:jc w:val="both"/>
        <w:rPr>
          <w:sz w:val="22"/>
          <w:szCs w:val="22"/>
          <w:lang w:val="en-GB"/>
        </w:rPr>
      </w:pPr>
    </w:p>
    <w:p w14:paraId="5D55E990" w14:textId="437922CD" w:rsidR="00280489" w:rsidRDefault="00E554C4" w:rsidP="00160B05">
      <w:pPr>
        <w:spacing w:line="276" w:lineRule="auto"/>
        <w:jc w:val="both"/>
        <w:rPr>
          <w:sz w:val="22"/>
          <w:szCs w:val="22"/>
          <w:lang w:val="en-GB"/>
        </w:rPr>
      </w:pPr>
      <w:r w:rsidRPr="004779F8">
        <w:rPr>
          <w:b/>
          <w:sz w:val="22"/>
          <w:szCs w:val="22"/>
          <w:lang w:val="en-GB"/>
        </w:rPr>
        <w:t>Despite achieving or performing high</w:t>
      </w:r>
      <w:r w:rsidR="007C736B" w:rsidRPr="004779F8">
        <w:rPr>
          <w:b/>
          <w:sz w:val="22"/>
          <w:szCs w:val="22"/>
          <w:lang w:val="en-GB"/>
        </w:rPr>
        <w:t>ly</w:t>
      </w:r>
      <w:r w:rsidRPr="004779F8">
        <w:rPr>
          <w:b/>
          <w:sz w:val="22"/>
          <w:szCs w:val="22"/>
          <w:lang w:val="en-GB"/>
        </w:rPr>
        <w:t xml:space="preserve"> on two of the indicators in this final assessment, overall the </w:t>
      </w:r>
      <w:r w:rsidR="00B40A0D" w:rsidRPr="004779F8">
        <w:rPr>
          <w:b/>
          <w:sz w:val="22"/>
          <w:szCs w:val="22"/>
          <w:lang w:val="en-GB"/>
        </w:rPr>
        <w:t xml:space="preserve">progress of </w:t>
      </w:r>
      <w:r w:rsidRPr="004779F8">
        <w:rPr>
          <w:b/>
          <w:sz w:val="22"/>
          <w:szCs w:val="22"/>
          <w:lang w:val="en-GB"/>
        </w:rPr>
        <w:t>achieving the goal has been declining throughout the lifespan of the Strategic Plan</w:t>
      </w:r>
      <w:r w:rsidR="00B40A0D" w:rsidRPr="004779F8">
        <w:rPr>
          <w:b/>
          <w:sz w:val="22"/>
          <w:szCs w:val="22"/>
          <w:lang w:val="en-GB"/>
        </w:rPr>
        <w:t xml:space="preserve"> and </w:t>
      </w:r>
      <w:proofErr w:type="gramStart"/>
      <w:r w:rsidR="00B40A0D" w:rsidRPr="004779F8">
        <w:rPr>
          <w:b/>
          <w:sz w:val="22"/>
          <w:szCs w:val="22"/>
          <w:lang w:val="en-GB"/>
        </w:rPr>
        <w:t xml:space="preserve">the </w:t>
      </w:r>
      <w:r w:rsidR="00F67D9C" w:rsidRPr="004779F8">
        <w:rPr>
          <w:b/>
          <w:sz w:val="22"/>
          <w:szCs w:val="22"/>
          <w:lang w:val="en-GB"/>
        </w:rPr>
        <w:t>final conclusion</w:t>
      </w:r>
      <w:proofErr w:type="gramEnd"/>
      <w:r w:rsidR="00F67D9C" w:rsidRPr="004779F8">
        <w:rPr>
          <w:b/>
          <w:sz w:val="22"/>
          <w:szCs w:val="22"/>
          <w:lang w:val="en-GB"/>
        </w:rPr>
        <w:t xml:space="preserve"> </w:t>
      </w:r>
      <w:r w:rsidR="00B40A0D" w:rsidRPr="004779F8">
        <w:rPr>
          <w:b/>
          <w:sz w:val="22"/>
          <w:szCs w:val="22"/>
          <w:lang w:val="en-GB"/>
        </w:rPr>
        <w:t xml:space="preserve">is that </w:t>
      </w:r>
      <w:r w:rsidR="005D4DDA" w:rsidRPr="004779F8">
        <w:rPr>
          <w:b/>
          <w:sz w:val="22"/>
          <w:szCs w:val="22"/>
          <w:lang w:val="en-GB"/>
        </w:rPr>
        <w:t xml:space="preserve">the goal has been highly </w:t>
      </w:r>
      <w:r w:rsidR="00B40A0D" w:rsidRPr="004779F8">
        <w:rPr>
          <w:b/>
          <w:sz w:val="22"/>
          <w:szCs w:val="22"/>
          <w:lang w:val="en-GB"/>
        </w:rPr>
        <w:t>insufficient</w:t>
      </w:r>
      <w:r w:rsidR="005D4DDA" w:rsidRPr="004779F8">
        <w:rPr>
          <w:b/>
          <w:sz w:val="22"/>
          <w:szCs w:val="22"/>
          <w:lang w:val="en-GB"/>
        </w:rPr>
        <w:t>ly achieved</w:t>
      </w:r>
      <w:r w:rsidR="00075BC3" w:rsidRPr="004779F8">
        <w:rPr>
          <w:b/>
          <w:sz w:val="22"/>
          <w:szCs w:val="22"/>
          <w:lang w:val="en-GB"/>
        </w:rPr>
        <w:t>.</w:t>
      </w:r>
      <w:r w:rsidR="00075BC3" w:rsidRPr="004779F8">
        <w:rPr>
          <w:sz w:val="22"/>
          <w:szCs w:val="22"/>
          <w:lang w:val="en-GB"/>
        </w:rPr>
        <w:t xml:space="preserve"> </w:t>
      </w:r>
    </w:p>
    <w:p w14:paraId="1938EEF0" w14:textId="77777777" w:rsidR="00885090" w:rsidRDefault="00885090" w:rsidP="00160B05">
      <w:pPr>
        <w:spacing w:line="276" w:lineRule="auto"/>
        <w:jc w:val="both"/>
        <w:rPr>
          <w:sz w:val="22"/>
          <w:szCs w:val="22"/>
          <w:lang w:val="en-GB"/>
        </w:rPr>
      </w:pPr>
    </w:p>
    <w:p w14:paraId="6F4A3DC1" w14:textId="469E16AD" w:rsidR="00885090" w:rsidRPr="000F0222" w:rsidRDefault="00885090" w:rsidP="00885090">
      <w:pPr>
        <w:spacing w:line="276" w:lineRule="auto"/>
        <w:jc w:val="both"/>
        <w:rPr>
          <w:sz w:val="22"/>
          <w:szCs w:val="22"/>
          <w:lang w:val="en-GB"/>
        </w:rPr>
      </w:pPr>
      <w:r w:rsidRPr="000F0222">
        <w:rPr>
          <w:sz w:val="22"/>
          <w:szCs w:val="22"/>
          <w:lang w:val="en-GB"/>
        </w:rPr>
        <w:t xml:space="preserve">The progress towards achieving the Agreement-wide level indicators (G1-G8) has declined compared to the previous assessments in 2012 and 2015 (see </w:t>
      </w:r>
      <w:r w:rsidRPr="000F0222">
        <w:rPr>
          <w:i/>
          <w:sz w:val="22"/>
          <w:szCs w:val="22"/>
          <w:lang w:val="en-GB"/>
        </w:rPr>
        <w:t>Figures 4-6)</w:t>
      </w:r>
      <w:r w:rsidRPr="000F0222">
        <w:rPr>
          <w:sz w:val="22"/>
          <w:szCs w:val="22"/>
          <w:lang w:val="en-GB"/>
        </w:rPr>
        <w:t xml:space="preserve">. The proportion of </w:t>
      </w:r>
      <w:r w:rsidRPr="000F0222">
        <w:rPr>
          <w:i/>
          <w:sz w:val="22"/>
          <w:szCs w:val="22"/>
          <w:lang w:val="en-GB"/>
        </w:rPr>
        <w:t>not achieved</w:t>
      </w:r>
      <w:r w:rsidRPr="000F0222">
        <w:rPr>
          <w:sz w:val="22"/>
          <w:szCs w:val="22"/>
          <w:lang w:val="en-GB"/>
        </w:rPr>
        <w:t xml:space="preserve"> indicators has increased from 37% in 2012 through 62% in 2015 to 75% in the final assessment in 2018. As in 2012, one indicator is considered </w:t>
      </w:r>
      <w:r w:rsidRPr="000F0222">
        <w:rPr>
          <w:i/>
          <w:sz w:val="22"/>
          <w:szCs w:val="22"/>
          <w:lang w:val="en-GB"/>
        </w:rPr>
        <w:t>achieved</w:t>
      </w:r>
      <w:r w:rsidRPr="000F0222">
        <w:rPr>
          <w:sz w:val="22"/>
          <w:szCs w:val="22"/>
          <w:lang w:val="en-GB"/>
        </w:rPr>
        <w:t xml:space="preserve">, although these are different indicators, and one indicator scored </w:t>
      </w:r>
      <w:r w:rsidRPr="000F0222">
        <w:rPr>
          <w:i/>
          <w:sz w:val="22"/>
          <w:szCs w:val="22"/>
          <w:lang w:val="en-GB"/>
        </w:rPr>
        <w:t>significant progress</w:t>
      </w:r>
      <w:r w:rsidRPr="000F0222">
        <w:rPr>
          <w:sz w:val="22"/>
          <w:szCs w:val="22"/>
          <w:lang w:val="en-GB"/>
        </w:rPr>
        <w:t xml:space="preserve"> for the first time. No indicators have been placed in other categories of progress. The national level indicators (G9-G12) have not been assessed as national reports to MOP7 and MOP6 did not involve reporting on species status (see</w:t>
      </w:r>
      <w:r w:rsidRPr="000F0222">
        <w:rPr>
          <w:i/>
          <w:sz w:val="22"/>
          <w:szCs w:val="22"/>
          <w:lang w:val="en-GB"/>
        </w:rPr>
        <w:t xml:space="preserve"> Figure 7 </w:t>
      </w:r>
      <w:r w:rsidRPr="000F0222">
        <w:rPr>
          <w:sz w:val="22"/>
          <w:szCs w:val="22"/>
          <w:lang w:val="en-GB"/>
        </w:rPr>
        <w:t>and</w:t>
      </w:r>
      <w:r w:rsidRPr="000F0222">
        <w:rPr>
          <w:i/>
          <w:sz w:val="22"/>
          <w:szCs w:val="22"/>
          <w:lang w:val="en-GB"/>
        </w:rPr>
        <w:t xml:space="preserve"> 6</w:t>
      </w:r>
      <w:r w:rsidRPr="000F0222">
        <w:rPr>
          <w:sz w:val="22"/>
          <w:szCs w:val="22"/>
          <w:lang w:val="en-GB"/>
        </w:rPr>
        <w:t xml:space="preserve">). </w:t>
      </w:r>
      <w:r>
        <w:rPr>
          <w:sz w:val="22"/>
          <w:szCs w:val="22"/>
          <w:lang w:val="en-GB"/>
        </w:rPr>
        <w:t>However,</w:t>
      </w:r>
      <w:r w:rsidRPr="000F0222">
        <w:rPr>
          <w:sz w:val="22"/>
          <w:szCs w:val="22"/>
          <w:lang w:val="en-GB"/>
        </w:rPr>
        <w:t xml:space="preserve"> at MOP5, two of the national level indicators were assessed as </w:t>
      </w:r>
      <w:r w:rsidRPr="000F0222">
        <w:rPr>
          <w:i/>
          <w:sz w:val="22"/>
          <w:szCs w:val="22"/>
          <w:lang w:val="en-GB"/>
        </w:rPr>
        <w:t>not achieved</w:t>
      </w:r>
      <w:r w:rsidRPr="000F0222">
        <w:rPr>
          <w:sz w:val="22"/>
          <w:szCs w:val="22"/>
          <w:lang w:val="en-GB"/>
        </w:rPr>
        <w:t xml:space="preserve"> and one with </w:t>
      </w:r>
      <w:r w:rsidRPr="000F0222">
        <w:rPr>
          <w:i/>
          <w:sz w:val="22"/>
          <w:szCs w:val="22"/>
          <w:lang w:val="en-GB"/>
        </w:rPr>
        <w:t>limited progress</w:t>
      </w:r>
      <w:r w:rsidRPr="000F0222">
        <w:rPr>
          <w:sz w:val="22"/>
          <w:szCs w:val="22"/>
          <w:lang w:val="en-GB"/>
        </w:rPr>
        <w:t>.</w:t>
      </w:r>
    </w:p>
    <w:p w14:paraId="16FB14E2" w14:textId="016EE586" w:rsidR="00AB0A7A" w:rsidRPr="004779F8" w:rsidRDefault="00AB0A7A" w:rsidP="00160B05">
      <w:pPr>
        <w:spacing w:line="276" w:lineRule="auto"/>
        <w:jc w:val="both"/>
        <w:rPr>
          <w:sz w:val="22"/>
          <w:szCs w:val="22"/>
          <w:lang w:val="en-GB"/>
        </w:rPr>
      </w:pPr>
    </w:p>
    <w:p w14:paraId="428D3DAA" w14:textId="1668005A" w:rsidR="00B4335A" w:rsidRPr="004779F8" w:rsidRDefault="00166EC6" w:rsidP="00B4335A">
      <w:pPr>
        <w:jc w:val="center"/>
        <w:rPr>
          <w:sz w:val="22"/>
          <w:szCs w:val="22"/>
          <w:lang w:val="en-GB"/>
        </w:rPr>
      </w:pPr>
      <w:r w:rsidRPr="000F0222">
        <w:rPr>
          <w:noProof/>
          <w:lang w:val="en-GB"/>
        </w:rPr>
        <w:drawing>
          <wp:anchor distT="0" distB="0" distL="114300" distR="114300" simplePos="0" relativeHeight="251658240" behindDoc="1" locked="0" layoutInCell="1" allowOverlap="1" wp14:anchorId="05219AF5" wp14:editId="1FF800BE">
            <wp:simplePos x="0" y="0"/>
            <wp:positionH relativeFrom="column">
              <wp:posOffset>765810</wp:posOffset>
            </wp:positionH>
            <wp:positionV relativeFrom="paragraph">
              <wp:posOffset>104775</wp:posOffset>
            </wp:positionV>
            <wp:extent cx="4495800" cy="2428875"/>
            <wp:effectExtent l="0" t="0" r="0" b="9525"/>
            <wp:wrapTight wrapText="bothSides">
              <wp:wrapPolygon edited="0">
                <wp:start x="92" y="0"/>
                <wp:lineTo x="0" y="508"/>
                <wp:lineTo x="0" y="21007"/>
                <wp:lineTo x="92" y="21515"/>
                <wp:lineTo x="21417" y="21515"/>
                <wp:lineTo x="21508" y="21176"/>
                <wp:lineTo x="21508" y="508"/>
                <wp:lineTo x="21417" y="0"/>
                <wp:lineTo x="92" y="0"/>
              </wp:wrapPolygon>
            </wp:wrapTight>
            <wp:docPr id="68" name="Chart 6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3EE14A6" w14:textId="6745B90B" w:rsidR="00280489" w:rsidRPr="00964C3E" w:rsidRDefault="00280489" w:rsidP="00161792">
      <w:pPr>
        <w:jc w:val="both"/>
        <w:rPr>
          <w:b/>
          <w:sz w:val="22"/>
          <w:szCs w:val="22"/>
          <w:lang w:val="en-GB"/>
        </w:rPr>
      </w:pPr>
    </w:p>
    <w:p w14:paraId="78D8C04C" w14:textId="77777777" w:rsidR="00DC030C" w:rsidRPr="003915B9" w:rsidRDefault="00DC030C" w:rsidP="00161792">
      <w:pPr>
        <w:jc w:val="both"/>
        <w:rPr>
          <w:b/>
          <w:sz w:val="22"/>
          <w:szCs w:val="22"/>
          <w:lang w:val="en-GB"/>
        </w:rPr>
      </w:pPr>
    </w:p>
    <w:p w14:paraId="44E37B67" w14:textId="77777777" w:rsidR="00AB0A7A" w:rsidRDefault="00AB0A7A" w:rsidP="00B4335A">
      <w:pPr>
        <w:rPr>
          <w:i/>
          <w:sz w:val="22"/>
          <w:szCs w:val="22"/>
          <w:lang w:val="en-GB"/>
        </w:rPr>
      </w:pPr>
    </w:p>
    <w:p w14:paraId="72EEA10B" w14:textId="77777777" w:rsidR="00AB0A7A" w:rsidRDefault="00AB0A7A" w:rsidP="00B4335A">
      <w:pPr>
        <w:rPr>
          <w:i/>
          <w:sz w:val="22"/>
          <w:szCs w:val="22"/>
          <w:lang w:val="en-GB"/>
        </w:rPr>
      </w:pPr>
    </w:p>
    <w:p w14:paraId="25D9A68D" w14:textId="77777777" w:rsidR="00AB0A7A" w:rsidRDefault="00AB0A7A" w:rsidP="00B4335A">
      <w:pPr>
        <w:rPr>
          <w:i/>
          <w:sz w:val="22"/>
          <w:szCs w:val="22"/>
          <w:lang w:val="en-GB"/>
        </w:rPr>
      </w:pPr>
    </w:p>
    <w:p w14:paraId="40B67808" w14:textId="77777777" w:rsidR="00AB0A7A" w:rsidRDefault="00AB0A7A" w:rsidP="00B4335A">
      <w:pPr>
        <w:rPr>
          <w:i/>
          <w:sz w:val="22"/>
          <w:szCs w:val="22"/>
          <w:lang w:val="en-GB"/>
        </w:rPr>
      </w:pPr>
    </w:p>
    <w:p w14:paraId="12276DBA" w14:textId="77777777" w:rsidR="00AB0A7A" w:rsidRDefault="00AB0A7A" w:rsidP="00B4335A">
      <w:pPr>
        <w:rPr>
          <w:i/>
          <w:sz w:val="22"/>
          <w:szCs w:val="22"/>
          <w:lang w:val="en-GB"/>
        </w:rPr>
      </w:pPr>
    </w:p>
    <w:p w14:paraId="2F1CADBF" w14:textId="77777777" w:rsidR="00AB0A7A" w:rsidRDefault="00AB0A7A" w:rsidP="00B4335A">
      <w:pPr>
        <w:rPr>
          <w:i/>
          <w:sz w:val="22"/>
          <w:szCs w:val="22"/>
          <w:lang w:val="en-GB"/>
        </w:rPr>
      </w:pPr>
    </w:p>
    <w:p w14:paraId="5C1A3B19" w14:textId="77777777" w:rsidR="00AB0A7A" w:rsidRDefault="00AB0A7A" w:rsidP="00B4335A">
      <w:pPr>
        <w:rPr>
          <w:i/>
          <w:sz w:val="22"/>
          <w:szCs w:val="22"/>
          <w:lang w:val="en-GB"/>
        </w:rPr>
      </w:pPr>
    </w:p>
    <w:p w14:paraId="19704019" w14:textId="77777777" w:rsidR="00AB0A7A" w:rsidRDefault="00AB0A7A" w:rsidP="00B4335A">
      <w:pPr>
        <w:rPr>
          <w:i/>
          <w:sz w:val="22"/>
          <w:szCs w:val="22"/>
          <w:lang w:val="en-GB"/>
        </w:rPr>
      </w:pPr>
    </w:p>
    <w:p w14:paraId="7D8BBA07" w14:textId="77777777" w:rsidR="00AB0A7A" w:rsidRDefault="00AB0A7A" w:rsidP="00B4335A">
      <w:pPr>
        <w:rPr>
          <w:i/>
          <w:sz w:val="22"/>
          <w:szCs w:val="22"/>
          <w:lang w:val="en-GB"/>
        </w:rPr>
      </w:pPr>
    </w:p>
    <w:p w14:paraId="02F3D205" w14:textId="77777777" w:rsidR="00AB0A7A" w:rsidRDefault="00AB0A7A" w:rsidP="00B4335A">
      <w:pPr>
        <w:rPr>
          <w:i/>
          <w:sz w:val="22"/>
          <w:szCs w:val="22"/>
          <w:lang w:val="en-GB"/>
        </w:rPr>
      </w:pPr>
    </w:p>
    <w:p w14:paraId="6D535144" w14:textId="77777777" w:rsidR="00AB0A7A" w:rsidRDefault="00AB0A7A" w:rsidP="00B4335A">
      <w:pPr>
        <w:rPr>
          <w:i/>
          <w:sz w:val="22"/>
          <w:szCs w:val="22"/>
          <w:lang w:val="en-GB"/>
        </w:rPr>
      </w:pPr>
    </w:p>
    <w:p w14:paraId="29E5969F" w14:textId="77777777" w:rsidR="00AB0A7A" w:rsidRDefault="00AB0A7A" w:rsidP="00B4335A">
      <w:pPr>
        <w:rPr>
          <w:i/>
          <w:sz w:val="22"/>
          <w:szCs w:val="22"/>
          <w:lang w:val="en-GB"/>
        </w:rPr>
      </w:pPr>
    </w:p>
    <w:p w14:paraId="361D3C07" w14:textId="77777777" w:rsidR="00AB0A7A" w:rsidRDefault="00AB0A7A" w:rsidP="00B4335A">
      <w:pPr>
        <w:rPr>
          <w:i/>
          <w:sz w:val="22"/>
          <w:szCs w:val="22"/>
          <w:lang w:val="en-GB"/>
        </w:rPr>
      </w:pPr>
    </w:p>
    <w:p w14:paraId="5247B0E8" w14:textId="77777777" w:rsidR="00AB0A7A" w:rsidRDefault="00AB0A7A" w:rsidP="00B4335A">
      <w:pPr>
        <w:rPr>
          <w:i/>
          <w:sz w:val="22"/>
          <w:szCs w:val="22"/>
          <w:lang w:val="en-GB"/>
        </w:rPr>
      </w:pPr>
    </w:p>
    <w:p w14:paraId="1FDF328C" w14:textId="235A97A3" w:rsidR="00B4335A" w:rsidRPr="000F0222" w:rsidRDefault="00B4335A" w:rsidP="00B4335A">
      <w:pPr>
        <w:rPr>
          <w:i/>
          <w:sz w:val="22"/>
          <w:szCs w:val="22"/>
          <w:lang w:val="en-GB"/>
        </w:rPr>
      </w:pPr>
      <w:r w:rsidRPr="000F0222">
        <w:rPr>
          <w:i/>
          <w:sz w:val="22"/>
          <w:szCs w:val="22"/>
          <w:lang w:val="en-GB"/>
        </w:rPr>
        <w:t>Figure 1. Proportion of Strategic Plan goal indicators per category of progress at MOP7 (2018).</w:t>
      </w:r>
    </w:p>
    <w:p w14:paraId="62D4FC48" w14:textId="77777777" w:rsidR="00B4335A" w:rsidRPr="00964C3E" w:rsidRDefault="00B4335A" w:rsidP="00161792">
      <w:pPr>
        <w:jc w:val="both"/>
        <w:rPr>
          <w:b/>
          <w:sz w:val="22"/>
          <w:szCs w:val="22"/>
          <w:lang w:val="en-GB"/>
        </w:rPr>
      </w:pPr>
    </w:p>
    <w:p w14:paraId="1F9B0E41" w14:textId="77777777" w:rsidR="007507A5" w:rsidRPr="000F0222" w:rsidRDefault="00A0199C" w:rsidP="00144BCF">
      <w:pPr>
        <w:jc w:val="center"/>
        <w:rPr>
          <w:sz w:val="22"/>
          <w:szCs w:val="22"/>
          <w:lang w:val="en-GB"/>
        </w:rPr>
      </w:pPr>
      <w:r w:rsidRPr="000F0222">
        <w:rPr>
          <w:noProof/>
          <w:lang w:val="en-GB"/>
        </w:rPr>
        <w:drawing>
          <wp:inline distT="0" distB="0" distL="0" distR="0" wp14:anchorId="5224CE7C" wp14:editId="7BC2A3A1">
            <wp:extent cx="4495800" cy="2428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7EA750" w14:textId="77777777" w:rsidR="007507A5" w:rsidRPr="000F0222" w:rsidRDefault="007507A5" w:rsidP="00144BCF">
      <w:pPr>
        <w:jc w:val="center"/>
        <w:rPr>
          <w:sz w:val="22"/>
          <w:szCs w:val="22"/>
          <w:lang w:val="en-GB"/>
        </w:rPr>
      </w:pPr>
    </w:p>
    <w:p w14:paraId="07E5576C" w14:textId="0F2F5175" w:rsidR="007507A5" w:rsidRPr="000F0222" w:rsidRDefault="007507A5" w:rsidP="007507A5">
      <w:pPr>
        <w:rPr>
          <w:i/>
          <w:sz w:val="22"/>
          <w:szCs w:val="22"/>
          <w:lang w:val="en-GB"/>
        </w:rPr>
      </w:pPr>
      <w:r w:rsidRPr="000F0222">
        <w:rPr>
          <w:i/>
          <w:sz w:val="22"/>
          <w:szCs w:val="22"/>
          <w:lang w:val="en-GB"/>
        </w:rPr>
        <w:t xml:space="preserve">Figure </w:t>
      </w:r>
      <w:r w:rsidR="00B4335A" w:rsidRPr="000F0222">
        <w:rPr>
          <w:i/>
          <w:sz w:val="22"/>
          <w:szCs w:val="22"/>
          <w:lang w:val="en-GB"/>
        </w:rPr>
        <w:t>2</w:t>
      </w:r>
      <w:r w:rsidRPr="000F0222">
        <w:rPr>
          <w:i/>
          <w:sz w:val="22"/>
          <w:szCs w:val="22"/>
          <w:lang w:val="en-GB"/>
        </w:rPr>
        <w:t>. Proportion of Strategic Plan goal indicators per category of progress</w:t>
      </w:r>
      <w:r w:rsidR="00B4335A" w:rsidRPr="000F0222">
        <w:rPr>
          <w:i/>
          <w:sz w:val="22"/>
          <w:szCs w:val="22"/>
          <w:lang w:val="en-GB"/>
        </w:rPr>
        <w:t xml:space="preserve"> at MOP6 (2015)</w:t>
      </w:r>
      <w:r w:rsidRPr="000F0222">
        <w:rPr>
          <w:i/>
          <w:sz w:val="22"/>
          <w:szCs w:val="22"/>
          <w:lang w:val="en-GB"/>
        </w:rPr>
        <w:t>.</w:t>
      </w:r>
    </w:p>
    <w:p w14:paraId="045775EC" w14:textId="77777777" w:rsidR="007507A5" w:rsidRPr="000F0222" w:rsidRDefault="007507A5" w:rsidP="00144BCF">
      <w:pPr>
        <w:jc w:val="center"/>
        <w:rPr>
          <w:sz w:val="22"/>
          <w:szCs w:val="22"/>
          <w:lang w:val="en-GB"/>
        </w:rPr>
      </w:pPr>
    </w:p>
    <w:p w14:paraId="141A4B12" w14:textId="77777777" w:rsidR="00144BCF" w:rsidRPr="000F0222" w:rsidRDefault="00144BCF" w:rsidP="00144BCF">
      <w:pPr>
        <w:jc w:val="center"/>
        <w:rPr>
          <w:sz w:val="22"/>
          <w:szCs w:val="22"/>
          <w:lang w:val="en-GB"/>
        </w:rPr>
      </w:pPr>
      <w:r w:rsidRPr="000F0222">
        <w:rPr>
          <w:noProof/>
          <w:sz w:val="22"/>
          <w:szCs w:val="22"/>
          <w:lang w:val="en-GB"/>
        </w:rPr>
        <w:drawing>
          <wp:anchor distT="0" distB="0" distL="114300" distR="114300" simplePos="0" relativeHeight="251659264" behindDoc="1" locked="0" layoutInCell="1" allowOverlap="1" wp14:anchorId="7FC3A949" wp14:editId="17F7BAA5">
            <wp:simplePos x="0" y="0"/>
            <wp:positionH relativeFrom="column">
              <wp:posOffset>765810</wp:posOffset>
            </wp:positionH>
            <wp:positionV relativeFrom="paragraph">
              <wp:posOffset>9525</wp:posOffset>
            </wp:positionV>
            <wp:extent cx="4524375" cy="2419350"/>
            <wp:effectExtent l="0" t="0" r="9525" b="0"/>
            <wp:wrapTight wrapText="bothSides">
              <wp:wrapPolygon edited="0">
                <wp:start x="91" y="0"/>
                <wp:lineTo x="0" y="510"/>
                <wp:lineTo x="0" y="21090"/>
                <wp:lineTo x="91" y="21430"/>
                <wp:lineTo x="21464" y="21430"/>
                <wp:lineTo x="21555" y="21090"/>
                <wp:lineTo x="21555" y="340"/>
                <wp:lineTo x="21373" y="0"/>
                <wp:lineTo x="91"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FBEABE8" w14:textId="77777777" w:rsidR="005B4298" w:rsidRPr="000F0222" w:rsidRDefault="005B4298" w:rsidP="00144BCF">
      <w:pPr>
        <w:jc w:val="center"/>
        <w:rPr>
          <w:sz w:val="22"/>
          <w:szCs w:val="22"/>
          <w:lang w:val="en-GB"/>
        </w:rPr>
      </w:pPr>
    </w:p>
    <w:p w14:paraId="006303F6" w14:textId="77777777" w:rsidR="00AB0A7A" w:rsidRDefault="00AB0A7A" w:rsidP="005B4298">
      <w:pPr>
        <w:rPr>
          <w:i/>
          <w:sz w:val="22"/>
          <w:szCs w:val="22"/>
          <w:lang w:val="en-GB"/>
        </w:rPr>
      </w:pPr>
    </w:p>
    <w:p w14:paraId="521ED8D3" w14:textId="77777777" w:rsidR="00AB0A7A" w:rsidRDefault="00AB0A7A" w:rsidP="005B4298">
      <w:pPr>
        <w:rPr>
          <w:i/>
          <w:sz w:val="22"/>
          <w:szCs w:val="22"/>
          <w:lang w:val="en-GB"/>
        </w:rPr>
      </w:pPr>
    </w:p>
    <w:p w14:paraId="7D3F7280" w14:textId="77777777" w:rsidR="00AB0A7A" w:rsidRDefault="00AB0A7A" w:rsidP="005B4298">
      <w:pPr>
        <w:rPr>
          <w:i/>
          <w:sz w:val="22"/>
          <w:szCs w:val="22"/>
          <w:lang w:val="en-GB"/>
        </w:rPr>
      </w:pPr>
    </w:p>
    <w:p w14:paraId="782B689F" w14:textId="77777777" w:rsidR="00AB0A7A" w:rsidRDefault="00AB0A7A" w:rsidP="005B4298">
      <w:pPr>
        <w:rPr>
          <w:i/>
          <w:sz w:val="22"/>
          <w:szCs w:val="22"/>
          <w:lang w:val="en-GB"/>
        </w:rPr>
      </w:pPr>
    </w:p>
    <w:p w14:paraId="6A7F5E8B" w14:textId="77777777" w:rsidR="00AB0A7A" w:rsidRDefault="00AB0A7A" w:rsidP="005B4298">
      <w:pPr>
        <w:rPr>
          <w:i/>
          <w:sz w:val="22"/>
          <w:szCs w:val="22"/>
          <w:lang w:val="en-GB"/>
        </w:rPr>
      </w:pPr>
    </w:p>
    <w:p w14:paraId="43FD1A73" w14:textId="77777777" w:rsidR="00AB0A7A" w:rsidRDefault="00AB0A7A" w:rsidP="005B4298">
      <w:pPr>
        <w:rPr>
          <w:i/>
          <w:sz w:val="22"/>
          <w:szCs w:val="22"/>
          <w:lang w:val="en-GB"/>
        </w:rPr>
      </w:pPr>
    </w:p>
    <w:p w14:paraId="10B3E338" w14:textId="77777777" w:rsidR="00AB0A7A" w:rsidRDefault="00AB0A7A" w:rsidP="005B4298">
      <w:pPr>
        <w:rPr>
          <w:i/>
          <w:sz w:val="22"/>
          <w:szCs w:val="22"/>
          <w:lang w:val="en-GB"/>
        </w:rPr>
      </w:pPr>
    </w:p>
    <w:p w14:paraId="5DC5EC6E" w14:textId="77777777" w:rsidR="00AB0A7A" w:rsidRDefault="00AB0A7A" w:rsidP="005B4298">
      <w:pPr>
        <w:rPr>
          <w:i/>
          <w:sz w:val="22"/>
          <w:szCs w:val="22"/>
          <w:lang w:val="en-GB"/>
        </w:rPr>
      </w:pPr>
    </w:p>
    <w:p w14:paraId="277D6452" w14:textId="77777777" w:rsidR="00AB0A7A" w:rsidRDefault="00AB0A7A" w:rsidP="005B4298">
      <w:pPr>
        <w:rPr>
          <w:i/>
          <w:sz w:val="22"/>
          <w:szCs w:val="22"/>
          <w:lang w:val="en-GB"/>
        </w:rPr>
      </w:pPr>
    </w:p>
    <w:p w14:paraId="5D6FDC4A" w14:textId="77777777" w:rsidR="00AB0A7A" w:rsidRDefault="00AB0A7A" w:rsidP="005B4298">
      <w:pPr>
        <w:rPr>
          <w:i/>
          <w:sz w:val="22"/>
          <w:szCs w:val="22"/>
          <w:lang w:val="en-GB"/>
        </w:rPr>
      </w:pPr>
    </w:p>
    <w:p w14:paraId="19EDB206" w14:textId="77777777" w:rsidR="00AB0A7A" w:rsidRDefault="00AB0A7A" w:rsidP="005B4298">
      <w:pPr>
        <w:rPr>
          <w:i/>
          <w:sz w:val="22"/>
          <w:szCs w:val="22"/>
          <w:lang w:val="en-GB"/>
        </w:rPr>
      </w:pPr>
    </w:p>
    <w:p w14:paraId="1BFC5D01" w14:textId="77777777" w:rsidR="00AB0A7A" w:rsidRDefault="00AB0A7A" w:rsidP="005B4298">
      <w:pPr>
        <w:rPr>
          <w:i/>
          <w:sz w:val="22"/>
          <w:szCs w:val="22"/>
          <w:lang w:val="en-GB"/>
        </w:rPr>
      </w:pPr>
    </w:p>
    <w:p w14:paraId="0690A49D" w14:textId="77777777" w:rsidR="00AB0A7A" w:rsidRDefault="00AB0A7A" w:rsidP="005B4298">
      <w:pPr>
        <w:rPr>
          <w:i/>
          <w:sz w:val="22"/>
          <w:szCs w:val="22"/>
          <w:lang w:val="en-GB"/>
        </w:rPr>
      </w:pPr>
    </w:p>
    <w:p w14:paraId="251CE2AB" w14:textId="77777777" w:rsidR="00AB0A7A" w:rsidRDefault="00AB0A7A" w:rsidP="005B4298">
      <w:pPr>
        <w:rPr>
          <w:i/>
          <w:sz w:val="22"/>
          <w:szCs w:val="22"/>
          <w:lang w:val="en-GB"/>
        </w:rPr>
      </w:pPr>
    </w:p>
    <w:p w14:paraId="60D5D03A" w14:textId="3AFBEE5B" w:rsidR="005B4298" w:rsidRPr="000F0222" w:rsidRDefault="007507A5" w:rsidP="005B4298">
      <w:pPr>
        <w:rPr>
          <w:i/>
          <w:sz w:val="22"/>
          <w:szCs w:val="22"/>
          <w:lang w:val="en-GB"/>
        </w:rPr>
      </w:pPr>
      <w:r w:rsidRPr="000F0222">
        <w:rPr>
          <w:i/>
          <w:sz w:val="22"/>
          <w:szCs w:val="22"/>
          <w:lang w:val="en-GB"/>
        </w:rPr>
        <w:t xml:space="preserve">Figure </w:t>
      </w:r>
      <w:r w:rsidR="00B4335A" w:rsidRPr="000F0222">
        <w:rPr>
          <w:i/>
          <w:sz w:val="22"/>
          <w:szCs w:val="22"/>
          <w:lang w:val="en-GB"/>
        </w:rPr>
        <w:t>3</w:t>
      </w:r>
      <w:r w:rsidR="005B4298" w:rsidRPr="000F0222">
        <w:rPr>
          <w:i/>
          <w:sz w:val="22"/>
          <w:szCs w:val="22"/>
          <w:lang w:val="en-GB"/>
        </w:rPr>
        <w:t>. Proportion of Strategic Plan goal indicators per category of progress</w:t>
      </w:r>
      <w:r w:rsidRPr="000F0222">
        <w:rPr>
          <w:i/>
          <w:sz w:val="22"/>
          <w:szCs w:val="22"/>
          <w:lang w:val="en-GB"/>
        </w:rPr>
        <w:t xml:space="preserve"> </w:t>
      </w:r>
      <w:r w:rsidR="00FE5DEA" w:rsidRPr="000F0222">
        <w:rPr>
          <w:i/>
          <w:sz w:val="22"/>
          <w:szCs w:val="22"/>
          <w:lang w:val="en-GB"/>
        </w:rPr>
        <w:t>at MOP5 (2012)</w:t>
      </w:r>
      <w:r w:rsidR="005B4298" w:rsidRPr="000F0222">
        <w:rPr>
          <w:i/>
          <w:sz w:val="22"/>
          <w:szCs w:val="22"/>
          <w:lang w:val="en-GB"/>
        </w:rPr>
        <w:t>.</w:t>
      </w:r>
    </w:p>
    <w:p w14:paraId="05A21EF6" w14:textId="77777777" w:rsidR="005B4298" w:rsidRPr="000F0222" w:rsidRDefault="005B4298" w:rsidP="005B4298">
      <w:pPr>
        <w:rPr>
          <w:b/>
          <w:sz w:val="22"/>
          <w:szCs w:val="22"/>
          <w:lang w:val="en-GB"/>
        </w:rPr>
      </w:pPr>
    </w:p>
    <w:p w14:paraId="378A6755" w14:textId="77777777" w:rsidR="005B4298" w:rsidRPr="000F0222" w:rsidRDefault="005B4298" w:rsidP="005B4298">
      <w:pPr>
        <w:rPr>
          <w:b/>
          <w:sz w:val="22"/>
          <w:szCs w:val="22"/>
          <w:lang w:val="en-GB"/>
        </w:rPr>
      </w:pPr>
    </w:p>
    <w:p w14:paraId="6381B519" w14:textId="77777777" w:rsidR="001F3688" w:rsidRPr="000F0222" w:rsidRDefault="001F3688" w:rsidP="00066668">
      <w:pPr>
        <w:jc w:val="both"/>
        <w:rPr>
          <w:sz w:val="22"/>
          <w:szCs w:val="22"/>
          <w:lang w:val="en-GB"/>
        </w:rPr>
      </w:pPr>
    </w:p>
    <w:p w14:paraId="020D73DA" w14:textId="71839BBD" w:rsidR="001F3688" w:rsidRPr="000F0222" w:rsidRDefault="005D7E9B" w:rsidP="001F3688">
      <w:pPr>
        <w:jc w:val="center"/>
        <w:rPr>
          <w:b/>
          <w:sz w:val="22"/>
          <w:szCs w:val="22"/>
          <w:lang w:val="en-GB"/>
        </w:rPr>
      </w:pPr>
      <w:r w:rsidRPr="000F0222">
        <w:rPr>
          <w:noProof/>
          <w:lang w:val="en-GB"/>
        </w:rPr>
        <w:drawing>
          <wp:inline distT="0" distB="0" distL="0" distR="0" wp14:anchorId="60FA8A72" wp14:editId="4F75AEC6">
            <wp:extent cx="2043430" cy="2776807"/>
            <wp:effectExtent l="0" t="0" r="13970" b="5080"/>
            <wp:docPr id="69" name="Chart 6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F3688" w:rsidRPr="000F0222">
        <w:rPr>
          <w:noProof/>
          <w:lang w:val="en-GB"/>
        </w:rPr>
        <w:drawing>
          <wp:inline distT="0" distB="0" distL="0" distR="0" wp14:anchorId="5A2A7F9C" wp14:editId="14FF821D">
            <wp:extent cx="2009955" cy="2773045"/>
            <wp:effectExtent l="0" t="0" r="9525" b="825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F3688" w:rsidRPr="000F0222">
        <w:rPr>
          <w:b/>
          <w:noProof/>
          <w:sz w:val="22"/>
          <w:szCs w:val="22"/>
          <w:lang w:val="en-GB"/>
        </w:rPr>
        <w:drawing>
          <wp:inline distT="0" distB="0" distL="0" distR="0" wp14:anchorId="46E33B49" wp14:editId="127FB6A9">
            <wp:extent cx="2018581" cy="2765425"/>
            <wp:effectExtent l="0" t="0" r="1270" b="15875"/>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F3688" w:rsidRPr="000F0222">
        <w:rPr>
          <w:b/>
          <w:sz w:val="22"/>
          <w:szCs w:val="22"/>
          <w:lang w:val="en-GB"/>
        </w:rPr>
        <w:t xml:space="preserve">     </w:t>
      </w:r>
    </w:p>
    <w:p w14:paraId="592217A9" w14:textId="77777777" w:rsidR="001F3688" w:rsidRPr="000F0222" w:rsidRDefault="001F3688" w:rsidP="00066668">
      <w:pPr>
        <w:jc w:val="both"/>
        <w:rPr>
          <w:sz w:val="22"/>
          <w:szCs w:val="22"/>
          <w:lang w:val="en-GB"/>
        </w:rPr>
      </w:pPr>
    </w:p>
    <w:p w14:paraId="624A0E50" w14:textId="77777777" w:rsidR="00AB0A7A" w:rsidRDefault="00AB0A7A" w:rsidP="005D7E9B">
      <w:pPr>
        <w:rPr>
          <w:i/>
          <w:sz w:val="22"/>
          <w:szCs w:val="22"/>
          <w:lang w:val="en-GB"/>
        </w:rPr>
      </w:pPr>
    </w:p>
    <w:p w14:paraId="5E1B08AF" w14:textId="70BEC9A1" w:rsidR="005D7E9B" w:rsidRPr="000F0222" w:rsidRDefault="005D7E9B" w:rsidP="005D7E9B">
      <w:pPr>
        <w:rPr>
          <w:i/>
          <w:sz w:val="22"/>
          <w:szCs w:val="22"/>
          <w:lang w:val="en-GB"/>
        </w:rPr>
      </w:pPr>
      <w:r w:rsidRPr="000F0222">
        <w:rPr>
          <w:i/>
          <w:sz w:val="22"/>
          <w:szCs w:val="22"/>
          <w:lang w:val="en-GB"/>
        </w:rPr>
        <w:t>Figure 4 (left). Proportion of Strategic Plan goal indicators at the Agreement-wide level (G1-G8) per category of progress at MOP7 (2018).</w:t>
      </w:r>
    </w:p>
    <w:p w14:paraId="0BF28159" w14:textId="77777777" w:rsidR="00D06EB6" w:rsidRPr="000F0222" w:rsidRDefault="00D06EB6" w:rsidP="00066668">
      <w:pPr>
        <w:jc w:val="both"/>
        <w:rPr>
          <w:sz w:val="22"/>
          <w:szCs w:val="22"/>
          <w:lang w:val="en-GB"/>
        </w:rPr>
      </w:pPr>
    </w:p>
    <w:p w14:paraId="7158DA5E" w14:textId="2E1A69FB" w:rsidR="00FE5DEA" w:rsidRPr="000F0222" w:rsidRDefault="00FE5DEA" w:rsidP="00D03E7C">
      <w:pPr>
        <w:rPr>
          <w:i/>
          <w:sz w:val="22"/>
          <w:szCs w:val="22"/>
          <w:lang w:val="en-GB"/>
        </w:rPr>
      </w:pPr>
      <w:r w:rsidRPr="000F0222">
        <w:rPr>
          <w:i/>
          <w:sz w:val="22"/>
          <w:szCs w:val="22"/>
          <w:lang w:val="en-GB"/>
        </w:rPr>
        <w:t xml:space="preserve">Figure </w:t>
      </w:r>
      <w:r w:rsidR="005D7E9B" w:rsidRPr="000F0222">
        <w:rPr>
          <w:i/>
          <w:sz w:val="22"/>
          <w:szCs w:val="22"/>
          <w:lang w:val="en-GB"/>
        </w:rPr>
        <w:t>5</w:t>
      </w:r>
      <w:r w:rsidRPr="000F0222">
        <w:rPr>
          <w:i/>
          <w:sz w:val="22"/>
          <w:szCs w:val="22"/>
          <w:lang w:val="en-GB"/>
        </w:rPr>
        <w:t xml:space="preserve"> (</w:t>
      </w:r>
      <w:r w:rsidR="00B62AD2" w:rsidRPr="00B62AD2">
        <w:rPr>
          <w:i/>
          <w:sz w:val="22"/>
          <w:szCs w:val="22"/>
          <w:lang w:val="en-GB"/>
        </w:rPr>
        <w:t>centre</w:t>
      </w:r>
      <w:r w:rsidRPr="000F0222">
        <w:rPr>
          <w:i/>
          <w:sz w:val="22"/>
          <w:szCs w:val="22"/>
          <w:lang w:val="en-GB"/>
        </w:rPr>
        <w:t xml:space="preserve">). Proportion of Strategic Plan goal indicators at the Agreement-wide level </w:t>
      </w:r>
      <w:r w:rsidR="00CB736D" w:rsidRPr="000F0222">
        <w:rPr>
          <w:i/>
          <w:sz w:val="22"/>
          <w:szCs w:val="22"/>
          <w:lang w:val="en-GB"/>
        </w:rPr>
        <w:t xml:space="preserve">(G1-G8) </w:t>
      </w:r>
      <w:r w:rsidR="005629EE" w:rsidRPr="000F0222">
        <w:rPr>
          <w:i/>
          <w:sz w:val="22"/>
          <w:szCs w:val="22"/>
          <w:lang w:val="en-GB"/>
        </w:rPr>
        <w:t xml:space="preserve">per </w:t>
      </w:r>
      <w:r w:rsidRPr="000F0222">
        <w:rPr>
          <w:i/>
          <w:sz w:val="22"/>
          <w:szCs w:val="22"/>
          <w:lang w:val="en-GB"/>
        </w:rPr>
        <w:t>category of progress</w:t>
      </w:r>
      <w:r w:rsidR="005D7E9B" w:rsidRPr="000F0222">
        <w:rPr>
          <w:i/>
          <w:sz w:val="22"/>
          <w:szCs w:val="22"/>
          <w:lang w:val="en-GB"/>
        </w:rPr>
        <w:t xml:space="preserve"> at MOP6 (2015)</w:t>
      </w:r>
      <w:r w:rsidRPr="000F0222">
        <w:rPr>
          <w:i/>
          <w:sz w:val="22"/>
          <w:szCs w:val="22"/>
          <w:lang w:val="en-GB"/>
        </w:rPr>
        <w:t>.</w:t>
      </w:r>
    </w:p>
    <w:p w14:paraId="78BE3A56" w14:textId="77777777" w:rsidR="00FE5DEA" w:rsidRPr="000F0222" w:rsidRDefault="00FE5DEA" w:rsidP="00FE5DEA">
      <w:pPr>
        <w:jc w:val="both"/>
        <w:rPr>
          <w:i/>
          <w:sz w:val="22"/>
          <w:szCs w:val="22"/>
          <w:lang w:val="en-GB"/>
        </w:rPr>
      </w:pPr>
    </w:p>
    <w:p w14:paraId="68768404" w14:textId="4A631C02" w:rsidR="005629EE" w:rsidRPr="000F0222" w:rsidRDefault="00FE5DEA" w:rsidP="00FE5DEA">
      <w:pPr>
        <w:jc w:val="both"/>
        <w:rPr>
          <w:i/>
          <w:sz w:val="22"/>
          <w:szCs w:val="22"/>
          <w:lang w:val="en-GB"/>
        </w:rPr>
      </w:pPr>
      <w:r w:rsidRPr="000F0222">
        <w:rPr>
          <w:i/>
          <w:sz w:val="22"/>
          <w:szCs w:val="22"/>
          <w:lang w:val="en-GB"/>
        </w:rPr>
        <w:t xml:space="preserve">Figure </w:t>
      </w:r>
      <w:r w:rsidR="005D7E9B" w:rsidRPr="000F0222">
        <w:rPr>
          <w:i/>
          <w:sz w:val="22"/>
          <w:szCs w:val="22"/>
          <w:lang w:val="en-GB"/>
        </w:rPr>
        <w:t>6</w:t>
      </w:r>
      <w:r w:rsidRPr="000F0222">
        <w:rPr>
          <w:i/>
          <w:sz w:val="22"/>
          <w:szCs w:val="22"/>
          <w:lang w:val="en-GB"/>
        </w:rPr>
        <w:t xml:space="preserve"> (right). </w:t>
      </w:r>
      <w:r w:rsidR="00D03E7C" w:rsidRPr="000F0222">
        <w:rPr>
          <w:i/>
          <w:sz w:val="22"/>
          <w:szCs w:val="22"/>
          <w:lang w:val="en-GB"/>
        </w:rPr>
        <w:t xml:space="preserve">Proportion of Strategic Plan goal indicators at the Agreement-wide level </w:t>
      </w:r>
      <w:r w:rsidR="00CB736D" w:rsidRPr="000F0222">
        <w:rPr>
          <w:i/>
          <w:sz w:val="22"/>
          <w:szCs w:val="22"/>
          <w:lang w:val="en-GB"/>
        </w:rPr>
        <w:t xml:space="preserve">(G1-G8) </w:t>
      </w:r>
    </w:p>
    <w:p w14:paraId="34D0EE8D" w14:textId="25B38C75" w:rsidR="00FE5DEA" w:rsidRPr="000F0222" w:rsidRDefault="00D03E7C" w:rsidP="00FE5DEA">
      <w:pPr>
        <w:jc w:val="both"/>
        <w:rPr>
          <w:i/>
          <w:sz w:val="22"/>
          <w:szCs w:val="22"/>
          <w:lang w:val="en-GB"/>
        </w:rPr>
      </w:pPr>
      <w:r w:rsidRPr="000F0222">
        <w:rPr>
          <w:i/>
          <w:sz w:val="22"/>
          <w:szCs w:val="22"/>
          <w:lang w:val="en-GB"/>
        </w:rPr>
        <w:t>per category of progress at MOP5 (2012)</w:t>
      </w:r>
      <w:r w:rsidR="00FE5DEA" w:rsidRPr="000F0222">
        <w:rPr>
          <w:i/>
          <w:sz w:val="22"/>
          <w:szCs w:val="22"/>
          <w:lang w:val="en-GB"/>
        </w:rPr>
        <w:t>.</w:t>
      </w:r>
    </w:p>
    <w:p w14:paraId="4E5C740F" w14:textId="77777777" w:rsidR="007507A5" w:rsidRPr="000F0222" w:rsidRDefault="007507A5" w:rsidP="005B4298">
      <w:pPr>
        <w:rPr>
          <w:b/>
          <w:sz w:val="22"/>
          <w:szCs w:val="22"/>
          <w:lang w:val="en-GB"/>
        </w:rPr>
      </w:pPr>
    </w:p>
    <w:p w14:paraId="4BDD3F50" w14:textId="708C6867" w:rsidR="007507A5" w:rsidRPr="000F0222" w:rsidRDefault="007507A5" w:rsidP="005B4298">
      <w:pPr>
        <w:rPr>
          <w:b/>
          <w:sz w:val="22"/>
          <w:szCs w:val="22"/>
          <w:lang w:val="en-GB"/>
        </w:rPr>
      </w:pPr>
    </w:p>
    <w:p w14:paraId="01D2AE11" w14:textId="7249ADE1" w:rsidR="005B4298" w:rsidRPr="000F0222" w:rsidRDefault="005D7E9B" w:rsidP="00E66036">
      <w:pPr>
        <w:jc w:val="center"/>
        <w:rPr>
          <w:b/>
          <w:sz w:val="22"/>
          <w:szCs w:val="22"/>
          <w:lang w:val="en-GB"/>
        </w:rPr>
      </w:pPr>
      <w:r w:rsidRPr="000F0222">
        <w:rPr>
          <w:noProof/>
          <w:lang w:val="en-GB"/>
        </w:rPr>
        <w:drawing>
          <wp:inline distT="0" distB="0" distL="0" distR="0" wp14:anchorId="0FA08627" wp14:editId="1C1EB009">
            <wp:extent cx="1974850" cy="2853318"/>
            <wp:effectExtent l="0" t="0" r="6350" b="4445"/>
            <wp:docPr id="70" name="Chart 7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F3688" w:rsidRPr="000F0222">
        <w:rPr>
          <w:noProof/>
          <w:lang w:val="en-GB"/>
        </w:rPr>
        <w:drawing>
          <wp:inline distT="0" distB="0" distL="0" distR="0" wp14:anchorId="68604ADD" wp14:editId="1936C14B">
            <wp:extent cx="2009955" cy="2833669"/>
            <wp:effectExtent l="0" t="0" r="9525" b="508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81660" w:rsidRPr="000F0222">
        <w:rPr>
          <w:b/>
          <w:noProof/>
          <w:sz w:val="22"/>
          <w:szCs w:val="22"/>
          <w:lang w:val="en-GB"/>
        </w:rPr>
        <w:drawing>
          <wp:inline distT="0" distB="0" distL="0" distR="0" wp14:anchorId="0F1B606D" wp14:editId="46AD15E4">
            <wp:extent cx="1975449" cy="2826001"/>
            <wp:effectExtent l="0" t="0" r="6350" b="1270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E66036" w:rsidRPr="000F0222">
        <w:rPr>
          <w:b/>
          <w:sz w:val="22"/>
          <w:szCs w:val="22"/>
          <w:lang w:val="en-GB"/>
        </w:rPr>
        <w:t xml:space="preserve">     </w:t>
      </w:r>
    </w:p>
    <w:p w14:paraId="0A6C7907" w14:textId="77777777" w:rsidR="00B4301F" w:rsidRPr="000F0222" w:rsidRDefault="00B4301F" w:rsidP="00E66036">
      <w:pPr>
        <w:jc w:val="center"/>
        <w:rPr>
          <w:b/>
          <w:sz w:val="22"/>
          <w:szCs w:val="22"/>
          <w:lang w:val="en-GB"/>
        </w:rPr>
      </w:pPr>
    </w:p>
    <w:p w14:paraId="240CB9BC" w14:textId="0BCB296D" w:rsidR="005D7E9B" w:rsidRPr="000F0222" w:rsidRDefault="005D7E9B" w:rsidP="005D7E9B">
      <w:pPr>
        <w:jc w:val="both"/>
        <w:rPr>
          <w:i/>
          <w:sz w:val="22"/>
          <w:szCs w:val="22"/>
          <w:lang w:val="en-GB"/>
        </w:rPr>
      </w:pPr>
      <w:r w:rsidRPr="000F0222">
        <w:rPr>
          <w:i/>
          <w:sz w:val="22"/>
          <w:szCs w:val="22"/>
          <w:lang w:val="en-GB"/>
        </w:rPr>
        <w:t>Figure 7 (left). Proportion of Strategic Plan goal indicators at the national level (G9-G12) per category of progress</w:t>
      </w:r>
      <w:r w:rsidR="00E537E9" w:rsidRPr="000F0222">
        <w:rPr>
          <w:i/>
          <w:sz w:val="22"/>
          <w:szCs w:val="22"/>
          <w:lang w:val="en-GB"/>
        </w:rPr>
        <w:t xml:space="preserve"> at MOP7 (2018</w:t>
      </w:r>
      <w:r w:rsidR="00644E5D" w:rsidRPr="000F0222">
        <w:rPr>
          <w:i/>
          <w:sz w:val="22"/>
          <w:szCs w:val="22"/>
          <w:lang w:val="en-GB"/>
        </w:rPr>
        <w:t>)</w:t>
      </w:r>
      <w:r w:rsidRPr="000F0222">
        <w:rPr>
          <w:i/>
          <w:sz w:val="22"/>
          <w:szCs w:val="22"/>
          <w:lang w:val="en-GB"/>
        </w:rPr>
        <w:t>.</w:t>
      </w:r>
    </w:p>
    <w:p w14:paraId="47C332A8" w14:textId="77777777" w:rsidR="005D7E9B" w:rsidRPr="000F0222" w:rsidRDefault="005D7E9B" w:rsidP="00B4301F">
      <w:pPr>
        <w:jc w:val="both"/>
        <w:rPr>
          <w:i/>
          <w:sz w:val="22"/>
          <w:szCs w:val="22"/>
          <w:lang w:val="en-GB"/>
        </w:rPr>
      </w:pPr>
    </w:p>
    <w:p w14:paraId="7E6BB385" w14:textId="46609D25" w:rsidR="00B4301F" w:rsidRPr="000F0222" w:rsidRDefault="00B4301F" w:rsidP="00B4301F">
      <w:pPr>
        <w:jc w:val="both"/>
        <w:rPr>
          <w:i/>
          <w:sz w:val="22"/>
          <w:szCs w:val="22"/>
          <w:lang w:val="en-GB"/>
        </w:rPr>
      </w:pPr>
      <w:r w:rsidRPr="000F0222">
        <w:rPr>
          <w:i/>
          <w:sz w:val="22"/>
          <w:szCs w:val="22"/>
          <w:lang w:val="en-GB"/>
        </w:rPr>
        <w:t xml:space="preserve">Figure </w:t>
      </w:r>
      <w:r w:rsidR="005D7E9B" w:rsidRPr="000F0222">
        <w:rPr>
          <w:i/>
          <w:sz w:val="22"/>
          <w:szCs w:val="22"/>
          <w:lang w:val="en-GB"/>
        </w:rPr>
        <w:t>8</w:t>
      </w:r>
      <w:r w:rsidRPr="000F0222">
        <w:rPr>
          <w:i/>
          <w:sz w:val="22"/>
          <w:szCs w:val="22"/>
          <w:lang w:val="en-GB"/>
        </w:rPr>
        <w:t xml:space="preserve"> (</w:t>
      </w:r>
      <w:r w:rsidR="00B62AD2" w:rsidRPr="00B62AD2">
        <w:rPr>
          <w:i/>
          <w:sz w:val="22"/>
          <w:szCs w:val="22"/>
          <w:lang w:val="en-GB"/>
        </w:rPr>
        <w:t>centre</w:t>
      </w:r>
      <w:r w:rsidRPr="000F0222">
        <w:rPr>
          <w:i/>
          <w:sz w:val="22"/>
          <w:szCs w:val="22"/>
          <w:lang w:val="en-GB"/>
        </w:rPr>
        <w:t>).</w:t>
      </w:r>
      <w:r w:rsidR="00D03E7C" w:rsidRPr="000F0222">
        <w:rPr>
          <w:i/>
          <w:sz w:val="22"/>
          <w:szCs w:val="22"/>
          <w:lang w:val="en-GB"/>
        </w:rPr>
        <w:t xml:space="preserve"> Proportion of Strategic Plan goal indicators at the national level </w:t>
      </w:r>
      <w:r w:rsidR="00CB736D" w:rsidRPr="000F0222">
        <w:rPr>
          <w:i/>
          <w:sz w:val="22"/>
          <w:szCs w:val="22"/>
          <w:lang w:val="en-GB"/>
        </w:rPr>
        <w:t xml:space="preserve">(G9-G12) </w:t>
      </w:r>
      <w:r w:rsidR="00D03E7C" w:rsidRPr="000F0222">
        <w:rPr>
          <w:i/>
          <w:sz w:val="22"/>
          <w:szCs w:val="22"/>
          <w:lang w:val="en-GB"/>
        </w:rPr>
        <w:t>per category of progress</w:t>
      </w:r>
      <w:r w:rsidR="00E537E9" w:rsidRPr="000F0222">
        <w:rPr>
          <w:i/>
          <w:sz w:val="22"/>
          <w:szCs w:val="22"/>
          <w:lang w:val="en-GB"/>
        </w:rPr>
        <w:t xml:space="preserve"> at MOP6 (201</w:t>
      </w:r>
      <w:r w:rsidR="00644E5D" w:rsidRPr="000F0222">
        <w:rPr>
          <w:i/>
          <w:sz w:val="22"/>
          <w:szCs w:val="22"/>
          <w:lang w:val="en-GB"/>
        </w:rPr>
        <w:t>5</w:t>
      </w:r>
      <w:r w:rsidR="00E537E9" w:rsidRPr="000F0222">
        <w:rPr>
          <w:i/>
          <w:sz w:val="22"/>
          <w:szCs w:val="22"/>
          <w:lang w:val="en-GB"/>
        </w:rPr>
        <w:t>)</w:t>
      </w:r>
      <w:r w:rsidRPr="000F0222">
        <w:rPr>
          <w:i/>
          <w:sz w:val="22"/>
          <w:szCs w:val="22"/>
          <w:lang w:val="en-GB"/>
        </w:rPr>
        <w:t>.</w:t>
      </w:r>
    </w:p>
    <w:p w14:paraId="04D2EC13" w14:textId="77777777" w:rsidR="00B4301F" w:rsidRPr="000F0222" w:rsidRDefault="00B4301F" w:rsidP="00B4301F">
      <w:pPr>
        <w:jc w:val="both"/>
        <w:rPr>
          <w:i/>
          <w:sz w:val="22"/>
          <w:szCs w:val="22"/>
          <w:lang w:val="en-GB"/>
        </w:rPr>
      </w:pPr>
    </w:p>
    <w:p w14:paraId="2AB73559" w14:textId="74481555" w:rsidR="00B4301F" w:rsidRPr="000F0222" w:rsidRDefault="00B4301F" w:rsidP="00B4301F">
      <w:pPr>
        <w:jc w:val="both"/>
        <w:rPr>
          <w:i/>
          <w:sz w:val="22"/>
          <w:szCs w:val="22"/>
          <w:lang w:val="en-GB"/>
        </w:rPr>
      </w:pPr>
      <w:r w:rsidRPr="000F0222">
        <w:rPr>
          <w:i/>
          <w:sz w:val="22"/>
          <w:szCs w:val="22"/>
          <w:lang w:val="en-GB"/>
        </w:rPr>
        <w:t xml:space="preserve">Figure </w:t>
      </w:r>
      <w:r w:rsidR="005D7E9B" w:rsidRPr="000F0222">
        <w:rPr>
          <w:i/>
          <w:sz w:val="22"/>
          <w:szCs w:val="22"/>
          <w:lang w:val="en-GB"/>
        </w:rPr>
        <w:t>9</w:t>
      </w:r>
      <w:r w:rsidRPr="000F0222">
        <w:rPr>
          <w:i/>
          <w:sz w:val="22"/>
          <w:szCs w:val="22"/>
          <w:lang w:val="en-GB"/>
        </w:rPr>
        <w:t xml:space="preserve"> (right). Proportion of Strategic Plan goal indicators at the national level </w:t>
      </w:r>
      <w:r w:rsidR="00CB736D" w:rsidRPr="000F0222">
        <w:rPr>
          <w:i/>
          <w:sz w:val="22"/>
          <w:szCs w:val="22"/>
          <w:lang w:val="en-GB"/>
        </w:rPr>
        <w:t xml:space="preserve">(G9-G12) </w:t>
      </w:r>
      <w:r w:rsidRPr="000F0222">
        <w:rPr>
          <w:i/>
          <w:sz w:val="22"/>
          <w:szCs w:val="22"/>
          <w:lang w:val="en-GB"/>
        </w:rPr>
        <w:t>per category of progress</w:t>
      </w:r>
      <w:r w:rsidR="00FE5DEA" w:rsidRPr="000F0222">
        <w:rPr>
          <w:i/>
          <w:sz w:val="22"/>
          <w:szCs w:val="22"/>
          <w:lang w:val="en-GB"/>
        </w:rPr>
        <w:t xml:space="preserve"> at MOP5 (2012)</w:t>
      </w:r>
      <w:r w:rsidRPr="000F0222">
        <w:rPr>
          <w:i/>
          <w:sz w:val="22"/>
          <w:szCs w:val="22"/>
          <w:lang w:val="en-GB"/>
        </w:rPr>
        <w:t>.</w:t>
      </w:r>
    </w:p>
    <w:p w14:paraId="518663C2" w14:textId="77777777" w:rsidR="00AD425A" w:rsidRPr="000F0222" w:rsidRDefault="00AD425A" w:rsidP="00B4301F">
      <w:pPr>
        <w:jc w:val="both"/>
        <w:rPr>
          <w:i/>
          <w:sz w:val="22"/>
          <w:szCs w:val="22"/>
          <w:lang w:val="en-GB"/>
        </w:rPr>
      </w:pPr>
    </w:p>
    <w:p w14:paraId="2BADEDCF" w14:textId="77777777" w:rsidR="00AD425A" w:rsidRPr="000F0222" w:rsidRDefault="00AD425A" w:rsidP="00B4301F">
      <w:pPr>
        <w:jc w:val="both"/>
        <w:rPr>
          <w:i/>
          <w:sz w:val="22"/>
          <w:szCs w:val="22"/>
          <w:lang w:val="en-GB"/>
        </w:rPr>
      </w:pPr>
    </w:p>
    <w:p w14:paraId="08AA070A" w14:textId="6779AFF1" w:rsidR="00393E0A" w:rsidRPr="000F0222" w:rsidRDefault="004B7DBC" w:rsidP="00160B05">
      <w:pPr>
        <w:spacing w:line="276" w:lineRule="auto"/>
        <w:jc w:val="both"/>
        <w:rPr>
          <w:sz w:val="22"/>
          <w:szCs w:val="22"/>
          <w:lang w:val="en-GB"/>
        </w:rPr>
      </w:pPr>
      <w:r w:rsidRPr="000F0222">
        <w:rPr>
          <w:sz w:val="22"/>
          <w:szCs w:val="22"/>
          <w:lang w:val="en-GB"/>
        </w:rPr>
        <w:t>The indicators which failed to be achieved</w:t>
      </w:r>
      <w:r w:rsidR="00C8299D" w:rsidRPr="000F0222">
        <w:rPr>
          <w:sz w:val="22"/>
          <w:szCs w:val="22"/>
          <w:lang w:val="en-GB"/>
        </w:rPr>
        <w:t>,</w:t>
      </w:r>
      <w:r w:rsidRPr="000F0222">
        <w:rPr>
          <w:sz w:val="22"/>
          <w:szCs w:val="22"/>
          <w:lang w:val="en-GB"/>
        </w:rPr>
        <w:t xml:space="preserve"> relate to </w:t>
      </w:r>
      <w:r w:rsidR="00436E57" w:rsidRPr="000F0222">
        <w:rPr>
          <w:sz w:val="22"/>
          <w:szCs w:val="22"/>
          <w:lang w:val="en-GB"/>
        </w:rPr>
        <w:t xml:space="preserve">prevention of extinction of AEWA populations (G1), </w:t>
      </w:r>
      <w:r w:rsidRPr="000F0222">
        <w:rPr>
          <w:sz w:val="22"/>
          <w:szCs w:val="22"/>
          <w:lang w:val="en-GB"/>
        </w:rPr>
        <w:t>populations retaining their favourable conservation status</w:t>
      </w:r>
      <w:r w:rsidR="00F46C57" w:rsidRPr="000F0222">
        <w:rPr>
          <w:sz w:val="22"/>
          <w:szCs w:val="22"/>
          <w:lang w:val="en-GB"/>
        </w:rPr>
        <w:t xml:space="preserve"> (G2)</w:t>
      </w:r>
      <w:r w:rsidRPr="000F0222">
        <w:rPr>
          <w:sz w:val="22"/>
          <w:szCs w:val="22"/>
          <w:lang w:val="en-GB"/>
        </w:rPr>
        <w:t xml:space="preserve">, </w:t>
      </w:r>
      <w:r w:rsidR="00393E0A" w:rsidRPr="000F0222">
        <w:rPr>
          <w:sz w:val="22"/>
          <w:szCs w:val="22"/>
          <w:lang w:val="en-GB"/>
        </w:rPr>
        <w:t xml:space="preserve">reducing extinction risk (G5), </w:t>
      </w:r>
      <w:proofErr w:type="spellStart"/>
      <w:r w:rsidRPr="000F0222">
        <w:rPr>
          <w:sz w:val="22"/>
          <w:szCs w:val="22"/>
          <w:lang w:val="en-GB"/>
        </w:rPr>
        <w:t>downlisting</w:t>
      </w:r>
      <w:proofErr w:type="spellEnd"/>
      <w:r w:rsidRPr="000F0222">
        <w:rPr>
          <w:sz w:val="22"/>
          <w:szCs w:val="22"/>
          <w:lang w:val="en-GB"/>
        </w:rPr>
        <w:t xml:space="preserve"> on the IUCN Red List</w:t>
      </w:r>
      <w:r w:rsidR="00F46C57" w:rsidRPr="000F0222">
        <w:rPr>
          <w:sz w:val="22"/>
          <w:szCs w:val="22"/>
          <w:lang w:val="en-GB"/>
        </w:rPr>
        <w:t xml:space="preserve"> (G6)</w:t>
      </w:r>
      <w:r w:rsidR="00436E57" w:rsidRPr="000F0222">
        <w:rPr>
          <w:sz w:val="22"/>
          <w:szCs w:val="22"/>
          <w:lang w:val="en-GB"/>
        </w:rPr>
        <w:t>,</w:t>
      </w:r>
      <w:r w:rsidRPr="000F0222">
        <w:rPr>
          <w:sz w:val="22"/>
          <w:szCs w:val="22"/>
          <w:lang w:val="en-GB"/>
        </w:rPr>
        <w:t xml:space="preserve"> </w:t>
      </w:r>
      <w:r w:rsidR="00436E57" w:rsidRPr="000F0222">
        <w:rPr>
          <w:sz w:val="22"/>
          <w:szCs w:val="22"/>
          <w:lang w:val="en-GB"/>
        </w:rPr>
        <w:t xml:space="preserve">fewer populations listed in category 1 of Column A (G7) and in Column A in general (G8). They all had worsening parameters compared to the baseline of 2008 (MOP4) </w:t>
      </w:r>
      <w:r w:rsidR="005E0BCC" w:rsidRPr="000F0222">
        <w:rPr>
          <w:sz w:val="22"/>
          <w:szCs w:val="22"/>
          <w:lang w:val="en-GB"/>
        </w:rPr>
        <w:t xml:space="preserve">(see </w:t>
      </w:r>
      <w:r w:rsidR="005E0BCC" w:rsidRPr="000F0222">
        <w:rPr>
          <w:i/>
          <w:sz w:val="22"/>
          <w:szCs w:val="22"/>
          <w:lang w:val="en-GB"/>
        </w:rPr>
        <w:t>Table 3</w:t>
      </w:r>
      <w:r w:rsidR="005E0BCC" w:rsidRPr="000F0222">
        <w:rPr>
          <w:sz w:val="22"/>
          <w:szCs w:val="22"/>
          <w:lang w:val="en-GB"/>
        </w:rPr>
        <w:t>)</w:t>
      </w:r>
      <w:r w:rsidRPr="000F0222">
        <w:rPr>
          <w:sz w:val="22"/>
          <w:szCs w:val="22"/>
          <w:lang w:val="en-GB"/>
        </w:rPr>
        <w:t>.</w:t>
      </w:r>
      <w:r w:rsidR="00393E0A" w:rsidRPr="000F0222">
        <w:rPr>
          <w:sz w:val="22"/>
          <w:szCs w:val="22"/>
          <w:lang w:val="en-GB"/>
        </w:rPr>
        <w:t xml:space="preserve"> The </w:t>
      </w:r>
      <w:r w:rsidR="00E7320D" w:rsidRPr="000F0222">
        <w:rPr>
          <w:sz w:val="22"/>
          <w:szCs w:val="22"/>
          <w:lang w:val="en-GB"/>
        </w:rPr>
        <w:t xml:space="preserve">only achieved indicator is G4 (overall status as measured by the </w:t>
      </w:r>
      <w:proofErr w:type="spellStart"/>
      <w:r w:rsidR="00E7320D" w:rsidRPr="000F0222">
        <w:rPr>
          <w:sz w:val="22"/>
          <w:szCs w:val="22"/>
          <w:lang w:val="en-GB"/>
        </w:rPr>
        <w:t>Waterbird</w:t>
      </w:r>
      <w:proofErr w:type="spellEnd"/>
      <w:r w:rsidR="00E7320D" w:rsidRPr="000F0222">
        <w:rPr>
          <w:sz w:val="22"/>
          <w:szCs w:val="22"/>
          <w:lang w:val="en-GB"/>
        </w:rPr>
        <w:t xml:space="preserve"> Indicator) while the threshold of indicator G3 (population with positive trend) was missed by just 2% points (73% achieved instead of target 75%). </w:t>
      </w:r>
    </w:p>
    <w:p w14:paraId="1B644818" w14:textId="77777777" w:rsidR="00393E0A" w:rsidRPr="000F0222" w:rsidRDefault="00393E0A" w:rsidP="004B7DBC">
      <w:pPr>
        <w:jc w:val="both"/>
        <w:rPr>
          <w:sz w:val="22"/>
          <w:szCs w:val="22"/>
          <w:lang w:val="en-GB"/>
        </w:rPr>
      </w:pPr>
    </w:p>
    <w:p w14:paraId="2E0E1528" w14:textId="77777777" w:rsidR="000C4898" w:rsidRPr="000F0222" w:rsidRDefault="000C4898" w:rsidP="003539D3">
      <w:pPr>
        <w:jc w:val="both"/>
        <w:rPr>
          <w:sz w:val="22"/>
          <w:szCs w:val="22"/>
          <w:lang w:val="en-GB"/>
        </w:rPr>
      </w:pPr>
    </w:p>
    <w:p w14:paraId="6D4E59D3" w14:textId="255F545B" w:rsidR="000C4898" w:rsidRPr="004779F8" w:rsidRDefault="000C4898" w:rsidP="00D5743F">
      <w:pPr>
        <w:shd w:val="clear" w:color="auto" w:fill="DBE5F1" w:themeFill="accent1" w:themeFillTint="33"/>
        <w:jc w:val="both"/>
        <w:rPr>
          <w:b/>
          <w:lang w:val="en-GB"/>
        </w:rPr>
      </w:pPr>
      <w:r w:rsidRPr="004779F8">
        <w:rPr>
          <w:b/>
          <w:lang w:val="en-GB"/>
        </w:rPr>
        <w:t xml:space="preserve">Overall </w:t>
      </w:r>
      <w:r w:rsidR="00FF0ACF" w:rsidRPr="004779F8">
        <w:rPr>
          <w:b/>
          <w:lang w:val="en-GB"/>
        </w:rPr>
        <w:t xml:space="preserve">level of </w:t>
      </w:r>
      <w:r w:rsidRPr="004779F8">
        <w:rPr>
          <w:b/>
          <w:lang w:val="en-GB"/>
        </w:rPr>
        <w:t xml:space="preserve">achieving the Strategic Plan objectives </w:t>
      </w:r>
    </w:p>
    <w:p w14:paraId="71D8D9A1" w14:textId="77777777" w:rsidR="003539D3" w:rsidRPr="004779F8" w:rsidRDefault="003539D3" w:rsidP="003539D3">
      <w:pPr>
        <w:jc w:val="both"/>
        <w:rPr>
          <w:sz w:val="22"/>
          <w:szCs w:val="22"/>
          <w:lang w:val="en-GB"/>
        </w:rPr>
      </w:pPr>
    </w:p>
    <w:p w14:paraId="2721D792" w14:textId="6864CB9C" w:rsidR="00FD479F" w:rsidRDefault="008C175E" w:rsidP="00160B05">
      <w:pPr>
        <w:spacing w:line="276" w:lineRule="auto"/>
        <w:jc w:val="both"/>
        <w:rPr>
          <w:bCs/>
          <w:sz w:val="22"/>
          <w:szCs w:val="22"/>
          <w:lang w:val="en-GB"/>
        </w:rPr>
      </w:pPr>
      <w:r w:rsidRPr="004779F8">
        <w:rPr>
          <w:bCs/>
          <w:sz w:val="22"/>
          <w:szCs w:val="22"/>
          <w:lang w:val="en-GB"/>
        </w:rPr>
        <w:t>F</w:t>
      </w:r>
      <w:r w:rsidR="00FD479F" w:rsidRPr="004779F8">
        <w:rPr>
          <w:bCs/>
          <w:sz w:val="22"/>
          <w:szCs w:val="22"/>
          <w:lang w:val="en-GB"/>
        </w:rPr>
        <w:t xml:space="preserve">ive objectives </w:t>
      </w:r>
      <w:r w:rsidRPr="004779F8">
        <w:rPr>
          <w:bCs/>
          <w:sz w:val="22"/>
          <w:szCs w:val="22"/>
          <w:lang w:val="en-GB"/>
        </w:rPr>
        <w:t xml:space="preserve">have been set towards achieving the Strategic Plan goal </w:t>
      </w:r>
      <w:r w:rsidR="00FD479F" w:rsidRPr="004779F8">
        <w:rPr>
          <w:bCs/>
          <w:sz w:val="22"/>
          <w:szCs w:val="22"/>
          <w:lang w:val="en-GB"/>
        </w:rPr>
        <w:t>each aiming at, respectively, favourable conservation status, sustainable use, increased knowledge, improved communication, improved cooperation and capacity.</w:t>
      </w:r>
    </w:p>
    <w:p w14:paraId="3BC62A87" w14:textId="77777777" w:rsidR="000F0222" w:rsidRPr="00964C3E" w:rsidRDefault="000F0222" w:rsidP="00160B05">
      <w:pPr>
        <w:spacing w:line="276" w:lineRule="auto"/>
        <w:jc w:val="both"/>
        <w:rPr>
          <w:bCs/>
          <w:sz w:val="22"/>
          <w:szCs w:val="22"/>
          <w:lang w:val="en-GB"/>
        </w:rPr>
      </w:pPr>
    </w:p>
    <w:p w14:paraId="5857CD09" w14:textId="77777777" w:rsidR="00FD479F" w:rsidRPr="000F0222" w:rsidRDefault="00FD479F" w:rsidP="003539D3">
      <w:pPr>
        <w:jc w:val="both"/>
        <w:rPr>
          <w:sz w:val="22"/>
          <w:szCs w:val="22"/>
          <w:lang w:val="en-GB"/>
        </w:rPr>
      </w:pPr>
    </w:p>
    <w:tbl>
      <w:tblPr>
        <w:tblStyle w:val="TableGrid"/>
        <w:tblW w:w="9208" w:type="dxa"/>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1666"/>
        <w:gridCol w:w="1257"/>
        <w:gridCol w:w="1257"/>
        <w:gridCol w:w="1257"/>
        <w:gridCol w:w="1257"/>
        <w:gridCol w:w="1257"/>
        <w:gridCol w:w="1257"/>
      </w:tblGrid>
      <w:tr w:rsidR="006B40C9" w:rsidRPr="004779F8" w14:paraId="7C7182FC" w14:textId="77777777" w:rsidTr="008C175E">
        <w:trPr>
          <w:trHeight w:val="567"/>
          <w:jc w:val="center"/>
        </w:trPr>
        <w:tc>
          <w:tcPr>
            <w:tcW w:w="1526" w:type="dxa"/>
            <w:vAlign w:val="center"/>
          </w:tcPr>
          <w:p w14:paraId="3B61B9AC" w14:textId="77777777" w:rsidR="006B40C9" w:rsidRPr="000F0222" w:rsidRDefault="006B40C9" w:rsidP="00946E94">
            <w:pPr>
              <w:jc w:val="center"/>
              <w:rPr>
                <w:b/>
                <w:sz w:val="22"/>
                <w:szCs w:val="22"/>
                <w:lang w:val="en-GB"/>
              </w:rPr>
            </w:pPr>
          </w:p>
        </w:tc>
        <w:tc>
          <w:tcPr>
            <w:tcW w:w="1151" w:type="dxa"/>
            <w:shd w:val="clear" w:color="auto" w:fill="F2F2F2" w:themeFill="background1" w:themeFillShade="F2"/>
            <w:vAlign w:val="center"/>
            <w:hideMark/>
          </w:tcPr>
          <w:p w14:paraId="2F1CC870" w14:textId="77777777" w:rsidR="006B40C9" w:rsidRPr="000F0222" w:rsidRDefault="006B40C9" w:rsidP="00946E94">
            <w:pPr>
              <w:jc w:val="center"/>
              <w:rPr>
                <w:b/>
                <w:sz w:val="22"/>
                <w:szCs w:val="22"/>
                <w:lang w:val="en-GB"/>
              </w:rPr>
            </w:pPr>
            <w:r w:rsidRPr="000F0222">
              <w:rPr>
                <w:b/>
                <w:sz w:val="22"/>
                <w:szCs w:val="22"/>
                <w:lang w:val="en-GB"/>
              </w:rPr>
              <w:t>Objective 1</w:t>
            </w:r>
          </w:p>
        </w:tc>
        <w:tc>
          <w:tcPr>
            <w:tcW w:w="1151" w:type="dxa"/>
            <w:shd w:val="clear" w:color="auto" w:fill="F2F2F2" w:themeFill="background1" w:themeFillShade="F2"/>
            <w:vAlign w:val="center"/>
            <w:hideMark/>
          </w:tcPr>
          <w:p w14:paraId="7E423911" w14:textId="77777777" w:rsidR="006B40C9" w:rsidRPr="000F0222" w:rsidRDefault="006B40C9" w:rsidP="00946E94">
            <w:pPr>
              <w:jc w:val="center"/>
              <w:rPr>
                <w:b/>
                <w:sz w:val="22"/>
                <w:szCs w:val="22"/>
                <w:lang w:val="en-GB"/>
              </w:rPr>
            </w:pPr>
            <w:r w:rsidRPr="000F0222">
              <w:rPr>
                <w:b/>
                <w:sz w:val="22"/>
                <w:szCs w:val="22"/>
                <w:lang w:val="en-GB"/>
              </w:rPr>
              <w:t>Objective 2</w:t>
            </w:r>
          </w:p>
        </w:tc>
        <w:tc>
          <w:tcPr>
            <w:tcW w:w="1151" w:type="dxa"/>
            <w:shd w:val="clear" w:color="auto" w:fill="F2F2F2" w:themeFill="background1" w:themeFillShade="F2"/>
            <w:vAlign w:val="center"/>
            <w:hideMark/>
          </w:tcPr>
          <w:p w14:paraId="4D942CD9" w14:textId="77777777" w:rsidR="006B40C9" w:rsidRPr="000F0222" w:rsidRDefault="006B40C9" w:rsidP="00946E94">
            <w:pPr>
              <w:jc w:val="center"/>
              <w:rPr>
                <w:b/>
                <w:sz w:val="22"/>
                <w:szCs w:val="22"/>
                <w:lang w:val="en-GB"/>
              </w:rPr>
            </w:pPr>
            <w:r w:rsidRPr="000F0222">
              <w:rPr>
                <w:b/>
                <w:sz w:val="22"/>
                <w:szCs w:val="22"/>
                <w:lang w:val="en-GB"/>
              </w:rPr>
              <w:t>Objective 3</w:t>
            </w:r>
          </w:p>
        </w:tc>
        <w:tc>
          <w:tcPr>
            <w:tcW w:w="1151" w:type="dxa"/>
            <w:shd w:val="clear" w:color="auto" w:fill="F2F2F2" w:themeFill="background1" w:themeFillShade="F2"/>
            <w:vAlign w:val="center"/>
            <w:hideMark/>
          </w:tcPr>
          <w:p w14:paraId="48895B6C" w14:textId="77777777" w:rsidR="006B40C9" w:rsidRPr="000F0222" w:rsidRDefault="006B40C9" w:rsidP="00946E94">
            <w:pPr>
              <w:jc w:val="center"/>
              <w:rPr>
                <w:b/>
                <w:sz w:val="22"/>
                <w:szCs w:val="22"/>
                <w:lang w:val="en-GB"/>
              </w:rPr>
            </w:pPr>
            <w:r w:rsidRPr="000F0222">
              <w:rPr>
                <w:b/>
                <w:sz w:val="22"/>
                <w:szCs w:val="22"/>
                <w:lang w:val="en-GB"/>
              </w:rPr>
              <w:t>Objective 4</w:t>
            </w:r>
          </w:p>
        </w:tc>
        <w:tc>
          <w:tcPr>
            <w:tcW w:w="1151" w:type="dxa"/>
            <w:shd w:val="clear" w:color="auto" w:fill="F2F2F2" w:themeFill="background1" w:themeFillShade="F2"/>
            <w:vAlign w:val="center"/>
            <w:hideMark/>
          </w:tcPr>
          <w:p w14:paraId="588508DD" w14:textId="77777777" w:rsidR="006B40C9" w:rsidRPr="000F0222" w:rsidRDefault="006B40C9" w:rsidP="00946E94">
            <w:pPr>
              <w:jc w:val="center"/>
              <w:rPr>
                <w:b/>
                <w:sz w:val="22"/>
                <w:szCs w:val="22"/>
                <w:lang w:val="en-GB"/>
              </w:rPr>
            </w:pPr>
            <w:r w:rsidRPr="000F0222">
              <w:rPr>
                <w:b/>
                <w:sz w:val="22"/>
                <w:szCs w:val="22"/>
                <w:lang w:val="en-GB"/>
              </w:rPr>
              <w:t>Objective 5</w:t>
            </w:r>
          </w:p>
        </w:tc>
        <w:tc>
          <w:tcPr>
            <w:tcW w:w="1151" w:type="dxa"/>
            <w:shd w:val="clear" w:color="auto" w:fill="F2F2F2" w:themeFill="background1" w:themeFillShade="F2"/>
            <w:vAlign w:val="center"/>
            <w:hideMark/>
          </w:tcPr>
          <w:p w14:paraId="02B1DCD5" w14:textId="77777777" w:rsidR="006B40C9" w:rsidRPr="000F0222" w:rsidRDefault="006B40C9" w:rsidP="00946E94">
            <w:pPr>
              <w:jc w:val="center"/>
              <w:rPr>
                <w:b/>
                <w:sz w:val="22"/>
                <w:szCs w:val="22"/>
                <w:lang w:val="en-GB"/>
              </w:rPr>
            </w:pPr>
            <w:r w:rsidRPr="000F0222">
              <w:rPr>
                <w:b/>
                <w:sz w:val="22"/>
                <w:szCs w:val="22"/>
                <w:lang w:val="en-GB"/>
              </w:rPr>
              <w:t>Overall</w:t>
            </w:r>
          </w:p>
        </w:tc>
      </w:tr>
      <w:tr w:rsidR="003208C2" w:rsidRPr="004779F8" w14:paraId="094FAB16" w14:textId="77777777" w:rsidTr="00FF1A82">
        <w:trPr>
          <w:trHeight w:val="851"/>
          <w:jc w:val="center"/>
        </w:trPr>
        <w:tc>
          <w:tcPr>
            <w:tcW w:w="1526" w:type="dxa"/>
            <w:shd w:val="clear" w:color="auto" w:fill="FABF8F" w:themeFill="accent6" w:themeFillTint="99"/>
            <w:vAlign w:val="center"/>
            <w:hideMark/>
          </w:tcPr>
          <w:p w14:paraId="29BAF2D0" w14:textId="77777777" w:rsidR="006B40C9" w:rsidRPr="000F0222" w:rsidRDefault="006B40C9" w:rsidP="00946E94">
            <w:pPr>
              <w:jc w:val="center"/>
              <w:rPr>
                <w:b/>
                <w:sz w:val="22"/>
                <w:szCs w:val="22"/>
                <w:lang w:val="en-GB"/>
              </w:rPr>
            </w:pPr>
            <w:r w:rsidRPr="000F0222">
              <w:rPr>
                <w:b/>
                <w:sz w:val="22"/>
                <w:szCs w:val="22"/>
                <w:lang w:val="en-GB"/>
              </w:rPr>
              <w:t>Not reached/</w:t>
            </w:r>
          </w:p>
          <w:p w14:paraId="0401EA4F" w14:textId="77777777" w:rsidR="006B40C9" w:rsidRPr="000F0222" w:rsidRDefault="006B40C9" w:rsidP="00946E94">
            <w:pPr>
              <w:jc w:val="center"/>
              <w:rPr>
                <w:b/>
                <w:sz w:val="22"/>
                <w:szCs w:val="22"/>
                <w:lang w:val="en-GB"/>
              </w:rPr>
            </w:pPr>
            <w:r w:rsidRPr="000F0222">
              <w:rPr>
                <w:b/>
                <w:sz w:val="22"/>
                <w:szCs w:val="22"/>
                <w:lang w:val="en-GB"/>
              </w:rPr>
              <w:t>no progress</w:t>
            </w:r>
          </w:p>
        </w:tc>
        <w:tc>
          <w:tcPr>
            <w:tcW w:w="1151" w:type="dxa"/>
            <w:shd w:val="clear" w:color="auto" w:fill="FABF8F" w:themeFill="accent6" w:themeFillTint="99"/>
            <w:vAlign w:val="center"/>
          </w:tcPr>
          <w:p w14:paraId="58869CE2" w14:textId="77777777" w:rsidR="006B40C9" w:rsidRPr="000F0222" w:rsidRDefault="006B40C9" w:rsidP="00946E94">
            <w:pPr>
              <w:jc w:val="center"/>
              <w:rPr>
                <w:b/>
                <w:lang w:val="en-GB"/>
              </w:rPr>
            </w:pPr>
          </w:p>
        </w:tc>
        <w:tc>
          <w:tcPr>
            <w:tcW w:w="1151" w:type="dxa"/>
            <w:shd w:val="clear" w:color="auto" w:fill="FABF8F" w:themeFill="accent6" w:themeFillTint="99"/>
            <w:vAlign w:val="center"/>
          </w:tcPr>
          <w:p w14:paraId="3F3D6F2E" w14:textId="77777777" w:rsidR="006B40C9" w:rsidRPr="000F0222" w:rsidRDefault="006B40C9" w:rsidP="00946E94">
            <w:pPr>
              <w:jc w:val="center"/>
              <w:rPr>
                <w:b/>
                <w:lang w:val="en-GB"/>
              </w:rPr>
            </w:pPr>
          </w:p>
        </w:tc>
        <w:tc>
          <w:tcPr>
            <w:tcW w:w="1151" w:type="dxa"/>
            <w:shd w:val="clear" w:color="auto" w:fill="FABF8F" w:themeFill="accent6" w:themeFillTint="99"/>
            <w:vAlign w:val="center"/>
          </w:tcPr>
          <w:p w14:paraId="32DF12D3" w14:textId="77777777" w:rsidR="006B40C9" w:rsidRPr="000F0222" w:rsidRDefault="006B40C9" w:rsidP="00946E94">
            <w:pPr>
              <w:jc w:val="center"/>
              <w:rPr>
                <w:b/>
                <w:lang w:val="en-GB"/>
              </w:rPr>
            </w:pPr>
          </w:p>
        </w:tc>
        <w:tc>
          <w:tcPr>
            <w:tcW w:w="1151" w:type="dxa"/>
            <w:shd w:val="clear" w:color="auto" w:fill="FABF8F" w:themeFill="accent6" w:themeFillTint="99"/>
            <w:vAlign w:val="center"/>
          </w:tcPr>
          <w:p w14:paraId="32E1FDB2" w14:textId="77777777" w:rsidR="006B40C9" w:rsidRPr="000F0222" w:rsidRDefault="006B40C9" w:rsidP="00946E94">
            <w:pPr>
              <w:jc w:val="center"/>
              <w:rPr>
                <w:b/>
                <w:lang w:val="en-GB"/>
              </w:rPr>
            </w:pPr>
          </w:p>
        </w:tc>
        <w:tc>
          <w:tcPr>
            <w:tcW w:w="1151" w:type="dxa"/>
            <w:shd w:val="clear" w:color="auto" w:fill="FABF8F" w:themeFill="accent6" w:themeFillTint="99"/>
            <w:vAlign w:val="center"/>
          </w:tcPr>
          <w:p w14:paraId="22CE75B9" w14:textId="77777777" w:rsidR="006B40C9" w:rsidRPr="000F0222" w:rsidRDefault="006B40C9" w:rsidP="00946E94">
            <w:pPr>
              <w:jc w:val="center"/>
              <w:rPr>
                <w:b/>
                <w:lang w:val="en-GB"/>
              </w:rPr>
            </w:pPr>
          </w:p>
        </w:tc>
        <w:tc>
          <w:tcPr>
            <w:tcW w:w="1151" w:type="dxa"/>
            <w:shd w:val="clear" w:color="auto" w:fill="FABF8F" w:themeFill="accent6" w:themeFillTint="99"/>
            <w:vAlign w:val="center"/>
          </w:tcPr>
          <w:p w14:paraId="65870ECD" w14:textId="77777777" w:rsidR="006B40C9" w:rsidRPr="000F0222" w:rsidRDefault="006B40C9" w:rsidP="00946E94">
            <w:pPr>
              <w:jc w:val="center"/>
              <w:rPr>
                <w:b/>
                <w:lang w:val="en-GB"/>
              </w:rPr>
            </w:pPr>
          </w:p>
        </w:tc>
      </w:tr>
      <w:tr w:rsidR="003208C2" w:rsidRPr="004779F8" w14:paraId="26AABF26" w14:textId="77777777" w:rsidTr="00FF1A82">
        <w:trPr>
          <w:trHeight w:val="851"/>
          <w:jc w:val="center"/>
        </w:trPr>
        <w:tc>
          <w:tcPr>
            <w:tcW w:w="1526" w:type="dxa"/>
            <w:shd w:val="clear" w:color="auto" w:fill="FABF8F" w:themeFill="accent6" w:themeFillTint="99"/>
            <w:vAlign w:val="center"/>
            <w:hideMark/>
          </w:tcPr>
          <w:p w14:paraId="506331F3" w14:textId="77777777" w:rsidR="006B40C9" w:rsidRPr="000F0222" w:rsidRDefault="006B40C9" w:rsidP="00946E94">
            <w:pPr>
              <w:jc w:val="center"/>
              <w:rPr>
                <w:b/>
                <w:sz w:val="22"/>
                <w:szCs w:val="22"/>
                <w:lang w:val="en-GB"/>
              </w:rPr>
            </w:pPr>
            <w:r w:rsidRPr="000F0222">
              <w:rPr>
                <w:b/>
                <w:sz w:val="22"/>
                <w:szCs w:val="22"/>
                <w:lang w:val="en-GB"/>
              </w:rPr>
              <w:t>Limited progress</w:t>
            </w:r>
          </w:p>
        </w:tc>
        <w:tc>
          <w:tcPr>
            <w:tcW w:w="1151" w:type="dxa"/>
            <w:shd w:val="clear" w:color="auto" w:fill="FABF8F" w:themeFill="accent6" w:themeFillTint="99"/>
            <w:vAlign w:val="center"/>
            <w:hideMark/>
          </w:tcPr>
          <w:p w14:paraId="088011A5" w14:textId="438DF807" w:rsidR="006B40C9" w:rsidRPr="000F0222" w:rsidRDefault="006B40C9" w:rsidP="00946E94">
            <w:pPr>
              <w:jc w:val="center"/>
              <w:rPr>
                <w:b/>
                <w:lang w:val="en-GB"/>
              </w:rPr>
            </w:pPr>
            <w:r w:rsidRPr="000F0222">
              <w:rPr>
                <w:b/>
                <w:lang w:val="en-GB"/>
              </w:rPr>
              <w:t>3</w:t>
            </w:r>
            <w:r w:rsidR="008B5334" w:rsidRPr="000F0222">
              <w:rPr>
                <w:b/>
                <w:lang w:val="en-GB"/>
              </w:rPr>
              <w:t xml:space="preserve"> / 1</w:t>
            </w:r>
            <w:r w:rsidR="00F500EE" w:rsidRPr="000F0222">
              <w:rPr>
                <w:b/>
                <w:lang w:val="en-GB"/>
              </w:rPr>
              <w:t xml:space="preserve"> / </w:t>
            </w:r>
            <w:r w:rsidR="00F500EE" w:rsidRPr="000F0222">
              <w:rPr>
                <w:b/>
                <w:color w:val="FF0000"/>
                <w:lang w:val="en-GB"/>
              </w:rPr>
              <w:t>2</w:t>
            </w:r>
          </w:p>
        </w:tc>
        <w:tc>
          <w:tcPr>
            <w:tcW w:w="1151" w:type="dxa"/>
            <w:shd w:val="clear" w:color="auto" w:fill="FABF8F" w:themeFill="accent6" w:themeFillTint="99"/>
            <w:vAlign w:val="center"/>
          </w:tcPr>
          <w:p w14:paraId="34319CAB" w14:textId="6D8F5355" w:rsidR="006B40C9" w:rsidRPr="000F0222" w:rsidRDefault="00F500EE" w:rsidP="00946E94">
            <w:pPr>
              <w:jc w:val="center"/>
              <w:rPr>
                <w:b/>
                <w:lang w:val="en-GB"/>
              </w:rPr>
            </w:pPr>
            <w:r w:rsidRPr="000F0222">
              <w:rPr>
                <w:b/>
                <w:lang w:val="en-GB"/>
              </w:rPr>
              <w:t xml:space="preserve">- / </w:t>
            </w:r>
            <w:r w:rsidR="008B5334" w:rsidRPr="000F0222">
              <w:rPr>
                <w:b/>
                <w:lang w:val="en-GB"/>
              </w:rPr>
              <w:t>1</w:t>
            </w:r>
            <w:r w:rsidRPr="000F0222">
              <w:rPr>
                <w:b/>
                <w:lang w:val="en-GB"/>
              </w:rPr>
              <w:t xml:space="preserve"> / </w:t>
            </w:r>
            <w:r w:rsidRPr="000F0222">
              <w:rPr>
                <w:b/>
                <w:color w:val="FF0000"/>
                <w:lang w:val="en-GB"/>
              </w:rPr>
              <w:t>1</w:t>
            </w:r>
          </w:p>
        </w:tc>
        <w:tc>
          <w:tcPr>
            <w:tcW w:w="1151" w:type="dxa"/>
            <w:shd w:val="clear" w:color="auto" w:fill="FABF8F" w:themeFill="accent6" w:themeFillTint="99"/>
            <w:vAlign w:val="center"/>
            <w:hideMark/>
          </w:tcPr>
          <w:p w14:paraId="6E5408A9" w14:textId="230D59DB" w:rsidR="006B40C9" w:rsidRPr="000F0222" w:rsidRDefault="006B40C9" w:rsidP="00946E94">
            <w:pPr>
              <w:jc w:val="center"/>
              <w:rPr>
                <w:b/>
                <w:lang w:val="en-GB"/>
              </w:rPr>
            </w:pPr>
            <w:r w:rsidRPr="000F0222">
              <w:rPr>
                <w:b/>
                <w:lang w:val="en-GB"/>
              </w:rPr>
              <w:t>2</w:t>
            </w:r>
            <w:r w:rsidR="008B5334" w:rsidRPr="000F0222">
              <w:rPr>
                <w:b/>
                <w:lang w:val="en-GB"/>
              </w:rPr>
              <w:t xml:space="preserve"> / 1</w:t>
            </w:r>
            <w:r w:rsidR="00F500EE" w:rsidRPr="000F0222">
              <w:rPr>
                <w:b/>
                <w:lang w:val="en-GB"/>
              </w:rPr>
              <w:t xml:space="preserve"> / </w:t>
            </w:r>
            <w:r w:rsidR="00F500EE" w:rsidRPr="000F0222">
              <w:rPr>
                <w:b/>
                <w:color w:val="FF0000"/>
                <w:lang w:val="en-GB"/>
              </w:rPr>
              <w:t>1</w:t>
            </w:r>
          </w:p>
        </w:tc>
        <w:tc>
          <w:tcPr>
            <w:tcW w:w="1151" w:type="dxa"/>
            <w:shd w:val="clear" w:color="auto" w:fill="FABF8F" w:themeFill="accent6" w:themeFillTint="99"/>
            <w:vAlign w:val="center"/>
            <w:hideMark/>
          </w:tcPr>
          <w:p w14:paraId="28DD329B" w14:textId="380A408F" w:rsidR="006B40C9" w:rsidRPr="000F0222" w:rsidRDefault="006B40C9" w:rsidP="00946E94">
            <w:pPr>
              <w:jc w:val="center"/>
              <w:rPr>
                <w:b/>
                <w:lang w:val="en-GB"/>
              </w:rPr>
            </w:pPr>
            <w:r w:rsidRPr="000F0222">
              <w:rPr>
                <w:b/>
                <w:lang w:val="en-GB"/>
              </w:rPr>
              <w:t>2</w:t>
            </w:r>
            <w:r w:rsidR="008B5334" w:rsidRPr="000F0222">
              <w:rPr>
                <w:b/>
                <w:lang w:val="en-GB"/>
              </w:rPr>
              <w:t xml:space="preserve"> / 2</w:t>
            </w:r>
            <w:r w:rsidR="00F500EE" w:rsidRPr="000F0222">
              <w:rPr>
                <w:b/>
                <w:lang w:val="en-GB"/>
              </w:rPr>
              <w:t xml:space="preserve"> / </w:t>
            </w:r>
            <w:r w:rsidR="00F500EE" w:rsidRPr="000F0222">
              <w:rPr>
                <w:b/>
                <w:color w:val="FF0000"/>
                <w:lang w:val="en-GB"/>
              </w:rPr>
              <w:t>2</w:t>
            </w:r>
          </w:p>
        </w:tc>
        <w:tc>
          <w:tcPr>
            <w:tcW w:w="1151" w:type="dxa"/>
            <w:shd w:val="clear" w:color="auto" w:fill="FABF8F" w:themeFill="accent6" w:themeFillTint="99"/>
            <w:vAlign w:val="center"/>
            <w:hideMark/>
          </w:tcPr>
          <w:p w14:paraId="48EB3DD9" w14:textId="475549B3" w:rsidR="006B40C9" w:rsidRPr="000F0222" w:rsidRDefault="006B40C9" w:rsidP="00946E94">
            <w:pPr>
              <w:jc w:val="center"/>
              <w:rPr>
                <w:b/>
                <w:lang w:val="en-GB"/>
              </w:rPr>
            </w:pPr>
            <w:r w:rsidRPr="000F0222">
              <w:rPr>
                <w:b/>
                <w:lang w:val="en-GB"/>
              </w:rPr>
              <w:t>3</w:t>
            </w:r>
            <w:r w:rsidR="008B5334" w:rsidRPr="000F0222">
              <w:rPr>
                <w:b/>
                <w:lang w:val="en-GB"/>
              </w:rPr>
              <w:t xml:space="preserve"> / 3</w:t>
            </w:r>
            <w:r w:rsidR="00F500EE" w:rsidRPr="000F0222">
              <w:rPr>
                <w:b/>
                <w:lang w:val="en-GB"/>
              </w:rPr>
              <w:t xml:space="preserve"> / </w:t>
            </w:r>
            <w:r w:rsidR="009C3E10" w:rsidRPr="000F0222">
              <w:rPr>
                <w:b/>
                <w:color w:val="FF0000"/>
                <w:lang w:val="en-GB"/>
              </w:rPr>
              <w:t>2</w:t>
            </w:r>
          </w:p>
        </w:tc>
        <w:tc>
          <w:tcPr>
            <w:tcW w:w="1151" w:type="dxa"/>
            <w:shd w:val="clear" w:color="auto" w:fill="FABF8F" w:themeFill="accent6" w:themeFillTint="99"/>
            <w:vAlign w:val="center"/>
            <w:hideMark/>
          </w:tcPr>
          <w:p w14:paraId="03B089FF" w14:textId="0FD9520D" w:rsidR="006B40C9" w:rsidRPr="000F0222" w:rsidRDefault="006B40C9" w:rsidP="00946E94">
            <w:pPr>
              <w:jc w:val="center"/>
              <w:rPr>
                <w:b/>
                <w:lang w:val="en-GB"/>
              </w:rPr>
            </w:pPr>
            <w:r w:rsidRPr="000F0222">
              <w:rPr>
                <w:b/>
                <w:lang w:val="en-GB"/>
              </w:rPr>
              <w:t>10</w:t>
            </w:r>
            <w:r w:rsidR="008B5334" w:rsidRPr="000F0222">
              <w:rPr>
                <w:b/>
                <w:lang w:val="en-GB"/>
              </w:rPr>
              <w:t xml:space="preserve"> / 8</w:t>
            </w:r>
            <w:r w:rsidR="000C706C" w:rsidRPr="000F0222">
              <w:rPr>
                <w:b/>
                <w:lang w:val="en-GB"/>
              </w:rPr>
              <w:t xml:space="preserve"> / </w:t>
            </w:r>
            <w:r w:rsidR="009C3E10" w:rsidRPr="000F0222">
              <w:rPr>
                <w:b/>
                <w:lang w:val="en-GB"/>
              </w:rPr>
              <w:t>8</w:t>
            </w:r>
          </w:p>
        </w:tc>
      </w:tr>
      <w:tr w:rsidR="006B40C9" w:rsidRPr="004779F8" w14:paraId="4D46B94E" w14:textId="77777777" w:rsidTr="008C175E">
        <w:trPr>
          <w:trHeight w:val="851"/>
          <w:jc w:val="center"/>
        </w:trPr>
        <w:tc>
          <w:tcPr>
            <w:tcW w:w="1526" w:type="dxa"/>
            <w:shd w:val="clear" w:color="auto" w:fill="FFFF99"/>
            <w:vAlign w:val="center"/>
            <w:hideMark/>
          </w:tcPr>
          <w:p w14:paraId="7F73E187" w14:textId="77777777" w:rsidR="006B40C9" w:rsidRPr="000F0222" w:rsidRDefault="006B40C9" w:rsidP="00946E94">
            <w:pPr>
              <w:jc w:val="center"/>
              <w:rPr>
                <w:b/>
                <w:sz w:val="22"/>
                <w:szCs w:val="22"/>
                <w:lang w:val="en-GB"/>
              </w:rPr>
            </w:pPr>
            <w:r w:rsidRPr="000F0222">
              <w:rPr>
                <w:b/>
                <w:sz w:val="22"/>
                <w:szCs w:val="22"/>
                <w:lang w:val="en-GB"/>
              </w:rPr>
              <w:t>Good progress</w:t>
            </w:r>
          </w:p>
        </w:tc>
        <w:tc>
          <w:tcPr>
            <w:tcW w:w="1151" w:type="dxa"/>
            <w:shd w:val="clear" w:color="auto" w:fill="FFFF99"/>
            <w:vAlign w:val="center"/>
            <w:hideMark/>
          </w:tcPr>
          <w:p w14:paraId="1B9FF83F" w14:textId="3E871FDD" w:rsidR="006B40C9" w:rsidRPr="000F0222" w:rsidRDefault="006B40C9" w:rsidP="00946E94">
            <w:pPr>
              <w:jc w:val="center"/>
              <w:rPr>
                <w:b/>
                <w:lang w:val="en-GB"/>
              </w:rPr>
            </w:pPr>
            <w:r w:rsidRPr="000F0222">
              <w:rPr>
                <w:b/>
                <w:lang w:val="en-GB"/>
              </w:rPr>
              <w:t>2</w:t>
            </w:r>
            <w:r w:rsidR="008B5334" w:rsidRPr="000F0222">
              <w:rPr>
                <w:b/>
                <w:lang w:val="en-GB"/>
              </w:rPr>
              <w:t xml:space="preserve"> / 3</w:t>
            </w:r>
            <w:r w:rsidR="00F500EE" w:rsidRPr="000F0222">
              <w:rPr>
                <w:b/>
                <w:lang w:val="en-GB"/>
              </w:rPr>
              <w:t xml:space="preserve"> / </w:t>
            </w:r>
            <w:r w:rsidR="00F500EE" w:rsidRPr="000F0222">
              <w:rPr>
                <w:b/>
                <w:color w:val="FF0000"/>
                <w:lang w:val="en-GB"/>
              </w:rPr>
              <w:t>3</w:t>
            </w:r>
          </w:p>
        </w:tc>
        <w:tc>
          <w:tcPr>
            <w:tcW w:w="1151" w:type="dxa"/>
            <w:shd w:val="clear" w:color="auto" w:fill="FFFF99"/>
            <w:vAlign w:val="center"/>
            <w:hideMark/>
          </w:tcPr>
          <w:p w14:paraId="63035AA2" w14:textId="16CB1817" w:rsidR="006B40C9" w:rsidRPr="000F0222" w:rsidRDefault="006B40C9" w:rsidP="00946E94">
            <w:pPr>
              <w:jc w:val="center"/>
              <w:rPr>
                <w:b/>
                <w:lang w:val="en-GB"/>
              </w:rPr>
            </w:pPr>
            <w:r w:rsidRPr="000F0222">
              <w:rPr>
                <w:b/>
                <w:lang w:val="en-GB"/>
              </w:rPr>
              <w:t>4</w:t>
            </w:r>
            <w:r w:rsidR="008B5334" w:rsidRPr="000F0222">
              <w:rPr>
                <w:b/>
                <w:lang w:val="en-GB"/>
              </w:rPr>
              <w:t xml:space="preserve"> / 3</w:t>
            </w:r>
            <w:r w:rsidR="00F500EE" w:rsidRPr="000F0222">
              <w:rPr>
                <w:b/>
                <w:lang w:val="en-GB"/>
              </w:rPr>
              <w:t xml:space="preserve"> / </w:t>
            </w:r>
            <w:r w:rsidR="00F500EE" w:rsidRPr="000F0222">
              <w:rPr>
                <w:b/>
                <w:color w:val="FF0000"/>
                <w:lang w:val="en-GB"/>
              </w:rPr>
              <w:t>2</w:t>
            </w:r>
          </w:p>
        </w:tc>
        <w:tc>
          <w:tcPr>
            <w:tcW w:w="1151" w:type="dxa"/>
            <w:shd w:val="clear" w:color="auto" w:fill="FFFF99"/>
            <w:vAlign w:val="center"/>
          </w:tcPr>
          <w:p w14:paraId="12B8D936" w14:textId="2D1406BA" w:rsidR="006B40C9" w:rsidRPr="000F0222" w:rsidRDefault="00F500EE" w:rsidP="00946E94">
            <w:pPr>
              <w:jc w:val="center"/>
              <w:rPr>
                <w:b/>
                <w:lang w:val="en-GB"/>
              </w:rPr>
            </w:pPr>
            <w:r w:rsidRPr="000F0222">
              <w:rPr>
                <w:b/>
                <w:lang w:val="en-GB"/>
              </w:rPr>
              <w:t xml:space="preserve">- / </w:t>
            </w:r>
            <w:r w:rsidR="008B5334" w:rsidRPr="000F0222">
              <w:rPr>
                <w:b/>
                <w:lang w:val="en-GB"/>
              </w:rPr>
              <w:t>1</w:t>
            </w:r>
            <w:r w:rsidRPr="000F0222">
              <w:rPr>
                <w:b/>
                <w:lang w:val="en-GB"/>
              </w:rPr>
              <w:t xml:space="preserve"> / </w:t>
            </w:r>
            <w:r w:rsidRPr="000F0222">
              <w:rPr>
                <w:b/>
                <w:color w:val="FF0000"/>
                <w:lang w:val="en-GB"/>
              </w:rPr>
              <w:t>-</w:t>
            </w:r>
          </w:p>
        </w:tc>
        <w:tc>
          <w:tcPr>
            <w:tcW w:w="1151" w:type="dxa"/>
            <w:shd w:val="clear" w:color="auto" w:fill="FFFF99"/>
            <w:vAlign w:val="center"/>
          </w:tcPr>
          <w:p w14:paraId="5871B6B8" w14:textId="77777777" w:rsidR="006B40C9" w:rsidRPr="000F0222" w:rsidRDefault="006B40C9" w:rsidP="00946E94">
            <w:pPr>
              <w:jc w:val="center"/>
              <w:rPr>
                <w:b/>
                <w:lang w:val="en-GB"/>
              </w:rPr>
            </w:pPr>
          </w:p>
        </w:tc>
        <w:tc>
          <w:tcPr>
            <w:tcW w:w="1151" w:type="dxa"/>
            <w:shd w:val="clear" w:color="auto" w:fill="FFFF99"/>
            <w:vAlign w:val="center"/>
            <w:hideMark/>
          </w:tcPr>
          <w:p w14:paraId="1D7BA356" w14:textId="76BD624E" w:rsidR="006B40C9" w:rsidRPr="000F0222" w:rsidRDefault="006B40C9" w:rsidP="00946E94">
            <w:pPr>
              <w:jc w:val="center"/>
              <w:rPr>
                <w:b/>
                <w:lang w:val="en-GB"/>
              </w:rPr>
            </w:pPr>
            <w:r w:rsidRPr="000F0222">
              <w:rPr>
                <w:b/>
                <w:lang w:val="en-GB"/>
              </w:rPr>
              <w:t>3</w:t>
            </w:r>
            <w:r w:rsidR="008B5334" w:rsidRPr="000F0222">
              <w:rPr>
                <w:b/>
                <w:lang w:val="en-GB"/>
              </w:rPr>
              <w:t xml:space="preserve"> / 2</w:t>
            </w:r>
            <w:r w:rsidR="00F500EE" w:rsidRPr="000F0222">
              <w:rPr>
                <w:b/>
                <w:lang w:val="en-GB"/>
              </w:rPr>
              <w:t xml:space="preserve"> / </w:t>
            </w:r>
            <w:r w:rsidR="009C3E10" w:rsidRPr="000F0222">
              <w:rPr>
                <w:b/>
                <w:color w:val="FF0000"/>
                <w:lang w:val="en-GB"/>
              </w:rPr>
              <w:t>2</w:t>
            </w:r>
          </w:p>
        </w:tc>
        <w:tc>
          <w:tcPr>
            <w:tcW w:w="1151" w:type="dxa"/>
            <w:shd w:val="clear" w:color="auto" w:fill="FFFF99"/>
            <w:vAlign w:val="center"/>
            <w:hideMark/>
          </w:tcPr>
          <w:p w14:paraId="2B35E2B3" w14:textId="43D2E982" w:rsidR="006B40C9" w:rsidRPr="000F0222" w:rsidRDefault="006B40C9" w:rsidP="00946E94">
            <w:pPr>
              <w:jc w:val="center"/>
              <w:rPr>
                <w:b/>
                <w:lang w:val="en-GB"/>
              </w:rPr>
            </w:pPr>
            <w:r w:rsidRPr="000F0222">
              <w:rPr>
                <w:b/>
                <w:lang w:val="en-GB"/>
              </w:rPr>
              <w:t>9</w:t>
            </w:r>
            <w:r w:rsidR="008B5334" w:rsidRPr="000F0222">
              <w:rPr>
                <w:b/>
                <w:lang w:val="en-GB"/>
              </w:rPr>
              <w:t xml:space="preserve"> / 9</w:t>
            </w:r>
            <w:r w:rsidR="000C706C" w:rsidRPr="000F0222">
              <w:rPr>
                <w:b/>
                <w:lang w:val="en-GB"/>
              </w:rPr>
              <w:t xml:space="preserve"> / </w:t>
            </w:r>
            <w:r w:rsidR="009C3E10" w:rsidRPr="000F0222">
              <w:rPr>
                <w:b/>
                <w:lang w:val="en-GB"/>
              </w:rPr>
              <w:t>7</w:t>
            </w:r>
          </w:p>
        </w:tc>
      </w:tr>
      <w:tr w:rsidR="00FF1A82" w:rsidRPr="004779F8" w14:paraId="451953D3" w14:textId="77777777" w:rsidTr="00FF1A82">
        <w:trPr>
          <w:trHeight w:val="851"/>
          <w:jc w:val="center"/>
        </w:trPr>
        <w:tc>
          <w:tcPr>
            <w:tcW w:w="1526" w:type="dxa"/>
            <w:shd w:val="clear" w:color="auto" w:fill="C2D69B" w:themeFill="accent3" w:themeFillTint="99"/>
            <w:vAlign w:val="center"/>
            <w:hideMark/>
          </w:tcPr>
          <w:p w14:paraId="2D3FBBBB" w14:textId="77777777" w:rsidR="006B40C9" w:rsidRPr="000F0222" w:rsidRDefault="006B40C9" w:rsidP="00946E94">
            <w:pPr>
              <w:jc w:val="center"/>
              <w:rPr>
                <w:b/>
                <w:sz w:val="22"/>
                <w:szCs w:val="22"/>
                <w:lang w:val="en-GB"/>
              </w:rPr>
            </w:pPr>
            <w:r w:rsidRPr="000F0222">
              <w:rPr>
                <w:b/>
                <w:sz w:val="22"/>
                <w:szCs w:val="22"/>
                <w:lang w:val="en-GB"/>
              </w:rPr>
              <w:t>Significant progress</w:t>
            </w:r>
          </w:p>
        </w:tc>
        <w:tc>
          <w:tcPr>
            <w:tcW w:w="1151" w:type="dxa"/>
            <w:shd w:val="clear" w:color="auto" w:fill="C2D69B" w:themeFill="accent3" w:themeFillTint="99"/>
            <w:vAlign w:val="center"/>
          </w:tcPr>
          <w:p w14:paraId="0111B8F9" w14:textId="77777777" w:rsidR="006B40C9" w:rsidRPr="000F0222" w:rsidRDefault="006B40C9" w:rsidP="00946E94">
            <w:pPr>
              <w:jc w:val="center"/>
              <w:rPr>
                <w:b/>
                <w:lang w:val="en-GB"/>
              </w:rPr>
            </w:pPr>
          </w:p>
        </w:tc>
        <w:tc>
          <w:tcPr>
            <w:tcW w:w="1151" w:type="dxa"/>
            <w:shd w:val="clear" w:color="auto" w:fill="C2D69B" w:themeFill="accent3" w:themeFillTint="99"/>
            <w:vAlign w:val="center"/>
          </w:tcPr>
          <w:p w14:paraId="1FF1D93D" w14:textId="28CB4D8A" w:rsidR="006B40C9" w:rsidRPr="000F0222" w:rsidRDefault="00F500EE" w:rsidP="00946E94">
            <w:pPr>
              <w:jc w:val="center"/>
              <w:rPr>
                <w:b/>
                <w:lang w:val="en-GB"/>
              </w:rPr>
            </w:pPr>
            <w:r w:rsidRPr="000F0222">
              <w:rPr>
                <w:b/>
                <w:lang w:val="en-GB"/>
              </w:rPr>
              <w:t xml:space="preserve">- / </w:t>
            </w:r>
            <w:r w:rsidR="008B5334" w:rsidRPr="000F0222">
              <w:rPr>
                <w:b/>
                <w:lang w:val="en-GB"/>
              </w:rPr>
              <w:t>1</w:t>
            </w:r>
            <w:r w:rsidRPr="000F0222">
              <w:rPr>
                <w:b/>
                <w:lang w:val="en-GB"/>
              </w:rPr>
              <w:t xml:space="preserve"> / </w:t>
            </w:r>
            <w:r w:rsidRPr="000F0222">
              <w:rPr>
                <w:b/>
                <w:color w:val="FF0000"/>
                <w:lang w:val="en-GB"/>
              </w:rPr>
              <w:t>1</w:t>
            </w:r>
          </w:p>
        </w:tc>
        <w:tc>
          <w:tcPr>
            <w:tcW w:w="1151" w:type="dxa"/>
            <w:shd w:val="clear" w:color="auto" w:fill="C2D69B" w:themeFill="accent3" w:themeFillTint="99"/>
            <w:vAlign w:val="center"/>
            <w:hideMark/>
          </w:tcPr>
          <w:p w14:paraId="1C27B628" w14:textId="2BCDC2B7" w:rsidR="006B40C9" w:rsidRPr="000F0222" w:rsidRDefault="006B40C9" w:rsidP="00946E94">
            <w:pPr>
              <w:jc w:val="center"/>
              <w:rPr>
                <w:b/>
                <w:lang w:val="en-GB"/>
              </w:rPr>
            </w:pPr>
            <w:r w:rsidRPr="000F0222">
              <w:rPr>
                <w:b/>
                <w:lang w:val="en-GB"/>
              </w:rPr>
              <w:t>1</w:t>
            </w:r>
            <w:r w:rsidR="008B5334" w:rsidRPr="000F0222">
              <w:rPr>
                <w:b/>
                <w:lang w:val="en-GB"/>
              </w:rPr>
              <w:t xml:space="preserve"> / 1</w:t>
            </w:r>
            <w:r w:rsidR="00F500EE" w:rsidRPr="000F0222">
              <w:rPr>
                <w:b/>
                <w:lang w:val="en-GB"/>
              </w:rPr>
              <w:t xml:space="preserve"> / </w:t>
            </w:r>
            <w:r w:rsidR="00F500EE" w:rsidRPr="000F0222">
              <w:rPr>
                <w:b/>
                <w:color w:val="FF0000"/>
                <w:lang w:val="en-GB"/>
              </w:rPr>
              <w:t>2</w:t>
            </w:r>
          </w:p>
        </w:tc>
        <w:tc>
          <w:tcPr>
            <w:tcW w:w="1151" w:type="dxa"/>
            <w:shd w:val="clear" w:color="auto" w:fill="C2D69B" w:themeFill="accent3" w:themeFillTint="99"/>
            <w:vAlign w:val="center"/>
          </w:tcPr>
          <w:p w14:paraId="3A83D5F7" w14:textId="77777777" w:rsidR="006B40C9" w:rsidRPr="000F0222" w:rsidRDefault="006B40C9" w:rsidP="00946E94">
            <w:pPr>
              <w:jc w:val="center"/>
              <w:rPr>
                <w:b/>
                <w:lang w:val="en-GB"/>
              </w:rPr>
            </w:pPr>
          </w:p>
        </w:tc>
        <w:tc>
          <w:tcPr>
            <w:tcW w:w="1151" w:type="dxa"/>
            <w:shd w:val="clear" w:color="auto" w:fill="C2D69B" w:themeFill="accent3" w:themeFillTint="99"/>
            <w:vAlign w:val="center"/>
            <w:hideMark/>
          </w:tcPr>
          <w:p w14:paraId="6EB4341D" w14:textId="47F6B1CD" w:rsidR="006B40C9" w:rsidRPr="000F0222" w:rsidRDefault="006B40C9" w:rsidP="00946E94">
            <w:pPr>
              <w:jc w:val="center"/>
              <w:rPr>
                <w:b/>
                <w:lang w:val="en-GB"/>
              </w:rPr>
            </w:pPr>
            <w:r w:rsidRPr="000F0222">
              <w:rPr>
                <w:b/>
                <w:lang w:val="en-GB"/>
              </w:rPr>
              <w:t>1</w:t>
            </w:r>
            <w:r w:rsidR="008B5334" w:rsidRPr="000F0222">
              <w:rPr>
                <w:b/>
                <w:lang w:val="en-GB"/>
              </w:rPr>
              <w:t xml:space="preserve"> / 1</w:t>
            </w:r>
            <w:r w:rsidR="00F500EE" w:rsidRPr="000F0222">
              <w:rPr>
                <w:b/>
                <w:lang w:val="en-GB"/>
              </w:rPr>
              <w:t xml:space="preserve"> / </w:t>
            </w:r>
            <w:r w:rsidR="00F500EE" w:rsidRPr="000F0222">
              <w:rPr>
                <w:b/>
                <w:color w:val="FF0000"/>
                <w:lang w:val="en-GB"/>
              </w:rPr>
              <w:t>2</w:t>
            </w:r>
          </w:p>
        </w:tc>
        <w:tc>
          <w:tcPr>
            <w:tcW w:w="1151" w:type="dxa"/>
            <w:shd w:val="clear" w:color="auto" w:fill="C2D69B" w:themeFill="accent3" w:themeFillTint="99"/>
            <w:vAlign w:val="center"/>
            <w:hideMark/>
          </w:tcPr>
          <w:p w14:paraId="12403AB8" w14:textId="5D157942" w:rsidR="006B40C9" w:rsidRPr="000F0222" w:rsidRDefault="006B40C9" w:rsidP="00946E94">
            <w:pPr>
              <w:jc w:val="center"/>
              <w:rPr>
                <w:b/>
                <w:lang w:val="en-GB"/>
              </w:rPr>
            </w:pPr>
            <w:r w:rsidRPr="000F0222">
              <w:rPr>
                <w:b/>
                <w:lang w:val="en-GB"/>
              </w:rPr>
              <w:t>2</w:t>
            </w:r>
            <w:r w:rsidR="008B5334" w:rsidRPr="000F0222">
              <w:rPr>
                <w:b/>
                <w:lang w:val="en-GB"/>
              </w:rPr>
              <w:t xml:space="preserve"> / 3</w:t>
            </w:r>
            <w:r w:rsidR="000C706C" w:rsidRPr="000F0222">
              <w:rPr>
                <w:b/>
                <w:lang w:val="en-GB"/>
              </w:rPr>
              <w:t xml:space="preserve"> / </w:t>
            </w:r>
            <w:r w:rsidR="000C706C" w:rsidRPr="000F0222">
              <w:rPr>
                <w:b/>
                <w:color w:val="FF0000"/>
                <w:lang w:val="en-GB"/>
              </w:rPr>
              <w:t>5</w:t>
            </w:r>
          </w:p>
        </w:tc>
      </w:tr>
      <w:tr w:rsidR="00FF1A82" w:rsidRPr="004779F8" w14:paraId="0143BE68" w14:textId="77777777" w:rsidTr="00FF1A82">
        <w:trPr>
          <w:trHeight w:val="851"/>
          <w:jc w:val="center"/>
        </w:trPr>
        <w:tc>
          <w:tcPr>
            <w:tcW w:w="1526" w:type="dxa"/>
            <w:shd w:val="clear" w:color="auto" w:fill="C2D69B" w:themeFill="accent3" w:themeFillTint="99"/>
            <w:vAlign w:val="center"/>
            <w:hideMark/>
          </w:tcPr>
          <w:p w14:paraId="77B19B38" w14:textId="77777777" w:rsidR="006B40C9" w:rsidRPr="000F0222" w:rsidRDefault="006B40C9" w:rsidP="00946E94">
            <w:pPr>
              <w:jc w:val="center"/>
              <w:rPr>
                <w:b/>
                <w:sz w:val="22"/>
                <w:szCs w:val="22"/>
                <w:lang w:val="en-GB"/>
              </w:rPr>
            </w:pPr>
            <w:r w:rsidRPr="000F0222">
              <w:rPr>
                <w:b/>
                <w:sz w:val="22"/>
                <w:szCs w:val="22"/>
                <w:lang w:val="en-GB"/>
              </w:rPr>
              <w:t>Reached</w:t>
            </w:r>
          </w:p>
        </w:tc>
        <w:tc>
          <w:tcPr>
            <w:tcW w:w="1151" w:type="dxa"/>
            <w:shd w:val="clear" w:color="auto" w:fill="C2D69B" w:themeFill="accent3" w:themeFillTint="99"/>
            <w:vAlign w:val="center"/>
          </w:tcPr>
          <w:p w14:paraId="739C9DD0" w14:textId="77777777" w:rsidR="006B40C9" w:rsidRPr="000F0222" w:rsidRDefault="006B40C9" w:rsidP="00946E94">
            <w:pPr>
              <w:jc w:val="center"/>
              <w:rPr>
                <w:b/>
                <w:lang w:val="en-GB"/>
              </w:rPr>
            </w:pPr>
          </w:p>
        </w:tc>
        <w:tc>
          <w:tcPr>
            <w:tcW w:w="1151" w:type="dxa"/>
            <w:shd w:val="clear" w:color="auto" w:fill="C2D69B" w:themeFill="accent3" w:themeFillTint="99"/>
            <w:vAlign w:val="center"/>
          </w:tcPr>
          <w:p w14:paraId="5A5F391C" w14:textId="386A63DC" w:rsidR="006B40C9" w:rsidRPr="000F0222" w:rsidRDefault="00F500EE" w:rsidP="00946E94">
            <w:pPr>
              <w:jc w:val="center"/>
              <w:rPr>
                <w:b/>
                <w:lang w:val="en-GB"/>
              </w:rPr>
            </w:pPr>
            <w:r w:rsidRPr="000F0222">
              <w:rPr>
                <w:b/>
                <w:lang w:val="en-GB"/>
              </w:rPr>
              <w:t xml:space="preserve">- / - / </w:t>
            </w:r>
            <w:r w:rsidRPr="000F0222">
              <w:rPr>
                <w:b/>
                <w:color w:val="FF0000"/>
                <w:lang w:val="en-GB"/>
              </w:rPr>
              <w:t>1</w:t>
            </w:r>
          </w:p>
        </w:tc>
        <w:tc>
          <w:tcPr>
            <w:tcW w:w="1151" w:type="dxa"/>
            <w:shd w:val="clear" w:color="auto" w:fill="C2D69B" w:themeFill="accent3" w:themeFillTint="99"/>
            <w:vAlign w:val="center"/>
          </w:tcPr>
          <w:p w14:paraId="121ECD74" w14:textId="77777777" w:rsidR="006B40C9" w:rsidRPr="000F0222" w:rsidRDefault="006B40C9" w:rsidP="00946E94">
            <w:pPr>
              <w:jc w:val="center"/>
              <w:rPr>
                <w:b/>
                <w:lang w:val="en-GB"/>
              </w:rPr>
            </w:pPr>
          </w:p>
        </w:tc>
        <w:tc>
          <w:tcPr>
            <w:tcW w:w="1151" w:type="dxa"/>
            <w:shd w:val="clear" w:color="auto" w:fill="C2D69B" w:themeFill="accent3" w:themeFillTint="99"/>
            <w:vAlign w:val="center"/>
            <w:hideMark/>
          </w:tcPr>
          <w:p w14:paraId="42BC8C4B" w14:textId="0CC444EC" w:rsidR="006B40C9" w:rsidRPr="000F0222" w:rsidRDefault="006B40C9" w:rsidP="00946E94">
            <w:pPr>
              <w:jc w:val="center"/>
              <w:rPr>
                <w:b/>
                <w:lang w:val="en-GB"/>
              </w:rPr>
            </w:pPr>
            <w:r w:rsidRPr="000F0222">
              <w:rPr>
                <w:b/>
                <w:lang w:val="en-GB"/>
              </w:rPr>
              <w:t>1</w:t>
            </w:r>
            <w:r w:rsidR="008B5334" w:rsidRPr="000F0222">
              <w:rPr>
                <w:b/>
                <w:lang w:val="en-GB"/>
              </w:rPr>
              <w:t xml:space="preserve"> / 1</w:t>
            </w:r>
            <w:r w:rsidR="00F500EE" w:rsidRPr="000F0222">
              <w:rPr>
                <w:b/>
                <w:lang w:val="en-GB"/>
              </w:rPr>
              <w:t xml:space="preserve"> / </w:t>
            </w:r>
            <w:r w:rsidR="00F500EE" w:rsidRPr="000F0222">
              <w:rPr>
                <w:b/>
                <w:color w:val="FF0000"/>
                <w:lang w:val="en-GB"/>
              </w:rPr>
              <w:t>1</w:t>
            </w:r>
          </w:p>
        </w:tc>
        <w:tc>
          <w:tcPr>
            <w:tcW w:w="1151" w:type="dxa"/>
            <w:shd w:val="clear" w:color="auto" w:fill="C2D69B" w:themeFill="accent3" w:themeFillTint="99"/>
            <w:vAlign w:val="center"/>
          </w:tcPr>
          <w:p w14:paraId="565EF914" w14:textId="7A05EAB5" w:rsidR="006B40C9" w:rsidRPr="000F0222" w:rsidRDefault="00F500EE" w:rsidP="00946E94">
            <w:pPr>
              <w:jc w:val="center"/>
              <w:rPr>
                <w:b/>
                <w:lang w:val="en-GB"/>
              </w:rPr>
            </w:pPr>
            <w:r w:rsidRPr="000F0222">
              <w:rPr>
                <w:b/>
                <w:lang w:val="en-GB"/>
              </w:rPr>
              <w:t xml:space="preserve">- / </w:t>
            </w:r>
            <w:r w:rsidR="008B5334" w:rsidRPr="000F0222">
              <w:rPr>
                <w:b/>
                <w:lang w:val="en-GB"/>
              </w:rPr>
              <w:t>1</w:t>
            </w:r>
            <w:r w:rsidRPr="000F0222">
              <w:rPr>
                <w:b/>
                <w:lang w:val="en-GB"/>
              </w:rPr>
              <w:t xml:space="preserve"> / </w:t>
            </w:r>
            <w:r w:rsidRPr="000F0222">
              <w:rPr>
                <w:b/>
                <w:color w:val="FF0000"/>
                <w:lang w:val="en-GB"/>
              </w:rPr>
              <w:t>1</w:t>
            </w:r>
          </w:p>
        </w:tc>
        <w:tc>
          <w:tcPr>
            <w:tcW w:w="1151" w:type="dxa"/>
            <w:shd w:val="clear" w:color="auto" w:fill="C2D69B" w:themeFill="accent3" w:themeFillTint="99"/>
            <w:vAlign w:val="center"/>
            <w:hideMark/>
          </w:tcPr>
          <w:p w14:paraId="14865A52" w14:textId="372DE2E6" w:rsidR="006B40C9" w:rsidRPr="000F0222" w:rsidRDefault="006B40C9" w:rsidP="00946E94">
            <w:pPr>
              <w:jc w:val="center"/>
              <w:rPr>
                <w:b/>
                <w:lang w:val="en-GB"/>
              </w:rPr>
            </w:pPr>
            <w:r w:rsidRPr="000F0222">
              <w:rPr>
                <w:b/>
                <w:lang w:val="en-GB"/>
              </w:rPr>
              <w:t>1</w:t>
            </w:r>
            <w:r w:rsidR="008B5334" w:rsidRPr="000F0222">
              <w:rPr>
                <w:b/>
                <w:lang w:val="en-GB"/>
              </w:rPr>
              <w:t xml:space="preserve"> / 2</w:t>
            </w:r>
            <w:r w:rsidR="000C706C" w:rsidRPr="000F0222">
              <w:rPr>
                <w:b/>
                <w:lang w:val="en-GB"/>
              </w:rPr>
              <w:t xml:space="preserve"> / </w:t>
            </w:r>
            <w:r w:rsidR="000C706C" w:rsidRPr="000F0222">
              <w:rPr>
                <w:b/>
                <w:color w:val="FF0000"/>
                <w:lang w:val="en-GB"/>
              </w:rPr>
              <w:t>3</w:t>
            </w:r>
          </w:p>
        </w:tc>
      </w:tr>
      <w:tr w:rsidR="006B40C9" w:rsidRPr="004779F8" w14:paraId="1F6F63CF" w14:textId="77777777" w:rsidTr="008C175E">
        <w:trPr>
          <w:trHeight w:val="851"/>
          <w:jc w:val="center"/>
        </w:trPr>
        <w:tc>
          <w:tcPr>
            <w:tcW w:w="1526" w:type="dxa"/>
            <w:shd w:val="clear" w:color="auto" w:fill="A6A6A6" w:themeFill="background1" w:themeFillShade="A6"/>
            <w:vAlign w:val="center"/>
            <w:hideMark/>
          </w:tcPr>
          <w:p w14:paraId="1EEC3B41" w14:textId="77777777" w:rsidR="006B40C9" w:rsidRPr="000F0222" w:rsidRDefault="006B40C9" w:rsidP="00946E94">
            <w:pPr>
              <w:jc w:val="center"/>
              <w:rPr>
                <w:b/>
                <w:sz w:val="22"/>
                <w:szCs w:val="22"/>
                <w:lang w:val="en-GB"/>
              </w:rPr>
            </w:pPr>
            <w:r w:rsidRPr="000F0222">
              <w:rPr>
                <w:b/>
                <w:sz w:val="22"/>
                <w:szCs w:val="22"/>
                <w:lang w:val="en-GB"/>
              </w:rPr>
              <w:t>Not assessed</w:t>
            </w:r>
          </w:p>
        </w:tc>
        <w:tc>
          <w:tcPr>
            <w:tcW w:w="1151" w:type="dxa"/>
            <w:shd w:val="clear" w:color="auto" w:fill="A6A6A6" w:themeFill="background1" w:themeFillShade="A6"/>
            <w:vAlign w:val="center"/>
          </w:tcPr>
          <w:p w14:paraId="67A9EB2D" w14:textId="4E5CE944" w:rsidR="006B40C9" w:rsidRPr="000F0222" w:rsidRDefault="00F500EE" w:rsidP="00946E94">
            <w:pPr>
              <w:jc w:val="center"/>
              <w:rPr>
                <w:b/>
                <w:lang w:val="en-GB"/>
              </w:rPr>
            </w:pPr>
            <w:r w:rsidRPr="000F0222">
              <w:rPr>
                <w:b/>
                <w:lang w:val="en-GB"/>
              </w:rPr>
              <w:t xml:space="preserve">- / </w:t>
            </w:r>
            <w:r w:rsidR="008B5334" w:rsidRPr="000F0222">
              <w:rPr>
                <w:b/>
                <w:lang w:val="en-GB"/>
              </w:rPr>
              <w:t>1</w:t>
            </w:r>
            <w:r w:rsidRPr="000F0222">
              <w:rPr>
                <w:b/>
                <w:lang w:val="en-GB"/>
              </w:rPr>
              <w:t xml:space="preserve"> / </w:t>
            </w:r>
            <w:r w:rsidRPr="000F0222">
              <w:rPr>
                <w:b/>
                <w:color w:val="FF0000"/>
                <w:lang w:val="en-GB"/>
              </w:rPr>
              <w:t>-</w:t>
            </w:r>
          </w:p>
        </w:tc>
        <w:tc>
          <w:tcPr>
            <w:tcW w:w="1151" w:type="dxa"/>
            <w:shd w:val="clear" w:color="auto" w:fill="A6A6A6" w:themeFill="background1" w:themeFillShade="A6"/>
            <w:vAlign w:val="center"/>
            <w:hideMark/>
          </w:tcPr>
          <w:p w14:paraId="7CB01C63" w14:textId="77777777" w:rsidR="006B40C9" w:rsidRPr="000F0222" w:rsidRDefault="006B40C9" w:rsidP="00946E94">
            <w:pPr>
              <w:jc w:val="center"/>
              <w:rPr>
                <w:b/>
                <w:lang w:val="en-GB"/>
              </w:rPr>
            </w:pPr>
            <w:r w:rsidRPr="000F0222">
              <w:rPr>
                <w:b/>
                <w:lang w:val="en-GB"/>
              </w:rPr>
              <w:t>1</w:t>
            </w:r>
            <w:r w:rsidR="008B5334" w:rsidRPr="000F0222">
              <w:rPr>
                <w:b/>
                <w:lang w:val="en-GB"/>
              </w:rPr>
              <w:t xml:space="preserve"> / -</w:t>
            </w:r>
          </w:p>
        </w:tc>
        <w:tc>
          <w:tcPr>
            <w:tcW w:w="1151" w:type="dxa"/>
            <w:shd w:val="clear" w:color="auto" w:fill="A6A6A6" w:themeFill="background1" w:themeFillShade="A6"/>
            <w:vAlign w:val="center"/>
            <w:hideMark/>
          </w:tcPr>
          <w:p w14:paraId="0B3DEDDD" w14:textId="5ABC2C0F" w:rsidR="006B40C9" w:rsidRPr="000F0222" w:rsidRDefault="006B40C9" w:rsidP="00946E94">
            <w:pPr>
              <w:jc w:val="center"/>
              <w:rPr>
                <w:b/>
                <w:lang w:val="en-GB"/>
              </w:rPr>
            </w:pPr>
            <w:r w:rsidRPr="000F0222">
              <w:rPr>
                <w:b/>
                <w:lang w:val="en-GB"/>
              </w:rPr>
              <w:t>2</w:t>
            </w:r>
            <w:r w:rsidR="008B5334" w:rsidRPr="000F0222">
              <w:rPr>
                <w:b/>
                <w:lang w:val="en-GB"/>
              </w:rPr>
              <w:t xml:space="preserve"> / 2</w:t>
            </w:r>
            <w:r w:rsidR="00F500EE" w:rsidRPr="000F0222">
              <w:rPr>
                <w:b/>
                <w:lang w:val="en-GB"/>
              </w:rPr>
              <w:t xml:space="preserve"> / </w:t>
            </w:r>
            <w:r w:rsidR="00F500EE" w:rsidRPr="000F0222">
              <w:rPr>
                <w:b/>
                <w:color w:val="FF0000"/>
                <w:lang w:val="en-GB"/>
              </w:rPr>
              <w:t>2</w:t>
            </w:r>
          </w:p>
        </w:tc>
        <w:tc>
          <w:tcPr>
            <w:tcW w:w="1151" w:type="dxa"/>
            <w:shd w:val="clear" w:color="auto" w:fill="A6A6A6" w:themeFill="background1" w:themeFillShade="A6"/>
            <w:vAlign w:val="center"/>
          </w:tcPr>
          <w:p w14:paraId="61DB0057" w14:textId="77777777" w:rsidR="006B40C9" w:rsidRPr="000F0222" w:rsidRDefault="006B40C9" w:rsidP="00946E94">
            <w:pPr>
              <w:jc w:val="center"/>
              <w:rPr>
                <w:b/>
                <w:lang w:val="en-GB"/>
              </w:rPr>
            </w:pPr>
          </w:p>
        </w:tc>
        <w:tc>
          <w:tcPr>
            <w:tcW w:w="1151" w:type="dxa"/>
            <w:shd w:val="clear" w:color="auto" w:fill="A6A6A6" w:themeFill="background1" w:themeFillShade="A6"/>
            <w:vAlign w:val="center"/>
            <w:hideMark/>
          </w:tcPr>
          <w:p w14:paraId="29A8E744" w14:textId="3FCF2CA4" w:rsidR="006B40C9" w:rsidRPr="000F0222" w:rsidRDefault="006B40C9" w:rsidP="00946E94">
            <w:pPr>
              <w:jc w:val="center"/>
              <w:rPr>
                <w:b/>
                <w:lang w:val="en-GB"/>
              </w:rPr>
            </w:pPr>
            <w:r w:rsidRPr="000F0222">
              <w:rPr>
                <w:b/>
                <w:lang w:val="en-GB"/>
              </w:rPr>
              <w:t>1</w:t>
            </w:r>
            <w:r w:rsidR="008B5334" w:rsidRPr="000F0222">
              <w:rPr>
                <w:b/>
                <w:lang w:val="en-GB"/>
              </w:rPr>
              <w:t xml:space="preserve"> / 1 </w:t>
            </w:r>
            <w:r w:rsidR="00F500EE" w:rsidRPr="000F0222">
              <w:rPr>
                <w:b/>
                <w:lang w:val="en-GB"/>
              </w:rPr>
              <w:t xml:space="preserve">/ </w:t>
            </w:r>
            <w:r w:rsidR="00F500EE" w:rsidRPr="000F0222">
              <w:rPr>
                <w:b/>
                <w:color w:val="FF0000"/>
                <w:lang w:val="en-GB"/>
              </w:rPr>
              <w:t>1</w:t>
            </w:r>
          </w:p>
        </w:tc>
        <w:tc>
          <w:tcPr>
            <w:tcW w:w="1151" w:type="dxa"/>
            <w:shd w:val="clear" w:color="auto" w:fill="A6A6A6" w:themeFill="background1" w:themeFillShade="A6"/>
            <w:vAlign w:val="center"/>
            <w:hideMark/>
          </w:tcPr>
          <w:p w14:paraId="4FBCF77D" w14:textId="5CF08E3B" w:rsidR="006B40C9" w:rsidRPr="000F0222" w:rsidRDefault="006B40C9" w:rsidP="00946E94">
            <w:pPr>
              <w:jc w:val="center"/>
              <w:rPr>
                <w:b/>
                <w:lang w:val="en-GB"/>
              </w:rPr>
            </w:pPr>
            <w:r w:rsidRPr="000F0222">
              <w:rPr>
                <w:b/>
                <w:lang w:val="en-GB"/>
              </w:rPr>
              <w:t>4</w:t>
            </w:r>
            <w:r w:rsidR="008B5334" w:rsidRPr="000F0222">
              <w:rPr>
                <w:b/>
                <w:lang w:val="en-GB"/>
              </w:rPr>
              <w:t xml:space="preserve"> / 4</w:t>
            </w:r>
            <w:r w:rsidR="000C706C" w:rsidRPr="000F0222">
              <w:rPr>
                <w:b/>
                <w:lang w:val="en-GB"/>
              </w:rPr>
              <w:t xml:space="preserve"> / </w:t>
            </w:r>
            <w:r w:rsidR="000C706C" w:rsidRPr="000F0222">
              <w:rPr>
                <w:b/>
                <w:color w:val="FF0000"/>
                <w:lang w:val="en-GB"/>
              </w:rPr>
              <w:t>3</w:t>
            </w:r>
          </w:p>
        </w:tc>
      </w:tr>
      <w:tr w:rsidR="006B40C9" w:rsidRPr="004779F8" w14:paraId="09FEEFCD" w14:textId="77777777" w:rsidTr="008C175E">
        <w:trPr>
          <w:trHeight w:val="851"/>
          <w:jc w:val="center"/>
        </w:trPr>
        <w:tc>
          <w:tcPr>
            <w:tcW w:w="1526" w:type="dxa"/>
            <w:shd w:val="clear" w:color="auto" w:fill="F2F2F2" w:themeFill="background1" w:themeFillShade="F2"/>
            <w:vAlign w:val="center"/>
            <w:hideMark/>
          </w:tcPr>
          <w:p w14:paraId="0F54B72C" w14:textId="77777777" w:rsidR="006B40C9" w:rsidRPr="000F0222" w:rsidRDefault="006B40C9" w:rsidP="00946E94">
            <w:pPr>
              <w:jc w:val="center"/>
              <w:rPr>
                <w:b/>
                <w:sz w:val="22"/>
                <w:szCs w:val="22"/>
                <w:lang w:val="en-GB"/>
              </w:rPr>
            </w:pPr>
            <w:r w:rsidRPr="000F0222">
              <w:rPr>
                <w:b/>
                <w:sz w:val="22"/>
                <w:szCs w:val="22"/>
                <w:lang w:val="en-GB"/>
              </w:rPr>
              <w:t>Overall</w:t>
            </w:r>
          </w:p>
        </w:tc>
        <w:tc>
          <w:tcPr>
            <w:tcW w:w="1151" w:type="dxa"/>
            <w:shd w:val="clear" w:color="auto" w:fill="F2F2F2" w:themeFill="background1" w:themeFillShade="F2"/>
            <w:vAlign w:val="center"/>
            <w:hideMark/>
          </w:tcPr>
          <w:p w14:paraId="4003C496" w14:textId="77777777" w:rsidR="006B40C9" w:rsidRPr="000F0222" w:rsidRDefault="006B40C9" w:rsidP="00946E94">
            <w:pPr>
              <w:jc w:val="center"/>
              <w:rPr>
                <w:b/>
                <w:lang w:val="en-GB"/>
              </w:rPr>
            </w:pPr>
            <w:r w:rsidRPr="000F0222">
              <w:rPr>
                <w:b/>
                <w:lang w:val="en-GB"/>
              </w:rPr>
              <w:t>5</w:t>
            </w:r>
          </w:p>
        </w:tc>
        <w:tc>
          <w:tcPr>
            <w:tcW w:w="1151" w:type="dxa"/>
            <w:shd w:val="clear" w:color="auto" w:fill="F2F2F2" w:themeFill="background1" w:themeFillShade="F2"/>
            <w:vAlign w:val="center"/>
            <w:hideMark/>
          </w:tcPr>
          <w:p w14:paraId="6B9991C5" w14:textId="77777777" w:rsidR="006B40C9" w:rsidRPr="000F0222" w:rsidRDefault="006B40C9" w:rsidP="00946E94">
            <w:pPr>
              <w:jc w:val="center"/>
              <w:rPr>
                <w:b/>
                <w:lang w:val="en-GB"/>
              </w:rPr>
            </w:pPr>
            <w:r w:rsidRPr="000F0222">
              <w:rPr>
                <w:b/>
                <w:lang w:val="en-GB"/>
              </w:rPr>
              <w:t>5</w:t>
            </w:r>
          </w:p>
        </w:tc>
        <w:tc>
          <w:tcPr>
            <w:tcW w:w="1151" w:type="dxa"/>
            <w:shd w:val="clear" w:color="auto" w:fill="F2F2F2" w:themeFill="background1" w:themeFillShade="F2"/>
            <w:vAlign w:val="center"/>
            <w:hideMark/>
          </w:tcPr>
          <w:p w14:paraId="7D7A2641" w14:textId="77777777" w:rsidR="006B40C9" w:rsidRPr="000F0222" w:rsidRDefault="006B40C9" w:rsidP="00946E94">
            <w:pPr>
              <w:jc w:val="center"/>
              <w:rPr>
                <w:b/>
                <w:lang w:val="en-GB"/>
              </w:rPr>
            </w:pPr>
            <w:r w:rsidRPr="000F0222">
              <w:rPr>
                <w:b/>
                <w:lang w:val="en-GB"/>
              </w:rPr>
              <w:t>5</w:t>
            </w:r>
          </w:p>
        </w:tc>
        <w:tc>
          <w:tcPr>
            <w:tcW w:w="1151" w:type="dxa"/>
            <w:shd w:val="clear" w:color="auto" w:fill="F2F2F2" w:themeFill="background1" w:themeFillShade="F2"/>
            <w:vAlign w:val="center"/>
            <w:hideMark/>
          </w:tcPr>
          <w:p w14:paraId="521A76D6" w14:textId="77777777" w:rsidR="006B40C9" w:rsidRPr="000F0222" w:rsidRDefault="006B40C9" w:rsidP="00946E94">
            <w:pPr>
              <w:jc w:val="center"/>
              <w:rPr>
                <w:b/>
                <w:lang w:val="en-GB"/>
              </w:rPr>
            </w:pPr>
            <w:r w:rsidRPr="000F0222">
              <w:rPr>
                <w:b/>
                <w:lang w:val="en-GB"/>
              </w:rPr>
              <w:t>3</w:t>
            </w:r>
          </w:p>
        </w:tc>
        <w:tc>
          <w:tcPr>
            <w:tcW w:w="1151" w:type="dxa"/>
            <w:shd w:val="clear" w:color="auto" w:fill="F2F2F2" w:themeFill="background1" w:themeFillShade="F2"/>
            <w:vAlign w:val="center"/>
            <w:hideMark/>
          </w:tcPr>
          <w:p w14:paraId="5C4DC6E2" w14:textId="77777777" w:rsidR="006B40C9" w:rsidRPr="000F0222" w:rsidRDefault="006B40C9" w:rsidP="00946E94">
            <w:pPr>
              <w:jc w:val="center"/>
              <w:rPr>
                <w:b/>
                <w:lang w:val="en-GB"/>
              </w:rPr>
            </w:pPr>
            <w:r w:rsidRPr="000F0222">
              <w:rPr>
                <w:b/>
                <w:lang w:val="en-GB"/>
              </w:rPr>
              <w:t>8</w:t>
            </w:r>
          </w:p>
        </w:tc>
        <w:tc>
          <w:tcPr>
            <w:tcW w:w="1151" w:type="dxa"/>
            <w:shd w:val="clear" w:color="auto" w:fill="F2F2F2" w:themeFill="background1" w:themeFillShade="F2"/>
            <w:vAlign w:val="center"/>
            <w:hideMark/>
          </w:tcPr>
          <w:p w14:paraId="2ED3AF75" w14:textId="77777777" w:rsidR="006B40C9" w:rsidRPr="000F0222" w:rsidRDefault="006B40C9" w:rsidP="00946E94">
            <w:pPr>
              <w:jc w:val="center"/>
              <w:rPr>
                <w:b/>
                <w:lang w:val="en-GB"/>
              </w:rPr>
            </w:pPr>
            <w:r w:rsidRPr="000F0222">
              <w:rPr>
                <w:b/>
                <w:lang w:val="en-GB"/>
              </w:rPr>
              <w:t>26</w:t>
            </w:r>
          </w:p>
        </w:tc>
      </w:tr>
    </w:tbl>
    <w:p w14:paraId="14424C37" w14:textId="77777777" w:rsidR="000C4898" w:rsidRPr="000F0222" w:rsidRDefault="000C4898" w:rsidP="003539D3">
      <w:pPr>
        <w:jc w:val="both"/>
        <w:rPr>
          <w:sz w:val="22"/>
          <w:szCs w:val="22"/>
          <w:lang w:val="en-GB"/>
        </w:rPr>
      </w:pPr>
    </w:p>
    <w:p w14:paraId="4E728B0F" w14:textId="6B26B821" w:rsidR="006B40C9" w:rsidRPr="004779F8" w:rsidRDefault="006B40C9" w:rsidP="006B40C9">
      <w:pPr>
        <w:jc w:val="both"/>
        <w:rPr>
          <w:i/>
          <w:sz w:val="22"/>
          <w:szCs w:val="22"/>
          <w:lang w:val="en-GB"/>
        </w:rPr>
      </w:pPr>
      <w:r w:rsidRPr="004779F8">
        <w:rPr>
          <w:i/>
          <w:sz w:val="22"/>
          <w:szCs w:val="22"/>
          <w:lang w:val="en-GB"/>
        </w:rPr>
        <w:t xml:space="preserve">Table 2. Number of </w:t>
      </w:r>
      <w:r w:rsidR="00FD479F" w:rsidRPr="004779F8">
        <w:rPr>
          <w:i/>
          <w:sz w:val="22"/>
          <w:szCs w:val="22"/>
          <w:lang w:val="en-GB"/>
        </w:rPr>
        <w:t xml:space="preserve">targets </w:t>
      </w:r>
      <w:r w:rsidRPr="004779F8">
        <w:rPr>
          <w:i/>
          <w:sz w:val="22"/>
          <w:szCs w:val="22"/>
          <w:lang w:val="en-GB"/>
        </w:rPr>
        <w:t>per Strategic plan objective according to their category of progress.</w:t>
      </w:r>
      <w:r w:rsidR="007E1BEA" w:rsidRPr="004779F8">
        <w:rPr>
          <w:i/>
          <w:sz w:val="22"/>
          <w:szCs w:val="22"/>
          <w:lang w:val="en-GB"/>
        </w:rPr>
        <w:t xml:space="preserve"> The number</w:t>
      </w:r>
      <w:r w:rsidR="00E537E9" w:rsidRPr="004779F8">
        <w:rPr>
          <w:i/>
          <w:sz w:val="22"/>
          <w:szCs w:val="22"/>
          <w:lang w:val="en-GB"/>
        </w:rPr>
        <w:t>s</w:t>
      </w:r>
      <w:r w:rsidR="007E1BEA" w:rsidRPr="004779F8">
        <w:rPr>
          <w:i/>
          <w:sz w:val="22"/>
          <w:szCs w:val="22"/>
          <w:lang w:val="en-GB"/>
        </w:rPr>
        <w:t xml:space="preserve"> on the left in black represent</w:t>
      </w:r>
      <w:r w:rsidR="004779F8">
        <w:rPr>
          <w:i/>
          <w:sz w:val="22"/>
          <w:szCs w:val="22"/>
          <w:lang w:val="en-GB"/>
        </w:rPr>
        <w:t xml:space="preserve"> the</w:t>
      </w:r>
      <w:r w:rsidR="007E1BEA" w:rsidRPr="004779F8">
        <w:rPr>
          <w:i/>
          <w:sz w:val="22"/>
          <w:szCs w:val="22"/>
          <w:lang w:val="en-GB"/>
        </w:rPr>
        <w:t xml:space="preserve"> situation at MOP5 in 2012</w:t>
      </w:r>
      <w:r w:rsidR="00E537E9" w:rsidRPr="004779F8">
        <w:rPr>
          <w:i/>
          <w:sz w:val="22"/>
          <w:szCs w:val="22"/>
          <w:lang w:val="en-GB"/>
        </w:rPr>
        <w:t xml:space="preserve"> and MOP6 in 2015 respectively</w:t>
      </w:r>
      <w:r w:rsidR="007E1BEA" w:rsidRPr="004779F8">
        <w:rPr>
          <w:i/>
          <w:sz w:val="22"/>
          <w:szCs w:val="22"/>
          <w:lang w:val="en-GB"/>
        </w:rPr>
        <w:t xml:space="preserve">, the number on the right in red </w:t>
      </w:r>
      <w:r w:rsidR="004779F8">
        <w:rPr>
          <w:i/>
          <w:sz w:val="22"/>
          <w:szCs w:val="22"/>
          <w:lang w:val="en-GB"/>
        </w:rPr>
        <w:t>represents</w:t>
      </w:r>
      <w:r w:rsidR="007E1BEA" w:rsidRPr="004779F8">
        <w:rPr>
          <w:i/>
          <w:sz w:val="22"/>
          <w:szCs w:val="22"/>
          <w:lang w:val="en-GB"/>
        </w:rPr>
        <w:t xml:space="preserve"> </w:t>
      </w:r>
      <w:r w:rsidR="004779F8">
        <w:rPr>
          <w:i/>
          <w:sz w:val="22"/>
          <w:szCs w:val="22"/>
          <w:lang w:val="en-GB"/>
        </w:rPr>
        <w:t xml:space="preserve">the </w:t>
      </w:r>
      <w:r w:rsidR="007E1BEA" w:rsidRPr="004779F8">
        <w:rPr>
          <w:i/>
          <w:sz w:val="22"/>
          <w:szCs w:val="22"/>
          <w:lang w:val="en-GB"/>
        </w:rPr>
        <w:t>current situation</w:t>
      </w:r>
      <w:r w:rsidR="00E537E9" w:rsidRPr="004779F8">
        <w:rPr>
          <w:i/>
          <w:sz w:val="22"/>
          <w:szCs w:val="22"/>
          <w:lang w:val="en-GB"/>
        </w:rPr>
        <w:t xml:space="preserve"> at MOP7 (2018)</w:t>
      </w:r>
      <w:r w:rsidR="007E1BEA" w:rsidRPr="004779F8">
        <w:rPr>
          <w:i/>
          <w:sz w:val="22"/>
          <w:szCs w:val="22"/>
          <w:lang w:val="en-GB"/>
        </w:rPr>
        <w:t xml:space="preserve">.  </w:t>
      </w:r>
      <w:r w:rsidRPr="004779F8">
        <w:rPr>
          <w:i/>
          <w:sz w:val="22"/>
          <w:szCs w:val="22"/>
          <w:lang w:val="en-GB"/>
        </w:rPr>
        <w:t xml:space="preserve"> </w:t>
      </w:r>
    </w:p>
    <w:p w14:paraId="1B4D9751" w14:textId="77777777" w:rsidR="00984AD0" w:rsidRPr="004779F8" w:rsidRDefault="00984AD0" w:rsidP="006B40C9">
      <w:pPr>
        <w:jc w:val="both"/>
        <w:rPr>
          <w:i/>
          <w:sz w:val="22"/>
          <w:szCs w:val="22"/>
          <w:lang w:val="en-GB"/>
        </w:rPr>
      </w:pPr>
    </w:p>
    <w:p w14:paraId="0AB2C23D" w14:textId="77777777" w:rsidR="00AD425A" w:rsidRPr="00964C3E" w:rsidRDefault="00AD425A" w:rsidP="006B40C9">
      <w:pPr>
        <w:jc w:val="both"/>
        <w:rPr>
          <w:i/>
          <w:sz w:val="22"/>
          <w:szCs w:val="22"/>
          <w:lang w:val="en-GB"/>
        </w:rPr>
      </w:pPr>
    </w:p>
    <w:p w14:paraId="06D26067" w14:textId="66D338E2" w:rsidR="0083200C" w:rsidRPr="004779F8" w:rsidRDefault="00984AD0" w:rsidP="00160B05">
      <w:pPr>
        <w:spacing w:line="276" w:lineRule="auto"/>
        <w:jc w:val="both"/>
        <w:rPr>
          <w:sz w:val="22"/>
          <w:szCs w:val="22"/>
          <w:lang w:val="en-GB"/>
        </w:rPr>
      </w:pPr>
      <w:r w:rsidRPr="00613A29">
        <w:rPr>
          <w:sz w:val="22"/>
          <w:szCs w:val="22"/>
          <w:lang w:val="en-GB"/>
        </w:rPr>
        <w:lastRenderedPageBreak/>
        <w:t xml:space="preserve">Altogether 26 targets have been identified - three for Objective 4, five for </w:t>
      </w:r>
      <w:r w:rsidR="000C2A1F" w:rsidRPr="00852729">
        <w:rPr>
          <w:sz w:val="22"/>
          <w:szCs w:val="22"/>
          <w:lang w:val="en-GB"/>
        </w:rPr>
        <w:t xml:space="preserve">each of </w:t>
      </w:r>
      <w:r w:rsidRPr="00852729">
        <w:rPr>
          <w:sz w:val="22"/>
          <w:szCs w:val="22"/>
          <w:lang w:val="en-GB"/>
        </w:rPr>
        <w:t>Objectives 1, 2 and 3, and eight for Objective 5.</w:t>
      </w:r>
      <w:r w:rsidR="0083200C" w:rsidRPr="001D2AAF">
        <w:rPr>
          <w:sz w:val="22"/>
          <w:szCs w:val="22"/>
          <w:lang w:val="en-GB"/>
        </w:rPr>
        <w:t xml:space="preserve"> </w:t>
      </w:r>
      <w:r w:rsidR="004779F8">
        <w:rPr>
          <w:sz w:val="22"/>
          <w:szCs w:val="22"/>
          <w:lang w:val="en-GB"/>
        </w:rPr>
        <w:t>T</w:t>
      </w:r>
      <w:r w:rsidR="004779F8" w:rsidRPr="004779F8">
        <w:rPr>
          <w:sz w:val="22"/>
          <w:szCs w:val="22"/>
          <w:lang w:val="en-GB"/>
        </w:rPr>
        <w:t xml:space="preserve">he progress towards the achievement of the objectives is measured </w:t>
      </w:r>
      <w:r w:rsidR="004779F8">
        <w:rPr>
          <w:sz w:val="22"/>
          <w:szCs w:val="22"/>
          <w:lang w:val="en-GB"/>
        </w:rPr>
        <w:t>t</w:t>
      </w:r>
      <w:r w:rsidR="0083200C" w:rsidRPr="004779F8">
        <w:rPr>
          <w:sz w:val="22"/>
          <w:szCs w:val="22"/>
          <w:lang w:val="en-GB"/>
        </w:rPr>
        <w:t xml:space="preserve">hrough the indicators associated with each of these targets. Table 2 presents the distribution of these 26 targets across the six </w:t>
      </w:r>
      <w:r w:rsidR="00E43B7C" w:rsidRPr="004779F8">
        <w:rPr>
          <w:sz w:val="22"/>
          <w:szCs w:val="22"/>
          <w:lang w:val="en-GB"/>
        </w:rPr>
        <w:t xml:space="preserve">categories of </w:t>
      </w:r>
      <w:r w:rsidR="0083200C" w:rsidRPr="004779F8">
        <w:rPr>
          <w:sz w:val="22"/>
          <w:szCs w:val="22"/>
          <w:lang w:val="en-GB"/>
        </w:rPr>
        <w:t>progress.</w:t>
      </w:r>
    </w:p>
    <w:p w14:paraId="6A6C7ACE" w14:textId="5EB02F8A" w:rsidR="00644E5D" w:rsidRPr="004779F8" w:rsidRDefault="00644E5D" w:rsidP="00160B05">
      <w:pPr>
        <w:spacing w:line="276" w:lineRule="auto"/>
        <w:jc w:val="both"/>
        <w:rPr>
          <w:sz w:val="22"/>
          <w:szCs w:val="22"/>
          <w:lang w:val="en-GB"/>
        </w:rPr>
      </w:pPr>
    </w:p>
    <w:p w14:paraId="281CA0E5" w14:textId="77777777" w:rsidR="00644E5D" w:rsidRPr="004779F8" w:rsidRDefault="00644E5D" w:rsidP="00160B05">
      <w:pPr>
        <w:spacing w:line="276" w:lineRule="auto"/>
        <w:jc w:val="both"/>
        <w:rPr>
          <w:sz w:val="22"/>
          <w:szCs w:val="22"/>
          <w:lang w:val="en-GB"/>
        </w:rPr>
      </w:pPr>
    </w:p>
    <w:p w14:paraId="4FC8F269" w14:textId="64381E8D" w:rsidR="00090A5B" w:rsidRPr="004779F8" w:rsidRDefault="009C3E10" w:rsidP="00644E5D">
      <w:pPr>
        <w:jc w:val="center"/>
        <w:rPr>
          <w:sz w:val="22"/>
          <w:szCs w:val="22"/>
          <w:lang w:val="en-GB"/>
        </w:rPr>
      </w:pPr>
      <w:r w:rsidRPr="000F0222">
        <w:rPr>
          <w:noProof/>
          <w:lang w:val="en-GB"/>
        </w:rPr>
        <w:drawing>
          <wp:anchor distT="0" distB="0" distL="114300" distR="114300" simplePos="0" relativeHeight="251660288" behindDoc="1" locked="0" layoutInCell="1" allowOverlap="1" wp14:anchorId="57F8F30B" wp14:editId="28FF0260">
            <wp:simplePos x="0" y="0"/>
            <wp:positionH relativeFrom="column">
              <wp:posOffset>765810</wp:posOffset>
            </wp:positionH>
            <wp:positionV relativeFrom="paragraph">
              <wp:posOffset>5080</wp:posOffset>
            </wp:positionV>
            <wp:extent cx="4572000" cy="2743200"/>
            <wp:effectExtent l="0" t="0" r="0" b="0"/>
            <wp:wrapTight wrapText="bothSides">
              <wp:wrapPolygon edited="0">
                <wp:start x="90" y="0"/>
                <wp:lineTo x="0" y="450"/>
                <wp:lineTo x="0" y="21150"/>
                <wp:lineTo x="90" y="21450"/>
                <wp:lineTo x="21420" y="21450"/>
                <wp:lineTo x="21510" y="21150"/>
                <wp:lineTo x="21510" y="450"/>
                <wp:lineTo x="21420" y="0"/>
                <wp:lineTo x="90" y="0"/>
              </wp:wrapPolygon>
            </wp:wrapTight>
            <wp:docPr id="76" name="Chart 7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6775CF00" w14:textId="77777777" w:rsidR="00644E5D" w:rsidRPr="000F0222" w:rsidRDefault="00644E5D" w:rsidP="00644E5D">
      <w:pPr>
        <w:rPr>
          <w:i/>
          <w:sz w:val="22"/>
          <w:szCs w:val="22"/>
          <w:lang w:val="en-GB"/>
        </w:rPr>
      </w:pPr>
    </w:p>
    <w:p w14:paraId="6EB39E2A" w14:textId="77777777" w:rsidR="00AB0A7A" w:rsidRDefault="00AB0A7A" w:rsidP="00644E5D">
      <w:pPr>
        <w:rPr>
          <w:i/>
          <w:sz w:val="22"/>
          <w:szCs w:val="22"/>
          <w:lang w:val="en-GB"/>
        </w:rPr>
      </w:pPr>
    </w:p>
    <w:p w14:paraId="32919FFF" w14:textId="77777777" w:rsidR="00AB0A7A" w:rsidRDefault="00AB0A7A" w:rsidP="00644E5D">
      <w:pPr>
        <w:rPr>
          <w:i/>
          <w:sz w:val="22"/>
          <w:szCs w:val="22"/>
          <w:lang w:val="en-GB"/>
        </w:rPr>
      </w:pPr>
    </w:p>
    <w:p w14:paraId="6993B7AE" w14:textId="77777777" w:rsidR="00AB0A7A" w:rsidRDefault="00AB0A7A" w:rsidP="00644E5D">
      <w:pPr>
        <w:rPr>
          <w:i/>
          <w:sz w:val="22"/>
          <w:szCs w:val="22"/>
          <w:lang w:val="en-GB"/>
        </w:rPr>
      </w:pPr>
    </w:p>
    <w:p w14:paraId="3CEC3B95" w14:textId="77777777" w:rsidR="00AB0A7A" w:rsidRDefault="00AB0A7A" w:rsidP="00644E5D">
      <w:pPr>
        <w:rPr>
          <w:i/>
          <w:sz w:val="22"/>
          <w:szCs w:val="22"/>
          <w:lang w:val="en-GB"/>
        </w:rPr>
      </w:pPr>
    </w:p>
    <w:p w14:paraId="71D32636" w14:textId="77777777" w:rsidR="00AB0A7A" w:rsidRDefault="00AB0A7A" w:rsidP="00644E5D">
      <w:pPr>
        <w:rPr>
          <w:i/>
          <w:sz w:val="22"/>
          <w:szCs w:val="22"/>
          <w:lang w:val="en-GB"/>
        </w:rPr>
      </w:pPr>
    </w:p>
    <w:p w14:paraId="2D5BCEF4" w14:textId="77777777" w:rsidR="00AB0A7A" w:rsidRDefault="00AB0A7A" w:rsidP="00644E5D">
      <w:pPr>
        <w:rPr>
          <w:i/>
          <w:sz w:val="22"/>
          <w:szCs w:val="22"/>
          <w:lang w:val="en-GB"/>
        </w:rPr>
      </w:pPr>
    </w:p>
    <w:p w14:paraId="6652F35D" w14:textId="77777777" w:rsidR="00AB0A7A" w:rsidRDefault="00AB0A7A" w:rsidP="00644E5D">
      <w:pPr>
        <w:rPr>
          <w:i/>
          <w:sz w:val="22"/>
          <w:szCs w:val="22"/>
          <w:lang w:val="en-GB"/>
        </w:rPr>
      </w:pPr>
    </w:p>
    <w:p w14:paraId="53B88832" w14:textId="77777777" w:rsidR="00AB0A7A" w:rsidRDefault="00AB0A7A" w:rsidP="00644E5D">
      <w:pPr>
        <w:rPr>
          <w:i/>
          <w:sz w:val="22"/>
          <w:szCs w:val="22"/>
          <w:lang w:val="en-GB"/>
        </w:rPr>
      </w:pPr>
    </w:p>
    <w:p w14:paraId="67868FA0" w14:textId="77777777" w:rsidR="00AB0A7A" w:rsidRDefault="00AB0A7A" w:rsidP="00644E5D">
      <w:pPr>
        <w:rPr>
          <w:i/>
          <w:sz w:val="22"/>
          <w:szCs w:val="22"/>
          <w:lang w:val="en-GB"/>
        </w:rPr>
      </w:pPr>
    </w:p>
    <w:p w14:paraId="45E620CD" w14:textId="77777777" w:rsidR="00AB0A7A" w:rsidRDefault="00AB0A7A" w:rsidP="00644E5D">
      <w:pPr>
        <w:rPr>
          <w:i/>
          <w:sz w:val="22"/>
          <w:szCs w:val="22"/>
          <w:lang w:val="en-GB"/>
        </w:rPr>
      </w:pPr>
    </w:p>
    <w:p w14:paraId="16FC6EDA" w14:textId="77777777" w:rsidR="00AB0A7A" w:rsidRDefault="00AB0A7A" w:rsidP="00644E5D">
      <w:pPr>
        <w:rPr>
          <w:i/>
          <w:sz w:val="22"/>
          <w:szCs w:val="22"/>
          <w:lang w:val="en-GB"/>
        </w:rPr>
      </w:pPr>
    </w:p>
    <w:p w14:paraId="340C247E" w14:textId="77777777" w:rsidR="00AB0A7A" w:rsidRDefault="00AB0A7A" w:rsidP="00644E5D">
      <w:pPr>
        <w:rPr>
          <w:i/>
          <w:sz w:val="22"/>
          <w:szCs w:val="22"/>
          <w:lang w:val="en-GB"/>
        </w:rPr>
      </w:pPr>
    </w:p>
    <w:p w14:paraId="57B277EF" w14:textId="77777777" w:rsidR="00AB0A7A" w:rsidRDefault="00AB0A7A" w:rsidP="00644E5D">
      <w:pPr>
        <w:rPr>
          <w:i/>
          <w:sz w:val="22"/>
          <w:szCs w:val="22"/>
          <w:lang w:val="en-GB"/>
        </w:rPr>
      </w:pPr>
    </w:p>
    <w:p w14:paraId="1F37CC53" w14:textId="77777777" w:rsidR="00AB0A7A" w:rsidRDefault="00AB0A7A" w:rsidP="00644E5D">
      <w:pPr>
        <w:rPr>
          <w:i/>
          <w:sz w:val="22"/>
          <w:szCs w:val="22"/>
          <w:lang w:val="en-GB"/>
        </w:rPr>
      </w:pPr>
    </w:p>
    <w:p w14:paraId="1711D318" w14:textId="77777777" w:rsidR="00AB0A7A" w:rsidRDefault="00AB0A7A" w:rsidP="00644E5D">
      <w:pPr>
        <w:rPr>
          <w:i/>
          <w:sz w:val="22"/>
          <w:szCs w:val="22"/>
          <w:lang w:val="en-GB"/>
        </w:rPr>
      </w:pPr>
    </w:p>
    <w:p w14:paraId="0F9A44FE" w14:textId="77777777" w:rsidR="00AB0A7A" w:rsidRDefault="00AB0A7A" w:rsidP="00644E5D">
      <w:pPr>
        <w:rPr>
          <w:i/>
          <w:sz w:val="22"/>
          <w:szCs w:val="22"/>
          <w:lang w:val="en-GB"/>
        </w:rPr>
      </w:pPr>
    </w:p>
    <w:p w14:paraId="66D1478E" w14:textId="77777777" w:rsidR="00AB0A7A" w:rsidRDefault="00AB0A7A" w:rsidP="00644E5D">
      <w:pPr>
        <w:rPr>
          <w:i/>
          <w:sz w:val="22"/>
          <w:szCs w:val="22"/>
          <w:lang w:val="en-GB"/>
        </w:rPr>
      </w:pPr>
    </w:p>
    <w:p w14:paraId="63968A7B" w14:textId="497CE357" w:rsidR="00644E5D" w:rsidRDefault="00644E5D" w:rsidP="00644E5D">
      <w:pPr>
        <w:rPr>
          <w:i/>
          <w:sz w:val="22"/>
          <w:szCs w:val="22"/>
          <w:lang w:val="en-GB"/>
        </w:rPr>
      </w:pPr>
      <w:r w:rsidRPr="000F0222">
        <w:rPr>
          <w:i/>
          <w:sz w:val="22"/>
          <w:szCs w:val="22"/>
          <w:lang w:val="en-GB"/>
        </w:rPr>
        <w:t>Figure 10. Proportion of the targets associated with the Strategic Plan objectives per category of progress at MOP7 (2018).</w:t>
      </w:r>
    </w:p>
    <w:p w14:paraId="572A6861" w14:textId="77777777" w:rsidR="00166EC6" w:rsidRPr="000F0222" w:rsidRDefault="00166EC6" w:rsidP="00644E5D">
      <w:pPr>
        <w:rPr>
          <w:i/>
          <w:sz w:val="22"/>
          <w:szCs w:val="22"/>
          <w:lang w:val="en-GB"/>
        </w:rPr>
      </w:pPr>
    </w:p>
    <w:p w14:paraId="6B087950" w14:textId="77777777" w:rsidR="00E43B7C" w:rsidRPr="004779F8" w:rsidRDefault="00E43B7C" w:rsidP="00E43B7C">
      <w:pPr>
        <w:jc w:val="center"/>
        <w:rPr>
          <w:sz w:val="22"/>
          <w:szCs w:val="22"/>
          <w:lang w:val="en-GB"/>
        </w:rPr>
      </w:pPr>
    </w:p>
    <w:p w14:paraId="3F22E3BB" w14:textId="77777777" w:rsidR="00E43B7C" w:rsidRPr="004779F8" w:rsidRDefault="007E1BEA" w:rsidP="007E1BEA">
      <w:pPr>
        <w:jc w:val="center"/>
        <w:rPr>
          <w:sz w:val="22"/>
          <w:szCs w:val="22"/>
          <w:lang w:val="en-GB"/>
        </w:rPr>
      </w:pPr>
      <w:r w:rsidRPr="000F0222">
        <w:rPr>
          <w:noProof/>
          <w:lang w:val="en-GB"/>
        </w:rPr>
        <w:drawing>
          <wp:inline distT="0" distB="0" distL="0" distR="0" wp14:anchorId="79F6858A" wp14:editId="016E0243">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87458A" w14:textId="05B31172" w:rsidR="007E1BEA" w:rsidRDefault="007E1BEA" w:rsidP="00E43B7C">
      <w:pPr>
        <w:rPr>
          <w:i/>
          <w:sz w:val="22"/>
          <w:szCs w:val="22"/>
          <w:lang w:val="en-GB"/>
        </w:rPr>
      </w:pPr>
    </w:p>
    <w:p w14:paraId="41B0E362" w14:textId="77777777" w:rsidR="00AB0A7A" w:rsidRPr="000F0222" w:rsidRDefault="00AB0A7A" w:rsidP="00E43B7C">
      <w:pPr>
        <w:rPr>
          <w:i/>
          <w:sz w:val="22"/>
          <w:szCs w:val="22"/>
          <w:lang w:val="en-GB"/>
        </w:rPr>
      </w:pPr>
    </w:p>
    <w:p w14:paraId="38839959" w14:textId="1EFDDF60" w:rsidR="00E43B7C" w:rsidRPr="000F0222" w:rsidRDefault="00E43B7C" w:rsidP="00E43B7C">
      <w:pPr>
        <w:rPr>
          <w:i/>
          <w:sz w:val="22"/>
          <w:szCs w:val="22"/>
          <w:lang w:val="en-GB"/>
        </w:rPr>
      </w:pPr>
      <w:r w:rsidRPr="000F0222">
        <w:rPr>
          <w:i/>
          <w:sz w:val="22"/>
          <w:szCs w:val="22"/>
          <w:lang w:val="en-GB"/>
        </w:rPr>
        <w:t xml:space="preserve">Figure </w:t>
      </w:r>
      <w:r w:rsidR="00644E5D" w:rsidRPr="000F0222">
        <w:rPr>
          <w:i/>
          <w:sz w:val="22"/>
          <w:szCs w:val="22"/>
          <w:lang w:val="en-GB"/>
        </w:rPr>
        <w:t>11</w:t>
      </w:r>
      <w:r w:rsidRPr="000F0222">
        <w:rPr>
          <w:i/>
          <w:sz w:val="22"/>
          <w:szCs w:val="22"/>
          <w:lang w:val="en-GB"/>
        </w:rPr>
        <w:t xml:space="preserve">. Proportion of the targets associated </w:t>
      </w:r>
      <w:r w:rsidR="005928AE" w:rsidRPr="000F0222">
        <w:rPr>
          <w:i/>
          <w:sz w:val="22"/>
          <w:szCs w:val="22"/>
          <w:lang w:val="en-GB"/>
        </w:rPr>
        <w:t xml:space="preserve">with the Strategic Plan objectives </w:t>
      </w:r>
      <w:r w:rsidRPr="000F0222">
        <w:rPr>
          <w:i/>
          <w:sz w:val="22"/>
          <w:szCs w:val="22"/>
          <w:lang w:val="en-GB"/>
        </w:rPr>
        <w:t>per category of progress</w:t>
      </w:r>
      <w:r w:rsidR="00644E5D" w:rsidRPr="000F0222">
        <w:rPr>
          <w:i/>
          <w:sz w:val="22"/>
          <w:szCs w:val="22"/>
          <w:lang w:val="en-GB"/>
        </w:rPr>
        <w:t xml:space="preserve"> at MOP6 (2015)</w:t>
      </w:r>
      <w:r w:rsidRPr="000F0222">
        <w:rPr>
          <w:i/>
          <w:sz w:val="22"/>
          <w:szCs w:val="22"/>
          <w:lang w:val="en-GB"/>
        </w:rPr>
        <w:t>.</w:t>
      </w:r>
    </w:p>
    <w:p w14:paraId="2B9EB97C" w14:textId="77777777" w:rsidR="007E1BEA" w:rsidRPr="000F0222" w:rsidRDefault="007E1BEA" w:rsidP="00E43B7C">
      <w:pPr>
        <w:rPr>
          <w:i/>
          <w:sz w:val="22"/>
          <w:szCs w:val="22"/>
          <w:lang w:val="en-GB"/>
        </w:rPr>
      </w:pPr>
    </w:p>
    <w:p w14:paraId="033E8ED6" w14:textId="77777777" w:rsidR="007E1BEA" w:rsidRPr="000F0222" w:rsidRDefault="007E1BEA" w:rsidP="00E43B7C">
      <w:pPr>
        <w:rPr>
          <w:i/>
          <w:sz w:val="22"/>
          <w:szCs w:val="22"/>
          <w:lang w:val="en-GB"/>
        </w:rPr>
      </w:pPr>
    </w:p>
    <w:p w14:paraId="11FA517B" w14:textId="77777777" w:rsidR="007E1BEA" w:rsidRPr="000F0222" w:rsidRDefault="007E1BEA" w:rsidP="00E43B7C">
      <w:pPr>
        <w:rPr>
          <w:i/>
          <w:sz w:val="22"/>
          <w:szCs w:val="22"/>
          <w:lang w:val="en-GB"/>
        </w:rPr>
      </w:pPr>
    </w:p>
    <w:p w14:paraId="4B1495D4" w14:textId="77777777" w:rsidR="007E1BEA" w:rsidRPr="000F0222" w:rsidRDefault="007E1BEA" w:rsidP="007E1BEA">
      <w:pPr>
        <w:jc w:val="center"/>
        <w:rPr>
          <w:i/>
          <w:sz w:val="22"/>
          <w:szCs w:val="22"/>
          <w:lang w:val="en-GB"/>
        </w:rPr>
      </w:pPr>
      <w:r w:rsidRPr="000F0222">
        <w:rPr>
          <w:noProof/>
          <w:sz w:val="22"/>
          <w:szCs w:val="22"/>
          <w:lang w:val="en-GB"/>
        </w:rPr>
        <w:lastRenderedPageBreak/>
        <w:drawing>
          <wp:inline distT="0" distB="0" distL="0" distR="0" wp14:anchorId="74597304" wp14:editId="247010C1">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C4D50F" w14:textId="77777777" w:rsidR="007E1BEA" w:rsidRPr="004779F8" w:rsidRDefault="007E1BEA" w:rsidP="007E1BEA">
      <w:pPr>
        <w:jc w:val="center"/>
        <w:rPr>
          <w:sz w:val="22"/>
          <w:szCs w:val="22"/>
          <w:lang w:val="en-GB"/>
        </w:rPr>
      </w:pPr>
    </w:p>
    <w:p w14:paraId="6D2E81A1" w14:textId="0C6F36BA" w:rsidR="001F3688" w:rsidRPr="000F0222" w:rsidRDefault="001F3688" w:rsidP="001F3688">
      <w:pPr>
        <w:rPr>
          <w:i/>
          <w:sz w:val="22"/>
          <w:szCs w:val="22"/>
          <w:lang w:val="en-GB"/>
        </w:rPr>
      </w:pPr>
      <w:r w:rsidRPr="000F0222">
        <w:rPr>
          <w:i/>
          <w:sz w:val="22"/>
          <w:szCs w:val="22"/>
          <w:lang w:val="en-GB"/>
        </w:rPr>
        <w:t xml:space="preserve">Figure </w:t>
      </w:r>
      <w:r w:rsidR="00644E5D" w:rsidRPr="000F0222">
        <w:rPr>
          <w:i/>
          <w:sz w:val="22"/>
          <w:szCs w:val="22"/>
          <w:lang w:val="en-GB"/>
        </w:rPr>
        <w:t>12</w:t>
      </w:r>
      <w:r w:rsidRPr="000F0222">
        <w:rPr>
          <w:i/>
          <w:sz w:val="22"/>
          <w:szCs w:val="22"/>
          <w:lang w:val="en-GB"/>
        </w:rPr>
        <w:t>. Proportion of the targets associated with the Strategic Plan objectives per category of progress at MOP5 (2012).</w:t>
      </w:r>
    </w:p>
    <w:p w14:paraId="2C2FEDF5" w14:textId="77777777" w:rsidR="007E1BEA" w:rsidRPr="004779F8" w:rsidRDefault="007E1BEA" w:rsidP="003539D3">
      <w:pPr>
        <w:jc w:val="both"/>
        <w:rPr>
          <w:sz w:val="22"/>
          <w:szCs w:val="22"/>
          <w:lang w:val="en-GB"/>
        </w:rPr>
      </w:pPr>
    </w:p>
    <w:p w14:paraId="45C89C35" w14:textId="77777777" w:rsidR="001F3688" w:rsidRPr="00964C3E" w:rsidRDefault="001F3688" w:rsidP="003539D3">
      <w:pPr>
        <w:jc w:val="both"/>
        <w:rPr>
          <w:sz w:val="22"/>
          <w:szCs w:val="22"/>
          <w:lang w:val="en-GB"/>
        </w:rPr>
      </w:pPr>
    </w:p>
    <w:p w14:paraId="3C1D6CAE" w14:textId="69F70280" w:rsidR="006B40C9" w:rsidRPr="000F0222" w:rsidRDefault="00D14C63" w:rsidP="00160B05">
      <w:pPr>
        <w:spacing w:line="276" w:lineRule="auto"/>
        <w:jc w:val="both"/>
        <w:rPr>
          <w:sz w:val="22"/>
          <w:szCs w:val="22"/>
          <w:lang w:val="en-GB"/>
        </w:rPr>
      </w:pPr>
      <w:bookmarkStart w:id="3" w:name="_Hlk526506265"/>
      <w:r w:rsidRPr="00964C3E">
        <w:rPr>
          <w:sz w:val="22"/>
          <w:szCs w:val="22"/>
          <w:lang w:val="en-GB"/>
        </w:rPr>
        <w:t xml:space="preserve">No target has been identified as completely lacking progress, which sets a positive background; </w:t>
      </w:r>
      <w:r w:rsidR="004779F8" w:rsidRPr="003915B9">
        <w:rPr>
          <w:sz w:val="22"/>
          <w:szCs w:val="22"/>
          <w:lang w:val="en-GB"/>
        </w:rPr>
        <w:t>however,</w:t>
      </w:r>
      <w:r w:rsidRPr="00613A29">
        <w:rPr>
          <w:sz w:val="22"/>
          <w:szCs w:val="22"/>
          <w:lang w:val="en-GB"/>
        </w:rPr>
        <w:t xml:space="preserve"> 3</w:t>
      </w:r>
      <w:r w:rsidR="00B022D9" w:rsidRPr="00852729">
        <w:rPr>
          <w:sz w:val="22"/>
          <w:szCs w:val="22"/>
          <w:lang w:val="en-GB"/>
        </w:rPr>
        <w:t>1</w:t>
      </w:r>
      <w:r w:rsidRPr="00852729">
        <w:rPr>
          <w:sz w:val="22"/>
          <w:szCs w:val="22"/>
          <w:lang w:val="en-GB"/>
        </w:rPr>
        <w:t xml:space="preserve">% of targets have registered only </w:t>
      </w:r>
      <w:r w:rsidRPr="004779F8">
        <w:rPr>
          <w:i/>
          <w:sz w:val="22"/>
          <w:szCs w:val="22"/>
          <w:lang w:val="en-GB"/>
        </w:rPr>
        <w:t>limited progress</w:t>
      </w:r>
      <w:r w:rsidRPr="004779F8">
        <w:rPr>
          <w:sz w:val="22"/>
          <w:szCs w:val="22"/>
          <w:lang w:val="en-GB"/>
        </w:rPr>
        <w:t xml:space="preserve"> (see </w:t>
      </w:r>
      <w:r w:rsidRPr="004779F8">
        <w:rPr>
          <w:i/>
          <w:sz w:val="22"/>
          <w:szCs w:val="22"/>
          <w:lang w:val="en-GB"/>
        </w:rPr>
        <w:t xml:space="preserve">Figure </w:t>
      </w:r>
      <w:r w:rsidR="00FF0ACF" w:rsidRPr="004779F8">
        <w:rPr>
          <w:i/>
          <w:sz w:val="22"/>
          <w:szCs w:val="22"/>
          <w:lang w:val="en-GB"/>
        </w:rPr>
        <w:t>10</w:t>
      </w:r>
      <w:r w:rsidRPr="004779F8">
        <w:rPr>
          <w:sz w:val="22"/>
          <w:szCs w:val="22"/>
          <w:lang w:val="en-GB"/>
        </w:rPr>
        <w:t xml:space="preserve">). </w:t>
      </w:r>
      <w:r w:rsidR="00B40A0D" w:rsidRPr="004779F8">
        <w:rPr>
          <w:sz w:val="22"/>
          <w:szCs w:val="22"/>
          <w:lang w:val="en-GB"/>
        </w:rPr>
        <w:t xml:space="preserve">It is encouraging that 30% of the targets have either been </w:t>
      </w:r>
      <w:r w:rsidR="00FB1EA8" w:rsidRPr="004779F8">
        <w:rPr>
          <w:i/>
          <w:sz w:val="22"/>
          <w:szCs w:val="22"/>
          <w:lang w:val="en-GB"/>
        </w:rPr>
        <w:t xml:space="preserve">reached </w:t>
      </w:r>
      <w:r w:rsidR="00B40A0D" w:rsidRPr="004779F8">
        <w:rPr>
          <w:sz w:val="22"/>
          <w:szCs w:val="22"/>
          <w:lang w:val="en-GB"/>
        </w:rPr>
        <w:t xml:space="preserve">(11%) or </w:t>
      </w:r>
      <w:r w:rsidR="00B40A0D" w:rsidRPr="004779F8">
        <w:rPr>
          <w:i/>
          <w:sz w:val="22"/>
          <w:szCs w:val="22"/>
          <w:lang w:val="en-GB"/>
        </w:rPr>
        <w:t>significant progress</w:t>
      </w:r>
      <w:r w:rsidR="00B40A0D" w:rsidRPr="004779F8">
        <w:rPr>
          <w:sz w:val="22"/>
          <w:szCs w:val="22"/>
          <w:lang w:val="en-GB"/>
        </w:rPr>
        <w:t xml:space="preserve"> has been registered (19%). </w:t>
      </w:r>
      <w:r w:rsidR="004779F8">
        <w:rPr>
          <w:sz w:val="22"/>
          <w:szCs w:val="22"/>
          <w:lang w:val="en-GB"/>
        </w:rPr>
        <w:t xml:space="preserve">A further 27% of targets (representing more than a quarter) </w:t>
      </w:r>
      <w:r w:rsidR="00B40A0D" w:rsidRPr="004779F8">
        <w:rPr>
          <w:sz w:val="22"/>
          <w:szCs w:val="22"/>
          <w:lang w:val="en-GB"/>
        </w:rPr>
        <w:t xml:space="preserve">are assessed </w:t>
      </w:r>
      <w:r w:rsidR="004779F8">
        <w:rPr>
          <w:sz w:val="22"/>
          <w:szCs w:val="22"/>
          <w:lang w:val="en-GB"/>
        </w:rPr>
        <w:t xml:space="preserve">as </w:t>
      </w:r>
      <w:r w:rsidR="00B62AD2">
        <w:rPr>
          <w:sz w:val="22"/>
          <w:szCs w:val="22"/>
          <w:lang w:val="en-GB"/>
        </w:rPr>
        <w:t>showing</w:t>
      </w:r>
      <w:r w:rsidR="00B40A0D" w:rsidRPr="004779F8">
        <w:rPr>
          <w:sz w:val="22"/>
          <w:szCs w:val="22"/>
          <w:lang w:val="en-GB"/>
        </w:rPr>
        <w:t xml:space="preserve"> </w:t>
      </w:r>
      <w:r w:rsidR="00B40A0D" w:rsidRPr="004779F8">
        <w:rPr>
          <w:i/>
          <w:sz w:val="22"/>
          <w:szCs w:val="22"/>
          <w:lang w:val="en-GB"/>
        </w:rPr>
        <w:t>good progress</w:t>
      </w:r>
      <w:r w:rsidR="00B40A0D" w:rsidRPr="004779F8">
        <w:rPr>
          <w:sz w:val="22"/>
          <w:szCs w:val="22"/>
          <w:lang w:val="en-GB"/>
        </w:rPr>
        <w:t xml:space="preserve">. For 12% of the targets no assessment was possible due to </w:t>
      </w:r>
      <w:r w:rsidR="004779F8">
        <w:rPr>
          <w:sz w:val="22"/>
          <w:szCs w:val="22"/>
          <w:lang w:val="en-GB"/>
        </w:rPr>
        <w:t xml:space="preserve">the </w:t>
      </w:r>
      <w:r w:rsidR="00B40A0D" w:rsidRPr="004779F8">
        <w:rPr>
          <w:sz w:val="22"/>
          <w:szCs w:val="22"/>
          <w:lang w:val="en-GB"/>
        </w:rPr>
        <w:t xml:space="preserve">lack of readily available data. </w:t>
      </w:r>
      <w:r w:rsidR="005928AE" w:rsidRPr="000F0222">
        <w:rPr>
          <w:b/>
          <w:sz w:val="22"/>
          <w:szCs w:val="22"/>
          <w:lang w:val="en-GB"/>
        </w:rPr>
        <w:t>Overall</w:t>
      </w:r>
      <w:r w:rsidR="004779F8">
        <w:rPr>
          <w:b/>
          <w:sz w:val="22"/>
          <w:szCs w:val="22"/>
          <w:lang w:val="en-GB"/>
        </w:rPr>
        <w:t>,</w:t>
      </w:r>
      <w:r w:rsidR="005928AE" w:rsidRPr="000F0222">
        <w:rPr>
          <w:b/>
          <w:sz w:val="22"/>
          <w:szCs w:val="22"/>
          <w:lang w:val="en-GB"/>
        </w:rPr>
        <w:t xml:space="preserve"> the </w:t>
      </w:r>
      <w:r w:rsidR="00B40A0D" w:rsidRPr="000F0222">
        <w:rPr>
          <w:b/>
          <w:sz w:val="22"/>
          <w:szCs w:val="22"/>
          <w:lang w:val="en-GB"/>
        </w:rPr>
        <w:t xml:space="preserve">level of </w:t>
      </w:r>
      <w:r w:rsidR="005928AE" w:rsidRPr="000F0222">
        <w:rPr>
          <w:b/>
          <w:sz w:val="22"/>
          <w:szCs w:val="22"/>
          <w:lang w:val="en-GB"/>
        </w:rPr>
        <w:t xml:space="preserve">achieving the Strategic Plan objectives </w:t>
      </w:r>
      <w:r w:rsidR="00946E94" w:rsidRPr="000F0222">
        <w:rPr>
          <w:b/>
          <w:sz w:val="22"/>
          <w:szCs w:val="22"/>
          <w:lang w:val="en-GB"/>
        </w:rPr>
        <w:t xml:space="preserve">can </w:t>
      </w:r>
      <w:proofErr w:type="gramStart"/>
      <w:r w:rsidR="00946E94" w:rsidRPr="000F0222">
        <w:rPr>
          <w:b/>
          <w:sz w:val="22"/>
          <w:szCs w:val="22"/>
          <w:lang w:val="en-GB"/>
        </w:rPr>
        <w:t xml:space="preserve">be described as </w:t>
      </w:r>
      <w:r w:rsidR="00C17AEA" w:rsidRPr="000F0222">
        <w:rPr>
          <w:b/>
          <w:sz w:val="22"/>
          <w:szCs w:val="22"/>
          <w:lang w:val="en-GB"/>
        </w:rPr>
        <w:t>being</w:t>
      </w:r>
      <w:proofErr w:type="gramEnd"/>
      <w:r w:rsidR="00C17AEA" w:rsidRPr="000F0222">
        <w:rPr>
          <w:b/>
          <w:sz w:val="22"/>
          <w:szCs w:val="22"/>
          <w:lang w:val="en-GB"/>
        </w:rPr>
        <w:t xml:space="preserve"> </w:t>
      </w:r>
      <w:r w:rsidR="00946E94" w:rsidRPr="000F0222">
        <w:rPr>
          <w:b/>
          <w:sz w:val="22"/>
          <w:szCs w:val="22"/>
          <w:lang w:val="en-GB"/>
        </w:rPr>
        <w:t>average</w:t>
      </w:r>
      <w:r w:rsidR="00CD7BF6" w:rsidRPr="000F0222">
        <w:rPr>
          <w:b/>
          <w:sz w:val="22"/>
          <w:szCs w:val="22"/>
          <w:lang w:val="en-GB"/>
        </w:rPr>
        <w:t xml:space="preserve">, </w:t>
      </w:r>
      <w:r w:rsidR="00CF1968" w:rsidRPr="000F0222">
        <w:rPr>
          <w:b/>
          <w:sz w:val="22"/>
          <w:szCs w:val="22"/>
          <w:lang w:val="en-GB"/>
        </w:rPr>
        <w:t>however,</w:t>
      </w:r>
      <w:r w:rsidR="00CD7BF6" w:rsidRPr="000F0222">
        <w:rPr>
          <w:b/>
          <w:sz w:val="22"/>
          <w:szCs w:val="22"/>
          <w:lang w:val="en-GB"/>
        </w:rPr>
        <w:t xml:space="preserve"> it </w:t>
      </w:r>
      <w:r w:rsidR="00C959B2" w:rsidRPr="000F0222">
        <w:rPr>
          <w:b/>
          <w:sz w:val="22"/>
          <w:szCs w:val="22"/>
          <w:lang w:val="en-GB"/>
        </w:rPr>
        <w:t xml:space="preserve">has been demonstrating an increasing trend throughout the lifespan of the Strategic Plan </w:t>
      </w:r>
      <w:r w:rsidR="00CD7BF6" w:rsidRPr="000F0222">
        <w:rPr>
          <w:b/>
          <w:sz w:val="22"/>
          <w:szCs w:val="22"/>
          <w:lang w:val="en-GB"/>
        </w:rPr>
        <w:t xml:space="preserve">(see </w:t>
      </w:r>
      <w:r w:rsidR="00CD7BF6" w:rsidRPr="000F0222">
        <w:rPr>
          <w:b/>
          <w:i/>
          <w:sz w:val="22"/>
          <w:szCs w:val="22"/>
          <w:lang w:val="en-GB"/>
        </w:rPr>
        <w:t>Figure</w:t>
      </w:r>
      <w:r w:rsidR="00C959B2" w:rsidRPr="000F0222">
        <w:rPr>
          <w:b/>
          <w:i/>
          <w:sz w:val="22"/>
          <w:szCs w:val="22"/>
          <w:lang w:val="en-GB"/>
        </w:rPr>
        <w:t>s</w:t>
      </w:r>
      <w:r w:rsidR="00CD7BF6" w:rsidRPr="000F0222">
        <w:rPr>
          <w:b/>
          <w:i/>
          <w:sz w:val="22"/>
          <w:szCs w:val="22"/>
          <w:lang w:val="en-GB"/>
        </w:rPr>
        <w:t xml:space="preserve"> </w:t>
      </w:r>
      <w:r w:rsidR="00C959B2" w:rsidRPr="000F0222">
        <w:rPr>
          <w:b/>
          <w:i/>
          <w:sz w:val="22"/>
          <w:szCs w:val="22"/>
          <w:lang w:val="en-GB"/>
        </w:rPr>
        <w:t>10-12</w:t>
      </w:r>
      <w:r w:rsidR="00CD7BF6" w:rsidRPr="000F0222">
        <w:rPr>
          <w:b/>
          <w:sz w:val="22"/>
          <w:szCs w:val="22"/>
          <w:lang w:val="en-GB"/>
        </w:rPr>
        <w:t>)</w:t>
      </w:r>
      <w:r w:rsidR="00946E94" w:rsidRPr="000F0222">
        <w:rPr>
          <w:b/>
          <w:sz w:val="22"/>
          <w:szCs w:val="22"/>
          <w:lang w:val="en-GB"/>
        </w:rPr>
        <w:t>.</w:t>
      </w:r>
      <w:r w:rsidR="00946E94" w:rsidRPr="000F0222">
        <w:rPr>
          <w:sz w:val="22"/>
          <w:szCs w:val="22"/>
          <w:lang w:val="en-GB"/>
        </w:rPr>
        <w:t xml:space="preserve"> </w:t>
      </w:r>
      <w:r w:rsidR="009C3E10" w:rsidRPr="000F0222">
        <w:rPr>
          <w:sz w:val="22"/>
          <w:szCs w:val="22"/>
          <w:lang w:val="en-GB"/>
        </w:rPr>
        <w:t>T</w:t>
      </w:r>
      <w:r w:rsidR="00CD7BF6" w:rsidRPr="000F0222">
        <w:rPr>
          <w:sz w:val="22"/>
          <w:szCs w:val="22"/>
          <w:lang w:val="en-GB"/>
        </w:rPr>
        <w:t xml:space="preserve">he proportion of </w:t>
      </w:r>
      <w:r w:rsidR="00AB670D" w:rsidRPr="000F0222">
        <w:rPr>
          <w:sz w:val="22"/>
          <w:szCs w:val="22"/>
          <w:lang w:val="en-GB"/>
        </w:rPr>
        <w:t xml:space="preserve">targets with </w:t>
      </w:r>
      <w:r w:rsidR="00AB670D" w:rsidRPr="000F0222">
        <w:rPr>
          <w:i/>
          <w:sz w:val="22"/>
          <w:szCs w:val="22"/>
          <w:lang w:val="en-GB"/>
        </w:rPr>
        <w:t>limited progress</w:t>
      </w:r>
      <w:r w:rsidR="00AB670D" w:rsidRPr="000F0222">
        <w:rPr>
          <w:sz w:val="22"/>
          <w:szCs w:val="22"/>
          <w:lang w:val="en-GB"/>
        </w:rPr>
        <w:t xml:space="preserve"> </w:t>
      </w:r>
      <w:r w:rsidR="00E72EB2" w:rsidRPr="000F0222">
        <w:rPr>
          <w:sz w:val="22"/>
          <w:szCs w:val="22"/>
          <w:lang w:val="en-GB"/>
        </w:rPr>
        <w:t>and</w:t>
      </w:r>
      <w:r w:rsidR="00AB670D" w:rsidRPr="000F0222">
        <w:rPr>
          <w:sz w:val="22"/>
          <w:szCs w:val="22"/>
          <w:lang w:val="en-GB"/>
        </w:rPr>
        <w:t xml:space="preserve"> </w:t>
      </w:r>
      <w:r w:rsidR="00CD7BF6" w:rsidRPr="000F0222">
        <w:rPr>
          <w:i/>
          <w:sz w:val="22"/>
          <w:szCs w:val="22"/>
          <w:lang w:val="en-GB"/>
        </w:rPr>
        <w:t>not assessed</w:t>
      </w:r>
      <w:r w:rsidR="00CD7BF6" w:rsidRPr="000F0222">
        <w:rPr>
          <w:sz w:val="22"/>
          <w:szCs w:val="22"/>
          <w:lang w:val="en-GB"/>
        </w:rPr>
        <w:t xml:space="preserve"> has </w:t>
      </w:r>
      <w:r w:rsidR="009C3E10" w:rsidRPr="000F0222">
        <w:rPr>
          <w:sz w:val="22"/>
          <w:szCs w:val="22"/>
          <w:lang w:val="en-GB"/>
        </w:rPr>
        <w:t>declined (by 10% points compared to 2012)</w:t>
      </w:r>
      <w:r w:rsidR="00CD7BF6" w:rsidRPr="000F0222">
        <w:rPr>
          <w:sz w:val="22"/>
          <w:szCs w:val="22"/>
          <w:lang w:val="en-GB"/>
        </w:rPr>
        <w:t xml:space="preserve">, </w:t>
      </w:r>
      <w:r w:rsidR="00E802AD">
        <w:rPr>
          <w:sz w:val="22"/>
          <w:szCs w:val="22"/>
          <w:lang w:val="en-GB"/>
        </w:rPr>
        <w:t xml:space="preserve">while at the same time </w:t>
      </w:r>
      <w:r w:rsidR="00CD7BF6" w:rsidRPr="000F0222">
        <w:rPr>
          <w:sz w:val="22"/>
          <w:szCs w:val="22"/>
          <w:lang w:val="en-GB"/>
        </w:rPr>
        <w:t xml:space="preserve">the targets that have been </w:t>
      </w:r>
      <w:r w:rsidR="00FB1EA8" w:rsidRPr="000F0222">
        <w:rPr>
          <w:i/>
          <w:sz w:val="22"/>
          <w:szCs w:val="22"/>
          <w:lang w:val="en-GB"/>
        </w:rPr>
        <w:t xml:space="preserve">reached </w:t>
      </w:r>
      <w:r w:rsidR="00CD7BF6" w:rsidRPr="000F0222">
        <w:rPr>
          <w:sz w:val="22"/>
          <w:szCs w:val="22"/>
          <w:lang w:val="en-GB"/>
        </w:rPr>
        <w:t xml:space="preserve">or are </w:t>
      </w:r>
      <w:r w:rsidR="00CF1968" w:rsidRPr="000F0222">
        <w:rPr>
          <w:sz w:val="22"/>
          <w:szCs w:val="22"/>
          <w:lang w:val="en-GB"/>
        </w:rPr>
        <w:t>showing</w:t>
      </w:r>
      <w:r w:rsidR="00CD7BF6" w:rsidRPr="000F0222">
        <w:rPr>
          <w:sz w:val="22"/>
          <w:szCs w:val="22"/>
          <w:lang w:val="en-GB"/>
        </w:rPr>
        <w:t xml:space="preserve"> </w:t>
      </w:r>
      <w:r w:rsidR="00CD7BF6" w:rsidRPr="000F0222">
        <w:rPr>
          <w:i/>
          <w:sz w:val="22"/>
          <w:szCs w:val="22"/>
          <w:lang w:val="en-GB"/>
        </w:rPr>
        <w:t>significant pr</w:t>
      </w:r>
      <w:r w:rsidR="00CD7BF6" w:rsidRPr="0033493E">
        <w:rPr>
          <w:i/>
          <w:sz w:val="22"/>
          <w:szCs w:val="22"/>
          <w:lang w:val="en-GB"/>
        </w:rPr>
        <w:t>ogress</w:t>
      </w:r>
      <w:r w:rsidR="00CD7BF6" w:rsidRPr="0033493E">
        <w:rPr>
          <w:sz w:val="22"/>
          <w:szCs w:val="22"/>
          <w:lang w:val="en-GB"/>
        </w:rPr>
        <w:t xml:space="preserve"> have increased</w:t>
      </w:r>
      <w:r w:rsidR="00E802AD" w:rsidRPr="0033493E">
        <w:rPr>
          <w:sz w:val="22"/>
          <w:szCs w:val="22"/>
          <w:lang w:val="en-GB"/>
        </w:rPr>
        <w:t xml:space="preserve">, </w:t>
      </w:r>
      <w:r w:rsidR="0033493E" w:rsidRPr="0033493E">
        <w:rPr>
          <w:sz w:val="22"/>
          <w:szCs w:val="22"/>
          <w:lang w:val="en-GB"/>
        </w:rPr>
        <w:t>also</w:t>
      </w:r>
      <w:r w:rsidR="009C3E10" w:rsidRPr="0033493E">
        <w:rPr>
          <w:sz w:val="22"/>
          <w:szCs w:val="22"/>
          <w:lang w:val="en-GB"/>
        </w:rPr>
        <w:t xml:space="preserve"> </w:t>
      </w:r>
      <w:r w:rsidR="00CD7BF6" w:rsidRPr="0033493E">
        <w:rPr>
          <w:sz w:val="22"/>
          <w:szCs w:val="22"/>
          <w:lang w:val="en-GB"/>
        </w:rPr>
        <w:t>at the</w:t>
      </w:r>
      <w:r w:rsidR="00CD7BF6" w:rsidRPr="000F0222">
        <w:rPr>
          <w:sz w:val="22"/>
          <w:szCs w:val="22"/>
          <w:lang w:val="en-GB"/>
        </w:rPr>
        <w:t xml:space="preserve"> expense of </w:t>
      </w:r>
      <w:r w:rsidR="00E72EB2" w:rsidRPr="000F0222">
        <w:rPr>
          <w:sz w:val="22"/>
          <w:szCs w:val="22"/>
          <w:lang w:val="en-GB"/>
        </w:rPr>
        <w:t xml:space="preserve">fewer </w:t>
      </w:r>
      <w:r w:rsidR="00CD7BF6" w:rsidRPr="000F0222">
        <w:rPr>
          <w:sz w:val="22"/>
          <w:szCs w:val="22"/>
          <w:lang w:val="en-GB"/>
        </w:rPr>
        <w:t xml:space="preserve">targets with </w:t>
      </w:r>
      <w:r w:rsidR="00E72EB2" w:rsidRPr="000F0222">
        <w:rPr>
          <w:i/>
          <w:sz w:val="22"/>
          <w:szCs w:val="22"/>
          <w:lang w:val="en-GB"/>
        </w:rPr>
        <w:t xml:space="preserve">good </w:t>
      </w:r>
      <w:r w:rsidR="00CD7BF6" w:rsidRPr="000F0222">
        <w:rPr>
          <w:i/>
          <w:sz w:val="22"/>
          <w:szCs w:val="22"/>
          <w:lang w:val="en-GB"/>
        </w:rPr>
        <w:t>progress</w:t>
      </w:r>
      <w:r w:rsidR="00CD7BF6" w:rsidRPr="000F0222">
        <w:rPr>
          <w:sz w:val="22"/>
          <w:szCs w:val="22"/>
          <w:lang w:val="en-GB"/>
        </w:rPr>
        <w:t xml:space="preserve">. </w:t>
      </w:r>
      <w:r w:rsidR="00946E94" w:rsidRPr="000F0222">
        <w:rPr>
          <w:sz w:val="22"/>
          <w:szCs w:val="22"/>
          <w:lang w:val="en-GB"/>
        </w:rPr>
        <w:t xml:space="preserve"> </w:t>
      </w:r>
    </w:p>
    <w:bookmarkEnd w:id="3"/>
    <w:p w14:paraId="2B4C0A78" w14:textId="77777777" w:rsidR="00CD7BF6" w:rsidRPr="004779F8" w:rsidRDefault="00CD7BF6" w:rsidP="003539D3">
      <w:pPr>
        <w:jc w:val="both"/>
        <w:rPr>
          <w:sz w:val="22"/>
          <w:szCs w:val="22"/>
          <w:lang w:val="en-GB"/>
        </w:rPr>
      </w:pPr>
    </w:p>
    <w:p w14:paraId="4FDF175E" w14:textId="3E81224A" w:rsidR="00D14C63" w:rsidRPr="000F0222" w:rsidRDefault="004A0D33" w:rsidP="00644E5D">
      <w:pPr>
        <w:jc w:val="center"/>
        <w:rPr>
          <w:sz w:val="22"/>
          <w:szCs w:val="22"/>
          <w:lang w:val="en-GB"/>
        </w:rPr>
      </w:pPr>
      <w:r w:rsidRPr="000F0222">
        <w:rPr>
          <w:noProof/>
          <w:lang w:val="en-GB"/>
        </w:rPr>
        <w:drawing>
          <wp:inline distT="0" distB="0" distL="0" distR="0" wp14:anchorId="7B0D4E77" wp14:editId="4888266A">
            <wp:extent cx="4572000" cy="2743200"/>
            <wp:effectExtent l="0" t="0" r="0" b="0"/>
            <wp:docPr id="75" name="Chart 7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39B952" w14:textId="78068485" w:rsidR="00644E5D" w:rsidRPr="000F0222" w:rsidRDefault="00644E5D" w:rsidP="003539D3">
      <w:pPr>
        <w:jc w:val="both"/>
        <w:rPr>
          <w:sz w:val="22"/>
          <w:szCs w:val="22"/>
          <w:lang w:val="en-GB"/>
        </w:rPr>
      </w:pPr>
    </w:p>
    <w:p w14:paraId="5F08DC00" w14:textId="56429EA0" w:rsidR="00644E5D" w:rsidRPr="000F0222" w:rsidRDefault="00644E5D" w:rsidP="00644E5D">
      <w:pPr>
        <w:rPr>
          <w:i/>
          <w:sz w:val="22"/>
          <w:szCs w:val="22"/>
          <w:lang w:val="en-GB"/>
        </w:rPr>
      </w:pPr>
      <w:r w:rsidRPr="000F0222">
        <w:rPr>
          <w:i/>
          <w:sz w:val="22"/>
          <w:szCs w:val="22"/>
          <w:lang w:val="en-GB"/>
        </w:rPr>
        <w:t>Figure 13. Proportion of the targets of each Strategic Plan objective per category of progress at MOP7 (2018).</w:t>
      </w:r>
    </w:p>
    <w:p w14:paraId="4D98E531" w14:textId="77777777" w:rsidR="00644E5D" w:rsidRPr="000F0222" w:rsidRDefault="00644E5D" w:rsidP="003539D3">
      <w:pPr>
        <w:jc w:val="both"/>
        <w:rPr>
          <w:sz w:val="22"/>
          <w:szCs w:val="22"/>
          <w:lang w:val="en-GB"/>
        </w:rPr>
      </w:pPr>
    </w:p>
    <w:p w14:paraId="3C9047EA" w14:textId="77777777" w:rsidR="001F3688" w:rsidRPr="000F0222" w:rsidRDefault="001F3688" w:rsidP="001F3688">
      <w:pPr>
        <w:jc w:val="center"/>
        <w:rPr>
          <w:sz w:val="22"/>
          <w:szCs w:val="22"/>
          <w:lang w:val="en-GB"/>
        </w:rPr>
      </w:pPr>
      <w:r w:rsidRPr="000F0222">
        <w:rPr>
          <w:noProof/>
          <w:lang w:val="en-GB"/>
        </w:rPr>
        <w:lastRenderedPageBreak/>
        <w:drawing>
          <wp:inline distT="0" distB="0" distL="0" distR="0" wp14:anchorId="25DD7F83" wp14:editId="3D7179CA">
            <wp:extent cx="457200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23C2E3" w14:textId="77777777" w:rsidR="001F3688" w:rsidRPr="000F0222" w:rsidRDefault="001F3688" w:rsidP="003539D3">
      <w:pPr>
        <w:jc w:val="both"/>
        <w:rPr>
          <w:sz w:val="22"/>
          <w:szCs w:val="22"/>
          <w:lang w:val="en-GB"/>
        </w:rPr>
      </w:pPr>
    </w:p>
    <w:p w14:paraId="24F84101" w14:textId="2B8D3101" w:rsidR="001F3688" w:rsidRPr="000F0222" w:rsidRDefault="001F3688" w:rsidP="001F3688">
      <w:pPr>
        <w:rPr>
          <w:i/>
          <w:sz w:val="22"/>
          <w:szCs w:val="22"/>
          <w:lang w:val="en-GB"/>
        </w:rPr>
      </w:pPr>
      <w:r w:rsidRPr="000F0222">
        <w:rPr>
          <w:i/>
          <w:sz w:val="22"/>
          <w:szCs w:val="22"/>
          <w:lang w:val="en-GB"/>
        </w:rPr>
        <w:t xml:space="preserve">Figure </w:t>
      </w:r>
      <w:r w:rsidR="00644E5D" w:rsidRPr="000F0222">
        <w:rPr>
          <w:i/>
          <w:sz w:val="22"/>
          <w:szCs w:val="22"/>
          <w:lang w:val="en-GB"/>
        </w:rPr>
        <w:t>14</w:t>
      </w:r>
      <w:r w:rsidRPr="000F0222">
        <w:rPr>
          <w:i/>
          <w:sz w:val="22"/>
          <w:szCs w:val="22"/>
          <w:lang w:val="en-GB"/>
        </w:rPr>
        <w:t>. Proportion of the targets of each Strategic Plan objective per category of progress</w:t>
      </w:r>
      <w:r w:rsidR="00644E5D" w:rsidRPr="000F0222">
        <w:rPr>
          <w:i/>
          <w:sz w:val="22"/>
          <w:szCs w:val="22"/>
          <w:lang w:val="en-GB"/>
        </w:rPr>
        <w:t xml:space="preserve"> at MOP6 (2015)</w:t>
      </w:r>
      <w:r w:rsidRPr="000F0222">
        <w:rPr>
          <w:i/>
          <w:sz w:val="22"/>
          <w:szCs w:val="22"/>
          <w:lang w:val="en-GB"/>
        </w:rPr>
        <w:t>.</w:t>
      </w:r>
    </w:p>
    <w:p w14:paraId="62E2823A" w14:textId="77777777" w:rsidR="00D14C63" w:rsidRPr="000F0222" w:rsidRDefault="00D14C63" w:rsidP="003539D3">
      <w:pPr>
        <w:jc w:val="both"/>
        <w:rPr>
          <w:sz w:val="22"/>
          <w:szCs w:val="22"/>
          <w:lang w:val="en-GB"/>
        </w:rPr>
      </w:pPr>
    </w:p>
    <w:p w14:paraId="742039C5" w14:textId="77777777" w:rsidR="005629EE" w:rsidRPr="000F0222" w:rsidRDefault="005629EE" w:rsidP="003539D3">
      <w:pPr>
        <w:jc w:val="both"/>
        <w:rPr>
          <w:sz w:val="22"/>
          <w:szCs w:val="22"/>
          <w:lang w:val="en-GB"/>
        </w:rPr>
      </w:pPr>
    </w:p>
    <w:p w14:paraId="26AAD41F" w14:textId="77777777" w:rsidR="00D14C63" w:rsidRPr="000F0222" w:rsidRDefault="00D14C63" w:rsidP="009765FE">
      <w:pPr>
        <w:jc w:val="center"/>
        <w:rPr>
          <w:sz w:val="22"/>
          <w:szCs w:val="22"/>
          <w:lang w:val="en-GB"/>
        </w:rPr>
      </w:pPr>
      <w:r w:rsidRPr="000F0222">
        <w:rPr>
          <w:noProof/>
          <w:sz w:val="22"/>
          <w:szCs w:val="22"/>
          <w:lang w:val="en-GB"/>
        </w:rPr>
        <w:drawing>
          <wp:inline distT="0" distB="0" distL="0" distR="0" wp14:anchorId="455A12E0" wp14:editId="2B92E2B5">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987611" w14:textId="77777777" w:rsidR="00123998" w:rsidRPr="000F0222" w:rsidRDefault="00123998" w:rsidP="00123998">
      <w:pPr>
        <w:jc w:val="center"/>
        <w:rPr>
          <w:sz w:val="22"/>
          <w:szCs w:val="22"/>
          <w:lang w:val="en-GB"/>
        </w:rPr>
      </w:pPr>
    </w:p>
    <w:p w14:paraId="2DF6249F" w14:textId="629DC722" w:rsidR="00123998" w:rsidRPr="000F0222" w:rsidRDefault="00123998" w:rsidP="00123998">
      <w:pPr>
        <w:rPr>
          <w:i/>
          <w:sz w:val="22"/>
          <w:szCs w:val="22"/>
          <w:lang w:val="en-GB"/>
        </w:rPr>
      </w:pPr>
      <w:r w:rsidRPr="000F0222">
        <w:rPr>
          <w:i/>
          <w:sz w:val="22"/>
          <w:szCs w:val="22"/>
          <w:lang w:val="en-GB"/>
        </w:rPr>
        <w:t xml:space="preserve">Figure </w:t>
      </w:r>
      <w:r w:rsidR="001F3688" w:rsidRPr="000F0222">
        <w:rPr>
          <w:i/>
          <w:sz w:val="22"/>
          <w:szCs w:val="22"/>
          <w:lang w:val="en-GB"/>
        </w:rPr>
        <w:t>1</w:t>
      </w:r>
      <w:r w:rsidR="00644E5D" w:rsidRPr="000F0222">
        <w:rPr>
          <w:i/>
          <w:sz w:val="22"/>
          <w:szCs w:val="22"/>
          <w:lang w:val="en-GB"/>
        </w:rPr>
        <w:t>5</w:t>
      </w:r>
      <w:r w:rsidRPr="000F0222">
        <w:rPr>
          <w:i/>
          <w:sz w:val="22"/>
          <w:szCs w:val="22"/>
          <w:lang w:val="en-GB"/>
        </w:rPr>
        <w:t xml:space="preserve">. Proportion of the targets </w:t>
      </w:r>
      <w:r w:rsidR="00090A5B" w:rsidRPr="000F0222">
        <w:rPr>
          <w:i/>
          <w:sz w:val="22"/>
          <w:szCs w:val="22"/>
          <w:lang w:val="en-GB"/>
        </w:rPr>
        <w:t xml:space="preserve">of each </w:t>
      </w:r>
      <w:r w:rsidRPr="000F0222">
        <w:rPr>
          <w:i/>
          <w:sz w:val="22"/>
          <w:szCs w:val="22"/>
          <w:lang w:val="en-GB"/>
        </w:rPr>
        <w:t>Strategic Plan objective per category of progress</w:t>
      </w:r>
      <w:r w:rsidR="001F3688" w:rsidRPr="000F0222">
        <w:rPr>
          <w:i/>
          <w:sz w:val="22"/>
          <w:szCs w:val="22"/>
          <w:lang w:val="en-GB"/>
        </w:rPr>
        <w:t xml:space="preserve"> at MOP5 (2012)</w:t>
      </w:r>
      <w:r w:rsidRPr="000F0222">
        <w:rPr>
          <w:i/>
          <w:sz w:val="22"/>
          <w:szCs w:val="22"/>
          <w:lang w:val="en-GB"/>
        </w:rPr>
        <w:t>.</w:t>
      </w:r>
    </w:p>
    <w:p w14:paraId="56E7B550" w14:textId="77777777" w:rsidR="00123998" w:rsidRPr="000F0222" w:rsidRDefault="00123998" w:rsidP="00123998">
      <w:pPr>
        <w:rPr>
          <w:sz w:val="22"/>
          <w:szCs w:val="22"/>
          <w:lang w:val="en-GB"/>
        </w:rPr>
      </w:pPr>
    </w:p>
    <w:p w14:paraId="1223AED5" w14:textId="77777777" w:rsidR="00B02FCC" w:rsidRPr="000F0222" w:rsidRDefault="00B02FCC" w:rsidP="00123998">
      <w:pPr>
        <w:rPr>
          <w:sz w:val="22"/>
          <w:szCs w:val="22"/>
          <w:lang w:val="en-GB"/>
        </w:rPr>
      </w:pPr>
    </w:p>
    <w:p w14:paraId="7DF6E303" w14:textId="63C4A354" w:rsidR="00B02FCC" w:rsidRPr="00964C3E" w:rsidRDefault="00B02FCC" w:rsidP="00C64776">
      <w:pPr>
        <w:spacing w:line="276" w:lineRule="auto"/>
        <w:jc w:val="both"/>
        <w:rPr>
          <w:sz w:val="22"/>
          <w:szCs w:val="22"/>
          <w:lang w:val="en-GB"/>
        </w:rPr>
      </w:pPr>
      <w:r w:rsidRPr="000F0222">
        <w:rPr>
          <w:sz w:val="22"/>
          <w:szCs w:val="22"/>
          <w:lang w:val="en-GB"/>
        </w:rPr>
        <w:t xml:space="preserve">Comparing all objectives (see </w:t>
      </w:r>
      <w:r w:rsidRPr="000F0222">
        <w:rPr>
          <w:i/>
          <w:sz w:val="22"/>
          <w:szCs w:val="22"/>
          <w:lang w:val="en-GB"/>
        </w:rPr>
        <w:t xml:space="preserve">Figure </w:t>
      </w:r>
      <w:r w:rsidR="00C53B7B" w:rsidRPr="000F0222">
        <w:rPr>
          <w:i/>
          <w:sz w:val="22"/>
          <w:szCs w:val="22"/>
          <w:lang w:val="en-GB"/>
        </w:rPr>
        <w:t>13</w:t>
      </w:r>
      <w:r w:rsidRPr="000F0222">
        <w:rPr>
          <w:sz w:val="22"/>
          <w:szCs w:val="22"/>
          <w:lang w:val="en-GB"/>
        </w:rPr>
        <w:t>)</w:t>
      </w:r>
      <w:r w:rsidR="00CF1968" w:rsidRPr="000F0222">
        <w:rPr>
          <w:sz w:val="22"/>
          <w:szCs w:val="22"/>
          <w:lang w:val="en-GB"/>
        </w:rPr>
        <w:t>,</w:t>
      </w:r>
      <w:r w:rsidRPr="000F0222">
        <w:rPr>
          <w:sz w:val="22"/>
          <w:szCs w:val="22"/>
          <w:lang w:val="en-GB"/>
        </w:rPr>
        <w:t xml:space="preserve"> </w:t>
      </w:r>
      <w:r w:rsidR="00BD734C" w:rsidRPr="000F0222">
        <w:rPr>
          <w:sz w:val="22"/>
          <w:szCs w:val="22"/>
          <w:lang w:val="en-GB"/>
        </w:rPr>
        <w:t>n</w:t>
      </w:r>
      <w:r w:rsidR="00C17AEA" w:rsidRPr="000F0222">
        <w:rPr>
          <w:sz w:val="22"/>
          <w:szCs w:val="22"/>
          <w:lang w:val="en-GB"/>
        </w:rPr>
        <w:t>one</w:t>
      </w:r>
      <w:r w:rsidR="00BD734C" w:rsidRPr="000F0222">
        <w:rPr>
          <w:sz w:val="22"/>
          <w:szCs w:val="22"/>
          <w:lang w:val="en-GB"/>
        </w:rPr>
        <w:t xml:space="preserve"> is </w:t>
      </w:r>
      <w:r w:rsidR="005D183F" w:rsidRPr="000F0222">
        <w:rPr>
          <w:sz w:val="22"/>
          <w:szCs w:val="22"/>
          <w:lang w:val="en-GB"/>
        </w:rPr>
        <w:t>outstanding in terms of reaching its associated targets</w:t>
      </w:r>
      <w:r w:rsidR="007172CD" w:rsidRPr="000F0222">
        <w:rPr>
          <w:sz w:val="22"/>
          <w:szCs w:val="22"/>
          <w:lang w:val="en-GB"/>
        </w:rPr>
        <w:t xml:space="preserve">. </w:t>
      </w:r>
      <w:r w:rsidR="00577146" w:rsidRPr="000F0222">
        <w:rPr>
          <w:sz w:val="22"/>
          <w:szCs w:val="22"/>
          <w:lang w:val="en-GB"/>
        </w:rPr>
        <w:t xml:space="preserve"> </w:t>
      </w:r>
      <w:r w:rsidR="00FB1EA8" w:rsidRPr="000F0222">
        <w:rPr>
          <w:sz w:val="22"/>
          <w:szCs w:val="22"/>
          <w:lang w:val="en-GB"/>
        </w:rPr>
        <w:t xml:space="preserve">Objective 2 demonstrates </w:t>
      </w:r>
      <w:r w:rsidR="004A3098">
        <w:rPr>
          <w:sz w:val="22"/>
          <w:szCs w:val="22"/>
          <w:lang w:val="en-GB"/>
        </w:rPr>
        <w:t xml:space="preserve">the </w:t>
      </w:r>
      <w:r w:rsidR="00FB1EA8" w:rsidRPr="000F0222">
        <w:rPr>
          <w:sz w:val="22"/>
          <w:szCs w:val="22"/>
          <w:lang w:val="en-GB"/>
        </w:rPr>
        <w:t xml:space="preserve">highest score with one target </w:t>
      </w:r>
      <w:r w:rsidR="00FB1EA8" w:rsidRPr="000F0222">
        <w:rPr>
          <w:i/>
          <w:sz w:val="22"/>
          <w:szCs w:val="22"/>
          <w:lang w:val="en-GB"/>
        </w:rPr>
        <w:t>reached</w:t>
      </w:r>
      <w:r w:rsidR="00FB1EA8" w:rsidRPr="000F0222">
        <w:rPr>
          <w:sz w:val="22"/>
          <w:szCs w:val="22"/>
          <w:lang w:val="en-GB"/>
        </w:rPr>
        <w:t xml:space="preserve">, one with </w:t>
      </w:r>
      <w:r w:rsidR="00FB1EA8" w:rsidRPr="000F0222">
        <w:rPr>
          <w:i/>
          <w:sz w:val="22"/>
          <w:szCs w:val="22"/>
          <w:lang w:val="en-GB"/>
        </w:rPr>
        <w:t>significant progress</w:t>
      </w:r>
      <w:r w:rsidR="00FB1EA8" w:rsidRPr="000F0222">
        <w:rPr>
          <w:sz w:val="22"/>
          <w:szCs w:val="22"/>
          <w:lang w:val="en-GB"/>
        </w:rPr>
        <w:t xml:space="preserve"> and two with </w:t>
      </w:r>
      <w:r w:rsidR="00FB1EA8" w:rsidRPr="000F0222">
        <w:rPr>
          <w:i/>
          <w:sz w:val="22"/>
          <w:szCs w:val="22"/>
          <w:lang w:val="en-GB"/>
        </w:rPr>
        <w:t>good progress</w:t>
      </w:r>
      <w:r w:rsidR="00FB1EA8" w:rsidRPr="000F0222">
        <w:rPr>
          <w:sz w:val="22"/>
          <w:szCs w:val="22"/>
          <w:lang w:val="en-GB"/>
        </w:rPr>
        <w:t xml:space="preserve">. Only one target has been assessed as </w:t>
      </w:r>
      <w:r w:rsidR="000F0222">
        <w:rPr>
          <w:sz w:val="22"/>
          <w:szCs w:val="22"/>
          <w:lang w:val="en-GB"/>
        </w:rPr>
        <w:t>showing</w:t>
      </w:r>
      <w:r w:rsidR="00FB1EA8" w:rsidRPr="00964C3E">
        <w:rPr>
          <w:sz w:val="22"/>
          <w:szCs w:val="22"/>
          <w:lang w:val="en-GB"/>
        </w:rPr>
        <w:t xml:space="preserve"> </w:t>
      </w:r>
      <w:r w:rsidR="00FB1EA8" w:rsidRPr="00964C3E">
        <w:rPr>
          <w:i/>
          <w:sz w:val="22"/>
          <w:szCs w:val="22"/>
          <w:lang w:val="en-GB"/>
        </w:rPr>
        <w:t>limited progress</w:t>
      </w:r>
      <w:r w:rsidR="00FB1EA8" w:rsidRPr="00964C3E">
        <w:rPr>
          <w:sz w:val="22"/>
          <w:szCs w:val="22"/>
          <w:lang w:val="en-GB"/>
        </w:rPr>
        <w:t>. Performance against</w:t>
      </w:r>
      <w:r w:rsidR="00A51943" w:rsidRPr="00964C3E">
        <w:rPr>
          <w:sz w:val="22"/>
          <w:szCs w:val="22"/>
          <w:lang w:val="en-GB"/>
        </w:rPr>
        <w:t xml:space="preserve"> O</w:t>
      </w:r>
      <w:r w:rsidR="00FB1EA8" w:rsidRPr="00964C3E">
        <w:rPr>
          <w:sz w:val="22"/>
          <w:szCs w:val="22"/>
          <w:lang w:val="en-GB"/>
        </w:rPr>
        <w:t>bjective 2 has also been consistently improving throughout the lifespan of the Strategic Plan</w:t>
      </w:r>
      <w:r w:rsidR="00FC0EDD" w:rsidRPr="00964C3E">
        <w:rPr>
          <w:sz w:val="22"/>
          <w:szCs w:val="22"/>
          <w:lang w:val="en-GB"/>
        </w:rPr>
        <w:t xml:space="preserve"> (see </w:t>
      </w:r>
      <w:r w:rsidR="00FC0EDD" w:rsidRPr="00964C3E">
        <w:rPr>
          <w:i/>
          <w:sz w:val="22"/>
          <w:szCs w:val="22"/>
          <w:lang w:val="en-GB"/>
        </w:rPr>
        <w:t xml:space="preserve">Figures </w:t>
      </w:r>
      <w:r w:rsidR="00C53B7B" w:rsidRPr="00964C3E">
        <w:rPr>
          <w:i/>
          <w:sz w:val="22"/>
          <w:szCs w:val="22"/>
          <w:lang w:val="en-GB"/>
        </w:rPr>
        <w:t>13-15</w:t>
      </w:r>
      <w:r w:rsidR="00C53B7B" w:rsidRPr="00964C3E">
        <w:rPr>
          <w:sz w:val="22"/>
          <w:szCs w:val="22"/>
          <w:lang w:val="en-GB"/>
        </w:rPr>
        <w:t>)</w:t>
      </w:r>
      <w:r w:rsidR="00FB1EA8" w:rsidRPr="00964C3E">
        <w:rPr>
          <w:sz w:val="22"/>
          <w:szCs w:val="22"/>
          <w:lang w:val="en-GB"/>
        </w:rPr>
        <w:t xml:space="preserve">.  </w:t>
      </w:r>
      <w:r w:rsidR="003C3270" w:rsidRPr="00964C3E">
        <w:rPr>
          <w:sz w:val="22"/>
          <w:szCs w:val="22"/>
          <w:lang w:val="en-GB"/>
        </w:rPr>
        <w:t xml:space="preserve">Objective 5 has one target </w:t>
      </w:r>
      <w:r w:rsidR="003C3270" w:rsidRPr="00964C3E">
        <w:rPr>
          <w:i/>
          <w:sz w:val="22"/>
          <w:szCs w:val="22"/>
          <w:lang w:val="en-GB"/>
        </w:rPr>
        <w:t>reached</w:t>
      </w:r>
      <w:r w:rsidR="003C3270" w:rsidRPr="00964C3E">
        <w:rPr>
          <w:sz w:val="22"/>
          <w:szCs w:val="22"/>
          <w:lang w:val="en-GB"/>
        </w:rPr>
        <w:t xml:space="preserve"> and two targets with </w:t>
      </w:r>
      <w:r w:rsidR="003C3270" w:rsidRPr="00964C3E">
        <w:rPr>
          <w:i/>
          <w:sz w:val="22"/>
          <w:szCs w:val="22"/>
          <w:lang w:val="en-GB"/>
        </w:rPr>
        <w:t>significant progress</w:t>
      </w:r>
      <w:r w:rsidR="00964C3E">
        <w:rPr>
          <w:i/>
          <w:sz w:val="22"/>
          <w:szCs w:val="22"/>
          <w:lang w:val="en-GB"/>
        </w:rPr>
        <w:t>,</w:t>
      </w:r>
      <w:r w:rsidR="00964C3E">
        <w:rPr>
          <w:sz w:val="22"/>
          <w:szCs w:val="22"/>
          <w:lang w:val="en-GB"/>
        </w:rPr>
        <w:t xml:space="preserve"> as well as</w:t>
      </w:r>
      <w:r w:rsidR="003C3270" w:rsidRPr="00964C3E">
        <w:rPr>
          <w:sz w:val="22"/>
          <w:szCs w:val="22"/>
          <w:lang w:val="en-GB"/>
        </w:rPr>
        <w:t xml:space="preserve"> </w:t>
      </w:r>
      <w:r w:rsidR="00A51943" w:rsidRPr="00964C3E">
        <w:rPr>
          <w:sz w:val="22"/>
          <w:szCs w:val="22"/>
          <w:lang w:val="en-GB"/>
        </w:rPr>
        <w:t>two</w:t>
      </w:r>
      <w:r w:rsidR="003C3270" w:rsidRPr="00964C3E">
        <w:rPr>
          <w:sz w:val="22"/>
          <w:szCs w:val="22"/>
          <w:lang w:val="en-GB"/>
        </w:rPr>
        <w:t xml:space="preserve"> with </w:t>
      </w:r>
      <w:r w:rsidR="003C3270" w:rsidRPr="00964C3E">
        <w:rPr>
          <w:i/>
          <w:sz w:val="22"/>
          <w:szCs w:val="22"/>
          <w:lang w:val="en-GB"/>
        </w:rPr>
        <w:t>good progress</w:t>
      </w:r>
      <w:r w:rsidR="003C3270" w:rsidRPr="00964C3E">
        <w:rPr>
          <w:sz w:val="22"/>
          <w:szCs w:val="22"/>
          <w:lang w:val="en-GB"/>
        </w:rPr>
        <w:t xml:space="preserve">. These </w:t>
      </w:r>
      <w:r w:rsidR="00A51943" w:rsidRPr="00964C3E">
        <w:rPr>
          <w:sz w:val="22"/>
          <w:szCs w:val="22"/>
          <w:lang w:val="en-GB"/>
        </w:rPr>
        <w:t>five</w:t>
      </w:r>
      <w:r w:rsidR="003C3270" w:rsidRPr="00964C3E">
        <w:rPr>
          <w:sz w:val="22"/>
          <w:szCs w:val="22"/>
          <w:lang w:val="en-GB"/>
        </w:rPr>
        <w:t xml:space="preserve"> </w:t>
      </w:r>
      <w:r w:rsidR="00964C3E">
        <w:rPr>
          <w:sz w:val="22"/>
          <w:szCs w:val="22"/>
          <w:lang w:val="en-GB"/>
        </w:rPr>
        <w:t xml:space="preserve">are </w:t>
      </w:r>
      <w:r w:rsidR="003C3270" w:rsidRPr="00964C3E">
        <w:rPr>
          <w:sz w:val="22"/>
          <w:szCs w:val="22"/>
          <w:lang w:val="en-GB"/>
        </w:rPr>
        <w:t>proportionally lower (</w:t>
      </w:r>
      <w:r w:rsidR="007C64BF" w:rsidRPr="00964C3E">
        <w:rPr>
          <w:sz w:val="22"/>
          <w:szCs w:val="22"/>
          <w:lang w:val="en-GB"/>
        </w:rPr>
        <w:t>63</w:t>
      </w:r>
      <w:r w:rsidR="003C3270" w:rsidRPr="00964C3E">
        <w:rPr>
          <w:sz w:val="22"/>
          <w:szCs w:val="22"/>
          <w:lang w:val="en-GB"/>
        </w:rPr>
        <w:t xml:space="preserve">% altogether) </w:t>
      </w:r>
      <w:r w:rsidR="00925AE0" w:rsidRPr="00964C3E">
        <w:rPr>
          <w:sz w:val="22"/>
          <w:szCs w:val="22"/>
          <w:lang w:val="en-GB"/>
        </w:rPr>
        <w:t>than the four targets in the three categories in Objective 2 (80%)</w:t>
      </w:r>
      <w:r w:rsidR="00964C3E">
        <w:rPr>
          <w:sz w:val="22"/>
          <w:szCs w:val="22"/>
          <w:lang w:val="en-GB"/>
        </w:rPr>
        <w:t>,</w:t>
      </w:r>
      <w:r w:rsidR="00925AE0" w:rsidRPr="00964C3E">
        <w:rPr>
          <w:sz w:val="22"/>
          <w:szCs w:val="22"/>
          <w:lang w:val="en-GB"/>
        </w:rPr>
        <w:t xml:space="preserve"> </w:t>
      </w:r>
      <w:r w:rsidR="007C64BF" w:rsidRPr="00964C3E">
        <w:rPr>
          <w:sz w:val="22"/>
          <w:szCs w:val="22"/>
          <w:lang w:val="en-GB"/>
        </w:rPr>
        <w:t>as O</w:t>
      </w:r>
      <w:r w:rsidR="003C3270" w:rsidRPr="00964C3E">
        <w:rPr>
          <w:sz w:val="22"/>
          <w:szCs w:val="22"/>
          <w:lang w:val="en-GB"/>
        </w:rPr>
        <w:t xml:space="preserve">bjective 5 has eight targets and </w:t>
      </w:r>
      <w:r w:rsidR="007C64BF" w:rsidRPr="00964C3E">
        <w:rPr>
          <w:sz w:val="22"/>
          <w:szCs w:val="22"/>
          <w:lang w:val="en-GB"/>
        </w:rPr>
        <w:t xml:space="preserve">two </w:t>
      </w:r>
      <w:r w:rsidR="003C3270" w:rsidRPr="00964C3E">
        <w:rPr>
          <w:sz w:val="22"/>
          <w:szCs w:val="22"/>
          <w:lang w:val="en-GB"/>
        </w:rPr>
        <w:t xml:space="preserve">of them are with </w:t>
      </w:r>
      <w:r w:rsidR="003C3270" w:rsidRPr="00964C3E">
        <w:rPr>
          <w:i/>
          <w:sz w:val="22"/>
          <w:szCs w:val="22"/>
          <w:lang w:val="en-GB"/>
        </w:rPr>
        <w:t>limited progress</w:t>
      </w:r>
      <w:r w:rsidR="003C3270" w:rsidRPr="00964C3E">
        <w:rPr>
          <w:sz w:val="22"/>
          <w:szCs w:val="22"/>
          <w:lang w:val="en-GB"/>
        </w:rPr>
        <w:t xml:space="preserve"> and one is </w:t>
      </w:r>
      <w:r w:rsidR="003C3270" w:rsidRPr="00964C3E">
        <w:rPr>
          <w:i/>
          <w:sz w:val="22"/>
          <w:szCs w:val="22"/>
          <w:lang w:val="en-GB"/>
        </w:rPr>
        <w:t>not assessed</w:t>
      </w:r>
      <w:r w:rsidR="003C3270" w:rsidRPr="00964C3E">
        <w:rPr>
          <w:sz w:val="22"/>
          <w:szCs w:val="22"/>
          <w:lang w:val="en-GB"/>
        </w:rPr>
        <w:t xml:space="preserve">. </w:t>
      </w:r>
      <w:r w:rsidR="007C64BF" w:rsidRPr="00964C3E">
        <w:rPr>
          <w:sz w:val="22"/>
          <w:szCs w:val="22"/>
          <w:lang w:val="en-GB"/>
        </w:rPr>
        <w:t>Objective 5</w:t>
      </w:r>
      <w:r w:rsidR="00964C3E">
        <w:rPr>
          <w:sz w:val="22"/>
          <w:szCs w:val="22"/>
          <w:lang w:val="en-GB"/>
        </w:rPr>
        <w:t>,</w:t>
      </w:r>
      <w:r w:rsidR="007C64BF" w:rsidRPr="00964C3E">
        <w:rPr>
          <w:sz w:val="22"/>
          <w:szCs w:val="22"/>
          <w:lang w:val="en-GB"/>
        </w:rPr>
        <w:t xml:space="preserve"> as well as O</w:t>
      </w:r>
      <w:r w:rsidR="003C3270" w:rsidRPr="00964C3E">
        <w:rPr>
          <w:sz w:val="22"/>
          <w:szCs w:val="22"/>
          <w:lang w:val="en-GB"/>
        </w:rPr>
        <w:t>bjectives 1 and 3</w:t>
      </w:r>
      <w:r w:rsidR="00964C3E">
        <w:rPr>
          <w:sz w:val="22"/>
          <w:szCs w:val="22"/>
          <w:lang w:val="en-GB"/>
        </w:rPr>
        <w:t>,</w:t>
      </w:r>
      <w:r w:rsidR="003C3270" w:rsidRPr="00964C3E">
        <w:rPr>
          <w:sz w:val="22"/>
          <w:szCs w:val="22"/>
          <w:lang w:val="en-GB"/>
        </w:rPr>
        <w:t xml:space="preserve"> also demonstrated increasing progress towards reaching the associated targets </w:t>
      </w:r>
      <w:proofErr w:type="gramStart"/>
      <w:r w:rsidR="003C3270" w:rsidRPr="00964C3E">
        <w:rPr>
          <w:sz w:val="22"/>
          <w:szCs w:val="22"/>
          <w:lang w:val="en-GB"/>
        </w:rPr>
        <w:t>in the course of</w:t>
      </w:r>
      <w:proofErr w:type="gramEnd"/>
      <w:r w:rsidR="003C3270" w:rsidRPr="00964C3E">
        <w:rPr>
          <w:sz w:val="22"/>
          <w:szCs w:val="22"/>
          <w:lang w:val="en-GB"/>
        </w:rPr>
        <w:t xml:space="preserve"> the last decade. Objective 4 is the only one that remained constant throughout the period with one </w:t>
      </w:r>
      <w:r w:rsidR="003C3270" w:rsidRPr="00964C3E">
        <w:rPr>
          <w:i/>
          <w:sz w:val="22"/>
          <w:szCs w:val="22"/>
          <w:lang w:val="en-GB"/>
        </w:rPr>
        <w:t>reached</w:t>
      </w:r>
      <w:r w:rsidR="003C3270" w:rsidRPr="00964C3E">
        <w:rPr>
          <w:sz w:val="22"/>
          <w:szCs w:val="22"/>
          <w:lang w:val="en-GB"/>
        </w:rPr>
        <w:t xml:space="preserve"> target and two </w:t>
      </w:r>
      <w:r w:rsidR="003C3270" w:rsidRPr="00964C3E">
        <w:rPr>
          <w:i/>
          <w:sz w:val="22"/>
          <w:szCs w:val="22"/>
          <w:lang w:val="en-GB"/>
        </w:rPr>
        <w:t>limited progress</w:t>
      </w:r>
      <w:r w:rsidR="003C3270" w:rsidRPr="00964C3E">
        <w:rPr>
          <w:sz w:val="22"/>
          <w:szCs w:val="22"/>
          <w:lang w:val="en-GB"/>
        </w:rPr>
        <w:t xml:space="preserve"> targets. </w:t>
      </w:r>
    </w:p>
    <w:p w14:paraId="036FEECB" w14:textId="77777777" w:rsidR="00E23DB7" w:rsidRPr="00964C3E" w:rsidRDefault="00E23DB7" w:rsidP="00B527F9">
      <w:pPr>
        <w:jc w:val="both"/>
        <w:rPr>
          <w:sz w:val="22"/>
          <w:szCs w:val="22"/>
          <w:lang w:val="en-GB"/>
        </w:rPr>
      </w:pPr>
    </w:p>
    <w:p w14:paraId="7828893B" w14:textId="77777777" w:rsidR="00E23DB7" w:rsidRPr="00964C3E" w:rsidRDefault="00E23DB7" w:rsidP="00B527F9">
      <w:pPr>
        <w:jc w:val="both"/>
        <w:rPr>
          <w:sz w:val="22"/>
          <w:szCs w:val="22"/>
          <w:lang w:val="en-GB"/>
        </w:rPr>
      </w:pPr>
    </w:p>
    <w:p w14:paraId="46259212" w14:textId="35FFF5A0" w:rsidR="00E23DB7" w:rsidRPr="004779F8" w:rsidRDefault="007A18DE" w:rsidP="00D5743F">
      <w:pPr>
        <w:shd w:val="clear" w:color="auto" w:fill="DBE5F1" w:themeFill="accent1" w:themeFillTint="33"/>
        <w:jc w:val="both"/>
        <w:rPr>
          <w:b/>
          <w:lang w:val="en-GB"/>
        </w:rPr>
      </w:pPr>
      <w:r w:rsidRPr="004779F8">
        <w:rPr>
          <w:b/>
          <w:lang w:val="en-GB"/>
        </w:rPr>
        <w:t xml:space="preserve">Level of </w:t>
      </w:r>
      <w:r w:rsidR="00E23DB7" w:rsidRPr="004779F8">
        <w:rPr>
          <w:b/>
          <w:lang w:val="en-GB"/>
        </w:rPr>
        <w:t>achieving Objective 1</w:t>
      </w:r>
    </w:p>
    <w:p w14:paraId="2A619D46" w14:textId="77777777" w:rsidR="00E23DB7" w:rsidRPr="00613A29" w:rsidRDefault="00E23DB7" w:rsidP="00E23DB7">
      <w:pPr>
        <w:jc w:val="both"/>
        <w:rPr>
          <w:sz w:val="22"/>
          <w:szCs w:val="22"/>
          <w:lang w:val="en-GB"/>
        </w:rPr>
      </w:pPr>
    </w:p>
    <w:p w14:paraId="7DDB4D02" w14:textId="469CE737" w:rsidR="00E23DB7" w:rsidRPr="003915B9" w:rsidRDefault="00EE1496" w:rsidP="00C64776">
      <w:pPr>
        <w:spacing w:line="276" w:lineRule="auto"/>
        <w:jc w:val="both"/>
        <w:rPr>
          <w:sz w:val="22"/>
          <w:szCs w:val="22"/>
          <w:lang w:val="en-GB"/>
        </w:rPr>
      </w:pPr>
      <w:r w:rsidRPr="00852729">
        <w:rPr>
          <w:sz w:val="22"/>
          <w:lang w:val="en-GB"/>
        </w:rPr>
        <w:t xml:space="preserve">Objective 1 aims </w:t>
      </w:r>
      <w:r w:rsidRPr="00852729">
        <w:rPr>
          <w:b/>
          <w:sz w:val="22"/>
          <w:lang w:val="en-GB"/>
        </w:rPr>
        <w:t xml:space="preserve">to undertake conservation measures </w:t>
      </w:r>
      <w:proofErr w:type="gramStart"/>
      <w:r w:rsidRPr="00852729">
        <w:rPr>
          <w:b/>
          <w:sz w:val="22"/>
          <w:lang w:val="en-GB"/>
        </w:rPr>
        <w:t>so as to</w:t>
      </w:r>
      <w:proofErr w:type="gramEnd"/>
      <w:r w:rsidRPr="00852729">
        <w:rPr>
          <w:b/>
          <w:sz w:val="22"/>
          <w:lang w:val="en-GB"/>
        </w:rPr>
        <w:t xml:space="preserve"> improv</w:t>
      </w:r>
      <w:r w:rsidRPr="004779F8">
        <w:rPr>
          <w:b/>
          <w:sz w:val="22"/>
          <w:lang w:val="en-GB"/>
        </w:rPr>
        <w:t xml:space="preserve">e or maintain conservation status of </w:t>
      </w:r>
      <w:proofErr w:type="spellStart"/>
      <w:r w:rsidRPr="004779F8">
        <w:rPr>
          <w:b/>
          <w:sz w:val="22"/>
          <w:lang w:val="en-GB"/>
        </w:rPr>
        <w:t>waterbird</w:t>
      </w:r>
      <w:proofErr w:type="spellEnd"/>
      <w:r w:rsidRPr="004779F8">
        <w:rPr>
          <w:b/>
          <w:sz w:val="22"/>
          <w:lang w:val="en-GB"/>
        </w:rPr>
        <w:t xml:space="preserve"> species and their populations</w:t>
      </w:r>
      <w:r w:rsidRPr="004779F8">
        <w:rPr>
          <w:sz w:val="22"/>
          <w:lang w:val="en-GB"/>
        </w:rPr>
        <w:t xml:space="preserve">. Five targets have been set </w:t>
      </w:r>
      <w:r w:rsidR="004907E6" w:rsidRPr="004779F8">
        <w:rPr>
          <w:sz w:val="22"/>
          <w:lang w:val="en-GB"/>
        </w:rPr>
        <w:t xml:space="preserve">to achieve this objective. </w:t>
      </w:r>
      <w:r w:rsidR="009F5787" w:rsidRPr="004779F8">
        <w:rPr>
          <w:sz w:val="22"/>
          <w:szCs w:val="22"/>
          <w:lang w:val="en-GB"/>
        </w:rPr>
        <w:t xml:space="preserve">60% of the five targets set for </w:t>
      </w:r>
      <w:r w:rsidR="000F3D1E" w:rsidRPr="004779F8">
        <w:rPr>
          <w:sz w:val="22"/>
          <w:szCs w:val="22"/>
          <w:lang w:val="en-GB"/>
        </w:rPr>
        <w:t xml:space="preserve">Objective 1 </w:t>
      </w:r>
      <w:r w:rsidR="00F523F0" w:rsidRPr="004779F8">
        <w:rPr>
          <w:sz w:val="22"/>
          <w:szCs w:val="22"/>
          <w:lang w:val="en-GB"/>
        </w:rPr>
        <w:t xml:space="preserve">have reached the level of </w:t>
      </w:r>
      <w:r w:rsidR="009F5787" w:rsidRPr="004779F8">
        <w:rPr>
          <w:i/>
          <w:sz w:val="22"/>
          <w:szCs w:val="22"/>
          <w:lang w:val="en-GB"/>
        </w:rPr>
        <w:t xml:space="preserve">good </w:t>
      </w:r>
      <w:r w:rsidR="000F3D1E" w:rsidRPr="004779F8">
        <w:rPr>
          <w:i/>
          <w:sz w:val="22"/>
          <w:szCs w:val="22"/>
          <w:lang w:val="en-GB"/>
        </w:rPr>
        <w:t>progress</w:t>
      </w:r>
      <w:r w:rsidR="000F3D1E" w:rsidRPr="004779F8">
        <w:rPr>
          <w:sz w:val="22"/>
          <w:szCs w:val="22"/>
          <w:lang w:val="en-GB"/>
        </w:rPr>
        <w:t xml:space="preserve"> and the remaining </w:t>
      </w:r>
      <w:r w:rsidR="00F523F0" w:rsidRPr="004779F8">
        <w:rPr>
          <w:sz w:val="22"/>
          <w:szCs w:val="22"/>
          <w:lang w:val="en-GB"/>
        </w:rPr>
        <w:t>4</w:t>
      </w:r>
      <w:r w:rsidR="009F5787" w:rsidRPr="004779F8">
        <w:rPr>
          <w:sz w:val="22"/>
          <w:szCs w:val="22"/>
          <w:lang w:val="en-GB"/>
        </w:rPr>
        <w:t xml:space="preserve">0% </w:t>
      </w:r>
      <w:r w:rsidR="003915B9">
        <w:rPr>
          <w:sz w:val="22"/>
          <w:szCs w:val="22"/>
          <w:lang w:val="en-GB"/>
        </w:rPr>
        <w:t>are still at the level of</w:t>
      </w:r>
      <w:r w:rsidR="009F5787" w:rsidRPr="003915B9">
        <w:rPr>
          <w:sz w:val="22"/>
          <w:szCs w:val="22"/>
          <w:lang w:val="en-GB"/>
        </w:rPr>
        <w:t xml:space="preserve"> </w:t>
      </w:r>
      <w:r w:rsidR="009F5787" w:rsidRPr="003915B9">
        <w:rPr>
          <w:i/>
          <w:sz w:val="22"/>
          <w:szCs w:val="22"/>
          <w:lang w:val="en-GB"/>
        </w:rPr>
        <w:t>limited progress</w:t>
      </w:r>
      <w:r w:rsidR="000F3D1E" w:rsidRPr="003915B9">
        <w:rPr>
          <w:sz w:val="22"/>
          <w:szCs w:val="22"/>
          <w:lang w:val="en-GB"/>
        </w:rPr>
        <w:t xml:space="preserve">. </w:t>
      </w:r>
      <w:r w:rsidR="00C17AEA" w:rsidRPr="003915B9">
        <w:rPr>
          <w:sz w:val="22"/>
          <w:szCs w:val="22"/>
          <w:lang w:val="en-GB"/>
        </w:rPr>
        <w:t>A d</w:t>
      </w:r>
      <w:r w:rsidR="00476BAF" w:rsidRPr="003915B9">
        <w:rPr>
          <w:sz w:val="22"/>
          <w:szCs w:val="22"/>
          <w:lang w:val="en-GB"/>
        </w:rPr>
        <w:t>etailed</w:t>
      </w:r>
      <w:r w:rsidR="005E0BCC" w:rsidRPr="003915B9">
        <w:rPr>
          <w:sz w:val="22"/>
          <w:szCs w:val="22"/>
          <w:lang w:val="en-GB"/>
        </w:rPr>
        <w:t xml:space="preserve"> account is presented in Table 4</w:t>
      </w:r>
      <w:r w:rsidR="00476BAF" w:rsidRPr="003915B9">
        <w:rPr>
          <w:sz w:val="22"/>
          <w:szCs w:val="22"/>
          <w:lang w:val="en-GB"/>
        </w:rPr>
        <w:t>.</w:t>
      </w:r>
    </w:p>
    <w:p w14:paraId="612649F9" w14:textId="162EE287" w:rsidR="007172CD" w:rsidRPr="00613A29" w:rsidRDefault="007172CD" w:rsidP="00C64776">
      <w:pPr>
        <w:spacing w:line="276" w:lineRule="auto"/>
        <w:jc w:val="both"/>
        <w:rPr>
          <w:sz w:val="22"/>
          <w:szCs w:val="22"/>
          <w:lang w:val="en-GB"/>
        </w:rPr>
      </w:pPr>
    </w:p>
    <w:p w14:paraId="1FB51EED" w14:textId="33851264" w:rsidR="00F523F0" w:rsidRPr="004779F8" w:rsidRDefault="0090478F" w:rsidP="00C64776">
      <w:pPr>
        <w:spacing w:line="276" w:lineRule="auto"/>
        <w:jc w:val="both"/>
        <w:rPr>
          <w:sz w:val="22"/>
          <w:szCs w:val="22"/>
          <w:lang w:val="en-GB"/>
        </w:rPr>
      </w:pPr>
      <w:r w:rsidRPr="00852729">
        <w:rPr>
          <w:sz w:val="22"/>
          <w:szCs w:val="22"/>
          <w:lang w:val="en-GB"/>
        </w:rPr>
        <w:t xml:space="preserve">Previously </w:t>
      </w:r>
      <w:r w:rsidRPr="00852729">
        <w:rPr>
          <w:i/>
          <w:sz w:val="22"/>
          <w:szCs w:val="22"/>
          <w:lang w:val="en-GB"/>
        </w:rPr>
        <w:t>not assessed</w:t>
      </w:r>
      <w:r w:rsidRPr="004779F8">
        <w:rPr>
          <w:sz w:val="22"/>
          <w:szCs w:val="22"/>
          <w:lang w:val="en-GB"/>
        </w:rPr>
        <w:t>, T</w:t>
      </w:r>
      <w:r w:rsidR="00F523F0" w:rsidRPr="004779F8">
        <w:rPr>
          <w:sz w:val="22"/>
          <w:szCs w:val="22"/>
          <w:lang w:val="en-GB"/>
        </w:rPr>
        <w:t xml:space="preserve">arget 1.1 on legal protection of all Column A-listed species has now been assessed based on the data provided through the national reports to MOP7. </w:t>
      </w:r>
      <w:r w:rsidR="007A18DE" w:rsidRPr="004779F8">
        <w:rPr>
          <w:sz w:val="22"/>
          <w:szCs w:val="22"/>
          <w:lang w:val="en-GB"/>
        </w:rPr>
        <w:t>Considering the fundamental importance of the appropriate legal status of the AEWA species in the domestic legislation for their effective conservation, it is deemed highly insufficient that only 12% of the Contracting Parties reported full protection of their Column A populations.</w:t>
      </w:r>
    </w:p>
    <w:p w14:paraId="7F72622B" w14:textId="6245EA41" w:rsidR="00F523F0" w:rsidRPr="004779F8" w:rsidRDefault="00F523F0" w:rsidP="00C64776">
      <w:pPr>
        <w:spacing w:line="276" w:lineRule="auto"/>
        <w:jc w:val="both"/>
        <w:rPr>
          <w:sz w:val="22"/>
          <w:szCs w:val="22"/>
          <w:lang w:val="en-GB"/>
        </w:rPr>
      </w:pPr>
    </w:p>
    <w:p w14:paraId="52DE3161" w14:textId="55EE6872" w:rsidR="00582141" w:rsidRPr="004779F8" w:rsidRDefault="00582141" w:rsidP="00C64776">
      <w:pPr>
        <w:spacing w:line="276" w:lineRule="auto"/>
        <w:jc w:val="both"/>
        <w:rPr>
          <w:sz w:val="22"/>
          <w:szCs w:val="22"/>
          <w:lang w:val="en-GB"/>
        </w:rPr>
      </w:pPr>
      <w:r w:rsidRPr="004779F8">
        <w:rPr>
          <w:i/>
          <w:sz w:val="22"/>
          <w:szCs w:val="22"/>
          <w:lang w:val="en-GB"/>
        </w:rPr>
        <w:t>Limited progress</w:t>
      </w:r>
      <w:r w:rsidRPr="004779F8">
        <w:rPr>
          <w:sz w:val="22"/>
          <w:szCs w:val="22"/>
          <w:lang w:val="en-GB"/>
        </w:rPr>
        <w:t xml:space="preserve"> has been registered also </w:t>
      </w:r>
      <w:r w:rsidR="0090478F" w:rsidRPr="004779F8">
        <w:rPr>
          <w:sz w:val="22"/>
          <w:szCs w:val="22"/>
          <w:lang w:val="en-GB"/>
        </w:rPr>
        <w:t>against T</w:t>
      </w:r>
      <w:r w:rsidRPr="004779F8">
        <w:rPr>
          <w:sz w:val="22"/>
          <w:szCs w:val="22"/>
          <w:lang w:val="en-GB"/>
        </w:rPr>
        <w:t>arget 1.5 on tackling threats from non-native species</w:t>
      </w:r>
      <w:r w:rsidR="00DB78FA" w:rsidRPr="004779F8">
        <w:rPr>
          <w:sz w:val="22"/>
          <w:szCs w:val="22"/>
          <w:lang w:val="en-GB"/>
        </w:rPr>
        <w:t xml:space="preserve"> with only 13% of the Contracting Parties having National Action Plans for non-native species. N</w:t>
      </w:r>
      <w:r w:rsidRPr="004779F8">
        <w:rPr>
          <w:sz w:val="22"/>
          <w:szCs w:val="22"/>
          <w:lang w:val="en-GB"/>
        </w:rPr>
        <w:t xml:space="preserve">o </w:t>
      </w:r>
      <w:r w:rsidR="00187B27">
        <w:rPr>
          <w:sz w:val="22"/>
          <w:szCs w:val="22"/>
          <w:lang w:val="en-GB"/>
        </w:rPr>
        <w:t xml:space="preserve">noticeable </w:t>
      </w:r>
      <w:r w:rsidRPr="004779F8">
        <w:rPr>
          <w:sz w:val="22"/>
          <w:szCs w:val="22"/>
          <w:lang w:val="en-GB"/>
        </w:rPr>
        <w:t xml:space="preserve">progress </w:t>
      </w:r>
      <w:r w:rsidR="00DB78FA" w:rsidRPr="004779F8">
        <w:rPr>
          <w:sz w:val="22"/>
          <w:szCs w:val="22"/>
          <w:lang w:val="en-GB"/>
        </w:rPr>
        <w:t xml:space="preserve">was </w:t>
      </w:r>
      <w:r w:rsidRPr="004779F8">
        <w:rPr>
          <w:sz w:val="22"/>
          <w:szCs w:val="22"/>
          <w:lang w:val="en-GB"/>
        </w:rPr>
        <w:t xml:space="preserve">achieved throughout the last decade. </w:t>
      </w:r>
    </w:p>
    <w:p w14:paraId="2FE00F39" w14:textId="77777777" w:rsidR="00582141" w:rsidRPr="004779F8" w:rsidRDefault="00582141" w:rsidP="00C64776">
      <w:pPr>
        <w:spacing w:line="276" w:lineRule="auto"/>
        <w:jc w:val="both"/>
        <w:rPr>
          <w:sz w:val="22"/>
          <w:szCs w:val="22"/>
          <w:lang w:val="en-GB"/>
        </w:rPr>
      </w:pPr>
    </w:p>
    <w:p w14:paraId="2F389F26" w14:textId="324157E1" w:rsidR="00582141" w:rsidRPr="00613A29" w:rsidRDefault="00582141" w:rsidP="00C64776">
      <w:pPr>
        <w:spacing w:line="276" w:lineRule="auto"/>
        <w:jc w:val="both"/>
        <w:rPr>
          <w:sz w:val="22"/>
          <w:szCs w:val="22"/>
          <w:lang w:val="en-GB"/>
        </w:rPr>
      </w:pPr>
      <w:r w:rsidRPr="004779F8">
        <w:rPr>
          <w:sz w:val="22"/>
          <w:szCs w:val="22"/>
          <w:lang w:val="en-GB"/>
        </w:rPr>
        <w:t xml:space="preserve">Targets 1.2 (site network), 1.3 (EIA/SEA) and 1.4 (Species Action Plans) scored better results and have been subsequently </w:t>
      </w:r>
      <w:r w:rsidR="0090478F" w:rsidRPr="004779F8">
        <w:rPr>
          <w:sz w:val="22"/>
          <w:szCs w:val="22"/>
          <w:lang w:val="en-GB"/>
        </w:rPr>
        <w:t xml:space="preserve">assessed as having </w:t>
      </w:r>
      <w:r w:rsidR="0090478F" w:rsidRPr="004779F8">
        <w:rPr>
          <w:i/>
          <w:sz w:val="22"/>
          <w:szCs w:val="22"/>
          <w:lang w:val="en-GB"/>
        </w:rPr>
        <w:t>good progress</w:t>
      </w:r>
      <w:r w:rsidR="0090478F" w:rsidRPr="004779F8">
        <w:rPr>
          <w:sz w:val="22"/>
          <w:szCs w:val="22"/>
          <w:lang w:val="en-GB"/>
        </w:rPr>
        <w:t xml:space="preserve">. The ambition of Target 1.2 to achieve a comprehensive </w:t>
      </w:r>
      <w:r w:rsidR="00226453" w:rsidRPr="004779F8">
        <w:rPr>
          <w:sz w:val="22"/>
          <w:szCs w:val="22"/>
          <w:lang w:val="en-GB"/>
        </w:rPr>
        <w:t xml:space="preserve">climate-resilient </w:t>
      </w:r>
      <w:r w:rsidR="0090478F" w:rsidRPr="004779F8">
        <w:rPr>
          <w:sz w:val="22"/>
          <w:szCs w:val="22"/>
          <w:lang w:val="en-GB"/>
        </w:rPr>
        <w:t xml:space="preserve">site network of protected and managed sites in all Contracting Parties is partially fulfilled and </w:t>
      </w:r>
      <w:r w:rsidR="00146E73">
        <w:rPr>
          <w:sz w:val="22"/>
          <w:szCs w:val="22"/>
          <w:lang w:val="en-GB"/>
        </w:rPr>
        <w:t xml:space="preserve">still </w:t>
      </w:r>
      <w:r w:rsidR="0090478F" w:rsidRPr="00146E73">
        <w:rPr>
          <w:sz w:val="22"/>
          <w:szCs w:val="22"/>
          <w:lang w:val="en-GB"/>
        </w:rPr>
        <w:t>requires considerable efforts</w:t>
      </w:r>
      <w:r w:rsidR="00272223" w:rsidRPr="00146E73">
        <w:rPr>
          <w:sz w:val="22"/>
          <w:szCs w:val="22"/>
          <w:lang w:val="en-GB"/>
        </w:rPr>
        <w:t xml:space="preserve">, particularly on assessing climate </w:t>
      </w:r>
      <w:r w:rsidR="00DB78FA" w:rsidRPr="00146E73">
        <w:rPr>
          <w:sz w:val="22"/>
          <w:szCs w:val="22"/>
          <w:lang w:val="en-GB"/>
        </w:rPr>
        <w:t>resilience</w:t>
      </w:r>
      <w:r w:rsidR="003E1490" w:rsidRPr="00146E73">
        <w:rPr>
          <w:sz w:val="22"/>
          <w:szCs w:val="22"/>
          <w:lang w:val="en-GB"/>
        </w:rPr>
        <w:t>, but also the inventory of the network by individual countries</w:t>
      </w:r>
      <w:r w:rsidR="00EF7C04" w:rsidRPr="00613A29">
        <w:rPr>
          <w:sz w:val="22"/>
          <w:szCs w:val="22"/>
          <w:lang w:val="en-GB"/>
        </w:rPr>
        <w:t xml:space="preserve"> and the protection and management of the sites</w:t>
      </w:r>
      <w:r w:rsidR="0090478F" w:rsidRPr="00613A29">
        <w:rPr>
          <w:sz w:val="22"/>
          <w:szCs w:val="22"/>
          <w:lang w:val="en-GB"/>
        </w:rPr>
        <w:t>. Unfortunately</w:t>
      </w:r>
      <w:r w:rsidR="009A5175" w:rsidRPr="00852729">
        <w:rPr>
          <w:sz w:val="22"/>
          <w:szCs w:val="22"/>
          <w:lang w:val="en-GB"/>
        </w:rPr>
        <w:t>,</w:t>
      </w:r>
      <w:r w:rsidR="0090478F" w:rsidRPr="00852729">
        <w:rPr>
          <w:sz w:val="22"/>
          <w:szCs w:val="22"/>
          <w:lang w:val="en-GB"/>
        </w:rPr>
        <w:t xml:space="preserve"> little progress has been registered in the last 10 years towards reaching this target. Similar lack of noticeable improvement has b</w:t>
      </w:r>
      <w:r w:rsidR="00226453" w:rsidRPr="004779F8">
        <w:rPr>
          <w:sz w:val="22"/>
          <w:szCs w:val="22"/>
          <w:lang w:val="en-GB"/>
        </w:rPr>
        <w:t>een identified with respect to T</w:t>
      </w:r>
      <w:r w:rsidR="0090478F" w:rsidRPr="004779F8">
        <w:rPr>
          <w:sz w:val="22"/>
          <w:szCs w:val="22"/>
          <w:lang w:val="en-GB"/>
        </w:rPr>
        <w:t>arget 1.3</w:t>
      </w:r>
      <w:r w:rsidR="00DB78FA" w:rsidRPr="004779F8">
        <w:rPr>
          <w:sz w:val="22"/>
          <w:szCs w:val="22"/>
          <w:lang w:val="en-GB"/>
        </w:rPr>
        <w:t xml:space="preserve"> with only 55% of the Contracting Parties reporting use of EIA/SEA for all project</w:t>
      </w:r>
      <w:r w:rsidR="00146E73">
        <w:rPr>
          <w:sz w:val="22"/>
          <w:szCs w:val="22"/>
          <w:lang w:val="en-GB"/>
        </w:rPr>
        <w:t>s</w:t>
      </w:r>
      <w:r w:rsidR="00DB78FA" w:rsidRPr="00146E73">
        <w:rPr>
          <w:sz w:val="22"/>
          <w:szCs w:val="22"/>
          <w:lang w:val="en-GB"/>
        </w:rPr>
        <w:t xml:space="preserve"> potentially affecting AEWA populations</w:t>
      </w:r>
      <w:r w:rsidR="0090478F" w:rsidRPr="00146E73">
        <w:rPr>
          <w:sz w:val="22"/>
          <w:szCs w:val="22"/>
          <w:lang w:val="en-GB"/>
        </w:rPr>
        <w:t xml:space="preserve">. </w:t>
      </w:r>
      <w:r w:rsidR="00146E73">
        <w:rPr>
          <w:sz w:val="22"/>
          <w:szCs w:val="22"/>
          <w:lang w:val="en-GB"/>
        </w:rPr>
        <w:t>A b</w:t>
      </w:r>
      <w:r w:rsidR="0090478F" w:rsidRPr="00146E73">
        <w:rPr>
          <w:sz w:val="22"/>
          <w:szCs w:val="22"/>
          <w:lang w:val="en-GB"/>
        </w:rPr>
        <w:t>ett</w:t>
      </w:r>
      <w:r w:rsidR="00226453" w:rsidRPr="00146E73">
        <w:rPr>
          <w:sz w:val="22"/>
          <w:szCs w:val="22"/>
          <w:lang w:val="en-GB"/>
        </w:rPr>
        <w:t>er trend has been recorded for T</w:t>
      </w:r>
      <w:r w:rsidR="0090478F" w:rsidRPr="00146E73">
        <w:rPr>
          <w:sz w:val="22"/>
          <w:szCs w:val="22"/>
          <w:lang w:val="en-GB"/>
        </w:rPr>
        <w:t xml:space="preserve">arget 1.4 with the active development of Species Action Plans and international mechanisms for their implementation. However, a major gap remains in the efforts to implement these plans comprehensively by the Contracting Parties that are Range States to the </w:t>
      </w:r>
      <w:r w:rsidR="0090478F" w:rsidRPr="00613A29">
        <w:rPr>
          <w:sz w:val="22"/>
          <w:szCs w:val="22"/>
          <w:lang w:val="en-GB"/>
        </w:rPr>
        <w:t xml:space="preserve">respective species/populations. </w:t>
      </w:r>
    </w:p>
    <w:p w14:paraId="44AFE635" w14:textId="77777777" w:rsidR="00E23DB7" w:rsidRPr="00146E73" w:rsidRDefault="00E23DB7" w:rsidP="00C64776">
      <w:pPr>
        <w:spacing w:line="276" w:lineRule="auto"/>
        <w:jc w:val="both"/>
        <w:rPr>
          <w:sz w:val="22"/>
          <w:szCs w:val="22"/>
          <w:lang w:val="en-GB"/>
        </w:rPr>
      </w:pPr>
    </w:p>
    <w:p w14:paraId="2B1F4E88" w14:textId="77777777" w:rsidR="009D0E68" w:rsidRPr="00146E73" w:rsidRDefault="009D0E68" w:rsidP="00B527F9">
      <w:pPr>
        <w:jc w:val="both"/>
        <w:rPr>
          <w:sz w:val="22"/>
          <w:szCs w:val="22"/>
          <w:lang w:val="en-GB"/>
        </w:rPr>
      </w:pPr>
    </w:p>
    <w:p w14:paraId="6B1471A0" w14:textId="2FE734F4" w:rsidR="009D0E68" w:rsidRPr="004779F8" w:rsidRDefault="00226453" w:rsidP="00D5743F">
      <w:pPr>
        <w:shd w:val="clear" w:color="auto" w:fill="DBE5F1" w:themeFill="accent1" w:themeFillTint="33"/>
        <w:jc w:val="both"/>
        <w:rPr>
          <w:b/>
          <w:lang w:val="en-GB"/>
        </w:rPr>
      </w:pPr>
      <w:r w:rsidRPr="004779F8">
        <w:rPr>
          <w:b/>
          <w:lang w:val="en-GB"/>
        </w:rPr>
        <w:t xml:space="preserve">Level of </w:t>
      </w:r>
      <w:r w:rsidR="009D0E68" w:rsidRPr="004779F8">
        <w:rPr>
          <w:b/>
          <w:lang w:val="en-GB"/>
        </w:rPr>
        <w:t>achieving Objective 2</w:t>
      </w:r>
    </w:p>
    <w:p w14:paraId="0A57E623" w14:textId="77777777" w:rsidR="009D0E68" w:rsidRPr="00146E73" w:rsidRDefault="009D0E68" w:rsidP="00B527F9">
      <w:pPr>
        <w:jc w:val="both"/>
        <w:rPr>
          <w:sz w:val="22"/>
          <w:szCs w:val="22"/>
          <w:lang w:val="en-GB"/>
        </w:rPr>
      </w:pPr>
    </w:p>
    <w:p w14:paraId="69248C7A" w14:textId="3930D521" w:rsidR="00D41157" w:rsidRPr="004779F8" w:rsidRDefault="00D41157" w:rsidP="00C64776">
      <w:pPr>
        <w:spacing w:line="276" w:lineRule="auto"/>
        <w:jc w:val="both"/>
        <w:rPr>
          <w:sz w:val="22"/>
          <w:szCs w:val="22"/>
          <w:lang w:val="en-GB"/>
        </w:rPr>
      </w:pPr>
      <w:r w:rsidRPr="004779F8">
        <w:rPr>
          <w:sz w:val="22"/>
          <w:szCs w:val="22"/>
          <w:lang w:val="en-GB"/>
        </w:rPr>
        <w:t xml:space="preserve">Objective </w:t>
      </w:r>
      <w:r w:rsidR="003617A9" w:rsidRPr="004779F8">
        <w:rPr>
          <w:sz w:val="22"/>
          <w:szCs w:val="22"/>
          <w:lang w:val="en-GB"/>
        </w:rPr>
        <w:t>2</w:t>
      </w:r>
      <w:r w:rsidRPr="004779F8">
        <w:rPr>
          <w:sz w:val="22"/>
          <w:szCs w:val="22"/>
          <w:lang w:val="en-GB"/>
        </w:rPr>
        <w:t xml:space="preserve"> aims </w:t>
      </w:r>
      <w:r w:rsidRPr="003915B9">
        <w:rPr>
          <w:b/>
          <w:sz w:val="22"/>
          <w:szCs w:val="22"/>
          <w:lang w:val="en-GB"/>
        </w:rPr>
        <w:t xml:space="preserve">to </w:t>
      </w:r>
      <w:r w:rsidR="002136A7" w:rsidRPr="003915B9">
        <w:rPr>
          <w:b/>
          <w:iCs/>
          <w:sz w:val="22"/>
          <w:szCs w:val="22"/>
          <w:lang w:val="en-GB"/>
        </w:rPr>
        <w:t xml:space="preserve">ensure that any use of </w:t>
      </w:r>
      <w:proofErr w:type="spellStart"/>
      <w:r w:rsidR="002136A7" w:rsidRPr="003915B9">
        <w:rPr>
          <w:b/>
          <w:iCs/>
          <w:sz w:val="22"/>
          <w:szCs w:val="22"/>
          <w:lang w:val="en-GB"/>
        </w:rPr>
        <w:t>waterbirds</w:t>
      </w:r>
      <w:proofErr w:type="spellEnd"/>
      <w:r w:rsidR="002136A7" w:rsidRPr="003915B9">
        <w:rPr>
          <w:b/>
          <w:iCs/>
          <w:sz w:val="22"/>
          <w:szCs w:val="22"/>
          <w:lang w:val="en-GB"/>
        </w:rPr>
        <w:t xml:space="preserve"> in the Agreement area is sustainable</w:t>
      </w:r>
      <w:r w:rsidR="00576607" w:rsidRPr="003915B9">
        <w:rPr>
          <w:b/>
          <w:iCs/>
          <w:sz w:val="22"/>
          <w:szCs w:val="22"/>
          <w:lang w:val="en-GB"/>
        </w:rPr>
        <w:t>.</w:t>
      </w:r>
      <w:r w:rsidR="002136A7" w:rsidRPr="003915B9">
        <w:rPr>
          <w:b/>
          <w:iCs/>
          <w:sz w:val="22"/>
          <w:szCs w:val="22"/>
          <w:lang w:val="en-GB"/>
        </w:rPr>
        <w:t xml:space="preserve"> </w:t>
      </w:r>
      <w:r w:rsidR="00576607" w:rsidRPr="003915B9">
        <w:rPr>
          <w:iCs/>
          <w:sz w:val="22"/>
          <w:szCs w:val="22"/>
          <w:lang w:val="en-GB"/>
        </w:rPr>
        <w:t xml:space="preserve">This objective is to be achieved through five </w:t>
      </w:r>
      <w:r w:rsidR="00576607" w:rsidRPr="00613A29">
        <w:rPr>
          <w:sz w:val="22"/>
          <w:szCs w:val="22"/>
          <w:lang w:val="en-GB"/>
        </w:rPr>
        <w:t>targets</w:t>
      </w:r>
      <w:r w:rsidRPr="00613A29">
        <w:rPr>
          <w:sz w:val="22"/>
          <w:szCs w:val="22"/>
          <w:lang w:val="en-GB"/>
        </w:rPr>
        <w:t xml:space="preserve">. </w:t>
      </w:r>
      <w:r w:rsidR="004A00E6" w:rsidRPr="00852729">
        <w:rPr>
          <w:sz w:val="22"/>
          <w:szCs w:val="22"/>
          <w:lang w:val="en-GB"/>
        </w:rPr>
        <w:t xml:space="preserve">A total of </w:t>
      </w:r>
      <w:r w:rsidR="00A537B4" w:rsidRPr="00852729">
        <w:rPr>
          <w:sz w:val="22"/>
          <w:szCs w:val="22"/>
          <w:lang w:val="en-GB"/>
        </w:rPr>
        <w:t xml:space="preserve">80% of the targets </w:t>
      </w:r>
      <w:r w:rsidR="00767BD7" w:rsidRPr="004779F8">
        <w:rPr>
          <w:sz w:val="22"/>
          <w:szCs w:val="22"/>
          <w:lang w:val="en-GB"/>
        </w:rPr>
        <w:t xml:space="preserve">have either been </w:t>
      </w:r>
      <w:r w:rsidR="00767BD7" w:rsidRPr="004779F8">
        <w:rPr>
          <w:i/>
          <w:sz w:val="22"/>
          <w:szCs w:val="22"/>
          <w:lang w:val="en-GB"/>
        </w:rPr>
        <w:t>reached</w:t>
      </w:r>
      <w:r w:rsidR="00767BD7" w:rsidRPr="004779F8">
        <w:rPr>
          <w:sz w:val="22"/>
          <w:szCs w:val="22"/>
          <w:lang w:val="en-GB"/>
        </w:rPr>
        <w:t xml:space="preserve"> (20%, 1 target), </w:t>
      </w:r>
      <w:r w:rsidR="00A537B4" w:rsidRPr="004779F8">
        <w:rPr>
          <w:sz w:val="22"/>
          <w:szCs w:val="22"/>
          <w:lang w:val="en-GB"/>
        </w:rPr>
        <w:t xml:space="preserve">are showing either </w:t>
      </w:r>
      <w:r w:rsidR="00767BD7" w:rsidRPr="004779F8">
        <w:rPr>
          <w:i/>
          <w:sz w:val="22"/>
          <w:szCs w:val="22"/>
          <w:lang w:val="en-GB"/>
        </w:rPr>
        <w:t>significant</w:t>
      </w:r>
      <w:r w:rsidR="00767BD7" w:rsidRPr="004779F8">
        <w:rPr>
          <w:sz w:val="22"/>
          <w:szCs w:val="22"/>
          <w:lang w:val="en-GB"/>
        </w:rPr>
        <w:t xml:space="preserve"> </w:t>
      </w:r>
      <w:r w:rsidR="00A537B4" w:rsidRPr="004779F8">
        <w:rPr>
          <w:sz w:val="22"/>
          <w:szCs w:val="22"/>
          <w:lang w:val="en-GB"/>
        </w:rPr>
        <w:t>(</w:t>
      </w:r>
      <w:r w:rsidR="00767BD7" w:rsidRPr="004779F8">
        <w:rPr>
          <w:sz w:val="22"/>
          <w:szCs w:val="22"/>
          <w:lang w:val="en-GB"/>
        </w:rPr>
        <w:t>2</w:t>
      </w:r>
      <w:r w:rsidR="00A537B4" w:rsidRPr="004779F8">
        <w:rPr>
          <w:sz w:val="22"/>
          <w:szCs w:val="22"/>
          <w:lang w:val="en-GB"/>
        </w:rPr>
        <w:t xml:space="preserve">0%, </w:t>
      </w:r>
      <w:r w:rsidR="00767BD7" w:rsidRPr="004779F8">
        <w:rPr>
          <w:sz w:val="22"/>
          <w:szCs w:val="22"/>
          <w:lang w:val="en-GB"/>
        </w:rPr>
        <w:t>1</w:t>
      </w:r>
      <w:r w:rsidR="00A537B4" w:rsidRPr="004779F8">
        <w:rPr>
          <w:sz w:val="22"/>
          <w:szCs w:val="22"/>
          <w:lang w:val="en-GB"/>
        </w:rPr>
        <w:t xml:space="preserve"> target) or </w:t>
      </w:r>
      <w:r w:rsidR="00767BD7" w:rsidRPr="004779F8">
        <w:rPr>
          <w:i/>
          <w:sz w:val="22"/>
          <w:szCs w:val="22"/>
          <w:lang w:val="en-GB"/>
        </w:rPr>
        <w:t>good</w:t>
      </w:r>
      <w:r w:rsidR="00767BD7" w:rsidRPr="004779F8">
        <w:rPr>
          <w:sz w:val="22"/>
          <w:szCs w:val="22"/>
          <w:lang w:val="en-GB"/>
        </w:rPr>
        <w:t xml:space="preserve"> </w:t>
      </w:r>
      <w:r w:rsidR="00A537B4" w:rsidRPr="004779F8">
        <w:rPr>
          <w:sz w:val="22"/>
          <w:szCs w:val="22"/>
          <w:lang w:val="en-GB"/>
        </w:rPr>
        <w:t>(</w:t>
      </w:r>
      <w:r w:rsidR="00767BD7" w:rsidRPr="004779F8">
        <w:rPr>
          <w:sz w:val="22"/>
          <w:szCs w:val="22"/>
          <w:lang w:val="en-GB"/>
        </w:rPr>
        <w:t>4</w:t>
      </w:r>
      <w:r w:rsidR="00A537B4" w:rsidRPr="004779F8">
        <w:rPr>
          <w:sz w:val="22"/>
          <w:szCs w:val="22"/>
          <w:lang w:val="en-GB"/>
        </w:rPr>
        <w:t xml:space="preserve">0%, </w:t>
      </w:r>
      <w:r w:rsidR="00767BD7" w:rsidRPr="004779F8">
        <w:rPr>
          <w:sz w:val="22"/>
          <w:szCs w:val="22"/>
          <w:lang w:val="en-GB"/>
        </w:rPr>
        <w:t>2</w:t>
      </w:r>
      <w:r w:rsidR="00A537B4" w:rsidRPr="004779F8">
        <w:rPr>
          <w:sz w:val="22"/>
          <w:szCs w:val="22"/>
          <w:lang w:val="en-GB"/>
        </w:rPr>
        <w:t xml:space="preserve"> target</w:t>
      </w:r>
      <w:r w:rsidR="00767BD7" w:rsidRPr="004779F8">
        <w:rPr>
          <w:sz w:val="22"/>
          <w:szCs w:val="22"/>
          <w:lang w:val="en-GB"/>
        </w:rPr>
        <w:t>s</w:t>
      </w:r>
      <w:r w:rsidR="00A537B4" w:rsidRPr="004779F8">
        <w:rPr>
          <w:sz w:val="22"/>
          <w:szCs w:val="22"/>
          <w:lang w:val="en-GB"/>
        </w:rPr>
        <w:t xml:space="preserve">) </w:t>
      </w:r>
      <w:r w:rsidR="00A537B4" w:rsidRPr="004779F8">
        <w:rPr>
          <w:i/>
          <w:sz w:val="22"/>
          <w:szCs w:val="22"/>
          <w:lang w:val="en-GB"/>
        </w:rPr>
        <w:t>progress</w:t>
      </w:r>
      <w:r w:rsidR="00A537B4" w:rsidRPr="004779F8">
        <w:rPr>
          <w:sz w:val="22"/>
          <w:szCs w:val="22"/>
          <w:lang w:val="en-GB"/>
        </w:rPr>
        <w:t xml:space="preserve"> with</w:t>
      </w:r>
      <w:r w:rsidR="00767BD7" w:rsidRPr="004779F8">
        <w:rPr>
          <w:sz w:val="22"/>
          <w:szCs w:val="22"/>
          <w:lang w:val="en-GB"/>
        </w:rPr>
        <w:t xml:space="preserve"> only</w:t>
      </w:r>
      <w:r w:rsidR="00A537B4" w:rsidRPr="004779F8">
        <w:rPr>
          <w:sz w:val="22"/>
          <w:szCs w:val="22"/>
          <w:lang w:val="en-GB"/>
        </w:rPr>
        <w:t xml:space="preserve"> one target (20%) assessed as having </w:t>
      </w:r>
      <w:r w:rsidR="00A537B4" w:rsidRPr="004779F8">
        <w:rPr>
          <w:i/>
          <w:sz w:val="22"/>
          <w:szCs w:val="22"/>
          <w:lang w:val="en-GB"/>
        </w:rPr>
        <w:t>limited progress</w:t>
      </w:r>
      <w:r w:rsidR="00476BAF" w:rsidRPr="004779F8">
        <w:rPr>
          <w:sz w:val="22"/>
          <w:szCs w:val="22"/>
          <w:lang w:val="en-GB"/>
        </w:rPr>
        <w:t xml:space="preserve"> (see </w:t>
      </w:r>
      <w:r w:rsidR="00476BAF" w:rsidRPr="004779F8">
        <w:rPr>
          <w:i/>
          <w:sz w:val="22"/>
          <w:szCs w:val="22"/>
          <w:lang w:val="en-GB"/>
        </w:rPr>
        <w:t xml:space="preserve">Table </w:t>
      </w:r>
      <w:r w:rsidR="005E0BCC" w:rsidRPr="004779F8">
        <w:rPr>
          <w:i/>
          <w:sz w:val="22"/>
          <w:szCs w:val="22"/>
          <w:lang w:val="en-GB"/>
        </w:rPr>
        <w:t>5</w:t>
      </w:r>
      <w:r w:rsidR="00476BAF" w:rsidRPr="004779F8">
        <w:rPr>
          <w:sz w:val="22"/>
          <w:szCs w:val="22"/>
          <w:lang w:val="en-GB"/>
        </w:rPr>
        <w:t>)</w:t>
      </w:r>
      <w:r w:rsidR="002136A7" w:rsidRPr="004779F8">
        <w:rPr>
          <w:sz w:val="22"/>
          <w:szCs w:val="22"/>
          <w:lang w:val="en-GB"/>
        </w:rPr>
        <w:t>.</w:t>
      </w:r>
    </w:p>
    <w:p w14:paraId="3A2E1444" w14:textId="77777777" w:rsidR="00476BAF" w:rsidRPr="004779F8" w:rsidRDefault="00476BAF" w:rsidP="00C64776">
      <w:pPr>
        <w:spacing w:line="276" w:lineRule="auto"/>
        <w:jc w:val="both"/>
        <w:rPr>
          <w:sz w:val="22"/>
          <w:szCs w:val="22"/>
          <w:lang w:val="en-GB"/>
        </w:rPr>
      </w:pPr>
    </w:p>
    <w:p w14:paraId="14CC366B" w14:textId="7D6A1A79" w:rsidR="00476BAF" w:rsidRPr="00146E73" w:rsidRDefault="00A1334F" w:rsidP="00C64776">
      <w:pPr>
        <w:spacing w:line="276" w:lineRule="auto"/>
        <w:jc w:val="both"/>
        <w:rPr>
          <w:sz w:val="22"/>
          <w:szCs w:val="22"/>
          <w:lang w:val="en-GB"/>
        </w:rPr>
      </w:pPr>
      <w:r w:rsidRPr="004779F8">
        <w:rPr>
          <w:sz w:val="22"/>
          <w:szCs w:val="22"/>
          <w:lang w:val="en-GB"/>
        </w:rPr>
        <w:t xml:space="preserve">With </w:t>
      </w:r>
      <w:r w:rsidR="00A537B4" w:rsidRPr="004779F8">
        <w:rPr>
          <w:sz w:val="22"/>
          <w:szCs w:val="22"/>
          <w:lang w:val="en-GB"/>
        </w:rPr>
        <w:t xml:space="preserve">nearly </w:t>
      </w:r>
      <w:r w:rsidRPr="004779F8">
        <w:rPr>
          <w:sz w:val="22"/>
          <w:szCs w:val="22"/>
          <w:lang w:val="en-GB"/>
        </w:rPr>
        <w:t>1/</w:t>
      </w:r>
      <w:r w:rsidR="00272223" w:rsidRPr="004779F8">
        <w:rPr>
          <w:sz w:val="22"/>
          <w:szCs w:val="22"/>
          <w:lang w:val="en-GB"/>
        </w:rPr>
        <w:t>3</w:t>
      </w:r>
      <w:r w:rsidRPr="004779F8">
        <w:rPr>
          <w:sz w:val="22"/>
          <w:szCs w:val="22"/>
          <w:lang w:val="en-GB"/>
        </w:rPr>
        <w:t xml:space="preserve"> of Contracting Parties </w:t>
      </w:r>
      <w:r w:rsidR="00636FFF" w:rsidRPr="004779F8">
        <w:rPr>
          <w:sz w:val="22"/>
          <w:szCs w:val="22"/>
          <w:lang w:val="en-GB"/>
        </w:rPr>
        <w:t xml:space="preserve">having </w:t>
      </w:r>
      <w:r w:rsidRPr="004779F8">
        <w:rPr>
          <w:sz w:val="22"/>
          <w:szCs w:val="22"/>
          <w:lang w:val="en-GB"/>
        </w:rPr>
        <w:t xml:space="preserve">fully banned the use of lead shot for hunting in wetlands and </w:t>
      </w:r>
      <w:r w:rsidR="00636FFF" w:rsidRPr="004779F8">
        <w:rPr>
          <w:sz w:val="22"/>
          <w:szCs w:val="22"/>
          <w:lang w:val="en-GB"/>
        </w:rPr>
        <w:t xml:space="preserve">an </w:t>
      </w:r>
      <w:r w:rsidRPr="004779F8">
        <w:rPr>
          <w:sz w:val="22"/>
          <w:szCs w:val="22"/>
          <w:lang w:val="en-GB"/>
        </w:rPr>
        <w:t xml:space="preserve">additional </w:t>
      </w:r>
      <w:r w:rsidR="00272223" w:rsidRPr="004779F8">
        <w:rPr>
          <w:sz w:val="22"/>
          <w:szCs w:val="22"/>
          <w:lang w:val="en-GB"/>
        </w:rPr>
        <w:t>12</w:t>
      </w:r>
      <w:r w:rsidRPr="004779F8">
        <w:rPr>
          <w:sz w:val="22"/>
          <w:szCs w:val="22"/>
          <w:lang w:val="en-GB"/>
        </w:rPr>
        <w:t>% which introduced partial bans</w:t>
      </w:r>
      <w:r w:rsidR="00636FFF" w:rsidRPr="004779F8">
        <w:rPr>
          <w:sz w:val="22"/>
          <w:szCs w:val="22"/>
          <w:lang w:val="en-GB"/>
        </w:rPr>
        <w:t>,</w:t>
      </w:r>
      <w:r w:rsidRPr="004779F8">
        <w:rPr>
          <w:sz w:val="22"/>
          <w:szCs w:val="22"/>
          <w:lang w:val="en-GB"/>
        </w:rPr>
        <w:t xml:space="preserve"> there has been a positive move towards achieving Target 2.1, but this issue still requires </w:t>
      </w:r>
      <w:r w:rsidR="0037721A" w:rsidRPr="004779F8">
        <w:rPr>
          <w:sz w:val="22"/>
          <w:szCs w:val="22"/>
          <w:lang w:val="en-GB"/>
        </w:rPr>
        <w:t xml:space="preserve">strong </w:t>
      </w:r>
      <w:r w:rsidRPr="004779F8">
        <w:rPr>
          <w:sz w:val="22"/>
          <w:szCs w:val="22"/>
          <w:lang w:val="en-GB"/>
        </w:rPr>
        <w:t>attention</w:t>
      </w:r>
      <w:r w:rsidR="00F47624" w:rsidRPr="004779F8">
        <w:rPr>
          <w:sz w:val="22"/>
          <w:szCs w:val="22"/>
          <w:lang w:val="en-GB"/>
        </w:rPr>
        <w:t xml:space="preserve"> by the Parties and other stakeholders</w:t>
      </w:r>
      <w:r w:rsidRPr="004779F8">
        <w:rPr>
          <w:sz w:val="22"/>
          <w:szCs w:val="22"/>
          <w:lang w:val="en-GB"/>
        </w:rPr>
        <w:t xml:space="preserve"> since the progress has been slow and the previous deadline set in the AEWA Action Plan (year 2000) was not met, which subsequently led to an amendment of the provision in the Action Plan at MOP4 (2008).</w:t>
      </w:r>
      <w:r w:rsidR="00A537B4" w:rsidRPr="004779F8">
        <w:rPr>
          <w:sz w:val="22"/>
          <w:szCs w:val="22"/>
          <w:lang w:val="en-GB"/>
        </w:rPr>
        <w:t xml:space="preserve"> The</w:t>
      </w:r>
      <w:r w:rsidR="00146E73">
        <w:rPr>
          <w:sz w:val="22"/>
          <w:szCs w:val="22"/>
          <w:lang w:val="en-GB"/>
        </w:rPr>
        <w:t>re</w:t>
      </w:r>
      <w:r w:rsidR="00A537B4" w:rsidRPr="00146E73">
        <w:rPr>
          <w:sz w:val="22"/>
          <w:szCs w:val="22"/>
          <w:lang w:val="en-GB"/>
        </w:rPr>
        <w:t xml:space="preserve"> </w:t>
      </w:r>
      <w:r w:rsidR="00272223" w:rsidRPr="00146E73">
        <w:rPr>
          <w:sz w:val="22"/>
          <w:szCs w:val="22"/>
          <w:lang w:val="en-GB"/>
        </w:rPr>
        <w:t>ha</w:t>
      </w:r>
      <w:r w:rsidR="00146E73">
        <w:rPr>
          <w:sz w:val="22"/>
          <w:szCs w:val="22"/>
          <w:lang w:val="en-GB"/>
        </w:rPr>
        <w:t>s</w:t>
      </w:r>
      <w:r w:rsidR="00272223" w:rsidRPr="00146E73">
        <w:rPr>
          <w:sz w:val="22"/>
          <w:szCs w:val="22"/>
          <w:lang w:val="en-GB"/>
        </w:rPr>
        <w:t xml:space="preserve"> been consistent, but slow </w:t>
      </w:r>
      <w:r w:rsidR="00A537B4" w:rsidRPr="00146E73">
        <w:rPr>
          <w:sz w:val="22"/>
          <w:szCs w:val="22"/>
          <w:lang w:val="en-GB"/>
        </w:rPr>
        <w:t>progress towards reaching this target</w:t>
      </w:r>
      <w:r w:rsidR="00120BBB" w:rsidRPr="00146E73">
        <w:rPr>
          <w:sz w:val="22"/>
          <w:szCs w:val="22"/>
          <w:lang w:val="en-GB"/>
        </w:rPr>
        <w:t xml:space="preserve"> over the last 10 years</w:t>
      </w:r>
      <w:r w:rsidR="00A537B4" w:rsidRPr="00146E73">
        <w:rPr>
          <w:sz w:val="22"/>
          <w:szCs w:val="22"/>
          <w:lang w:val="en-GB"/>
        </w:rPr>
        <w:t xml:space="preserve">. </w:t>
      </w:r>
      <w:r w:rsidR="00FC0107" w:rsidRPr="00146E73">
        <w:rPr>
          <w:sz w:val="22"/>
          <w:szCs w:val="22"/>
          <w:lang w:val="en-GB"/>
        </w:rPr>
        <w:t xml:space="preserve">Overall the </w:t>
      </w:r>
      <w:r w:rsidR="00FC0107" w:rsidRPr="000F0222">
        <w:rPr>
          <w:i/>
          <w:sz w:val="22"/>
          <w:szCs w:val="22"/>
          <w:lang w:val="en-GB"/>
        </w:rPr>
        <w:t>progress</w:t>
      </w:r>
      <w:r w:rsidR="00FC0107" w:rsidRPr="00146E73">
        <w:rPr>
          <w:sz w:val="22"/>
          <w:szCs w:val="22"/>
          <w:lang w:val="en-GB"/>
        </w:rPr>
        <w:t xml:space="preserve"> has been assessed as </w:t>
      </w:r>
      <w:r w:rsidR="00FC0107" w:rsidRPr="000F0222">
        <w:rPr>
          <w:i/>
          <w:sz w:val="22"/>
          <w:szCs w:val="22"/>
          <w:lang w:val="en-GB"/>
        </w:rPr>
        <w:t>limited</w:t>
      </w:r>
      <w:r w:rsidR="00FC0107" w:rsidRPr="00146E73">
        <w:rPr>
          <w:sz w:val="22"/>
          <w:szCs w:val="22"/>
          <w:lang w:val="en-GB"/>
        </w:rPr>
        <w:t>.</w:t>
      </w:r>
    </w:p>
    <w:p w14:paraId="795065CF" w14:textId="77777777" w:rsidR="00A1334F" w:rsidRPr="00613A29" w:rsidRDefault="00A1334F" w:rsidP="00C64776">
      <w:pPr>
        <w:spacing w:line="276" w:lineRule="auto"/>
        <w:jc w:val="both"/>
        <w:rPr>
          <w:sz w:val="22"/>
          <w:szCs w:val="22"/>
          <w:lang w:val="en-GB"/>
        </w:rPr>
      </w:pPr>
    </w:p>
    <w:p w14:paraId="1C5EA638" w14:textId="6A868B51" w:rsidR="00A1334F" w:rsidRPr="004779F8" w:rsidRDefault="00A1334F" w:rsidP="00C64776">
      <w:pPr>
        <w:spacing w:line="276" w:lineRule="auto"/>
        <w:jc w:val="both"/>
        <w:rPr>
          <w:sz w:val="22"/>
          <w:szCs w:val="22"/>
          <w:lang w:val="en-GB"/>
        </w:rPr>
      </w:pPr>
      <w:r w:rsidRPr="00852729">
        <w:rPr>
          <w:sz w:val="22"/>
          <w:szCs w:val="22"/>
          <w:lang w:val="en-GB"/>
        </w:rPr>
        <w:t xml:space="preserve">While </w:t>
      </w:r>
      <w:r w:rsidR="00A537B4" w:rsidRPr="00852729">
        <w:rPr>
          <w:sz w:val="22"/>
          <w:szCs w:val="22"/>
          <w:lang w:val="en-GB"/>
        </w:rPr>
        <w:t>4</w:t>
      </w:r>
      <w:r w:rsidR="00C40ACD" w:rsidRPr="004779F8">
        <w:rPr>
          <w:sz w:val="22"/>
          <w:szCs w:val="22"/>
          <w:lang w:val="en-GB"/>
        </w:rPr>
        <w:t>5</w:t>
      </w:r>
      <w:r w:rsidR="00A537B4" w:rsidRPr="004779F8">
        <w:rPr>
          <w:sz w:val="22"/>
          <w:szCs w:val="22"/>
          <w:lang w:val="en-GB"/>
        </w:rPr>
        <w:t xml:space="preserve">% </w:t>
      </w:r>
      <w:r w:rsidRPr="004779F8">
        <w:rPr>
          <w:sz w:val="22"/>
          <w:szCs w:val="22"/>
          <w:lang w:val="en-GB"/>
        </w:rPr>
        <w:t xml:space="preserve">of the Contracting Parties report </w:t>
      </w:r>
      <w:r w:rsidR="00BF532A" w:rsidRPr="004779F8">
        <w:rPr>
          <w:sz w:val="22"/>
          <w:szCs w:val="22"/>
          <w:lang w:val="en-GB"/>
        </w:rPr>
        <w:t xml:space="preserve">harvest data collection systems in place, only </w:t>
      </w:r>
      <w:r w:rsidR="00A537B4" w:rsidRPr="004779F8">
        <w:rPr>
          <w:sz w:val="22"/>
          <w:szCs w:val="22"/>
          <w:lang w:val="en-GB"/>
        </w:rPr>
        <w:t>1</w:t>
      </w:r>
      <w:r w:rsidR="00C40ACD" w:rsidRPr="004779F8">
        <w:rPr>
          <w:sz w:val="22"/>
          <w:szCs w:val="22"/>
          <w:lang w:val="en-GB"/>
        </w:rPr>
        <w:t>9</w:t>
      </w:r>
      <w:r w:rsidR="00BF532A" w:rsidRPr="004779F8">
        <w:rPr>
          <w:sz w:val="22"/>
          <w:szCs w:val="22"/>
          <w:lang w:val="en-GB"/>
        </w:rPr>
        <w:t xml:space="preserve">% describe them as </w:t>
      </w:r>
      <w:r w:rsidR="00636FFF" w:rsidRPr="004779F8">
        <w:rPr>
          <w:sz w:val="22"/>
          <w:szCs w:val="22"/>
          <w:lang w:val="en-GB"/>
        </w:rPr>
        <w:t xml:space="preserve">being </w:t>
      </w:r>
      <w:r w:rsidR="00BF532A" w:rsidRPr="004779F8">
        <w:rPr>
          <w:sz w:val="22"/>
          <w:szCs w:val="22"/>
          <w:lang w:val="en-GB"/>
        </w:rPr>
        <w:t xml:space="preserve">comprehensive (covering all AEWA species, all harvesting activities and the whole territory of the country). This is beyond the threshold of the indicator, but the essential element of international coordination and synchronisation </w:t>
      </w:r>
      <w:r w:rsidR="0037721A" w:rsidRPr="004779F8">
        <w:rPr>
          <w:sz w:val="22"/>
          <w:szCs w:val="22"/>
          <w:lang w:val="en-GB"/>
        </w:rPr>
        <w:t xml:space="preserve">of the data collection systems </w:t>
      </w:r>
      <w:r w:rsidR="00BF532A" w:rsidRPr="004779F8">
        <w:rPr>
          <w:sz w:val="22"/>
          <w:szCs w:val="22"/>
          <w:lang w:val="en-GB"/>
        </w:rPr>
        <w:t>is missing, therefore Target 2.2 will require further work</w:t>
      </w:r>
      <w:r w:rsidR="00F47624" w:rsidRPr="004779F8">
        <w:rPr>
          <w:sz w:val="22"/>
          <w:szCs w:val="22"/>
          <w:lang w:val="en-GB"/>
        </w:rPr>
        <w:t xml:space="preserve"> to be undertaken with the hunting community in the lead</w:t>
      </w:r>
      <w:r w:rsidR="00BF532A" w:rsidRPr="004779F8">
        <w:rPr>
          <w:sz w:val="22"/>
          <w:szCs w:val="22"/>
          <w:lang w:val="en-GB"/>
        </w:rPr>
        <w:t>.</w:t>
      </w:r>
      <w:r w:rsidR="00A537B4" w:rsidRPr="004779F8">
        <w:rPr>
          <w:sz w:val="22"/>
          <w:szCs w:val="22"/>
          <w:lang w:val="en-GB"/>
        </w:rPr>
        <w:t xml:space="preserve"> </w:t>
      </w:r>
      <w:r w:rsidR="005C04DC" w:rsidRPr="004779F8">
        <w:rPr>
          <w:sz w:val="22"/>
          <w:szCs w:val="22"/>
          <w:lang w:val="en-GB"/>
        </w:rPr>
        <w:t xml:space="preserve">The currently small-scale coordinated harvest data </w:t>
      </w:r>
      <w:r w:rsidR="005C04DC" w:rsidRPr="004779F8">
        <w:rPr>
          <w:sz w:val="22"/>
          <w:szCs w:val="22"/>
          <w:lang w:val="en-GB"/>
        </w:rPr>
        <w:lastRenderedPageBreak/>
        <w:t xml:space="preserve">collection by the AEWA European Goose Management Platform can serve as an example to build on. </w:t>
      </w:r>
      <w:r w:rsidR="00A537B4" w:rsidRPr="004779F8">
        <w:rPr>
          <w:sz w:val="22"/>
          <w:szCs w:val="22"/>
          <w:lang w:val="en-GB"/>
        </w:rPr>
        <w:t>There has been a negative</w:t>
      </w:r>
      <w:r w:rsidR="00C40ACD" w:rsidRPr="004779F8">
        <w:rPr>
          <w:sz w:val="22"/>
          <w:szCs w:val="22"/>
          <w:lang w:val="en-GB"/>
        </w:rPr>
        <w:t xml:space="preserve"> trend in the </w:t>
      </w:r>
      <w:r w:rsidR="00A537B4" w:rsidRPr="004779F8">
        <w:rPr>
          <w:sz w:val="22"/>
          <w:szCs w:val="22"/>
          <w:lang w:val="en-GB"/>
        </w:rPr>
        <w:t>proportion of Parties with harvest data collection systems in place and with comprehensive systems</w:t>
      </w:r>
      <w:r w:rsidR="00FC0107" w:rsidRPr="004779F8">
        <w:rPr>
          <w:sz w:val="22"/>
          <w:szCs w:val="22"/>
          <w:lang w:val="en-GB"/>
        </w:rPr>
        <w:t xml:space="preserve">, but the overall </w:t>
      </w:r>
      <w:r w:rsidR="00FC0107" w:rsidRPr="000F0222">
        <w:rPr>
          <w:i/>
          <w:sz w:val="22"/>
          <w:szCs w:val="22"/>
          <w:lang w:val="en-GB"/>
        </w:rPr>
        <w:t>progress</w:t>
      </w:r>
      <w:r w:rsidR="00FC0107" w:rsidRPr="004779F8">
        <w:rPr>
          <w:sz w:val="22"/>
          <w:szCs w:val="22"/>
          <w:lang w:val="en-GB"/>
        </w:rPr>
        <w:t xml:space="preserve"> has been described as </w:t>
      </w:r>
      <w:r w:rsidR="00FC0107" w:rsidRPr="000F0222">
        <w:rPr>
          <w:i/>
          <w:sz w:val="22"/>
          <w:szCs w:val="22"/>
          <w:lang w:val="en-GB"/>
        </w:rPr>
        <w:t>good</w:t>
      </w:r>
      <w:r w:rsidR="00A537B4" w:rsidRPr="004779F8">
        <w:rPr>
          <w:sz w:val="22"/>
          <w:szCs w:val="22"/>
          <w:lang w:val="en-GB"/>
        </w:rPr>
        <w:t xml:space="preserve">.   </w:t>
      </w:r>
    </w:p>
    <w:p w14:paraId="761B7B19" w14:textId="77777777" w:rsidR="00BF532A" w:rsidRPr="004779F8" w:rsidRDefault="00BF532A" w:rsidP="00C64776">
      <w:pPr>
        <w:spacing w:line="276" w:lineRule="auto"/>
        <w:jc w:val="both"/>
        <w:rPr>
          <w:sz w:val="22"/>
          <w:szCs w:val="22"/>
          <w:lang w:val="en-GB"/>
        </w:rPr>
      </w:pPr>
    </w:p>
    <w:p w14:paraId="174E563C" w14:textId="01729A5F" w:rsidR="00BF532A" w:rsidRPr="00146E73" w:rsidRDefault="00BF532A" w:rsidP="00C64776">
      <w:pPr>
        <w:spacing w:line="276" w:lineRule="auto"/>
        <w:jc w:val="both"/>
        <w:rPr>
          <w:iCs/>
          <w:sz w:val="22"/>
          <w:szCs w:val="22"/>
          <w:lang w:val="en-GB"/>
        </w:rPr>
      </w:pPr>
      <w:r w:rsidRPr="004779F8">
        <w:rPr>
          <w:sz w:val="22"/>
          <w:szCs w:val="22"/>
          <w:lang w:val="en-GB"/>
        </w:rPr>
        <w:t xml:space="preserve">There has been </w:t>
      </w:r>
      <w:r w:rsidR="00FC0107" w:rsidRPr="004779F8">
        <w:rPr>
          <w:sz w:val="22"/>
          <w:szCs w:val="22"/>
          <w:lang w:val="en-GB"/>
        </w:rPr>
        <w:t>minimal</w:t>
      </w:r>
      <w:r w:rsidR="00655735" w:rsidRPr="004779F8">
        <w:rPr>
          <w:sz w:val="22"/>
          <w:szCs w:val="22"/>
          <w:lang w:val="en-GB"/>
        </w:rPr>
        <w:t xml:space="preserve"> progress </w:t>
      </w:r>
      <w:r w:rsidR="00FC0107" w:rsidRPr="004779F8">
        <w:rPr>
          <w:sz w:val="22"/>
          <w:szCs w:val="22"/>
          <w:lang w:val="en-GB"/>
        </w:rPr>
        <w:t xml:space="preserve">over the last decade </w:t>
      </w:r>
      <w:r w:rsidR="00655735" w:rsidRPr="004779F8">
        <w:rPr>
          <w:sz w:val="22"/>
          <w:szCs w:val="22"/>
          <w:lang w:val="en-GB"/>
        </w:rPr>
        <w:t xml:space="preserve">towards Target 2.3 </w:t>
      </w:r>
      <w:r w:rsidRPr="004779F8">
        <w:rPr>
          <w:sz w:val="22"/>
          <w:szCs w:val="22"/>
          <w:lang w:val="en-GB"/>
        </w:rPr>
        <w:t xml:space="preserve">on reducing illegal taking of </w:t>
      </w:r>
      <w:proofErr w:type="spellStart"/>
      <w:r w:rsidRPr="004779F8">
        <w:rPr>
          <w:sz w:val="22"/>
          <w:szCs w:val="22"/>
          <w:lang w:val="en-GB"/>
        </w:rPr>
        <w:t>waterbirds</w:t>
      </w:r>
      <w:proofErr w:type="spellEnd"/>
      <w:r w:rsidR="00FC0107" w:rsidRPr="004779F8">
        <w:rPr>
          <w:sz w:val="22"/>
          <w:szCs w:val="22"/>
          <w:lang w:val="en-GB"/>
        </w:rPr>
        <w:t>.</w:t>
      </w:r>
      <w:r w:rsidRPr="004779F8">
        <w:rPr>
          <w:sz w:val="22"/>
          <w:szCs w:val="22"/>
          <w:lang w:val="en-GB"/>
        </w:rPr>
        <w:t xml:space="preserve"> </w:t>
      </w:r>
      <w:r w:rsidR="00FC0107" w:rsidRPr="004779F8">
        <w:rPr>
          <w:sz w:val="22"/>
          <w:szCs w:val="22"/>
          <w:lang w:val="en-GB"/>
        </w:rPr>
        <w:t xml:space="preserve">While 69% of the Contracting </w:t>
      </w:r>
      <w:r w:rsidR="00655735" w:rsidRPr="004779F8">
        <w:rPr>
          <w:sz w:val="22"/>
          <w:szCs w:val="22"/>
          <w:lang w:val="en-GB"/>
        </w:rPr>
        <w:t>Parties report pertinent legislation and measures in place</w:t>
      </w:r>
      <w:r w:rsidR="00FC0107" w:rsidRPr="004779F8">
        <w:rPr>
          <w:sz w:val="22"/>
          <w:szCs w:val="22"/>
          <w:lang w:val="en-GB"/>
        </w:rPr>
        <w:t>,</w:t>
      </w:r>
      <w:r w:rsidR="00655735" w:rsidRPr="004779F8">
        <w:rPr>
          <w:sz w:val="22"/>
          <w:szCs w:val="22"/>
          <w:lang w:val="en-GB"/>
        </w:rPr>
        <w:t xml:space="preserve"> only </w:t>
      </w:r>
      <w:r w:rsidR="00FC0107" w:rsidRPr="004779F8">
        <w:rPr>
          <w:sz w:val="22"/>
          <w:szCs w:val="22"/>
          <w:lang w:val="en-GB"/>
        </w:rPr>
        <w:t>36</w:t>
      </w:r>
      <w:r w:rsidR="00655735" w:rsidRPr="004779F8">
        <w:rPr>
          <w:sz w:val="22"/>
          <w:szCs w:val="22"/>
          <w:lang w:val="en-GB"/>
        </w:rPr>
        <w:t xml:space="preserve">% </w:t>
      </w:r>
      <w:r w:rsidRPr="004779F8">
        <w:rPr>
          <w:sz w:val="22"/>
          <w:szCs w:val="22"/>
          <w:lang w:val="en-GB"/>
        </w:rPr>
        <w:t xml:space="preserve">assess the effectiveness of their measures as </w:t>
      </w:r>
      <w:r w:rsidR="004A00E6" w:rsidRPr="004779F8">
        <w:rPr>
          <w:sz w:val="22"/>
          <w:szCs w:val="22"/>
          <w:lang w:val="en-GB"/>
        </w:rPr>
        <w:t>being high</w:t>
      </w:r>
      <w:r w:rsidR="006D3634" w:rsidRPr="004779F8">
        <w:rPr>
          <w:sz w:val="22"/>
          <w:szCs w:val="22"/>
          <w:lang w:val="en-GB"/>
        </w:rPr>
        <w:t xml:space="preserve">. The assessment of </w:t>
      </w:r>
      <w:r w:rsidRPr="004779F8">
        <w:rPr>
          <w:sz w:val="22"/>
          <w:szCs w:val="22"/>
          <w:lang w:val="en-GB"/>
        </w:rPr>
        <w:t xml:space="preserve">the progress towards </w:t>
      </w:r>
      <w:r w:rsidRPr="000F0222">
        <w:rPr>
          <w:iCs/>
          <w:sz w:val="22"/>
          <w:szCs w:val="22"/>
          <w:lang w:val="en-GB"/>
        </w:rPr>
        <w:t xml:space="preserve">elimination of the use of poison baits and non-selective methods of taking </w:t>
      </w:r>
      <w:r w:rsidR="006D3634" w:rsidRPr="000F0222">
        <w:rPr>
          <w:iCs/>
          <w:sz w:val="22"/>
          <w:szCs w:val="22"/>
          <w:lang w:val="en-GB"/>
        </w:rPr>
        <w:t>showed that only 4</w:t>
      </w:r>
      <w:r w:rsidR="00FC0107" w:rsidRPr="000F0222">
        <w:rPr>
          <w:iCs/>
          <w:sz w:val="22"/>
          <w:szCs w:val="22"/>
          <w:lang w:val="en-GB"/>
        </w:rPr>
        <w:t>3</w:t>
      </w:r>
      <w:r w:rsidR="006D3634" w:rsidRPr="000F0222">
        <w:rPr>
          <w:iCs/>
          <w:sz w:val="22"/>
          <w:szCs w:val="22"/>
          <w:lang w:val="en-GB"/>
        </w:rPr>
        <w:t>% of the Contracting Parties have banned all AEWA-listed non-selective methods</w:t>
      </w:r>
      <w:r w:rsidRPr="000F0222">
        <w:rPr>
          <w:iCs/>
          <w:sz w:val="22"/>
          <w:szCs w:val="22"/>
          <w:lang w:val="en-GB"/>
        </w:rPr>
        <w:t>.</w:t>
      </w:r>
      <w:r w:rsidR="006D3634" w:rsidRPr="000F0222">
        <w:rPr>
          <w:iCs/>
          <w:sz w:val="22"/>
          <w:szCs w:val="22"/>
          <w:lang w:val="en-GB"/>
        </w:rPr>
        <w:t xml:space="preserve"> </w:t>
      </w:r>
      <w:r w:rsidR="001B4BBE" w:rsidRPr="000F0222">
        <w:rPr>
          <w:iCs/>
          <w:sz w:val="22"/>
          <w:szCs w:val="22"/>
          <w:lang w:val="en-GB"/>
        </w:rPr>
        <w:t xml:space="preserve">The overall </w:t>
      </w:r>
      <w:r w:rsidR="001B4BBE" w:rsidRPr="000F0222">
        <w:rPr>
          <w:i/>
          <w:iCs/>
          <w:sz w:val="22"/>
          <w:szCs w:val="22"/>
          <w:lang w:val="en-GB"/>
        </w:rPr>
        <w:t>progress</w:t>
      </w:r>
      <w:r w:rsidR="001B4BBE" w:rsidRPr="000F0222">
        <w:rPr>
          <w:iCs/>
          <w:sz w:val="22"/>
          <w:szCs w:val="22"/>
          <w:lang w:val="en-GB"/>
        </w:rPr>
        <w:t xml:space="preserve"> has been described as </w:t>
      </w:r>
      <w:r w:rsidR="00146E73" w:rsidRPr="000F0222">
        <w:rPr>
          <w:i/>
          <w:iCs/>
          <w:sz w:val="22"/>
          <w:szCs w:val="22"/>
          <w:lang w:val="en-GB"/>
        </w:rPr>
        <w:t>good</w:t>
      </w:r>
      <w:r w:rsidR="00146E73" w:rsidRPr="00146E73">
        <w:rPr>
          <w:iCs/>
          <w:sz w:val="22"/>
          <w:szCs w:val="22"/>
          <w:lang w:val="en-GB"/>
        </w:rPr>
        <w:t xml:space="preserve"> but</w:t>
      </w:r>
      <w:r w:rsidR="001B4BBE" w:rsidRPr="00146E73">
        <w:rPr>
          <w:iCs/>
          <w:sz w:val="22"/>
          <w:szCs w:val="22"/>
          <w:lang w:val="en-GB"/>
        </w:rPr>
        <w:t xml:space="preserve"> will require further efforts. </w:t>
      </w:r>
    </w:p>
    <w:p w14:paraId="334F01DB" w14:textId="77777777" w:rsidR="00BF532A" w:rsidRPr="00146E73" w:rsidRDefault="00BF532A" w:rsidP="00C64776">
      <w:pPr>
        <w:spacing w:line="276" w:lineRule="auto"/>
        <w:jc w:val="both"/>
        <w:rPr>
          <w:iCs/>
          <w:sz w:val="22"/>
          <w:szCs w:val="22"/>
          <w:lang w:val="en-GB"/>
        </w:rPr>
      </w:pPr>
    </w:p>
    <w:p w14:paraId="79070207" w14:textId="151D3B60" w:rsidR="00BF532A" w:rsidRPr="00146E73" w:rsidRDefault="006D3634" w:rsidP="00C64776">
      <w:pPr>
        <w:spacing w:line="276" w:lineRule="auto"/>
        <w:jc w:val="both"/>
        <w:rPr>
          <w:sz w:val="22"/>
          <w:szCs w:val="22"/>
          <w:lang w:val="en-GB"/>
        </w:rPr>
      </w:pPr>
      <w:r w:rsidRPr="004779F8">
        <w:rPr>
          <w:sz w:val="22"/>
          <w:szCs w:val="22"/>
          <w:lang w:val="en-GB"/>
        </w:rPr>
        <w:t>Target 2.5</w:t>
      </w:r>
      <w:r w:rsidR="00146E73">
        <w:rPr>
          <w:sz w:val="22"/>
          <w:szCs w:val="22"/>
          <w:lang w:val="en-GB"/>
        </w:rPr>
        <w:t>,</w:t>
      </w:r>
      <w:r w:rsidRPr="004779F8">
        <w:rPr>
          <w:sz w:val="22"/>
          <w:szCs w:val="22"/>
          <w:lang w:val="en-GB"/>
        </w:rPr>
        <w:t xml:space="preserve"> on the other hand</w:t>
      </w:r>
      <w:r w:rsidR="00146E73">
        <w:rPr>
          <w:sz w:val="22"/>
          <w:szCs w:val="22"/>
          <w:lang w:val="en-GB"/>
        </w:rPr>
        <w:t>,</w:t>
      </w:r>
      <w:r w:rsidRPr="004779F8">
        <w:rPr>
          <w:sz w:val="22"/>
          <w:szCs w:val="22"/>
          <w:lang w:val="en-GB"/>
        </w:rPr>
        <w:t xml:space="preserve"> has been </w:t>
      </w:r>
      <w:r w:rsidR="00922AE5" w:rsidRPr="000F0222">
        <w:rPr>
          <w:i/>
          <w:sz w:val="22"/>
          <w:szCs w:val="22"/>
          <w:lang w:val="en-GB"/>
        </w:rPr>
        <w:t>reached</w:t>
      </w:r>
      <w:r w:rsidRPr="00146E73">
        <w:rPr>
          <w:sz w:val="22"/>
          <w:szCs w:val="22"/>
          <w:lang w:val="en-GB"/>
        </w:rPr>
        <w:t xml:space="preserve">. This is justified by the successful ongoing implementation of </w:t>
      </w:r>
      <w:r w:rsidR="00BC4A70" w:rsidRPr="00146E73">
        <w:rPr>
          <w:sz w:val="22"/>
          <w:szCs w:val="22"/>
          <w:lang w:val="en-GB"/>
        </w:rPr>
        <w:t xml:space="preserve">the </w:t>
      </w:r>
      <w:r w:rsidR="00146E73">
        <w:rPr>
          <w:sz w:val="22"/>
          <w:szCs w:val="22"/>
          <w:lang w:val="en-GB"/>
        </w:rPr>
        <w:t xml:space="preserve">International </w:t>
      </w:r>
      <w:r w:rsidR="00922AE5" w:rsidRPr="00146E73">
        <w:rPr>
          <w:sz w:val="22"/>
          <w:szCs w:val="22"/>
          <w:lang w:val="en-GB"/>
        </w:rPr>
        <w:t xml:space="preserve">Single </w:t>
      </w:r>
      <w:r w:rsidR="00BC4A70" w:rsidRPr="00146E73">
        <w:rPr>
          <w:sz w:val="22"/>
          <w:szCs w:val="22"/>
          <w:lang w:val="en-GB"/>
        </w:rPr>
        <w:t xml:space="preserve">Species Management Plan </w:t>
      </w:r>
      <w:r w:rsidR="00922AE5" w:rsidRPr="00146E73">
        <w:rPr>
          <w:sz w:val="22"/>
          <w:szCs w:val="22"/>
          <w:lang w:val="en-GB"/>
        </w:rPr>
        <w:t>(</w:t>
      </w:r>
      <w:r w:rsidR="00146E73">
        <w:rPr>
          <w:sz w:val="22"/>
          <w:szCs w:val="22"/>
          <w:lang w:val="en-GB"/>
        </w:rPr>
        <w:t>I</w:t>
      </w:r>
      <w:r w:rsidR="00922AE5" w:rsidRPr="00146E73">
        <w:rPr>
          <w:sz w:val="22"/>
          <w:szCs w:val="22"/>
          <w:lang w:val="en-GB"/>
        </w:rPr>
        <w:t xml:space="preserve">SSMP) </w:t>
      </w:r>
      <w:r w:rsidR="00BC4A70" w:rsidRPr="00146E73">
        <w:rPr>
          <w:sz w:val="22"/>
          <w:szCs w:val="22"/>
          <w:lang w:val="en-GB"/>
        </w:rPr>
        <w:t>for the Svalbard population of the Pink-footed Goose (</w:t>
      </w:r>
      <w:r w:rsidR="00BC4A70" w:rsidRPr="00146E73">
        <w:rPr>
          <w:i/>
          <w:sz w:val="22"/>
          <w:szCs w:val="22"/>
          <w:lang w:val="en-GB"/>
        </w:rPr>
        <w:t xml:space="preserve">Anser </w:t>
      </w:r>
      <w:proofErr w:type="spellStart"/>
      <w:r w:rsidR="00BC4A70" w:rsidRPr="00146E73">
        <w:rPr>
          <w:i/>
          <w:sz w:val="22"/>
          <w:szCs w:val="22"/>
          <w:lang w:val="en-GB"/>
        </w:rPr>
        <w:t>brachyrhynchus</w:t>
      </w:r>
      <w:proofErr w:type="spellEnd"/>
      <w:r w:rsidR="00BC4A70" w:rsidRPr="00146E73">
        <w:rPr>
          <w:sz w:val="22"/>
          <w:szCs w:val="22"/>
          <w:lang w:val="en-GB"/>
        </w:rPr>
        <w:t>)</w:t>
      </w:r>
      <w:r w:rsidR="00DC7719" w:rsidRPr="00146E73">
        <w:rPr>
          <w:sz w:val="22"/>
          <w:szCs w:val="22"/>
          <w:lang w:val="en-GB"/>
        </w:rPr>
        <w:t xml:space="preserve"> </w:t>
      </w:r>
      <w:r w:rsidR="00922AE5" w:rsidRPr="00146E73">
        <w:rPr>
          <w:sz w:val="22"/>
          <w:szCs w:val="22"/>
          <w:lang w:val="en-GB"/>
        </w:rPr>
        <w:t xml:space="preserve">and the </w:t>
      </w:r>
      <w:r w:rsidR="00146E73">
        <w:rPr>
          <w:sz w:val="22"/>
          <w:szCs w:val="22"/>
          <w:lang w:val="en-GB"/>
        </w:rPr>
        <w:t xml:space="preserve">International </w:t>
      </w:r>
      <w:r w:rsidR="00922AE5" w:rsidRPr="00146E73">
        <w:rPr>
          <w:sz w:val="22"/>
          <w:szCs w:val="22"/>
          <w:lang w:val="en-GB"/>
        </w:rPr>
        <w:t>Single Species Action Plan (</w:t>
      </w:r>
      <w:r w:rsidR="00146E73">
        <w:rPr>
          <w:sz w:val="22"/>
          <w:szCs w:val="22"/>
          <w:lang w:val="en-GB"/>
        </w:rPr>
        <w:t>I</w:t>
      </w:r>
      <w:r w:rsidR="00922AE5" w:rsidRPr="00146E73">
        <w:rPr>
          <w:sz w:val="22"/>
          <w:szCs w:val="22"/>
          <w:lang w:val="en-GB"/>
        </w:rPr>
        <w:t>SSAP) for the Taiga Bean Goose (</w:t>
      </w:r>
      <w:r w:rsidR="00922AE5" w:rsidRPr="00146E73">
        <w:rPr>
          <w:i/>
          <w:sz w:val="22"/>
          <w:szCs w:val="22"/>
          <w:lang w:val="en-GB"/>
        </w:rPr>
        <w:t xml:space="preserve">Anser </w:t>
      </w:r>
      <w:proofErr w:type="spellStart"/>
      <w:r w:rsidR="00922AE5" w:rsidRPr="00146E73">
        <w:rPr>
          <w:i/>
          <w:sz w:val="22"/>
          <w:szCs w:val="22"/>
          <w:lang w:val="en-GB"/>
        </w:rPr>
        <w:t>fabalis</w:t>
      </w:r>
      <w:proofErr w:type="spellEnd"/>
      <w:r w:rsidR="00922AE5" w:rsidRPr="00146E73">
        <w:rPr>
          <w:i/>
          <w:sz w:val="22"/>
          <w:szCs w:val="22"/>
          <w:lang w:val="en-GB"/>
        </w:rPr>
        <w:t xml:space="preserve"> </w:t>
      </w:r>
      <w:proofErr w:type="spellStart"/>
      <w:r w:rsidR="00922AE5" w:rsidRPr="00146E73">
        <w:rPr>
          <w:i/>
          <w:sz w:val="22"/>
          <w:szCs w:val="22"/>
          <w:lang w:val="en-GB"/>
        </w:rPr>
        <w:t>fabalis</w:t>
      </w:r>
      <w:proofErr w:type="spellEnd"/>
      <w:r w:rsidR="00922AE5" w:rsidRPr="00146E73">
        <w:rPr>
          <w:sz w:val="22"/>
          <w:szCs w:val="22"/>
          <w:lang w:val="en-GB"/>
        </w:rPr>
        <w:t xml:space="preserve">). In addition, the </w:t>
      </w:r>
      <w:r w:rsidR="00146E73">
        <w:rPr>
          <w:sz w:val="22"/>
          <w:szCs w:val="22"/>
          <w:lang w:val="en-GB"/>
        </w:rPr>
        <w:t>I</w:t>
      </w:r>
      <w:r w:rsidR="00922AE5" w:rsidRPr="00146E73">
        <w:rPr>
          <w:sz w:val="22"/>
          <w:szCs w:val="22"/>
          <w:lang w:val="en-GB"/>
        </w:rPr>
        <w:t>SSAP for the Eurasian Curlew (</w:t>
      </w:r>
      <w:proofErr w:type="spellStart"/>
      <w:r w:rsidR="00922AE5" w:rsidRPr="00146E73">
        <w:rPr>
          <w:i/>
          <w:sz w:val="22"/>
          <w:szCs w:val="22"/>
          <w:lang w:val="en-GB"/>
        </w:rPr>
        <w:t>Numenius</w:t>
      </w:r>
      <w:proofErr w:type="spellEnd"/>
      <w:r w:rsidR="00922AE5" w:rsidRPr="00146E73">
        <w:rPr>
          <w:i/>
          <w:sz w:val="22"/>
          <w:szCs w:val="22"/>
          <w:lang w:val="en-GB"/>
        </w:rPr>
        <w:t xml:space="preserve"> </w:t>
      </w:r>
      <w:proofErr w:type="spellStart"/>
      <w:r w:rsidR="00922AE5" w:rsidRPr="00146E73">
        <w:rPr>
          <w:i/>
          <w:sz w:val="22"/>
          <w:szCs w:val="22"/>
          <w:lang w:val="en-GB"/>
        </w:rPr>
        <w:t>arquata</w:t>
      </w:r>
      <w:proofErr w:type="spellEnd"/>
      <w:r w:rsidR="00922AE5" w:rsidRPr="00146E73">
        <w:rPr>
          <w:sz w:val="22"/>
          <w:szCs w:val="22"/>
          <w:lang w:val="en-GB"/>
        </w:rPr>
        <w:t xml:space="preserve">) also contains elements of adaptive harvest management and two </w:t>
      </w:r>
      <w:r w:rsidR="00146E73">
        <w:rPr>
          <w:sz w:val="22"/>
          <w:szCs w:val="22"/>
          <w:lang w:val="en-GB"/>
        </w:rPr>
        <w:t>further</w:t>
      </w:r>
      <w:r w:rsidR="00922AE5" w:rsidRPr="00146E73">
        <w:rPr>
          <w:sz w:val="22"/>
          <w:szCs w:val="22"/>
          <w:lang w:val="en-GB"/>
        </w:rPr>
        <w:t xml:space="preserve"> </w:t>
      </w:r>
      <w:r w:rsidR="00146E73">
        <w:rPr>
          <w:sz w:val="22"/>
          <w:szCs w:val="22"/>
          <w:lang w:val="en-GB"/>
        </w:rPr>
        <w:t>I</w:t>
      </w:r>
      <w:r w:rsidR="00922AE5" w:rsidRPr="00146E73">
        <w:rPr>
          <w:sz w:val="22"/>
          <w:szCs w:val="22"/>
          <w:lang w:val="en-GB"/>
        </w:rPr>
        <w:t>SSMPs for the Barnacle Goose (</w:t>
      </w:r>
      <w:proofErr w:type="spellStart"/>
      <w:r w:rsidR="00922AE5" w:rsidRPr="00146E73">
        <w:rPr>
          <w:i/>
          <w:sz w:val="22"/>
          <w:szCs w:val="22"/>
          <w:lang w:val="en-GB"/>
        </w:rPr>
        <w:t>Branta</w:t>
      </w:r>
      <w:proofErr w:type="spellEnd"/>
      <w:r w:rsidR="00922AE5" w:rsidRPr="00146E73">
        <w:rPr>
          <w:i/>
          <w:sz w:val="22"/>
          <w:szCs w:val="22"/>
          <w:lang w:val="en-GB"/>
        </w:rPr>
        <w:t xml:space="preserve"> </w:t>
      </w:r>
      <w:proofErr w:type="spellStart"/>
      <w:r w:rsidR="00922AE5" w:rsidRPr="00146E73">
        <w:rPr>
          <w:i/>
          <w:sz w:val="22"/>
          <w:szCs w:val="22"/>
          <w:lang w:val="en-GB"/>
        </w:rPr>
        <w:t>leucopsis</w:t>
      </w:r>
      <w:proofErr w:type="spellEnd"/>
      <w:r w:rsidR="00922AE5" w:rsidRPr="00146E73">
        <w:rPr>
          <w:sz w:val="22"/>
          <w:szCs w:val="22"/>
          <w:lang w:val="en-GB"/>
        </w:rPr>
        <w:t>) and the Greylag Goose (</w:t>
      </w:r>
      <w:r w:rsidR="00922AE5" w:rsidRPr="00146E73">
        <w:rPr>
          <w:i/>
          <w:sz w:val="22"/>
          <w:szCs w:val="22"/>
          <w:lang w:val="en-GB"/>
        </w:rPr>
        <w:t xml:space="preserve">Anser </w:t>
      </w:r>
      <w:proofErr w:type="spellStart"/>
      <w:r w:rsidR="00922AE5" w:rsidRPr="00146E73">
        <w:rPr>
          <w:i/>
          <w:sz w:val="22"/>
          <w:szCs w:val="22"/>
          <w:lang w:val="en-GB"/>
        </w:rPr>
        <w:t>anser</w:t>
      </w:r>
      <w:proofErr w:type="spellEnd"/>
      <w:r w:rsidR="00922AE5" w:rsidRPr="00146E73">
        <w:rPr>
          <w:sz w:val="22"/>
          <w:szCs w:val="22"/>
          <w:lang w:val="en-GB"/>
        </w:rPr>
        <w:t>) (NW/SW European population</w:t>
      </w:r>
      <w:r w:rsidR="00146E73">
        <w:rPr>
          <w:sz w:val="22"/>
          <w:szCs w:val="22"/>
          <w:lang w:val="en-GB"/>
        </w:rPr>
        <w:t>)</w:t>
      </w:r>
      <w:r w:rsidR="00922AE5" w:rsidRPr="00146E73">
        <w:rPr>
          <w:sz w:val="22"/>
          <w:szCs w:val="22"/>
          <w:lang w:val="en-GB"/>
        </w:rPr>
        <w:t xml:space="preserve"> have </w:t>
      </w:r>
      <w:r w:rsidR="00146E73">
        <w:rPr>
          <w:sz w:val="22"/>
          <w:szCs w:val="22"/>
          <w:lang w:val="en-GB"/>
        </w:rPr>
        <w:t xml:space="preserve">been </w:t>
      </w:r>
      <w:r w:rsidR="00922AE5" w:rsidRPr="00146E73">
        <w:rPr>
          <w:sz w:val="22"/>
          <w:szCs w:val="22"/>
          <w:lang w:val="en-GB"/>
        </w:rPr>
        <w:t xml:space="preserve">developed </w:t>
      </w:r>
      <w:r w:rsidR="002E6A3E" w:rsidRPr="00146E73">
        <w:rPr>
          <w:sz w:val="22"/>
          <w:szCs w:val="22"/>
          <w:lang w:val="en-GB"/>
        </w:rPr>
        <w:t xml:space="preserve">and </w:t>
      </w:r>
      <w:r w:rsidRPr="00146E73">
        <w:rPr>
          <w:sz w:val="22"/>
          <w:szCs w:val="22"/>
          <w:lang w:val="en-GB"/>
        </w:rPr>
        <w:t>submitted to MOP</w:t>
      </w:r>
      <w:r w:rsidR="002E6A3E" w:rsidRPr="00146E73">
        <w:rPr>
          <w:sz w:val="22"/>
          <w:szCs w:val="22"/>
          <w:lang w:val="en-GB"/>
        </w:rPr>
        <w:t>7</w:t>
      </w:r>
      <w:r w:rsidRPr="00146E73">
        <w:rPr>
          <w:sz w:val="22"/>
          <w:szCs w:val="22"/>
          <w:lang w:val="en-GB"/>
        </w:rPr>
        <w:t xml:space="preserve"> for </w:t>
      </w:r>
      <w:r w:rsidR="002E6A3E" w:rsidRPr="00146E73">
        <w:rPr>
          <w:sz w:val="22"/>
          <w:szCs w:val="22"/>
          <w:lang w:val="en-GB"/>
        </w:rPr>
        <w:t>review and adoption</w:t>
      </w:r>
      <w:r w:rsidR="003101F2" w:rsidRPr="00146E73">
        <w:rPr>
          <w:sz w:val="22"/>
          <w:szCs w:val="22"/>
          <w:lang w:val="en-GB"/>
        </w:rPr>
        <w:t>.</w:t>
      </w:r>
      <w:r w:rsidR="00682C45" w:rsidRPr="00146E73">
        <w:rPr>
          <w:sz w:val="22"/>
          <w:szCs w:val="22"/>
          <w:lang w:val="en-GB"/>
        </w:rPr>
        <w:t xml:space="preserve"> The progress on this target has been consistently improving over the past decade. </w:t>
      </w:r>
    </w:p>
    <w:p w14:paraId="1CE5ADB9" w14:textId="77777777" w:rsidR="003101F2" w:rsidRPr="00852729" w:rsidRDefault="003101F2" w:rsidP="00C64776">
      <w:pPr>
        <w:spacing w:line="276" w:lineRule="auto"/>
        <w:jc w:val="both"/>
        <w:rPr>
          <w:sz w:val="22"/>
          <w:szCs w:val="22"/>
          <w:lang w:val="en-GB"/>
        </w:rPr>
      </w:pPr>
    </w:p>
    <w:p w14:paraId="32464A54" w14:textId="27C74326" w:rsidR="003101F2" w:rsidRPr="00146E73" w:rsidRDefault="005E66D8" w:rsidP="00C64776">
      <w:pPr>
        <w:spacing w:line="276" w:lineRule="auto"/>
        <w:jc w:val="both"/>
        <w:rPr>
          <w:sz w:val="22"/>
          <w:szCs w:val="22"/>
          <w:lang w:val="en-GB"/>
        </w:rPr>
      </w:pPr>
      <w:r w:rsidRPr="004779F8">
        <w:rPr>
          <w:sz w:val="22"/>
          <w:szCs w:val="22"/>
          <w:lang w:val="en-GB"/>
        </w:rPr>
        <w:t>W</w:t>
      </w:r>
      <w:r w:rsidR="006D3634" w:rsidRPr="004779F8">
        <w:rPr>
          <w:sz w:val="22"/>
          <w:szCs w:val="22"/>
          <w:lang w:val="en-GB"/>
        </w:rPr>
        <w:t xml:space="preserve">ith </w:t>
      </w:r>
      <w:r w:rsidRPr="004779F8">
        <w:rPr>
          <w:sz w:val="22"/>
          <w:szCs w:val="22"/>
          <w:lang w:val="en-GB"/>
        </w:rPr>
        <w:t>35</w:t>
      </w:r>
      <w:r w:rsidR="006D3634" w:rsidRPr="004779F8">
        <w:rPr>
          <w:sz w:val="22"/>
          <w:szCs w:val="22"/>
          <w:lang w:val="en-GB"/>
        </w:rPr>
        <w:t xml:space="preserve">% of the Contracting Parties reporting best practice codes and standards in place out of </w:t>
      </w:r>
      <w:r w:rsidRPr="004779F8">
        <w:rPr>
          <w:sz w:val="22"/>
          <w:szCs w:val="22"/>
          <w:lang w:val="en-GB"/>
        </w:rPr>
        <w:t>45</w:t>
      </w:r>
      <w:r w:rsidR="006D3634" w:rsidRPr="004779F8">
        <w:rPr>
          <w:sz w:val="22"/>
          <w:szCs w:val="22"/>
          <w:lang w:val="en-GB"/>
        </w:rPr>
        <w:t xml:space="preserve">% of Parties which confirmed that such an approach is considered a priority, </w:t>
      </w:r>
      <w:r w:rsidRPr="004779F8">
        <w:rPr>
          <w:sz w:val="22"/>
          <w:szCs w:val="22"/>
          <w:lang w:val="en-GB"/>
        </w:rPr>
        <w:t xml:space="preserve">Target 2.4 on enforcing legally binding best practice standards associated with </w:t>
      </w:r>
      <w:proofErr w:type="spellStart"/>
      <w:r w:rsidRPr="004779F8">
        <w:rPr>
          <w:sz w:val="22"/>
          <w:szCs w:val="22"/>
          <w:lang w:val="en-GB"/>
        </w:rPr>
        <w:t>waterbird</w:t>
      </w:r>
      <w:proofErr w:type="spellEnd"/>
      <w:r w:rsidRPr="004779F8">
        <w:rPr>
          <w:sz w:val="22"/>
          <w:szCs w:val="22"/>
          <w:lang w:val="en-GB"/>
        </w:rPr>
        <w:t xml:space="preserve"> harvest was assessed as </w:t>
      </w:r>
      <w:r w:rsidR="00B62AD2">
        <w:rPr>
          <w:sz w:val="22"/>
          <w:szCs w:val="22"/>
          <w:lang w:val="en-GB"/>
        </w:rPr>
        <w:t>showing</w:t>
      </w:r>
      <w:r w:rsidRPr="00146E73">
        <w:rPr>
          <w:sz w:val="22"/>
          <w:szCs w:val="22"/>
          <w:lang w:val="en-GB"/>
        </w:rPr>
        <w:t xml:space="preserve"> </w:t>
      </w:r>
      <w:r w:rsidRPr="000F0222">
        <w:rPr>
          <w:i/>
          <w:sz w:val="22"/>
          <w:szCs w:val="22"/>
          <w:lang w:val="en-GB"/>
        </w:rPr>
        <w:t xml:space="preserve">significant </w:t>
      </w:r>
      <w:r w:rsidR="006D3634" w:rsidRPr="000F0222">
        <w:rPr>
          <w:i/>
          <w:sz w:val="22"/>
          <w:szCs w:val="22"/>
          <w:lang w:val="en-GB"/>
        </w:rPr>
        <w:t>progress</w:t>
      </w:r>
      <w:r w:rsidR="006D3634" w:rsidRPr="00146E73">
        <w:rPr>
          <w:sz w:val="22"/>
          <w:szCs w:val="22"/>
          <w:lang w:val="en-GB"/>
        </w:rPr>
        <w:t xml:space="preserve">. </w:t>
      </w:r>
      <w:r w:rsidR="00682C45" w:rsidRPr="00146E73">
        <w:rPr>
          <w:sz w:val="22"/>
          <w:szCs w:val="22"/>
          <w:lang w:val="en-GB"/>
        </w:rPr>
        <w:t>Throughout the lifespan of the Strategic Plan</w:t>
      </w:r>
      <w:r w:rsidR="00146E73">
        <w:rPr>
          <w:sz w:val="22"/>
          <w:szCs w:val="22"/>
          <w:lang w:val="en-GB"/>
        </w:rPr>
        <w:t>,</w:t>
      </w:r>
      <w:r w:rsidR="00682C45" w:rsidRPr="00146E73">
        <w:rPr>
          <w:sz w:val="22"/>
          <w:szCs w:val="22"/>
          <w:lang w:val="en-GB"/>
        </w:rPr>
        <w:t xml:space="preserve"> the progress </w:t>
      </w:r>
      <w:r w:rsidR="00146E73">
        <w:rPr>
          <w:sz w:val="22"/>
          <w:szCs w:val="22"/>
          <w:lang w:val="en-GB"/>
        </w:rPr>
        <w:t>towards</w:t>
      </w:r>
      <w:r w:rsidR="00682C45" w:rsidRPr="00146E73">
        <w:rPr>
          <w:sz w:val="22"/>
          <w:szCs w:val="22"/>
          <w:lang w:val="en-GB"/>
        </w:rPr>
        <w:t xml:space="preserve"> this target has improved. </w:t>
      </w:r>
    </w:p>
    <w:p w14:paraId="4D9E543A" w14:textId="77777777" w:rsidR="002136A7" w:rsidRPr="00852729" w:rsidRDefault="002136A7" w:rsidP="00C64776">
      <w:pPr>
        <w:spacing w:line="276" w:lineRule="auto"/>
        <w:jc w:val="both"/>
        <w:rPr>
          <w:sz w:val="22"/>
          <w:szCs w:val="22"/>
          <w:lang w:val="en-GB"/>
        </w:rPr>
      </w:pPr>
    </w:p>
    <w:p w14:paraId="4E121B7F" w14:textId="77777777" w:rsidR="002136A7" w:rsidRPr="000F0222" w:rsidRDefault="002136A7" w:rsidP="00B527F9">
      <w:pPr>
        <w:jc w:val="both"/>
        <w:rPr>
          <w:sz w:val="22"/>
          <w:szCs w:val="22"/>
          <w:lang w:val="en-GB"/>
        </w:rPr>
      </w:pPr>
    </w:p>
    <w:p w14:paraId="27B5BC97" w14:textId="0E809FAA" w:rsidR="0037721A" w:rsidRPr="004779F8" w:rsidRDefault="00682C45" w:rsidP="00E568EA">
      <w:pPr>
        <w:shd w:val="clear" w:color="auto" w:fill="DBE5F1" w:themeFill="accent1" w:themeFillTint="33"/>
        <w:jc w:val="both"/>
        <w:rPr>
          <w:b/>
          <w:lang w:val="en-GB"/>
        </w:rPr>
      </w:pPr>
      <w:r w:rsidRPr="004779F8">
        <w:rPr>
          <w:b/>
          <w:lang w:val="en-GB"/>
        </w:rPr>
        <w:t>Level of</w:t>
      </w:r>
      <w:r w:rsidR="0037721A" w:rsidRPr="004779F8">
        <w:rPr>
          <w:b/>
          <w:lang w:val="en-GB"/>
        </w:rPr>
        <w:t xml:space="preserve"> achieving Objective 3</w:t>
      </w:r>
    </w:p>
    <w:p w14:paraId="0210C473" w14:textId="77777777" w:rsidR="0037721A" w:rsidRPr="000F0222" w:rsidRDefault="0037721A" w:rsidP="0037721A">
      <w:pPr>
        <w:jc w:val="both"/>
        <w:rPr>
          <w:sz w:val="22"/>
          <w:szCs w:val="22"/>
          <w:lang w:val="en-GB"/>
        </w:rPr>
      </w:pPr>
    </w:p>
    <w:p w14:paraId="584D3037" w14:textId="4CD53B1F" w:rsidR="0037721A" w:rsidRPr="004779F8" w:rsidRDefault="0037721A" w:rsidP="00C64776">
      <w:pPr>
        <w:spacing w:line="276" w:lineRule="auto"/>
        <w:jc w:val="both"/>
        <w:rPr>
          <w:sz w:val="22"/>
          <w:szCs w:val="22"/>
          <w:lang w:val="en-GB"/>
        </w:rPr>
      </w:pPr>
      <w:r w:rsidRPr="004779F8">
        <w:rPr>
          <w:sz w:val="22"/>
          <w:szCs w:val="22"/>
          <w:lang w:val="en-GB"/>
        </w:rPr>
        <w:t xml:space="preserve">Objective 3 </w:t>
      </w:r>
      <w:r w:rsidR="00636FFF" w:rsidRPr="004779F8">
        <w:rPr>
          <w:sz w:val="22"/>
          <w:szCs w:val="22"/>
          <w:lang w:val="en-GB"/>
        </w:rPr>
        <w:t>aims</w:t>
      </w:r>
      <w:r w:rsidRPr="00146E73">
        <w:rPr>
          <w:sz w:val="22"/>
          <w:szCs w:val="22"/>
          <w:lang w:val="en-GB"/>
        </w:rPr>
        <w:t xml:space="preserve"> at </w:t>
      </w:r>
      <w:r w:rsidRPr="00146E73">
        <w:rPr>
          <w:b/>
          <w:sz w:val="22"/>
          <w:szCs w:val="22"/>
          <w:lang w:val="en-GB"/>
        </w:rPr>
        <w:t>increasing knowledge about species and their populations, flyways and threats to them, as a basis for conservation action</w:t>
      </w:r>
      <w:r w:rsidRPr="00852729">
        <w:rPr>
          <w:iCs/>
          <w:sz w:val="22"/>
          <w:szCs w:val="22"/>
          <w:lang w:val="en-GB"/>
        </w:rPr>
        <w:t xml:space="preserve"> </w:t>
      </w:r>
      <w:r w:rsidR="00576607" w:rsidRPr="00852729">
        <w:rPr>
          <w:iCs/>
          <w:sz w:val="22"/>
          <w:szCs w:val="22"/>
          <w:lang w:val="en-GB"/>
        </w:rPr>
        <w:t>and f</w:t>
      </w:r>
      <w:r w:rsidRPr="004779F8">
        <w:rPr>
          <w:sz w:val="22"/>
          <w:szCs w:val="22"/>
          <w:lang w:val="en-GB"/>
        </w:rPr>
        <w:t>ive targets have been set to achieve this</w:t>
      </w:r>
      <w:r w:rsidRPr="004779F8">
        <w:rPr>
          <w:sz w:val="22"/>
          <w:lang w:val="en-GB"/>
        </w:rPr>
        <w:t xml:space="preserve"> objective. </w:t>
      </w:r>
      <w:r w:rsidR="00AC1FFD" w:rsidRPr="004779F8">
        <w:rPr>
          <w:sz w:val="22"/>
          <w:szCs w:val="22"/>
          <w:lang w:val="en-GB"/>
        </w:rPr>
        <w:t>S</w:t>
      </w:r>
      <w:r w:rsidR="00B5501C" w:rsidRPr="004779F8">
        <w:rPr>
          <w:sz w:val="22"/>
          <w:szCs w:val="22"/>
          <w:lang w:val="en-GB"/>
        </w:rPr>
        <w:t xml:space="preserve">ignificant progress </w:t>
      </w:r>
      <w:r w:rsidR="00AC1FFD" w:rsidRPr="004779F8">
        <w:rPr>
          <w:sz w:val="22"/>
          <w:szCs w:val="22"/>
          <w:lang w:val="en-GB"/>
        </w:rPr>
        <w:t xml:space="preserve">has been registered </w:t>
      </w:r>
      <w:r w:rsidR="00B5501C" w:rsidRPr="004779F8">
        <w:rPr>
          <w:sz w:val="22"/>
          <w:szCs w:val="22"/>
          <w:lang w:val="en-GB"/>
        </w:rPr>
        <w:t xml:space="preserve">on </w:t>
      </w:r>
      <w:r w:rsidR="00AC1FFD" w:rsidRPr="004779F8">
        <w:rPr>
          <w:sz w:val="22"/>
          <w:szCs w:val="22"/>
          <w:lang w:val="en-GB"/>
        </w:rPr>
        <w:t xml:space="preserve">two </w:t>
      </w:r>
      <w:r w:rsidR="00B5501C" w:rsidRPr="004779F8">
        <w:rPr>
          <w:sz w:val="22"/>
          <w:szCs w:val="22"/>
          <w:lang w:val="en-GB"/>
        </w:rPr>
        <w:t>target</w:t>
      </w:r>
      <w:r w:rsidR="00AC1FFD" w:rsidRPr="004779F8">
        <w:rPr>
          <w:sz w:val="22"/>
          <w:szCs w:val="22"/>
          <w:lang w:val="en-GB"/>
        </w:rPr>
        <w:t>s</w:t>
      </w:r>
      <w:r w:rsidR="00B5501C" w:rsidRPr="004779F8">
        <w:rPr>
          <w:sz w:val="22"/>
          <w:szCs w:val="22"/>
          <w:lang w:val="en-GB"/>
        </w:rPr>
        <w:t xml:space="preserve"> (</w:t>
      </w:r>
      <w:r w:rsidR="00AC1FFD" w:rsidRPr="004779F8">
        <w:rPr>
          <w:sz w:val="22"/>
          <w:szCs w:val="22"/>
          <w:lang w:val="en-GB"/>
        </w:rPr>
        <w:t>4</w:t>
      </w:r>
      <w:r w:rsidR="00B5501C" w:rsidRPr="004779F8">
        <w:rPr>
          <w:sz w:val="22"/>
          <w:szCs w:val="22"/>
          <w:lang w:val="en-GB"/>
        </w:rPr>
        <w:t>0%),</w:t>
      </w:r>
      <w:r w:rsidR="00A4439E" w:rsidRPr="004779F8">
        <w:rPr>
          <w:sz w:val="22"/>
          <w:szCs w:val="22"/>
          <w:lang w:val="en-GB"/>
        </w:rPr>
        <w:t xml:space="preserve"> </w:t>
      </w:r>
      <w:r w:rsidR="00B5501C" w:rsidRPr="004779F8">
        <w:rPr>
          <w:sz w:val="22"/>
          <w:szCs w:val="22"/>
          <w:lang w:val="en-GB"/>
        </w:rPr>
        <w:t xml:space="preserve">limited </w:t>
      </w:r>
      <w:r w:rsidR="00AC1FFD" w:rsidRPr="004779F8">
        <w:rPr>
          <w:sz w:val="22"/>
          <w:szCs w:val="22"/>
          <w:lang w:val="en-GB"/>
        </w:rPr>
        <w:t xml:space="preserve">progress </w:t>
      </w:r>
      <w:r w:rsidR="00B5501C" w:rsidRPr="004779F8">
        <w:rPr>
          <w:sz w:val="22"/>
          <w:szCs w:val="22"/>
          <w:lang w:val="en-GB"/>
        </w:rPr>
        <w:t xml:space="preserve">on </w:t>
      </w:r>
      <w:r w:rsidR="00AC1FFD" w:rsidRPr="004779F8">
        <w:rPr>
          <w:sz w:val="22"/>
          <w:szCs w:val="22"/>
          <w:lang w:val="en-GB"/>
        </w:rPr>
        <w:t xml:space="preserve">one </w:t>
      </w:r>
      <w:r w:rsidR="00A4439E" w:rsidRPr="004779F8">
        <w:rPr>
          <w:sz w:val="22"/>
          <w:szCs w:val="22"/>
          <w:lang w:val="en-GB"/>
        </w:rPr>
        <w:t xml:space="preserve">target </w:t>
      </w:r>
      <w:r w:rsidR="00B5501C" w:rsidRPr="004779F8">
        <w:rPr>
          <w:sz w:val="22"/>
          <w:szCs w:val="22"/>
          <w:lang w:val="en-GB"/>
        </w:rPr>
        <w:t>(</w:t>
      </w:r>
      <w:r w:rsidR="00A4439E" w:rsidRPr="004779F8">
        <w:rPr>
          <w:sz w:val="22"/>
          <w:szCs w:val="22"/>
          <w:lang w:val="en-GB"/>
        </w:rPr>
        <w:t>2</w:t>
      </w:r>
      <w:r w:rsidR="00B5501C" w:rsidRPr="004779F8">
        <w:rPr>
          <w:sz w:val="22"/>
          <w:szCs w:val="22"/>
          <w:lang w:val="en-GB"/>
        </w:rPr>
        <w:t>0%)</w:t>
      </w:r>
      <w:r w:rsidR="00AC1FFD" w:rsidRPr="004779F8">
        <w:rPr>
          <w:sz w:val="22"/>
          <w:szCs w:val="22"/>
          <w:lang w:val="en-GB"/>
        </w:rPr>
        <w:t xml:space="preserve"> and</w:t>
      </w:r>
      <w:r w:rsidR="00A4439E" w:rsidRPr="004779F8">
        <w:rPr>
          <w:sz w:val="22"/>
          <w:szCs w:val="22"/>
          <w:lang w:val="en-GB"/>
        </w:rPr>
        <w:t xml:space="preserve"> </w:t>
      </w:r>
      <w:r w:rsidR="00AC1FFD" w:rsidRPr="004779F8">
        <w:rPr>
          <w:sz w:val="22"/>
          <w:szCs w:val="22"/>
          <w:lang w:val="en-GB"/>
        </w:rPr>
        <w:t xml:space="preserve">the remaining two </w:t>
      </w:r>
      <w:r w:rsidR="00B5501C" w:rsidRPr="004779F8">
        <w:rPr>
          <w:sz w:val="22"/>
          <w:szCs w:val="22"/>
          <w:lang w:val="en-GB"/>
        </w:rPr>
        <w:t>target</w:t>
      </w:r>
      <w:r w:rsidR="00AC1FFD" w:rsidRPr="004779F8">
        <w:rPr>
          <w:sz w:val="22"/>
          <w:szCs w:val="22"/>
          <w:lang w:val="en-GB"/>
        </w:rPr>
        <w:t>s (40%)</w:t>
      </w:r>
      <w:r w:rsidR="00B5501C" w:rsidRPr="004779F8">
        <w:rPr>
          <w:sz w:val="22"/>
          <w:szCs w:val="22"/>
          <w:lang w:val="en-GB"/>
        </w:rPr>
        <w:t xml:space="preserve"> </w:t>
      </w:r>
      <w:r w:rsidR="00AC1FFD" w:rsidRPr="004779F8">
        <w:rPr>
          <w:sz w:val="22"/>
          <w:szCs w:val="22"/>
          <w:lang w:val="en-GB"/>
        </w:rPr>
        <w:t xml:space="preserve">have not been </w:t>
      </w:r>
      <w:r w:rsidR="00B5501C" w:rsidRPr="004779F8">
        <w:rPr>
          <w:sz w:val="22"/>
          <w:szCs w:val="22"/>
          <w:lang w:val="en-GB"/>
        </w:rPr>
        <w:t>assess</w:t>
      </w:r>
      <w:r w:rsidR="00AC1FFD" w:rsidRPr="004779F8">
        <w:rPr>
          <w:sz w:val="22"/>
          <w:szCs w:val="22"/>
          <w:lang w:val="en-GB"/>
        </w:rPr>
        <w:t>ed</w:t>
      </w:r>
      <w:r w:rsidR="00B5501C" w:rsidRPr="004779F8">
        <w:rPr>
          <w:sz w:val="22"/>
          <w:szCs w:val="22"/>
          <w:lang w:val="en-GB"/>
        </w:rPr>
        <w:t xml:space="preserve"> </w:t>
      </w:r>
      <w:r w:rsidRPr="004779F8">
        <w:rPr>
          <w:sz w:val="22"/>
          <w:szCs w:val="22"/>
          <w:lang w:val="en-GB"/>
        </w:rPr>
        <w:t xml:space="preserve">(see </w:t>
      </w:r>
      <w:r w:rsidRPr="004779F8">
        <w:rPr>
          <w:i/>
          <w:sz w:val="22"/>
          <w:szCs w:val="22"/>
          <w:lang w:val="en-GB"/>
        </w:rPr>
        <w:t xml:space="preserve">Table </w:t>
      </w:r>
      <w:r w:rsidR="005E0BCC" w:rsidRPr="004779F8">
        <w:rPr>
          <w:i/>
          <w:sz w:val="22"/>
          <w:szCs w:val="22"/>
          <w:lang w:val="en-GB"/>
        </w:rPr>
        <w:t>6</w:t>
      </w:r>
      <w:r w:rsidRPr="004779F8">
        <w:rPr>
          <w:sz w:val="22"/>
          <w:szCs w:val="22"/>
          <w:lang w:val="en-GB"/>
        </w:rPr>
        <w:t>).</w:t>
      </w:r>
    </w:p>
    <w:p w14:paraId="243F8FEB" w14:textId="77777777" w:rsidR="0037721A" w:rsidRPr="000F0222" w:rsidRDefault="0037721A" w:rsidP="00C64776">
      <w:pPr>
        <w:spacing w:line="276" w:lineRule="auto"/>
        <w:jc w:val="both"/>
        <w:rPr>
          <w:sz w:val="22"/>
          <w:szCs w:val="22"/>
          <w:lang w:val="en-GB"/>
        </w:rPr>
      </w:pPr>
    </w:p>
    <w:p w14:paraId="3580DDFF" w14:textId="2267C935" w:rsidR="00B5501C" w:rsidRPr="000F0222" w:rsidRDefault="00BF0254" w:rsidP="00C64776">
      <w:pPr>
        <w:spacing w:line="276" w:lineRule="auto"/>
        <w:jc w:val="both"/>
        <w:rPr>
          <w:sz w:val="22"/>
          <w:szCs w:val="22"/>
          <w:lang w:val="en-GB"/>
        </w:rPr>
      </w:pPr>
      <w:r w:rsidRPr="000F0222">
        <w:rPr>
          <w:sz w:val="22"/>
          <w:szCs w:val="22"/>
          <w:lang w:val="en-GB"/>
        </w:rPr>
        <w:t xml:space="preserve">Advanced progress has been recorded on Target 3.2 where </w:t>
      </w:r>
      <w:r w:rsidR="0078187F" w:rsidRPr="000F0222">
        <w:rPr>
          <w:sz w:val="22"/>
          <w:szCs w:val="22"/>
          <w:lang w:val="en-GB"/>
        </w:rPr>
        <w:t>nearly 60%</w:t>
      </w:r>
      <w:r w:rsidRPr="000F0222">
        <w:rPr>
          <w:sz w:val="22"/>
          <w:szCs w:val="22"/>
          <w:lang w:val="en-GB"/>
        </w:rPr>
        <w:t xml:space="preserve"> of </w:t>
      </w:r>
      <w:r w:rsidR="00C55E12" w:rsidRPr="000F0222">
        <w:rPr>
          <w:sz w:val="22"/>
          <w:szCs w:val="22"/>
          <w:lang w:val="en-GB"/>
        </w:rPr>
        <w:t xml:space="preserve">the </w:t>
      </w:r>
      <w:r w:rsidRPr="000F0222">
        <w:rPr>
          <w:sz w:val="22"/>
          <w:szCs w:val="22"/>
          <w:lang w:val="en-GB"/>
        </w:rPr>
        <w:t xml:space="preserve">countries report comprehensive or partial year-round </w:t>
      </w:r>
      <w:proofErr w:type="spellStart"/>
      <w:r w:rsidRPr="000F0222">
        <w:rPr>
          <w:sz w:val="22"/>
          <w:szCs w:val="22"/>
          <w:lang w:val="en-GB"/>
        </w:rPr>
        <w:t>waterbird</w:t>
      </w:r>
      <w:proofErr w:type="spellEnd"/>
      <w:r w:rsidRPr="000F0222">
        <w:rPr>
          <w:sz w:val="22"/>
          <w:szCs w:val="22"/>
          <w:lang w:val="en-GB"/>
        </w:rPr>
        <w:t xml:space="preserve"> monitoring schemes</w:t>
      </w:r>
      <w:r w:rsidR="00C55E12" w:rsidRPr="000F0222">
        <w:rPr>
          <w:sz w:val="22"/>
          <w:szCs w:val="22"/>
          <w:lang w:val="en-GB"/>
        </w:rPr>
        <w:t xml:space="preserve">; </w:t>
      </w:r>
      <w:r w:rsidR="002D4CE0" w:rsidRPr="002D4CE0">
        <w:rPr>
          <w:sz w:val="22"/>
          <w:szCs w:val="22"/>
          <w:lang w:val="en-GB"/>
        </w:rPr>
        <w:t>however,</w:t>
      </w:r>
      <w:r w:rsidR="00C55E12" w:rsidRPr="000F0222">
        <w:rPr>
          <w:sz w:val="22"/>
          <w:szCs w:val="22"/>
          <w:lang w:val="en-GB"/>
        </w:rPr>
        <w:t xml:space="preserve"> a</w:t>
      </w:r>
      <w:r w:rsidR="0078187F" w:rsidRPr="000F0222">
        <w:rPr>
          <w:sz w:val="22"/>
          <w:szCs w:val="22"/>
          <w:lang w:val="en-GB"/>
        </w:rPr>
        <w:t>n</w:t>
      </w:r>
      <w:r w:rsidR="00C55E12" w:rsidRPr="000F0222">
        <w:rPr>
          <w:sz w:val="22"/>
          <w:szCs w:val="22"/>
          <w:lang w:val="en-GB"/>
        </w:rPr>
        <w:t xml:space="preserve"> </w:t>
      </w:r>
      <w:r w:rsidR="0078187F" w:rsidRPr="000F0222">
        <w:rPr>
          <w:sz w:val="22"/>
          <w:szCs w:val="22"/>
          <w:lang w:val="en-GB"/>
        </w:rPr>
        <w:t xml:space="preserve">overall </w:t>
      </w:r>
      <w:r w:rsidR="00C55E12" w:rsidRPr="000F0222">
        <w:rPr>
          <w:sz w:val="22"/>
          <w:szCs w:val="22"/>
          <w:lang w:val="en-GB"/>
        </w:rPr>
        <w:t xml:space="preserve">negative trend has been recorded in the progress </w:t>
      </w:r>
      <w:r w:rsidR="0078187F" w:rsidRPr="000F0222">
        <w:rPr>
          <w:sz w:val="22"/>
          <w:szCs w:val="22"/>
          <w:lang w:val="en-GB"/>
        </w:rPr>
        <w:t xml:space="preserve">towards </w:t>
      </w:r>
      <w:r w:rsidR="00C55E12" w:rsidRPr="000F0222">
        <w:rPr>
          <w:sz w:val="22"/>
          <w:szCs w:val="22"/>
          <w:lang w:val="en-GB"/>
        </w:rPr>
        <w:t>this target</w:t>
      </w:r>
      <w:r w:rsidR="0078187F" w:rsidRPr="000F0222">
        <w:rPr>
          <w:sz w:val="22"/>
          <w:szCs w:val="22"/>
          <w:lang w:val="en-GB"/>
        </w:rPr>
        <w:t xml:space="preserve"> from the first assessment in 2012</w:t>
      </w:r>
      <w:r w:rsidRPr="000F0222">
        <w:rPr>
          <w:sz w:val="22"/>
          <w:szCs w:val="22"/>
          <w:lang w:val="en-GB"/>
        </w:rPr>
        <w:t xml:space="preserve">. </w:t>
      </w:r>
      <w:r w:rsidR="00636FFF" w:rsidRPr="000F0222">
        <w:rPr>
          <w:sz w:val="22"/>
          <w:szCs w:val="22"/>
          <w:lang w:val="en-GB"/>
        </w:rPr>
        <w:t>A c</w:t>
      </w:r>
      <w:r w:rsidRPr="000F0222">
        <w:rPr>
          <w:sz w:val="22"/>
          <w:szCs w:val="22"/>
          <w:lang w:val="en-GB"/>
        </w:rPr>
        <w:t>loser analysis of the existing national monitoring schemes will be useful</w:t>
      </w:r>
      <w:r w:rsidR="002D4CE0">
        <w:rPr>
          <w:sz w:val="22"/>
          <w:szCs w:val="22"/>
          <w:lang w:val="en-GB"/>
        </w:rPr>
        <w:t xml:space="preserve">, </w:t>
      </w:r>
      <w:proofErr w:type="gramStart"/>
      <w:r w:rsidR="002D4CE0">
        <w:rPr>
          <w:sz w:val="22"/>
          <w:szCs w:val="22"/>
          <w:lang w:val="en-GB"/>
        </w:rPr>
        <w:t>in order</w:t>
      </w:r>
      <w:r w:rsidRPr="000F0222">
        <w:rPr>
          <w:sz w:val="22"/>
          <w:szCs w:val="22"/>
          <w:lang w:val="en-GB"/>
        </w:rPr>
        <w:t xml:space="preserve"> to</w:t>
      </w:r>
      <w:proofErr w:type="gramEnd"/>
      <w:r w:rsidRPr="000F0222">
        <w:rPr>
          <w:sz w:val="22"/>
          <w:szCs w:val="22"/>
          <w:lang w:val="en-GB"/>
        </w:rPr>
        <w:t xml:space="preserve"> </w:t>
      </w:r>
      <w:r w:rsidR="002D4CE0">
        <w:rPr>
          <w:sz w:val="22"/>
          <w:szCs w:val="22"/>
          <w:lang w:val="en-GB"/>
        </w:rPr>
        <w:t xml:space="preserve">be able to </w:t>
      </w:r>
      <w:r w:rsidRPr="000F0222">
        <w:rPr>
          <w:sz w:val="22"/>
          <w:szCs w:val="22"/>
          <w:lang w:val="en-GB"/>
        </w:rPr>
        <w:t>understand the actual monitoring coverage.</w:t>
      </w:r>
    </w:p>
    <w:p w14:paraId="2BD15F3F" w14:textId="77777777" w:rsidR="00BF0254" w:rsidRPr="000F0222" w:rsidRDefault="00BF0254" w:rsidP="00C64776">
      <w:pPr>
        <w:spacing w:line="276" w:lineRule="auto"/>
        <w:jc w:val="both"/>
        <w:rPr>
          <w:sz w:val="22"/>
          <w:szCs w:val="22"/>
          <w:lang w:val="en-GB"/>
        </w:rPr>
      </w:pPr>
    </w:p>
    <w:p w14:paraId="2652B217" w14:textId="029EC186" w:rsidR="004A00E6" w:rsidRPr="000F0222" w:rsidRDefault="00776AA9" w:rsidP="00C64776">
      <w:pPr>
        <w:spacing w:line="276" w:lineRule="auto"/>
        <w:jc w:val="both"/>
        <w:rPr>
          <w:sz w:val="22"/>
          <w:szCs w:val="22"/>
          <w:lang w:val="en-GB"/>
        </w:rPr>
      </w:pPr>
      <w:r w:rsidRPr="000F0222">
        <w:rPr>
          <w:sz w:val="22"/>
          <w:szCs w:val="22"/>
          <w:lang w:val="en-GB"/>
        </w:rPr>
        <w:t xml:space="preserve">Target 3.1, aiming at long-term resourcing of the international </w:t>
      </w:r>
      <w:proofErr w:type="spellStart"/>
      <w:r w:rsidRPr="000F0222">
        <w:rPr>
          <w:sz w:val="22"/>
          <w:szCs w:val="22"/>
          <w:lang w:val="en-GB"/>
        </w:rPr>
        <w:t>waterbird</w:t>
      </w:r>
      <w:proofErr w:type="spellEnd"/>
      <w:r w:rsidRPr="000F0222">
        <w:rPr>
          <w:sz w:val="22"/>
          <w:szCs w:val="22"/>
          <w:lang w:val="en-GB"/>
        </w:rPr>
        <w:t xml:space="preserve"> monitoring processes</w:t>
      </w:r>
      <w:r w:rsidR="00852FFD">
        <w:rPr>
          <w:sz w:val="22"/>
          <w:szCs w:val="22"/>
          <w:lang w:val="en-GB"/>
        </w:rPr>
        <w:t>,</w:t>
      </w:r>
      <w:r w:rsidRPr="000F0222">
        <w:rPr>
          <w:sz w:val="22"/>
          <w:szCs w:val="22"/>
          <w:lang w:val="en-GB"/>
        </w:rPr>
        <w:t xml:space="preserve"> </w:t>
      </w:r>
      <w:proofErr w:type="gramStart"/>
      <w:r w:rsidRPr="000F0222">
        <w:rPr>
          <w:sz w:val="22"/>
          <w:szCs w:val="22"/>
          <w:lang w:val="en-GB"/>
        </w:rPr>
        <w:t>in order to</w:t>
      </w:r>
      <w:proofErr w:type="gramEnd"/>
      <w:r w:rsidRPr="000F0222">
        <w:rPr>
          <w:sz w:val="22"/>
          <w:szCs w:val="22"/>
          <w:lang w:val="en-GB"/>
        </w:rPr>
        <w:t xml:space="preserve"> secure data for status assessments, is essential. </w:t>
      </w:r>
      <w:r w:rsidR="00C55E12" w:rsidRPr="000F0222">
        <w:rPr>
          <w:sz w:val="22"/>
          <w:szCs w:val="22"/>
          <w:lang w:val="en-GB"/>
        </w:rPr>
        <w:t>T</w:t>
      </w:r>
      <w:r w:rsidRPr="000F0222">
        <w:rPr>
          <w:sz w:val="22"/>
          <w:szCs w:val="22"/>
          <w:lang w:val="en-GB"/>
        </w:rPr>
        <w:t xml:space="preserve">he production of the International </w:t>
      </w:r>
      <w:proofErr w:type="spellStart"/>
      <w:r w:rsidRPr="000F0222">
        <w:rPr>
          <w:sz w:val="22"/>
          <w:szCs w:val="22"/>
          <w:lang w:val="en-GB"/>
        </w:rPr>
        <w:t>Waterbird</w:t>
      </w:r>
      <w:proofErr w:type="spellEnd"/>
      <w:r w:rsidRPr="000F0222">
        <w:rPr>
          <w:sz w:val="22"/>
          <w:szCs w:val="22"/>
          <w:lang w:val="en-GB"/>
        </w:rPr>
        <w:t xml:space="preserve"> Census (IWC) summary reports, the AEWA Conservation Status Report and the global </w:t>
      </w:r>
      <w:proofErr w:type="spellStart"/>
      <w:r w:rsidRPr="000F0222">
        <w:rPr>
          <w:sz w:val="22"/>
          <w:szCs w:val="22"/>
          <w:lang w:val="en-GB"/>
        </w:rPr>
        <w:t>Waterbird</w:t>
      </w:r>
      <w:proofErr w:type="spellEnd"/>
      <w:r w:rsidRPr="000F0222">
        <w:rPr>
          <w:sz w:val="22"/>
          <w:szCs w:val="22"/>
          <w:lang w:val="en-GB"/>
        </w:rPr>
        <w:t xml:space="preserve"> Population Estimates has been kept on track</w:t>
      </w:r>
      <w:r w:rsidR="006A6526" w:rsidRPr="000F0222">
        <w:rPr>
          <w:sz w:val="22"/>
          <w:szCs w:val="22"/>
          <w:lang w:val="en-GB"/>
        </w:rPr>
        <w:t xml:space="preserve">. </w:t>
      </w:r>
      <w:r w:rsidR="00C55E12" w:rsidRPr="000F0222">
        <w:rPr>
          <w:sz w:val="22"/>
          <w:szCs w:val="22"/>
          <w:lang w:val="en-GB"/>
        </w:rPr>
        <w:t xml:space="preserve">Financial sustainability of </w:t>
      </w:r>
      <w:r w:rsidR="004A00E6" w:rsidRPr="000F0222">
        <w:rPr>
          <w:sz w:val="22"/>
          <w:szCs w:val="22"/>
          <w:lang w:val="en-GB"/>
        </w:rPr>
        <w:t xml:space="preserve">the </w:t>
      </w:r>
      <w:r w:rsidR="00C55E12" w:rsidRPr="000F0222">
        <w:rPr>
          <w:sz w:val="22"/>
          <w:szCs w:val="22"/>
          <w:lang w:val="en-GB"/>
        </w:rPr>
        <w:t>IWC has not been yet achieved</w:t>
      </w:r>
      <w:r w:rsidR="00852FFD">
        <w:rPr>
          <w:sz w:val="22"/>
          <w:szCs w:val="22"/>
          <w:lang w:val="en-GB"/>
        </w:rPr>
        <w:t>,</w:t>
      </w:r>
      <w:r w:rsidR="00C55E12" w:rsidRPr="000F0222">
        <w:rPr>
          <w:sz w:val="22"/>
          <w:szCs w:val="22"/>
          <w:lang w:val="en-GB"/>
        </w:rPr>
        <w:t xml:space="preserve"> despite the very good progress in the last </w:t>
      </w:r>
      <w:r w:rsidR="00AC1FFD" w:rsidRPr="000F0222">
        <w:rPr>
          <w:sz w:val="22"/>
          <w:szCs w:val="22"/>
          <w:lang w:val="en-GB"/>
        </w:rPr>
        <w:t>decade</w:t>
      </w:r>
      <w:r w:rsidR="00643038" w:rsidRPr="000F0222">
        <w:rPr>
          <w:sz w:val="22"/>
          <w:szCs w:val="22"/>
          <w:lang w:val="en-GB"/>
        </w:rPr>
        <w:t xml:space="preserve">, including the establishment of the </w:t>
      </w:r>
      <w:proofErr w:type="spellStart"/>
      <w:r w:rsidR="00643038" w:rsidRPr="000F0222">
        <w:rPr>
          <w:sz w:val="22"/>
          <w:szCs w:val="22"/>
          <w:lang w:val="en-GB"/>
        </w:rPr>
        <w:t>Waterbird</w:t>
      </w:r>
      <w:proofErr w:type="spellEnd"/>
      <w:r w:rsidR="00643038" w:rsidRPr="000F0222">
        <w:rPr>
          <w:sz w:val="22"/>
          <w:szCs w:val="22"/>
          <w:lang w:val="en-GB"/>
        </w:rPr>
        <w:t xml:space="preserve"> Fund under the African-Eurasian </w:t>
      </w:r>
      <w:proofErr w:type="spellStart"/>
      <w:r w:rsidR="00643038" w:rsidRPr="000F0222">
        <w:rPr>
          <w:sz w:val="22"/>
          <w:szCs w:val="22"/>
          <w:lang w:val="en-GB"/>
        </w:rPr>
        <w:t>Waterbird</w:t>
      </w:r>
      <w:proofErr w:type="spellEnd"/>
      <w:r w:rsidR="00643038" w:rsidRPr="000F0222">
        <w:rPr>
          <w:sz w:val="22"/>
          <w:szCs w:val="22"/>
          <w:lang w:val="en-GB"/>
        </w:rPr>
        <w:t xml:space="preserve"> Monitoring Partnership</w:t>
      </w:r>
      <w:r w:rsidR="00C55E12" w:rsidRPr="000F0222">
        <w:rPr>
          <w:sz w:val="22"/>
          <w:szCs w:val="22"/>
          <w:lang w:val="en-GB"/>
        </w:rPr>
        <w:t xml:space="preserve">. </w:t>
      </w:r>
      <w:r w:rsidR="006A6526" w:rsidRPr="000F0222">
        <w:rPr>
          <w:sz w:val="22"/>
          <w:szCs w:val="22"/>
          <w:lang w:val="en-GB"/>
        </w:rPr>
        <w:t xml:space="preserve">Only </w:t>
      </w:r>
      <w:r w:rsidR="00C55E12" w:rsidRPr="000F0222">
        <w:rPr>
          <w:sz w:val="22"/>
          <w:szCs w:val="22"/>
          <w:lang w:val="en-GB"/>
        </w:rPr>
        <w:t>1</w:t>
      </w:r>
      <w:r w:rsidR="00D74A35" w:rsidRPr="000F0222">
        <w:rPr>
          <w:sz w:val="22"/>
          <w:szCs w:val="22"/>
          <w:lang w:val="en-GB"/>
        </w:rPr>
        <w:t>5</w:t>
      </w:r>
      <w:r w:rsidR="00C55E12" w:rsidRPr="000F0222">
        <w:rPr>
          <w:sz w:val="22"/>
          <w:szCs w:val="22"/>
          <w:lang w:val="en-GB"/>
        </w:rPr>
        <w:t xml:space="preserve"> </w:t>
      </w:r>
      <w:r w:rsidR="006A6526" w:rsidRPr="000F0222">
        <w:rPr>
          <w:sz w:val="22"/>
          <w:szCs w:val="22"/>
          <w:lang w:val="en-GB"/>
        </w:rPr>
        <w:t xml:space="preserve">Contracting Parties provided support to </w:t>
      </w:r>
      <w:r w:rsidR="004A00E6" w:rsidRPr="000F0222">
        <w:rPr>
          <w:sz w:val="22"/>
          <w:szCs w:val="22"/>
          <w:lang w:val="en-GB"/>
        </w:rPr>
        <w:t xml:space="preserve">the </w:t>
      </w:r>
      <w:r w:rsidR="006A6526" w:rsidRPr="000F0222">
        <w:rPr>
          <w:sz w:val="22"/>
          <w:szCs w:val="22"/>
          <w:lang w:val="en-GB"/>
        </w:rPr>
        <w:t>IWC at international level either through voluntary financial contributions</w:t>
      </w:r>
      <w:r w:rsidR="00D74A35" w:rsidRPr="000F0222">
        <w:rPr>
          <w:sz w:val="22"/>
          <w:szCs w:val="22"/>
          <w:lang w:val="en-GB"/>
        </w:rPr>
        <w:t xml:space="preserve"> or logistical support and only 11 Contracting Parties reported </w:t>
      </w:r>
      <w:r w:rsidR="00D37A18" w:rsidRPr="000F0222">
        <w:rPr>
          <w:sz w:val="22"/>
          <w:szCs w:val="22"/>
          <w:lang w:val="en-GB"/>
        </w:rPr>
        <w:t>bi-lateral</w:t>
      </w:r>
      <w:r w:rsidR="00852FFD">
        <w:rPr>
          <w:sz w:val="22"/>
          <w:szCs w:val="22"/>
          <w:lang w:val="en-GB"/>
        </w:rPr>
        <w:t>,</w:t>
      </w:r>
      <w:r w:rsidR="00D37A18" w:rsidRPr="000F0222">
        <w:rPr>
          <w:sz w:val="22"/>
          <w:szCs w:val="22"/>
          <w:lang w:val="en-GB"/>
        </w:rPr>
        <w:t xml:space="preserve"> technical or financial support</w:t>
      </w:r>
      <w:r w:rsidR="00636FFF" w:rsidRPr="000F0222">
        <w:rPr>
          <w:sz w:val="22"/>
          <w:szCs w:val="22"/>
          <w:lang w:val="en-GB"/>
        </w:rPr>
        <w:t>, in the last triennium</w:t>
      </w:r>
      <w:r w:rsidR="006A6526" w:rsidRPr="000F0222">
        <w:rPr>
          <w:sz w:val="22"/>
          <w:szCs w:val="22"/>
          <w:lang w:val="en-GB"/>
        </w:rPr>
        <w:t xml:space="preserve">. </w:t>
      </w:r>
    </w:p>
    <w:p w14:paraId="48DFC48A" w14:textId="77777777" w:rsidR="004A00E6" w:rsidRPr="000F0222" w:rsidRDefault="004A00E6" w:rsidP="00C64776">
      <w:pPr>
        <w:spacing w:line="276" w:lineRule="auto"/>
        <w:jc w:val="both"/>
        <w:rPr>
          <w:sz w:val="22"/>
          <w:szCs w:val="22"/>
          <w:lang w:val="en-GB"/>
        </w:rPr>
      </w:pPr>
    </w:p>
    <w:p w14:paraId="1A3FC509" w14:textId="159033FD" w:rsidR="00BF0254" w:rsidRPr="000F0222" w:rsidRDefault="00DE1DE2" w:rsidP="00C64776">
      <w:pPr>
        <w:spacing w:line="276" w:lineRule="auto"/>
        <w:jc w:val="both"/>
        <w:rPr>
          <w:sz w:val="22"/>
          <w:szCs w:val="22"/>
          <w:lang w:val="en-GB"/>
        </w:rPr>
      </w:pPr>
      <w:r w:rsidRPr="000F0222">
        <w:rPr>
          <w:sz w:val="22"/>
          <w:szCs w:val="22"/>
          <w:lang w:val="en-GB"/>
        </w:rPr>
        <w:t xml:space="preserve">Nationally, </w:t>
      </w:r>
      <w:r w:rsidR="005B73EC" w:rsidRPr="000F0222">
        <w:rPr>
          <w:sz w:val="22"/>
          <w:szCs w:val="22"/>
          <w:lang w:val="en-GB"/>
        </w:rPr>
        <w:t>49</w:t>
      </w:r>
      <w:r w:rsidR="00C55E12" w:rsidRPr="000F0222">
        <w:rPr>
          <w:sz w:val="22"/>
          <w:szCs w:val="22"/>
          <w:lang w:val="en-GB"/>
        </w:rPr>
        <w:t xml:space="preserve">% </w:t>
      </w:r>
      <w:r w:rsidRPr="000F0222">
        <w:rPr>
          <w:sz w:val="22"/>
          <w:szCs w:val="22"/>
          <w:lang w:val="en-GB"/>
        </w:rPr>
        <w:t xml:space="preserve">of Parties have supported </w:t>
      </w:r>
      <w:r w:rsidR="004A00E6" w:rsidRPr="000F0222">
        <w:rPr>
          <w:sz w:val="22"/>
          <w:szCs w:val="22"/>
          <w:lang w:val="en-GB"/>
        </w:rPr>
        <w:t xml:space="preserve">the </w:t>
      </w:r>
      <w:r w:rsidRPr="000F0222">
        <w:rPr>
          <w:sz w:val="22"/>
          <w:szCs w:val="22"/>
          <w:lang w:val="en-GB"/>
        </w:rPr>
        <w:t>IWC</w:t>
      </w:r>
      <w:r w:rsidR="00C55E12" w:rsidRPr="000F0222">
        <w:rPr>
          <w:sz w:val="22"/>
          <w:szCs w:val="22"/>
          <w:lang w:val="en-GB"/>
        </w:rPr>
        <w:t xml:space="preserve">, which is </w:t>
      </w:r>
      <w:r w:rsidR="005B73EC" w:rsidRPr="000F0222">
        <w:rPr>
          <w:sz w:val="22"/>
          <w:szCs w:val="22"/>
          <w:lang w:val="en-GB"/>
        </w:rPr>
        <w:t>an increase compared to the beginning of the period</w:t>
      </w:r>
      <w:r w:rsidRPr="000F0222">
        <w:rPr>
          <w:sz w:val="22"/>
          <w:szCs w:val="22"/>
          <w:lang w:val="en-GB"/>
        </w:rPr>
        <w:t xml:space="preserve">. </w:t>
      </w:r>
      <w:r w:rsidR="002D2908" w:rsidRPr="000F0222">
        <w:rPr>
          <w:sz w:val="22"/>
          <w:szCs w:val="22"/>
          <w:lang w:val="en-GB"/>
        </w:rPr>
        <w:t>T</w:t>
      </w:r>
      <w:r w:rsidR="00670BDF" w:rsidRPr="000F0222">
        <w:rPr>
          <w:sz w:val="22"/>
          <w:szCs w:val="22"/>
          <w:lang w:val="en-GB"/>
        </w:rPr>
        <w:t xml:space="preserve">he target </w:t>
      </w:r>
      <w:r w:rsidR="002D2908" w:rsidRPr="000F0222">
        <w:rPr>
          <w:sz w:val="22"/>
          <w:szCs w:val="22"/>
          <w:lang w:val="en-GB"/>
        </w:rPr>
        <w:t xml:space="preserve">to </w:t>
      </w:r>
      <w:r w:rsidR="00670BDF" w:rsidRPr="000F0222">
        <w:rPr>
          <w:sz w:val="22"/>
          <w:szCs w:val="22"/>
          <w:lang w:val="en-GB"/>
        </w:rPr>
        <w:t xml:space="preserve">increase </w:t>
      </w:r>
      <w:r w:rsidR="002D2908" w:rsidRPr="000F0222">
        <w:rPr>
          <w:sz w:val="22"/>
          <w:szCs w:val="22"/>
          <w:lang w:val="en-GB"/>
        </w:rPr>
        <w:t xml:space="preserve">the </w:t>
      </w:r>
      <w:r w:rsidR="00670BDF" w:rsidRPr="000F0222">
        <w:rPr>
          <w:sz w:val="22"/>
          <w:szCs w:val="22"/>
          <w:lang w:val="en-GB"/>
        </w:rPr>
        <w:t>number</w:t>
      </w:r>
      <w:r w:rsidR="00636FFF" w:rsidRPr="000F0222">
        <w:rPr>
          <w:sz w:val="22"/>
          <w:szCs w:val="22"/>
          <w:lang w:val="en-GB"/>
        </w:rPr>
        <w:t>s</w:t>
      </w:r>
      <w:r w:rsidR="00670BDF" w:rsidRPr="000F0222">
        <w:rPr>
          <w:sz w:val="22"/>
          <w:szCs w:val="22"/>
          <w:lang w:val="en-GB"/>
        </w:rPr>
        <w:t xml:space="preserve"> of populations whose international status was assessed </w:t>
      </w:r>
      <w:proofErr w:type="gramStart"/>
      <w:r w:rsidR="00670BDF" w:rsidRPr="000F0222">
        <w:rPr>
          <w:sz w:val="22"/>
          <w:szCs w:val="22"/>
          <w:lang w:val="en-GB"/>
        </w:rPr>
        <w:t>on the basis of</w:t>
      </w:r>
      <w:proofErr w:type="gramEnd"/>
      <w:r w:rsidR="00670BDF" w:rsidRPr="000F0222">
        <w:rPr>
          <w:sz w:val="22"/>
          <w:szCs w:val="22"/>
          <w:lang w:val="en-GB"/>
        </w:rPr>
        <w:t xml:space="preserve"> regular monitoring data</w:t>
      </w:r>
      <w:r w:rsidR="002D2908" w:rsidRPr="000F0222">
        <w:rPr>
          <w:sz w:val="22"/>
          <w:szCs w:val="22"/>
          <w:lang w:val="en-GB"/>
        </w:rPr>
        <w:t xml:space="preserve"> has been surpassed in the last </w:t>
      </w:r>
      <w:r w:rsidR="005B73EC" w:rsidRPr="000F0222">
        <w:rPr>
          <w:sz w:val="22"/>
          <w:szCs w:val="22"/>
          <w:lang w:val="en-GB"/>
        </w:rPr>
        <w:t xml:space="preserve">decade </w:t>
      </w:r>
      <w:r w:rsidR="002D2908" w:rsidRPr="000F0222">
        <w:rPr>
          <w:sz w:val="22"/>
          <w:szCs w:val="22"/>
          <w:lang w:val="en-GB"/>
        </w:rPr>
        <w:t>(</w:t>
      </w:r>
      <w:r w:rsidR="005B73EC" w:rsidRPr="000F0222">
        <w:rPr>
          <w:sz w:val="22"/>
          <w:szCs w:val="22"/>
          <w:lang w:val="en-GB"/>
        </w:rPr>
        <w:t>116</w:t>
      </w:r>
      <w:r w:rsidR="002D2908" w:rsidRPr="000F0222">
        <w:rPr>
          <w:sz w:val="22"/>
          <w:szCs w:val="22"/>
          <w:lang w:val="en-GB"/>
        </w:rPr>
        <w:t xml:space="preserve">% increase achieved against 50% target), </w:t>
      </w:r>
      <w:r w:rsidR="002D2908" w:rsidRPr="000F0222">
        <w:rPr>
          <w:sz w:val="22"/>
          <w:szCs w:val="22"/>
          <w:lang w:val="en-GB"/>
        </w:rPr>
        <w:lastRenderedPageBreak/>
        <w:t>which is a result of the stepped</w:t>
      </w:r>
      <w:r w:rsidR="00613A29">
        <w:rPr>
          <w:sz w:val="22"/>
          <w:szCs w:val="22"/>
          <w:lang w:val="en-GB"/>
        </w:rPr>
        <w:t>-</w:t>
      </w:r>
      <w:r w:rsidR="002D2908" w:rsidRPr="000F0222">
        <w:rPr>
          <w:sz w:val="22"/>
          <w:szCs w:val="22"/>
          <w:lang w:val="en-GB"/>
        </w:rPr>
        <w:t xml:space="preserve">up support for and development of the </w:t>
      </w:r>
      <w:proofErr w:type="spellStart"/>
      <w:r w:rsidR="002D2908" w:rsidRPr="000F0222">
        <w:rPr>
          <w:sz w:val="22"/>
          <w:szCs w:val="22"/>
          <w:lang w:val="en-GB"/>
        </w:rPr>
        <w:t>waterbird</w:t>
      </w:r>
      <w:proofErr w:type="spellEnd"/>
      <w:r w:rsidR="002D2908" w:rsidRPr="000F0222">
        <w:rPr>
          <w:sz w:val="22"/>
          <w:szCs w:val="22"/>
          <w:lang w:val="en-GB"/>
        </w:rPr>
        <w:t xml:space="preserve"> monitoring in the Agreement</w:t>
      </w:r>
      <w:r w:rsidR="00670BDF" w:rsidRPr="000F0222">
        <w:rPr>
          <w:sz w:val="22"/>
          <w:szCs w:val="22"/>
          <w:lang w:val="en-GB"/>
        </w:rPr>
        <w:t>.</w:t>
      </w:r>
      <w:r w:rsidR="008B237F" w:rsidRPr="000F0222">
        <w:rPr>
          <w:sz w:val="22"/>
          <w:szCs w:val="22"/>
          <w:lang w:val="en-GB"/>
        </w:rPr>
        <w:t xml:space="preserve"> </w:t>
      </w:r>
      <w:r w:rsidR="002D2908" w:rsidRPr="000F0222">
        <w:rPr>
          <w:sz w:val="22"/>
          <w:szCs w:val="22"/>
          <w:lang w:val="en-GB"/>
        </w:rPr>
        <w:t xml:space="preserve">Overall </w:t>
      </w:r>
      <w:r w:rsidR="002D2908" w:rsidRPr="000F0222">
        <w:rPr>
          <w:i/>
          <w:sz w:val="22"/>
          <w:szCs w:val="22"/>
          <w:lang w:val="en-GB"/>
        </w:rPr>
        <w:t xml:space="preserve">progress </w:t>
      </w:r>
      <w:r w:rsidR="002D2908" w:rsidRPr="000F0222">
        <w:rPr>
          <w:sz w:val="22"/>
          <w:szCs w:val="22"/>
          <w:lang w:val="en-GB"/>
        </w:rPr>
        <w:t xml:space="preserve">towards reaching Target 3.1 has </w:t>
      </w:r>
      <w:r w:rsidR="005B73EC" w:rsidRPr="000F0222">
        <w:rPr>
          <w:sz w:val="22"/>
          <w:szCs w:val="22"/>
          <w:lang w:val="en-GB"/>
        </w:rPr>
        <w:t xml:space="preserve">been improving throughout the decade and is now considered </w:t>
      </w:r>
      <w:r w:rsidR="005B73EC" w:rsidRPr="000F0222">
        <w:rPr>
          <w:i/>
          <w:sz w:val="22"/>
          <w:szCs w:val="22"/>
          <w:lang w:val="en-GB"/>
        </w:rPr>
        <w:t>significant</w:t>
      </w:r>
      <w:r w:rsidR="002D2908" w:rsidRPr="000F0222">
        <w:rPr>
          <w:sz w:val="22"/>
          <w:szCs w:val="22"/>
          <w:lang w:val="en-GB"/>
        </w:rPr>
        <w:t xml:space="preserve">. However, </w:t>
      </w:r>
      <w:proofErr w:type="gramStart"/>
      <w:r w:rsidR="005B73EC" w:rsidRPr="000F0222">
        <w:rPr>
          <w:sz w:val="22"/>
          <w:szCs w:val="22"/>
          <w:lang w:val="en-GB"/>
        </w:rPr>
        <w:t>in order to</w:t>
      </w:r>
      <w:proofErr w:type="gramEnd"/>
      <w:r w:rsidR="005B73EC" w:rsidRPr="000F0222">
        <w:rPr>
          <w:sz w:val="22"/>
          <w:szCs w:val="22"/>
          <w:lang w:val="en-GB"/>
        </w:rPr>
        <w:t xml:space="preserve"> maintain the achievements to date, the</w:t>
      </w:r>
      <w:r w:rsidR="00636FFF" w:rsidRPr="000F0222">
        <w:rPr>
          <w:sz w:val="22"/>
          <w:szCs w:val="22"/>
          <w:lang w:val="en-GB"/>
        </w:rPr>
        <w:t xml:space="preserve"> s</w:t>
      </w:r>
      <w:r w:rsidR="00BF60C0" w:rsidRPr="000F0222">
        <w:rPr>
          <w:sz w:val="22"/>
          <w:szCs w:val="22"/>
          <w:lang w:val="en-GB"/>
        </w:rPr>
        <w:t xml:space="preserve">trengthened strategic approach </w:t>
      </w:r>
      <w:r w:rsidR="002D2908" w:rsidRPr="000F0222">
        <w:rPr>
          <w:sz w:val="22"/>
          <w:szCs w:val="22"/>
          <w:lang w:val="en-GB"/>
        </w:rPr>
        <w:t xml:space="preserve">needs to be </w:t>
      </w:r>
      <w:r w:rsidR="00BF60C0" w:rsidRPr="000F0222">
        <w:rPr>
          <w:sz w:val="22"/>
          <w:szCs w:val="22"/>
          <w:lang w:val="en-GB"/>
        </w:rPr>
        <w:t>maint</w:t>
      </w:r>
      <w:r w:rsidR="002D2908" w:rsidRPr="000F0222">
        <w:rPr>
          <w:sz w:val="22"/>
          <w:szCs w:val="22"/>
          <w:lang w:val="en-GB"/>
        </w:rPr>
        <w:t>ai</w:t>
      </w:r>
      <w:r w:rsidR="00BF60C0" w:rsidRPr="000F0222">
        <w:rPr>
          <w:sz w:val="22"/>
          <w:szCs w:val="22"/>
          <w:lang w:val="en-GB"/>
        </w:rPr>
        <w:t>ne</w:t>
      </w:r>
      <w:r w:rsidR="002D2908" w:rsidRPr="000F0222">
        <w:rPr>
          <w:sz w:val="22"/>
          <w:szCs w:val="22"/>
          <w:lang w:val="en-GB"/>
        </w:rPr>
        <w:t>d</w:t>
      </w:r>
      <w:r w:rsidR="005B73EC" w:rsidRPr="000F0222">
        <w:rPr>
          <w:sz w:val="22"/>
          <w:szCs w:val="22"/>
          <w:lang w:val="en-GB"/>
        </w:rPr>
        <w:t xml:space="preserve"> and further elaborated</w:t>
      </w:r>
      <w:r w:rsidR="00BF60C0" w:rsidRPr="000F0222">
        <w:rPr>
          <w:sz w:val="22"/>
          <w:szCs w:val="22"/>
          <w:lang w:val="en-GB"/>
        </w:rPr>
        <w:t xml:space="preserve"> </w:t>
      </w:r>
      <w:r w:rsidR="002D2908" w:rsidRPr="000F0222">
        <w:rPr>
          <w:sz w:val="22"/>
          <w:szCs w:val="22"/>
          <w:lang w:val="en-GB"/>
        </w:rPr>
        <w:t xml:space="preserve">and </w:t>
      </w:r>
      <w:r w:rsidR="00210AE0" w:rsidRPr="000F0222">
        <w:rPr>
          <w:sz w:val="22"/>
          <w:szCs w:val="22"/>
          <w:lang w:val="en-GB"/>
        </w:rPr>
        <w:t xml:space="preserve">the </w:t>
      </w:r>
      <w:r w:rsidR="002D2908" w:rsidRPr="000F0222">
        <w:rPr>
          <w:sz w:val="22"/>
          <w:szCs w:val="22"/>
          <w:lang w:val="en-GB"/>
        </w:rPr>
        <w:t xml:space="preserve">sustainability </w:t>
      </w:r>
      <w:r w:rsidR="00210AE0" w:rsidRPr="000F0222">
        <w:rPr>
          <w:sz w:val="22"/>
          <w:szCs w:val="22"/>
          <w:lang w:val="en-GB"/>
        </w:rPr>
        <w:t xml:space="preserve">of the </w:t>
      </w:r>
      <w:r w:rsidR="00BF60C0" w:rsidRPr="000F0222">
        <w:rPr>
          <w:sz w:val="22"/>
          <w:szCs w:val="22"/>
          <w:lang w:val="en-GB"/>
        </w:rPr>
        <w:t xml:space="preserve">IWC </w:t>
      </w:r>
      <w:r w:rsidR="00210AE0" w:rsidRPr="000F0222">
        <w:rPr>
          <w:sz w:val="22"/>
          <w:szCs w:val="22"/>
          <w:lang w:val="en-GB"/>
        </w:rPr>
        <w:t>still needs to be ensured</w:t>
      </w:r>
      <w:r w:rsidR="00BF60C0" w:rsidRPr="000F0222">
        <w:rPr>
          <w:sz w:val="22"/>
          <w:szCs w:val="22"/>
          <w:lang w:val="en-GB"/>
        </w:rPr>
        <w:t>.</w:t>
      </w:r>
    </w:p>
    <w:p w14:paraId="1B76B93F" w14:textId="77777777" w:rsidR="00BF60C0" w:rsidRPr="000F0222" w:rsidRDefault="00BF60C0" w:rsidP="00C64776">
      <w:pPr>
        <w:spacing w:line="276" w:lineRule="auto"/>
        <w:jc w:val="both"/>
        <w:rPr>
          <w:sz w:val="22"/>
          <w:szCs w:val="22"/>
          <w:lang w:val="en-GB"/>
        </w:rPr>
      </w:pPr>
    </w:p>
    <w:p w14:paraId="34AD6A99" w14:textId="582733A2" w:rsidR="00BF60C0" w:rsidRPr="000F0222" w:rsidRDefault="00613A29" w:rsidP="00C64776">
      <w:pPr>
        <w:spacing w:line="276" w:lineRule="auto"/>
        <w:jc w:val="both"/>
        <w:rPr>
          <w:sz w:val="22"/>
          <w:szCs w:val="22"/>
          <w:lang w:val="en-GB"/>
        </w:rPr>
      </w:pPr>
      <w:r>
        <w:rPr>
          <w:sz w:val="22"/>
          <w:szCs w:val="22"/>
          <w:lang w:val="en-GB"/>
        </w:rPr>
        <w:t xml:space="preserve">A total of </w:t>
      </w:r>
      <w:r w:rsidR="002635C4" w:rsidRPr="000F0222">
        <w:rPr>
          <w:sz w:val="22"/>
          <w:szCs w:val="22"/>
          <w:lang w:val="en-GB"/>
        </w:rPr>
        <w:t>5</w:t>
      </w:r>
      <w:r w:rsidR="00631943" w:rsidRPr="000F0222">
        <w:rPr>
          <w:sz w:val="22"/>
          <w:szCs w:val="22"/>
          <w:lang w:val="en-GB"/>
        </w:rPr>
        <w:t>5</w:t>
      </w:r>
      <w:r w:rsidR="002635C4" w:rsidRPr="000F0222">
        <w:rPr>
          <w:sz w:val="22"/>
          <w:szCs w:val="22"/>
          <w:lang w:val="en-GB"/>
        </w:rPr>
        <w:t>% of Contracting Parties provided lists of research activities and results</w:t>
      </w:r>
      <w:r w:rsidR="00636FFF" w:rsidRPr="000F0222">
        <w:rPr>
          <w:sz w:val="22"/>
          <w:szCs w:val="22"/>
          <w:lang w:val="en-GB"/>
        </w:rPr>
        <w:t xml:space="preserve"> in their national reports</w:t>
      </w:r>
      <w:r w:rsidR="002635C4" w:rsidRPr="000F0222">
        <w:rPr>
          <w:sz w:val="22"/>
          <w:szCs w:val="22"/>
          <w:lang w:val="en-GB"/>
        </w:rPr>
        <w:t>, which is</w:t>
      </w:r>
      <w:r w:rsidR="00631943" w:rsidRPr="000F0222">
        <w:rPr>
          <w:sz w:val="22"/>
          <w:szCs w:val="22"/>
          <w:lang w:val="en-GB"/>
        </w:rPr>
        <w:t xml:space="preserve"> just above</w:t>
      </w:r>
      <w:r w:rsidR="002635C4" w:rsidRPr="000F0222">
        <w:rPr>
          <w:sz w:val="22"/>
          <w:szCs w:val="22"/>
          <w:lang w:val="en-GB"/>
        </w:rPr>
        <w:t xml:space="preserve"> half way towards reaching Target 3.5. However, accessibility </w:t>
      </w:r>
      <w:proofErr w:type="gramStart"/>
      <w:r w:rsidR="002635C4" w:rsidRPr="000F0222">
        <w:rPr>
          <w:sz w:val="22"/>
          <w:szCs w:val="22"/>
          <w:lang w:val="en-GB"/>
        </w:rPr>
        <w:t>has to</w:t>
      </w:r>
      <w:proofErr w:type="gramEnd"/>
      <w:r w:rsidR="002635C4" w:rsidRPr="000F0222">
        <w:rPr>
          <w:sz w:val="22"/>
          <w:szCs w:val="22"/>
          <w:lang w:val="en-GB"/>
        </w:rPr>
        <w:t xml:space="preserve"> be provided through the development of an analytical tool to the Online Reporting System used for national reporting.</w:t>
      </w:r>
    </w:p>
    <w:p w14:paraId="7BDF38B5" w14:textId="77777777" w:rsidR="00670BDF" w:rsidRPr="000F0222" w:rsidRDefault="00670BDF" w:rsidP="00C64776">
      <w:pPr>
        <w:spacing w:line="276" w:lineRule="auto"/>
        <w:jc w:val="both"/>
        <w:rPr>
          <w:sz w:val="22"/>
          <w:szCs w:val="22"/>
          <w:lang w:val="en-GB"/>
        </w:rPr>
      </w:pPr>
    </w:p>
    <w:p w14:paraId="3D8F82BF" w14:textId="59C15393" w:rsidR="00903824" w:rsidRPr="000F0222" w:rsidRDefault="00903824" w:rsidP="00C64776">
      <w:pPr>
        <w:spacing w:line="276" w:lineRule="auto"/>
        <w:jc w:val="both"/>
        <w:rPr>
          <w:sz w:val="22"/>
          <w:szCs w:val="22"/>
          <w:lang w:val="en-GB"/>
        </w:rPr>
      </w:pPr>
      <w:r w:rsidRPr="000F0222">
        <w:rPr>
          <w:sz w:val="22"/>
          <w:szCs w:val="22"/>
          <w:lang w:val="en-GB"/>
        </w:rPr>
        <w:t xml:space="preserve">Further criteria </w:t>
      </w:r>
      <w:r w:rsidR="00631943" w:rsidRPr="000F0222">
        <w:rPr>
          <w:sz w:val="22"/>
          <w:szCs w:val="22"/>
          <w:lang w:val="en-GB"/>
        </w:rPr>
        <w:t xml:space="preserve">would have been </w:t>
      </w:r>
      <w:r w:rsidRPr="000F0222">
        <w:rPr>
          <w:sz w:val="22"/>
          <w:szCs w:val="22"/>
          <w:lang w:val="en-GB"/>
        </w:rPr>
        <w:t>need</w:t>
      </w:r>
      <w:r w:rsidR="00631943" w:rsidRPr="000F0222">
        <w:rPr>
          <w:sz w:val="22"/>
          <w:szCs w:val="22"/>
          <w:lang w:val="en-GB"/>
        </w:rPr>
        <w:t>ed</w:t>
      </w:r>
      <w:r w:rsidRPr="000F0222">
        <w:rPr>
          <w:sz w:val="22"/>
          <w:szCs w:val="22"/>
          <w:lang w:val="en-GB"/>
        </w:rPr>
        <w:t xml:space="preserve"> to be defined for assessing progress towards Target 3.3 on the establishment of new AEWA-linked research programmes and assessment</w:t>
      </w:r>
      <w:r w:rsidR="00631943" w:rsidRPr="000F0222">
        <w:rPr>
          <w:sz w:val="22"/>
          <w:szCs w:val="22"/>
          <w:lang w:val="en-GB"/>
        </w:rPr>
        <w:t>.</w:t>
      </w:r>
      <w:r w:rsidRPr="000F0222">
        <w:rPr>
          <w:sz w:val="22"/>
          <w:szCs w:val="22"/>
          <w:lang w:val="en-GB"/>
        </w:rPr>
        <w:t xml:space="preserve"> </w:t>
      </w:r>
      <w:r w:rsidR="00631943" w:rsidRPr="000F0222">
        <w:rPr>
          <w:sz w:val="22"/>
          <w:szCs w:val="22"/>
          <w:lang w:val="en-GB"/>
        </w:rPr>
        <w:t xml:space="preserve">Assessment of </w:t>
      </w:r>
      <w:r w:rsidRPr="000F0222">
        <w:rPr>
          <w:sz w:val="22"/>
          <w:szCs w:val="22"/>
          <w:lang w:val="en-GB"/>
        </w:rPr>
        <w:t xml:space="preserve">Target 3.4 </w:t>
      </w:r>
      <w:r w:rsidR="00631943" w:rsidRPr="000F0222">
        <w:rPr>
          <w:sz w:val="22"/>
          <w:szCs w:val="22"/>
          <w:lang w:val="en-GB"/>
        </w:rPr>
        <w:t xml:space="preserve">required a stand-alone process of </w:t>
      </w:r>
      <w:r w:rsidR="000F0222" w:rsidRPr="000F0222">
        <w:rPr>
          <w:sz w:val="22"/>
          <w:szCs w:val="22"/>
          <w:lang w:val="en-GB"/>
        </w:rPr>
        <w:t>analysing</w:t>
      </w:r>
      <w:r w:rsidR="00631943" w:rsidRPr="000F0222">
        <w:rPr>
          <w:sz w:val="22"/>
          <w:szCs w:val="22"/>
          <w:lang w:val="en-GB"/>
        </w:rPr>
        <w:t xml:space="preserve"> the database of </w:t>
      </w:r>
      <w:hyperlink r:id="rId25" w:history="1">
        <w:r w:rsidRPr="000F0222">
          <w:rPr>
            <w:rStyle w:val="Hyperlink"/>
            <w:sz w:val="22"/>
            <w:szCs w:val="22"/>
            <w:lang w:val="en-GB"/>
          </w:rPr>
          <w:t>www.conservationevidence.com</w:t>
        </w:r>
      </w:hyperlink>
      <w:r w:rsidR="00631943" w:rsidRPr="000F0222">
        <w:rPr>
          <w:sz w:val="22"/>
          <w:szCs w:val="22"/>
          <w:lang w:val="en-GB"/>
        </w:rPr>
        <w:t>, which could not be undertaken</w:t>
      </w:r>
      <w:r w:rsidR="00187B27">
        <w:rPr>
          <w:sz w:val="22"/>
          <w:szCs w:val="22"/>
          <w:lang w:val="en-GB"/>
        </w:rPr>
        <w:t>.</w:t>
      </w:r>
      <w:r w:rsidRPr="000F0222">
        <w:rPr>
          <w:sz w:val="22"/>
          <w:szCs w:val="22"/>
          <w:lang w:val="en-GB"/>
        </w:rPr>
        <w:t xml:space="preserve"> </w:t>
      </w:r>
      <w:proofErr w:type="gramStart"/>
      <w:r w:rsidR="00D236EB" w:rsidRPr="000F0222">
        <w:rPr>
          <w:sz w:val="22"/>
          <w:szCs w:val="22"/>
          <w:lang w:val="en-GB"/>
        </w:rPr>
        <w:t>Both of these</w:t>
      </w:r>
      <w:proofErr w:type="gramEnd"/>
      <w:r w:rsidR="00D236EB" w:rsidRPr="000F0222">
        <w:rPr>
          <w:sz w:val="22"/>
          <w:szCs w:val="22"/>
          <w:lang w:val="en-GB"/>
        </w:rPr>
        <w:t xml:space="preserve"> targets have not been assessed.</w:t>
      </w:r>
    </w:p>
    <w:p w14:paraId="4597B121" w14:textId="77777777" w:rsidR="00670BDF" w:rsidRPr="000F0222" w:rsidRDefault="00670BDF" w:rsidP="00C64776">
      <w:pPr>
        <w:spacing w:line="276" w:lineRule="auto"/>
        <w:jc w:val="both"/>
        <w:rPr>
          <w:sz w:val="22"/>
          <w:szCs w:val="22"/>
          <w:lang w:val="en-GB"/>
        </w:rPr>
      </w:pPr>
    </w:p>
    <w:p w14:paraId="22BA131D" w14:textId="77777777" w:rsidR="00420FD3" w:rsidRPr="000F0222" w:rsidRDefault="00420FD3" w:rsidP="00B527F9">
      <w:pPr>
        <w:jc w:val="both"/>
        <w:rPr>
          <w:sz w:val="22"/>
          <w:szCs w:val="22"/>
          <w:lang w:val="en-GB"/>
        </w:rPr>
      </w:pPr>
    </w:p>
    <w:p w14:paraId="43D48279" w14:textId="2C5F1BD2" w:rsidR="00420FD3" w:rsidRPr="004779F8" w:rsidRDefault="00F76C35" w:rsidP="00E568EA">
      <w:pPr>
        <w:shd w:val="clear" w:color="auto" w:fill="DBE5F1" w:themeFill="accent1" w:themeFillTint="33"/>
        <w:jc w:val="both"/>
        <w:rPr>
          <w:b/>
          <w:lang w:val="en-GB"/>
        </w:rPr>
      </w:pPr>
      <w:r w:rsidRPr="004779F8">
        <w:rPr>
          <w:b/>
          <w:lang w:val="en-GB"/>
        </w:rPr>
        <w:t>Level of</w:t>
      </w:r>
      <w:r w:rsidR="00420FD3" w:rsidRPr="004779F8">
        <w:rPr>
          <w:b/>
          <w:lang w:val="en-GB"/>
        </w:rPr>
        <w:t xml:space="preserve"> achieving Objective 4</w:t>
      </w:r>
    </w:p>
    <w:p w14:paraId="4A9E460E" w14:textId="77777777" w:rsidR="00420FD3" w:rsidRPr="000F0222" w:rsidRDefault="00420FD3" w:rsidP="00420FD3">
      <w:pPr>
        <w:jc w:val="both"/>
        <w:rPr>
          <w:sz w:val="22"/>
          <w:szCs w:val="22"/>
          <w:lang w:val="en-GB"/>
        </w:rPr>
      </w:pPr>
    </w:p>
    <w:p w14:paraId="34F268B8" w14:textId="50ED3DEF" w:rsidR="00420FD3" w:rsidRPr="004779F8" w:rsidRDefault="00420FD3" w:rsidP="00C64776">
      <w:pPr>
        <w:spacing w:line="276" w:lineRule="auto"/>
        <w:jc w:val="both"/>
        <w:rPr>
          <w:sz w:val="22"/>
          <w:szCs w:val="22"/>
          <w:lang w:val="en-GB"/>
        </w:rPr>
      </w:pPr>
      <w:r w:rsidRPr="004779F8">
        <w:rPr>
          <w:sz w:val="22"/>
          <w:szCs w:val="22"/>
          <w:lang w:val="en-GB"/>
        </w:rPr>
        <w:t xml:space="preserve">Objective </w:t>
      </w:r>
      <w:r w:rsidR="00210AE0" w:rsidRPr="004779F8">
        <w:rPr>
          <w:sz w:val="22"/>
          <w:szCs w:val="22"/>
          <w:lang w:val="en-GB"/>
        </w:rPr>
        <w:t>4</w:t>
      </w:r>
      <w:r w:rsidRPr="00146E73">
        <w:rPr>
          <w:sz w:val="22"/>
          <w:szCs w:val="22"/>
          <w:lang w:val="en-GB"/>
        </w:rPr>
        <w:t xml:space="preserve"> aim</w:t>
      </w:r>
      <w:r w:rsidR="00CD6C5F" w:rsidRPr="00146E73">
        <w:rPr>
          <w:sz w:val="22"/>
          <w:szCs w:val="22"/>
          <w:lang w:val="en-GB"/>
        </w:rPr>
        <w:t>s</w:t>
      </w:r>
      <w:r w:rsidRPr="00852FFD">
        <w:rPr>
          <w:sz w:val="22"/>
          <w:szCs w:val="22"/>
          <w:lang w:val="en-GB"/>
        </w:rPr>
        <w:t xml:space="preserve"> </w:t>
      </w:r>
      <w:r w:rsidR="00CD6C5F" w:rsidRPr="00613A29">
        <w:rPr>
          <w:b/>
          <w:sz w:val="22"/>
          <w:szCs w:val="22"/>
          <w:lang w:val="en-GB"/>
        </w:rPr>
        <w:t xml:space="preserve">to improve Communication, Education and Public Awareness (CEPA) about migratory </w:t>
      </w:r>
      <w:proofErr w:type="spellStart"/>
      <w:r w:rsidR="00CD6C5F" w:rsidRPr="00613A29">
        <w:rPr>
          <w:b/>
          <w:sz w:val="22"/>
          <w:szCs w:val="22"/>
          <w:lang w:val="en-GB"/>
        </w:rPr>
        <w:t>waterbird</w:t>
      </w:r>
      <w:proofErr w:type="spellEnd"/>
      <w:r w:rsidR="00CD6C5F" w:rsidRPr="00613A29">
        <w:rPr>
          <w:b/>
          <w:sz w:val="22"/>
          <w:szCs w:val="22"/>
          <w:lang w:val="en-GB"/>
        </w:rPr>
        <w:t xml:space="preserve"> species,</w:t>
      </w:r>
      <w:r w:rsidR="00CD6C5F" w:rsidRPr="00852729">
        <w:rPr>
          <w:b/>
          <w:sz w:val="22"/>
          <w:szCs w:val="22"/>
          <w:lang w:val="en-GB"/>
        </w:rPr>
        <w:t xml:space="preserve"> their flyways, </w:t>
      </w:r>
      <w:r w:rsidR="00CD6C5F" w:rsidRPr="001D2AAF">
        <w:rPr>
          <w:b/>
          <w:iCs/>
          <w:sz w:val="22"/>
          <w:szCs w:val="22"/>
          <w:lang w:val="en-GB"/>
        </w:rPr>
        <w:t>their role in alleviating poverty,</w:t>
      </w:r>
      <w:r w:rsidR="00CD6C5F" w:rsidRPr="004779F8">
        <w:rPr>
          <w:b/>
          <w:sz w:val="22"/>
          <w:szCs w:val="22"/>
          <w:lang w:val="en-GB"/>
        </w:rPr>
        <w:t xml:space="preserve"> threats to them and the measures needed to conserve them and their habitats</w:t>
      </w:r>
      <w:r w:rsidRPr="004779F8">
        <w:rPr>
          <w:sz w:val="22"/>
          <w:szCs w:val="22"/>
          <w:lang w:val="en-GB"/>
        </w:rPr>
        <w:t>.</w:t>
      </w:r>
      <w:r w:rsidRPr="004779F8">
        <w:rPr>
          <w:iCs/>
          <w:sz w:val="22"/>
          <w:szCs w:val="22"/>
          <w:lang w:val="en-GB"/>
        </w:rPr>
        <w:t xml:space="preserve"> </w:t>
      </w:r>
      <w:r w:rsidR="00576607" w:rsidRPr="004779F8">
        <w:rPr>
          <w:iCs/>
          <w:sz w:val="22"/>
          <w:szCs w:val="22"/>
          <w:lang w:val="en-GB"/>
        </w:rPr>
        <w:t xml:space="preserve">This objective is to be achieved through three </w:t>
      </w:r>
      <w:r w:rsidRPr="004779F8">
        <w:rPr>
          <w:sz w:val="22"/>
          <w:szCs w:val="22"/>
          <w:lang w:val="en-GB"/>
        </w:rPr>
        <w:t xml:space="preserve">targets. </w:t>
      </w:r>
      <w:r w:rsidR="00CA4D80" w:rsidRPr="004779F8">
        <w:rPr>
          <w:sz w:val="22"/>
          <w:szCs w:val="22"/>
          <w:lang w:val="en-GB"/>
        </w:rPr>
        <w:t xml:space="preserve">The progress towards these three targets remained constant throughout the period of the Strategic Plan with one </w:t>
      </w:r>
      <w:r w:rsidR="00CA4D80" w:rsidRPr="000F0222">
        <w:rPr>
          <w:i/>
          <w:sz w:val="22"/>
          <w:szCs w:val="22"/>
          <w:lang w:val="en-GB"/>
        </w:rPr>
        <w:t>reached</w:t>
      </w:r>
      <w:r w:rsidR="00CA4D80" w:rsidRPr="004779F8">
        <w:rPr>
          <w:sz w:val="22"/>
          <w:szCs w:val="22"/>
          <w:lang w:val="en-GB"/>
        </w:rPr>
        <w:t xml:space="preserve"> and</w:t>
      </w:r>
      <w:r w:rsidR="00576607" w:rsidRPr="004779F8">
        <w:rPr>
          <w:sz w:val="22"/>
          <w:szCs w:val="22"/>
          <w:lang w:val="en-GB"/>
        </w:rPr>
        <w:t xml:space="preserve"> two hav</w:t>
      </w:r>
      <w:r w:rsidR="00CA4D80" w:rsidRPr="004779F8">
        <w:rPr>
          <w:sz w:val="22"/>
          <w:szCs w:val="22"/>
          <w:lang w:val="en-GB"/>
        </w:rPr>
        <w:t>ing</w:t>
      </w:r>
      <w:r w:rsidR="00576607" w:rsidRPr="004779F8">
        <w:rPr>
          <w:sz w:val="22"/>
          <w:szCs w:val="22"/>
          <w:lang w:val="en-GB"/>
        </w:rPr>
        <w:t xml:space="preserve"> </w:t>
      </w:r>
      <w:r w:rsidR="00D236EB" w:rsidRPr="004779F8">
        <w:rPr>
          <w:sz w:val="22"/>
          <w:szCs w:val="22"/>
          <w:lang w:val="en-GB"/>
        </w:rPr>
        <w:t xml:space="preserve">registered </w:t>
      </w:r>
      <w:r w:rsidR="00392815" w:rsidRPr="004779F8">
        <w:rPr>
          <w:sz w:val="22"/>
          <w:szCs w:val="22"/>
          <w:lang w:val="en-GB"/>
        </w:rPr>
        <w:t>only</w:t>
      </w:r>
      <w:r w:rsidR="00576607" w:rsidRPr="004779F8">
        <w:rPr>
          <w:sz w:val="22"/>
          <w:szCs w:val="22"/>
          <w:lang w:val="en-GB"/>
        </w:rPr>
        <w:t xml:space="preserve"> </w:t>
      </w:r>
      <w:r w:rsidR="00576607" w:rsidRPr="000F0222">
        <w:rPr>
          <w:i/>
          <w:sz w:val="22"/>
          <w:szCs w:val="22"/>
          <w:lang w:val="en-GB"/>
        </w:rPr>
        <w:t>limited progress</w:t>
      </w:r>
      <w:r w:rsidR="00576607" w:rsidRPr="004779F8">
        <w:rPr>
          <w:sz w:val="22"/>
          <w:szCs w:val="22"/>
          <w:lang w:val="en-GB"/>
        </w:rPr>
        <w:t xml:space="preserve"> </w:t>
      </w:r>
      <w:r w:rsidRPr="004779F8">
        <w:rPr>
          <w:sz w:val="22"/>
          <w:szCs w:val="22"/>
          <w:lang w:val="en-GB"/>
        </w:rPr>
        <w:t xml:space="preserve">(see </w:t>
      </w:r>
      <w:r w:rsidRPr="004779F8">
        <w:rPr>
          <w:i/>
          <w:sz w:val="22"/>
          <w:szCs w:val="22"/>
          <w:lang w:val="en-GB"/>
        </w:rPr>
        <w:t xml:space="preserve">Table </w:t>
      </w:r>
      <w:r w:rsidR="00C15858" w:rsidRPr="004779F8">
        <w:rPr>
          <w:i/>
          <w:sz w:val="22"/>
          <w:szCs w:val="22"/>
          <w:lang w:val="en-GB"/>
        </w:rPr>
        <w:t>7</w:t>
      </w:r>
      <w:r w:rsidRPr="004779F8">
        <w:rPr>
          <w:sz w:val="22"/>
          <w:szCs w:val="22"/>
          <w:lang w:val="en-GB"/>
        </w:rPr>
        <w:t>).</w:t>
      </w:r>
    </w:p>
    <w:p w14:paraId="52A82852" w14:textId="77777777" w:rsidR="00420FD3" w:rsidRPr="000F0222" w:rsidRDefault="00420FD3" w:rsidP="00C64776">
      <w:pPr>
        <w:spacing w:line="276" w:lineRule="auto"/>
        <w:jc w:val="both"/>
        <w:rPr>
          <w:sz w:val="22"/>
          <w:szCs w:val="22"/>
          <w:lang w:val="en-GB"/>
        </w:rPr>
      </w:pPr>
    </w:p>
    <w:p w14:paraId="181FA496" w14:textId="72F4B151" w:rsidR="00576607" w:rsidRPr="000F0222" w:rsidRDefault="000118DD" w:rsidP="00C64776">
      <w:pPr>
        <w:spacing w:line="276" w:lineRule="auto"/>
        <w:jc w:val="both"/>
        <w:rPr>
          <w:sz w:val="22"/>
          <w:szCs w:val="22"/>
          <w:lang w:val="en-GB"/>
        </w:rPr>
      </w:pPr>
      <w:r w:rsidRPr="000F0222">
        <w:rPr>
          <w:sz w:val="22"/>
          <w:szCs w:val="22"/>
          <w:lang w:val="en-GB"/>
        </w:rPr>
        <w:t xml:space="preserve">With </w:t>
      </w:r>
      <w:r w:rsidR="00CA4D80" w:rsidRPr="000F0222">
        <w:rPr>
          <w:sz w:val="22"/>
          <w:szCs w:val="22"/>
          <w:lang w:val="en-GB"/>
        </w:rPr>
        <w:t>32</w:t>
      </w:r>
      <w:r w:rsidRPr="000F0222">
        <w:rPr>
          <w:sz w:val="22"/>
          <w:szCs w:val="22"/>
          <w:lang w:val="en-GB"/>
        </w:rPr>
        <w:t>% of the Contracting Parties reporting that they have</w:t>
      </w:r>
      <w:r w:rsidR="00636FFF" w:rsidRPr="000F0222">
        <w:rPr>
          <w:sz w:val="22"/>
          <w:szCs w:val="22"/>
          <w:lang w:val="en-GB"/>
        </w:rPr>
        <w:t xml:space="preserve"> established</w:t>
      </w:r>
      <w:r w:rsidRPr="000F0222">
        <w:rPr>
          <w:sz w:val="22"/>
          <w:szCs w:val="22"/>
          <w:lang w:val="en-GB"/>
        </w:rPr>
        <w:t xml:space="preserve"> and are implementing programmes for awareness raising on </w:t>
      </w:r>
      <w:proofErr w:type="spellStart"/>
      <w:r w:rsidRPr="000F0222">
        <w:rPr>
          <w:sz w:val="22"/>
          <w:szCs w:val="22"/>
          <w:lang w:val="en-GB"/>
        </w:rPr>
        <w:t>waterbird</w:t>
      </w:r>
      <w:proofErr w:type="spellEnd"/>
      <w:r w:rsidRPr="000F0222">
        <w:rPr>
          <w:sz w:val="22"/>
          <w:szCs w:val="22"/>
          <w:lang w:val="en-GB"/>
        </w:rPr>
        <w:t xml:space="preserve"> conservation and AEWA</w:t>
      </w:r>
      <w:r w:rsidR="00636FFF" w:rsidRPr="000F0222">
        <w:rPr>
          <w:sz w:val="22"/>
          <w:szCs w:val="22"/>
          <w:lang w:val="en-GB"/>
        </w:rPr>
        <w:t>,</w:t>
      </w:r>
      <w:r w:rsidRPr="000F0222">
        <w:rPr>
          <w:sz w:val="22"/>
          <w:szCs w:val="22"/>
          <w:lang w:val="en-GB"/>
        </w:rPr>
        <w:t xml:space="preserve"> the threshold of the indicator (25%) </w:t>
      </w:r>
      <w:r w:rsidR="00A2446C" w:rsidRPr="000F0222">
        <w:rPr>
          <w:sz w:val="22"/>
          <w:szCs w:val="22"/>
          <w:lang w:val="en-GB"/>
        </w:rPr>
        <w:t xml:space="preserve">of Target 4.3 </w:t>
      </w:r>
      <w:r w:rsidRPr="000F0222">
        <w:rPr>
          <w:sz w:val="22"/>
          <w:szCs w:val="22"/>
          <w:lang w:val="en-GB"/>
        </w:rPr>
        <w:t xml:space="preserve">has been surpassed. </w:t>
      </w:r>
      <w:r w:rsidR="00413B0D" w:rsidRPr="000F0222">
        <w:rPr>
          <w:sz w:val="22"/>
          <w:szCs w:val="22"/>
          <w:lang w:val="en-GB"/>
        </w:rPr>
        <w:t xml:space="preserve">A </w:t>
      </w:r>
      <w:r w:rsidRPr="000F0222">
        <w:rPr>
          <w:sz w:val="22"/>
          <w:szCs w:val="22"/>
          <w:lang w:val="en-GB"/>
        </w:rPr>
        <w:t xml:space="preserve">more comprehensive analysis should be </w:t>
      </w:r>
      <w:r w:rsidR="00413B0D" w:rsidRPr="000F0222">
        <w:rPr>
          <w:sz w:val="22"/>
          <w:szCs w:val="22"/>
          <w:lang w:val="en-GB"/>
        </w:rPr>
        <w:t xml:space="preserve">undertaken </w:t>
      </w:r>
      <w:r w:rsidRPr="000F0222">
        <w:rPr>
          <w:sz w:val="22"/>
          <w:szCs w:val="22"/>
          <w:lang w:val="en-GB"/>
        </w:rPr>
        <w:t>to assess the level and type of CEPA activities of the Parties.</w:t>
      </w:r>
      <w:r w:rsidR="004E1E13" w:rsidRPr="000F0222">
        <w:rPr>
          <w:sz w:val="22"/>
          <w:szCs w:val="22"/>
          <w:lang w:val="en-GB"/>
        </w:rPr>
        <w:t xml:space="preserve"> There ha</w:t>
      </w:r>
      <w:r w:rsidR="00613A29">
        <w:rPr>
          <w:sz w:val="22"/>
          <w:szCs w:val="22"/>
          <w:lang w:val="en-GB"/>
        </w:rPr>
        <w:t>s</w:t>
      </w:r>
      <w:r w:rsidR="004E1E13" w:rsidRPr="000F0222">
        <w:rPr>
          <w:sz w:val="22"/>
          <w:szCs w:val="22"/>
          <w:lang w:val="en-GB"/>
        </w:rPr>
        <w:t xml:space="preserve"> been a downward trend in the parameters of the indicator against the target compared to the f</w:t>
      </w:r>
      <w:r w:rsidR="00613A29">
        <w:rPr>
          <w:sz w:val="22"/>
          <w:szCs w:val="22"/>
          <w:lang w:val="en-GB"/>
        </w:rPr>
        <w:t>i</w:t>
      </w:r>
      <w:r w:rsidR="004E1E13" w:rsidRPr="000F0222">
        <w:rPr>
          <w:sz w:val="22"/>
          <w:szCs w:val="22"/>
          <w:lang w:val="en-GB"/>
        </w:rPr>
        <w:t xml:space="preserve">rst assessment in 2012. </w:t>
      </w:r>
    </w:p>
    <w:p w14:paraId="10F9DD52" w14:textId="77777777" w:rsidR="000118DD" w:rsidRPr="000F0222" w:rsidRDefault="000118DD" w:rsidP="00C64776">
      <w:pPr>
        <w:spacing w:line="276" w:lineRule="auto"/>
        <w:jc w:val="both"/>
        <w:rPr>
          <w:sz w:val="22"/>
          <w:szCs w:val="22"/>
          <w:lang w:val="en-GB"/>
        </w:rPr>
      </w:pPr>
    </w:p>
    <w:p w14:paraId="5CAC498F" w14:textId="38B4451F" w:rsidR="000118DD" w:rsidRPr="000F0222" w:rsidRDefault="00A2446C" w:rsidP="00C64776">
      <w:pPr>
        <w:spacing w:line="276" w:lineRule="auto"/>
        <w:jc w:val="both"/>
        <w:rPr>
          <w:sz w:val="22"/>
          <w:szCs w:val="22"/>
          <w:lang w:val="en-GB"/>
        </w:rPr>
      </w:pPr>
      <w:r w:rsidRPr="000F0222">
        <w:rPr>
          <w:sz w:val="22"/>
          <w:szCs w:val="22"/>
          <w:lang w:val="en-GB"/>
        </w:rPr>
        <w:t>With only 1</w:t>
      </w:r>
      <w:r w:rsidR="00CA4D80" w:rsidRPr="000F0222">
        <w:rPr>
          <w:sz w:val="22"/>
          <w:szCs w:val="22"/>
          <w:lang w:val="en-GB"/>
        </w:rPr>
        <w:t>2</w:t>
      </w:r>
      <w:r w:rsidRPr="000F0222">
        <w:rPr>
          <w:sz w:val="22"/>
          <w:szCs w:val="22"/>
          <w:lang w:val="en-GB"/>
        </w:rPr>
        <w:t xml:space="preserve">% of the </w:t>
      </w:r>
      <w:r w:rsidR="00902CAE" w:rsidRPr="000F0222">
        <w:rPr>
          <w:sz w:val="22"/>
          <w:szCs w:val="22"/>
          <w:lang w:val="en-GB"/>
        </w:rPr>
        <w:t xml:space="preserve">Contracting Parties reporting funding and other support provided for the implementation of the Communication Strategy and with no specific assessment of the progress towards the achievement of this target made at Secretariat level, further considering that progress towards most of the other communication-related indicators has been limited and that in those cases funding has been restricted or not available, the category of </w:t>
      </w:r>
      <w:r w:rsidR="00902CAE" w:rsidRPr="000F0222">
        <w:rPr>
          <w:i/>
          <w:sz w:val="22"/>
          <w:szCs w:val="22"/>
          <w:lang w:val="en-GB"/>
        </w:rPr>
        <w:t>progress</w:t>
      </w:r>
      <w:r w:rsidR="00902CAE" w:rsidRPr="000F0222">
        <w:rPr>
          <w:sz w:val="22"/>
          <w:szCs w:val="22"/>
          <w:lang w:val="en-GB"/>
        </w:rPr>
        <w:t xml:space="preserve"> towards Target 4.1 has been </w:t>
      </w:r>
      <w:r w:rsidR="00CA4D80" w:rsidRPr="000F0222">
        <w:rPr>
          <w:sz w:val="22"/>
          <w:szCs w:val="22"/>
          <w:lang w:val="en-GB"/>
        </w:rPr>
        <w:t>as assessed as</w:t>
      </w:r>
      <w:r w:rsidR="00902CAE" w:rsidRPr="000F0222">
        <w:rPr>
          <w:sz w:val="22"/>
          <w:szCs w:val="22"/>
          <w:lang w:val="en-GB"/>
        </w:rPr>
        <w:t xml:space="preserve"> </w:t>
      </w:r>
      <w:r w:rsidR="00902CAE" w:rsidRPr="000F0222">
        <w:rPr>
          <w:i/>
          <w:sz w:val="22"/>
          <w:szCs w:val="22"/>
          <w:lang w:val="en-GB"/>
        </w:rPr>
        <w:t>limited</w:t>
      </w:r>
      <w:r w:rsidR="00902CAE" w:rsidRPr="000F0222">
        <w:rPr>
          <w:sz w:val="22"/>
          <w:szCs w:val="22"/>
          <w:lang w:val="en-GB"/>
        </w:rPr>
        <w:t xml:space="preserve">. </w:t>
      </w:r>
      <w:r w:rsidR="00902CAE" w:rsidRPr="000F0222" w:rsidDel="00902CAE">
        <w:rPr>
          <w:sz w:val="22"/>
          <w:szCs w:val="22"/>
          <w:lang w:val="en-GB"/>
        </w:rPr>
        <w:t xml:space="preserve"> </w:t>
      </w:r>
      <w:r w:rsidR="00484914" w:rsidRPr="000F0222">
        <w:rPr>
          <w:sz w:val="22"/>
          <w:szCs w:val="22"/>
          <w:lang w:val="en-GB"/>
        </w:rPr>
        <w:t xml:space="preserve"> </w:t>
      </w:r>
    </w:p>
    <w:p w14:paraId="588EEAAF" w14:textId="77777777" w:rsidR="00A27B4A" w:rsidRPr="000F0222" w:rsidRDefault="00A27B4A" w:rsidP="00C64776">
      <w:pPr>
        <w:spacing w:line="276" w:lineRule="auto"/>
        <w:jc w:val="both"/>
        <w:rPr>
          <w:sz w:val="22"/>
          <w:szCs w:val="22"/>
          <w:lang w:val="en-GB"/>
        </w:rPr>
      </w:pPr>
    </w:p>
    <w:p w14:paraId="7DCE1F73" w14:textId="64651F11" w:rsidR="00A27B4A" w:rsidRPr="000F0222" w:rsidRDefault="00484914" w:rsidP="00C64776">
      <w:pPr>
        <w:spacing w:line="276" w:lineRule="auto"/>
        <w:jc w:val="both"/>
        <w:rPr>
          <w:sz w:val="22"/>
          <w:szCs w:val="22"/>
          <w:lang w:val="en-GB"/>
        </w:rPr>
      </w:pPr>
      <w:r w:rsidRPr="000F0222">
        <w:rPr>
          <w:sz w:val="22"/>
          <w:szCs w:val="22"/>
          <w:lang w:val="en-GB"/>
        </w:rPr>
        <w:t>The implementation of the Communication Strategy (Target 4.2) is being measured through multiple (9) indicators</w:t>
      </w:r>
      <w:r w:rsidR="006873AE" w:rsidRPr="000F0222">
        <w:rPr>
          <w:sz w:val="22"/>
          <w:szCs w:val="22"/>
          <w:lang w:val="en-GB"/>
        </w:rPr>
        <w:t xml:space="preserve"> and their achievement has been estimated to be at various levels of progress</w:t>
      </w:r>
      <w:r w:rsidRPr="000F0222">
        <w:rPr>
          <w:sz w:val="22"/>
          <w:szCs w:val="22"/>
          <w:lang w:val="en-GB"/>
        </w:rPr>
        <w:t xml:space="preserve">. </w:t>
      </w:r>
      <w:r w:rsidR="006873AE" w:rsidRPr="000F0222">
        <w:rPr>
          <w:sz w:val="22"/>
          <w:szCs w:val="22"/>
          <w:lang w:val="en-GB"/>
        </w:rPr>
        <w:t xml:space="preserve">With more than half </w:t>
      </w:r>
      <w:r w:rsidR="003B10B9" w:rsidRPr="000F0222">
        <w:rPr>
          <w:sz w:val="22"/>
          <w:szCs w:val="22"/>
          <w:lang w:val="en-GB"/>
        </w:rPr>
        <w:t xml:space="preserve">(56%) </w:t>
      </w:r>
      <w:r w:rsidR="006873AE" w:rsidRPr="000F0222">
        <w:rPr>
          <w:sz w:val="22"/>
          <w:szCs w:val="22"/>
          <w:lang w:val="en-GB"/>
        </w:rPr>
        <w:t>of the indicators either with limited progress or no progress at all</w:t>
      </w:r>
      <w:r w:rsidR="00613A29">
        <w:rPr>
          <w:sz w:val="22"/>
          <w:szCs w:val="22"/>
          <w:lang w:val="en-GB"/>
        </w:rPr>
        <w:t>,</w:t>
      </w:r>
      <w:r w:rsidR="006873AE" w:rsidRPr="000F0222">
        <w:rPr>
          <w:sz w:val="22"/>
          <w:szCs w:val="22"/>
          <w:lang w:val="en-GB"/>
        </w:rPr>
        <w:t xml:space="preserve"> the aggregated </w:t>
      </w:r>
      <w:r w:rsidR="006873AE" w:rsidRPr="000F0222">
        <w:rPr>
          <w:i/>
          <w:sz w:val="22"/>
          <w:szCs w:val="22"/>
          <w:lang w:val="en-GB"/>
        </w:rPr>
        <w:t xml:space="preserve">progress </w:t>
      </w:r>
      <w:r w:rsidR="006873AE" w:rsidRPr="000F0222">
        <w:rPr>
          <w:sz w:val="22"/>
          <w:szCs w:val="22"/>
          <w:lang w:val="en-GB"/>
        </w:rPr>
        <w:t xml:space="preserve">towards the target has been assessed as </w:t>
      </w:r>
      <w:r w:rsidR="006873AE" w:rsidRPr="000F0222">
        <w:rPr>
          <w:i/>
          <w:sz w:val="22"/>
          <w:szCs w:val="22"/>
          <w:lang w:val="en-GB"/>
        </w:rPr>
        <w:t>limited</w:t>
      </w:r>
      <w:r w:rsidR="006873AE" w:rsidRPr="000F0222">
        <w:rPr>
          <w:sz w:val="22"/>
          <w:szCs w:val="22"/>
          <w:lang w:val="en-GB"/>
        </w:rPr>
        <w:t xml:space="preserve">. </w:t>
      </w:r>
      <w:r w:rsidR="00C60FA8" w:rsidRPr="000F0222">
        <w:rPr>
          <w:sz w:val="22"/>
          <w:szCs w:val="22"/>
          <w:lang w:val="en-GB"/>
        </w:rPr>
        <w:t xml:space="preserve">Only one indicator (11%) has been </w:t>
      </w:r>
      <w:r w:rsidR="00C60FA8" w:rsidRPr="000F0222">
        <w:rPr>
          <w:i/>
          <w:sz w:val="22"/>
          <w:szCs w:val="22"/>
          <w:lang w:val="en-GB"/>
        </w:rPr>
        <w:t>achieved</w:t>
      </w:r>
      <w:r w:rsidR="006873AE" w:rsidRPr="000F0222">
        <w:rPr>
          <w:sz w:val="22"/>
          <w:szCs w:val="22"/>
          <w:lang w:val="en-GB"/>
        </w:rPr>
        <w:t xml:space="preserve"> </w:t>
      </w:r>
      <w:r w:rsidR="00C60FA8" w:rsidRPr="000F0222">
        <w:rPr>
          <w:sz w:val="22"/>
          <w:szCs w:val="22"/>
          <w:lang w:val="en-GB"/>
        </w:rPr>
        <w:t xml:space="preserve">and another </w:t>
      </w:r>
      <w:r w:rsidR="00D9349E" w:rsidRPr="000F0222">
        <w:rPr>
          <w:sz w:val="22"/>
          <w:szCs w:val="22"/>
          <w:lang w:val="en-GB"/>
        </w:rPr>
        <w:t xml:space="preserve">has </w:t>
      </w:r>
      <w:r w:rsidR="00C60FA8" w:rsidRPr="000F0222">
        <w:rPr>
          <w:sz w:val="22"/>
          <w:szCs w:val="22"/>
          <w:lang w:val="en-GB"/>
        </w:rPr>
        <w:t>scor</w:t>
      </w:r>
      <w:r w:rsidR="00D9349E" w:rsidRPr="000F0222">
        <w:rPr>
          <w:sz w:val="22"/>
          <w:szCs w:val="22"/>
          <w:lang w:val="en-GB"/>
        </w:rPr>
        <w:t>ed</w:t>
      </w:r>
      <w:r w:rsidR="00C60FA8" w:rsidRPr="000F0222">
        <w:rPr>
          <w:sz w:val="22"/>
          <w:szCs w:val="22"/>
          <w:lang w:val="en-GB"/>
        </w:rPr>
        <w:t xml:space="preserve"> a </w:t>
      </w:r>
      <w:r w:rsidR="00C60FA8" w:rsidRPr="000F0222">
        <w:rPr>
          <w:i/>
          <w:sz w:val="22"/>
          <w:szCs w:val="22"/>
          <w:lang w:val="en-GB"/>
        </w:rPr>
        <w:t>significant progress</w:t>
      </w:r>
      <w:r w:rsidR="00C60FA8" w:rsidRPr="000F0222">
        <w:rPr>
          <w:sz w:val="22"/>
          <w:szCs w:val="22"/>
          <w:lang w:val="en-GB"/>
        </w:rPr>
        <w:t xml:space="preserve">, with the remaining two (22%) in the average level. </w:t>
      </w:r>
    </w:p>
    <w:p w14:paraId="679983D9" w14:textId="77777777" w:rsidR="00356A01" w:rsidRPr="000F0222" w:rsidRDefault="00356A01" w:rsidP="00B527F9">
      <w:pPr>
        <w:jc w:val="both"/>
        <w:rPr>
          <w:sz w:val="22"/>
          <w:szCs w:val="22"/>
          <w:lang w:val="en-GB"/>
        </w:rPr>
      </w:pPr>
    </w:p>
    <w:p w14:paraId="07640C74" w14:textId="77777777" w:rsidR="00356A01" w:rsidRPr="000F0222" w:rsidRDefault="00356A01" w:rsidP="00B527F9">
      <w:pPr>
        <w:jc w:val="both"/>
        <w:rPr>
          <w:sz w:val="22"/>
          <w:szCs w:val="22"/>
          <w:lang w:val="en-GB"/>
        </w:rPr>
      </w:pPr>
    </w:p>
    <w:p w14:paraId="243E71D8" w14:textId="4637434E" w:rsidR="00102E23" w:rsidRPr="004779F8" w:rsidRDefault="006D2775" w:rsidP="00E568EA">
      <w:pPr>
        <w:shd w:val="clear" w:color="auto" w:fill="DBE5F1" w:themeFill="accent1" w:themeFillTint="33"/>
        <w:jc w:val="both"/>
        <w:rPr>
          <w:b/>
          <w:lang w:val="en-GB"/>
        </w:rPr>
      </w:pPr>
      <w:r w:rsidRPr="004779F8">
        <w:rPr>
          <w:b/>
          <w:lang w:val="en-GB"/>
        </w:rPr>
        <w:t xml:space="preserve">Level of </w:t>
      </w:r>
      <w:r w:rsidR="00102E23" w:rsidRPr="004779F8">
        <w:rPr>
          <w:b/>
          <w:lang w:val="en-GB"/>
        </w:rPr>
        <w:t>achieving Objective 5</w:t>
      </w:r>
    </w:p>
    <w:p w14:paraId="0AA22BB0" w14:textId="77777777" w:rsidR="00102E23" w:rsidRPr="000F0222" w:rsidRDefault="00102E23" w:rsidP="00102E23">
      <w:pPr>
        <w:jc w:val="both"/>
        <w:rPr>
          <w:sz w:val="22"/>
          <w:szCs w:val="22"/>
          <w:lang w:val="en-GB"/>
        </w:rPr>
      </w:pPr>
    </w:p>
    <w:p w14:paraId="0A72A59B" w14:textId="241F9ADD" w:rsidR="00102E23" w:rsidRPr="004779F8" w:rsidRDefault="00102E23" w:rsidP="00C64776">
      <w:pPr>
        <w:spacing w:line="276" w:lineRule="auto"/>
        <w:jc w:val="both"/>
        <w:rPr>
          <w:sz w:val="22"/>
          <w:szCs w:val="22"/>
          <w:lang w:val="en-GB"/>
        </w:rPr>
      </w:pPr>
      <w:r w:rsidRPr="004779F8">
        <w:rPr>
          <w:sz w:val="22"/>
          <w:szCs w:val="22"/>
          <w:lang w:val="en-GB"/>
        </w:rPr>
        <w:t xml:space="preserve">Objective </w:t>
      </w:r>
      <w:r w:rsidR="00C002A6" w:rsidRPr="004779F8">
        <w:rPr>
          <w:sz w:val="22"/>
          <w:szCs w:val="22"/>
          <w:lang w:val="en-GB"/>
        </w:rPr>
        <w:t>5</w:t>
      </w:r>
      <w:r w:rsidRPr="00146E73">
        <w:rPr>
          <w:sz w:val="22"/>
          <w:szCs w:val="22"/>
          <w:lang w:val="en-GB"/>
        </w:rPr>
        <w:t xml:space="preserve"> aims </w:t>
      </w:r>
      <w:r w:rsidRPr="00146E73">
        <w:rPr>
          <w:b/>
          <w:sz w:val="22"/>
          <w:szCs w:val="22"/>
          <w:lang w:val="en-GB"/>
        </w:rPr>
        <w:t xml:space="preserve">to improve the capacity of Range States and international cooperation and capacity towards the conservation of migratory </w:t>
      </w:r>
      <w:proofErr w:type="spellStart"/>
      <w:r w:rsidRPr="00146E73">
        <w:rPr>
          <w:b/>
          <w:sz w:val="22"/>
          <w:szCs w:val="22"/>
          <w:lang w:val="en-GB"/>
        </w:rPr>
        <w:t>waterbird</w:t>
      </w:r>
      <w:proofErr w:type="spellEnd"/>
      <w:r w:rsidRPr="00146E73">
        <w:rPr>
          <w:b/>
          <w:sz w:val="22"/>
          <w:szCs w:val="22"/>
          <w:lang w:val="en-GB"/>
        </w:rPr>
        <w:t xml:space="preserve"> speci</w:t>
      </w:r>
      <w:r w:rsidRPr="00852729">
        <w:rPr>
          <w:b/>
          <w:sz w:val="22"/>
          <w:szCs w:val="22"/>
          <w:lang w:val="en-GB"/>
        </w:rPr>
        <w:t>es and their flyways</w:t>
      </w:r>
      <w:r w:rsidR="00C002A6" w:rsidRPr="001D2AAF">
        <w:rPr>
          <w:iCs/>
          <w:sz w:val="22"/>
          <w:szCs w:val="22"/>
          <w:lang w:val="en-GB"/>
        </w:rPr>
        <w:t xml:space="preserve"> and eight </w:t>
      </w:r>
      <w:r w:rsidR="00C002A6" w:rsidRPr="004779F8">
        <w:rPr>
          <w:sz w:val="22"/>
          <w:szCs w:val="22"/>
          <w:lang w:val="en-GB"/>
        </w:rPr>
        <w:t>targets have been set to achieve this</w:t>
      </w:r>
      <w:r w:rsidR="00C002A6" w:rsidRPr="004779F8">
        <w:rPr>
          <w:sz w:val="22"/>
          <w:lang w:val="en-GB"/>
        </w:rPr>
        <w:t xml:space="preserve"> objective</w:t>
      </w:r>
      <w:r w:rsidRPr="004779F8">
        <w:rPr>
          <w:sz w:val="22"/>
          <w:lang w:val="en-GB"/>
        </w:rPr>
        <w:t xml:space="preserve">. </w:t>
      </w:r>
      <w:r w:rsidR="00931BC1" w:rsidRPr="004779F8">
        <w:rPr>
          <w:sz w:val="22"/>
          <w:lang w:val="en-GB"/>
        </w:rPr>
        <w:t>One of the</w:t>
      </w:r>
      <w:r w:rsidR="00252701" w:rsidRPr="004779F8">
        <w:rPr>
          <w:sz w:val="22"/>
          <w:lang w:val="en-GB"/>
        </w:rPr>
        <w:t xml:space="preserve"> targets </w:t>
      </w:r>
      <w:r w:rsidR="00931BC1" w:rsidRPr="004779F8">
        <w:rPr>
          <w:sz w:val="22"/>
          <w:lang w:val="en-GB"/>
        </w:rPr>
        <w:t xml:space="preserve">was </w:t>
      </w:r>
      <w:r w:rsidR="00252701" w:rsidRPr="000F0222">
        <w:rPr>
          <w:i/>
          <w:sz w:val="22"/>
          <w:lang w:val="en-GB"/>
        </w:rPr>
        <w:t>achieved</w:t>
      </w:r>
      <w:r w:rsidR="00252701" w:rsidRPr="004779F8">
        <w:rPr>
          <w:sz w:val="22"/>
          <w:lang w:val="en-GB"/>
        </w:rPr>
        <w:t xml:space="preserve"> (12%)</w:t>
      </w:r>
      <w:r w:rsidR="00931BC1" w:rsidRPr="004779F8">
        <w:rPr>
          <w:sz w:val="22"/>
          <w:lang w:val="en-GB"/>
        </w:rPr>
        <w:t>, two</w:t>
      </w:r>
      <w:r w:rsidR="00252701" w:rsidRPr="004779F8">
        <w:rPr>
          <w:sz w:val="22"/>
          <w:lang w:val="en-GB"/>
        </w:rPr>
        <w:t xml:space="preserve"> scor</w:t>
      </w:r>
      <w:r w:rsidR="00931BC1" w:rsidRPr="004779F8">
        <w:rPr>
          <w:sz w:val="22"/>
          <w:lang w:val="en-GB"/>
        </w:rPr>
        <w:t>ed</w:t>
      </w:r>
      <w:r w:rsidR="00252701" w:rsidRPr="004779F8">
        <w:rPr>
          <w:sz w:val="22"/>
          <w:lang w:val="en-GB"/>
        </w:rPr>
        <w:t xml:space="preserve"> </w:t>
      </w:r>
      <w:r w:rsidR="00252701" w:rsidRPr="000F0222">
        <w:rPr>
          <w:i/>
          <w:sz w:val="22"/>
          <w:lang w:val="en-GB"/>
        </w:rPr>
        <w:t>significant progress</w:t>
      </w:r>
      <w:r w:rsidR="00252701" w:rsidRPr="004779F8">
        <w:rPr>
          <w:sz w:val="22"/>
          <w:lang w:val="en-GB"/>
        </w:rPr>
        <w:t xml:space="preserve"> (2</w:t>
      </w:r>
      <w:r w:rsidR="00931BC1" w:rsidRPr="004779F8">
        <w:rPr>
          <w:sz w:val="22"/>
          <w:lang w:val="en-GB"/>
        </w:rPr>
        <w:t>4</w:t>
      </w:r>
      <w:r w:rsidR="00252701" w:rsidRPr="004779F8">
        <w:rPr>
          <w:sz w:val="22"/>
          <w:lang w:val="en-GB"/>
        </w:rPr>
        <w:t>%)</w:t>
      </w:r>
      <w:r w:rsidR="00931BC1" w:rsidRPr="004779F8">
        <w:rPr>
          <w:sz w:val="22"/>
          <w:lang w:val="en-GB"/>
        </w:rPr>
        <w:t xml:space="preserve"> and the</w:t>
      </w:r>
      <w:r w:rsidR="00252701" w:rsidRPr="004779F8">
        <w:rPr>
          <w:sz w:val="22"/>
          <w:lang w:val="en-GB"/>
        </w:rPr>
        <w:t xml:space="preserve"> </w:t>
      </w:r>
      <w:r w:rsidR="00931BC1" w:rsidRPr="000F0222">
        <w:rPr>
          <w:i/>
          <w:sz w:val="22"/>
          <w:lang w:val="en-GB"/>
        </w:rPr>
        <w:t>p</w:t>
      </w:r>
      <w:r w:rsidR="00252701" w:rsidRPr="000F0222">
        <w:rPr>
          <w:i/>
          <w:sz w:val="22"/>
          <w:lang w:val="en-GB"/>
        </w:rPr>
        <w:t xml:space="preserve">rogress </w:t>
      </w:r>
      <w:r w:rsidR="00252701" w:rsidRPr="004779F8">
        <w:rPr>
          <w:sz w:val="22"/>
          <w:lang w:val="en-GB"/>
        </w:rPr>
        <w:t xml:space="preserve">towards </w:t>
      </w:r>
      <w:r w:rsidR="00931BC1" w:rsidRPr="004779F8">
        <w:rPr>
          <w:sz w:val="22"/>
          <w:lang w:val="en-GB"/>
        </w:rPr>
        <w:t xml:space="preserve">one </w:t>
      </w:r>
      <w:r w:rsidR="00252701" w:rsidRPr="004779F8">
        <w:rPr>
          <w:sz w:val="22"/>
          <w:lang w:val="en-GB"/>
        </w:rPr>
        <w:t xml:space="preserve">target is assessed </w:t>
      </w:r>
      <w:r w:rsidR="00613A29">
        <w:rPr>
          <w:sz w:val="22"/>
          <w:lang w:val="en-GB"/>
        </w:rPr>
        <w:t>as being</w:t>
      </w:r>
      <w:r w:rsidR="00252701" w:rsidRPr="00613A29">
        <w:rPr>
          <w:sz w:val="22"/>
          <w:lang w:val="en-GB"/>
        </w:rPr>
        <w:t xml:space="preserve"> </w:t>
      </w:r>
      <w:r w:rsidR="00252701" w:rsidRPr="000F0222">
        <w:rPr>
          <w:i/>
          <w:sz w:val="22"/>
          <w:lang w:val="en-GB"/>
        </w:rPr>
        <w:t>good</w:t>
      </w:r>
      <w:r w:rsidR="00252701" w:rsidRPr="00613A29">
        <w:rPr>
          <w:sz w:val="22"/>
          <w:lang w:val="en-GB"/>
        </w:rPr>
        <w:t xml:space="preserve"> (</w:t>
      </w:r>
      <w:r w:rsidR="00931BC1" w:rsidRPr="00613A29">
        <w:rPr>
          <w:sz w:val="22"/>
          <w:lang w:val="en-GB"/>
        </w:rPr>
        <w:t>12</w:t>
      </w:r>
      <w:r w:rsidR="00252701" w:rsidRPr="00613A29">
        <w:rPr>
          <w:sz w:val="22"/>
          <w:lang w:val="en-GB"/>
        </w:rPr>
        <w:t>%)</w:t>
      </w:r>
      <w:r w:rsidR="00931BC1" w:rsidRPr="00613A29">
        <w:rPr>
          <w:sz w:val="22"/>
          <w:lang w:val="en-GB"/>
        </w:rPr>
        <w:t>.</w:t>
      </w:r>
      <w:r w:rsidR="00252701" w:rsidRPr="00613A29">
        <w:rPr>
          <w:sz w:val="22"/>
          <w:lang w:val="en-GB"/>
        </w:rPr>
        <w:t xml:space="preserve"> </w:t>
      </w:r>
      <w:r w:rsidR="00931BC1" w:rsidRPr="00613A29">
        <w:rPr>
          <w:sz w:val="22"/>
          <w:lang w:val="en-GB"/>
        </w:rPr>
        <w:t>T</w:t>
      </w:r>
      <w:r w:rsidR="00C002A6" w:rsidRPr="00613A29">
        <w:rPr>
          <w:sz w:val="22"/>
          <w:lang w:val="en-GB"/>
        </w:rPr>
        <w:t xml:space="preserve">he remaining </w:t>
      </w:r>
      <w:r w:rsidR="00252701" w:rsidRPr="00613A29">
        <w:rPr>
          <w:sz w:val="22"/>
          <w:lang w:val="en-GB"/>
        </w:rPr>
        <w:t>39</w:t>
      </w:r>
      <w:r w:rsidR="00C002A6" w:rsidRPr="00613A29">
        <w:rPr>
          <w:sz w:val="22"/>
          <w:lang w:val="en-GB"/>
        </w:rPr>
        <w:t>%</w:t>
      </w:r>
      <w:r w:rsidR="00252701" w:rsidRPr="00613A29">
        <w:rPr>
          <w:sz w:val="22"/>
          <w:lang w:val="en-GB"/>
        </w:rPr>
        <w:t xml:space="preserve"> (</w:t>
      </w:r>
      <w:r w:rsidR="00210AE0" w:rsidRPr="00613A29">
        <w:rPr>
          <w:sz w:val="22"/>
          <w:lang w:val="en-GB"/>
        </w:rPr>
        <w:t>three</w:t>
      </w:r>
      <w:r w:rsidR="00252701" w:rsidRPr="00613A29">
        <w:rPr>
          <w:sz w:val="22"/>
          <w:lang w:val="en-GB"/>
        </w:rPr>
        <w:t xml:space="preserve"> targets)</w:t>
      </w:r>
      <w:r w:rsidR="00C002A6" w:rsidRPr="00613A29">
        <w:rPr>
          <w:sz w:val="22"/>
          <w:lang w:val="en-GB"/>
        </w:rPr>
        <w:t xml:space="preserve"> </w:t>
      </w:r>
      <w:r w:rsidR="00B62AD2">
        <w:rPr>
          <w:sz w:val="22"/>
          <w:lang w:val="en-GB"/>
        </w:rPr>
        <w:t>show</w:t>
      </w:r>
      <w:r w:rsidR="00931BC1" w:rsidRPr="00613A29">
        <w:rPr>
          <w:sz w:val="22"/>
          <w:lang w:val="en-GB"/>
        </w:rPr>
        <w:t xml:space="preserve"> </w:t>
      </w:r>
      <w:r w:rsidRPr="000F0222">
        <w:rPr>
          <w:i/>
          <w:sz w:val="22"/>
          <w:lang w:val="en-GB"/>
        </w:rPr>
        <w:t>limited progress</w:t>
      </w:r>
      <w:r w:rsidRPr="00852729">
        <w:rPr>
          <w:sz w:val="22"/>
          <w:lang w:val="en-GB"/>
        </w:rPr>
        <w:t xml:space="preserve"> </w:t>
      </w:r>
      <w:r w:rsidR="00252701" w:rsidRPr="00852729">
        <w:rPr>
          <w:sz w:val="22"/>
          <w:lang w:val="en-GB"/>
        </w:rPr>
        <w:t>and one (1</w:t>
      </w:r>
      <w:r w:rsidR="00931BC1" w:rsidRPr="001D2AAF">
        <w:rPr>
          <w:sz w:val="22"/>
          <w:lang w:val="en-GB"/>
        </w:rPr>
        <w:t>3</w:t>
      </w:r>
      <w:r w:rsidR="00252701" w:rsidRPr="004779F8">
        <w:rPr>
          <w:sz w:val="22"/>
          <w:lang w:val="en-GB"/>
        </w:rPr>
        <w:t xml:space="preserve">%) </w:t>
      </w:r>
      <w:r w:rsidR="00931BC1" w:rsidRPr="004779F8">
        <w:rPr>
          <w:sz w:val="22"/>
          <w:lang w:val="en-GB"/>
        </w:rPr>
        <w:t xml:space="preserve">is </w:t>
      </w:r>
      <w:r w:rsidR="00252701" w:rsidRPr="000F0222">
        <w:rPr>
          <w:i/>
          <w:sz w:val="22"/>
          <w:lang w:val="en-GB"/>
        </w:rPr>
        <w:t>not assessed</w:t>
      </w:r>
      <w:r w:rsidR="00252701" w:rsidRPr="004779F8">
        <w:rPr>
          <w:sz w:val="22"/>
          <w:lang w:val="en-GB"/>
        </w:rPr>
        <w:t xml:space="preserve"> </w:t>
      </w:r>
      <w:r w:rsidRPr="004779F8">
        <w:rPr>
          <w:sz w:val="22"/>
          <w:szCs w:val="22"/>
          <w:lang w:val="en-GB"/>
        </w:rPr>
        <w:t xml:space="preserve">(see </w:t>
      </w:r>
      <w:r w:rsidRPr="004779F8">
        <w:rPr>
          <w:i/>
          <w:sz w:val="22"/>
          <w:szCs w:val="22"/>
          <w:lang w:val="en-GB"/>
        </w:rPr>
        <w:t xml:space="preserve">Table </w:t>
      </w:r>
      <w:r w:rsidR="00C002A6" w:rsidRPr="004779F8">
        <w:rPr>
          <w:i/>
          <w:sz w:val="22"/>
          <w:szCs w:val="22"/>
          <w:lang w:val="en-GB"/>
        </w:rPr>
        <w:t>8</w:t>
      </w:r>
      <w:r w:rsidRPr="004779F8">
        <w:rPr>
          <w:sz w:val="22"/>
          <w:szCs w:val="22"/>
          <w:lang w:val="en-GB"/>
        </w:rPr>
        <w:t>).</w:t>
      </w:r>
    </w:p>
    <w:p w14:paraId="6B47D44B" w14:textId="77777777" w:rsidR="00C002A6" w:rsidRPr="004779F8" w:rsidRDefault="00C002A6" w:rsidP="00C64776">
      <w:pPr>
        <w:spacing w:line="276" w:lineRule="auto"/>
        <w:jc w:val="both"/>
        <w:rPr>
          <w:sz w:val="22"/>
          <w:szCs w:val="22"/>
          <w:lang w:val="en-GB"/>
        </w:rPr>
      </w:pPr>
    </w:p>
    <w:p w14:paraId="6EAF8E31" w14:textId="6B84D72A" w:rsidR="00252701" w:rsidRPr="00613A29" w:rsidRDefault="00931BC1" w:rsidP="00C64776">
      <w:pPr>
        <w:spacing w:line="276" w:lineRule="auto"/>
        <w:jc w:val="both"/>
        <w:rPr>
          <w:sz w:val="22"/>
          <w:szCs w:val="22"/>
          <w:lang w:val="en-GB"/>
        </w:rPr>
      </w:pPr>
      <w:r w:rsidRPr="00613A29">
        <w:rPr>
          <w:sz w:val="22"/>
          <w:szCs w:val="22"/>
          <w:lang w:val="en-GB"/>
        </w:rPr>
        <w:lastRenderedPageBreak/>
        <w:t xml:space="preserve">Increased capacity </w:t>
      </w:r>
      <w:r w:rsidR="00252701" w:rsidRPr="00613A29">
        <w:rPr>
          <w:sz w:val="22"/>
          <w:szCs w:val="22"/>
          <w:lang w:val="en-GB"/>
        </w:rPr>
        <w:t xml:space="preserve">of government staff </w:t>
      </w:r>
      <w:r w:rsidRPr="00613A29">
        <w:rPr>
          <w:sz w:val="22"/>
          <w:szCs w:val="22"/>
          <w:lang w:val="en-GB"/>
        </w:rPr>
        <w:t>to</w:t>
      </w:r>
      <w:r w:rsidR="00252701" w:rsidRPr="00613A29">
        <w:rPr>
          <w:sz w:val="22"/>
          <w:szCs w:val="22"/>
          <w:lang w:val="en-GB"/>
        </w:rPr>
        <w:t xml:space="preserve"> implement the Agreement has been delivered </w:t>
      </w:r>
      <w:r w:rsidRPr="00613A29">
        <w:rPr>
          <w:sz w:val="22"/>
          <w:szCs w:val="22"/>
          <w:lang w:val="en-GB"/>
        </w:rPr>
        <w:t xml:space="preserve">through a series of training events, including </w:t>
      </w:r>
      <w:r w:rsidR="00252701" w:rsidRPr="00613A29">
        <w:rPr>
          <w:sz w:val="22"/>
          <w:szCs w:val="22"/>
          <w:lang w:val="en-GB"/>
        </w:rPr>
        <w:t>jointly with the Convention on Migratory Species</w:t>
      </w:r>
      <w:r w:rsidRPr="00613A29">
        <w:rPr>
          <w:sz w:val="22"/>
          <w:szCs w:val="22"/>
          <w:lang w:val="en-GB"/>
        </w:rPr>
        <w:t>,</w:t>
      </w:r>
      <w:r w:rsidR="00252701" w:rsidRPr="00613A29">
        <w:rPr>
          <w:sz w:val="22"/>
          <w:szCs w:val="22"/>
          <w:lang w:val="en-GB"/>
        </w:rPr>
        <w:t xml:space="preserve"> and the </w:t>
      </w:r>
      <w:r w:rsidRPr="00613A29">
        <w:rPr>
          <w:sz w:val="22"/>
          <w:szCs w:val="22"/>
          <w:lang w:val="en-GB"/>
        </w:rPr>
        <w:t xml:space="preserve">threshold of the </w:t>
      </w:r>
      <w:r w:rsidR="00252701" w:rsidRPr="00613A29">
        <w:rPr>
          <w:sz w:val="22"/>
          <w:szCs w:val="22"/>
          <w:lang w:val="en-GB"/>
        </w:rPr>
        <w:t>indicator for Target 5.6 has been surpassed.</w:t>
      </w:r>
    </w:p>
    <w:p w14:paraId="677344A1" w14:textId="77777777" w:rsidR="00252701" w:rsidRPr="00613A29" w:rsidRDefault="00252701" w:rsidP="00C64776">
      <w:pPr>
        <w:spacing w:line="276" w:lineRule="auto"/>
        <w:jc w:val="both"/>
        <w:rPr>
          <w:sz w:val="22"/>
          <w:szCs w:val="22"/>
          <w:lang w:val="en-GB"/>
        </w:rPr>
      </w:pPr>
    </w:p>
    <w:p w14:paraId="3DA828CC" w14:textId="7CA66ACB" w:rsidR="00C002A6" w:rsidRPr="00613A29" w:rsidRDefault="006F4254" w:rsidP="00C64776">
      <w:pPr>
        <w:spacing w:line="276" w:lineRule="auto"/>
        <w:jc w:val="both"/>
        <w:rPr>
          <w:sz w:val="22"/>
          <w:szCs w:val="22"/>
          <w:lang w:val="en-GB"/>
        </w:rPr>
      </w:pPr>
      <w:r w:rsidRPr="004779F8">
        <w:rPr>
          <w:sz w:val="22"/>
          <w:szCs w:val="22"/>
          <w:lang w:val="en-GB"/>
        </w:rPr>
        <w:t xml:space="preserve">With </w:t>
      </w:r>
      <w:r w:rsidR="00252701" w:rsidRPr="004779F8">
        <w:rPr>
          <w:sz w:val="22"/>
          <w:szCs w:val="22"/>
          <w:lang w:val="en-GB"/>
        </w:rPr>
        <w:t>3</w:t>
      </w:r>
      <w:r w:rsidR="00D87C52" w:rsidRPr="00613A29">
        <w:rPr>
          <w:sz w:val="22"/>
          <w:szCs w:val="22"/>
          <w:lang w:val="en-GB"/>
        </w:rPr>
        <w:t>9</w:t>
      </w:r>
      <w:r w:rsidR="00252701" w:rsidRPr="00613A29">
        <w:rPr>
          <w:sz w:val="22"/>
          <w:szCs w:val="22"/>
          <w:lang w:val="en-GB"/>
        </w:rPr>
        <w:t xml:space="preserve">% of the Contracting Parties </w:t>
      </w:r>
      <w:r w:rsidRPr="00613A29">
        <w:rPr>
          <w:sz w:val="22"/>
          <w:szCs w:val="22"/>
          <w:lang w:val="en-GB"/>
        </w:rPr>
        <w:t>reporting</w:t>
      </w:r>
      <w:r w:rsidR="00D06DE2" w:rsidRPr="00613A29">
        <w:rPr>
          <w:sz w:val="22"/>
          <w:szCs w:val="22"/>
          <w:lang w:val="en-GB"/>
        </w:rPr>
        <w:t>, that they have</w:t>
      </w:r>
      <w:r w:rsidRPr="00613A29">
        <w:rPr>
          <w:sz w:val="22"/>
          <w:szCs w:val="22"/>
          <w:lang w:val="en-GB"/>
        </w:rPr>
        <w:t xml:space="preserve"> operational national coordination mechanisms for AEWA implementation</w:t>
      </w:r>
      <w:r w:rsidR="00D06DE2" w:rsidRPr="00852729">
        <w:rPr>
          <w:sz w:val="22"/>
          <w:szCs w:val="22"/>
          <w:lang w:val="en-GB"/>
        </w:rPr>
        <w:t>,</w:t>
      </w:r>
      <w:r w:rsidRPr="00852729">
        <w:rPr>
          <w:sz w:val="22"/>
          <w:szCs w:val="22"/>
          <w:lang w:val="en-GB"/>
        </w:rPr>
        <w:t xml:space="preserve"> there has been significant progress</w:t>
      </w:r>
      <w:r w:rsidR="00D06DE2" w:rsidRPr="001D2AAF">
        <w:rPr>
          <w:sz w:val="22"/>
          <w:szCs w:val="22"/>
          <w:lang w:val="en-GB"/>
        </w:rPr>
        <w:t xml:space="preserve"> achieved</w:t>
      </w:r>
      <w:r w:rsidRPr="004779F8">
        <w:rPr>
          <w:sz w:val="22"/>
          <w:szCs w:val="22"/>
          <w:lang w:val="en-GB"/>
        </w:rPr>
        <w:t xml:space="preserve"> towards Target 5.7</w:t>
      </w:r>
      <w:r w:rsidR="00252701" w:rsidRPr="004779F8">
        <w:rPr>
          <w:sz w:val="22"/>
          <w:szCs w:val="22"/>
          <w:lang w:val="en-GB"/>
        </w:rPr>
        <w:t xml:space="preserve"> and </w:t>
      </w:r>
      <w:r w:rsidR="00B83C08" w:rsidRPr="004779F8">
        <w:rPr>
          <w:sz w:val="22"/>
          <w:szCs w:val="22"/>
          <w:lang w:val="en-GB"/>
        </w:rPr>
        <w:t xml:space="preserve">this represents </w:t>
      </w:r>
      <w:r w:rsidR="00DD226D" w:rsidRPr="004779F8">
        <w:rPr>
          <w:sz w:val="22"/>
          <w:szCs w:val="22"/>
          <w:lang w:val="en-GB"/>
        </w:rPr>
        <w:t xml:space="preserve">a positive trend compared to the initial assessment in </w:t>
      </w:r>
      <w:r w:rsidR="00B83C08" w:rsidRPr="004779F8">
        <w:rPr>
          <w:sz w:val="22"/>
          <w:szCs w:val="22"/>
          <w:lang w:val="en-GB"/>
        </w:rPr>
        <w:t>2012</w:t>
      </w:r>
      <w:r w:rsidRPr="004779F8">
        <w:rPr>
          <w:sz w:val="22"/>
          <w:szCs w:val="22"/>
          <w:lang w:val="en-GB"/>
        </w:rPr>
        <w:t xml:space="preserve">. </w:t>
      </w:r>
      <w:r w:rsidR="00007EC5" w:rsidRPr="004779F8">
        <w:rPr>
          <w:sz w:val="22"/>
          <w:szCs w:val="22"/>
          <w:lang w:val="en-GB"/>
        </w:rPr>
        <w:t xml:space="preserve">These operational mechanisms </w:t>
      </w:r>
      <w:r w:rsidR="00187B27">
        <w:rPr>
          <w:sz w:val="22"/>
          <w:szCs w:val="22"/>
          <w:lang w:val="en-GB"/>
        </w:rPr>
        <w:t>should</w:t>
      </w:r>
      <w:r w:rsidR="00007EC5" w:rsidRPr="00613A29">
        <w:rPr>
          <w:sz w:val="22"/>
          <w:szCs w:val="22"/>
          <w:lang w:val="en-GB"/>
        </w:rPr>
        <w:t xml:space="preserve"> be </w:t>
      </w:r>
      <w:r w:rsidR="00613A29" w:rsidRPr="00613A29">
        <w:rPr>
          <w:sz w:val="22"/>
          <w:szCs w:val="22"/>
          <w:lang w:val="en-GB"/>
        </w:rPr>
        <w:t>strengthened,</w:t>
      </w:r>
      <w:r w:rsidR="00007EC5" w:rsidRPr="00613A29">
        <w:rPr>
          <w:sz w:val="22"/>
          <w:szCs w:val="22"/>
          <w:lang w:val="en-GB"/>
        </w:rPr>
        <w:t xml:space="preserve"> and more Parties sh</w:t>
      </w:r>
      <w:r w:rsidR="00B62AD2">
        <w:rPr>
          <w:sz w:val="22"/>
          <w:szCs w:val="22"/>
          <w:lang w:val="en-GB"/>
        </w:rPr>
        <w:t>ould</w:t>
      </w:r>
      <w:r w:rsidR="00007EC5" w:rsidRPr="00613A29">
        <w:rPr>
          <w:sz w:val="22"/>
          <w:szCs w:val="22"/>
          <w:lang w:val="en-GB"/>
        </w:rPr>
        <w:t xml:space="preserve"> establish </w:t>
      </w:r>
      <w:r w:rsidR="00D06DE2" w:rsidRPr="00613A29">
        <w:rPr>
          <w:sz w:val="22"/>
          <w:szCs w:val="22"/>
          <w:lang w:val="en-GB"/>
        </w:rPr>
        <w:t>them</w:t>
      </w:r>
      <w:r w:rsidR="000F39B0" w:rsidRPr="00613A29">
        <w:rPr>
          <w:sz w:val="22"/>
          <w:szCs w:val="22"/>
          <w:lang w:val="en-GB"/>
        </w:rPr>
        <w:t>; experiences shall be shared</w:t>
      </w:r>
      <w:r w:rsidR="00007EC5" w:rsidRPr="00613A29">
        <w:rPr>
          <w:sz w:val="22"/>
          <w:szCs w:val="22"/>
          <w:lang w:val="en-GB"/>
        </w:rPr>
        <w:t xml:space="preserve">. </w:t>
      </w:r>
    </w:p>
    <w:p w14:paraId="7731F525" w14:textId="77777777" w:rsidR="00007EC5" w:rsidRPr="00852729" w:rsidRDefault="00007EC5" w:rsidP="00C64776">
      <w:pPr>
        <w:spacing w:line="276" w:lineRule="auto"/>
        <w:jc w:val="both"/>
        <w:rPr>
          <w:sz w:val="22"/>
          <w:szCs w:val="22"/>
          <w:lang w:val="en-GB"/>
        </w:rPr>
      </w:pPr>
    </w:p>
    <w:p w14:paraId="529680E1" w14:textId="3B546594" w:rsidR="00007EC5" w:rsidRPr="00613A29" w:rsidRDefault="00007EC5" w:rsidP="00C64776">
      <w:pPr>
        <w:spacing w:line="276" w:lineRule="auto"/>
        <w:jc w:val="both"/>
        <w:rPr>
          <w:sz w:val="22"/>
          <w:szCs w:val="22"/>
          <w:lang w:val="en-GB"/>
        </w:rPr>
      </w:pPr>
      <w:r w:rsidRPr="004779F8">
        <w:rPr>
          <w:sz w:val="22"/>
          <w:szCs w:val="22"/>
          <w:lang w:val="en-GB"/>
        </w:rPr>
        <w:t xml:space="preserve">The </w:t>
      </w:r>
      <w:r w:rsidR="00D73B08" w:rsidRPr="004779F8">
        <w:rPr>
          <w:sz w:val="22"/>
          <w:szCs w:val="22"/>
          <w:lang w:val="en-GB"/>
        </w:rPr>
        <w:t xml:space="preserve">growth of the </w:t>
      </w:r>
      <w:r w:rsidRPr="004779F8">
        <w:rPr>
          <w:sz w:val="22"/>
          <w:szCs w:val="22"/>
          <w:lang w:val="en-GB"/>
        </w:rPr>
        <w:t xml:space="preserve">number of Contracting Parties </w:t>
      </w:r>
      <w:r w:rsidR="00D73B08" w:rsidRPr="004779F8">
        <w:rPr>
          <w:sz w:val="22"/>
          <w:szCs w:val="22"/>
          <w:lang w:val="en-GB"/>
        </w:rPr>
        <w:t xml:space="preserve">has been moderate – it increased from </w:t>
      </w:r>
      <w:r w:rsidRPr="004779F8">
        <w:rPr>
          <w:sz w:val="22"/>
          <w:szCs w:val="22"/>
          <w:lang w:val="en-GB"/>
        </w:rPr>
        <w:t xml:space="preserve">61 </w:t>
      </w:r>
      <w:r w:rsidR="00F95FB3" w:rsidRPr="004779F8">
        <w:rPr>
          <w:sz w:val="22"/>
          <w:szCs w:val="22"/>
          <w:lang w:val="en-GB"/>
        </w:rPr>
        <w:t xml:space="preserve">at MOP4 </w:t>
      </w:r>
      <w:r w:rsidRPr="004779F8">
        <w:rPr>
          <w:sz w:val="22"/>
          <w:szCs w:val="22"/>
          <w:lang w:val="en-GB"/>
        </w:rPr>
        <w:t xml:space="preserve">to </w:t>
      </w:r>
      <w:r w:rsidR="00F95FB3" w:rsidRPr="004779F8">
        <w:rPr>
          <w:sz w:val="22"/>
          <w:szCs w:val="22"/>
          <w:lang w:val="en-GB"/>
        </w:rPr>
        <w:t>7</w:t>
      </w:r>
      <w:r w:rsidR="00D73B08" w:rsidRPr="004779F8">
        <w:rPr>
          <w:sz w:val="22"/>
          <w:szCs w:val="22"/>
          <w:lang w:val="en-GB"/>
        </w:rPr>
        <w:t>7</w:t>
      </w:r>
      <w:r w:rsidR="00F95FB3" w:rsidRPr="004779F8">
        <w:rPr>
          <w:sz w:val="22"/>
          <w:szCs w:val="22"/>
          <w:lang w:val="en-GB"/>
        </w:rPr>
        <w:t xml:space="preserve"> at present</w:t>
      </w:r>
      <w:r w:rsidRPr="004779F8">
        <w:rPr>
          <w:sz w:val="22"/>
          <w:szCs w:val="22"/>
          <w:lang w:val="en-GB"/>
        </w:rPr>
        <w:t>, which is significantly below the threshold of the indicator</w:t>
      </w:r>
      <w:r w:rsidR="006C775F" w:rsidRPr="004779F8">
        <w:rPr>
          <w:sz w:val="22"/>
          <w:szCs w:val="22"/>
          <w:lang w:val="en-GB"/>
        </w:rPr>
        <w:t xml:space="preserve"> of Target 5.1</w:t>
      </w:r>
      <w:r w:rsidR="00F95FB3" w:rsidRPr="004779F8">
        <w:rPr>
          <w:sz w:val="22"/>
          <w:szCs w:val="22"/>
          <w:lang w:val="en-GB"/>
        </w:rPr>
        <w:t xml:space="preserve"> - </w:t>
      </w:r>
      <w:r w:rsidR="00F95FB3" w:rsidRPr="004779F8">
        <w:rPr>
          <w:i/>
          <w:sz w:val="22"/>
          <w:szCs w:val="22"/>
          <w:lang w:val="en-GB"/>
        </w:rPr>
        <w:t>at MOP</w:t>
      </w:r>
      <w:r w:rsidR="00D73B08" w:rsidRPr="004779F8">
        <w:rPr>
          <w:i/>
          <w:sz w:val="22"/>
          <w:szCs w:val="22"/>
          <w:lang w:val="en-GB"/>
        </w:rPr>
        <w:t>7</w:t>
      </w:r>
      <w:r w:rsidR="00F95FB3" w:rsidRPr="004779F8">
        <w:rPr>
          <w:i/>
          <w:sz w:val="22"/>
          <w:szCs w:val="22"/>
          <w:lang w:val="en-GB"/>
        </w:rPr>
        <w:t xml:space="preserve"> the Agreement should have had </w:t>
      </w:r>
      <w:r w:rsidR="00D73B08" w:rsidRPr="004779F8">
        <w:rPr>
          <w:i/>
          <w:sz w:val="22"/>
          <w:szCs w:val="22"/>
          <w:lang w:val="en-GB"/>
        </w:rPr>
        <w:t>90</w:t>
      </w:r>
      <w:r w:rsidR="00F95FB3" w:rsidRPr="004779F8">
        <w:rPr>
          <w:i/>
          <w:sz w:val="22"/>
          <w:szCs w:val="22"/>
          <w:lang w:val="en-GB"/>
        </w:rPr>
        <w:t xml:space="preserve"> Parties</w:t>
      </w:r>
      <w:r w:rsidRPr="004779F8">
        <w:rPr>
          <w:sz w:val="22"/>
          <w:szCs w:val="22"/>
          <w:lang w:val="en-GB"/>
        </w:rPr>
        <w:t xml:space="preserve">. </w:t>
      </w:r>
      <w:r w:rsidR="004A0D33" w:rsidRPr="004779F8">
        <w:rPr>
          <w:sz w:val="22"/>
          <w:szCs w:val="22"/>
          <w:lang w:val="en-GB"/>
        </w:rPr>
        <w:t>The pace has declined after MOP6 and only one African and one European country acceded. C</w:t>
      </w:r>
      <w:r w:rsidRPr="004779F8">
        <w:rPr>
          <w:sz w:val="22"/>
          <w:szCs w:val="22"/>
          <w:lang w:val="en-GB"/>
        </w:rPr>
        <w:t xml:space="preserve">entral Asia and the Middle East </w:t>
      </w:r>
      <w:r w:rsidR="00163D28" w:rsidRPr="004779F8">
        <w:rPr>
          <w:sz w:val="22"/>
          <w:szCs w:val="22"/>
          <w:lang w:val="en-GB"/>
        </w:rPr>
        <w:t xml:space="preserve">still </w:t>
      </w:r>
      <w:r w:rsidRPr="004779F8">
        <w:rPr>
          <w:sz w:val="22"/>
          <w:szCs w:val="22"/>
          <w:lang w:val="en-GB"/>
        </w:rPr>
        <w:t xml:space="preserve">largely remain white spots. </w:t>
      </w:r>
      <w:r w:rsidR="00F95FB3" w:rsidRPr="004779F8">
        <w:rPr>
          <w:sz w:val="22"/>
          <w:szCs w:val="22"/>
          <w:lang w:val="en-GB"/>
        </w:rPr>
        <w:t xml:space="preserve">The </w:t>
      </w:r>
      <w:r w:rsidR="004A0D33" w:rsidRPr="004779F8">
        <w:rPr>
          <w:sz w:val="22"/>
          <w:szCs w:val="22"/>
          <w:lang w:val="en-GB"/>
        </w:rPr>
        <w:t xml:space="preserve">target was not reached, but &gt;50% of the targeted number of new Contracting Parties has been recruited, which can </w:t>
      </w:r>
      <w:r w:rsidR="00613A29">
        <w:rPr>
          <w:sz w:val="22"/>
          <w:szCs w:val="22"/>
          <w:lang w:val="en-GB"/>
        </w:rPr>
        <w:t xml:space="preserve">be considered as </w:t>
      </w:r>
      <w:r w:rsidR="00613A29" w:rsidRPr="000F0222">
        <w:rPr>
          <w:i/>
          <w:sz w:val="22"/>
          <w:szCs w:val="22"/>
          <w:lang w:val="en-GB"/>
        </w:rPr>
        <w:t>good progress</w:t>
      </w:r>
      <w:r w:rsidR="004A0D33" w:rsidRPr="00613A29">
        <w:rPr>
          <w:sz w:val="22"/>
          <w:szCs w:val="22"/>
          <w:lang w:val="en-GB"/>
        </w:rPr>
        <w:t xml:space="preserve">. </w:t>
      </w:r>
      <w:r w:rsidR="00863D06" w:rsidRPr="00613A29">
        <w:rPr>
          <w:sz w:val="22"/>
          <w:szCs w:val="22"/>
          <w:lang w:val="en-GB"/>
        </w:rPr>
        <w:t xml:space="preserve">The work of the Secretariat to recruit new Parties </w:t>
      </w:r>
      <w:r w:rsidR="00187B27">
        <w:rPr>
          <w:sz w:val="22"/>
          <w:szCs w:val="22"/>
          <w:lang w:val="en-GB"/>
        </w:rPr>
        <w:t>should</w:t>
      </w:r>
      <w:r w:rsidR="00863D06" w:rsidRPr="00613A29">
        <w:rPr>
          <w:sz w:val="22"/>
          <w:szCs w:val="22"/>
          <w:lang w:val="en-GB"/>
        </w:rPr>
        <w:t xml:space="preserve"> be stronger, complemented by additional efforts from the Agreement’s Parties.</w:t>
      </w:r>
    </w:p>
    <w:p w14:paraId="0FBD86EC" w14:textId="77777777" w:rsidR="00B206C8" w:rsidRPr="000F0222" w:rsidRDefault="00B206C8" w:rsidP="00C64776">
      <w:pPr>
        <w:spacing w:line="276" w:lineRule="auto"/>
        <w:jc w:val="both"/>
        <w:rPr>
          <w:sz w:val="22"/>
          <w:szCs w:val="22"/>
          <w:lang w:val="en-GB"/>
        </w:rPr>
      </w:pPr>
    </w:p>
    <w:p w14:paraId="74EDCF9E" w14:textId="5410ECC7" w:rsidR="00B206C8" w:rsidRPr="000F0222" w:rsidRDefault="008E5484" w:rsidP="00C64776">
      <w:pPr>
        <w:spacing w:line="276" w:lineRule="auto"/>
        <w:jc w:val="both"/>
        <w:rPr>
          <w:sz w:val="22"/>
          <w:szCs w:val="22"/>
          <w:lang w:val="en-GB"/>
        </w:rPr>
      </w:pPr>
      <w:r w:rsidRPr="000F0222">
        <w:rPr>
          <w:sz w:val="22"/>
          <w:szCs w:val="22"/>
          <w:lang w:val="en-GB"/>
        </w:rPr>
        <w:t xml:space="preserve">There has been a </w:t>
      </w:r>
      <w:r w:rsidR="00863D06" w:rsidRPr="000F0222">
        <w:rPr>
          <w:sz w:val="22"/>
          <w:szCs w:val="22"/>
          <w:lang w:val="en-GB"/>
        </w:rPr>
        <w:t xml:space="preserve">significant </w:t>
      </w:r>
      <w:r w:rsidRPr="000F0222">
        <w:rPr>
          <w:sz w:val="22"/>
          <w:szCs w:val="22"/>
          <w:lang w:val="en-GB"/>
        </w:rPr>
        <w:t xml:space="preserve">progress </w:t>
      </w:r>
      <w:r w:rsidR="00163D28" w:rsidRPr="000F0222">
        <w:rPr>
          <w:sz w:val="22"/>
          <w:szCs w:val="22"/>
          <w:lang w:val="en-GB"/>
        </w:rPr>
        <w:t>i</w:t>
      </w:r>
      <w:r w:rsidRPr="000F0222">
        <w:rPr>
          <w:sz w:val="22"/>
          <w:szCs w:val="22"/>
          <w:lang w:val="en-GB"/>
        </w:rPr>
        <w:t>n establishing or reinforcing synergies with other Multilateral Environmental Agreements or other key partners (Target 5.3)</w:t>
      </w:r>
      <w:r w:rsidR="00F239C4" w:rsidRPr="000F0222">
        <w:rPr>
          <w:sz w:val="22"/>
          <w:szCs w:val="22"/>
          <w:lang w:val="en-GB"/>
        </w:rPr>
        <w:t>. E</w:t>
      </w:r>
      <w:r w:rsidRPr="000F0222">
        <w:rPr>
          <w:sz w:val="22"/>
          <w:szCs w:val="22"/>
          <w:lang w:val="en-GB"/>
        </w:rPr>
        <w:t xml:space="preserve">fforts should continue in this direction. </w:t>
      </w:r>
    </w:p>
    <w:p w14:paraId="6242CFF7" w14:textId="77777777" w:rsidR="008E5484" w:rsidRPr="000F0222" w:rsidRDefault="008E5484" w:rsidP="00C64776">
      <w:pPr>
        <w:spacing w:line="276" w:lineRule="auto"/>
        <w:jc w:val="both"/>
        <w:rPr>
          <w:sz w:val="22"/>
          <w:szCs w:val="22"/>
          <w:lang w:val="en-GB"/>
        </w:rPr>
      </w:pPr>
    </w:p>
    <w:p w14:paraId="38312267" w14:textId="68460948" w:rsidR="008E5484" w:rsidRPr="00613A29" w:rsidRDefault="00AC65BB" w:rsidP="00C64776">
      <w:pPr>
        <w:spacing w:line="276" w:lineRule="auto"/>
        <w:jc w:val="both"/>
        <w:rPr>
          <w:sz w:val="22"/>
          <w:szCs w:val="22"/>
          <w:lang w:val="en-GB"/>
        </w:rPr>
      </w:pPr>
      <w:r w:rsidRPr="000F0222">
        <w:rPr>
          <w:sz w:val="22"/>
          <w:szCs w:val="22"/>
          <w:lang w:val="en-GB"/>
        </w:rPr>
        <w:t xml:space="preserve">Only </w:t>
      </w:r>
      <w:r w:rsidR="0040114C" w:rsidRPr="000F0222">
        <w:rPr>
          <w:sz w:val="22"/>
          <w:szCs w:val="22"/>
          <w:lang w:val="en-GB"/>
        </w:rPr>
        <w:t xml:space="preserve">29% </w:t>
      </w:r>
      <w:r w:rsidR="00D06DE2" w:rsidRPr="000F0222">
        <w:rPr>
          <w:sz w:val="22"/>
          <w:szCs w:val="22"/>
          <w:lang w:val="en-GB"/>
        </w:rPr>
        <w:t xml:space="preserve">of what has been </w:t>
      </w:r>
      <w:r w:rsidR="004E37BA" w:rsidRPr="000F0222">
        <w:rPr>
          <w:sz w:val="22"/>
          <w:szCs w:val="22"/>
          <w:lang w:val="en-GB"/>
        </w:rPr>
        <w:t>targeted</w:t>
      </w:r>
      <w:r w:rsidR="00D06DE2" w:rsidRPr="000F0222">
        <w:rPr>
          <w:sz w:val="22"/>
          <w:szCs w:val="22"/>
          <w:lang w:val="en-GB"/>
        </w:rPr>
        <w:t xml:space="preserve"> </w:t>
      </w:r>
      <w:r w:rsidRPr="000F0222">
        <w:rPr>
          <w:sz w:val="22"/>
          <w:szCs w:val="22"/>
          <w:lang w:val="en-GB"/>
        </w:rPr>
        <w:t xml:space="preserve">has been disbursed through the Small Grants Fund (SGF) since MOP4 (Target 5.4). </w:t>
      </w:r>
      <w:r w:rsidR="0040114C" w:rsidRPr="000F0222">
        <w:rPr>
          <w:sz w:val="22"/>
          <w:szCs w:val="22"/>
          <w:lang w:val="en-GB"/>
        </w:rPr>
        <w:t xml:space="preserve">Regular and substantial </w:t>
      </w:r>
      <w:r w:rsidRPr="000F0222">
        <w:rPr>
          <w:sz w:val="22"/>
          <w:szCs w:val="22"/>
          <w:lang w:val="en-GB"/>
        </w:rPr>
        <w:t xml:space="preserve">voluntary contributions from Contracting Parties will be required </w:t>
      </w:r>
      <w:proofErr w:type="gramStart"/>
      <w:r w:rsidRPr="000F0222">
        <w:rPr>
          <w:sz w:val="22"/>
          <w:szCs w:val="22"/>
          <w:lang w:val="en-GB"/>
        </w:rPr>
        <w:t>in order to</w:t>
      </w:r>
      <w:proofErr w:type="gramEnd"/>
      <w:r w:rsidRPr="000F0222">
        <w:rPr>
          <w:sz w:val="22"/>
          <w:szCs w:val="22"/>
          <w:lang w:val="en-GB"/>
        </w:rPr>
        <w:t xml:space="preserve"> </w:t>
      </w:r>
      <w:r w:rsidR="0040114C" w:rsidRPr="000F0222">
        <w:rPr>
          <w:sz w:val="22"/>
          <w:szCs w:val="22"/>
          <w:lang w:val="en-GB"/>
        </w:rPr>
        <w:t xml:space="preserve">renew and </w:t>
      </w:r>
      <w:r w:rsidRPr="000F0222">
        <w:rPr>
          <w:sz w:val="22"/>
          <w:szCs w:val="22"/>
          <w:lang w:val="en-GB"/>
        </w:rPr>
        <w:t xml:space="preserve">maintain the operations of </w:t>
      </w:r>
      <w:r w:rsidR="00613A29">
        <w:rPr>
          <w:sz w:val="22"/>
          <w:szCs w:val="22"/>
          <w:lang w:val="en-GB"/>
        </w:rPr>
        <w:t xml:space="preserve">the </w:t>
      </w:r>
      <w:r w:rsidRPr="00613A29">
        <w:rPr>
          <w:sz w:val="22"/>
          <w:szCs w:val="22"/>
          <w:lang w:val="en-GB"/>
        </w:rPr>
        <w:t xml:space="preserve">SGF and it </w:t>
      </w:r>
      <w:r w:rsidR="00CD132B">
        <w:rPr>
          <w:sz w:val="22"/>
          <w:szCs w:val="22"/>
          <w:lang w:val="en-GB"/>
        </w:rPr>
        <w:t>should</w:t>
      </w:r>
      <w:r w:rsidR="00CD132B" w:rsidRPr="00613A29">
        <w:rPr>
          <w:sz w:val="22"/>
          <w:szCs w:val="22"/>
          <w:lang w:val="en-GB"/>
        </w:rPr>
        <w:t xml:space="preserve"> </w:t>
      </w:r>
      <w:r w:rsidRPr="00613A29">
        <w:rPr>
          <w:sz w:val="22"/>
          <w:szCs w:val="22"/>
          <w:lang w:val="en-GB"/>
        </w:rPr>
        <w:t>be also extended to eligible countries beyond the African region.</w:t>
      </w:r>
      <w:r w:rsidR="00562F2E" w:rsidRPr="00613A29">
        <w:rPr>
          <w:sz w:val="22"/>
          <w:szCs w:val="22"/>
          <w:lang w:val="en-GB"/>
        </w:rPr>
        <w:t xml:space="preserve"> The overall progress on this target has been assessed as limited. </w:t>
      </w:r>
    </w:p>
    <w:p w14:paraId="5001A3EE" w14:textId="77777777" w:rsidR="00AC65BB" w:rsidRPr="00613A29" w:rsidRDefault="00AC65BB" w:rsidP="00C64776">
      <w:pPr>
        <w:spacing w:line="276" w:lineRule="auto"/>
        <w:jc w:val="both"/>
        <w:rPr>
          <w:sz w:val="22"/>
          <w:szCs w:val="22"/>
          <w:lang w:val="en-GB"/>
        </w:rPr>
      </w:pPr>
    </w:p>
    <w:p w14:paraId="69FACB7B" w14:textId="61DEF80E" w:rsidR="00AC65BB" w:rsidRPr="00613A29" w:rsidRDefault="00791005" w:rsidP="00C64776">
      <w:pPr>
        <w:spacing w:line="276" w:lineRule="auto"/>
        <w:jc w:val="both"/>
        <w:rPr>
          <w:sz w:val="22"/>
          <w:szCs w:val="22"/>
          <w:lang w:val="en-GB"/>
        </w:rPr>
      </w:pPr>
      <w:r w:rsidRPr="00613A29">
        <w:rPr>
          <w:sz w:val="22"/>
          <w:szCs w:val="22"/>
          <w:lang w:val="en-GB"/>
        </w:rPr>
        <w:t>The rate of s</w:t>
      </w:r>
      <w:r w:rsidR="00904302" w:rsidRPr="00613A29">
        <w:rPr>
          <w:sz w:val="22"/>
          <w:szCs w:val="22"/>
          <w:lang w:val="en-GB"/>
        </w:rPr>
        <w:t xml:space="preserve">ubmission of national reports to </w:t>
      </w:r>
      <w:r w:rsidR="00084AAB" w:rsidRPr="00613A29">
        <w:rPr>
          <w:sz w:val="22"/>
          <w:szCs w:val="22"/>
          <w:lang w:val="en-GB"/>
        </w:rPr>
        <w:t>MOP7 reached its peak with 71%, which is the highest in the history of AEWA to date. However, s</w:t>
      </w:r>
      <w:r w:rsidR="00904302" w:rsidRPr="00613A29">
        <w:rPr>
          <w:sz w:val="22"/>
          <w:szCs w:val="22"/>
          <w:lang w:val="en-GB"/>
        </w:rPr>
        <w:t xml:space="preserve">ome of </w:t>
      </w:r>
      <w:r w:rsidRPr="00613A29">
        <w:rPr>
          <w:sz w:val="22"/>
          <w:szCs w:val="22"/>
          <w:lang w:val="en-GB"/>
        </w:rPr>
        <w:t xml:space="preserve">the Parties </w:t>
      </w:r>
      <w:r w:rsidR="00904302" w:rsidRPr="00613A29">
        <w:rPr>
          <w:sz w:val="22"/>
          <w:szCs w:val="22"/>
          <w:lang w:val="en-GB"/>
        </w:rPr>
        <w:t>have not reported to two, three</w:t>
      </w:r>
      <w:r w:rsidRPr="00613A29">
        <w:rPr>
          <w:sz w:val="22"/>
          <w:szCs w:val="22"/>
          <w:lang w:val="en-GB"/>
        </w:rPr>
        <w:t>,</w:t>
      </w:r>
      <w:r w:rsidR="00904302" w:rsidRPr="00613A29">
        <w:rPr>
          <w:sz w:val="22"/>
          <w:szCs w:val="22"/>
          <w:lang w:val="en-GB"/>
        </w:rPr>
        <w:t xml:space="preserve"> four </w:t>
      </w:r>
      <w:r w:rsidRPr="00613A29">
        <w:rPr>
          <w:sz w:val="22"/>
          <w:szCs w:val="22"/>
          <w:lang w:val="en-GB"/>
        </w:rPr>
        <w:t xml:space="preserve">or even </w:t>
      </w:r>
      <w:r w:rsidR="00084AAB" w:rsidRPr="00613A29">
        <w:rPr>
          <w:sz w:val="22"/>
          <w:szCs w:val="22"/>
          <w:lang w:val="en-GB"/>
        </w:rPr>
        <w:t xml:space="preserve">six </w:t>
      </w:r>
      <w:r w:rsidR="00904302" w:rsidRPr="00613A29">
        <w:rPr>
          <w:sz w:val="22"/>
          <w:szCs w:val="22"/>
          <w:lang w:val="en-GB"/>
        </w:rPr>
        <w:t>consecutive MOPs</w:t>
      </w:r>
      <w:r w:rsidRPr="00613A29">
        <w:rPr>
          <w:sz w:val="22"/>
          <w:szCs w:val="22"/>
          <w:lang w:val="en-GB"/>
        </w:rPr>
        <w:t xml:space="preserve">. </w:t>
      </w:r>
      <w:r w:rsidR="00904302" w:rsidRPr="00613A29">
        <w:rPr>
          <w:sz w:val="22"/>
          <w:szCs w:val="22"/>
          <w:lang w:val="en-GB"/>
        </w:rPr>
        <w:t xml:space="preserve"> </w:t>
      </w:r>
      <w:proofErr w:type="gramStart"/>
      <w:r w:rsidR="00EE134E" w:rsidRPr="00613A29">
        <w:rPr>
          <w:sz w:val="22"/>
          <w:szCs w:val="22"/>
          <w:lang w:val="en-GB"/>
        </w:rPr>
        <w:t>In order to</w:t>
      </w:r>
      <w:proofErr w:type="gramEnd"/>
      <w:r w:rsidR="00EE134E" w:rsidRPr="00613A29">
        <w:rPr>
          <w:sz w:val="22"/>
          <w:szCs w:val="22"/>
          <w:lang w:val="en-GB"/>
        </w:rPr>
        <w:t xml:space="preserve"> reach this target</w:t>
      </w:r>
      <w:r w:rsidR="00613A29">
        <w:rPr>
          <w:sz w:val="22"/>
          <w:szCs w:val="22"/>
          <w:lang w:val="en-GB"/>
        </w:rPr>
        <w:t>,</w:t>
      </w:r>
      <w:r w:rsidR="00EE134E" w:rsidRPr="00613A29">
        <w:rPr>
          <w:sz w:val="22"/>
          <w:szCs w:val="22"/>
          <w:lang w:val="en-GB"/>
        </w:rPr>
        <w:t xml:space="preserve"> Parties need to approach national reporting responsibly and address r</w:t>
      </w:r>
      <w:r w:rsidR="001D2662" w:rsidRPr="00613A29">
        <w:rPr>
          <w:sz w:val="22"/>
          <w:szCs w:val="22"/>
          <w:lang w:val="en-GB"/>
        </w:rPr>
        <w:t>eport quality and completeness, as well as timely submission. Funding permitting, training w</w:t>
      </w:r>
      <w:r w:rsidR="008C5535">
        <w:rPr>
          <w:sz w:val="22"/>
          <w:szCs w:val="22"/>
          <w:lang w:val="en-GB"/>
        </w:rPr>
        <w:t>ould</w:t>
      </w:r>
      <w:r w:rsidR="001D2662" w:rsidRPr="00613A29">
        <w:rPr>
          <w:sz w:val="22"/>
          <w:szCs w:val="22"/>
          <w:lang w:val="en-GB"/>
        </w:rPr>
        <w:t xml:space="preserve"> be useful to this end. </w:t>
      </w:r>
      <w:r w:rsidR="00084AAB" w:rsidRPr="00613A29">
        <w:rPr>
          <w:sz w:val="22"/>
          <w:szCs w:val="22"/>
          <w:lang w:val="en-GB"/>
        </w:rPr>
        <w:t xml:space="preserve">Despite the relatively high submission rate and its overall upward trend over the last decade, the </w:t>
      </w:r>
      <w:r w:rsidR="00084AAB" w:rsidRPr="000F0222">
        <w:rPr>
          <w:i/>
          <w:sz w:val="22"/>
          <w:szCs w:val="22"/>
          <w:lang w:val="en-GB"/>
        </w:rPr>
        <w:t>progress</w:t>
      </w:r>
      <w:r w:rsidR="00084AAB" w:rsidRPr="00613A29">
        <w:rPr>
          <w:sz w:val="22"/>
          <w:szCs w:val="22"/>
          <w:lang w:val="en-GB"/>
        </w:rPr>
        <w:t xml:space="preserve"> on </w:t>
      </w:r>
      <w:r w:rsidR="00A72414" w:rsidRPr="00613A29">
        <w:rPr>
          <w:sz w:val="22"/>
          <w:szCs w:val="22"/>
          <w:lang w:val="en-GB"/>
        </w:rPr>
        <w:t xml:space="preserve">this target has been assessed not higher than </w:t>
      </w:r>
      <w:r w:rsidR="00A72414" w:rsidRPr="000F0222">
        <w:rPr>
          <w:i/>
          <w:sz w:val="22"/>
          <w:szCs w:val="22"/>
          <w:lang w:val="en-GB"/>
        </w:rPr>
        <w:t xml:space="preserve">good </w:t>
      </w:r>
      <w:r w:rsidR="00A72414" w:rsidRPr="00613A29">
        <w:rPr>
          <w:sz w:val="22"/>
          <w:szCs w:val="22"/>
          <w:lang w:val="en-GB"/>
        </w:rPr>
        <w:t xml:space="preserve">due to the quality issues that need to be addressed yet. </w:t>
      </w:r>
    </w:p>
    <w:p w14:paraId="555D2EB6" w14:textId="77777777" w:rsidR="001D2662" w:rsidRPr="00613A29" w:rsidRDefault="001D2662" w:rsidP="00C64776">
      <w:pPr>
        <w:spacing w:line="276" w:lineRule="auto"/>
        <w:jc w:val="both"/>
        <w:rPr>
          <w:sz w:val="22"/>
          <w:szCs w:val="22"/>
          <w:lang w:val="en-GB"/>
        </w:rPr>
      </w:pPr>
    </w:p>
    <w:p w14:paraId="72D5CDB6" w14:textId="41DF1650" w:rsidR="003B0A54" w:rsidRPr="00613A29" w:rsidRDefault="003B0A54" w:rsidP="00C64776">
      <w:pPr>
        <w:spacing w:line="276" w:lineRule="auto"/>
        <w:jc w:val="both"/>
        <w:rPr>
          <w:sz w:val="22"/>
          <w:szCs w:val="22"/>
          <w:lang w:val="en-GB"/>
        </w:rPr>
      </w:pPr>
      <w:r w:rsidRPr="00613A29">
        <w:rPr>
          <w:sz w:val="22"/>
          <w:szCs w:val="22"/>
          <w:lang w:val="en-GB"/>
        </w:rPr>
        <w:t xml:space="preserve">Assessment on Target 5.8 on the recognition of AEWA by the other biodiversity-related MEAs </w:t>
      </w:r>
      <w:r w:rsidR="00920E6E" w:rsidRPr="00613A29">
        <w:rPr>
          <w:sz w:val="22"/>
          <w:szCs w:val="22"/>
          <w:lang w:val="en-GB"/>
        </w:rPr>
        <w:t>has not been performed. N</w:t>
      </w:r>
      <w:r w:rsidRPr="00613A29">
        <w:rPr>
          <w:sz w:val="22"/>
          <w:szCs w:val="22"/>
          <w:lang w:val="en-GB"/>
        </w:rPr>
        <w:t>o specific assessment has been made on Target 5.2 relat</w:t>
      </w:r>
      <w:r w:rsidR="008C5535">
        <w:rPr>
          <w:sz w:val="22"/>
          <w:szCs w:val="22"/>
          <w:lang w:val="en-GB"/>
        </w:rPr>
        <w:t>ing</w:t>
      </w:r>
      <w:r w:rsidRPr="00613A29">
        <w:rPr>
          <w:sz w:val="22"/>
          <w:szCs w:val="22"/>
          <w:lang w:val="en-GB"/>
        </w:rPr>
        <w:t xml:space="preserve"> to full funding for the implementation of the Strategic Plan. However, </w:t>
      </w:r>
      <w:proofErr w:type="gramStart"/>
      <w:r w:rsidRPr="00613A29">
        <w:rPr>
          <w:sz w:val="22"/>
          <w:szCs w:val="22"/>
          <w:lang w:val="en-GB"/>
        </w:rPr>
        <w:t>taking into account</w:t>
      </w:r>
      <w:proofErr w:type="gramEnd"/>
      <w:r w:rsidRPr="00613A29">
        <w:rPr>
          <w:sz w:val="22"/>
          <w:szCs w:val="22"/>
          <w:lang w:val="en-GB"/>
        </w:rPr>
        <w:t xml:space="preserve"> that progress towards a </w:t>
      </w:r>
      <w:r w:rsidR="00920E6E" w:rsidRPr="00613A29">
        <w:rPr>
          <w:sz w:val="22"/>
          <w:szCs w:val="22"/>
          <w:lang w:val="en-GB"/>
        </w:rPr>
        <w:t xml:space="preserve">substantial </w:t>
      </w:r>
      <w:r w:rsidRPr="00613A29">
        <w:rPr>
          <w:sz w:val="22"/>
          <w:szCs w:val="22"/>
          <w:lang w:val="en-GB"/>
        </w:rPr>
        <w:t xml:space="preserve">number of other targets has been limited and that in those cases funding has been restricted or not available, the </w:t>
      </w:r>
      <w:r w:rsidRPr="000F0222">
        <w:rPr>
          <w:i/>
          <w:sz w:val="22"/>
          <w:szCs w:val="22"/>
          <w:lang w:val="en-GB"/>
        </w:rPr>
        <w:t>progress</w:t>
      </w:r>
      <w:r w:rsidRPr="00613A29">
        <w:rPr>
          <w:sz w:val="22"/>
          <w:szCs w:val="22"/>
          <w:lang w:val="en-GB"/>
        </w:rPr>
        <w:t xml:space="preserve"> towards the latter has been judged as </w:t>
      </w:r>
      <w:r w:rsidRPr="000F0222">
        <w:rPr>
          <w:i/>
          <w:sz w:val="22"/>
          <w:szCs w:val="22"/>
          <w:lang w:val="en-GB"/>
        </w:rPr>
        <w:t>limited</w:t>
      </w:r>
      <w:r w:rsidRPr="00613A29">
        <w:rPr>
          <w:sz w:val="22"/>
          <w:szCs w:val="22"/>
          <w:lang w:val="en-GB"/>
        </w:rPr>
        <w:t>.</w:t>
      </w:r>
    </w:p>
    <w:p w14:paraId="0F41B7E8" w14:textId="77777777" w:rsidR="001D2662" w:rsidRPr="00613A29" w:rsidRDefault="001D2662" w:rsidP="003B0A54">
      <w:pPr>
        <w:jc w:val="both"/>
        <w:rPr>
          <w:sz w:val="22"/>
          <w:szCs w:val="22"/>
          <w:lang w:val="en-GB"/>
        </w:rPr>
      </w:pPr>
    </w:p>
    <w:p w14:paraId="6738EB43" w14:textId="77777777" w:rsidR="00793A5D" w:rsidRPr="00613A29" w:rsidRDefault="00793A5D" w:rsidP="003B0A54">
      <w:pPr>
        <w:jc w:val="both"/>
        <w:rPr>
          <w:sz w:val="22"/>
          <w:szCs w:val="22"/>
          <w:lang w:val="en-GB"/>
        </w:rPr>
      </w:pPr>
    </w:p>
    <w:p w14:paraId="0DA65B16" w14:textId="775F759E" w:rsidR="00793A5D" w:rsidRPr="00613A29" w:rsidRDefault="00793A5D" w:rsidP="00E568EA">
      <w:pPr>
        <w:shd w:val="clear" w:color="auto" w:fill="DBE5F1" w:themeFill="accent1" w:themeFillTint="33"/>
        <w:jc w:val="both"/>
        <w:rPr>
          <w:b/>
          <w:lang w:val="en-GB"/>
        </w:rPr>
      </w:pPr>
      <w:r w:rsidRPr="004779F8">
        <w:rPr>
          <w:b/>
          <w:lang w:val="en-GB"/>
        </w:rPr>
        <w:t xml:space="preserve">Recommendations </w:t>
      </w:r>
      <w:r w:rsidR="00D85A6B" w:rsidRPr="004779F8">
        <w:rPr>
          <w:b/>
          <w:lang w:val="en-GB"/>
        </w:rPr>
        <w:t xml:space="preserve">on </w:t>
      </w:r>
      <w:r w:rsidRPr="00613A29">
        <w:rPr>
          <w:b/>
          <w:lang w:val="en-GB"/>
        </w:rPr>
        <w:t xml:space="preserve">the implementation of the </w:t>
      </w:r>
      <w:r w:rsidR="00D85A6B" w:rsidRPr="00613A29">
        <w:rPr>
          <w:b/>
          <w:lang w:val="en-GB"/>
        </w:rPr>
        <w:t xml:space="preserve">new </w:t>
      </w:r>
      <w:r w:rsidRPr="00613A29">
        <w:rPr>
          <w:b/>
          <w:lang w:val="en-GB"/>
        </w:rPr>
        <w:t>Strategic Plan</w:t>
      </w:r>
      <w:r w:rsidR="00D85A6B" w:rsidRPr="00613A29">
        <w:rPr>
          <w:b/>
          <w:lang w:val="en-GB"/>
        </w:rPr>
        <w:t xml:space="preserve"> 2019-2027</w:t>
      </w:r>
    </w:p>
    <w:p w14:paraId="42010421" w14:textId="77777777" w:rsidR="00793A5D" w:rsidRPr="008C5535" w:rsidRDefault="00793A5D" w:rsidP="003B0A54">
      <w:pPr>
        <w:jc w:val="both"/>
        <w:rPr>
          <w:sz w:val="22"/>
          <w:szCs w:val="22"/>
          <w:lang w:val="en-GB"/>
        </w:rPr>
      </w:pPr>
    </w:p>
    <w:p w14:paraId="04F706A3" w14:textId="7DCEDBB2" w:rsidR="005D268C" w:rsidRPr="008C5535" w:rsidRDefault="009A5175" w:rsidP="00C64776">
      <w:pPr>
        <w:spacing w:line="276" w:lineRule="auto"/>
        <w:jc w:val="both"/>
        <w:rPr>
          <w:sz w:val="22"/>
          <w:szCs w:val="22"/>
          <w:lang w:val="en-GB"/>
        </w:rPr>
      </w:pPr>
      <w:r w:rsidRPr="008C5535">
        <w:rPr>
          <w:sz w:val="22"/>
          <w:szCs w:val="22"/>
          <w:lang w:val="en-GB"/>
        </w:rPr>
        <w:t xml:space="preserve">This </w:t>
      </w:r>
      <w:r w:rsidR="008C5535">
        <w:rPr>
          <w:sz w:val="22"/>
          <w:szCs w:val="22"/>
          <w:lang w:val="en-GB"/>
        </w:rPr>
        <w:t xml:space="preserve">is </w:t>
      </w:r>
      <w:r w:rsidRPr="008C5535">
        <w:rPr>
          <w:sz w:val="22"/>
          <w:szCs w:val="22"/>
          <w:lang w:val="en-GB"/>
        </w:rPr>
        <w:t>the final assessment of the implementation of the Strategic Plan 2009-2018, As such, any strengths, weaknesses, achievement</w:t>
      </w:r>
      <w:r w:rsidR="005D268C" w:rsidRPr="008C5535">
        <w:rPr>
          <w:sz w:val="22"/>
          <w:szCs w:val="22"/>
          <w:lang w:val="en-GB"/>
        </w:rPr>
        <w:t>s</w:t>
      </w:r>
      <w:r w:rsidRPr="008C5535">
        <w:rPr>
          <w:sz w:val="22"/>
          <w:szCs w:val="22"/>
          <w:lang w:val="en-GB"/>
        </w:rPr>
        <w:t xml:space="preserve"> and deficiencies identified will provide useful </w:t>
      </w:r>
      <w:r w:rsidR="005D268C" w:rsidRPr="008C5535">
        <w:rPr>
          <w:sz w:val="22"/>
          <w:szCs w:val="22"/>
          <w:lang w:val="en-GB"/>
        </w:rPr>
        <w:t>lessons learnt and a starting point</w:t>
      </w:r>
      <w:r w:rsidRPr="008C5535">
        <w:rPr>
          <w:sz w:val="22"/>
          <w:szCs w:val="22"/>
          <w:lang w:val="en-GB"/>
        </w:rPr>
        <w:t xml:space="preserve"> to the launch of the implementation process of </w:t>
      </w:r>
      <w:r w:rsidR="00A165BA" w:rsidRPr="008C5535">
        <w:rPr>
          <w:sz w:val="22"/>
          <w:szCs w:val="22"/>
          <w:lang w:val="en-GB"/>
        </w:rPr>
        <w:t xml:space="preserve">the </w:t>
      </w:r>
      <w:r w:rsidR="005D268C" w:rsidRPr="008C5535">
        <w:rPr>
          <w:sz w:val="22"/>
          <w:szCs w:val="22"/>
          <w:lang w:val="en-GB"/>
        </w:rPr>
        <w:t>new Strategic Plan for 2019-2027.</w:t>
      </w:r>
    </w:p>
    <w:p w14:paraId="3C43D143" w14:textId="77777777" w:rsidR="005D268C" w:rsidRPr="008C5535" w:rsidRDefault="005D268C" w:rsidP="00C64776">
      <w:pPr>
        <w:spacing w:line="276" w:lineRule="auto"/>
        <w:jc w:val="both"/>
        <w:rPr>
          <w:sz w:val="22"/>
          <w:szCs w:val="22"/>
          <w:lang w:val="en-GB"/>
        </w:rPr>
      </w:pPr>
    </w:p>
    <w:p w14:paraId="235A0617" w14:textId="3BACD845" w:rsidR="004854DB" w:rsidRPr="008C5535" w:rsidRDefault="005D268C" w:rsidP="00C64776">
      <w:pPr>
        <w:spacing w:line="276" w:lineRule="auto"/>
        <w:jc w:val="both"/>
        <w:rPr>
          <w:sz w:val="22"/>
          <w:szCs w:val="22"/>
          <w:lang w:val="en-GB"/>
        </w:rPr>
      </w:pPr>
      <w:r w:rsidRPr="008C5535">
        <w:rPr>
          <w:sz w:val="22"/>
          <w:szCs w:val="22"/>
          <w:lang w:val="en-GB"/>
        </w:rPr>
        <w:t xml:space="preserve">While the </w:t>
      </w:r>
      <w:r w:rsidR="007C3A65" w:rsidRPr="008C5535">
        <w:rPr>
          <w:sz w:val="22"/>
          <w:szCs w:val="22"/>
          <w:lang w:val="en-GB"/>
        </w:rPr>
        <w:t xml:space="preserve">overall implementation </w:t>
      </w:r>
      <w:r w:rsidRPr="008C5535">
        <w:rPr>
          <w:sz w:val="22"/>
          <w:szCs w:val="22"/>
          <w:lang w:val="en-GB"/>
        </w:rPr>
        <w:t>of the Strategic Plan 2009-2018 has been ranked average</w:t>
      </w:r>
      <w:r w:rsidR="00A165BA" w:rsidRPr="008C5535">
        <w:rPr>
          <w:sz w:val="22"/>
          <w:szCs w:val="22"/>
          <w:lang w:val="en-GB"/>
        </w:rPr>
        <w:t>, but with an improving trend over</w:t>
      </w:r>
      <w:r w:rsidRPr="008C5535">
        <w:rPr>
          <w:sz w:val="22"/>
          <w:szCs w:val="22"/>
          <w:lang w:val="en-GB"/>
        </w:rPr>
        <w:t xml:space="preserve"> the decade, </w:t>
      </w:r>
      <w:r w:rsidR="00CE3405" w:rsidRPr="008C5535">
        <w:rPr>
          <w:sz w:val="22"/>
          <w:szCs w:val="22"/>
          <w:lang w:val="en-GB"/>
        </w:rPr>
        <w:t xml:space="preserve">the goal </w:t>
      </w:r>
      <w:r w:rsidRPr="008C5535">
        <w:rPr>
          <w:sz w:val="22"/>
          <w:szCs w:val="22"/>
          <w:lang w:val="en-GB"/>
        </w:rPr>
        <w:t>has been assessed as highly insufficiently achieved</w:t>
      </w:r>
      <w:r w:rsidR="00CE3405" w:rsidRPr="008C5535">
        <w:rPr>
          <w:sz w:val="22"/>
          <w:szCs w:val="22"/>
          <w:lang w:val="en-GB"/>
        </w:rPr>
        <w:t xml:space="preserve">. </w:t>
      </w:r>
      <w:r w:rsidR="00AA6CDC" w:rsidRPr="008C5535">
        <w:rPr>
          <w:sz w:val="22"/>
          <w:szCs w:val="22"/>
          <w:lang w:val="en-GB"/>
        </w:rPr>
        <w:t>This discrepancy points t</w:t>
      </w:r>
      <w:r w:rsidRPr="008C5535">
        <w:rPr>
          <w:sz w:val="22"/>
          <w:szCs w:val="22"/>
          <w:lang w:val="en-GB"/>
        </w:rPr>
        <w:t>o</w:t>
      </w:r>
      <w:r w:rsidR="00AA6CDC" w:rsidRPr="008C5535">
        <w:rPr>
          <w:sz w:val="22"/>
          <w:szCs w:val="22"/>
          <w:lang w:val="en-GB"/>
        </w:rPr>
        <w:t xml:space="preserve"> the need to allocate more attention to targets that can make a tangible difference in the status of the AEWA species. T</w:t>
      </w:r>
      <w:r w:rsidRPr="008C5535">
        <w:rPr>
          <w:sz w:val="22"/>
          <w:szCs w:val="22"/>
          <w:lang w:val="en-GB"/>
        </w:rPr>
        <w:t>wo</w:t>
      </w:r>
      <w:r w:rsidR="00AA6CDC" w:rsidRPr="008C5535">
        <w:rPr>
          <w:sz w:val="22"/>
          <w:szCs w:val="22"/>
          <w:lang w:val="en-GB"/>
        </w:rPr>
        <w:t xml:space="preserve"> </w:t>
      </w:r>
      <w:r w:rsidRPr="008C5535">
        <w:rPr>
          <w:sz w:val="22"/>
          <w:szCs w:val="22"/>
          <w:lang w:val="en-GB"/>
        </w:rPr>
        <w:t xml:space="preserve">of the three </w:t>
      </w:r>
      <w:r w:rsidR="00AA6CDC" w:rsidRPr="008C5535">
        <w:rPr>
          <w:sz w:val="22"/>
          <w:szCs w:val="22"/>
          <w:lang w:val="en-GB"/>
        </w:rPr>
        <w:t xml:space="preserve">targets </w:t>
      </w:r>
      <w:r w:rsidR="008C5535" w:rsidRPr="008C5535">
        <w:rPr>
          <w:sz w:val="22"/>
          <w:szCs w:val="22"/>
          <w:lang w:val="en-GB"/>
        </w:rPr>
        <w:t xml:space="preserve">reached </w:t>
      </w:r>
      <w:r w:rsidR="00AA6CDC" w:rsidRPr="008C5535">
        <w:rPr>
          <w:sz w:val="22"/>
          <w:szCs w:val="22"/>
          <w:lang w:val="en-GB"/>
        </w:rPr>
        <w:t xml:space="preserve">relate to capacity building of government staff and to </w:t>
      </w:r>
      <w:r w:rsidR="00AA6CDC" w:rsidRPr="008C5535">
        <w:rPr>
          <w:sz w:val="22"/>
          <w:szCs w:val="22"/>
          <w:lang w:val="en-GB"/>
        </w:rPr>
        <w:lastRenderedPageBreak/>
        <w:t>implementation of awareness</w:t>
      </w:r>
      <w:r w:rsidR="00163D28" w:rsidRPr="008C5535">
        <w:rPr>
          <w:sz w:val="22"/>
          <w:szCs w:val="22"/>
          <w:lang w:val="en-GB"/>
        </w:rPr>
        <w:t>-</w:t>
      </w:r>
      <w:r w:rsidR="00AA6CDC" w:rsidRPr="008C5535">
        <w:rPr>
          <w:sz w:val="22"/>
          <w:szCs w:val="22"/>
          <w:lang w:val="en-GB"/>
        </w:rPr>
        <w:t xml:space="preserve">raising activities, both of which are prerequisites for conservation outcome, but could hardly deliver such without being complemented by </w:t>
      </w:r>
      <w:r w:rsidR="00163D28" w:rsidRPr="008C5535">
        <w:rPr>
          <w:sz w:val="22"/>
          <w:szCs w:val="22"/>
          <w:lang w:val="en-GB"/>
        </w:rPr>
        <w:t xml:space="preserve">a </w:t>
      </w:r>
      <w:r w:rsidR="00AA6CDC" w:rsidRPr="008C5535">
        <w:rPr>
          <w:sz w:val="22"/>
          <w:szCs w:val="22"/>
          <w:lang w:val="en-GB"/>
        </w:rPr>
        <w:t xml:space="preserve">stronger focus on </w:t>
      </w:r>
      <w:r w:rsidR="00A3558B" w:rsidRPr="008C5535">
        <w:rPr>
          <w:sz w:val="22"/>
          <w:szCs w:val="22"/>
          <w:lang w:val="en-GB"/>
        </w:rPr>
        <w:t xml:space="preserve">targets that can directly influence the status of the AEWA </w:t>
      </w:r>
      <w:proofErr w:type="spellStart"/>
      <w:r w:rsidR="00A3558B" w:rsidRPr="008C5535">
        <w:rPr>
          <w:sz w:val="22"/>
          <w:szCs w:val="22"/>
          <w:lang w:val="en-GB"/>
        </w:rPr>
        <w:t>waterbirds</w:t>
      </w:r>
      <w:proofErr w:type="spellEnd"/>
      <w:r w:rsidR="00A3558B" w:rsidRPr="008C5535">
        <w:rPr>
          <w:sz w:val="22"/>
          <w:szCs w:val="22"/>
          <w:lang w:val="en-GB"/>
        </w:rPr>
        <w:t xml:space="preserve">. </w:t>
      </w:r>
      <w:r w:rsidRPr="008C5535">
        <w:rPr>
          <w:b/>
          <w:sz w:val="22"/>
          <w:szCs w:val="22"/>
          <w:lang w:val="en-GB"/>
        </w:rPr>
        <w:t xml:space="preserve">The third target </w:t>
      </w:r>
      <w:r w:rsidR="008C5535" w:rsidRPr="008C5535">
        <w:rPr>
          <w:b/>
          <w:sz w:val="22"/>
          <w:szCs w:val="22"/>
          <w:lang w:val="en-GB"/>
        </w:rPr>
        <w:t xml:space="preserve">reached </w:t>
      </w:r>
      <w:r w:rsidRPr="008C5535">
        <w:rPr>
          <w:b/>
          <w:sz w:val="22"/>
          <w:szCs w:val="22"/>
          <w:lang w:val="en-GB"/>
        </w:rPr>
        <w:t xml:space="preserve">deals with adaptive harvest management </w:t>
      </w:r>
      <w:r w:rsidR="00A165BA" w:rsidRPr="008C5535">
        <w:rPr>
          <w:b/>
          <w:sz w:val="22"/>
          <w:szCs w:val="22"/>
          <w:lang w:val="en-GB"/>
        </w:rPr>
        <w:t>of quarry populations.</w:t>
      </w:r>
      <w:r w:rsidR="00A165BA" w:rsidRPr="008C5535">
        <w:rPr>
          <w:sz w:val="22"/>
          <w:szCs w:val="22"/>
          <w:lang w:val="en-GB"/>
        </w:rPr>
        <w:t xml:space="preserve"> This is a tangible target, but it has a modest threshold </w:t>
      </w:r>
      <w:r w:rsidR="003B733F" w:rsidRPr="008C5535">
        <w:rPr>
          <w:sz w:val="22"/>
          <w:szCs w:val="22"/>
          <w:lang w:val="en-GB"/>
        </w:rPr>
        <w:t xml:space="preserve">(very few populations addressed) and </w:t>
      </w:r>
      <w:r w:rsidR="008C5535">
        <w:rPr>
          <w:sz w:val="22"/>
          <w:szCs w:val="22"/>
          <w:lang w:val="en-GB"/>
        </w:rPr>
        <w:t xml:space="preserve">a </w:t>
      </w:r>
      <w:r w:rsidR="003B733F" w:rsidRPr="008C5535">
        <w:rPr>
          <w:sz w:val="22"/>
          <w:szCs w:val="22"/>
          <w:lang w:val="en-GB"/>
        </w:rPr>
        <w:t xml:space="preserve">longer </w:t>
      </w:r>
      <w:proofErr w:type="gramStart"/>
      <w:r w:rsidR="003B733F" w:rsidRPr="008C5535">
        <w:rPr>
          <w:sz w:val="22"/>
          <w:szCs w:val="22"/>
          <w:lang w:val="en-GB"/>
        </w:rPr>
        <w:t>period of time</w:t>
      </w:r>
      <w:proofErr w:type="gramEnd"/>
      <w:r w:rsidR="008C5535">
        <w:rPr>
          <w:sz w:val="22"/>
          <w:szCs w:val="22"/>
          <w:lang w:val="en-GB"/>
        </w:rPr>
        <w:t xml:space="preserve"> will be required in order to be able to achieve a noticeable change</w:t>
      </w:r>
      <w:r w:rsidR="003B733F" w:rsidRPr="008C5535">
        <w:rPr>
          <w:sz w:val="22"/>
          <w:szCs w:val="22"/>
          <w:lang w:val="en-GB"/>
        </w:rPr>
        <w:t xml:space="preserve">. </w:t>
      </w:r>
      <w:r w:rsidR="003B733F" w:rsidRPr="008C5535">
        <w:rPr>
          <w:b/>
          <w:sz w:val="22"/>
          <w:szCs w:val="22"/>
          <w:lang w:val="en-GB"/>
        </w:rPr>
        <w:t xml:space="preserve">The work implemented under this target needs to be broadened and further strengthened </w:t>
      </w:r>
      <w:proofErr w:type="gramStart"/>
      <w:r w:rsidR="000E6455" w:rsidRPr="008C5535">
        <w:rPr>
          <w:b/>
          <w:sz w:val="22"/>
          <w:szCs w:val="22"/>
          <w:lang w:val="en-GB"/>
        </w:rPr>
        <w:t>in the course of</w:t>
      </w:r>
      <w:proofErr w:type="gramEnd"/>
      <w:r w:rsidR="000E6455" w:rsidRPr="008C5535">
        <w:rPr>
          <w:b/>
          <w:sz w:val="22"/>
          <w:szCs w:val="22"/>
          <w:lang w:val="en-GB"/>
        </w:rPr>
        <w:t xml:space="preserve"> the new Strategic Plan 2019-2027.</w:t>
      </w:r>
      <w:r w:rsidR="000E6455" w:rsidRPr="008C5535">
        <w:rPr>
          <w:sz w:val="22"/>
          <w:szCs w:val="22"/>
          <w:lang w:val="en-GB"/>
        </w:rPr>
        <w:t xml:space="preserve"> </w:t>
      </w:r>
      <w:r w:rsidR="003B733F" w:rsidRPr="008C5535">
        <w:rPr>
          <w:sz w:val="22"/>
          <w:szCs w:val="22"/>
          <w:lang w:val="en-GB"/>
        </w:rPr>
        <w:t xml:space="preserve"> </w:t>
      </w:r>
    </w:p>
    <w:p w14:paraId="21EA6C2F" w14:textId="77777777" w:rsidR="002E131E" w:rsidRPr="008C5535" w:rsidRDefault="002E131E" w:rsidP="00C64776">
      <w:pPr>
        <w:spacing w:line="276" w:lineRule="auto"/>
        <w:jc w:val="both"/>
        <w:rPr>
          <w:sz w:val="22"/>
          <w:szCs w:val="22"/>
          <w:lang w:val="en-GB"/>
        </w:rPr>
      </w:pPr>
    </w:p>
    <w:p w14:paraId="4797843A" w14:textId="70F1A0BC" w:rsidR="00DC5CEC" w:rsidRPr="008C5535" w:rsidRDefault="008C5535" w:rsidP="00C64776">
      <w:pPr>
        <w:spacing w:line="276" w:lineRule="auto"/>
        <w:jc w:val="both"/>
        <w:rPr>
          <w:sz w:val="22"/>
          <w:szCs w:val="22"/>
          <w:lang w:val="en-GB"/>
        </w:rPr>
      </w:pPr>
      <w:proofErr w:type="gramStart"/>
      <w:r>
        <w:rPr>
          <w:sz w:val="22"/>
          <w:szCs w:val="22"/>
          <w:lang w:val="en-GB"/>
        </w:rPr>
        <w:t>The m</w:t>
      </w:r>
      <w:r w:rsidR="00DC5CEC" w:rsidRPr="008C5535">
        <w:rPr>
          <w:sz w:val="22"/>
          <w:szCs w:val="22"/>
          <w:lang w:val="en-GB"/>
        </w:rPr>
        <w:t>ajority of</w:t>
      </w:r>
      <w:proofErr w:type="gramEnd"/>
      <w:r w:rsidR="00DC5CEC" w:rsidRPr="008C5535">
        <w:rPr>
          <w:sz w:val="22"/>
          <w:szCs w:val="22"/>
          <w:lang w:val="en-GB"/>
        </w:rPr>
        <w:t xml:space="preserve"> the objectives and targets of the current Strategic Plan</w:t>
      </w:r>
      <w:r w:rsidR="007438D3" w:rsidRPr="008C5535">
        <w:rPr>
          <w:sz w:val="22"/>
          <w:szCs w:val="22"/>
          <w:lang w:val="en-GB"/>
        </w:rPr>
        <w:t>,</w:t>
      </w:r>
      <w:r w:rsidR="00DC5CEC" w:rsidRPr="008C5535">
        <w:rPr>
          <w:sz w:val="22"/>
          <w:szCs w:val="22"/>
          <w:lang w:val="en-GB"/>
        </w:rPr>
        <w:t xml:space="preserve"> </w:t>
      </w:r>
      <w:r w:rsidR="007438D3" w:rsidRPr="008C5535">
        <w:rPr>
          <w:sz w:val="22"/>
          <w:szCs w:val="22"/>
          <w:lang w:val="en-GB"/>
        </w:rPr>
        <w:t xml:space="preserve">or their successors, </w:t>
      </w:r>
      <w:r w:rsidR="00DC5CEC" w:rsidRPr="008C5535">
        <w:rPr>
          <w:sz w:val="22"/>
          <w:szCs w:val="22"/>
          <w:lang w:val="en-GB"/>
        </w:rPr>
        <w:t>have been carried over into the new one. Based on the performance against those objectives and targets</w:t>
      </w:r>
      <w:r w:rsidR="007438D3" w:rsidRPr="008C5535">
        <w:rPr>
          <w:sz w:val="22"/>
          <w:szCs w:val="22"/>
          <w:lang w:val="en-GB"/>
        </w:rPr>
        <w:t xml:space="preserve"> in the past decade, </w:t>
      </w:r>
      <w:proofErr w:type="gramStart"/>
      <w:r w:rsidR="007438D3" w:rsidRPr="008C5535">
        <w:rPr>
          <w:sz w:val="22"/>
          <w:szCs w:val="22"/>
          <w:lang w:val="en-GB"/>
        </w:rPr>
        <w:t>a number of</w:t>
      </w:r>
      <w:proofErr w:type="gramEnd"/>
      <w:r w:rsidR="007438D3" w:rsidRPr="008C5535">
        <w:rPr>
          <w:sz w:val="22"/>
          <w:szCs w:val="22"/>
          <w:lang w:val="en-GB"/>
        </w:rPr>
        <w:t xml:space="preserve"> </w:t>
      </w:r>
      <w:r w:rsidR="000C3C99" w:rsidRPr="008C5535">
        <w:rPr>
          <w:sz w:val="22"/>
          <w:szCs w:val="22"/>
          <w:lang w:val="en-GB"/>
        </w:rPr>
        <w:t xml:space="preserve">additional </w:t>
      </w:r>
      <w:r w:rsidR="007438D3" w:rsidRPr="008C5535">
        <w:rPr>
          <w:sz w:val="22"/>
          <w:szCs w:val="22"/>
          <w:lang w:val="en-GB"/>
        </w:rPr>
        <w:t xml:space="preserve">recommendations </w:t>
      </w:r>
      <w:r w:rsidR="000C3C99" w:rsidRPr="008C5535">
        <w:rPr>
          <w:sz w:val="22"/>
          <w:szCs w:val="22"/>
          <w:lang w:val="en-GB"/>
        </w:rPr>
        <w:t xml:space="preserve">to the ones above </w:t>
      </w:r>
      <w:r w:rsidR="007438D3" w:rsidRPr="008C5535">
        <w:rPr>
          <w:sz w:val="22"/>
          <w:szCs w:val="22"/>
          <w:lang w:val="en-GB"/>
        </w:rPr>
        <w:t xml:space="preserve">can be made to focus the attention on areas of work that need to be strengthened in order to deliver tangible conservation output. </w:t>
      </w:r>
    </w:p>
    <w:p w14:paraId="21D650A1" w14:textId="77777777" w:rsidR="008C5535" w:rsidRPr="008C5535" w:rsidRDefault="008C5535" w:rsidP="000F0222">
      <w:pPr>
        <w:spacing w:line="276" w:lineRule="auto"/>
        <w:jc w:val="both"/>
        <w:rPr>
          <w:sz w:val="22"/>
          <w:szCs w:val="22"/>
          <w:lang w:val="en-GB"/>
        </w:rPr>
      </w:pPr>
    </w:p>
    <w:p w14:paraId="6CFF6C2C" w14:textId="77777777" w:rsidR="00C8008E" w:rsidRDefault="00C8008E"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05666903" w14:textId="6CED771C" w:rsidR="00336716" w:rsidRPr="000F0222" w:rsidRDefault="006D725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1. </w:t>
      </w:r>
      <w:r w:rsidR="007438D3" w:rsidRPr="000F0222">
        <w:rPr>
          <w:sz w:val="22"/>
          <w:szCs w:val="22"/>
          <w:lang w:val="en-GB"/>
        </w:rPr>
        <w:t>It is of fundamental importance that</w:t>
      </w:r>
      <w:r w:rsidR="00E95A82" w:rsidRPr="000F0222">
        <w:rPr>
          <w:sz w:val="22"/>
          <w:szCs w:val="22"/>
          <w:lang w:val="en-GB"/>
        </w:rPr>
        <w:t xml:space="preserve"> </w:t>
      </w:r>
      <w:r w:rsidR="007438D3" w:rsidRPr="000F0222">
        <w:rPr>
          <w:sz w:val="22"/>
          <w:szCs w:val="22"/>
          <w:lang w:val="en-GB"/>
        </w:rPr>
        <w:t>a</w:t>
      </w:r>
      <w:r w:rsidR="00E95A82" w:rsidRPr="000F0222">
        <w:rPr>
          <w:sz w:val="22"/>
          <w:szCs w:val="22"/>
          <w:lang w:val="en-GB"/>
        </w:rPr>
        <w:t xml:space="preserve">ll Parties </w:t>
      </w:r>
      <w:r w:rsidR="00CD132B">
        <w:rPr>
          <w:sz w:val="22"/>
          <w:szCs w:val="22"/>
          <w:lang w:val="en-GB"/>
        </w:rPr>
        <w:t>should</w:t>
      </w:r>
      <w:r w:rsidR="00E95A82" w:rsidRPr="000F0222">
        <w:rPr>
          <w:sz w:val="22"/>
          <w:szCs w:val="22"/>
          <w:lang w:val="en-GB"/>
        </w:rPr>
        <w:t xml:space="preserve">, as a matter of </w:t>
      </w:r>
      <w:r w:rsidR="00CC3EF4" w:rsidRPr="000F0222">
        <w:rPr>
          <w:sz w:val="22"/>
          <w:szCs w:val="22"/>
          <w:lang w:val="en-GB"/>
        </w:rPr>
        <w:t>urgency</w:t>
      </w:r>
      <w:r w:rsidR="007438D3" w:rsidRPr="000F0222">
        <w:rPr>
          <w:sz w:val="22"/>
          <w:szCs w:val="22"/>
          <w:lang w:val="en-GB"/>
        </w:rPr>
        <w:t xml:space="preserve"> and priority</w:t>
      </w:r>
      <w:r w:rsidR="00E95A82" w:rsidRPr="000F0222">
        <w:rPr>
          <w:sz w:val="22"/>
          <w:szCs w:val="22"/>
          <w:lang w:val="en-GB"/>
        </w:rPr>
        <w:t xml:space="preserve">, </w:t>
      </w:r>
      <w:r w:rsidR="00E95A82" w:rsidRPr="000F0222">
        <w:rPr>
          <w:b/>
          <w:sz w:val="22"/>
          <w:szCs w:val="22"/>
          <w:u w:val="single"/>
          <w:lang w:val="en-GB"/>
        </w:rPr>
        <w:t>adjust their national legislation</w:t>
      </w:r>
      <w:r w:rsidR="00E95A82" w:rsidRPr="000F0222">
        <w:rPr>
          <w:sz w:val="22"/>
          <w:szCs w:val="22"/>
          <w:u w:val="single"/>
          <w:lang w:val="en-GB"/>
        </w:rPr>
        <w:t xml:space="preserve"> </w:t>
      </w:r>
      <w:r w:rsidR="00E95A82" w:rsidRPr="000F0222">
        <w:rPr>
          <w:b/>
          <w:sz w:val="22"/>
          <w:szCs w:val="22"/>
          <w:u w:val="single"/>
          <w:lang w:val="en-GB"/>
        </w:rPr>
        <w:t>so as to provide full protection to all Column A-listed species</w:t>
      </w:r>
      <w:r w:rsidR="00E95A82" w:rsidRPr="000F0222">
        <w:rPr>
          <w:sz w:val="22"/>
          <w:szCs w:val="22"/>
          <w:u w:val="single"/>
          <w:lang w:val="en-GB"/>
        </w:rPr>
        <w:t xml:space="preserve"> </w:t>
      </w:r>
      <w:r w:rsidR="00E95A82" w:rsidRPr="000F0222">
        <w:rPr>
          <w:sz w:val="22"/>
          <w:szCs w:val="22"/>
          <w:lang w:val="en-GB"/>
        </w:rPr>
        <w:t>occurring on their territory</w:t>
      </w:r>
      <w:r w:rsidR="007438D3" w:rsidRPr="000F0222">
        <w:rPr>
          <w:sz w:val="22"/>
          <w:szCs w:val="22"/>
          <w:lang w:val="en-GB"/>
        </w:rPr>
        <w:t xml:space="preserve"> and review this regularly in line with the amendments to AEWA Annex 3, Table 1 adopted by each session of the MOP</w:t>
      </w:r>
      <w:r w:rsidR="00692FBB" w:rsidRPr="000F0222">
        <w:rPr>
          <w:sz w:val="22"/>
          <w:szCs w:val="22"/>
          <w:lang w:val="en-GB"/>
        </w:rPr>
        <w:t xml:space="preserve"> in order to </w:t>
      </w:r>
      <w:r w:rsidR="0057527D" w:rsidRPr="000F0222">
        <w:rPr>
          <w:sz w:val="22"/>
          <w:szCs w:val="22"/>
          <w:lang w:val="en-GB"/>
        </w:rPr>
        <w:t>provide for effective conservation and to</w:t>
      </w:r>
      <w:r w:rsidR="00692FBB" w:rsidRPr="000F0222">
        <w:rPr>
          <w:sz w:val="22"/>
          <w:szCs w:val="22"/>
          <w:lang w:val="en-GB"/>
        </w:rPr>
        <w:t xml:space="preserve"> address the </w:t>
      </w:r>
      <w:r w:rsidR="0057527D" w:rsidRPr="000F0222">
        <w:rPr>
          <w:sz w:val="22"/>
          <w:szCs w:val="22"/>
          <w:lang w:val="en-GB"/>
        </w:rPr>
        <w:t xml:space="preserve">currently </w:t>
      </w:r>
      <w:r w:rsidR="00692FBB" w:rsidRPr="000F0222">
        <w:rPr>
          <w:sz w:val="22"/>
          <w:szCs w:val="22"/>
          <w:lang w:val="en-GB"/>
        </w:rPr>
        <w:t>low level of compliance with the provisions of the Agreement</w:t>
      </w:r>
      <w:r w:rsidR="00E95A82" w:rsidRPr="000F0222">
        <w:rPr>
          <w:sz w:val="22"/>
          <w:szCs w:val="22"/>
          <w:lang w:val="en-GB"/>
        </w:rPr>
        <w:t>;</w:t>
      </w:r>
    </w:p>
    <w:p w14:paraId="44D75CA6" w14:textId="77777777" w:rsidR="00E95A82" w:rsidRPr="00C8008E" w:rsidRDefault="00E95A82"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1"/>
          <w:szCs w:val="21"/>
          <w:lang w:val="en-GB"/>
        </w:rPr>
      </w:pPr>
    </w:p>
    <w:p w14:paraId="334E6501" w14:textId="069781E8" w:rsidR="005F2323" w:rsidRPr="000F0222" w:rsidRDefault="005F2323"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2. Parties and other involved stakeholders </w:t>
      </w:r>
      <w:r w:rsidR="00CD132B">
        <w:rPr>
          <w:sz w:val="22"/>
          <w:szCs w:val="22"/>
          <w:lang w:val="en-GB"/>
        </w:rPr>
        <w:t>should</w:t>
      </w:r>
      <w:r w:rsidR="00CD132B" w:rsidRPr="000F0222">
        <w:rPr>
          <w:sz w:val="22"/>
          <w:szCs w:val="22"/>
          <w:lang w:val="en-GB"/>
        </w:rPr>
        <w:t xml:space="preserve"> </w:t>
      </w:r>
      <w:r w:rsidRPr="000F0222">
        <w:rPr>
          <w:sz w:val="22"/>
          <w:szCs w:val="22"/>
          <w:lang w:val="en-GB"/>
        </w:rPr>
        <w:t xml:space="preserve">urgently </w:t>
      </w:r>
      <w:r w:rsidRPr="000F0222">
        <w:rPr>
          <w:b/>
          <w:sz w:val="22"/>
          <w:szCs w:val="22"/>
          <w:u w:val="single"/>
          <w:lang w:val="en-GB"/>
        </w:rPr>
        <w:t xml:space="preserve">increase funding and other capacity to fully implement the </w:t>
      </w:r>
      <w:r w:rsidR="00E4475D">
        <w:rPr>
          <w:b/>
          <w:sz w:val="22"/>
          <w:szCs w:val="22"/>
          <w:u w:val="single"/>
          <w:lang w:val="en-GB"/>
        </w:rPr>
        <w:t xml:space="preserve">International </w:t>
      </w:r>
      <w:r w:rsidRPr="000F0222">
        <w:rPr>
          <w:b/>
          <w:sz w:val="22"/>
          <w:szCs w:val="22"/>
          <w:u w:val="single"/>
          <w:lang w:val="en-GB"/>
        </w:rPr>
        <w:t>Single Species Action Plans for globally threatened species</w:t>
      </w:r>
      <w:r w:rsidR="006E70AB" w:rsidRPr="000F0222">
        <w:rPr>
          <w:b/>
          <w:sz w:val="22"/>
          <w:szCs w:val="22"/>
          <w:u w:val="single"/>
          <w:lang w:val="en-GB"/>
        </w:rPr>
        <w:t>,</w:t>
      </w:r>
      <w:r w:rsidR="006E70AB" w:rsidRPr="000F0222">
        <w:rPr>
          <w:sz w:val="22"/>
          <w:szCs w:val="22"/>
          <w:lang w:val="en-GB"/>
        </w:rPr>
        <w:t xml:space="preserve"> coordinate their implementation</w:t>
      </w:r>
      <w:r w:rsidRPr="000F0222">
        <w:rPr>
          <w:sz w:val="22"/>
          <w:szCs w:val="22"/>
          <w:lang w:val="en-GB"/>
        </w:rPr>
        <w:t xml:space="preserve"> and develop further such plans for all globally threatened species listed under the Agreement</w:t>
      </w:r>
      <w:r w:rsidR="0057527D" w:rsidRPr="000F0222">
        <w:rPr>
          <w:sz w:val="22"/>
          <w:szCs w:val="22"/>
          <w:lang w:val="en-GB"/>
        </w:rPr>
        <w:t xml:space="preserve"> building on the good progress achieved in the past decade</w:t>
      </w:r>
      <w:r w:rsidRPr="000F0222">
        <w:rPr>
          <w:sz w:val="22"/>
          <w:szCs w:val="22"/>
          <w:lang w:val="en-GB"/>
        </w:rPr>
        <w:t>;</w:t>
      </w:r>
    </w:p>
    <w:p w14:paraId="4A3DCE6D" w14:textId="77777777" w:rsidR="00C8008E" w:rsidRPr="00C8008E" w:rsidRDefault="00C8008E"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1"/>
          <w:szCs w:val="21"/>
          <w:lang w:val="en-GB"/>
        </w:rPr>
      </w:pPr>
    </w:p>
    <w:p w14:paraId="3A5D521A" w14:textId="6450251D" w:rsidR="005F2323" w:rsidRPr="000F0222" w:rsidRDefault="005F2323"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3. Parties </w:t>
      </w:r>
      <w:r w:rsidR="00CD132B">
        <w:rPr>
          <w:sz w:val="22"/>
          <w:szCs w:val="22"/>
          <w:lang w:val="en-GB"/>
        </w:rPr>
        <w:t>should</w:t>
      </w:r>
      <w:r w:rsidR="00CD132B" w:rsidRPr="000F0222">
        <w:rPr>
          <w:sz w:val="22"/>
          <w:szCs w:val="22"/>
          <w:lang w:val="en-GB"/>
        </w:rPr>
        <w:t xml:space="preserve"> </w:t>
      </w:r>
      <w:r w:rsidRPr="000F0222">
        <w:rPr>
          <w:b/>
          <w:sz w:val="22"/>
          <w:szCs w:val="22"/>
          <w:u w:val="single"/>
          <w:lang w:val="en-GB"/>
        </w:rPr>
        <w:t>provide sufficient funding through the established mechanisms</w:t>
      </w:r>
      <w:r w:rsidR="00692FBB" w:rsidRPr="000F0222">
        <w:rPr>
          <w:sz w:val="22"/>
          <w:szCs w:val="22"/>
          <w:lang w:val="en-GB"/>
        </w:rPr>
        <w:t xml:space="preserve">, such as the </w:t>
      </w:r>
      <w:proofErr w:type="spellStart"/>
      <w:r w:rsidR="00692FBB" w:rsidRPr="000F0222">
        <w:rPr>
          <w:sz w:val="22"/>
          <w:szCs w:val="22"/>
          <w:lang w:val="en-GB"/>
        </w:rPr>
        <w:t>Waterbird</w:t>
      </w:r>
      <w:proofErr w:type="spellEnd"/>
      <w:r w:rsidR="00692FBB" w:rsidRPr="000F0222">
        <w:rPr>
          <w:sz w:val="22"/>
          <w:szCs w:val="22"/>
          <w:lang w:val="en-GB"/>
        </w:rPr>
        <w:t xml:space="preserve"> Fund,</w:t>
      </w:r>
      <w:r w:rsidRPr="000F0222">
        <w:rPr>
          <w:sz w:val="22"/>
          <w:szCs w:val="22"/>
          <w:lang w:val="en-GB"/>
        </w:rPr>
        <w:t xml:space="preserve"> </w:t>
      </w:r>
      <w:proofErr w:type="gramStart"/>
      <w:r w:rsidRPr="000F0222">
        <w:rPr>
          <w:sz w:val="22"/>
          <w:szCs w:val="22"/>
          <w:lang w:val="en-GB"/>
        </w:rPr>
        <w:t xml:space="preserve">so as </w:t>
      </w:r>
      <w:r w:rsidRPr="000F0222">
        <w:rPr>
          <w:b/>
          <w:sz w:val="22"/>
          <w:szCs w:val="22"/>
          <w:u w:val="single"/>
          <w:lang w:val="en-GB"/>
        </w:rPr>
        <w:t>to</w:t>
      </w:r>
      <w:proofErr w:type="gramEnd"/>
      <w:r w:rsidRPr="000F0222">
        <w:rPr>
          <w:b/>
          <w:sz w:val="22"/>
          <w:szCs w:val="22"/>
          <w:u w:val="single"/>
          <w:lang w:val="en-GB"/>
        </w:rPr>
        <w:t xml:space="preserve"> maintain the sustainability of the structured strategic approach to the development and maintenance of the </w:t>
      </w:r>
      <w:proofErr w:type="spellStart"/>
      <w:r w:rsidRPr="000F0222">
        <w:rPr>
          <w:b/>
          <w:sz w:val="22"/>
          <w:szCs w:val="22"/>
          <w:u w:val="single"/>
          <w:lang w:val="en-GB"/>
        </w:rPr>
        <w:t>waterbird</w:t>
      </w:r>
      <w:proofErr w:type="spellEnd"/>
      <w:r w:rsidRPr="000F0222">
        <w:rPr>
          <w:b/>
          <w:sz w:val="22"/>
          <w:szCs w:val="22"/>
          <w:u w:val="single"/>
          <w:lang w:val="en-GB"/>
        </w:rPr>
        <w:t xml:space="preserve"> populations and their critical sites</w:t>
      </w:r>
      <w:r w:rsidRPr="000F0222">
        <w:rPr>
          <w:sz w:val="22"/>
          <w:szCs w:val="22"/>
          <w:lang w:val="en-GB"/>
        </w:rPr>
        <w:t xml:space="preserve"> in the Agreement area</w:t>
      </w:r>
      <w:r w:rsidR="004B553D" w:rsidRPr="000F0222">
        <w:rPr>
          <w:sz w:val="22"/>
          <w:szCs w:val="22"/>
          <w:lang w:val="en-GB"/>
        </w:rPr>
        <w:t xml:space="preserve"> and provide continuity to the significant advancements attained in the past period</w:t>
      </w:r>
      <w:r w:rsidRPr="000F0222">
        <w:rPr>
          <w:sz w:val="22"/>
          <w:szCs w:val="22"/>
          <w:lang w:val="en-GB"/>
        </w:rPr>
        <w:t>.</w:t>
      </w:r>
      <w:r w:rsidR="004B62BA" w:rsidRPr="000F0222">
        <w:rPr>
          <w:sz w:val="22"/>
          <w:szCs w:val="22"/>
          <w:lang w:val="en-GB"/>
        </w:rPr>
        <w:t xml:space="preserve"> National monitoring schemes </w:t>
      </w:r>
      <w:r w:rsidR="00CD132B">
        <w:rPr>
          <w:sz w:val="22"/>
          <w:szCs w:val="22"/>
          <w:lang w:val="en-GB"/>
        </w:rPr>
        <w:t>should</w:t>
      </w:r>
      <w:r w:rsidR="00CD132B" w:rsidRPr="000F0222">
        <w:rPr>
          <w:sz w:val="22"/>
          <w:szCs w:val="22"/>
          <w:lang w:val="en-GB"/>
        </w:rPr>
        <w:t xml:space="preserve"> </w:t>
      </w:r>
      <w:r w:rsidR="004B62BA" w:rsidRPr="000F0222">
        <w:rPr>
          <w:sz w:val="22"/>
          <w:szCs w:val="22"/>
          <w:lang w:val="en-GB"/>
        </w:rPr>
        <w:t>be established</w:t>
      </w:r>
      <w:r w:rsidR="00464F74" w:rsidRPr="000F0222">
        <w:rPr>
          <w:sz w:val="22"/>
          <w:szCs w:val="22"/>
          <w:lang w:val="en-GB"/>
        </w:rPr>
        <w:t>,</w:t>
      </w:r>
      <w:r w:rsidR="004B62BA" w:rsidRPr="000F0222">
        <w:rPr>
          <w:sz w:val="22"/>
          <w:szCs w:val="22"/>
          <w:lang w:val="en-GB"/>
        </w:rPr>
        <w:t xml:space="preserve"> where absent</w:t>
      </w:r>
      <w:r w:rsidR="00464F74" w:rsidRPr="000F0222">
        <w:rPr>
          <w:sz w:val="22"/>
          <w:szCs w:val="22"/>
          <w:lang w:val="en-GB"/>
        </w:rPr>
        <w:t>,</w:t>
      </w:r>
      <w:r w:rsidR="004B62BA" w:rsidRPr="000F0222">
        <w:rPr>
          <w:sz w:val="22"/>
          <w:szCs w:val="22"/>
          <w:lang w:val="en-GB"/>
        </w:rPr>
        <w:t xml:space="preserve"> or </w:t>
      </w:r>
      <w:r w:rsidR="00CD132B">
        <w:rPr>
          <w:sz w:val="22"/>
          <w:szCs w:val="22"/>
          <w:lang w:val="en-GB"/>
        </w:rPr>
        <w:t xml:space="preserve">otherwise </w:t>
      </w:r>
      <w:r w:rsidR="004B62BA" w:rsidRPr="000F0222">
        <w:rPr>
          <w:sz w:val="22"/>
          <w:szCs w:val="22"/>
          <w:lang w:val="en-GB"/>
        </w:rPr>
        <w:t>reviewed and strengthened</w:t>
      </w:r>
      <w:r w:rsidR="00E4475D">
        <w:rPr>
          <w:sz w:val="22"/>
          <w:szCs w:val="22"/>
          <w:lang w:val="en-GB"/>
        </w:rPr>
        <w:t>;</w:t>
      </w:r>
    </w:p>
    <w:p w14:paraId="7B325CC9" w14:textId="77777777" w:rsidR="00C94754" w:rsidRPr="00C8008E" w:rsidRDefault="00C94754"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1"/>
          <w:szCs w:val="21"/>
          <w:lang w:val="en-GB"/>
        </w:rPr>
      </w:pPr>
    </w:p>
    <w:p w14:paraId="42FF30C1" w14:textId="71ACA2B2" w:rsidR="00C94754" w:rsidRPr="000F0222" w:rsidRDefault="00C94754"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4. Parties </w:t>
      </w:r>
      <w:r w:rsidR="00CD132B">
        <w:rPr>
          <w:sz w:val="22"/>
          <w:szCs w:val="22"/>
          <w:lang w:val="en-GB"/>
        </w:rPr>
        <w:t>should</w:t>
      </w:r>
      <w:r w:rsidR="00CD132B" w:rsidRPr="000F0222">
        <w:rPr>
          <w:sz w:val="22"/>
          <w:szCs w:val="22"/>
          <w:lang w:val="en-GB"/>
        </w:rPr>
        <w:t xml:space="preserve"> </w:t>
      </w:r>
      <w:r w:rsidRPr="000F0222">
        <w:rPr>
          <w:sz w:val="22"/>
          <w:szCs w:val="22"/>
          <w:lang w:val="en-GB"/>
        </w:rPr>
        <w:t xml:space="preserve">take a systematic approach and </w:t>
      </w:r>
      <w:r w:rsidRPr="000F0222">
        <w:rPr>
          <w:b/>
          <w:sz w:val="22"/>
          <w:szCs w:val="22"/>
          <w:u w:val="single"/>
          <w:lang w:val="en-GB"/>
        </w:rPr>
        <w:t>step up work on eradication or control programmes for non-native species</w:t>
      </w:r>
      <w:r w:rsidRPr="000F0222">
        <w:rPr>
          <w:sz w:val="22"/>
          <w:szCs w:val="22"/>
          <w:lang w:val="en-GB"/>
        </w:rPr>
        <w:t xml:space="preserve"> of </w:t>
      </w:r>
      <w:proofErr w:type="spellStart"/>
      <w:r w:rsidRPr="000F0222">
        <w:rPr>
          <w:sz w:val="22"/>
          <w:szCs w:val="22"/>
          <w:lang w:val="en-GB"/>
        </w:rPr>
        <w:t>waterbirds</w:t>
      </w:r>
      <w:proofErr w:type="spellEnd"/>
      <w:r w:rsidRPr="000F0222">
        <w:rPr>
          <w:sz w:val="22"/>
          <w:szCs w:val="22"/>
          <w:lang w:val="en-GB"/>
        </w:rPr>
        <w:t xml:space="preserve"> and other taxa posing threat</w:t>
      </w:r>
      <w:r w:rsidR="00E4475D">
        <w:rPr>
          <w:sz w:val="22"/>
          <w:szCs w:val="22"/>
          <w:lang w:val="en-GB"/>
        </w:rPr>
        <w:t>s</w:t>
      </w:r>
      <w:r w:rsidRPr="000F0222">
        <w:rPr>
          <w:sz w:val="22"/>
          <w:szCs w:val="22"/>
          <w:lang w:val="en-GB"/>
        </w:rPr>
        <w:t xml:space="preserve"> to AEWA native </w:t>
      </w:r>
      <w:proofErr w:type="spellStart"/>
      <w:r w:rsidRPr="000F0222">
        <w:rPr>
          <w:sz w:val="22"/>
          <w:szCs w:val="22"/>
          <w:lang w:val="en-GB"/>
        </w:rPr>
        <w:t>waterbrids</w:t>
      </w:r>
      <w:proofErr w:type="spellEnd"/>
      <w:r w:rsidRPr="000F0222">
        <w:rPr>
          <w:sz w:val="22"/>
          <w:szCs w:val="22"/>
          <w:lang w:val="en-GB"/>
        </w:rPr>
        <w:t xml:space="preserve"> and their habitats;</w:t>
      </w:r>
    </w:p>
    <w:p w14:paraId="1EEB2856" w14:textId="77777777" w:rsidR="00C94754" w:rsidRPr="000F0222" w:rsidRDefault="00C94754"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16EE5834" w14:textId="06EA8CB7" w:rsidR="00C94754" w:rsidRPr="000F0222" w:rsidRDefault="00C94754"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5. </w:t>
      </w:r>
      <w:r w:rsidRPr="000F0222">
        <w:rPr>
          <w:b/>
          <w:sz w:val="22"/>
          <w:szCs w:val="22"/>
          <w:u w:val="single"/>
          <w:lang w:val="en-GB"/>
        </w:rPr>
        <w:t xml:space="preserve">Illegal taking of </w:t>
      </w:r>
      <w:proofErr w:type="spellStart"/>
      <w:r w:rsidRPr="000F0222">
        <w:rPr>
          <w:b/>
          <w:sz w:val="22"/>
          <w:szCs w:val="22"/>
          <w:u w:val="single"/>
          <w:lang w:val="en-GB"/>
        </w:rPr>
        <w:t>waterbirds</w:t>
      </w:r>
      <w:proofErr w:type="spellEnd"/>
      <w:r w:rsidRPr="000F0222">
        <w:rPr>
          <w:b/>
          <w:sz w:val="22"/>
          <w:szCs w:val="22"/>
          <w:u w:val="single"/>
          <w:lang w:val="en-GB"/>
        </w:rPr>
        <w:t xml:space="preserve"> needs to be comprehensively addressed</w:t>
      </w:r>
      <w:r w:rsidRPr="000F0222">
        <w:rPr>
          <w:sz w:val="22"/>
          <w:szCs w:val="22"/>
          <w:lang w:val="en-GB"/>
        </w:rPr>
        <w:t xml:space="preserve"> at all levels in each Contracting Party and</w:t>
      </w:r>
      <w:proofErr w:type="gramStart"/>
      <w:r w:rsidR="00E4475D">
        <w:rPr>
          <w:sz w:val="22"/>
          <w:szCs w:val="22"/>
          <w:lang w:val="en-GB"/>
        </w:rPr>
        <w:t>,</w:t>
      </w:r>
      <w:r w:rsidRPr="000F0222">
        <w:rPr>
          <w:sz w:val="22"/>
          <w:szCs w:val="22"/>
          <w:lang w:val="en-GB"/>
        </w:rPr>
        <w:t xml:space="preserve"> in particular</w:t>
      </w:r>
      <w:r w:rsidR="00E4475D">
        <w:rPr>
          <w:sz w:val="22"/>
          <w:szCs w:val="22"/>
          <w:lang w:val="en-GB"/>
        </w:rPr>
        <w:t>,</w:t>
      </w:r>
      <w:r w:rsidRPr="000F0222">
        <w:rPr>
          <w:sz w:val="22"/>
          <w:szCs w:val="22"/>
          <w:lang w:val="en-GB"/>
        </w:rPr>
        <w:t xml:space="preserve"> legislative</w:t>
      </w:r>
      <w:proofErr w:type="gramEnd"/>
      <w:r w:rsidRPr="000F0222">
        <w:rPr>
          <w:sz w:val="22"/>
          <w:szCs w:val="22"/>
          <w:lang w:val="en-GB"/>
        </w:rPr>
        <w:t xml:space="preserve"> ban</w:t>
      </w:r>
      <w:r w:rsidR="00E4475D">
        <w:rPr>
          <w:sz w:val="22"/>
          <w:szCs w:val="22"/>
          <w:lang w:val="en-GB"/>
        </w:rPr>
        <w:t>s</w:t>
      </w:r>
      <w:r w:rsidRPr="000F0222">
        <w:rPr>
          <w:sz w:val="22"/>
          <w:szCs w:val="22"/>
          <w:lang w:val="en-GB"/>
        </w:rPr>
        <w:t xml:space="preserve"> </w:t>
      </w:r>
      <w:r w:rsidR="00CD132B">
        <w:rPr>
          <w:sz w:val="22"/>
          <w:szCs w:val="22"/>
          <w:lang w:val="en-GB"/>
        </w:rPr>
        <w:t>should</w:t>
      </w:r>
      <w:r w:rsidR="00CD132B" w:rsidRPr="000F0222">
        <w:rPr>
          <w:sz w:val="22"/>
          <w:szCs w:val="22"/>
          <w:lang w:val="en-GB"/>
        </w:rPr>
        <w:t xml:space="preserve"> </w:t>
      </w:r>
      <w:r w:rsidRPr="000F0222">
        <w:rPr>
          <w:sz w:val="22"/>
          <w:szCs w:val="22"/>
          <w:lang w:val="en-GB"/>
        </w:rPr>
        <w:t>be introduced on all non-selective methods of taking;</w:t>
      </w:r>
    </w:p>
    <w:p w14:paraId="180ED5C9" w14:textId="77777777" w:rsidR="00C94754" w:rsidRPr="000F0222" w:rsidRDefault="00C94754"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09346ABE" w14:textId="6F24FA4E" w:rsidR="00C94754" w:rsidRPr="000F0222" w:rsidRDefault="00C94754"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6. With the hunting community in the lead, </w:t>
      </w:r>
      <w:r w:rsidRPr="000F0222">
        <w:rPr>
          <w:b/>
          <w:sz w:val="22"/>
          <w:szCs w:val="22"/>
          <w:u w:val="single"/>
          <w:lang w:val="en-GB"/>
        </w:rPr>
        <w:t xml:space="preserve">an internationally coordinated system for </w:t>
      </w:r>
      <w:proofErr w:type="spellStart"/>
      <w:r w:rsidRPr="000F0222">
        <w:rPr>
          <w:b/>
          <w:sz w:val="22"/>
          <w:szCs w:val="22"/>
          <w:u w:val="single"/>
          <w:lang w:val="en-GB"/>
        </w:rPr>
        <w:t>waterbird</w:t>
      </w:r>
      <w:proofErr w:type="spellEnd"/>
      <w:r w:rsidRPr="000F0222">
        <w:rPr>
          <w:b/>
          <w:sz w:val="22"/>
          <w:szCs w:val="22"/>
          <w:u w:val="single"/>
          <w:lang w:val="en-GB"/>
        </w:rPr>
        <w:t xml:space="preserve"> harvest data collection </w:t>
      </w:r>
      <w:r w:rsidR="00CD132B">
        <w:rPr>
          <w:b/>
          <w:sz w:val="22"/>
          <w:szCs w:val="22"/>
          <w:u w:val="single"/>
          <w:lang w:val="en-GB"/>
        </w:rPr>
        <w:t>should</w:t>
      </w:r>
      <w:r w:rsidR="00CD132B" w:rsidRPr="000F0222">
        <w:rPr>
          <w:b/>
          <w:sz w:val="22"/>
          <w:szCs w:val="22"/>
          <w:u w:val="single"/>
          <w:lang w:val="en-GB"/>
        </w:rPr>
        <w:t xml:space="preserve"> </w:t>
      </w:r>
      <w:r w:rsidRPr="000F0222">
        <w:rPr>
          <w:b/>
          <w:sz w:val="22"/>
          <w:szCs w:val="22"/>
          <w:u w:val="single"/>
          <w:lang w:val="en-GB"/>
        </w:rPr>
        <w:t>be established</w:t>
      </w:r>
      <w:r w:rsidRPr="008C5535">
        <w:rPr>
          <w:b/>
          <w:sz w:val="22"/>
          <w:szCs w:val="22"/>
          <w:lang w:val="en-GB"/>
        </w:rPr>
        <w:t xml:space="preserve"> </w:t>
      </w:r>
      <w:r w:rsidRPr="000F0222">
        <w:rPr>
          <w:sz w:val="22"/>
          <w:szCs w:val="22"/>
          <w:lang w:val="en-GB"/>
        </w:rPr>
        <w:t>and made operational</w:t>
      </w:r>
      <w:r w:rsidR="000C3C99" w:rsidRPr="000F0222">
        <w:rPr>
          <w:sz w:val="22"/>
          <w:szCs w:val="22"/>
          <w:lang w:val="en-GB"/>
        </w:rPr>
        <w:t xml:space="preserve"> to build on the existing national data collection schemes and expand on the limited coordinated approach under the AEWA European Goose Management Platform</w:t>
      </w:r>
      <w:r w:rsidRPr="000F0222">
        <w:rPr>
          <w:sz w:val="22"/>
          <w:szCs w:val="22"/>
          <w:lang w:val="en-GB"/>
        </w:rPr>
        <w:t xml:space="preserve">; </w:t>
      </w:r>
    </w:p>
    <w:p w14:paraId="03554393" w14:textId="369ECA2F" w:rsidR="005F2323" w:rsidRPr="000F0222" w:rsidRDefault="005F2323"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04BF4D96" w14:textId="3EB96AA7" w:rsidR="000C3C99" w:rsidRPr="000F0222" w:rsidRDefault="000C3C99"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7. The introduction and application of </w:t>
      </w:r>
      <w:r w:rsidRPr="000F0222">
        <w:rPr>
          <w:b/>
          <w:sz w:val="22"/>
          <w:szCs w:val="22"/>
          <w:u w:val="single"/>
          <w:lang w:val="en-GB"/>
        </w:rPr>
        <w:t xml:space="preserve">best-practice standards for </w:t>
      </w:r>
      <w:proofErr w:type="spellStart"/>
      <w:r w:rsidRPr="000F0222">
        <w:rPr>
          <w:b/>
          <w:sz w:val="22"/>
          <w:szCs w:val="22"/>
          <w:u w:val="single"/>
          <w:lang w:val="en-GB"/>
        </w:rPr>
        <w:t>wate</w:t>
      </w:r>
      <w:r w:rsidR="000A3B8E">
        <w:rPr>
          <w:b/>
          <w:sz w:val="22"/>
          <w:szCs w:val="22"/>
          <w:u w:val="single"/>
          <w:lang w:val="en-GB"/>
        </w:rPr>
        <w:t>r</w:t>
      </w:r>
      <w:r w:rsidRPr="000F0222">
        <w:rPr>
          <w:b/>
          <w:sz w:val="22"/>
          <w:szCs w:val="22"/>
          <w:u w:val="single"/>
          <w:lang w:val="en-GB"/>
        </w:rPr>
        <w:t>bird</w:t>
      </w:r>
      <w:proofErr w:type="spellEnd"/>
      <w:r w:rsidRPr="000F0222">
        <w:rPr>
          <w:b/>
          <w:sz w:val="22"/>
          <w:szCs w:val="22"/>
          <w:u w:val="single"/>
          <w:lang w:val="en-GB"/>
        </w:rPr>
        <w:t xml:space="preserve"> </w:t>
      </w:r>
      <w:r w:rsidRPr="00C8008E">
        <w:rPr>
          <w:b/>
          <w:sz w:val="22"/>
          <w:szCs w:val="22"/>
          <w:u w:val="single"/>
          <w:lang w:val="en-GB"/>
        </w:rPr>
        <w:t>harvest should be strengthened</w:t>
      </w:r>
      <w:r w:rsidRPr="000F0222">
        <w:rPr>
          <w:sz w:val="22"/>
          <w:szCs w:val="22"/>
          <w:lang w:val="en-GB"/>
        </w:rPr>
        <w:t xml:space="preserve"> and </w:t>
      </w:r>
      <w:r w:rsidR="00915147" w:rsidRPr="000F0222">
        <w:rPr>
          <w:sz w:val="22"/>
          <w:szCs w:val="22"/>
          <w:lang w:val="en-GB"/>
        </w:rPr>
        <w:t>expanded amongst Contracting Parties in support of the enforcement of hunting law and regulations;</w:t>
      </w:r>
    </w:p>
    <w:p w14:paraId="16C46786" w14:textId="07C432C9" w:rsidR="00915147" w:rsidRPr="000F0222" w:rsidRDefault="00915147"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6621A06B" w14:textId="3CE5616C" w:rsidR="00915147" w:rsidRDefault="00915147"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8. Learning from the experience of those Contracting Parties which have already </w:t>
      </w:r>
      <w:r w:rsidRPr="000F0222">
        <w:rPr>
          <w:b/>
          <w:sz w:val="22"/>
          <w:szCs w:val="22"/>
          <w:u w:val="single"/>
          <w:lang w:val="en-GB"/>
        </w:rPr>
        <w:t>phased out the use of lead shot for hunting in wetlands</w:t>
      </w:r>
      <w:r w:rsidRPr="000F0222">
        <w:rPr>
          <w:sz w:val="22"/>
          <w:szCs w:val="22"/>
          <w:lang w:val="en-GB"/>
        </w:rPr>
        <w:t xml:space="preserve">, all other Parties </w:t>
      </w:r>
      <w:r w:rsidR="00CD132B">
        <w:rPr>
          <w:sz w:val="22"/>
          <w:szCs w:val="22"/>
          <w:lang w:val="en-GB"/>
        </w:rPr>
        <w:t>should</w:t>
      </w:r>
      <w:r w:rsidR="00CD132B" w:rsidRPr="000F0222">
        <w:rPr>
          <w:sz w:val="22"/>
          <w:szCs w:val="22"/>
          <w:lang w:val="en-GB"/>
        </w:rPr>
        <w:t xml:space="preserve"> </w:t>
      </w:r>
      <w:r w:rsidRPr="000F0222">
        <w:rPr>
          <w:b/>
          <w:sz w:val="22"/>
          <w:szCs w:val="22"/>
          <w:u w:val="single"/>
          <w:lang w:val="en-GB"/>
        </w:rPr>
        <w:t>introduce self-imposed deadlines for such complete bans</w:t>
      </w:r>
      <w:r w:rsidRPr="000F0222">
        <w:rPr>
          <w:sz w:val="22"/>
          <w:szCs w:val="22"/>
          <w:lang w:val="en-GB"/>
        </w:rPr>
        <w:t>, inform the Secretariat and other Parties and introduce the bans as soon as possible;</w:t>
      </w:r>
    </w:p>
    <w:p w14:paraId="46D73298" w14:textId="77777777" w:rsidR="000F0222" w:rsidRDefault="000F0222"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0CDCF7DA" w14:textId="77777777" w:rsidR="00915147" w:rsidRPr="000F0222" w:rsidRDefault="00915147" w:rsidP="000F0222">
      <w:pPr>
        <w:spacing w:line="276" w:lineRule="auto"/>
        <w:jc w:val="both"/>
        <w:rPr>
          <w:sz w:val="22"/>
          <w:szCs w:val="22"/>
          <w:lang w:val="en-GB"/>
        </w:rPr>
      </w:pPr>
    </w:p>
    <w:p w14:paraId="73F31021" w14:textId="77777777" w:rsidR="000F0222" w:rsidRDefault="000F0222"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4ACD65C1" w14:textId="0A04C480" w:rsidR="00C90BD8" w:rsidRDefault="00915147"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9</w:t>
      </w:r>
      <w:r w:rsidR="005F2323" w:rsidRPr="000F0222">
        <w:rPr>
          <w:sz w:val="22"/>
          <w:szCs w:val="22"/>
          <w:lang w:val="en-GB"/>
        </w:rPr>
        <w:t xml:space="preserve">. </w:t>
      </w:r>
      <w:r w:rsidR="00E95A82" w:rsidRPr="000F0222">
        <w:rPr>
          <w:sz w:val="22"/>
          <w:szCs w:val="22"/>
          <w:lang w:val="en-GB"/>
        </w:rPr>
        <w:t xml:space="preserve"> </w:t>
      </w:r>
      <w:r w:rsidR="00CC3EF4" w:rsidRPr="000F0222">
        <w:rPr>
          <w:sz w:val="22"/>
          <w:szCs w:val="22"/>
          <w:lang w:val="en-GB"/>
        </w:rPr>
        <w:t xml:space="preserve">All Parties </w:t>
      </w:r>
      <w:r w:rsidR="00CD132B">
        <w:rPr>
          <w:sz w:val="22"/>
          <w:szCs w:val="22"/>
          <w:lang w:val="en-GB"/>
        </w:rPr>
        <w:t>should</w:t>
      </w:r>
      <w:r w:rsidR="00CD132B" w:rsidRPr="000F0222">
        <w:rPr>
          <w:sz w:val="22"/>
          <w:szCs w:val="22"/>
          <w:lang w:val="en-GB"/>
        </w:rPr>
        <w:t xml:space="preserve"> </w:t>
      </w:r>
      <w:proofErr w:type="spellStart"/>
      <w:r w:rsidRPr="000F0222">
        <w:rPr>
          <w:b/>
          <w:sz w:val="22"/>
          <w:szCs w:val="22"/>
          <w:u w:val="single"/>
          <w:lang w:val="en-GB"/>
        </w:rPr>
        <w:t>inventorize</w:t>
      </w:r>
      <w:proofErr w:type="spellEnd"/>
      <w:r w:rsidRPr="000F0222">
        <w:rPr>
          <w:b/>
          <w:sz w:val="22"/>
          <w:szCs w:val="22"/>
          <w:u w:val="single"/>
          <w:lang w:val="en-GB"/>
        </w:rPr>
        <w:t xml:space="preserve"> all sites of international and national importance, fill identified gaps, </w:t>
      </w:r>
      <w:r w:rsidR="00CC3EF4" w:rsidRPr="000F0222">
        <w:rPr>
          <w:b/>
          <w:sz w:val="22"/>
          <w:szCs w:val="22"/>
          <w:u w:val="single"/>
          <w:lang w:val="en-GB"/>
        </w:rPr>
        <w:t>address outstanding priority site designation and management issues</w:t>
      </w:r>
      <w:r w:rsidR="00CC3EF4" w:rsidRPr="000F0222">
        <w:rPr>
          <w:sz w:val="22"/>
          <w:szCs w:val="22"/>
          <w:lang w:val="en-GB"/>
        </w:rPr>
        <w:t xml:space="preserve">, </w:t>
      </w:r>
      <w:r w:rsidR="0014213B" w:rsidRPr="000F0222">
        <w:rPr>
          <w:sz w:val="22"/>
          <w:szCs w:val="22"/>
          <w:lang w:val="en-GB"/>
        </w:rPr>
        <w:t xml:space="preserve">while </w:t>
      </w:r>
      <w:r w:rsidR="00CC3EF4" w:rsidRPr="000F0222">
        <w:rPr>
          <w:sz w:val="22"/>
          <w:szCs w:val="22"/>
          <w:lang w:val="en-GB"/>
        </w:rPr>
        <w:t xml:space="preserve">taking </w:t>
      </w:r>
      <w:r w:rsidR="0014213B" w:rsidRPr="000F0222">
        <w:rPr>
          <w:sz w:val="22"/>
          <w:szCs w:val="22"/>
          <w:lang w:val="en-GB"/>
        </w:rPr>
        <w:t xml:space="preserve">also </w:t>
      </w:r>
      <w:r w:rsidR="00CC3EF4" w:rsidRPr="000F0222">
        <w:rPr>
          <w:sz w:val="22"/>
          <w:szCs w:val="22"/>
          <w:lang w:val="en-GB"/>
        </w:rPr>
        <w:t xml:space="preserve">into account </w:t>
      </w:r>
      <w:r w:rsidRPr="000F0222">
        <w:rPr>
          <w:sz w:val="22"/>
          <w:szCs w:val="22"/>
          <w:lang w:val="en-GB"/>
        </w:rPr>
        <w:t>the aspects of climate change resilience</w:t>
      </w:r>
      <w:r w:rsidR="00CC3EF4" w:rsidRPr="000F0222">
        <w:rPr>
          <w:sz w:val="22"/>
          <w:szCs w:val="22"/>
          <w:lang w:val="en-GB"/>
        </w:rPr>
        <w:t>;</w:t>
      </w:r>
    </w:p>
    <w:p w14:paraId="5612AB43" w14:textId="77777777" w:rsidR="00C90BD8" w:rsidRDefault="00C90BD8"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65E56BA9" w14:textId="24F37FFA" w:rsidR="00C14A3D" w:rsidRPr="000F0222" w:rsidRDefault="0014213B"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10. </w:t>
      </w:r>
      <w:r w:rsidR="00C14A3D" w:rsidRPr="000F0222">
        <w:rPr>
          <w:sz w:val="22"/>
          <w:szCs w:val="22"/>
          <w:lang w:val="en-GB"/>
        </w:rPr>
        <w:t xml:space="preserve">All Parties </w:t>
      </w:r>
      <w:r w:rsidR="00CD132B">
        <w:rPr>
          <w:sz w:val="22"/>
          <w:szCs w:val="22"/>
          <w:lang w:val="en-GB"/>
        </w:rPr>
        <w:t>should</w:t>
      </w:r>
      <w:r w:rsidR="00CD132B" w:rsidRPr="000F0222">
        <w:rPr>
          <w:sz w:val="22"/>
          <w:szCs w:val="22"/>
          <w:lang w:val="en-GB"/>
        </w:rPr>
        <w:t xml:space="preserve"> </w:t>
      </w:r>
      <w:r w:rsidR="00C14A3D" w:rsidRPr="000F0222">
        <w:rPr>
          <w:b/>
          <w:sz w:val="22"/>
          <w:szCs w:val="22"/>
          <w:u w:val="single"/>
          <w:lang w:val="en-GB"/>
        </w:rPr>
        <w:t>develop legislation on Environmental Impact Assessment &amp; Strategic Environmental Assessmen</w:t>
      </w:r>
      <w:r w:rsidR="00C14A3D" w:rsidRPr="00C8008E">
        <w:rPr>
          <w:b/>
          <w:sz w:val="22"/>
          <w:szCs w:val="22"/>
          <w:u w:val="single"/>
          <w:lang w:val="en-GB"/>
        </w:rPr>
        <w:t>ts</w:t>
      </w:r>
      <w:r w:rsidR="00C14A3D" w:rsidRPr="000F0222">
        <w:rPr>
          <w:sz w:val="22"/>
          <w:szCs w:val="22"/>
          <w:lang w:val="en-GB"/>
        </w:rPr>
        <w:t xml:space="preserve"> and </w:t>
      </w:r>
      <w:r w:rsidR="00CD132B">
        <w:rPr>
          <w:sz w:val="22"/>
          <w:szCs w:val="22"/>
          <w:lang w:val="en-GB"/>
        </w:rPr>
        <w:t>should</w:t>
      </w:r>
      <w:r w:rsidR="00CD132B" w:rsidRPr="000F0222">
        <w:rPr>
          <w:sz w:val="22"/>
          <w:szCs w:val="22"/>
          <w:lang w:val="en-GB"/>
        </w:rPr>
        <w:t xml:space="preserve"> </w:t>
      </w:r>
      <w:r w:rsidR="00C14A3D" w:rsidRPr="000F0222">
        <w:rPr>
          <w:sz w:val="22"/>
          <w:szCs w:val="22"/>
          <w:lang w:val="en-GB"/>
        </w:rPr>
        <w:t xml:space="preserve">apply </w:t>
      </w:r>
      <w:r w:rsidR="00E4475D">
        <w:rPr>
          <w:sz w:val="22"/>
          <w:szCs w:val="22"/>
          <w:lang w:val="en-GB"/>
        </w:rPr>
        <w:t xml:space="preserve">it </w:t>
      </w:r>
      <w:r w:rsidRPr="000F0222">
        <w:rPr>
          <w:sz w:val="22"/>
          <w:szCs w:val="22"/>
          <w:lang w:val="en-GB"/>
        </w:rPr>
        <w:t>appropriately</w:t>
      </w:r>
      <w:r w:rsidR="00C14A3D" w:rsidRPr="000F0222">
        <w:rPr>
          <w:sz w:val="22"/>
          <w:szCs w:val="22"/>
          <w:lang w:val="en-GB"/>
        </w:rPr>
        <w:t xml:space="preserve"> in all case</w:t>
      </w:r>
      <w:r w:rsidR="00D06DE2" w:rsidRPr="000F0222">
        <w:rPr>
          <w:sz w:val="22"/>
          <w:szCs w:val="22"/>
          <w:lang w:val="en-GB"/>
        </w:rPr>
        <w:t>s</w:t>
      </w:r>
      <w:r w:rsidR="00C14A3D" w:rsidRPr="000F0222">
        <w:rPr>
          <w:sz w:val="22"/>
          <w:szCs w:val="22"/>
          <w:lang w:val="en-GB"/>
        </w:rPr>
        <w:t xml:space="preserve"> when there is risk of impact on AEWA species or habitats/sites on which they depend;</w:t>
      </w:r>
    </w:p>
    <w:p w14:paraId="2D602736" w14:textId="68D0B528" w:rsidR="00C14A3D" w:rsidRPr="000F0222" w:rsidRDefault="00C14A3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59D54ED7" w14:textId="7463AE5E" w:rsidR="0014213B" w:rsidRPr="000F0222" w:rsidRDefault="0014213B"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11. </w:t>
      </w:r>
      <w:r w:rsidRPr="000F0222">
        <w:rPr>
          <w:b/>
          <w:sz w:val="22"/>
          <w:szCs w:val="22"/>
          <w:u w:val="single"/>
          <w:lang w:val="en-GB"/>
        </w:rPr>
        <w:t>Provide funding and other resources for the implementation of the Communication Strategy</w:t>
      </w:r>
      <w:r w:rsidRPr="000F0222">
        <w:rPr>
          <w:sz w:val="22"/>
          <w:szCs w:val="22"/>
          <w:lang w:val="en-GB"/>
        </w:rPr>
        <w:t xml:space="preserve"> and utilize it as a tool </w:t>
      </w:r>
      <w:r w:rsidR="000329DD" w:rsidRPr="000F0222">
        <w:rPr>
          <w:sz w:val="22"/>
          <w:szCs w:val="22"/>
          <w:lang w:val="en-GB"/>
        </w:rPr>
        <w:t xml:space="preserve">to support </w:t>
      </w:r>
      <w:r w:rsidRPr="000F0222">
        <w:rPr>
          <w:sz w:val="22"/>
          <w:szCs w:val="22"/>
          <w:lang w:val="en-GB"/>
        </w:rPr>
        <w:t>the implementation of the Strategic Plan</w:t>
      </w:r>
      <w:r w:rsidR="000329DD" w:rsidRPr="000F0222">
        <w:rPr>
          <w:sz w:val="22"/>
          <w:szCs w:val="22"/>
          <w:lang w:val="en-GB"/>
        </w:rPr>
        <w:t xml:space="preserve"> 2019-2027</w:t>
      </w:r>
      <w:r w:rsidR="003C2E66" w:rsidRPr="000F0222">
        <w:rPr>
          <w:sz w:val="22"/>
          <w:szCs w:val="22"/>
          <w:lang w:val="en-GB"/>
        </w:rPr>
        <w:t xml:space="preserve"> both nationally and internationally</w:t>
      </w:r>
      <w:r w:rsidRPr="000F0222">
        <w:rPr>
          <w:sz w:val="22"/>
          <w:szCs w:val="22"/>
          <w:lang w:val="en-GB"/>
        </w:rPr>
        <w:t>;</w:t>
      </w:r>
    </w:p>
    <w:p w14:paraId="623D0428" w14:textId="05804D75" w:rsidR="0014213B" w:rsidRPr="000F0222" w:rsidRDefault="0014213B"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71F35555" w14:textId="2C816E91" w:rsidR="000329DD" w:rsidRPr="000F0222" w:rsidRDefault="000329D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12. More Parties </w:t>
      </w:r>
      <w:r w:rsidR="00CD132B">
        <w:rPr>
          <w:sz w:val="22"/>
          <w:szCs w:val="22"/>
          <w:lang w:val="en-GB"/>
        </w:rPr>
        <w:t>should</w:t>
      </w:r>
      <w:r w:rsidR="00CD132B" w:rsidRPr="000F0222">
        <w:rPr>
          <w:sz w:val="22"/>
          <w:szCs w:val="22"/>
          <w:lang w:val="en-GB"/>
        </w:rPr>
        <w:t xml:space="preserve"> </w:t>
      </w:r>
      <w:r w:rsidRPr="000F0222">
        <w:rPr>
          <w:b/>
          <w:sz w:val="22"/>
          <w:szCs w:val="22"/>
          <w:u w:val="single"/>
          <w:lang w:val="en-GB"/>
        </w:rPr>
        <w:t xml:space="preserve">pro-actively complement </w:t>
      </w:r>
      <w:r w:rsidR="00E4475D">
        <w:rPr>
          <w:b/>
          <w:sz w:val="22"/>
          <w:szCs w:val="22"/>
          <w:u w:val="single"/>
          <w:lang w:val="en-GB"/>
        </w:rPr>
        <w:t xml:space="preserve">the </w:t>
      </w:r>
      <w:r w:rsidRPr="000F0222">
        <w:rPr>
          <w:b/>
          <w:sz w:val="22"/>
          <w:szCs w:val="22"/>
          <w:u w:val="single"/>
          <w:lang w:val="en-GB"/>
        </w:rPr>
        <w:t>Secretariat’s efforts for recruiting new Parties</w:t>
      </w:r>
      <w:r w:rsidRPr="000F0222">
        <w:rPr>
          <w:sz w:val="22"/>
          <w:szCs w:val="22"/>
          <w:lang w:val="en-GB"/>
        </w:rPr>
        <w:t xml:space="preserve"> to the Agreement;</w:t>
      </w:r>
    </w:p>
    <w:p w14:paraId="1F1D8CED" w14:textId="77777777" w:rsidR="000329DD" w:rsidRPr="000F0222" w:rsidRDefault="000329D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4BB41B11" w14:textId="37163830" w:rsidR="000329DD" w:rsidRPr="000F0222" w:rsidRDefault="000329D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13. Parties </w:t>
      </w:r>
      <w:r w:rsidR="00CD132B">
        <w:rPr>
          <w:sz w:val="22"/>
          <w:szCs w:val="22"/>
          <w:lang w:val="en-GB"/>
        </w:rPr>
        <w:t>should</w:t>
      </w:r>
      <w:r w:rsidR="00CD132B" w:rsidRPr="000F0222">
        <w:rPr>
          <w:sz w:val="22"/>
          <w:szCs w:val="22"/>
          <w:lang w:val="en-GB"/>
        </w:rPr>
        <w:t xml:space="preserve"> </w:t>
      </w:r>
      <w:r w:rsidRPr="000F0222">
        <w:rPr>
          <w:b/>
          <w:sz w:val="22"/>
          <w:szCs w:val="22"/>
          <w:u w:val="single"/>
          <w:lang w:val="en-GB"/>
        </w:rPr>
        <w:t>provide regular</w:t>
      </w:r>
      <w:r w:rsidR="00DC030C" w:rsidRPr="000F0222">
        <w:rPr>
          <w:b/>
          <w:sz w:val="22"/>
          <w:szCs w:val="22"/>
          <w:u w:val="single"/>
          <w:lang w:val="en-GB"/>
        </w:rPr>
        <w:t xml:space="preserve"> and substantial</w:t>
      </w:r>
      <w:r w:rsidRPr="000F0222">
        <w:rPr>
          <w:b/>
          <w:sz w:val="22"/>
          <w:szCs w:val="22"/>
          <w:u w:val="single"/>
          <w:lang w:val="en-GB"/>
        </w:rPr>
        <w:t xml:space="preserve"> voluntary contributions to the Small Grants Funds</w:t>
      </w:r>
      <w:r w:rsidRPr="000F0222">
        <w:rPr>
          <w:sz w:val="22"/>
          <w:szCs w:val="22"/>
          <w:lang w:val="en-GB"/>
        </w:rPr>
        <w:t xml:space="preserve"> to allow </w:t>
      </w:r>
      <w:r w:rsidR="00E4475D">
        <w:rPr>
          <w:sz w:val="22"/>
          <w:szCs w:val="22"/>
          <w:lang w:val="en-GB"/>
        </w:rPr>
        <w:t xml:space="preserve">for </w:t>
      </w:r>
      <w:r w:rsidRPr="000F0222">
        <w:rPr>
          <w:sz w:val="22"/>
          <w:szCs w:val="22"/>
          <w:lang w:val="en-GB"/>
        </w:rPr>
        <w:t>the renewal and maintena</w:t>
      </w:r>
      <w:r w:rsidR="00DC030C" w:rsidRPr="000F0222">
        <w:rPr>
          <w:sz w:val="22"/>
          <w:szCs w:val="22"/>
          <w:lang w:val="en-GB"/>
        </w:rPr>
        <w:t>nce</w:t>
      </w:r>
      <w:r w:rsidRPr="000F0222">
        <w:rPr>
          <w:sz w:val="22"/>
          <w:szCs w:val="22"/>
          <w:lang w:val="en-GB"/>
        </w:rPr>
        <w:t xml:space="preserve"> of its operation and </w:t>
      </w:r>
      <w:r w:rsidR="00E4475D">
        <w:rPr>
          <w:sz w:val="22"/>
          <w:szCs w:val="22"/>
          <w:lang w:val="en-GB"/>
        </w:rPr>
        <w:t>its extension</w:t>
      </w:r>
      <w:r w:rsidRPr="000F0222">
        <w:rPr>
          <w:sz w:val="22"/>
          <w:szCs w:val="22"/>
          <w:lang w:val="en-GB"/>
        </w:rPr>
        <w:t xml:space="preserve"> to other eligible range states outside of the African region;</w:t>
      </w:r>
    </w:p>
    <w:p w14:paraId="577F3324" w14:textId="77777777" w:rsidR="000329DD" w:rsidRPr="000F0222" w:rsidRDefault="000329D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45D9CF5C" w14:textId="7BE4288F" w:rsidR="000329DD" w:rsidRPr="000F0222" w:rsidRDefault="000329D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r w:rsidRPr="000F0222">
        <w:rPr>
          <w:sz w:val="22"/>
          <w:szCs w:val="22"/>
          <w:lang w:val="en-GB"/>
        </w:rPr>
        <w:t xml:space="preserve">14. </w:t>
      </w:r>
      <w:r w:rsidRPr="000F0222">
        <w:rPr>
          <w:b/>
          <w:sz w:val="22"/>
          <w:szCs w:val="22"/>
          <w:u w:val="single"/>
          <w:lang w:val="en-GB"/>
        </w:rPr>
        <w:t>Means should be made available for training of National Focal Points and Designated National Respondents in the use of the CMS Family Online Reporting System</w:t>
      </w:r>
      <w:r w:rsidRPr="000F0222">
        <w:rPr>
          <w:sz w:val="22"/>
          <w:szCs w:val="22"/>
          <w:lang w:val="en-GB"/>
        </w:rPr>
        <w:t xml:space="preserve"> </w:t>
      </w:r>
      <w:proofErr w:type="gramStart"/>
      <w:r w:rsidRPr="000F0222">
        <w:rPr>
          <w:sz w:val="22"/>
          <w:szCs w:val="22"/>
          <w:lang w:val="en-GB"/>
        </w:rPr>
        <w:t>in order to</w:t>
      </w:r>
      <w:proofErr w:type="gramEnd"/>
      <w:r w:rsidRPr="000F0222">
        <w:rPr>
          <w:sz w:val="22"/>
          <w:szCs w:val="22"/>
          <w:lang w:val="en-GB"/>
        </w:rPr>
        <w:t xml:space="preserve"> improve </w:t>
      </w:r>
      <w:r w:rsidR="00E4475D">
        <w:rPr>
          <w:sz w:val="22"/>
          <w:szCs w:val="22"/>
          <w:lang w:val="en-GB"/>
        </w:rPr>
        <w:t xml:space="preserve">the </w:t>
      </w:r>
      <w:r w:rsidRPr="000F0222">
        <w:rPr>
          <w:sz w:val="22"/>
          <w:szCs w:val="22"/>
          <w:lang w:val="en-GB"/>
        </w:rPr>
        <w:t>quality and completeness of national reports as well as increase reporting rates.</w:t>
      </w:r>
    </w:p>
    <w:p w14:paraId="26282C5D" w14:textId="77777777" w:rsidR="000329DD" w:rsidRPr="000F0222" w:rsidRDefault="000329DD" w:rsidP="000F0222">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shd w:val="clear" w:color="auto" w:fill="F2F2F2" w:themeFill="background1" w:themeFillShade="F2"/>
        <w:spacing w:line="276" w:lineRule="auto"/>
        <w:jc w:val="both"/>
        <w:rPr>
          <w:sz w:val="22"/>
          <w:szCs w:val="22"/>
          <w:lang w:val="en-GB"/>
        </w:rPr>
      </w:pPr>
    </w:p>
    <w:p w14:paraId="4E93AAEF" w14:textId="77777777" w:rsidR="00CB1175" w:rsidRPr="000F0222" w:rsidRDefault="00CB1175" w:rsidP="00C64776">
      <w:pPr>
        <w:spacing w:line="276" w:lineRule="auto"/>
        <w:jc w:val="both"/>
        <w:rPr>
          <w:sz w:val="22"/>
          <w:szCs w:val="22"/>
          <w:lang w:val="en-GB"/>
        </w:rPr>
      </w:pPr>
    </w:p>
    <w:p w14:paraId="2157A3A1" w14:textId="187B822E" w:rsidR="002E131E" w:rsidRPr="000F0222" w:rsidRDefault="002E131E" w:rsidP="00C64776">
      <w:pPr>
        <w:spacing w:line="276" w:lineRule="auto"/>
        <w:jc w:val="both"/>
        <w:rPr>
          <w:sz w:val="22"/>
          <w:szCs w:val="22"/>
          <w:lang w:val="en-GB"/>
        </w:rPr>
      </w:pPr>
      <w:r w:rsidRPr="000F0222">
        <w:rPr>
          <w:sz w:val="22"/>
          <w:szCs w:val="22"/>
          <w:lang w:val="en-GB"/>
        </w:rPr>
        <w:t>The Meeting of the Parties is invited to note this report and take its conclusions and recommendations into account in the decision</w:t>
      </w:r>
      <w:r w:rsidR="00D06DE2" w:rsidRPr="000F0222">
        <w:rPr>
          <w:sz w:val="22"/>
          <w:szCs w:val="22"/>
          <w:lang w:val="en-GB"/>
        </w:rPr>
        <w:t>-</w:t>
      </w:r>
      <w:r w:rsidRPr="000F0222">
        <w:rPr>
          <w:sz w:val="22"/>
          <w:szCs w:val="22"/>
          <w:lang w:val="en-GB"/>
        </w:rPr>
        <w:t>making process</w:t>
      </w:r>
      <w:r w:rsidR="00E43EDE">
        <w:rPr>
          <w:sz w:val="22"/>
          <w:szCs w:val="22"/>
          <w:lang w:val="en-GB"/>
        </w:rPr>
        <w:t xml:space="preserve"> and as</w:t>
      </w:r>
      <w:r w:rsidR="00B770A4" w:rsidRPr="000F0222">
        <w:rPr>
          <w:sz w:val="22"/>
          <w:szCs w:val="22"/>
          <w:lang w:val="en-GB"/>
        </w:rPr>
        <w:t xml:space="preserve"> </w:t>
      </w:r>
      <w:r w:rsidR="009C5518" w:rsidRPr="000F0222">
        <w:rPr>
          <w:sz w:val="22"/>
          <w:szCs w:val="22"/>
          <w:lang w:val="en-GB"/>
        </w:rPr>
        <w:t>useful guidance to</w:t>
      </w:r>
      <w:r w:rsidR="002211CE">
        <w:rPr>
          <w:sz w:val="22"/>
          <w:szCs w:val="22"/>
          <w:lang w:val="en-GB"/>
        </w:rPr>
        <w:t>wards</w:t>
      </w:r>
      <w:r w:rsidR="009C5518" w:rsidRPr="000F0222">
        <w:rPr>
          <w:sz w:val="22"/>
          <w:szCs w:val="22"/>
          <w:lang w:val="en-GB"/>
        </w:rPr>
        <w:t xml:space="preserve"> the implementation of the new Strategic Plan 2019-2027</w:t>
      </w:r>
      <w:r w:rsidRPr="000F0222">
        <w:rPr>
          <w:sz w:val="22"/>
          <w:szCs w:val="22"/>
          <w:lang w:val="en-GB"/>
        </w:rPr>
        <w:t>. The recommendations will require to be addressed through joint planning and action by the Parties, the Agreement’s governing bodies, the Secretariat and all other involved stakeholders and partners.</w:t>
      </w:r>
      <w:r w:rsidR="008C0AAC" w:rsidRPr="000F0222">
        <w:rPr>
          <w:sz w:val="22"/>
          <w:szCs w:val="22"/>
          <w:lang w:val="en-GB"/>
        </w:rPr>
        <w:t xml:space="preserve"> </w:t>
      </w:r>
      <w:r w:rsidR="00B770A4" w:rsidRPr="000F0222">
        <w:rPr>
          <w:sz w:val="22"/>
          <w:szCs w:val="22"/>
          <w:lang w:val="en-GB"/>
        </w:rPr>
        <w:t>Significantly i</w:t>
      </w:r>
      <w:r w:rsidR="008C0AAC" w:rsidRPr="000F0222">
        <w:rPr>
          <w:sz w:val="22"/>
          <w:szCs w:val="22"/>
          <w:lang w:val="en-GB"/>
        </w:rPr>
        <w:t xml:space="preserve">ncreased </w:t>
      </w:r>
      <w:r w:rsidR="00B754AA" w:rsidRPr="000F0222">
        <w:rPr>
          <w:sz w:val="22"/>
          <w:szCs w:val="22"/>
          <w:lang w:val="en-GB"/>
        </w:rPr>
        <w:t xml:space="preserve">cooperation, </w:t>
      </w:r>
      <w:r w:rsidR="008C0AAC" w:rsidRPr="000F0222">
        <w:rPr>
          <w:sz w:val="22"/>
          <w:szCs w:val="22"/>
          <w:lang w:val="en-GB"/>
        </w:rPr>
        <w:t>resource</w:t>
      </w:r>
      <w:r w:rsidR="00B754AA" w:rsidRPr="000F0222">
        <w:rPr>
          <w:sz w:val="22"/>
          <w:szCs w:val="22"/>
          <w:lang w:val="en-GB"/>
        </w:rPr>
        <w:t>s</w:t>
      </w:r>
      <w:r w:rsidR="00B770A4" w:rsidRPr="000F0222">
        <w:rPr>
          <w:sz w:val="22"/>
          <w:szCs w:val="22"/>
          <w:lang w:val="en-GB"/>
        </w:rPr>
        <w:t>,</w:t>
      </w:r>
      <w:r w:rsidR="008C0AAC" w:rsidRPr="000F0222">
        <w:rPr>
          <w:sz w:val="22"/>
          <w:szCs w:val="22"/>
          <w:lang w:val="en-GB"/>
        </w:rPr>
        <w:t xml:space="preserve"> capacity </w:t>
      </w:r>
      <w:r w:rsidR="00B770A4" w:rsidRPr="000F0222">
        <w:rPr>
          <w:sz w:val="22"/>
          <w:szCs w:val="22"/>
          <w:lang w:val="en-GB"/>
        </w:rPr>
        <w:t xml:space="preserve">and focused input </w:t>
      </w:r>
      <w:r w:rsidR="008C0AAC" w:rsidRPr="000F0222">
        <w:rPr>
          <w:sz w:val="22"/>
          <w:szCs w:val="22"/>
          <w:lang w:val="en-GB"/>
        </w:rPr>
        <w:t>will be essential</w:t>
      </w:r>
      <w:r w:rsidR="002211CE">
        <w:rPr>
          <w:sz w:val="22"/>
          <w:szCs w:val="22"/>
          <w:lang w:val="en-GB"/>
        </w:rPr>
        <w:t>,</w:t>
      </w:r>
      <w:r w:rsidR="008C0AAC" w:rsidRPr="000F0222">
        <w:rPr>
          <w:sz w:val="22"/>
          <w:szCs w:val="22"/>
          <w:lang w:val="en-GB"/>
        </w:rPr>
        <w:t xml:space="preserve"> </w:t>
      </w:r>
      <w:proofErr w:type="gramStart"/>
      <w:r w:rsidR="008C0AAC" w:rsidRPr="000F0222">
        <w:rPr>
          <w:sz w:val="22"/>
          <w:szCs w:val="22"/>
          <w:lang w:val="en-GB"/>
        </w:rPr>
        <w:t>in order to</w:t>
      </w:r>
      <w:proofErr w:type="gramEnd"/>
      <w:r w:rsidR="008C0AAC" w:rsidRPr="000F0222">
        <w:rPr>
          <w:sz w:val="22"/>
          <w:szCs w:val="22"/>
          <w:lang w:val="en-GB"/>
        </w:rPr>
        <w:t xml:space="preserve"> implement the </w:t>
      </w:r>
      <w:r w:rsidR="00B770A4" w:rsidRPr="000F0222">
        <w:rPr>
          <w:sz w:val="22"/>
          <w:szCs w:val="22"/>
          <w:lang w:val="en-GB"/>
        </w:rPr>
        <w:t xml:space="preserve">new </w:t>
      </w:r>
      <w:r w:rsidR="008C0AAC" w:rsidRPr="000F0222">
        <w:rPr>
          <w:sz w:val="22"/>
          <w:szCs w:val="22"/>
          <w:lang w:val="en-GB"/>
        </w:rPr>
        <w:t>AEWA Strategic Plan</w:t>
      </w:r>
      <w:r w:rsidR="00B770A4" w:rsidRPr="000F0222">
        <w:rPr>
          <w:sz w:val="22"/>
          <w:szCs w:val="22"/>
          <w:lang w:val="en-GB"/>
        </w:rPr>
        <w:t xml:space="preserve"> according to schedule</w:t>
      </w:r>
      <w:r w:rsidR="008C0AAC" w:rsidRPr="000F0222">
        <w:rPr>
          <w:sz w:val="22"/>
          <w:szCs w:val="22"/>
          <w:lang w:val="en-GB"/>
        </w:rPr>
        <w:t xml:space="preserve">. </w:t>
      </w:r>
    </w:p>
    <w:p w14:paraId="3A2D0905" w14:textId="77777777" w:rsidR="009058FB" w:rsidRPr="000F0222" w:rsidRDefault="009058FB" w:rsidP="00C64776">
      <w:pPr>
        <w:spacing w:line="276" w:lineRule="auto"/>
        <w:jc w:val="both"/>
        <w:rPr>
          <w:sz w:val="22"/>
          <w:szCs w:val="22"/>
          <w:lang w:val="en-GB"/>
        </w:rPr>
      </w:pPr>
    </w:p>
    <w:p w14:paraId="6CBFC644" w14:textId="77777777" w:rsidR="009058FB" w:rsidRPr="000F0222" w:rsidRDefault="009058FB" w:rsidP="00C64776">
      <w:pPr>
        <w:spacing w:line="276" w:lineRule="auto"/>
        <w:jc w:val="both"/>
        <w:rPr>
          <w:sz w:val="22"/>
          <w:szCs w:val="22"/>
          <w:lang w:val="en-GB"/>
        </w:rPr>
      </w:pPr>
    </w:p>
    <w:p w14:paraId="1425FEC4" w14:textId="77777777" w:rsidR="009058FB" w:rsidRPr="000F0222" w:rsidRDefault="009058FB" w:rsidP="00C64776">
      <w:pPr>
        <w:spacing w:line="276" w:lineRule="auto"/>
        <w:jc w:val="both"/>
        <w:rPr>
          <w:sz w:val="22"/>
          <w:szCs w:val="22"/>
          <w:lang w:val="en-GB"/>
        </w:rPr>
      </w:pPr>
    </w:p>
    <w:p w14:paraId="10AB5396" w14:textId="77777777" w:rsidR="009058FB" w:rsidRPr="000F0222" w:rsidRDefault="009058FB" w:rsidP="00C64776">
      <w:pPr>
        <w:spacing w:line="276" w:lineRule="auto"/>
        <w:jc w:val="both"/>
        <w:rPr>
          <w:sz w:val="22"/>
          <w:szCs w:val="22"/>
          <w:lang w:val="en-GB"/>
        </w:rPr>
      </w:pPr>
    </w:p>
    <w:p w14:paraId="31F382ED" w14:textId="77777777" w:rsidR="009058FB" w:rsidRPr="000F0222" w:rsidRDefault="009058FB" w:rsidP="00C64776">
      <w:pPr>
        <w:spacing w:line="276" w:lineRule="auto"/>
        <w:jc w:val="both"/>
        <w:rPr>
          <w:sz w:val="22"/>
          <w:szCs w:val="22"/>
          <w:lang w:val="en-GB"/>
        </w:rPr>
      </w:pPr>
    </w:p>
    <w:p w14:paraId="65F29935" w14:textId="77777777" w:rsidR="009058FB" w:rsidRPr="000F0222" w:rsidRDefault="009058FB" w:rsidP="00C64776">
      <w:pPr>
        <w:spacing w:line="276" w:lineRule="auto"/>
        <w:jc w:val="both"/>
        <w:rPr>
          <w:sz w:val="22"/>
          <w:szCs w:val="22"/>
          <w:lang w:val="en-GB"/>
        </w:rPr>
      </w:pPr>
    </w:p>
    <w:p w14:paraId="26EC81AA" w14:textId="77777777" w:rsidR="009058FB" w:rsidRPr="000F0222" w:rsidRDefault="009058FB" w:rsidP="00C64776">
      <w:pPr>
        <w:spacing w:line="276" w:lineRule="auto"/>
        <w:jc w:val="both"/>
        <w:rPr>
          <w:sz w:val="22"/>
          <w:szCs w:val="22"/>
          <w:lang w:val="en-GB"/>
        </w:rPr>
      </w:pPr>
    </w:p>
    <w:p w14:paraId="5A371074" w14:textId="77777777" w:rsidR="009058FB" w:rsidRPr="000F0222" w:rsidRDefault="009058FB" w:rsidP="00C64776">
      <w:pPr>
        <w:spacing w:line="276" w:lineRule="auto"/>
        <w:jc w:val="both"/>
        <w:rPr>
          <w:sz w:val="22"/>
          <w:szCs w:val="22"/>
          <w:lang w:val="en-GB"/>
        </w:rPr>
      </w:pPr>
    </w:p>
    <w:p w14:paraId="0D7F06BD" w14:textId="77777777" w:rsidR="009058FB" w:rsidRPr="000F0222" w:rsidRDefault="009058FB" w:rsidP="002E131E">
      <w:pPr>
        <w:jc w:val="both"/>
        <w:rPr>
          <w:sz w:val="22"/>
          <w:szCs w:val="22"/>
          <w:lang w:val="en-GB"/>
        </w:rPr>
      </w:pPr>
    </w:p>
    <w:p w14:paraId="5D3236E8" w14:textId="77777777" w:rsidR="009058FB" w:rsidRPr="000F0222" w:rsidRDefault="009058FB" w:rsidP="002E131E">
      <w:pPr>
        <w:jc w:val="both"/>
        <w:rPr>
          <w:sz w:val="22"/>
          <w:szCs w:val="22"/>
          <w:lang w:val="en-GB"/>
        </w:rPr>
      </w:pPr>
    </w:p>
    <w:p w14:paraId="6A714F99" w14:textId="77777777" w:rsidR="009058FB" w:rsidRPr="000F0222" w:rsidRDefault="009058FB" w:rsidP="002E131E">
      <w:pPr>
        <w:jc w:val="both"/>
        <w:rPr>
          <w:sz w:val="22"/>
          <w:szCs w:val="22"/>
          <w:lang w:val="en-GB"/>
        </w:rPr>
      </w:pPr>
    </w:p>
    <w:p w14:paraId="1807A150" w14:textId="77777777" w:rsidR="009058FB" w:rsidRPr="000F0222" w:rsidRDefault="009058FB" w:rsidP="002E131E">
      <w:pPr>
        <w:jc w:val="both"/>
        <w:rPr>
          <w:sz w:val="22"/>
          <w:szCs w:val="22"/>
          <w:lang w:val="en-GB"/>
        </w:rPr>
      </w:pPr>
    </w:p>
    <w:p w14:paraId="77C42FC8" w14:textId="77777777" w:rsidR="009058FB" w:rsidRPr="000F0222" w:rsidRDefault="009058FB" w:rsidP="002E131E">
      <w:pPr>
        <w:jc w:val="both"/>
        <w:rPr>
          <w:sz w:val="22"/>
          <w:szCs w:val="22"/>
          <w:lang w:val="en-GB"/>
        </w:rPr>
      </w:pPr>
    </w:p>
    <w:p w14:paraId="3C6A14ED" w14:textId="77777777" w:rsidR="009058FB" w:rsidRPr="000F0222" w:rsidRDefault="009058FB" w:rsidP="002E131E">
      <w:pPr>
        <w:jc w:val="both"/>
        <w:rPr>
          <w:sz w:val="22"/>
          <w:szCs w:val="22"/>
          <w:lang w:val="en-GB"/>
        </w:rPr>
        <w:sectPr w:rsidR="009058FB" w:rsidRPr="000F0222" w:rsidSect="000F0222">
          <w:headerReference w:type="default" r:id="rId26"/>
          <w:footerReference w:type="default" r:id="rId27"/>
          <w:pgSz w:w="11907" w:h="16840" w:code="9"/>
          <w:pgMar w:top="1134" w:right="1134" w:bottom="1134" w:left="1134" w:header="709" w:footer="709" w:gutter="0"/>
          <w:cols w:space="708"/>
          <w:docGrid w:linePitch="360"/>
        </w:sectPr>
      </w:pPr>
    </w:p>
    <w:p w14:paraId="4CB198F2" w14:textId="20ADE24F" w:rsidR="009058FB" w:rsidRPr="000F0222" w:rsidRDefault="009058FB" w:rsidP="009058FB">
      <w:pPr>
        <w:rPr>
          <w:i/>
          <w:lang w:val="en-GB"/>
        </w:rPr>
      </w:pPr>
      <w:r w:rsidRPr="000F0222">
        <w:rPr>
          <w:i/>
          <w:lang w:val="en-GB"/>
        </w:rPr>
        <w:lastRenderedPageBreak/>
        <w:t>Key to pie charts and colo</w:t>
      </w:r>
      <w:r w:rsidR="00C17D74">
        <w:rPr>
          <w:i/>
          <w:lang w:val="en-GB"/>
        </w:rPr>
        <w:t>u</w:t>
      </w:r>
      <w:r w:rsidRPr="000F0222">
        <w:rPr>
          <w:i/>
          <w:lang w:val="en-GB"/>
        </w:rPr>
        <w:t>r code used in Tables 1-8</w:t>
      </w:r>
    </w:p>
    <w:p w14:paraId="54455561" w14:textId="77777777" w:rsidR="00F4313F" w:rsidRPr="000F0222" w:rsidRDefault="00F4313F" w:rsidP="009058FB">
      <w:pPr>
        <w:rPr>
          <w:i/>
          <w:lang w:val="en-GB"/>
        </w:rPr>
      </w:pPr>
    </w:p>
    <w:p w14:paraId="02E93F70" w14:textId="77777777" w:rsidR="009058FB" w:rsidRPr="000F0222" w:rsidRDefault="009058FB" w:rsidP="009058F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460"/>
        <w:gridCol w:w="2460"/>
        <w:gridCol w:w="2460"/>
        <w:gridCol w:w="2460"/>
        <w:gridCol w:w="2460"/>
        <w:gridCol w:w="2460"/>
      </w:tblGrid>
      <w:tr w:rsidR="009058FB" w:rsidRPr="004779F8" w14:paraId="162B5440" w14:textId="77777777" w:rsidTr="009058FB">
        <w:trPr>
          <w:trHeight w:val="1701"/>
        </w:trPr>
        <w:tc>
          <w:tcPr>
            <w:tcW w:w="2362" w:type="dxa"/>
            <w:shd w:val="clear" w:color="auto" w:fill="DBE5F1" w:themeFill="accent1" w:themeFillTint="33"/>
          </w:tcPr>
          <w:p w14:paraId="49334CF5" w14:textId="77777777" w:rsidR="009058FB" w:rsidRPr="000F0222" w:rsidRDefault="009058FB" w:rsidP="009058FB">
            <w:pPr>
              <w:jc w:val="center"/>
              <w:rPr>
                <w:b/>
                <w:lang w:val="en-GB"/>
              </w:rPr>
            </w:pPr>
            <w:r w:rsidRPr="000F0222">
              <w:rPr>
                <w:b/>
                <w:noProof/>
                <w:lang w:val="en-GB"/>
              </w:rPr>
              <w:drawing>
                <wp:inline distT="0" distB="0" distL="0" distR="0" wp14:anchorId="3D101099" wp14:editId="2C598511">
                  <wp:extent cx="1425039" cy="1080654"/>
                  <wp:effectExtent l="0" t="0" r="0" b="0"/>
                  <wp:docPr id="5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362" w:type="dxa"/>
            <w:shd w:val="clear" w:color="auto" w:fill="DBE5F1" w:themeFill="accent1" w:themeFillTint="33"/>
          </w:tcPr>
          <w:p w14:paraId="501C1F5C" w14:textId="77777777" w:rsidR="009058FB" w:rsidRPr="000F0222" w:rsidRDefault="009058FB" w:rsidP="009058FB">
            <w:pPr>
              <w:jc w:val="center"/>
              <w:rPr>
                <w:b/>
                <w:lang w:val="en-GB"/>
              </w:rPr>
            </w:pPr>
            <w:r w:rsidRPr="000F0222">
              <w:rPr>
                <w:b/>
                <w:noProof/>
                <w:lang w:val="en-GB"/>
              </w:rPr>
              <w:drawing>
                <wp:inline distT="0" distB="0" distL="0" distR="0" wp14:anchorId="01529B98" wp14:editId="5927D575">
                  <wp:extent cx="1425039" cy="1080655"/>
                  <wp:effectExtent l="0" t="0" r="0" b="0"/>
                  <wp:docPr id="5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363" w:type="dxa"/>
            <w:shd w:val="clear" w:color="auto" w:fill="DBE5F1" w:themeFill="accent1" w:themeFillTint="33"/>
          </w:tcPr>
          <w:p w14:paraId="61EBDA6C" w14:textId="77777777" w:rsidR="009058FB" w:rsidRPr="000F0222" w:rsidRDefault="009058FB" w:rsidP="009058FB">
            <w:pPr>
              <w:jc w:val="center"/>
              <w:rPr>
                <w:b/>
                <w:lang w:val="en-GB"/>
              </w:rPr>
            </w:pPr>
            <w:r w:rsidRPr="000F0222">
              <w:rPr>
                <w:b/>
                <w:noProof/>
                <w:lang w:val="en-GB"/>
              </w:rPr>
              <w:drawing>
                <wp:inline distT="0" distB="0" distL="0" distR="0" wp14:anchorId="6834CF08" wp14:editId="4CF74FEE">
                  <wp:extent cx="1425039" cy="1080654"/>
                  <wp:effectExtent l="0" t="0" r="0"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363" w:type="dxa"/>
            <w:shd w:val="clear" w:color="auto" w:fill="DBE5F1" w:themeFill="accent1" w:themeFillTint="33"/>
          </w:tcPr>
          <w:p w14:paraId="30273E72" w14:textId="77777777" w:rsidR="009058FB" w:rsidRPr="000F0222" w:rsidRDefault="009058FB" w:rsidP="009058FB">
            <w:pPr>
              <w:jc w:val="center"/>
              <w:rPr>
                <w:b/>
                <w:lang w:val="en-GB"/>
              </w:rPr>
            </w:pPr>
            <w:r w:rsidRPr="000F0222">
              <w:rPr>
                <w:b/>
                <w:noProof/>
                <w:lang w:val="en-GB"/>
              </w:rPr>
              <w:drawing>
                <wp:inline distT="0" distB="0" distL="0" distR="0" wp14:anchorId="46C23820" wp14:editId="23EFF539">
                  <wp:extent cx="1425039" cy="1068780"/>
                  <wp:effectExtent l="0" t="0" r="0" b="0"/>
                  <wp:docPr id="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2363" w:type="dxa"/>
            <w:shd w:val="clear" w:color="auto" w:fill="DBE5F1" w:themeFill="accent1" w:themeFillTint="33"/>
          </w:tcPr>
          <w:p w14:paraId="6C9373C1" w14:textId="77777777" w:rsidR="009058FB" w:rsidRPr="000F0222" w:rsidRDefault="009058FB" w:rsidP="009058FB">
            <w:pPr>
              <w:jc w:val="center"/>
              <w:rPr>
                <w:b/>
                <w:lang w:val="en-GB"/>
              </w:rPr>
            </w:pPr>
            <w:r w:rsidRPr="000F0222">
              <w:rPr>
                <w:b/>
                <w:noProof/>
                <w:lang w:val="en-GB"/>
              </w:rPr>
              <w:drawing>
                <wp:inline distT="0" distB="0" distL="0" distR="0" wp14:anchorId="479F5E21" wp14:editId="47EAEA56">
                  <wp:extent cx="1425039" cy="1080655"/>
                  <wp:effectExtent l="0" t="0" r="0" b="0"/>
                  <wp:docPr id="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2363" w:type="dxa"/>
            <w:shd w:val="clear" w:color="auto" w:fill="DBE5F1" w:themeFill="accent1" w:themeFillTint="33"/>
          </w:tcPr>
          <w:p w14:paraId="6FCC92DE" w14:textId="77777777" w:rsidR="009058FB" w:rsidRPr="000F0222" w:rsidRDefault="009058FB" w:rsidP="009058FB">
            <w:pPr>
              <w:jc w:val="center"/>
              <w:rPr>
                <w:b/>
                <w:lang w:val="en-GB"/>
              </w:rPr>
            </w:pPr>
            <w:r w:rsidRPr="000F0222">
              <w:rPr>
                <w:b/>
                <w:noProof/>
                <w:lang w:val="en-GB"/>
              </w:rPr>
              <w:drawing>
                <wp:inline distT="0" distB="0" distL="0" distR="0" wp14:anchorId="1A2CB09F" wp14:editId="3F809343">
                  <wp:extent cx="1425039" cy="1068779"/>
                  <wp:effectExtent l="0" t="0" r="0"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9058FB" w:rsidRPr="004779F8" w14:paraId="5EC999E4" w14:textId="77777777" w:rsidTr="009058FB">
        <w:tc>
          <w:tcPr>
            <w:tcW w:w="2362" w:type="dxa"/>
            <w:shd w:val="clear" w:color="auto" w:fill="DBE5F1" w:themeFill="accent1" w:themeFillTint="33"/>
          </w:tcPr>
          <w:p w14:paraId="174BC9A2" w14:textId="77777777" w:rsidR="009058FB" w:rsidRPr="000F0222" w:rsidRDefault="009058FB" w:rsidP="009058FB">
            <w:pPr>
              <w:jc w:val="center"/>
              <w:rPr>
                <w:sz w:val="22"/>
                <w:szCs w:val="22"/>
                <w:lang w:val="en-GB"/>
              </w:rPr>
            </w:pPr>
            <w:r w:rsidRPr="000F0222">
              <w:rPr>
                <w:sz w:val="22"/>
                <w:szCs w:val="22"/>
                <w:lang w:val="en-GB"/>
              </w:rPr>
              <w:t>Not achieved / not reached / no progress</w:t>
            </w:r>
          </w:p>
        </w:tc>
        <w:tc>
          <w:tcPr>
            <w:tcW w:w="2362" w:type="dxa"/>
            <w:shd w:val="clear" w:color="auto" w:fill="DBE5F1" w:themeFill="accent1" w:themeFillTint="33"/>
          </w:tcPr>
          <w:p w14:paraId="51831009" w14:textId="77777777" w:rsidR="009058FB" w:rsidRPr="000F0222" w:rsidRDefault="009058FB" w:rsidP="009058FB">
            <w:pPr>
              <w:jc w:val="center"/>
              <w:rPr>
                <w:sz w:val="22"/>
                <w:szCs w:val="22"/>
                <w:lang w:val="en-GB"/>
              </w:rPr>
            </w:pPr>
            <w:r w:rsidRPr="000F0222">
              <w:rPr>
                <w:sz w:val="22"/>
                <w:szCs w:val="22"/>
                <w:lang w:val="en-GB"/>
              </w:rPr>
              <w:t>Limited progress</w:t>
            </w:r>
          </w:p>
        </w:tc>
        <w:tc>
          <w:tcPr>
            <w:tcW w:w="2363" w:type="dxa"/>
            <w:shd w:val="clear" w:color="auto" w:fill="DBE5F1" w:themeFill="accent1" w:themeFillTint="33"/>
          </w:tcPr>
          <w:p w14:paraId="2C0B0E59" w14:textId="77777777" w:rsidR="009058FB" w:rsidRPr="000F0222" w:rsidRDefault="009058FB" w:rsidP="009058FB">
            <w:pPr>
              <w:jc w:val="center"/>
              <w:rPr>
                <w:sz w:val="22"/>
                <w:szCs w:val="22"/>
                <w:lang w:val="en-GB"/>
              </w:rPr>
            </w:pPr>
            <w:r w:rsidRPr="000F0222">
              <w:rPr>
                <w:sz w:val="22"/>
                <w:szCs w:val="22"/>
                <w:lang w:val="en-GB"/>
              </w:rPr>
              <w:t>Good progress</w:t>
            </w:r>
          </w:p>
        </w:tc>
        <w:tc>
          <w:tcPr>
            <w:tcW w:w="2363" w:type="dxa"/>
            <w:shd w:val="clear" w:color="auto" w:fill="DBE5F1" w:themeFill="accent1" w:themeFillTint="33"/>
          </w:tcPr>
          <w:p w14:paraId="3F324772" w14:textId="77777777" w:rsidR="009058FB" w:rsidRPr="000F0222" w:rsidRDefault="009058FB" w:rsidP="009058FB">
            <w:pPr>
              <w:jc w:val="center"/>
              <w:rPr>
                <w:sz w:val="22"/>
                <w:szCs w:val="22"/>
                <w:lang w:val="en-GB"/>
              </w:rPr>
            </w:pPr>
            <w:r w:rsidRPr="000F0222">
              <w:rPr>
                <w:sz w:val="22"/>
                <w:szCs w:val="22"/>
                <w:lang w:val="en-GB"/>
              </w:rPr>
              <w:t>Significant progress</w:t>
            </w:r>
          </w:p>
        </w:tc>
        <w:tc>
          <w:tcPr>
            <w:tcW w:w="2363" w:type="dxa"/>
            <w:shd w:val="clear" w:color="auto" w:fill="DBE5F1" w:themeFill="accent1" w:themeFillTint="33"/>
          </w:tcPr>
          <w:p w14:paraId="06EBB576" w14:textId="77777777" w:rsidR="009058FB" w:rsidRPr="000F0222" w:rsidRDefault="009058FB" w:rsidP="009058FB">
            <w:pPr>
              <w:jc w:val="center"/>
              <w:rPr>
                <w:sz w:val="22"/>
                <w:szCs w:val="22"/>
                <w:lang w:val="en-GB"/>
              </w:rPr>
            </w:pPr>
            <w:r w:rsidRPr="000F0222">
              <w:rPr>
                <w:sz w:val="22"/>
                <w:szCs w:val="22"/>
                <w:lang w:val="en-GB"/>
              </w:rPr>
              <w:t>Achieved / reached</w:t>
            </w:r>
          </w:p>
          <w:p w14:paraId="1B9D2991" w14:textId="77777777" w:rsidR="009058FB" w:rsidRPr="000F0222" w:rsidRDefault="009058FB" w:rsidP="009058FB">
            <w:pPr>
              <w:jc w:val="center"/>
              <w:rPr>
                <w:sz w:val="22"/>
                <w:szCs w:val="22"/>
                <w:lang w:val="en-GB"/>
              </w:rPr>
            </w:pPr>
          </w:p>
        </w:tc>
        <w:tc>
          <w:tcPr>
            <w:tcW w:w="2363" w:type="dxa"/>
            <w:shd w:val="clear" w:color="auto" w:fill="DBE5F1" w:themeFill="accent1" w:themeFillTint="33"/>
          </w:tcPr>
          <w:p w14:paraId="77504DE7" w14:textId="77777777" w:rsidR="009058FB" w:rsidRPr="000F0222" w:rsidRDefault="009058FB" w:rsidP="009058FB">
            <w:pPr>
              <w:jc w:val="center"/>
              <w:rPr>
                <w:sz w:val="22"/>
                <w:szCs w:val="22"/>
                <w:lang w:val="en-GB"/>
              </w:rPr>
            </w:pPr>
            <w:r w:rsidRPr="000F0222">
              <w:rPr>
                <w:sz w:val="22"/>
                <w:szCs w:val="22"/>
                <w:lang w:val="en-GB"/>
              </w:rPr>
              <w:t>Not assessed</w:t>
            </w:r>
          </w:p>
        </w:tc>
      </w:tr>
    </w:tbl>
    <w:p w14:paraId="7721AD25" w14:textId="77777777" w:rsidR="009058FB" w:rsidRPr="000F0222" w:rsidRDefault="009058FB" w:rsidP="009058FB">
      <w:pPr>
        <w:rPr>
          <w:b/>
          <w:lang w:val="en-GB"/>
        </w:rPr>
      </w:pPr>
    </w:p>
    <w:p w14:paraId="61FC652B" w14:textId="77777777" w:rsidR="00F4313F" w:rsidRPr="000F0222" w:rsidRDefault="00F4313F" w:rsidP="009058FB">
      <w:pPr>
        <w:rPr>
          <w:b/>
          <w:lang w:val="en-GB"/>
        </w:rPr>
      </w:pP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4848"/>
      </w:tblGrid>
      <w:tr w:rsidR="009058FB" w:rsidRPr="004779F8" w14:paraId="6F5B0866" w14:textId="77777777" w:rsidTr="00F4313F">
        <w:trPr>
          <w:trHeight w:val="1134"/>
        </w:trPr>
        <w:tc>
          <w:tcPr>
            <w:tcW w:w="14850" w:type="dxa"/>
            <w:shd w:val="clear" w:color="auto" w:fill="FABF8F" w:themeFill="accent6" w:themeFillTint="99"/>
            <w:vAlign w:val="center"/>
          </w:tcPr>
          <w:p w14:paraId="2AC1FEDC" w14:textId="77777777" w:rsidR="009058FB" w:rsidRPr="000F0222" w:rsidRDefault="009058FB" w:rsidP="009058FB">
            <w:pPr>
              <w:rPr>
                <w:b/>
                <w:lang w:val="en-GB"/>
              </w:rPr>
            </w:pPr>
            <w:r w:rsidRPr="000F0222">
              <w:rPr>
                <w:b/>
                <w:lang w:val="en-GB"/>
              </w:rPr>
              <w:t>Lacking or insufficient implementation; indicator/target not achieved/reached or distant. Requires initiation of activities or further significant resources and implementation.</w:t>
            </w:r>
          </w:p>
        </w:tc>
      </w:tr>
      <w:tr w:rsidR="009058FB" w:rsidRPr="004779F8" w14:paraId="3FFF6078" w14:textId="77777777" w:rsidTr="00F4313F">
        <w:trPr>
          <w:trHeight w:val="1134"/>
        </w:trPr>
        <w:tc>
          <w:tcPr>
            <w:tcW w:w="14850" w:type="dxa"/>
            <w:shd w:val="clear" w:color="auto" w:fill="FFFF99"/>
            <w:vAlign w:val="center"/>
          </w:tcPr>
          <w:p w14:paraId="125E2007" w14:textId="77777777" w:rsidR="009058FB" w:rsidRPr="000F0222" w:rsidRDefault="009058FB" w:rsidP="009058FB">
            <w:pPr>
              <w:rPr>
                <w:b/>
                <w:lang w:val="en-GB"/>
              </w:rPr>
            </w:pPr>
            <w:r w:rsidRPr="000F0222">
              <w:rPr>
                <w:b/>
                <w:lang w:val="en-GB"/>
              </w:rPr>
              <w:t>Implementation underway; on a good course towards achieving/reaching the indicator/target. Implementation shall continue and be strengthened.</w:t>
            </w:r>
          </w:p>
        </w:tc>
      </w:tr>
      <w:tr w:rsidR="009058FB" w:rsidRPr="004779F8" w14:paraId="719C1D24" w14:textId="77777777" w:rsidTr="00F4313F">
        <w:trPr>
          <w:trHeight w:val="1134"/>
        </w:trPr>
        <w:tc>
          <w:tcPr>
            <w:tcW w:w="14850" w:type="dxa"/>
            <w:shd w:val="clear" w:color="auto" w:fill="C2D69B" w:themeFill="accent3" w:themeFillTint="99"/>
            <w:vAlign w:val="center"/>
          </w:tcPr>
          <w:p w14:paraId="4324B0B6" w14:textId="77777777" w:rsidR="009058FB" w:rsidRPr="000F0222" w:rsidRDefault="009058FB" w:rsidP="009058FB">
            <w:pPr>
              <w:rPr>
                <w:b/>
                <w:lang w:val="en-GB"/>
              </w:rPr>
            </w:pPr>
            <w:r w:rsidRPr="000F0222">
              <w:rPr>
                <w:b/>
                <w:lang w:val="en-GB"/>
              </w:rPr>
              <w:t>Fully implemented or advanced implementation; indicator/target achieved/reached or closely approached. Review the indicator/target or step up action for full implementation and achieving/reaching the indicator/target.</w:t>
            </w:r>
          </w:p>
        </w:tc>
      </w:tr>
      <w:tr w:rsidR="009058FB" w:rsidRPr="004779F8" w14:paraId="4258C225" w14:textId="77777777" w:rsidTr="00F4313F">
        <w:trPr>
          <w:trHeight w:val="1134"/>
        </w:trPr>
        <w:tc>
          <w:tcPr>
            <w:tcW w:w="14850" w:type="dxa"/>
            <w:shd w:val="clear" w:color="auto" w:fill="A6A6A6" w:themeFill="background1" w:themeFillShade="A6"/>
            <w:vAlign w:val="center"/>
          </w:tcPr>
          <w:p w14:paraId="0D16E4EB" w14:textId="2279142E" w:rsidR="009058FB" w:rsidRPr="000F0222" w:rsidRDefault="009058FB" w:rsidP="009058FB">
            <w:pPr>
              <w:rPr>
                <w:b/>
                <w:lang w:val="en-GB"/>
              </w:rPr>
            </w:pPr>
            <w:r w:rsidRPr="000F0222">
              <w:rPr>
                <w:b/>
                <w:lang w:val="en-GB"/>
              </w:rPr>
              <w:t xml:space="preserve">No assessment available. </w:t>
            </w:r>
          </w:p>
        </w:tc>
      </w:tr>
    </w:tbl>
    <w:p w14:paraId="621CD6D0" w14:textId="77777777" w:rsidR="009058FB" w:rsidRPr="000F0222" w:rsidRDefault="009058FB" w:rsidP="009058FB">
      <w:pPr>
        <w:pageBreakBefore/>
        <w:jc w:val="both"/>
        <w:rPr>
          <w:i/>
          <w:lang w:val="en-GB"/>
        </w:rPr>
      </w:pPr>
      <w:r w:rsidRPr="000F0222">
        <w:rPr>
          <w:i/>
          <w:lang w:val="en-GB"/>
        </w:rPr>
        <w:lastRenderedPageBreak/>
        <w:t xml:space="preserve">Table 3. Goal: </w:t>
      </w:r>
      <w:r w:rsidRPr="004779F8">
        <w:rPr>
          <w:i/>
          <w:lang w:val="en-GB"/>
        </w:rPr>
        <w:t xml:space="preserve">To maintain or to restore migratory </w:t>
      </w:r>
      <w:proofErr w:type="spellStart"/>
      <w:r w:rsidRPr="004779F8">
        <w:rPr>
          <w:i/>
          <w:lang w:val="en-GB"/>
        </w:rPr>
        <w:t>waterbird</w:t>
      </w:r>
      <w:proofErr w:type="spellEnd"/>
      <w:r w:rsidRPr="004779F8">
        <w:rPr>
          <w:i/>
          <w:lang w:val="en-GB"/>
        </w:rPr>
        <w:t xml:space="preserve"> species and their populations at a favourable conservation status </w:t>
      </w:r>
      <w:r w:rsidRPr="004779F8">
        <w:rPr>
          <w:bCs/>
          <w:i/>
          <w:lang w:val="en-GB"/>
        </w:rPr>
        <w:t>throughout their flyways</w:t>
      </w:r>
    </w:p>
    <w:p w14:paraId="0769CD72" w14:textId="77777777" w:rsidR="009058FB" w:rsidRPr="000F0222" w:rsidRDefault="009058FB" w:rsidP="009058FB">
      <w:pPr>
        <w:rPr>
          <w:lang w:val="en-GB"/>
        </w:rPr>
      </w:pPr>
    </w:p>
    <w:tbl>
      <w:tblPr>
        <w:tblStyle w:val="TableGrid"/>
        <w:tblW w:w="0" w:type="auto"/>
        <w:tblLayout w:type="fixed"/>
        <w:tblLook w:val="04A0" w:firstRow="1" w:lastRow="0" w:firstColumn="1" w:lastColumn="0" w:noHBand="0" w:noVBand="1"/>
      </w:tblPr>
      <w:tblGrid>
        <w:gridCol w:w="2376"/>
        <w:gridCol w:w="2835"/>
        <w:gridCol w:w="9639"/>
      </w:tblGrid>
      <w:tr w:rsidR="009058FB" w:rsidRPr="004779F8" w14:paraId="44065109" w14:textId="77777777" w:rsidTr="00405CE0">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0FB46C4" w14:textId="77777777" w:rsidR="009058FB" w:rsidRPr="000F0222" w:rsidRDefault="009058FB" w:rsidP="009058FB">
            <w:pPr>
              <w:rPr>
                <w:b/>
                <w:lang w:val="en-GB"/>
              </w:rPr>
            </w:pPr>
            <w:r w:rsidRPr="000F0222">
              <w:rPr>
                <w:b/>
                <w:lang w:val="en-G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2D67118" w14:textId="77777777" w:rsidR="009058FB" w:rsidRPr="000F0222" w:rsidRDefault="009058FB" w:rsidP="009058FB">
            <w:pPr>
              <w:rPr>
                <w:b/>
                <w:lang w:val="en-GB"/>
              </w:rPr>
            </w:pPr>
            <w:r w:rsidRPr="000F0222">
              <w:rPr>
                <w:b/>
                <w:lang w:val="en-GB"/>
              </w:rPr>
              <w:t xml:space="preserve">Indicator </w:t>
            </w:r>
          </w:p>
          <w:p w14:paraId="37BD7FC9" w14:textId="77777777" w:rsidR="009058FB" w:rsidRPr="000F0222" w:rsidRDefault="009058FB" w:rsidP="009058FB">
            <w:pPr>
              <w:rPr>
                <w:b/>
                <w:lang w:val="en-GB"/>
              </w:rPr>
            </w:pPr>
            <w:r w:rsidRPr="000F0222">
              <w:rPr>
                <w:b/>
                <w:lang w:val="en-GB"/>
              </w:rPr>
              <w:t>(at the Agreement level)</w:t>
            </w: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BDC0DB2" w14:textId="77777777" w:rsidR="009058FB" w:rsidRPr="000F0222" w:rsidRDefault="009058FB" w:rsidP="009058FB">
            <w:pPr>
              <w:rPr>
                <w:b/>
                <w:lang w:val="en-GB"/>
              </w:rPr>
            </w:pPr>
            <w:r w:rsidRPr="000F0222">
              <w:rPr>
                <w:b/>
                <w:lang w:val="en-GB"/>
              </w:rPr>
              <w:t>Summary and reference</w:t>
            </w:r>
          </w:p>
        </w:tc>
      </w:tr>
      <w:tr w:rsidR="009058FB" w:rsidRPr="004779F8" w14:paraId="7D19485A" w14:textId="77777777" w:rsidTr="00405CE0">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15FAB59" w14:textId="338DD991" w:rsidR="009058FB" w:rsidRPr="000F0222" w:rsidRDefault="00111A9A" w:rsidP="009058FB">
            <w:pPr>
              <w:jc w:val="center"/>
              <w:rPr>
                <w:sz w:val="22"/>
                <w:szCs w:val="22"/>
                <w:lang w:val="en-GB"/>
              </w:rPr>
            </w:pPr>
            <w:r w:rsidRPr="000F0222">
              <w:rPr>
                <w:noProof/>
                <w:sz w:val="22"/>
                <w:szCs w:val="22"/>
                <w:lang w:val="en-GB"/>
              </w:rPr>
              <w:drawing>
                <wp:inline distT="0" distB="0" distL="0" distR="0" wp14:anchorId="0B0046D5" wp14:editId="24AA110D">
                  <wp:extent cx="1425039" cy="1080654"/>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E3D5073" w14:textId="77777777" w:rsidR="009058FB" w:rsidRPr="004779F8" w:rsidRDefault="009058FB" w:rsidP="009058FB">
            <w:pPr>
              <w:rPr>
                <w:b/>
                <w:sz w:val="22"/>
                <w:szCs w:val="22"/>
                <w:lang w:val="en-GB"/>
              </w:rPr>
            </w:pPr>
          </w:p>
          <w:p w14:paraId="6143FA75" w14:textId="77777777" w:rsidR="009058FB" w:rsidRPr="004779F8" w:rsidRDefault="009058FB" w:rsidP="009058FB">
            <w:pPr>
              <w:rPr>
                <w:b/>
                <w:sz w:val="22"/>
                <w:szCs w:val="22"/>
                <w:lang w:val="en-GB"/>
              </w:rPr>
            </w:pPr>
            <w:r w:rsidRPr="004779F8">
              <w:rPr>
                <w:b/>
                <w:sz w:val="22"/>
                <w:szCs w:val="22"/>
                <w:lang w:val="en-GB"/>
              </w:rPr>
              <w:t>G1</w:t>
            </w:r>
            <w:r w:rsidRPr="004779F8">
              <w:rPr>
                <w:rStyle w:val="FootnoteReference"/>
                <w:b/>
                <w:sz w:val="22"/>
                <w:szCs w:val="22"/>
                <w:lang w:val="en-GB"/>
              </w:rPr>
              <w:footnoteReference w:id="2"/>
            </w:r>
            <w:r w:rsidRPr="004779F8">
              <w:rPr>
                <w:b/>
                <w:sz w:val="22"/>
                <w:szCs w:val="22"/>
                <w:lang w:val="en-GB"/>
              </w:rPr>
              <w:t xml:space="preserve">: No AEWA </w:t>
            </w:r>
            <w:proofErr w:type="spellStart"/>
            <w:r w:rsidRPr="004779F8">
              <w:rPr>
                <w:b/>
                <w:sz w:val="22"/>
                <w:szCs w:val="22"/>
                <w:lang w:val="en-GB"/>
              </w:rPr>
              <w:t>waterbird</w:t>
            </w:r>
            <w:proofErr w:type="spellEnd"/>
            <w:r w:rsidRPr="004779F8">
              <w:rPr>
                <w:b/>
                <w:sz w:val="22"/>
                <w:szCs w:val="22"/>
                <w:lang w:val="en-GB"/>
              </w:rPr>
              <w:t xml:space="preserve"> population has become extinct in the Agreement area</w:t>
            </w:r>
          </w:p>
          <w:p w14:paraId="07EC3A91" w14:textId="77777777" w:rsidR="009058FB" w:rsidRPr="000F0222" w:rsidRDefault="009058FB" w:rsidP="009058FB">
            <w:pPr>
              <w:rPr>
                <w:b/>
                <w:sz w:val="22"/>
                <w:szCs w:val="22"/>
                <w:lang w:val="en-GB"/>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C8F7AE9" w14:textId="77777777" w:rsidR="009058FB" w:rsidRPr="000F0222" w:rsidRDefault="009058FB" w:rsidP="009058FB">
            <w:pPr>
              <w:rPr>
                <w:sz w:val="22"/>
                <w:szCs w:val="22"/>
                <w:lang w:val="en-GB"/>
              </w:rPr>
            </w:pPr>
          </w:p>
          <w:p w14:paraId="776AF2E4" w14:textId="01F539D0" w:rsidR="009058FB" w:rsidRPr="000F0222" w:rsidRDefault="009058FB" w:rsidP="009058FB">
            <w:pPr>
              <w:rPr>
                <w:sz w:val="22"/>
                <w:szCs w:val="22"/>
                <w:lang w:val="en-GB"/>
              </w:rPr>
            </w:pPr>
            <w:proofErr w:type="gramStart"/>
            <w:r w:rsidRPr="000F0222">
              <w:rPr>
                <w:sz w:val="22"/>
                <w:szCs w:val="22"/>
                <w:lang w:val="en-GB"/>
              </w:rPr>
              <w:t>On the basis of</w:t>
            </w:r>
            <w:proofErr w:type="gramEnd"/>
            <w:r w:rsidRPr="000F0222">
              <w:rPr>
                <w:sz w:val="22"/>
                <w:szCs w:val="22"/>
                <w:lang w:val="en-GB"/>
              </w:rPr>
              <w:t xml:space="preserve"> the available information and the IUCN Red List 201</w:t>
            </w:r>
            <w:r w:rsidR="00111A9A" w:rsidRPr="000F0222">
              <w:rPr>
                <w:sz w:val="22"/>
                <w:szCs w:val="22"/>
                <w:lang w:val="en-GB"/>
              </w:rPr>
              <w:t>7</w:t>
            </w:r>
            <w:r w:rsidRPr="000F0222">
              <w:rPr>
                <w:sz w:val="22"/>
                <w:szCs w:val="22"/>
                <w:lang w:val="en-GB"/>
              </w:rPr>
              <w:t xml:space="preserve">, no </w:t>
            </w:r>
            <w:r w:rsidR="00111A9A" w:rsidRPr="000F0222">
              <w:rPr>
                <w:sz w:val="22"/>
                <w:szCs w:val="22"/>
                <w:lang w:val="en-GB"/>
              </w:rPr>
              <w:t xml:space="preserve">species </w:t>
            </w:r>
            <w:r w:rsidRPr="000F0222">
              <w:rPr>
                <w:sz w:val="22"/>
                <w:szCs w:val="22"/>
                <w:lang w:val="en-GB"/>
              </w:rPr>
              <w:t xml:space="preserve">has been identified as </w:t>
            </w:r>
            <w:r w:rsidR="00163D28" w:rsidRPr="000F0222">
              <w:rPr>
                <w:sz w:val="22"/>
                <w:szCs w:val="22"/>
                <w:lang w:val="en-GB"/>
              </w:rPr>
              <w:t xml:space="preserve">being </w:t>
            </w:r>
            <w:r w:rsidRPr="000F0222">
              <w:rPr>
                <w:sz w:val="22"/>
                <w:szCs w:val="22"/>
                <w:lang w:val="en-GB"/>
              </w:rPr>
              <w:t>extinct</w:t>
            </w:r>
            <w:r w:rsidR="00111A9A" w:rsidRPr="000F0222">
              <w:rPr>
                <w:sz w:val="22"/>
                <w:szCs w:val="22"/>
                <w:lang w:val="en-GB"/>
              </w:rPr>
              <w:t>, however, the latest assessment of the status of AEWA populations identified the first confirmed population extinction – the Demoiselle Crane (</w:t>
            </w:r>
            <w:proofErr w:type="spellStart"/>
            <w:r w:rsidR="00111A9A" w:rsidRPr="000F0222">
              <w:rPr>
                <w:i/>
                <w:sz w:val="22"/>
                <w:szCs w:val="22"/>
                <w:lang w:val="en-GB"/>
              </w:rPr>
              <w:t>Anthropoides</w:t>
            </w:r>
            <w:proofErr w:type="spellEnd"/>
            <w:r w:rsidR="00111A9A" w:rsidRPr="000F0222">
              <w:rPr>
                <w:i/>
                <w:sz w:val="22"/>
                <w:szCs w:val="22"/>
                <w:lang w:val="en-GB"/>
              </w:rPr>
              <w:t xml:space="preserve"> </w:t>
            </w:r>
            <w:proofErr w:type="spellStart"/>
            <w:r w:rsidR="00111A9A" w:rsidRPr="000F0222">
              <w:rPr>
                <w:i/>
                <w:sz w:val="22"/>
                <w:szCs w:val="22"/>
                <w:lang w:val="en-GB"/>
              </w:rPr>
              <w:t>virgo</w:t>
            </w:r>
            <w:proofErr w:type="spellEnd"/>
            <w:r w:rsidR="00111A9A" w:rsidRPr="000F0222">
              <w:rPr>
                <w:sz w:val="22"/>
                <w:szCs w:val="22"/>
                <w:lang w:val="en-GB"/>
              </w:rPr>
              <w:t>) population that used to breed in Turkey</w:t>
            </w:r>
            <w:r w:rsidRPr="000F0222">
              <w:rPr>
                <w:sz w:val="22"/>
                <w:szCs w:val="22"/>
                <w:lang w:val="en-GB"/>
              </w:rPr>
              <w:t xml:space="preserve">. </w:t>
            </w:r>
            <w:r w:rsidR="00E80444" w:rsidRPr="000F0222">
              <w:rPr>
                <w:sz w:val="22"/>
                <w:szCs w:val="22"/>
                <w:lang w:val="en-GB"/>
              </w:rPr>
              <w:t>There are two more populations – the population of the Siberian Crane (</w:t>
            </w:r>
            <w:proofErr w:type="spellStart"/>
            <w:r w:rsidR="00E80444" w:rsidRPr="000F0222">
              <w:rPr>
                <w:i/>
                <w:sz w:val="22"/>
                <w:szCs w:val="22"/>
                <w:lang w:val="en-GB"/>
              </w:rPr>
              <w:t>Leucogeranus</w:t>
            </w:r>
            <w:proofErr w:type="spellEnd"/>
            <w:r w:rsidR="00E80444" w:rsidRPr="000F0222">
              <w:rPr>
                <w:i/>
                <w:sz w:val="22"/>
                <w:szCs w:val="22"/>
                <w:lang w:val="en-GB"/>
              </w:rPr>
              <w:t xml:space="preserve"> </w:t>
            </w:r>
            <w:proofErr w:type="spellStart"/>
            <w:r w:rsidR="00E80444" w:rsidRPr="000F0222">
              <w:rPr>
                <w:i/>
                <w:sz w:val="22"/>
                <w:szCs w:val="22"/>
                <w:lang w:val="en-GB"/>
              </w:rPr>
              <w:t>leucogeranus</w:t>
            </w:r>
            <w:proofErr w:type="spellEnd"/>
            <w:r w:rsidR="00E80444" w:rsidRPr="000F0222">
              <w:rPr>
                <w:sz w:val="22"/>
                <w:szCs w:val="22"/>
                <w:lang w:val="en-GB"/>
              </w:rPr>
              <w:t>) wintering in Iran and the population of the Northern Bald Ibis (</w:t>
            </w:r>
            <w:proofErr w:type="spellStart"/>
            <w:r w:rsidR="00E80444" w:rsidRPr="000F0222">
              <w:rPr>
                <w:i/>
                <w:sz w:val="22"/>
                <w:szCs w:val="22"/>
                <w:lang w:val="en-GB"/>
              </w:rPr>
              <w:t>Geronticus</w:t>
            </w:r>
            <w:proofErr w:type="spellEnd"/>
            <w:r w:rsidR="00E80444" w:rsidRPr="000F0222">
              <w:rPr>
                <w:i/>
                <w:sz w:val="22"/>
                <w:szCs w:val="22"/>
                <w:lang w:val="en-GB"/>
              </w:rPr>
              <w:t xml:space="preserve"> </w:t>
            </w:r>
            <w:proofErr w:type="spellStart"/>
            <w:r w:rsidR="00E80444" w:rsidRPr="000F0222">
              <w:rPr>
                <w:i/>
                <w:sz w:val="22"/>
                <w:szCs w:val="22"/>
                <w:lang w:val="en-GB"/>
              </w:rPr>
              <w:t>eremita</w:t>
            </w:r>
            <w:proofErr w:type="spellEnd"/>
            <w:r w:rsidR="00E80444" w:rsidRPr="000F0222">
              <w:rPr>
                <w:sz w:val="22"/>
                <w:szCs w:val="22"/>
                <w:lang w:val="en-GB"/>
              </w:rPr>
              <w:t>) breeding in South-west Asia that have declined to single individuals. In addition</w:t>
            </w:r>
            <w:r w:rsidRPr="000F0222">
              <w:rPr>
                <w:sz w:val="22"/>
                <w:szCs w:val="22"/>
                <w:lang w:val="en-GB"/>
              </w:rPr>
              <w:t>, no sightings of the Critically Endangered Slender-billed Curlew (</w:t>
            </w:r>
            <w:proofErr w:type="spellStart"/>
            <w:r w:rsidRPr="000F0222">
              <w:rPr>
                <w:i/>
                <w:sz w:val="22"/>
                <w:szCs w:val="22"/>
                <w:lang w:val="en-GB"/>
              </w:rPr>
              <w:t>Numenius</w:t>
            </w:r>
            <w:proofErr w:type="spellEnd"/>
            <w:r w:rsidR="00006A74" w:rsidRPr="000F0222">
              <w:rPr>
                <w:i/>
                <w:sz w:val="22"/>
                <w:szCs w:val="22"/>
                <w:lang w:val="en-GB"/>
              </w:rPr>
              <w:t xml:space="preserve"> </w:t>
            </w:r>
            <w:proofErr w:type="spellStart"/>
            <w:r w:rsidR="00006A74" w:rsidRPr="000F0222">
              <w:rPr>
                <w:i/>
                <w:sz w:val="22"/>
                <w:szCs w:val="22"/>
                <w:lang w:val="en-GB"/>
              </w:rPr>
              <w:t>t</w:t>
            </w:r>
            <w:r w:rsidRPr="000F0222">
              <w:rPr>
                <w:i/>
                <w:sz w:val="22"/>
                <w:szCs w:val="22"/>
                <w:lang w:val="en-GB"/>
              </w:rPr>
              <w:t>enuirostris</w:t>
            </w:r>
            <w:proofErr w:type="spellEnd"/>
            <w:r w:rsidRPr="000F0222">
              <w:rPr>
                <w:sz w:val="22"/>
                <w:szCs w:val="22"/>
                <w:lang w:val="en-GB"/>
              </w:rPr>
              <w:t xml:space="preserve">) have been confirmed since 1998 and the extensive surveys launched in the end of 2008 did not prove extant birds of the species. There is a risk that the species might be extinct. </w:t>
            </w:r>
            <w:r w:rsidR="00DD5100" w:rsidRPr="000F0222">
              <w:rPr>
                <w:sz w:val="22"/>
                <w:szCs w:val="22"/>
                <w:lang w:val="en-GB"/>
              </w:rPr>
              <w:t>The target was not achieved.</w:t>
            </w:r>
          </w:p>
          <w:p w14:paraId="5CF50226" w14:textId="77777777" w:rsidR="009058FB" w:rsidRPr="000F0222" w:rsidRDefault="009058FB" w:rsidP="009058FB">
            <w:pPr>
              <w:rPr>
                <w:sz w:val="22"/>
                <w:szCs w:val="22"/>
                <w:lang w:val="en-GB"/>
              </w:rPr>
            </w:pPr>
          </w:p>
          <w:p w14:paraId="3E60463E" w14:textId="7C4D290A" w:rsidR="00751AD7" w:rsidRPr="000F0222" w:rsidRDefault="00751AD7" w:rsidP="009058FB">
            <w:pPr>
              <w:rPr>
                <w:sz w:val="22"/>
                <w:szCs w:val="22"/>
                <w:lang w:val="en-GB"/>
              </w:rPr>
            </w:pPr>
            <w:r w:rsidRPr="000F0222">
              <w:rPr>
                <w:b/>
                <w:sz w:val="22"/>
                <w:szCs w:val="22"/>
                <w:lang w:val="en-GB"/>
              </w:rPr>
              <w:t>Change since MOP</w:t>
            </w:r>
            <w:r w:rsidR="005B1F58" w:rsidRPr="000F0222">
              <w:rPr>
                <w:b/>
                <w:sz w:val="22"/>
                <w:szCs w:val="22"/>
                <w:lang w:val="en-GB"/>
              </w:rPr>
              <w:t>4</w:t>
            </w:r>
            <w:r w:rsidRPr="000F0222">
              <w:rPr>
                <w:b/>
                <w:sz w:val="22"/>
                <w:szCs w:val="22"/>
                <w:lang w:val="en-GB"/>
              </w:rPr>
              <w:t>:</w:t>
            </w:r>
            <w:r w:rsidRPr="000F0222">
              <w:rPr>
                <w:sz w:val="22"/>
                <w:szCs w:val="22"/>
                <w:lang w:val="en-GB"/>
              </w:rPr>
              <w:t xml:space="preserve"> </w:t>
            </w:r>
            <w:r w:rsidR="00111A9A" w:rsidRPr="000F0222">
              <w:rPr>
                <w:sz w:val="22"/>
                <w:szCs w:val="22"/>
                <w:lang w:val="en-GB"/>
              </w:rPr>
              <w:t>Negative</w:t>
            </w:r>
            <w:r w:rsidR="00D152FD" w:rsidRPr="000F0222">
              <w:rPr>
                <w:sz w:val="22"/>
                <w:szCs w:val="22"/>
                <w:lang w:val="en-GB"/>
              </w:rPr>
              <w:t>.</w:t>
            </w:r>
          </w:p>
          <w:p w14:paraId="0E739B95" w14:textId="77777777" w:rsidR="00751AD7" w:rsidRPr="000F0222" w:rsidRDefault="00751AD7" w:rsidP="009058FB">
            <w:pPr>
              <w:rPr>
                <w:sz w:val="22"/>
                <w:szCs w:val="22"/>
                <w:lang w:val="en-GB"/>
              </w:rPr>
            </w:pPr>
          </w:p>
          <w:p w14:paraId="04245B8E" w14:textId="3D30B6F9" w:rsidR="009058FB" w:rsidRPr="000F0222" w:rsidRDefault="009058FB" w:rsidP="009058FB">
            <w:pPr>
              <w:rPr>
                <w:sz w:val="22"/>
                <w:szCs w:val="22"/>
                <w:lang w:val="en-GB"/>
              </w:rPr>
            </w:pPr>
            <w:r w:rsidRPr="000F0222">
              <w:rPr>
                <w:b/>
                <w:sz w:val="22"/>
                <w:szCs w:val="22"/>
                <w:lang w:val="en-GB"/>
              </w:rPr>
              <w:t>Reference:</w:t>
            </w:r>
            <w:r w:rsidRPr="000F0222">
              <w:rPr>
                <w:sz w:val="22"/>
                <w:szCs w:val="22"/>
                <w:lang w:val="en-GB"/>
              </w:rPr>
              <w:t xml:space="preserve"> </w:t>
            </w:r>
            <w:r w:rsidR="00111A9A"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(document AEWA/MOP </w:t>
            </w:r>
            <w:r w:rsidR="000F3152" w:rsidRPr="000F0222">
              <w:rPr>
                <w:sz w:val="22"/>
                <w:szCs w:val="22"/>
                <w:lang w:val="en-GB"/>
              </w:rPr>
              <w:t>7</w:t>
            </w:r>
            <w:r w:rsidRPr="000F0222">
              <w:rPr>
                <w:sz w:val="22"/>
                <w:szCs w:val="22"/>
                <w:lang w:val="en-GB"/>
              </w:rPr>
              <w:t>.14)</w:t>
            </w:r>
          </w:p>
          <w:p w14:paraId="01D90173" w14:textId="77777777" w:rsidR="009058FB" w:rsidRPr="000F0222" w:rsidRDefault="009058FB" w:rsidP="009058FB">
            <w:pPr>
              <w:rPr>
                <w:sz w:val="22"/>
                <w:szCs w:val="22"/>
                <w:lang w:val="en-GB"/>
              </w:rPr>
            </w:pPr>
          </w:p>
        </w:tc>
      </w:tr>
      <w:tr w:rsidR="009058FB" w:rsidRPr="004779F8" w14:paraId="202304B6" w14:textId="77777777" w:rsidTr="00405CE0">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DF9B203" w14:textId="77777777" w:rsidR="009058FB" w:rsidRPr="000F0222" w:rsidRDefault="009058FB" w:rsidP="009058FB">
            <w:pPr>
              <w:jc w:val="center"/>
              <w:rPr>
                <w:sz w:val="22"/>
                <w:szCs w:val="22"/>
                <w:lang w:val="en-GB"/>
              </w:rPr>
            </w:pPr>
            <w:r w:rsidRPr="000F0222">
              <w:rPr>
                <w:noProof/>
                <w:sz w:val="22"/>
                <w:szCs w:val="22"/>
                <w:lang w:val="en-GB"/>
              </w:rPr>
              <w:drawing>
                <wp:inline distT="0" distB="0" distL="0" distR="0" wp14:anchorId="659B63A0" wp14:editId="1549D682">
                  <wp:extent cx="1425039" cy="1080654"/>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F2EFDAB" w14:textId="77777777" w:rsidR="009058FB" w:rsidRPr="004779F8" w:rsidRDefault="009058FB" w:rsidP="009058FB">
            <w:pPr>
              <w:rPr>
                <w:b/>
                <w:sz w:val="22"/>
                <w:szCs w:val="22"/>
                <w:lang w:val="en-GB"/>
              </w:rPr>
            </w:pPr>
          </w:p>
          <w:p w14:paraId="48C68E7E" w14:textId="77777777" w:rsidR="009058FB" w:rsidRPr="00613A29" w:rsidRDefault="009058FB" w:rsidP="009058FB">
            <w:pPr>
              <w:rPr>
                <w:b/>
                <w:sz w:val="22"/>
                <w:szCs w:val="22"/>
                <w:lang w:val="en-GB"/>
              </w:rPr>
            </w:pPr>
            <w:r w:rsidRPr="00613A29">
              <w:rPr>
                <w:b/>
                <w:sz w:val="22"/>
                <w:szCs w:val="22"/>
                <w:lang w:val="en-GB"/>
              </w:rPr>
              <w:t xml:space="preserve">G2: All AEWA </w:t>
            </w:r>
            <w:proofErr w:type="spellStart"/>
            <w:r w:rsidRPr="00613A29">
              <w:rPr>
                <w:b/>
                <w:sz w:val="22"/>
                <w:szCs w:val="22"/>
                <w:lang w:val="en-GB"/>
              </w:rPr>
              <w:t>waterbird</w:t>
            </w:r>
            <w:proofErr w:type="spellEnd"/>
            <w:r w:rsidRPr="00613A29">
              <w:rPr>
                <w:b/>
                <w:sz w:val="22"/>
                <w:szCs w:val="22"/>
                <w:lang w:val="en-GB"/>
              </w:rPr>
              <w:t xml:space="preserve"> populations at a favourable conservation status at the time of MOP4 (September 2008) have retained that status</w:t>
            </w:r>
          </w:p>
          <w:p w14:paraId="04555DE8" w14:textId="77777777" w:rsidR="009058FB" w:rsidRPr="000F0222" w:rsidRDefault="009058FB" w:rsidP="009058FB">
            <w:pPr>
              <w:rPr>
                <w:b/>
                <w:sz w:val="22"/>
                <w:szCs w:val="22"/>
                <w:lang w:val="en-GB"/>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5A00307F" w14:textId="77777777" w:rsidR="009058FB" w:rsidRPr="000F0222" w:rsidRDefault="009058FB" w:rsidP="009058FB">
            <w:pPr>
              <w:rPr>
                <w:sz w:val="22"/>
                <w:szCs w:val="22"/>
                <w:lang w:val="en-GB"/>
              </w:rPr>
            </w:pPr>
          </w:p>
          <w:p w14:paraId="54516036" w14:textId="3AF40320" w:rsidR="009058FB" w:rsidRPr="000F0222" w:rsidRDefault="005B1F58" w:rsidP="009058FB">
            <w:pPr>
              <w:rPr>
                <w:sz w:val="22"/>
                <w:szCs w:val="22"/>
                <w:lang w:val="en-GB"/>
              </w:rPr>
            </w:pPr>
            <w:r w:rsidRPr="000F0222">
              <w:rPr>
                <w:sz w:val="22"/>
                <w:szCs w:val="22"/>
                <w:lang w:val="en-GB"/>
              </w:rPr>
              <w:t xml:space="preserve">Sixty </w:t>
            </w:r>
            <w:r w:rsidR="009058FB" w:rsidRPr="000F0222">
              <w:rPr>
                <w:sz w:val="22"/>
                <w:szCs w:val="22"/>
                <w:lang w:val="en-GB"/>
              </w:rPr>
              <w:t xml:space="preserve">populations formerly listed in Categories 1 of Columns B and C (considered as </w:t>
            </w:r>
            <w:r w:rsidR="00821504" w:rsidRPr="000F0222">
              <w:rPr>
                <w:sz w:val="22"/>
                <w:szCs w:val="22"/>
                <w:lang w:val="en-GB"/>
              </w:rPr>
              <w:t xml:space="preserve">having a </w:t>
            </w:r>
            <w:r w:rsidR="009058FB" w:rsidRPr="000F0222">
              <w:rPr>
                <w:sz w:val="22"/>
                <w:szCs w:val="22"/>
                <w:lang w:val="en-GB"/>
              </w:rPr>
              <w:t>favourable conservation status) have now been classified under other categories describing poorer status) due to significant long-term decline</w:t>
            </w:r>
            <w:r w:rsidR="00294EB9" w:rsidRPr="000F0222">
              <w:rPr>
                <w:sz w:val="22"/>
                <w:szCs w:val="22"/>
                <w:lang w:val="en-GB"/>
              </w:rPr>
              <w:t xml:space="preserve"> (</w:t>
            </w:r>
            <w:r w:rsidRPr="000F0222">
              <w:rPr>
                <w:sz w:val="22"/>
                <w:szCs w:val="22"/>
                <w:lang w:val="en-GB"/>
              </w:rPr>
              <w:t xml:space="preserve">44 </w:t>
            </w:r>
            <w:r w:rsidR="00294EB9" w:rsidRPr="000F0222">
              <w:rPr>
                <w:sz w:val="22"/>
                <w:szCs w:val="22"/>
                <w:lang w:val="en-GB"/>
              </w:rPr>
              <w:t xml:space="preserve">population; </w:t>
            </w:r>
            <w:r w:rsidRPr="000F0222">
              <w:rPr>
                <w:sz w:val="22"/>
                <w:szCs w:val="22"/>
                <w:lang w:val="en-GB"/>
              </w:rPr>
              <w:t>33 and 19</w:t>
            </w:r>
            <w:r w:rsidR="00294EB9" w:rsidRPr="000F0222">
              <w:rPr>
                <w:sz w:val="22"/>
                <w:szCs w:val="22"/>
                <w:lang w:val="en-GB"/>
              </w:rPr>
              <w:t xml:space="preserve"> more since the previous assessment</w:t>
            </w:r>
            <w:r w:rsidRPr="000F0222">
              <w:rPr>
                <w:sz w:val="22"/>
                <w:szCs w:val="22"/>
                <w:lang w:val="en-GB"/>
              </w:rPr>
              <w:t>s</w:t>
            </w:r>
            <w:r w:rsidR="00294EB9" w:rsidRPr="000F0222">
              <w:rPr>
                <w:sz w:val="22"/>
                <w:szCs w:val="22"/>
                <w:lang w:val="en-GB"/>
              </w:rPr>
              <w:t xml:space="preserve"> in 2012</w:t>
            </w:r>
            <w:r w:rsidRPr="000F0222">
              <w:rPr>
                <w:sz w:val="22"/>
                <w:szCs w:val="22"/>
                <w:lang w:val="en-GB"/>
              </w:rPr>
              <w:t xml:space="preserve"> and 2015 respectively</w:t>
            </w:r>
            <w:r w:rsidR="00294EB9" w:rsidRPr="000F0222">
              <w:rPr>
                <w:sz w:val="22"/>
                <w:szCs w:val="22"/>
                <w:lang w:val="en-GB"/>
              </w:rPr>
              <w:t>) or</w:t>
            </w:r>
            <w:r w:rsidR="009058FB" w:rsidRPr="000F0222">
              <w:rPr>
                <w:sz w:val="22"/>
                <w:szCs w:val="22"/>
                <w:lang w:val="en-GB"/>
              </w:rPr>
              <w:t xml:space="preserve"> lower population estimates</w:t>
            </w:r>
            <w:r w:rsidR="00294EB9" w:rsidRPr="000F0222">
              <w:rPr>
                <w:sz w:val="22"/>
                <w:szCs w:val="22"/>
                <w:lang w:val="en-GB"/>
              </w:rPr>
              <w:t xml:space="preserve"> (1</w:t>
            </w:r>
            <w:r w:rsidRPr="000F0222">
              <w:rPr>
                <w:sz w:val="22"/>
                <w:szCs w:val="22"/>
                <w:lang w:val="en-GB"/>
              </w:rPr>
              <w:t>6</w:t>
            </w:r>
            <w:r w:rsidR="00294EB9" w:rsidRPr="000F0222">
              <w:rPr>
                <w:sz w:val="22"/>
                <w:szCs w:val="22"/>
                <w:lang w:val="en-GB"/>
              </w:rPr>
              <w:t xml:space="preserve"> populations; </w:t>
            </w:r>
            <w:r w:rsidRPr="000F0222">
              <w:rPr>
                <w:sz w:val="22"/>
                <w:szCs w:val="22"/>
                <w:lang w:val="en-GB"/>
              </w:rPr>
              <w:t>8 and 6</w:t>
            </w:r>
            <w:r w:rsidR="00294EB9" w:rsidRPr="000F0222">
              <w:rPr>
                <w:sz w:val="22"/>
                <w:szCs w:val="22"/>
                <w:lang w:val="en-GB"/>
              </w:rPr>
              <w:t xml:space="preserve"> more since the previous assessment</w:t>
            </w:r>
            <w:r w:rsidRPr="000F0222">
              <w:rPr>
                <w:sz w:val="22"/>
                <w:szCs w:val="22"/>
                <w:lang w:val="en-GB"/>
              </w:rPr>
              <w:t>s</w:t>
            </w:r>
            <w:r w:rsidR="00294EB9" w:rsidRPr="000F0222">
              <w:rPr>
                <w:sz w:val="22"/>
                <w:szCs w:val="22"/>
                <w:lang w:val="en-GB"/>
              </w:rPr>
              <w:t xml:space="preserve"> in 2012</w:t>
            </w:r>
            <w:r w:rsidRPr="000F0222">
              <w:rPr>
                <w:sz w:val="22"/>
                <w:szCs w:val="22"/>
                <w:lang w:val="en-GB"/>
              </w:rPr>
              <w:t xml:space="preserve"> and 2015 respectively</w:t>
            </w:r>
            <w:r w:rsidR="00294EB9" w:rsidRPr="000F0222">
              <w:rPr>
                <w:sz w:val="22"/>
                <w:szCs w:val="22"/>
                <w:lang w:val="en-GB"/>
              </w:rPr>
              <w:t>)</w:t>
            </w:r>
            <w:r w:rsidR="009058FB" w:rsidRPr="000F0222">
              <w:rPr>
                <w:sz w:val="22"/>
                <w:szCs w:val="22"/>
                <w:lang w:val="en-GB"/>
              </w:rPr>
              <w:t xml:space="preserve">. </w:t>
            </w:r>
            <w:r w:rsidR="00DD5100" w:rsidRPr="000F0222">
              <w:rPr>
                <w:sz w:val="22"/>
                <w:szCs w:val="22"/>
                <w:lang w:val="en-GB"/>
              </w:rPr>
              <w:t xml:space="preserve">The target was not achieved. </w:t>
            </w:r>
          </w:p>
          <w:p w14:paraId="50E4DCEB" w14:textId="77777777" w:rsidR="009058FB" w:rsidRPr="000F0222" w:rsidRDefault="009058FB" w:rsidP="009058FB">
            <w:pPr>
              <w:rPr>
                <w:sz w:val="22"/>
                <w:szCs w:val="22"/>
                <w:lang w:val="en-GB"/>
              </w:rPr>
            </w:pPr>
          </w:p>
          <w:p w14:paraId="76FC1363" w14:textId="3E28B8DE" w:rsidR="00294EB9" w:rsidRPr="000F0222" w:rsidRDefault="00294EB9" w:rsidP="009058FB">
            <w:pPr>
              <w:rPr>
                <w:sz w:val="22"/>
                <w:szCs w:val="22"/>
                <w:lang w:val="en-GB"/>
              </w:rPr>
            </w:pPr>
            <w:r w:rsidRPr="000F0222">
              <w:rPr>
                <w:b/>
                <w:sz w:val="22"/>
                <w:szCs w:val="22"/>
                <w:lang w:val="en-GB"/>
              </w:rPr>
              <w:t>Change since MOP</w:t>
            </w:r>
            <w:r w:rsidR="005B1F58" w:rsidRPr="000F0222">
              <w:rPr>
                <w:b/>
                <w:sz w:val="22"/>
                <w:szCs w:val="22"/>
                <w:lang w:val="en-GB"/>
              </w:rPr>
              <w:t>4</w:t>
            </w:r>
            <w:r w:rsidRPr="000F0222">
              <w:rPr>
                <w:b/>
                <w:sz w:val="22"/>
                <w:szCs w:val="22"/>
                <w:lang w:val="en-GB"/>
              </w:rPr>
              <w:t>:</w:t>
            </w:r>
            <w:r w:rsidRPr="000F0222">
              <w:rPr>
                <w:sz w:val="22"/>
                <w:szCs w:val="22"/>
                <w:lang w:val="en-GB"/>
              </w:rPr>
              <w:t xml:space="preserve"> </w:t>
            </w:r>
            <w:r w:rsidR="00684358" w:rsidRPr="000F0222">
              <w:rPr>
                <w:sz w:val="22"/>
                <w:szCs w:val="22"/>
                <w:lang w:val="en-GB"/>
              </w:rPr>
              <w:t xml:space="preserve">Negative. The number of populations that have been reclassified to other categories describing poorer status </w:t>
            </w:r>
            <w:r w:rsidR="00C90C49" w:rsidRPr="000F0222">
              <w:rPr>
                <w:sz w:val="22"/>
                <w:szCs w:val="22"/>
                <w:lang w:val="en-GB"/>
              </w:rPr>
              <w:t xml:space="preserve">as compared to 2008 </w:t>
            </w:r>
            <w:r w:rsidR="00684358" w:rsidRPr="000F0222">
              <w:rPr>
                <w:sz w:val="22"/>
                <w:szCs w:val="22"/>
                <w:lang w:val="en-GB"/>
              </w:rPr>
              <w:t>has increased from 20 in 2012</w:t>
            </w:r>
            <w:r w:rsidR="00C90C49" w:rsidRPr="000F0222">
              <w:rPr>
                <w:sz w:val="22"/>
                <w:szCs w:val="22"/>
                <w:lang w:val="en-GB"/>
              </w:rPr>
              <w:t>,</w:t>
            </w:r>
            <w:r w:rsidR="00684358" w:rsidRPr="000F0222">
              <w:rPr>
                <w:sz w:val="22"/>
                <w:szCs w:val="22"/>
                <w:lang w:val="en-GB"/>
              </w:rPr>
              <w:t xml:space="preserve"> to 35 in 2015</w:t>
            </w:r>
            <w:r w:rsidR="00C90C49" w:rsidRPr="000F0222">
              <w:rPr>
                <w:sz w:val="22"/>
                <w:szCs w:val="22"/>
                <w:lang w:val="en-GB"/>
              </w:rPr>
              <w:t>,</w:t>
            </w:r>
            <w:r w:rsidR="005B1F58" w:rsidRPr="000F0222">
              <w:rPr>
                <w:sz w:val="22"/>
                <w:szCs w:val="22"/>
                <w:lang w:val="en-GB"/>
              </w:rPr>
              <w:t xml:space="preserve"> to 60 in 2018</w:t>
            </w:r>
            <w:r w:rsidR="00684358" w:rsidRPr="000F0222">
              <w:rPr>
                <w:sz w:val="22"/>
                <w:szCs w:val="22"/>
                <w:lang w:val="en-GB"/>
              </w:rPr>
              <w:t xml:space="preserve">. </w:t>
            </w:r>
          </w:p>
          <w:p w14:paraId="3F80AC02" w14:textId="77777777" w:rsidR="00294EB9" w:rsidRPr="000F0222" w:rsidRDefault="00294EB9" w:rsidP="009058FB">
            <w:pPr>
              <w:rPr>
                <w:sz w:val="22"/>
                <w:szCs w:val="22"/>
                <w:lang w:val="en-GB"/>
              </w:rPr>
            </w:pPr>
          </w:p>
          <w:p w14:paraId="261B0039" w14:textId="6988A486" w:rsidR="00E87B18" w:rsidRDefault="009058FB" w:rsidP="007A05D5">
            <w:pPr>
              <w:rPr>
                <w:sz w:val="22"/>
                <w:szCs w:val="22"/>
                <w:lang w:val="en-GB"/>
              </w:rPr>
            </w:pPr>
            <w:r w:rsidRPr="000F0222">
              <w:rPr>
                <w:b/>
                <w:sz w:val="22"/>
                <w:szCs w:val="22"/>
                <w:lang w:val="en-GB"/>
              </w:rPr>
              <w:t xml:space="preserve">Reference: </w:t>
            </w:r>
            <w:r w:rsidR="000F3152" w:rsidRPr="000F0222">
              <w:rPr>
                <w:sz w:val="22"/>
                <w:szCs w:val="22"/>
                <w:lang w:val="en-GB"/>
              </w:rPr>
              <w:t>7</w:t>
            </w:r>
            <w:r w:rsidRPr="000F0222">
              <w:rPr>
                <w:sz w:val="22"/>
                <w:szCs w:val="22"/>
                <w:lang w:val="en-GB"/>
              </w:rPr>
              <w:t xml:space="preserve">th edition of the AEWA Conservation Status Report (document AEWA/MOP </w:t>
            </w:r>
            <w:r w:rsidR="000F3152" w:rsidRPr="000F0222">
              <w:rPr>
                <w:sz w:val="22"/>
                <w:szCs w:val="22"/>
                <w:lang w:val="en-GB"/>
              </w:rPr>
              <w:t>7</w:t>
            </w:r>
            <w:r w:rsidRPr="000F0222">
              <w:rPr>
                <w:sz w:val="22"/>
                <w:szCs w:val="22"/>
                <w:lang w:val="en-GB"/>
              </w:rPr>
              <w:t>.14)</w:t>
            </w:r>
          </w:p>
          <w:p w14:paraId="7F349AC9" w14:textId="218CB70D" w:rsidR="009058FB" w:rsidRPr="000F0222" w:rsidRDefault="009058FB" w:rsidP="000F0222">
            <w:pPr>
              <w:rPr>
                <w:sz w:val="22"/>
                <w:szCs w:val="22"/>
                <w:lang w:val="en-GB"/>
              </w:rPr>
            </w:pPr>
            <w:r w:rsidRPr="000F0222">
              <w:rPr>
                <w:sz w:val="22"/>
                <w:szCs w:val="22"/>
                <w:lang w:val="en-GB"/>
              </w:rPr>
              <w:t>Proposals to MOP</w:t>
            </w:r>
            <w:r w:rsidR="000F3152" w:rsidRPr="000F0222">
              <w:rPr>
                <w:sz w:val="22"/>
                <w:szCs w:val="22"/>
                <w:lang w:val="en-GB"/>
              </w:rPr>
              <w:t>7</w:t>
            </w:r>
            <w:r w:rsidRPr="000F0222">
              <w:rPr>
                <w:sz w:val="22"/>
                <w:szCs w:val="22"/>
                <w:lang w:val="en-GB"/>
              </w:rPr>
              <w:t xml:space="preserve"> for amendments to Annex</w:t>
            </w:r>
            <w:r w:rsidR="00294EB9" w:rsidRPr="000F0222">
              <w:rPr>
                <w:sz w:val="22"/>
                <w:szCs w:val="22"/>
                <w:lang w:val="en-GB"/>
              </w:rPr>
              <w:t>es 2 and</w:t>
            </w:r>
            <w:r w:rsidRPr="000F0222">
              <w:rPr>
                <w:sz w:val="22"/>
                <w:szCs w:val="22"/>
                <w:lang w:val="en-GB"/>
              </w:rPr>
              <w:t xml:space="preserve"> 3 of</w:t>
            </w:r>
            <w:r w:rsidR="00294EB9" w:rsidRPr="000F0222">
              <w:rPr>
                <w:sz w:val="22"/>
                <w:szCs w:val="22"/>
                <w:lang w:val="en-GB"/>
              </w:rPr>
              <w:t xml:space="preserve"> </w:t>
            </w:r>
            <w:r w:rsidRPr="000F0222">
              <w:rPr>
                <w:sz w:val="22"/>
                <w:szCs w:val="22"/>
                <w:lang w:val="en-GB"/>
              </w:rPr>
              <w:t xml:space="preserve">AEWA (document AEWA/MOP </w:t>
            </w:r>
            <w:r w:rsidR="000F3152" w:rsidRPr="000F0222">
              <w:rPr>
                <w:sz w:val="22"/>
                <w:szCs w:val="22"/>
                <w:lang w:val="en-GB"/>
              </w:rPr>
              <w:t>7</w:t>
            </w:r>
            <w:r w:rsidRPr="000F0222">
              <w:rPr>
                <w:sz w:val="22"/>
                <w:szCs w:val="22"/>
                <w:lang w:val="en-GB"/>
              </w:rPr>
              <w:t>.</w:t>
            </w:r>
            <w:r w:rsidR="000F3152" w:rsidRPr="000F0222">
              <w:rPr>
                <w:sz w:val="22"/>
                <w:szCs w:val="22"/>
                <w:lang w:val="en-GB"/>
              </w:rPr>
              <w:t>19</w:t>
            </w:r>
            <w:r w:rsidRPr="000F0222">
              <w:rPr>
                <w:sz w:val="22"/>
                <w:szCs w:val="22"/>
                <w:lang w:val="en-GB"/>
              </w:rPr>
              <w:t>)</w:t>
            </w:r>
          </w:p>
        </w:tc>
      </w:tr>
      <w:tr w:rsidR="009058FB" w:rsidRPr="004779F8" w14:paraId="24A1A820" w14:textId="77777777" w:rsidTr="00405CE0">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A787EF9" w14:textId="75FC0839" w:rsidR="009058FB" w:rsidRPr="000F0222" w:rsidRDefault="003F743E" w:rsidP="009058FB">
            <w:pPr>
              <w:rPr>
                <w:sz w:val="22"/>
                <w:szCs w:val="22"/>
                <w:lang w:val="en-GB"/>
              </w:rPr>
            </w:pPr>
            <w:r w:rsidRPr="000F0222">
              <w:rPr>
                <w:b/>
                <w:noProof/>
                <w:lang w:val="en-GB"/>
              </w:rPr>
              <w:lastRenderedPageBreak/>
              <w:drawing>
                <wp:inline distT="0" distB="0" distL="0" distR="0" wp14:anchorId="066735CF" wp14:editId="40880CB5">
                  <wp:extent cx="1425039" cy="1068780"/>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BAC13E2" w14:textId="77777777" w:rsidR="009058FB" w:rsidRPr="004779F8" w:rsidRDefault="009058FB" w:rsidP="009058FB">
            <w:pPr>
              <w:rPr>
                <w:b/>
                <w:sz w:val="22"/>
                <w:szCs w:val="22"/>
                <w:lang w:val="en-GB"/>
              </w:rPr>
            </w:pPr>
          </w:p>
          <w:p w14:paraId="1383C801" w14:textId="6F3DD281" w:rsidR="009058FB" w:rsidRPr="00613A29" w:rsidRDefault="009058FB" w:rsidP="009058FB">
            <w:pPr>
              <w:rPr>
                <w:b/>
                <w:sz w:val="22"/>
                <w:szCs w:val="22"/>
                <w:lang w:val="en-GB"/>
              </w:rPr>
            </w:pPr>
            <w:r w:rsidRPr="00613A29">
              <w:rPr>
                <w:b/>
                <w:sz w:val="22"/>
                <w:szCs w:val="22"/>
                <w:lang w:val="en-GB"/>
              </w:rPr>
              <w:t xml:space="preserve">G3: At least 75% of the AEWA </w:t>
            </w:r>
            <w:proofErr w:type="spellStart"/>
            <w:r w:rsidRPr="00613A29">
              <w:rPr>
                <w:b/>
                <w:sz w:val="22"/>
                <w:szCs w:val="22"/>
                <w:lang w:val="en-GB"/>
              </w:rPr>
              <w:t>waterbird</w:t>
            </w:r>
            <w:proofErr w:type="spellEnd"/>
            <w:r w:rsidRPr="00613A29">
              <w:rPr>
                <w:b/>
                <w:sz w:val="22"/>
                <w:szCs w:val="22"/>
                <w:lang w:val="en-GB"/>
              </w:rPr>
              <w:t xml:space="preserve"> populations show a positive </w:t>
            </w:r>
            <w:r w:rsidR="00C17D74" w:rsidRPr="00613A29">
              <w:rPr>
                <w:b/>
                <w:sz w:val="22"/>
                <w:szCs w:val="22"/>
                <w:lang w:val="en-GB"/>
              </w:rPr>
              <w:t>trend (</w:t>
            </w:r>
            <w:r w:rsidRPr="00613A29">
              <w:rPr>
                <w:b/>
                <w:sz w:val="22"/>
                <w:szCs w:val="22"/>
                <w:lang w:val="en-GB"/>
              </w:rPr>
              <w:t>growing or stable)</w:t>
            </w:r>
          </w:p>
          <w:p w14:paraId="419C8E6D" w14:textId="77777777" w:rsidR="009058FB" w:rsidRPr="000F0222" w:rsidRDefault="009058FB" w:rsidP="009058FB">
            <w:pPr>
              <w:rPr>
                <w:b/>
                <w:sz w:val="22"/>
                <w:szCs w:val="22"/>
                <w:lang w:val="en-GB"/>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E10D10D" w14:textId="77777777" w:rsidR="009058FB" w:rsidRPr="000F0222" w:rsidRDefault="009058FB" w:rsidP="009058FB">
            <w:pPr>
              <w:rPr>
                <w:sz w:val="22"/>
                <w:szCs w:val="22"/>
                <w:lang w:val="en-GB"/>
              </w:rPr>
            </w:pPr>
          </w:p>
          <w:p w14:paraId="5630B750" w14:textId="314290D2" w:rsidR="00684358" w:rsidRPr="000F0222" w:rsidRDefault="003F743E" w:rsidP="009058FB">
            <w:pPr>
              <w:rPr>
                <w:sz w:val="22"/>
                <w:szCs w:val="22"/>
                <w:lang w:val="en-GB"/>
              </w:rPr>
            </w:pPr>
            <w:r w:rsidRPr="000F0222">
              <w:rPr>
                <w:sz w:val="22"/>
                <w:szCs w:val="22"/>
                <w:lang w:val="en-GB"/>
              </w:rPr>
              <w:t>73</w:t>
            </w:r>
            <w:r w:rsidR="009058FB" w:rsidRPr="000F0222">
              <w:rPr>
                <w:sz w:val="22"/>
                <w:szCs w:val="22"/>
                <w:lang w:val="en-GB"/>
              </w:rPr>
              <w:t>% of the populations with known population trend</w:t>
            </w:r>
            <w:r w:rsidR="00821504" w:rsidRPr="000F0222">
              <w:rPr>
                <w:sz w:val="22"/>
                <w:szCs w:val="22"/>
                <w:lang w:val="en-GB"/>
              </w:rPr>
              <w:t>s</w:t>
            </w:r>
            <w:r w:rsidR="009058FB" w:rsidRPr="000F0222">
              <w:rPr>
                <w:sz w:val="22"/>
                <w:szCs w:val="22"/>
                <w:lang w:val="en-GB"/>
              </w:rPr>
              <w:t xml:space="preserve"> have a positive trend. </w:t>
            </w:r>
            <w:r w:rsidR="00787AC9" w:rsidRPr="000F0222">
              <w:rPr>
                <w:sz w:val="22"/>
                <w:szCs w:val="22"/>
                <w:lang w:val="en-GB"/>
              </w:rPr>
              <w:t>Thus</w:t>
            </w:r>
            <w:r w:rsidR="00AD51D9" w:rsidRPr="000F0222">
              <w:rPr>
                <w:sz w:val="22"/>
                <w:szCs w:val="22"/>
                <w:lang w:val="en-GB"/>
              </w:rPr>
              <w:t>,</w:t>
            </w:r>
            <w:r w:rsidR="00787AC9" w:rsidRPr="000F0222">
              <w:rPr>
                <w:sz w:val="22"/>
                <w:szCs w:val="22"/>
                <w:lang w:val="en-GB"/>
              </w:rPr>
              <w:t xml:space="preserve"> the target was </w:t>
            </w:r>
            <w:r w:rsidR="00787AC9" w:rsidRPr="000F0222">
              <w:rPr>
                <w:b/>
                <w:sz w:val="22"/>
                <w:szCs w:val="22"/>
                <w:lang w:val="en-GB"/>
              </w:rPr>
              <w:t>nearly achieved</w:t>
            </w:r>
            <w:r w:rsidR="00787AC9" w:rsidRPr="000F0222">
              <w:rPr>
                <w:sz w:val="22"/>
                <w:szCs w:val="22"/>
                <w:lang w:val="en-GB"/>
              </w:rPr>
              <w:t xml:space="preserve">. </w:t>
            </w:r>
            <w:r w:rsidR="009058FB" w:rsidRPr="000F0222">
              <w:rPr>
                <w:sz w:val="22"/>
                <w:szCs w:val="22"/>
                <w:lang w:val="en-GB"/>
              </w:rPr>
              <w:t xml:space="preserve">There is a </w:t>
            </w:r>
            <w:r w:rsidR="00787AC9" w:rsidRPr="000F0222">
              <w:rPr>
                <w:sz w:val="22"/>
                <w:szCs w:val="22"/>
                <w:lang w:val="en-GB"/>
              </w:rPr>
              <w:t xml:space="preserve">substantial </w:t>
            </w:r>
            <w:r w:rsidR="009058FB" w:rsidRPr="000F0222">
              <w:rPr>
                <w:sz w:val="22"/>
                <w:szCs w:val="22"/>
                <w:lang w:val="en-GB"/>
              </w:rPr>
              <w:t xml:space="preserve">increase of </w:t>
            </w:r>
            <w:r w:rsidR="00787AC9" w:rsidRPr="000F0222">
              <w:rPr>
                <w:sz w:val="22"/>
                <w:szCs w:val="22"/>
                <w:lang w:val="en-GB"/>
              </w:rPr>
              <w:t>1</w:t>
            </w:r>
            <w:r w:rsidR="00C90C49" w:rsidRPr="000F0222">
              <w:rPr>
                <w:sz w:val="22"/>
                <w:szCs w:val="22"/>
                <w:lang w:val="en-GB"/>
              </w:rPr>
              <w:t>4</w:t>
            </w:r>
            <w:r w:rsidR="009058FB" w:rsidRPr="000F0222">
              <w:rPr>
                <w:sz w:val="22"/>
                <w:szCs w:val="22"/>
                <w:lang w:val="en-GB"/>
              </w:rPr>
              <w:t>%</w:t>
            </w:r>
            <w:r w:rsidR="00787AC9" w:rsidRPr="000F0222">
              <w:rPr>
                <w:sz w:val="22"/>
                <w:szCs w:val="22"/>
                <w:lang w:val="en-GB"/>
              </w:rPr>
              <w:t xml:space="preserve"> point</w:t>
            </w:r>
            <w:r w:rsidR="00705BD3">
              <w:rPr>
                <w:sz w:val="22"/>
                <w:szCs w:val="22"/>
                <w:lang w:val="en-GB"/>
              </w:rPr>
              <w:t>s</w:t>
            </w:r>
            <w:r w:rsidR="009058FB" w:rsidRPr="000F0222">
              <w:rPr>
                <w:sz w:val="22"/>
                <w:szCs w:val="22"/>
                <w:lang w:val="en-GB"/>
              </w:rPr>
              <w:t xml:space="preserve"> as compared to the assessment of 2008</w:t>
            </w:r>
            <w:r w:rsidR="00C90C49" w:rsidRPr="000F0222">
              <w:rPr>
                <w:sz w:val="22"/>
                <w:szCs w:val="22"/>
                <w:lang w:val="en-GB"/>
              </w:rPr>
              <w:t xml:space="preserve"> 12%</w:t>
            </w:r>
            <w:r w:rsidR="007A42EA">
              <w:rPr>
                <w:sz w:val="22"/>
                <w:szCs w:val="22"/>
                <w:lang w:val="en-GB"/>
              </w:rPr>
              <w:t>-</w:t>
            </w:r>
            <w:r w:rsidR="00C90C49" w:rsidRPr="000F0222">
              <w:rPr>
                <w:sz w:val="22"/>
                <w:szCs w:val="22"/>
                <w:lang w:val="en-GB"/>
              </w:rPr>
              <w:t xml:space="preserve">point </w:t>
            </w:r>
            <w:r w:rsidR="00C17D74" w:rsidRPr="00852729">
              <w:rPr>
                <w:sz w:val="22"/>
                <w:szCs w:val="22"/>
                <w:lang w:val="en-GB"/>
              </w:rPr>
              <w:t>increase and</w:t>
            </w:r>
            <w:r w:rsidR="00787AC9" w:rsidRPr="000F0222">
              <w:rPr>
                <w:sz w:val="22"/>
                <w:szCs w:val="22"/>
                <w:lang w:val="en-GB"/>
              </w:rPr>
              <w:t xml:space="preserve"> 9%</w:t>
            </w:r>
            <w:r w:rsidR="0081747C">
              <w:rPr>
                <w:sz w:val="22"/>
                <w:szCs w:val="22"/>
                <w:lang w:val="en-GB"/>
              </w:rPr>
              <w:t>-</w:t>
            </w:r>
            <w:r w:rsidR="00787AC9" w:rsidRPr="000F0222">
              <w:rPr>
                <w:sz w:val="22"/>
                <w:szCs w:val="22"/>
                <w:lang w:val="en-GB"/>
              </w:rPr>
              <w:t>point increase since the last assessment</w:t>
            </w:r>
            <w:r w:rsidR="00C90C49" w:rsidRPr="000F0222">
              <w:rPr>
                <w:sz w:val="22"/>
                <w:szCs w:val="22"/>
                <w:lang w:val="en-GB"/>
              </w:rPr>
              <w:t>s</w:t>
            </w:r>
            <w:r w:rsidR="00787AC9" w:rsidRPr="000F0222">
              <w:rPr>
                <w:sz w:val="22"/>
                <w:szCs w:val="22"/>
                <w:lang w:val="en-GB"/>
              </w:rPr>
              <w:t xml:space="preserve"> in</w:t>
            </w:r>
            <w:r w:rsidR="00C90C49" w:rsidRPr="000F0222">
              <w:rPr>
                <w:sz w:val="22"/>
                <w:szCs w:val="22"/>
                <w:lang w:val="en-GB"/>
              </w:rPr>
              <w:t xml:space="preserve"> 2012 and </w:t>
            </w:r>
            <w:r w:rsidR="00787AC9" w:rsidRPr="000F0222">
              <w:rPr>
                <w:sz w:val="22"/>
                <w:szCs w:val="22"/>
                <w:lang w:val="en-GB"/>
              </w:rPr>
              <w:t>2015</w:t>
            </w:r>
            <w:r w:rsidR="009058FB" w:rsidRPr="000F0222">
              <w:rPr>
                <w:sz w:val="22"/>
                <w:szCs w:val="22"/>
                <w:lang w:val="en-GB"/>
              </w:rPr>
              <w:t>.</w:t>
            </w:r>
          </w:p>
          <w:p w14:paraId="25F55EDE" w14:textId="77777777" w:rsidR="00684358" w:rsidRPr="000F0222" w:rsidRDefault="00684358" w:rsidP="009058FB">
            <w:pPr>
              <w:rPr>
                <w:sz w:val="22"/>
                <w:szCs w:val="22"/>
                <w:lang w:val="en-GB"/>
              </w:rPr>
            </w:pPr>
          </w:p>
          <w:p w14:paraId="51452637" w14:textId="31B2E380" w:rsidR="009058FB" w:rsidRPr="000F0222" w:rsidRDefault="00684358" w:rsidP="009058FB">
            <w:pPr>
              <w:rPr>
                <w:sz w:val="22"/>
                <w:szCs w:val="22"/>
                <w:lang w:val="en-GB"/>
              </w:rPr>
            </w:pPr>
            <w:r w:rsidRPr="000F0222">
              <w:rPr>
                <w:b/>
                <w:sz w:val="22"/>
                <w:szCs w:val="22"/>
                <w:lang w:val="en-GB"/>
              </w:rPr>
              <w:t>Change since MOP</w:t>
            </w:r>
            <w:r w:rsidR="003F743E" w:rsidRPr="000F0222">
              <w:rPr>
                <w:b/>
                <w:sz w:val="22"/>
                <w:szCs w:val="22"/>
                <w:lang w:val="en-GB"/>
              </w:rPr>
              <w:t>4</w:t>
            </w:r>
            <w:r w:rsidRPr="000F0222">
              <w:rPr>
                <w:b/>
                <w:sz w:val="22"/>
                <w:szCs w:val="22"/>
                <w:lang w:val="en-GB"/>
              </w:rPr>
              <w:t>:</w:t>
            </w:r>
            <w:r w:rsidRPr="000F0222">
              <w:rPr>
                <w:sz w:val="22"/>
                <w:szCs w:val="22"/>
                <w:lang w:val="en-GB"/>
              </w:rPr>
              <w:t xml:space="preserve"> Positive. There is a </w:t>
            </w:r>
            <w:r w:rsidR="00787AC9" w:rsidRPr="000F0222">
              <w:rPr>
                <w:sz w:val="22"/>
                <w:szCs w:val="22"/>
                <w:lang w:val="en-GB"/>
              </w:rPr>
              <w:t xml:space="preserve">significant </w:t>
            </w:r>
            <w:r w:rsidRPr="000F0222">
              <w:rPr>
                <w:sz w:val="22"/>
                <w:szCs w:val="22"/>
                <w:lang w:val="en-GB"/>
              </w:rPr>
              <w:t xml:space="preserve">increase from </w:t>
            </w:r>
            <w:r w:rsidR="00C90C49" w:rsidRPr="000F0222">
              <w:rPr>
                <w:sz w:val="22"/>
                <w:szCs w:val="22"/>
                <w:lang w:val="en-GB"/>
              </w:rPr>
              <w:t xml:space="preserve">59% in 2008, to </w:t>
            </w:r>
            <w:r w:rsidRPr="000F0222">
              <w:rPr>
                <w:sz w:val="22"/>
                <w:szCs w:val="22"/>
                <w:lang w:val="en-GB"/>
              </w:rPr>
              <w:t>61% in 2012</w:t>
            </w:r>
            <w:r w:rsidR="00C90C49" w:rsidRPr="000F0222">
              <w:rPr>
                <w:sz w:val="22"/>
                <w:szCs w:val="22"/>
                <w:lang w:val="en-GB"/>
              </w:rPr>
              <w:t>,</w:t>
            </w:r>
            <w:r w:rsidRPr="000F0222">
              <w:rPr>
                <w:sz w:val="22"/>
                <w:szCs w:val="22"/>
                <w:lang w:val="en-GB"/>
              </w:rPr>
              <w:t xml:space="preserve"> to 64% in 2015</w:t>
            </w:r>
            <w:r w:rsidR="00C90C49" w:rsidRPr="000F0222">
              <w:rPr>
                <w:sz w:val="22"/>
                <w:szCs w:val="22"/>
                <w:lang w:val="en-GB"/>
              </w:rPr>
              <w:t>,</w:t>
            </w:r>
            <w:r w:rsidR="00787AC9" w:rsidRPr="000F0222">
              <w:rPr>
                <w:sz w:val="22"/>
                <w:szCs w:val="22"/>
                <w:lang w:val="en-GB"/>
              </w:rPr>
              <w:t xml:space="preserve"> to 73% in 2018</w:t>
            </w:r>
            <w:r w:rsidRPr="000F0222">
              <w:rPr>
                <w:sz w:val="22"/>
                <w:szCs w:val="22"/>
                <w:lang w:val="en-GB"/>
              </w:rPr>
              <w:t xml:space="preserve"> of the AEWA populations with positive trend</w:t>
            </w:r>
            <w:r w:rsidR="00821504" w:rsidRPr="000F0222">
              <w:rPr>
                <w:sz w:val="22"/>
                <w:szCs w:val="22"/>
                <w:lang w:val="en-GB"/>
              </w:rPr>
              <w:t>s</w:t>
            </w:r>
            <w:r w:rsidRPr="000F0222">
              <w:rPr>
                <w:sz w:val="22"/>
                <w:szCs w:val="22"/>
                <w:lang w:val="en-GB"/>
              </w:rPr>
              <w:t>.</w:t>
            </w:r>
          </w:p>
          <w:p w14:paraId="64D7F554" w14:textId="77777777" w:rsidR="009058FB" w:rsidRPr="000F0222" w:rsidRDefault="009058FB" w:rsidP="009058FB">
            <w:pPr>
              <w:rPr>
                <w:sz w:val="22"/>
                <w:szCs w:val="22"/>
                <w:lang w:val="en-GB"/>
              </w:rPr>
            </w:pPr>
          </w:p>
          <w:p w14:paraId="6FD41B54" w14:textId="2A40068E" w:rsidR="009058FB" w:rsidRPr="000F0222" w:rsidRDefault="009058FB" w:rsidP="009058FB">
            <w:pPr>
              <w:rPr>
                <w:sz w:val="22"/>
                <w:szCs w:val="22"/>
                <w:lang w:val="en-GB"/>
              </w:rPr>
            </w:pPr>
            <w:r w:rsidRPr="000F0222">
              <w:rPr>
                <w:b/>
                <w:sz w:val="22"/>
                <w:szCs w:val="22"/>
                <w:lang w:val="en-GB"/>
              </w:rPr>
              <w:t>Reference:</w:t>
            </w:r>
            <w:r w:rsidRPr="000F0222">
              <w:rPr>
                <w:sz w:val="22"/>
                <w:szCs w:val="22"/>
                <w:lang w:val="en-GB"/>
              </w:rPr>
              <w:t xml:space="preserve"> </w:t>
            </w:r>
            <w:r w:rsidR="003F743E"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(document AEWA/MOP </w:t>
            </w:r>
            <w:r w:rsidR="003F743E" w:rsidRPr="000F0222">
              <w:rPr>
                <w:sz w:val="22"/>
                <w:szCs w:val="22"/>
                <w:lang w:val="en-GB"/>
              </w:rPr>
              <w:t>7</w:t>
            </w:r>
            <w:r w:rsidRPr="000F0222">
              <w:rPr>
                <w:sz w:val="22"/>
                <w:szCs w:val="22"/>
                <w:lang w:val="en-GB"/>
              </w:rPr>
              <w:t>.14)</w:t>
            </w:r>
          </w:p>
          <w:p w14:paraId="4BEB8031" w14:textId="3FCDA69A" w:rsidR="00006A74" w:rsidRPr="000F0222" w:rsidRDefault="00006A74" w:rsidP="009058FB">
            <w:pPr>
              <w:rPr>
                <w:sz w:val="22"/>
                <w:szCs w:val="22"/>
                <w:lang w:val="en-GB"/>
              </w:rPr>
            </w:pPr>
          </w:p>
        </w:tc>
      </w:tr>
      <w:tr w:rsidR="009058FB" w:rsidRPr="004779F8" w14:paraId="13857C10" w14:textId="77777777" w:rsidTr="00405CE0">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8BBA2AC" w14:textId="3F3960BD" w:rsidR="009058FB" w:rsidRPr="000F0222" w:rsidRDefault="00D21846" w:rsidP="009058FB">
            <w:pPr>
              <w:rPr>
                <w:sz w:val="22"/>
                <w:szCs w:val="22"/>
                <w:lang w:val="en-GB"/>
              </w:rPr>
            </w:pPr>
            <w:r w:rsidRPr="000F0222">
              <w:rPr>
                <w:b/>
                <w:noProof/>
                <w:lang w:val="en-GB"/>
              </w:rPr>
              <w:drawing>
                <wp:inline distT="0" distB="0" distL="0" distR="0" wp14:anchorId="73C32DEE" wp14:editId="21C601F1">
                  <wp:extent cx="1425039" cy="1080655"/>
                  <wp:effectExtent l="0" t="0" r="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15C9288" w14:textId="77777777" w:rsidR="009058FB" w:rsidRPr="004779F8" w:rsidRDefault="009058FB" w:rsidP="009058FB">
            <w:pPr>
              <w:rPr>
                <w:b/>
                <w:sz w:val="22"/>
                <w:szCs w:val="22"/>
                <w:lang w:val="en-GB"/>
              </w:rPr>
            </w:pPr>
          </w:p>
          <w:p w14:paraId="576E0A0D" w14:textId="77777777" w:rsidR="009058FB" w:rsidRPr="00613A29" w:rsidRDefault="009058FB" w:rsidP="009058FB">
            <w:pPr>
              <w:rPr>
                <w:b/>
                <w:sz w:val="22"/>
                <w:szCs w:val="22"/>
                <w:lang w:val="en-GB"/>
              </w:rPr>
            </w:pPr>
            <w:r w:rsidRPr="00613A29">
              <w:rPr>
                <w:b/>
                <w:sz w:val="22"/>
                <w:szCs w:val="22"/>
                <w:lang w:val="en-GB"/>
              </w:rPr>
              <w:t xml:space="preserve">G4: Overall status of indicator species has improved, as measured by the </w:t>
            </w:r>
            <w:proofErr w:type="spellStart"/>
            <w:r w:rsidRPr="00613A29">
              <w:rPr>
                <w:b/>
                <w:sz w:val="22"/>
                <w:szCs w:val="22"/>
                <w:lang w:val="en-GB"/>
              </w:rPr>
              <w:t>Waterbird</w:t>
            </w:r>
            <w:proofErr w:type="spellEnd"/>
            <w:r w:rsidRPr="00613A29">
              <w:rPr>
                <w:b/>
                <w:sz w:val="22"/>
                <w:szCs w:val="22"/>
                <w:lang w:val="en-GB"/>
              </w:rPr>
              <w:t xml:space="preserve"> Indicator</w:t>
            </w:r>
          </w:p>
          <w:p w14:paraId="338479BA" w14:textId="77777777" w:rsidR="009058FB" w:rsidRPr="000F0222" w:rsidRDefault="009058FB" w:rsidP="009058FB">
            <w:pPr>
              <w:rPr>
                <w:b/>
                <w:sz w:val="22"/>
                <w:szCs w:val="22"/>
                <w:lang w:val="en-GB"/>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C3EB42D" w14:textId="77777777" w:rsidR="009058FB" w:rsidRPr="000F0222" w:rsidRDefault="009058FB" w:rsidP="009058FB">
            <w:pPr>
              <w:rPr>
                <w:sz w:val="22"/>
                <w:szCs w:val="22"/>
                <w:lang w:val="en-GB"/>
              </w:rPr>
            </w:pPr>
          </w:p>
          <w:p w14:paraId="0C9319DD" w14:textId="34D15C61" w:rsidR="009058FB" w:rsidRPr="000F0222" w:rsidRDefault="009058FB" w:rsidP="009B6A3A">
            <w:pPr>
              <w:pStyle w:val="Default"/>
              <w:rPr>
                <w:sz w:val="22"/>
                <w:szCs w:val="22"/>
                <w:lang w:val="en-GB"/>
              </w:rPr>
            </w:pPr>
            <w:r w:rsidRPr="000F0222">
              <w:rPr>
                <w:sz w:val="22"/>
                <w:szCs w:val="22"/>
                <w:lang w:val="en-GB"/>
              </w:rPr>
              <w:t xml:space="preserve">The </w:t>
            </w:r>
            <w:r w:rsidR="00D21846" w:rsidRPr="000F0222">
              <w:rPr>
                <w:sz w:val="22"/>
                <w:szCs w:val="22"/>
                <w:lang w:val="en-GB"/>
              </w:rPr>
              <w:t xml:space="preserve">latest </w:t>
            </w:r>
            <w:r w:rsidRPr="000F0222">
              <w:rPr>
                <w:sz w:val="22"/>
                <w:szCs w:val="22"/>
                <w:lang w:val="en-GB"/>
              </w:rPr>
              <w:t xml:space="preserve">value of the </w:t>
            </w:r>
            <w:proofErr w:type="spellStart"/>
            <w:r w:rsidRPr="000F0222">
              <w:rPr>
                <w:sz w:val="22"/>
                <w:szCs w:val="22"/>
                <w:lang w:val="en-GB"/>
              </w:rPr>
              <w:t>Waterbird</w:t>
            </w:r>
            <w:proofErr w:type="spellEnd"/>
            <w:r w:rsidRPr="000F0222">
              <w:rPr>
                <w:sz w:val="22"/>
                <w:szCs w:val="22"/>
                <w:lang w:val="en-GB"/>
              </w:rPr>
              <w:t xml:space="preserve"> Indicator </w:t>
            </w:r>
            <w:r w:rsidR="00684358" w:rsidRPr="000F0222">
              <w:rPr>
                <w:sz w:val="22"/>
                <w:szCs w:val="22"/>
                <w:lang w:val="en-GB"/>
              </w:rPr>
              <w:t>is -</w:t>
            </w:r>
            <w:r w:rsidR="00684358" w:rsidRPr="000F0222">
              <w:rPr>
                <w:color w:val="auto"/>
                <w:sz w:val="22"/>
                <w:szCs w:val="22"/>
                <w:lang w:val="en-GB"/>
              </w:rPr>
              <w:t>0.</w:t>
            </w:r>
            <w:r w:rsidR="00D21846" w:rsidRPr="000F0222">
              <w:rPr>
                <w:color w:val="auto"/>
                <w:sz w:val="22"/>
                <w:szCs w:val="22"/>
                <w:lang w:val="en-GB"/>
              </w:rPr>
              <w:t>0966</w:t>
            </w:r>
            <w:r w:rsidR="00684358" w:rsidRPr="000F0222">
              <w:rPr>
                <w:color w:val="auto"/>
                <w:sz w:val="22"/>
                <w:szCs w:val="22"/>
                <w:lang w:val="en-GB"/>
              </w:rPr>
              <w:t xml:space="preserve"> (N</w:t>
            </w:r>
            <w:r w:rsidR="00684358" w:rsidRPr="000F0222">
              <w:rPr>
                <w:color w:val="auto"/>
                <w:sz w:val="14"/>
                <w:szCs w:val="14"/>
                <w:lang w:val="en-GB"/>
              </w:rPr>
              <w:t>201</w:t>
            </w:r>
            <w:r w:rsidR="00D21846" w:rsidRPr="000F0222">
              <w:rPr>
                <w:color w:val="auto"/>
                <w:sz w:val="14"/>
                <w:szCs w:val="14"/>
                <w:lang w:val="en-GB"/>
              </w:rPr>
              <w:t>7</w:t>
            </w:r>
            <w:r w:rsidR="00684358" w:rsidRPr="000F0222">
              <w:rPr>
                <w:color w:val="auto"/>
                <w:sz w:val="14"/>
                <w:szCs w:val="14"/>
                <w:lang w:val="en-GB"/>
              </w:rPr>
              <w:t xml:space="preserve"> </w:t>
            </w:r>
            <w:r w:rsidR="00684358" w:rsidRPr="000F0222">
              <w:rPr>
                <w:color w:val="auto"/>
                <w:sz w:val="22"/>
                <w:szCs w:val="22"/>
                <w:lang w:val="en-GB"/>
              </w:rPr>
              <w:t xml:space="preserve">= </w:t>
            </w:r>
            <w:r w:rsidR="00D21846" w:rsidRPr="000F0222">
              <w:rPr>
                <w:color w:val="auto"/>
                <w:sz w:val="22"/>
                <w:szCs w:val="22"/>
                <w:lang w:val="en-GB"/>
              </w:rPr>
              <w:t>445</w:t>
            </w:r>
            <w:r w:rsidR="00684358" w:rsidRPr="000F0222">
              <w:rPr>
                <w:color w:val="auto"/>
                <w:sz w:val="22"/>
                <w:szCs w:val="22"/>
                <w:lang w:val="en-GB"/>
              </w:rPr>
              <w:t>) compared to</w:t>
            </w:r>
            <w:r w:rsidR="00684358" w:rsidRPr="000F0222">
              <w:rPr>
                <w:sz w:val="22"/>
                <w:szCs w:val="22"/>
                <w:lang w:val="en-GB"/>
              </w:rPr>
              <w:t xml:space="preserve"> </w:t>
            </w:r>
            <w:r w:rsidRPr="000F0222">
              <w:rPr>
                <w:sz w:val="22"/>
                <w:szCs w:val="22"/>
                <w:lang w:val="en-GB"/>
              </w:rPr>
              <w:t>-0.1363 (N</w:t>
            </w:r>
            <w:r w:rsidRPr="000F0222">
              <w:rPr>
                <w:sz w:val="22"/>
                <w:szCs w:val="22"/>
                <w:vertAlign w:val="subscript"/>
                <w:lang w:val="en-GB"/>
              </w:rPr>
              <w:t>2008</w:t>
            </w:r>
            <w:r w:rsidRPr="000F0222">
              <w:rPr>
                <w:sz w:val="22"/>
                <w:szCs w:val="22"/>
                <w:lang w:val="en-GB"/>
              </w:rPr>
              <w:t xml:space="preserve"> = 396) </w:t>
            </w:r>
            <w:r w:rsidR="00684358" w:rsidRPr="000F0222">
              <w:rPr>
                <w:sz w:val="22"/>
                <w:szCs w:val="22"/>
                <w:lang w:val="en-GB"/>
              </w:rPr>
              <w:t xml:space="preserve">at MOP4 </w:t>
            </w:r>
            <w:r w:rsidRPr="000F0222">
              <w:rPr>
                <w:sz w:val="22"/>
                <w:szCs w:val="22"/>
                <w:lang w:val="en-GB"/>
              </w:rPr>
              <w:t xml:space="preserve">which </w:t>
            </w:r>
            <w:r w:rsidR="00BB7A0C" w:rsidRPr="000F0222">
              <w:rPr>
                <w:sz w:val="22"/>
                <w:szCs w:val="22"/>
                <w:lang w:val="en-GB"/>
              </w:rPr>
              <w:t xml:space="preserve">is higher </w:t>
            </w:r>
            <w:r w:rsidR="008043EE" w:rsidRPr="000F0222">
              <w:rPr>
                <w:sz w:val="22"/>
                <w:szCs w:val="22"/>
                <w:lang w:val="en-GB"/>
              </w:rPr>
              <w:t xml:space="preserve">than in </w:t>
            </w:r>
            <w:r w:rsidRPr="000F0222">
              <w:rPr>
                <w:sz w:val="22"/>
                <w:szCs w:val="22"/>
                <w:lang w:val="en-GB"/>
              </w:rPr>
              <w:t>2008</w:t>
            </w:r>
            <w:r w:rsidR="007D15B7" w:rsidRPr="000F0222">
              <w:rPr>
                <w:sz w:val="22"/>
                <w:szCs w:val="22"/>
                <w:lang w:val="en-GB"/>
              </w:rPr>
              <w:t>.</w:t>
            </w:r>
            <w:r w:rsidRPr="000F0222">
              <w:rPr>
                <w:sz w:val="22"/>
                <w:szCs w:val="22"/>
                <w:lang w:val="en-GB"/>
              </w:rPr>
              <w:t xml:space="preserve"> </w:t>
            </w:r>
            <w:r w:rsidR="009F166D" w:rsidRPr="000F0222">
              <w:rPr>
                <w:sz w:val="22"/>
                <w:szCs w:val="22"/>
                <w:lang w:val="en-GB"/>
              </w:rPr>
              <w:t>While the target was achieved</w:t>
            </w:r>
            <w:r w:rsidRPr="000F0222">
              <w:rPr>
                <w:sz w:val="22"/>
                <w:szCs w:val="22"/>
                <w:lang w:val="en-GB"/>
              </w:rPr>
              <w:t>, still more populations are declining than increasing.</w:t>
            </w:r>
          </w:p>
          <w:p w14:paraId="0253DBFA" w14:textId="77777777" w:rsidR="00684358" w:rsidRPr="000F0222" w:rsidRDefault="00684358" w:rsidP="009058FB">
            <w:pPr>
              <w:rPr>
                <w:sz w:val="22"/>
                <w:szCs w:val="22"/>
                <w:lang w:val="en-GB"/>
              </w:rPr>
            </w:pPr>
          </w:p>
          <w:p w14:paraId="662AAB22" w14:textId="7AEBD386" w:rsidR="009058FB" w:rsidRPr="000F0222" w:rsidRDefault="00684358" w:rsidP="009058FB">
            <w:pPr>
              <w:rPr>
                <w:sz w:val="22"/>
                <w:szCs w:val="22"/>
                <w:lang w:val="en-GB"/>
              </w:rPr>
            </w:pPr>
            <w:r w:rsidRPr="000F0222">
              <w:rPr>
                <w:b/>
                <w:sz w:val="22"/>
                <w:szCs w:val="22"/>
                <w:lang w:val="en-GB"/>
              </w:rPr>
              <w:t>Change since MOP</w:t>
            </w:r>
            <w:r w:rsidR="00D21846" w:rsidRPr="000F0222">
              <w:rPr>
                <w:b/>
                <w:sz w:val="22"/>
                <w:szCs w:val="22"/>
                <w:lang w:val="en-GB"/>
              </w:rPr>
              <w:t>4</w:t>
            </w:r>
            <w:r w:rsidRPr="000F0222">
              <w:rPr>
                <w:b/>
                <w:sz w:val="22"/>
                <w:szCs w:val="22"/>
                <w:lang w:val="en-GB"/>
              </w:rPr>
              <w:t>:</w:t>
            </w:r>
            <w:r w:rsidRPr="000F0222">
              <w:rPr>
                <w:sz w:val="22"/>
                <w:szCs w:val="22"/>
                <w:lang w:val="en-GB"/>
              </w:rPr>
              <w:t xml:space="preserve"> </w:t>
            </w:r>
            <w:r w:rsidR="00D21846" w:rsidRPr="000F0222">
              <w:rPr>
                <w:sz w:val="22"/>
                <w:szCs w:val="22"/>
                <w:lang w:val="en-GB"/>
              </w:rPr>
              <w:t>Positive</w:t>
            </w:r>
            <w:r w:rsidRPr="000F0222">
              <w:rPr>
                <w:sz w:val="22"/>
                <w:szCs w:val="22"/>
                <w:lang w:val="en-GB"/>
              </w:rPr>
              <w:t xml:space="preserve">. The value of the </w:t>
            </w:r>
            <w:proofErr w:type="spellStart"/>
            <w:r w:rsidRPr="000F0222">
              <w:rPr>
                <w:sz w:val="22"/>
                <w:szCs w:val="22"/>
                <w:lang w:val="en-GB"/>
              </w:rPr>
              <w:t>Waterbird</w:t>
            </w:r>
            <w:proofErr w:type="spellEnd"/>
            <w:r w:rsidRPr="000F0222">
              <w:rPr>
                <w:sz w:val="22"/>
                <w:szCs w:val="22"/>
                <w:lang w:val="en-GB"/>
              </w:rPr>
              <w:t xml:space="preserve"> Indicator has </w:t>
            </w:r>
            <w:r w:rsidR="008043EE" w:rsidRPr="000F0222">
              <w:rPr>
                <w:sz w:val="22"/>
                <w:szCs w:val="22"/>
                <w:lang w:val="en-GB"/>
              </w:rPr>
              <w:t>increased from -0.1363 (N</w:t>
            </w:r>
            <w:r w:rsidR="008043EE" w:rsidRPr="000F0222">
              <w:rPr>
                <w:sz w:val="22"/>
                <w:szCs w:val="22"/>
                <w:vertAlign w:val="subscript"/>
                <w:lang w:val="en-GB"/>
              </w:rPr>
              <w:t>2008</w:t>
            </w:r>
            <w:r w:rsidR="008043EE" w:rsidRPr="000F0222">
              <w:rPr>
                <w:sz w:val="22"/>
                <w:szCs w:val="22"/>
                <w:lang w:val="en-GB"/>
              </w:rPr>
              <w:t xml:space="preserve"> = 396) in 2008, to </w:t>
            </w:r>
            <w:r w:rsidRPr="000F0222">
              <w:rPr>
                <w:sz w:val="22"/>
                <w:szCs w:val="22"/>
                <w:lang w:val="en-GB"/>
              </w:rPr>
              <w:t>-0.1118 (N</w:t>
            </w:r>
            <w:r w:rsidRPr="000F0222">
              <w:rPr>
                <w:sz w:val="22"/>
                <w:szCs w:val="22"/>
                <w:vertAlign w:val="subscript"/>
                <w:lang w:val="en-GB"/>
              </w:rPr>
              <w:t>2011</w:t>
            </w:r>
            <w:r w:rsidRPr="000F0222">
              <w:rPr>
                <w:sz w:val="22"/>
                <w:szCs w:val="22"/>
                <w:lang w:val="en-GB"/>
              </w:rPr>
              <w:t xml:space="preserve"> = 391)</w:t>
            </w:r>
            <w:r w:rsidR="008043EE" w:rsidRPr="000F0222">
              <w:rPr>
                <w:sz w:val="22"/>
                <w:szCs w:val="22"/>
                <w:lang w:val="en-GB"/>
              </w:rPr>
              <w:t xml:space="preserve"> in 2011, followed by a drop</w:t>
            </w:r>
            <w:r w:rsidRPr="000F0222">
              <w:rPr>
                <w:sz w:val="22"/>
                <w:szCs w:val="22"/>
                <w:lang w:val="en-GB"/>
              </w:rPr>
              <w:t xml:space="preserve"> to -0.1144 (N</w:t>
            </w:r>
            <w:r w:rsidRPr="000F0222">
              <w:rPr>
                <w:sz w:val="14"/>
                <w:szCs w:val="14"/>
                <w:lang w:val="en-GB"/>
              </w:rPr>
              <w:t xml:space="preserve">2014 </w:t>
            </w:r>
            <w:r w:rsidRPr="000F0222">
              <w:rPr>
                <w:sz w:val="22"/>
                <w:szCs w:val="22"/>
                <w:lang w:val="en-GB"/>
              </w:rPr>
              <w:t>= 376)</w:t>
            </w:r>
            <w:r w:rsidR="008043EE" w:rsidRPr="000F0222">
              <w:rPr>
                <w:sz w:val="22"/>
                <w:szCs w:val="22"/>
                <w:lang w:val="en-GB"/>
              </w:rPr>
              <w:t xml:space="preserve"> in 2014, to its current value of -0.0966 (N</w:t>
            </w:r>
            <w:r w:rsidR="008043EE" w:rsidRPr="000F0222">
              <w:rPr>
                <w:sz w:val="14"/>
                <w:szCs w:val="14"/>
                <w:lang w:val="en-GB"/>
              </w:rPr>
              <w:t xml:space="preserve">2017 </w:t>
            </w:r>
            <w:r w:rsidR="008043EE" w:rsidRPr="000F0222">
              <w:rPr>
                <w:sz w:val="22"/>
                <w:szCs w:val="22"/>
                <w:lang w:val="en-GB"/>
              </w:rPr>
              <w:t>= 445)</w:t>
            </w:r>
            <w:r w:rsidRPr="000F0222">
              <w:rPr>
                <w:sz w:val="22"/>
                <w:szCs w:val="22"/>
                <w:lang w:val="en-GB"/>
              </w:rPr>
              <w:t>.</w:t>
            </w:r>
          </w:p>
          <w:p w14:paraId="0DF422BB" w14:textId="77777777" w:rsidR="00684358" w:rsidRPr="000F0222" w:rsidRDefault="00684358" w:rsidP="009058FB">
            <w:pPr>
              <w:rPr>
                <w:sz w:val="22"/>
                <w:szCs w:val="22"/>
                <w:lang w:val="en-GB"/>
              </w:rPr>
            </w:pPr>
          </w:p>
          <w:p w14:paraId="372952FD" w14:textId="66EA4393" w:rsidR="009058FB" w:rsidRPr="000F0222" w:rsidRDefault="009058FB" w:rsidP="009058FB">
            <w:pPr>
              <w:rPr>
                <w:sz w:val="22"/>
                <w:szCs w:val="22"/>
                <w:lang w:val="en-GB"/>
              </w:rPr>
            </w:pPr>
            <w:r w:rsidRPr="000F0222">
              <w:rPr>
                <w:b/>
                <w:sz w:val="22"/>
                <w:szCs w:val="22"/>
                <w:lang w:val="en-GB"/>
              </w:rPr>
              <w:t>Reference:</w:t>
            </w:r>
            <w:r w:rsidRPr="000F0222">
              <w:rPr>
                <w:sz w:val="22"/>
                <w:szCs w:val="22"/>
                <w:lang w:val="en-GB"/>
              </w:rPr>
              <w:t xml:space="preserve"> </w:t>
            </w:r>
            <w:r w:rsidR="00D21846"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(document AEWA/MOP </w:t>
            </w:r>
            <w:r w:rsidR="00D21846" w:rsidRPr="000F0222">
              <w:rPr>
                <w:sz w:val="22"/>
                <w:szCs w:val="22"/>
                <w:lang w:val="en-GB"/>
              </w:rPr>
              <w:t>7</w:t>
            </w:r>
            <w:r w:rsidRPr="000F0222">
              <w:rPr>
                <w:sz w:val="22"/>
                <w:szCs w:val="22"/>
                <w:lang w:val="en-GB"/>
              </w:rPr>
              <w:t>.14)</w:t>
            </w:r>
          </w:p>
          <w:p w14:paraId="69E50F36" w14:textId="3F7EBDC5" w:rsidR="00006A74" w:rsidRPr="000F0222" w:rsidRDefault="00006A74" w:rsidP="009058FB">
            <w:pPr>
              <w:rPr>
                <w:sz w:val="22"/>
                <w:szCs w:val="22"/>
                <w:lang w:val="en-GB"/>
              </w:rPr>
            </w:pPr>
          </w:p>
        </w:tc>
      </w:tr>
      <w:tr w:rsidR="009058FB" w:rsidRPr="004779F8" w14:paraId="2858BCF7" w14:textId="77777777" w:rsidTr="00D53C88">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2F52571" w14:textId="77777777" w:rsidR="009058FB" w:rsidRPr="000F0222" w:rsidRDefault="009058FB" w:rsidP="009058FB">
            <w:pPr>
              <w:rPr>
                <w:sz w:val="22"/>
                <w:szCs w:val="22"/>
                <w:lang w:val="en-GB"/>
              </w:rPr>
            </w:pPr>
            <w:r w:rsidRPr="000F0222">
              <w:rPr>
                <w:noProof/>
                <w:sz w:val="22"/>
                <w:szCs w:val="22"/>
                <w:lang w:val="en-GB"/>
              </w:rPr>
              <w:drawing>
                <wp:inline distT="0" distB="0" distL="0" distR="0" wp14:anchorId="7C207F43" wp14:editId="05BF2228">
                  <wp:extent cx="1425039" cy="1080654"/>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1AA194D" w14:textId="77777777" w:rsidR="009058FB" w:rsidRPr="004779F8" w:rsidRDefault="009058FB" w:rsidP="009058FB">
            <w:pPr>
              <w:rPr>
                <w:b/>
                <w:sz w:val="22"/>
                <w:szCs w:val="22"/>
                <w:lang w:val="en-GB"/>
              </w:rPr>
            </w:pPr>
          </w:p>
          <w:p w14:paraId="459949C2" w14:textId="77777777" w:rsidR="009058FB" w:rsidRPr="000F0222" w:rsidRDefault="009058FB" w:rsidP="009058FB">
            <w:pPr>
              <w:rPr>
                <w:b/>
                <w:sz w:val="22"/>
                <w:szCs w:val="22"/>
                <w:lang w:val="en-GB"/>
              </w:rPr>
            </w:pPr>
            <w:r w:rsidRPr="00613A29">
              <w:rPr>
                <w:b/>
                <w:sz w:val="22"/>
                <w:szCs w:val="22"/>
                <w:lang w:val="en-GB"/>
              </w:rPr>
              <w:t xml:space="preserve">G5: Overall extinction risk of </w:t>
            </w:r>
            <w:proofErr w:type="spellStart"/>
            <w:r w:rsidRPr="00613A29">
              <w:rPr>
                <w:b/>
                <w:sz w:val="22"/>
                <w:szCs w:val="22"/>
                <w:lang w:val="en-GB"/>
              </w:rPr>
              <w:t>waterbirds</w:t>
            </w:r>
            <w:proofErr w:type="spellEnd"/>
            <w:r w:rsidRPr="00613A29">
              <w:rPr>
                <w:b/>
                <w:sz w:val="22"/>
                <w:szCs w:val="22"/>
                <w:lang w:val="en-GB"/>
              </w:rPr>
              <w:t xml:space="preserve"> has reduced, as measured by the Red List Index</w:t>
            </w: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4AF7D75" w14:textId="77777777" w:rsidR="009058FB" w:rsidRPr="000F0222" w:rsidRDefault="009058FB" w:rsidP="009058FB">
            <w:pPr>
              <w:rPr>
                <w:sz w:val="22"/>
                <w:szCs w:val="22"/>
                <w:lang w:val="en-GB"/>
              </w:rPr>
            </w:pPr>
          </w:p>
          <w:p w14:paraId="7B6CAD25" w14:textId="4A947B2C" w:rsidR="009C10EB" w:rsidRPr="000F0222" w:rsidRDefault="009058FB" w:rsidP="009058FB">
            <w:pPr>
              <w:rPr>
                <w:sz w:val="22"/>
                <w:szCs w:val="22"/>
                <w:lang w:val="en-GB"/>
              </w:rPr>
            </w:pPr>
            <w:r w:rsidRPr="000F0222">
              <w:rPr>
                <w:sz w:val="22"/>
                <w:szCs w:val="22"/>
                <w:lang w:val="en-GB"/>
              </w:rPr>
              <w:t xml:space="preserve">The Red List Index for the AEWA species has declined by </w:t>
            </w:r>
            <w:r w:rsidR="00AD51D9" w:rsidRPr="000F0222">
              <w:rPr>
                <w:sz w:val="22"/>
                <w:szCs w:val="22"/>
                <w:lang w:val="en-GB"/>
              </w:rPr>
              <w:t>2</w:t>
            </w:r>
            <w:r w:rsidR="00BB7A0C" w:rsidRPr="000F0222">
              <w:rPr>
                <w:sz w:val="22"/>
                <w:szCs w:val="22"/>
                <w:lang w:val="en-GB"/>
              </w:rPr>
              <w:t>.</w:t>
            </w:r>
            <w:r w:rsidR="00AD51D9" w:rsidRPr="000F0222">
              <w:rPr>
                <w:sz w:val="22"/>
                <w:szCs w:val="22"/>
                <w:lang w:val="en-GB"/>
              </w:rPr>
              <w:t>2</w:t>
            </w:r>
            <w:r w:rsidR="00BB7A0C" w:rsidRPr="000F0222">
              <w:rPr>
                <w:sz w:val="22"/>
                <w:szCs w:val="22"/>
                <w:lang w:val="en-GB"/>
              </w:rPr>
              <w:t xml:space="preserve"> </w:t>
            </w:r>
            <w:r w:rsidRPr="000F0222">
              <w:rPr>
                <w:sz w:val="22"/>
                <w:szCs w:val="22"/>
                <w:lang w:val="en-GB"/>
              </w:rPr>
              <w:t xml:space="preserve">% </w:t>
            </w:r>
            <w:r w:rsidR="00BB7A0C" w:rsidRPr="000F0222">
              <w:rPr>
                <w:sz w:val="22"/>
                <w:szCs w:val="22"/>
                <w:lang w:val="en-GB"/>
              </w:rPr>
              <w:t xml:space="preserve">since </w:t>
            </w:r>
            <w:r w:rsidRPr="000F0222">
              <w:rPr>
                <w:sz w:val="22"/>
                <w:szCs w:val="22"/>
                <w:lang w:val="en-GB"/>
              </w:rPr>
              <w:t>1988 compared to 0.</w:t>
            </w:r>
            <w:r w:rsidR="00AD51D9" w:rsidRPr="000F0222">
              <w:rPr>
                <w:sz w:val="22"/>
                <w:szCs w:val="22"/>
                <w:lang w:val="en-GB"/>
              </w:rPr>
              <w:t>8</w:t>
            </w:r>
            <w:r w:rsidRPr="000F0222">
              <w:rPr>
                <w:sz w:val="22"/>
                <w:szCs w:val="22"/>
                <w:lang w:val="en-GB"/>
              </w:rPr>
              <w:t xml:space="preserve">% for all species: they have declined in status proportionately </w:t>
            </w:r>
            <w:r w:rsidR="00BB7A0C" w:rsidRPr="000F0222">
              <w:rPr>
                <w:sz w:val="22"/>
                <w:szCs w:val="22"/>
                <w:lang w:val="en-GB"/>
              </w:rPr>
              <w:t xml:space="preserve">much </w:t>
            </w:r>
            <w:r w:rsidRPr="000F0222">
              <w:rPr>
                <w:sz w:val="22"/>
                <w:szCs w:val="22"/>
                <w:lang w:val="en-GB"/>
              </w:rPr>
              <w:t>fast</w:t>
            </w:r>
            <w:r w:rsidR="00BB7A0C" w:rsidRPr="000F0222">
              <w:rPr>
                <w:sz w:val="22"/>
                <w:szCs w:val="22"/>
                <w:lang w:val="en-GB"/>
              </w:rPr>
              <w:t>er</w:t>
            </w:r>
            <w:r w:rsidRPr="000F0222">
              <w:rPr>
                <w:sz w:val="22"/>
                <w:szCs w:val="22"/>
                <w:lang w:val="en-GB"/>
              </w:rPr>
              <w:t xml:space="preserve"> over the </w:t>
            </w:r>
            <w:r w:rsidR="00AD51D9" w:rsidRPr="000F0222">
              <w:rPr>
                <w:sz w:val="22"/>
                <w:szCs w:val="22"/>
                <w:lang w:val="en-GB"/>
              </w:rPr>
              <w:t>last two decades</w:t>
            </w:r>
            <w:r w:rsidRPr="000F0222">
              <w:rPr>
                <w:sz w:val="22"/>
                <w:szCs w:val="22"/>
                <w:lang w:val="en-GB"/>
              </w:rPr>
              <w:t xml:space="preserve">. </w:t>
            </w:r>
            <w:r w:rsidR="00AD51D9" w:rsidRPr="000F0222">
              <w:rPr>
                <w:sz w:val="22"/>
                <w:szCs w:val="22"/>
                <w:lang w:val="en-GB"/>
              </w:rPr>
              <w:t xml:space="preserve">The target was not achieved. </w:t>
            </w:r>
          </w:p>
          <w:p w14:paraId="133B54C3" w14:textId="77777777" w:rsidR="007D7D33" w:rsidRPr="000F0222" w:rsidRDefault="009C10EB" w:rsidP="009058FB">
            <w:pPr>
              <w:rPr>
                <w:sz w:val="22"/>
                <w:szCs w:val="22"/>
                <w:lang w:val="en-GB"/>
              </w:rPr>
            </w:pPr>
            <w:r w:rsidRPr="000F0222">
              <w:rPr>
                <w:sz w:val="22"/>
                <w:szCs w:val="22"/>
                <w:lang w:val="en-GB"/>
              </w:rPr>
              <w:t xml:space="preserve"> </w:t>
            </w:r>
          </w:p>
          <w:p w14:paraId="662F7B1A" w14:textId="4F6A50CF" w:rsidR="007D7D33" w:rsidRPr="000F0222" w:rsidRDefault="007D7D33" w:rsidP="009058FB">
            <w:pPr>
              <w:rPr>
                <w:sz w:val="22"/>
                <w:szCs w:val="22"/>
                <w:lang w:val="en-GB"/>
              </w:rPr>
            </w:pPr>
            <w:r w:rsidRPr="000F0222">
              <w:rPr>
                <w:b/>
                <w:sz w:val="22"/>
                <w:szCs w:val="22"/>
                <w:lang w:val="en-GB"/>
              </w:rPr>
              <w:t>Change since MOP</w:t>
            </w:r>
            <w:r w:rsidR="00AD51D9" w:rsidRPr="000F0222">
              <w:rPr>
                <w:b/>
                <w:sz w:val="22"/>
                <w:szCs w:val="22"/>
                <w:lang w:val="en-GB"/>
              </w:rPr>
              <w:t>4</w:t>
            </w:r>
            <w:r w:rsidRPr="000F0222">
              <w:rPr>
                <w:b/>
                <w:sz w:val="22"/>
                <w:szCs w:val="22"/>
                <w:lang w:val="en-GB"/>
              </w:rPr>
              <w:t>:</w:t>
            </w:r>
            <w:r w:rsidRPr="000F0222">
              <w:rPr>
                <w:sz w:val="22"/>
                <w:szCs w:val="22"/>
                <w:lang w:val="en-GB"/>
              </w:rPr>
              <w:t xml:space="preserve"> Negative. The Red List Index ha</w:t>
            </w:r>
            <w:r w:rsidR="00AD51D9" w:rsidRPr="000F0222">
              <w:rPr>
                <w:sz w:val="22"/>
                <w:szCs w:val="22"/>
                <w:lang w:val="en-GB"/>
              </w:rPr>
              <w:t>d</w:t>
            </w:r>
            <w:r w:rsidRPr="000F0222">
              <w:rPr>
                <w:sz w:val="22"/>
                <w:szCs w:val="22"/>
                <w:lang w:val="en-GB"/>
              </w:rPr>
              <w:t xml:space="preserve"> declined </w:t>
            </w:r>
            <w:r w:rsidR="00AD51D9" w:rsidRPr="000F0222">
              <w:rPr>
                <w:sz w:val="22"/>
                <w:szCs w:val="22"/>
                <w:lang w:val="en-GB"/>
              </w:rPr>
              <w:t xml:space="preserve">in 2010 by </w:t>
            </w:r>
            <w:r w:rsidRPr="000F0222">
              <w:rPr>
                <w:sz w:val="22"/>
                <w:szCs w:val="22"/>
                <w:lang w:val="en-GB"/>
              </w:rPr>
              <w:t xml:space="preserve">1% </w:t>
            </w:r>
            <w:r w:rsidR="00AD51D9" w:rsidRPr="000F0222">
              <w:rPr>
                <w:sz w:val="22"/>
                <w:szCs w:val="22"/>
                <w:lang w:val="en-GB"/>
              </w:rPr>
              <w:t xml:space="preserve">compared to 1988, the decline increased to 1.6% during </w:t>
            </w:r>
            <w:r w:rsidRPr="000F0222">
              <w:rPr>
                <w:sz w:val="22"/>
                <w:szCs w:val="22"/>
                <w:lang w:val="en-GB"/>
              </w:rPr>
              <w:t>the previous assessment to 1.6%</w:t>
            </w:r>
            <w:r w:rsidR="00AD51D9" w:rsidRPr="000F0222">
              <w:rPr>
                <w:sz w:val="22"/>
                <w:szCs w:val="22"/>
                <w:lang w:val="en-GB"/>
              </w:rPr>
              <w:t xml:space="preserve"> (2014), to 2.2%</w:t>
            </w:r>
            <w:r w:rsidRPr="000F0222">
              <w:rPr>
                <w:sz w:val="22"/>
                <w:szCs w:val="22"/>
                <w:lang w:val="en-GB"/>
              </w:rPr>
              <w:t xml:space="preserve"> at the present one</w:t>
            </w:r>
            <w:r w:rsidR="00AD51D9" w:rsidRPr="000F0222">
              <w:rPr>
                <w:sz w:val="22"/>
                <w:szCs w:val="22"/>
                <w:lang w:val="en-GB"/>
              </w:rPr>
              <w:t xml:space="preserve"> (2016)</w:t>
            </w:r>
            <w:r w:rsidRPr="000F0222">
              <w:rPr>
                <w:sz w:val="22"/>
                <w:szCs w:val="22"/>
                <w:lang w:val="en-GB"/>
              </w:rPr>
              <w:t>.</w:t>
            </w:r>
          </w:p>
          <w:p w14:paraId="4692927A" w14:textId="77777777" w:rsidR="009058FB" w:rsidRPr="000F0222" w:rsidRDefault="009058FB" w:rsidP="009058FB">
            <w:pPr>
              <w:rPr>
                <w:sz w:val="22"/>
                <w:szCs w:val="22"/>
                <w:lang w:val="en-GB"/>
              </w:rPr>
            </w:pPr>
          </w:p>
          <w:p w14:paraId="476175EC" w14:textId="04A9C3EC" w:rsidR="009058FB" w:rsidRPr="000F0222" w:rsidRDefault="009058FB" w:rsidP="009058FB">
            <w:pPr>
              <w:rPr>
                <w:sz w:val="22"/>
                <w:szCs w:val="22"/>
                <w:lang w:val="en-GB"/>
              </w:rPr>
            </w:pPr>
            <w:r w:rsidRPr="000F0222">
              <w:rPr>
                <w:b/>
                <w:sz w:val="22"/>
                <w:szCs w:val="22"/>
                <w:lang w:val="en-GB"/>
              </w:rPr>
              <w:t>Reference:</w:t>
            </w:r>
            <w:r w:rsidRPr="000F0222">
              <w:rPr>
                <w:sz w:val="22"/>
                <w:szCs w:val="22"/>
                <w:lang w:val="en-GB"/>
              </w:rPr>
              <w:t xml:space="preserve"> </w:t>
            </w:r>
            <w:r w:rsidR="00AD51D9"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(document AEWA/MOP </w:t>
            </w:r>
            <w:r w:rsidR="00AD51D9" w:rsidRPr="000F0222">
              <w:rPr>
                <w:sz w:val="22"/>
                <w:szCs w:val="22"/>
                <w:lang w:val="en-GB"/>
              </w:rPr>
              <w:t>7</w:t>
            </w:r>
            <w:r w:rsidRPr="000F0222">
              <w:rPr>
                <w:sz w:val="22"/>
                <w:szCs w:val="22"/>
                <w:lang w:val="en-GB"/>
              </w:rPr>
              <w:t>.14)</w:t>
            </w:r>
          </w:p>
          <w:p w14:paraId="1E89D262" w14:textId="31DFBFF6" w:rsidR="00006A74" w:rsidRPr="000F0222" w:rsidRDefault="00006A74" w:rsidP="009058FB">
            <w:pPr>
              <w:rPr>
                <w:sz w:val="22"/>
                <w:szCs w:val="22"/>
                <w:lang w:val="en-GB"/>
              </w:rPr>
            </w:pPr>
          </w:p>
        </w:tc>
      </w:tr>
      <w:tr w:rsidR="009058FB" w:rsidRPr="004779F8" w14:paraId="07EB7DC9" w14:textId="77777777" w:rsidTr="00D53C88">
        <w:trPr>
          <w:trHeight w:val="20"/>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F561C28" w14:textId="77777777" w:rsidR="009058FB" w:rsidRPr="000F0222" w:rsidRDefault="009058FB" w:rsidP="009058FB">
            <w:pPr>
              <w:rPr>
                <w:sz w:val="22"/>
                <w:szCs w:val="22"/>
                <w:lang w:val="en-GB"/>
              </w:rPr>
            </w:pPr>
            <w:r w:rsidRPr="000F0222">
              <w:rPr>
                <w:noProof/>
                <w:sz w:val="22"/>
                <w:szCs w:val="22"/>
                <w:lang w:val="en-GB"/>
              </w:rPr>
              <w:lastRenderedPageBreak/>
              <w:drawing>
                <wp:inline distT="0" distB="0" distL="0" distR="0" wp14:anchorId="108E12E7" wp14:editId="3577EE80">
                  <wp:extent cx="1425039" cy="1080654"/>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55830EDC" w14:textId="77777777" w:rsidR="009058FB" w:rsidRPr="004779F8" w:rsidRDefault="009058FB" w:rsidP="009058FB">
            <w:pPr>
              <w:rPr>
                <w:b/>
                <w:sz w:val="22"/>
                <w:szCs w:val="22"/>
                <w:lang w:val="en-GB"/>
              </w:rPr>
            </w:pPr>
          </w:p>
          <w:p w14:paraId="1FDDF028" w14:textId="77777777" w:rsidR="009058FB" w:rsidRPr="00613A29" w:rsidRDefault="009058FB" w:rsidP="009058FB">
            <w:pPr>
              <w:rPr>
                <w:b/>
                <w:sz w:val="22"/>
                <w:szCs w:val="22"/>
                <w:lang w:val="en-GB"/>
              </w:rPr>
            </w:pPr>
            <w:r w:rsidRPr="00613A29">
              <w:rPr>
                <w:b/>
                <w:sz w:val="22"/>
                <w:szCs w:val="22"/>
                <w:lang w:val="en-GB"/>
              </w:rPr>
              <w:t xml:space="preserve">G6: 20% of threatened and Near Threatened species have been </w:t>
            </w:r>
            <w:proofErr w:type="spellStart"/>
            <w:r w:rsidRPr="00613A29">
              <w:rPr>
                <w:b/>
                <w:sz w:val="22"/>
                <w:szCs w:val="22"/>
                <w:lang w:val="en-GB"/>
              </w:rPr>
              <w:t>downlisted</w:t>
            </w:r>
            <w:proofErr w:type="spellEnd"/>
            <w:r w:rsidRPr="00613A29">
              <w:rPr>
                <w:b/>
                <w:sz w:val="22"/>
                <w:szCs w:val="22"/>
                <w:lang w:val="en-GB"/>
              </w:rPr>
              <w:t xml:space="preserve"> to lower categories of threat </w:t>
            </w:r>
          </w:p>
          <w:p w14:paraId="2052E708" w14:textId="77777777" w:rsidR="009058FB" w:rsidRPr="000F0222" w:rsidRDefault="009058FB" w:rsidP="009058FB">
            <w:pPr>
              <w:rPr>
                <w:b/>
                <w:sz w:val="22"/>
                <w:szCs w:val="22"/>
                <w:lang w:val="en-GB"/>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775CFBC" w14:textId="77777777" w:rsidR="009058FB" w:rsidRPr="000F0222" w:rsidRDefault="009058FB" w:rsidP="009058FB">
            <w:pPr>
              <w:rPr>
                <w:sz w:val="22"/>
                <w:szCs w:val="22"/>
                <w:lang w:val="en-GB"/>
              </w:rPr>
            </w:pPr>
          </w:p>
          <w:p w14:paraId="6DAF311E" w14:textId="6F6FF259" w:rsidR="009C10EB" w:rsidRPr="000F0222" w:rsidRDefault="006B25F8" w:rsidP="009B6A3A">
            <w:pPr>
              <w:pStyle w:val="Default"/>
              <w:rPr>
                <w:sz w:val="22"/>
                <w:szCs w:val="22"/>
                <w:lang w:val="en-GB"/>
              </w:rPr>
            </w:pPr>
            <w:r w:rsidRPr="000F0222">
              <w:rPr>
                <w:sz w:val="22"/>
                <w:szCs w:val="22"/>
                <w:lang w:val="en-GB"/>
              </w:rPr>
              <w:t xml:space="preserve">Since </w:t>
            </w:r>
            <w:r w:rsidR="008C27F4" w:rsidRPr="000F0222">
              <w:rPr>
                <w:color w:val="auto"/>
                <w:sz w:val="22"/>
                <w:szCs w:val="22"/>
                <w:lang w:val="en-GB"/>
              </w:rPr>
              <w:t>2008</w:t>
            </w:r>
            <w:r w:rsidR="00851F16" w:rsidRPr="000F0222">
              <w:rPr>
                <w:color w:val="auto"/>
                <w:sz w:val="22"/>
                <w:szCs w:val="22"/>
                <w:lang w:val="en-GB"/>
              </w:rPr>
              <w:t xml:space="preserve"> </w:t>
            </w:r>
            <w:r w:rsidRPr="000F0222">
              <w:rPr>
                <w:color w:val="auto"/>
                <w:sz w:val="22"/>
                <w:szCs w:val="22"/>
                <w:lang w:val="en-GB"/>
              </w:rPr>
              <w:t xml:space="preserve">only two species have been </w:t>
            </w:r>
            <w:proofErr w:type="spellStart"/>
            <w:r w:rsidRPr="000F0222">
              <w:rPr>
                <w:color w:val="auto"/>
                <w:sz w:val="22"/>
                <w:szCs w:val="22"/>
                <w:lang w:val="en-GB"/>
              </w:rPr>
              <w:t>downlisted</w:t>
            </w:r>
            <w:proofErr w:type="spellEnd"/>
            <w:r w:rsidRPr="000F0222">
              <w:rPr>
                <w:color w:val="auto"/>
                <w:sz w:val="22"/>
                <w:szCs w:val="22"/>
                <w:lang w:val="en-GB"/>
              </w:rPr>
              <w:t xml:space="preserve"> owing to genuine improvement of the status – Dalmatian Pelican (</w:t>
            </w:r>
            <w:proofErr w:type="spellStart"/>
            <w:r w:rsidRPr="000F0222">
              <w:rPr>
                <w:i/>
                <w:color w:val="auto"/>
                <w:sz w:val="22"/>
                <w:szCs w:val="22"/>
                <w:lang w:val="en-GB"/>
              </w:rPr>
              <w:t>Pelecanus</w:t>
            </w:r>
            <w:proofErr w:type="spellEnd"/>
            <w:r w:rsidRPr="000F0222">
              <w:rPr>
                <w:i/>
                <w:color w:val="auto"/>
                <w:sz w:val="22"/>
                <w:szCs w:val="22"/>
                <w:lang w:val="en-GB"/>
              </w:rPr>
              <w:t xml:space="preserve"> </w:t>
            </w:r>
            <w:proofErr w:type="spellStart"/>
            <w:r w:rsidRPr="000F0222">
              <w:rPr>
                <w:i/>
                <w:color w:val="auto"/>
                <w:sz w:val="22"/>
                <w:szCs w:val="22"/>
                <w:lang w:val="en-GB"/>
              </w:rPr>
              <w:t>crispus</w:t>
            </w:r>
            <w:proofErr w:type="spellEnd"/>
            <w:r w:rsidRPr="000F0222">
              <w:rPr>
                <w:color w:val="auto"/>
                <w:sz w:val="22"/>
                <w:szCs w:val="22"/>
                <w:lang w:val="en-GB"/>
              </w:rPr>
              <w:t xml:space="preserve">) from Vulnerable to Near Threatened and </w:t>
            </w:r>
            <w:proofErr w:type="spellStart"/>
            <w:r w:rsidRPr="000F0222">
              <w:rPr>
                <w:color w:val="auto"/>
                <w:sz w:val="22"/>
                <w:szCs w:val="22"/>
                <w:lang w:val="en-GB"/>
              </w:rPr>
              <w:t>Audouin’s</w:t>
            </w:r>
            <w:proofErr w:type="spellEnd"/>
            <w:r w:rsidRPr="000F0222">
              <w:rPr>
                <w:color w:val="auto"/>
                <w:sz w:val="22"/>
                <w:szCs w:val="22"/>
                <w:lang w:val="en-GB"/>
              </w:rPr>
              <w:t xml:space="preserve"> Gull (</w:t>
            </w:r>
            <w:proofErr w:type="spellStart"/>
            <w:r w:rsidRPr="000F0222">
              <w:rPr>
                <w:i/>
                <w:color w:val="auto"/>
                <w:sz w:val="22"/>
                <w:szCs w:val="22"/>
                <w:lang w:val="en-GB"/>
              </w:rPr>
              <w:t>Larus</w:t>
            </w:r>
            <w:proofErr w:type="spellEnd"/>
            <w:r w:rsidRPr="000F0222">
              <w:rPr>
                <w:i/>
                <w:color w:val="auto"/>
                <w:sz w:val="22"/>
                <w:szCs w:val="22"/>
                <w:lang w:val="en-GB"/>
              </w:rPr>
              <w:t xml:space="preserve"> </w:t>
            </w:r>
            <w:proofErr w:type="spellStart"/>
            <w:r w:rsidRPr="000F0222">
              <w:rPr>
                <w:i/>
                <w:color w:val="auto"/>
                <w:sz w:val="22"/>
                <w:szCs w:val="22"/>
                <w:lang w:val="en-GB"/>
              </w:rPr>
              <w:t>audouin</w:t>
            </w:r>
            <w:r w:rsidR="0083622F" w:rsidRPr="000F0222">
              <w:rPr>
                <w:i/>
                <w:color w:val="auto"/>
                <w:sz w:val="22"/>
                <w:szCs w:val="22"/>
                <w:lang w:val="en-GB"/>
              </w:rPr>
              <w:t>i</w:t>
            </w:r>
            <w:r w:rsidRPr="000F0222">
              <w:rPr>
                <w:i/>
                <w:color w:val="auto"/>
                <w:sz w:val="22"/>
                <w:szCs w:val="22"/>
                <w:lang w:val="en-GB"/>
              </w:rPr>
              <w:t>i</w:t>
            </w:r>
            <w:proofErr w:type="spellEnd"/>
            <w:r w:rsidRPr="000F0222">
              <w:rPr>
                <w:color w:val="auto"/>
                <w:sz w:val="22"/>
                <w:szCs w:val="22"/>
                <w:lang w:val="en-GB"/>
              </w:rPr>
              <w:t>) from Near Threatened to Least Concern</w:t>
            </w:r>
            <w:r w:rsidR="008C27F4" w:rsidRPr="000F0222">
              <w:rPr>
                <w:color w:val="auto"/>
                <w:sz w:val="22"/>
                <w:szCs w:val="22"/>
                <w:lang w:val="en-GB"/>
              </w:rPr>
              <w:t>.</w:t>
            </w:r>
            <w:r w:rsidR="00851F16" w:rsidRPr="000F0222">
              <w:rPr>
                <w:color w:val="auto"/>
                <w:sz w:val="22"/>
                <w:szCs w:val="22"/>
                <w:lang w:val="en-GB"/>
              </w:rPr>
              <w:t xml:space="preserve"> </w:t>
            </w:r>
            <w:r w:rsidR="0083622F" w:rsidRPr="000F0222">
              <w:rPr>
                <w:sz w:val="22"/>
                <w:szCs w:val="22"/>
                <w:lang w:val="en-GB"/>
              </w:rPr>
              <w:t xml:space="preserve">At the same time, the number of Globally Threatened and Near Threatened species increased from 37 in 2008 (MOP4) to 52 in 2017 (MOP7) with most substantive increase between MOP6 and MOP7 (39 species at MOP5 and 41 at MOP6). </w:t>
            </w:r>
            <w:r w:rsidR="00F84C05" w:rsidRPr="000F0222">
              <w:rPr>
                <w:sz w:val="22"/>
                <w:szCs w:val="22"/>
                <w:lang w:val="en-GB"/>
              </w:rPr>
              <w:t>The target was not achieved.</w:t>
            </w:r>
          </w:p>
          <w:p w14:paraId="0A45FE22" w14:textId="77777777" w:rsidR="009C10EB" w:rsidRPr="000F0222" w:rsidRDefault="009C10EB" w:rsidP="009058FB">
            <w:pPr>
              <w:rPr>
                <w:sz w:val="22"/>
                <w:szCs w:val="22"/>
                <w:lang w:val="en-GB"/>
              </w:rPr>
            </w:pPr>
          </w:p>
          <w:p w14:paraId="3A330B89" w14:textId="34B125C9" w:rsidR="009C10EB" w:rsidRPr="000F0222" w:rsidRDefault="009C10EB" w:rsidP="009058FB">
            <w:pPr>
              <w:rPr>
                <w:sz w:val="22"/>
                <w:szCs w:val="22"/>
                <w:lang w:val="en-GB"/>
              </w:rPr>
            </w:pPr>
            <w:r w:rsidRPr="000F0222">
              <w:rPr>
                <w:b/>
                <w:sz w:val="22"/>
                <w:szCs w:val="22"/>
                <w:lang w:val="en-GB"/>
              </w:rPr>
              <w:t>Change since MOP</w:t>
            </w:r>
            <w:r w:rsidR="00020C3B" w:rsidRPr="000F0222">
              <w:rPr>
                <w:b/>
                <w:sz w:val="22"/>
                <w:szCs w:val="22"/>
                <w:lang w:val="en-GB"/>
              </w:rPr>
              <w:t>4</w:t>
            </w:r>
            <w:r w:rsidRPr="000F0222">
              <w:rPr>
                <w:b/>
                <w:sz w:val="22"/>
                <w:szCs w:val="22"/>
                <w:lang w:val="en-GB"/>
              </w:rPr>
              <w:t>:</w:t>
            </w:r>
            <w:r w:rsidRPr="000F0222">
              <w:rPr>
                <w:sz w:val="22"/>
                <w:szCs w:val="22"/>
                <w:lang w:val="en-GB"/>
              </w:rPr>
              <w:t xml:space="preserve"> Negative.</w:t>
            </w:r>
          </w:p>
          <w:p w14:paraId="534E4E8D" w14:textId="77777777" w:rsidR="009058FB" w:rsidRPr="000F0222" w:rsidRDefault="009058FB" w:rsidP="009058FB">
            <w:pPr>
              <w:rPr>
                <w:sz w:val="22"/>
                <w:szCs w:val="22"/>
                <w:lang w:val="en-GB"/>
              </w:rPr>
            </w:pPr>
          </w:p>
          <w:p w14:paraId="7E285182" w14:textId="1CB07238" w:rsidR="009058FB" w:rsidRPr="000F0222" w:rsidRDefault="009058FB" w:rsidP="009058FB">
            <w:pPr>
              <w:rPr>
                <w:sz w:val="22"/>
                <w:szCs w:val="22"/>
                <w:lang w:val="en-GB"/>
              </w:rPr>
            </w:pPr>
            <w:r w:rsidRPr="000F0222">
              <w:rPr>
                <w:b/>
                <w:sz w:val="22"/>
                <w:szCs w:val="22"/>
                <w:lang w:val="en-GB"/>
              </w:rPr>
              <w:t>Reference:</w:t>
            </w:r>
            <w:r w:rsidRPr="000F0222">
              <w:rPr>
                <w:sz w:val="22"/>
                <w:szCs w:val="22"/>
                <w:lang w:val="en-GB"/>
              </w:rPr>
              <w:t xml:space="preserve"> </w:t>
            </w:r>
            <w:r w:rsidR="006B25F8"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(document AEWA/MOP </w:t>
            </w:r>
            <w:r w:rsidR="006B25F8" w:rsidRPr="000F0222">
              <w:rPr>
                <w:sz w:val="22"/>
                <w:szCs w:val="22"/>
                <w:lang w:val="en-GB"/>
              </w:rPr>
              <w:t>7</w:t>
            </w:r>
            <w:r w:rsidRPr="000F0222">
              <w:rPr>
                <w:sz w:val="22"/>
                <w:szCs w:val="22"/>
                <w:lang w:val="en-GB"/>
              </w:rPr>
              <w:t>.14)</w:t>
            </w:r>
          </w:p>
          <w:p w14:paraId="6BCBE3B5" w14:textId="77777777" w:rsidR="009058FB" w:rsidRPr="000F0222" w:rsidRDefault="009058FB" w:rsidP="009058FB">
            <w:pPr>
              <w:rPr>
                <w:sz w:val="22"/>
                <w:szCs w:val="22"/>
                <w:lang w:val="en-GB"/>
              </w:rPr>
            </w:pPr>
          </w:p>
        </w:tc>
      </w:tr>
      <w:tr w:rsidR="009058FB" w:rsidRPr="004779F8" w14:paraId="23D0ABCC" w14:textId="77777777" w:rsidTr="00612F9B">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0453234" w14:textId="77777777" w:rsidR="009058FB" w:rsidRPr="000F0222" w:rsidRDefault="00D53C88" w:rsidP="009058FB">
            <w:pPr>
              <w:rPr>
                <w:sz w:val="22"/>
                <w:szCs w:val="22"/>
                <w:lang w:val="en-GB"/>
              </w:rPr>
            </w:pPr>
            <w:r w:rsidRPr="000F0222">
              <w:rPr>
                <w:noProof/>
                <w:sz w:val="22"/>
                <w:szCs w:val="22"/>
                <w:lang w:val="en-GB"/>
              </w:rPr>
              <w:drawing>
                <wp:inline distT="0" distB="0" distL="0" distR="0" wp14:anchorId="55058262" wp14:editId="4F67DA4B">
                  <wp:extent cx="1425039" cy="1080654"/>
                  <wp:effectExtent l="0" t="0" r="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9A3D8D9" w14:textId="77777777" w:rsidR="009058FB" w:rsidRPr="004779F8" w:rsidRDefault="009058FB" w:rsidP="009058FB">
            <w:pPr>
              <w:rPr>
                <w:b/>
                <w:sz w:val="22"/>
                <w:szCs w:val="22"/>
                <w:lang w:val="en-GB"/>
              </w:rPr>
            </w:pPr>
          </w:p>
          <w:p w14:paraId="0DC2BC4D" w14:textId="77777777" w:rsidR="009058FB" w:rsidRPr="000F0222" w:rsidRDefault="009058FB" w:rsidP="009058FB">
            <w:pPr>
              <w:rPr>
                <w:b/>
                <w:sz w:val="22"/>
                <w:szCs w:val="22"/>
                <w:lang w:val="en-GB"/>
              </w:rPr>
            </w:pPr>
            <w:r w:rsidRPr="00613A29">
              <w:rPr>
                <w:b/>
                <w:sz w:val="22"/>
                <w:szCs w:val="22"/>
                <w:lang w:val="en-GB"/>
              </w:rPr>
              <w:t>G7: Fewer populations to be listed in Category 1 in Column A (20% reduction)</w:t>
            </w: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2BE83AF" w14:textId="77777777" w:rsidR="009058FB" w:rsidRPr="000F0222" w:rsidRDefault="009058FB" w:rsidP="009058FB">
            <w:pPr>
              <w:rPr>
                <w:sz w:val="22"/>
                <w:szCs w:val="22"/>
                <w:lang w:val="en-GB"/>
              </w:rPr>
            </w:pPr>
          </w:p>
          <w:p w14:paraId="61CE7C68" w14:textId="0D9DB0FB" w:rsidR="009058FB" w:rsidRPr="000F0222" w:rsidRDefault="00A11D7C" w:rsidP="009058FB">
            <w:pPr>
              <w:rPr>
                <w:sz w:val="22"/>
                <w:szCs w:val="22"/>
                <w:lang w:val="en-GB"/>
              </w:rPr>
            </w:pPr>
            <w:r w:rsidRPr="000F0222">
              <w:rPr>
                <w:sz w:val="22"/>
                <w:szCs w:val="22"/>
                <w:lang w:val="en-GB"/>
              </w:rPr>
              <w:t xml:space="preserve">The number of </w:t>
            </w:r>
            <w:r w:rsidR="00D53C88" w:rsidRPr="000F0222">
              <w:rPr>
                <w:sz w:val="22"/>
                <w:szCs w:val="22"/>
                <w:lang w:val="en-GB"/>
              </w:rPr>
              <w:t xml:space="preserve">populations listed in category 1 of Column A </w:t>
            </w:r>
            <w:r w:rsidR="00020C3B" w:rsidRPr="000F0222">
              <w:rPr>
                <w:sz w:val="22"/>
                <w:szCs w:val="22"/>
                <w:lang w:val="en-GB"/>
              </w:rPr>
              <w:t xml:space="preserve">increased from 97 in </w:t>
            </w:r>
            <w:r w:rsidR="00D53C88" w:rsidRPr="000F0222">
              <w:rPr>
                <w:sz w:val="22"/>
                <w:szCs w:val="22"/>
                <w:lang w:val="en-GB"/>
              </w:rPr>
              <w:t>2008</w:t>
            </w:r>
            <w:r w:rsidR="00020C3B" w:rsidRPr="000F0222">
              <w:rPr>
                <w:sz w:val="22"/>
                <w:szCs w:val="22"/>
                <w:lang w:val="en-GB"/>
              </w:rPr>
              <w:t xml:space="preserve"> to 122 in 2018</w:t>
            </w:r>
            <w:r w:rsidR="00F165DA" w:rsidRPr="000F0222">
              <w:rPr>
                <w:sz w:val="22"/>
                <w:szCs w:val="22"/>
                <w:lang w:val="en-GB"/>
              </w:rPr>
              <w:t>, which represents a 26% increase</w:t>
            </w:r>
            <w:r w:rsidR="00D53C88" w:rsidRPr="000F0222">
              <w:rPr>
                <w:sz w:val="22"/>
                <w:szCs w:val="22"/>
                <w:lang w:val="en-GB"/>
              </w:rPr>
              <w:t>.</w:t>
            </w:r>
            <w:r w:rsidR="00020C3B" w:rsidRPr="000F0222">
              <w:rPr>
                <w:sz w:val="22"/>
                <w:szCs w:val="22"/>
                <w:lang w:val="en-GB"/>
              </w:rPr>
              <w:t xml:space="preserve"> The target was not achieved.</w:t>
            </w:r>
            <w:r w:rsidR="00D53C88" w:rsidRPr="000F0222">
              <w:rPr>
                <w:sz w:val="22"/>
                <w:szCs w:val="22"/>
                <w:lang w:val="en-GB"/>
              </w:rPr>
              <w:t xml:space="preserve"> </w:t>
            </w:r>
            <w:r w:rsidR="009058FB" w:rsidRPr="000F0222">
              <w:rPr>
                <w:sz w:val="22"/>
                <w:szCs w:val="22"/>
                <w:lang w:val="en-GB"/>
              </w:rPr>
              <w:t xml:space="preserve"> </w:t>
            </w:r>
          </w:p>
          <w:p w14:paraId="49878596" w14:textId="77777777" w:rsidR="00D53C88" w:rsidRPr="000F0222" w:rsidRDefault="00D53C88" w:rsidP="009058FB">
            <w:pPr>
              <w:rPr>
                <w:sz w:val="22"/>
                <w:szCs w:val="22"/>
                <w:lang w:val="en-GB"/>
              </w:rPr>
            </w:pPr>
          </w:p>
          <w:p w14:paraId="6F1CBA3C" w14:textId="074F19E8" w:rsidR="00D53C88" w:rsidRPr="000F0222" w:rsidRDefault="00D53C88" w:rsidP="009058FB">
            <w:pPr>
              <w:rPr>
                <w:sz w:val="22"/>
                <w:szCs w:val="22"/>
                <w:lang w:val="en-GB"/>
              </w:rPr>
            </w:pPr>
            <w:r w:rsidRPr="000F0222">
              <w:rPr>
                <w:b/>
                <w:sz w:val="22"/>
                <w:szCs w:val="22"/>
                <w:lang w:val="en-GB"/>
              </w:rPr>
              <w:t>Change since MOP</w:t>
            </w:r>
            <w:r w:rsidR="00020C3B" w:rsidRPr="000F0222">
              <w:rPr>
                <w:b/>
                <w:sz w:val="22"/>
                <w:szCs w:val="22"/>
                <w:lang w:val="en-GB"/>
              </w:rPr>
              <w:t>4</w:t>
            </w:r>
            <w:r w:rsidRPr="000F0222">
              <w:rPr>
                <w:b/>
                <w:sz w:val="22"/>
                <w:szCs w:val="22"/>
                <w:lang w:val="en-GB"/>
              </w:rPr>
              <w:t>:</w:t>
            </w:r>
            <w:r w:rsidRPr="000F0222">
              <w:rPr>
                <w:sz w:val="22"/>
                <w:szCs w:val="22"/>
                <w:lang w:val="en-GB"/>
              </w:rPr>
              <w:t xml:space="preserve"> Negative</w:t>
            </w:r>
            <w:r w:rsidR="00020C3B" w:rsidRPr="000F0222">
              <w:rPr>
                <w:sz w:val="22"/>
                <w:szCs w:val="22"/>
                <w:lang w:val="en-GB"/>
              </w:rPr>
              <w:t xml:space="preserve">. There has been a continuous increase in the species listed in category 1 of Column A, starting with 97 in 2008, to 100 in 2012, to 110 in 2015 to 122 in 2018. </w:t>
            </w:r>
          </w:p>
          <w:p w14:paraId="3C217B78" w14:textId="77777777" w:rsidR="009058FB" w:rsidRPr="000F0222" w:rsidRDefault="009058FB" w:rsidP="009058FB">
            <w:pPr>
              <w:rPr>
                <w:sz w:val="22"/>
                <w:szCs w:val="22"/>
                <w:lang w:val="en-GB"/>
              </w:rPr>
            </w:pPr>
          </w:p>
          <w:p w14:paraId="6B8A852E" w14:textId="51AFF3FE" w:rsidR="009058FB" w:rsidRPr="000F0222" w:rsidRDefault="009058FB" w:rsidP="009058FB">
            <w:pPr>
              <w:rPr>
                <w:sz w:val="22"/>
                <w:szCs w:val="22"/>
                <w:lang w:val="en-GB"/>
              </w:rPr>
            </w:pPr>
            <w:r w:rsidRPr="000F0222">
              <w:rPr>
                <w:b/>
                <w:sz w:val="22"/>
                <w:szCs w:val="22"/>
                <w:lang w:val="en-GB"/>
              </w:rPr>
              <w:t xml:space="preserve">Reference: </w:t>
            </w:r>
            <w:r w:rsidR="00020C3B" w:rsidRPr="000F0222">
              <w:rPr>
                <w:b/>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(document AEWA/MOP </w:t>
            </w:r>
            <w:r w:rsidR="00020C3B" w:rsidRPr="000F0222">
              <w:rPr>
                <w:sz w:val="22"/>
                <w:szCs w:val="22"/>
                <w:lang w:val="en-GB"/>
              </w:rPr>
              <w:t>7</w:t>
            </w:r>
            <w:r w:rsidRPr="000F0222">
              <w:rPr>
                <w:sz w:val="22"/>
                <w:szCs w:val="22"/>
                <w:lang w:val="en-GB"/>
              </w:rPr>
              <w:t>.14);</w:t>
            </w:r>
          </w:p>
          <w:p w14:paraId="3C2426B4" w14:textId="1C6C6D04" w:rsidR="009058FB" w:rsidRPr="000F0222" w:rsidRDefault="009058FB" w:rsidP="009058FB">
            <w:pPr>
              <w:rPr>
                <w:sz w:val="22"/>
                <w:szCs w:val="22"/>
                <w:lang w:val="en-GB"/>
              </w:rPr>
            </w:pPr>
            <w:r w:rsidRPr="000F0222">
              <w:rPr>
                <w:sz w:val="22"/>
                <w:szCs w:val="22"/>
                <w:lang w:val="en-GB"/>
              </w:rPr>
              <w:t>Proposals to MOP</w:t>
            </w:r>
            <w:r w:rsidR="00020C3B" w:rsidRPr="000F0222">
              <w:rPr>
                <w:sz w:val="22"/>
                <w:szCs w:val="22"/>
                <w:lang w:val="en-GB"/>
              </w:rPr>
              <w:t>7</w:t>
            </w:r>
            <w:r w:rsidRPr="000F0222">
              <w:rPr>
                <w:sz w:val="22"/>
                <w:szCs w:val="22"/>
                <w:lang w:val="en-GB"/>
              </w:rPr>
              <w:t xml:space="preserve"> for </w:t>
            </w:r>
            <w:r w:rsidR="00D06DE2" w:rsidRPr="000F0222">
              <w:rPr>
                <w:sz w:val="22"/>
                <w:szCs w:val="22"/>
                <w:lang w:val="en-GB"/>
              </w:rPr>
              <w:t>A</w:t>
            </w:r>
            <w:r w:rsidRPr="000F0222">
              <w:rPr>
                <w:sz w:val="22"/>
                <w:szCs w:val="22"/>
                <w:lang w:val="en-GB"/>
              </w:rPr>
              <w:t>mendments to Annex</w:t>
            </w:r>
            <w:r w:rsidR="00D53C88" w:rsidRPr="000F0222">
              <w:rPr>
                <w:sz w:val="22"/>
                <w:szCs w:val="22"/>
                <w:lang w:val="en-GB"/>
              </w:rPr>
              <w:t>es</w:t>
            </w:r>
            <w:r w:rsidRPr="000F0222">
              <w:rPr>
                <w:sz w:val="22"/>
                <w:szCs w:val="22"/>
                <w:lang w:val="en-GB"/>
              </w:rPr>
              <w:t xml:space="preserve"> </w:t>
            </w:r>
            <w:r w:rsidR="00D53C88" w:rsidRPr="000F0222">
              <w:rPr>
                <w:sz w:val="22"/>
                <w:szCs w:val="22"/>
                <w:lang w:val="en-GB"/>
              </w:rPr>
              <w:t xml:space="preserve">2 and </w:t>
            </w:r>
            <w:r w:rsidRPr="000F0222">
              <w:rPr>
                <w:sz w:val="22"/>
                <w:szCs w:val="22"/>
                <w:lang w:val="en-GB"/>
              </w:rPr>
              <w:t xml:space="preserve">3 of AEWA (document AEWA/MOP </w:t>
            </w:r>
            <w:r w:rsidR="00020C3B" w:rsidRPr="000F0222">
              <w:rPr>
                <w:sz w:val="22"/>
                <w:szCs w:val="22"/>
                <w:lang w:val="en-GB"/>
              </w:rPr>
              <w:t>7</w:t>
            </w:r>
            <w:r w:rsidRPr="000F0222">
              <w:rPr>
                <w:sz w:val="22"/>
                <w:szCs w:val="22"/>
                <w:lang w:val="en-GB"/>
              </w:rPr>
              <w:t>.</w:t>
            </w:r>
            <w:r w:rsidR="00020C3B" w:rsidRPr="000F0222">
              <w:rPr>
                <w:sz w:val="22"/>
                <w:szCs w:val="22"/>
                <w:lang w:val="en-GB"/>
              </w:rPr>
              <w:t>19</w:t>
            </w:r>
            <w:r w:rsidRPr="000F0222">
              <w:rPr>
                <w:sz w:val="22"/>
                <w:szCs w:val="22"/>
                <w:lang w:val="en-GB"/>
              </w:rPr>
              <w:t>)</w:t>
            </w:r>
          </w:p>
          <w:p w14:paraId="51ED9DEF" w14:textId="77777777" w:rsidR="009058FB" w:rsidRPr="000F0222" w:rsidRDefault="009058FB" w:rsidP="009058FB">
            <w:pPr>
              <w:rPr>
                <w:sz w:val="22"/>
                <w:szCs w:val="22"/>
                <w:lang w:val="en-GB"/>
              </w:rPr>
            </w:pPr>
          </w:p>
        </w:tc>
      </w:tr>
      <w:tr w:rsidR="009058FB" w:rsidRPr="004779F8" w14:paraId="33EFD508" w14:textId="77777777" w:rsidTr="00006A74">
        <w:trPr>
          <w:trHeight w:val="20"/>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75B8003" w14:textId="77777777" w:rsidR="009058FB" w:rsidRPr="000F0222" w:rsidRDefault="00612F9B" w:rsidP="009058FB">
            <w:pPr>
              <w:rPr>
                <w:sz w:val="22"/>
                <w:szCs w:val="22"/>
                <w:lang w:val="en-GB"/>
              </w:rPr>
            </w:pPr>
            <w:r w:rsidRPr="000F0222">
              <w:rPr>
                <w:noProof/>
                <w:sz w:val="22"/>
                <w:szCs w:val="22"/>
                <w:lang w:val="en-GB"/>
              </w:rPr>
              <w:drawing>
                <wp:inline distT="0" distB="0" distL="0" distR="0" wp14:anchorId="5E2E5047" wp14:editId="31CA9640">
                  <wp:extent cx="1425039" cy="1080654"/>
                  <wp:effectExtent l="0" t="0" r="0" b="0"/>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C4AB0D5" w14:textId="77777777" w:rsidR="009058FB" w:rsidRPr="004779F8" w:rsidRDefault="009058FB" w:rsidP="009058FB">
            <w:pPr>
              <w:rPr>
                <w:b/>
                <w:sz w:val="22"/>
                <w:szCs w:val="22"/>
                <w:lang w:val="en-GB"/>
              </w:rPr>
            </w:pPr>
          </w:p>
          <w:p w14:paraId="486EA8A1" w14:textId="77777777" w:rsidR="009058FB" w:rsidRPr="00613A29" w:rsidRDefault="009058FB" w:rsidP="009058FB">
            <w:pPr>
              <w:rPr>
                <w:b/>
                <w:sz w:val="22"/>
                <w:szCs w:val="22"/>
                <w:lang w:val="en-GB"/>
              </w:rPr>
            </w:pPr>
            <w:r w:rsidRPr="00613A29">
              <w:rPr>
                <w:b/>
                <w:sz w:val="22"/>
                <w:szCs w:val="22"/>
                <w:lang w:val="en-GB"/>
              </w:rPr>
              <w:t>G8: Fewer populations to be listed in Column A (5% reduction)</w:t>
            </w:r>
          </w:p>
          <w:p w14:paraId="58480CBE" w14:textId="77777777" w:rsidR="009058FB" w:rsidRPr="00613A29" w:rsidRDefault="009058FB" w:rsidP="009058FB">
            <w:pPr>
              <w:rPr>
                <w:b/>
                <w:sz w:val="22"/>
                <w:szCs w:val="22"/>
                <w:lang w:val="en-GB"/>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0FDE3A2" w14:textId="47146F1E" w:rsidR="009058FB" w:rsidRPr="000F0222" w:rsidRDefault="00BE70DC" w:rsidP="009058FB">
            <w:pPr>
              <w:rPr>
                <w:sz w:val="22"/>
                <w:szCs w:val="22"/>
                <w:lang w:val="en-GB"/>
              </w:rPr>
            </w:pPr>
            <w:r w:rsidRPr="000F0222">
              <w:rPr>
                <w:sz w:val="22"/>
                <w:szCs w:val="22"/>
                <w:lang w:val="en-GB"/>
              </w:rPr>
              <w:t xml:space="preserve">The number of </w:t>
            </w:r>
            <w:r w:rsidR="00C2609C" w:rsidRPr="000F0222">
              <w:rPr>
                <w:sz w:val="22"/>
                <w:szCs w:val="22"/>
                <w:lang w:val="en-GB"/>
              </w:rPr>
              <w:t>populations listed in Column A has increased from 19</w:t>
            </w:r>
            <w:r w:rsidR="006F395D" w:rsidRPr="000F0222">
              <w:rPr>
                <w:sz w:val="22"/>
                <w:szCs w:val="22"/>
                <w:lang w:val="en-GB"/>
              </w:rPr>
              <w:t>7</w:t>
            </w:r>
            <w:r w:rsidR="00C2609C" w:rsidRPr="000F0222">
              <w:rPr>
                <w:sz w:val="22"/>
                <w:szCs w:val="22"/>
                <w:lang w:val="en-GB"/>
              </w:rPr>
              <w:t xml:space="preserve"> in 2008 to 2</w:t>
            </w:r>
            <w:r w:rsidR="006F395D" w:rsidRPr="000F0222">
              <w:rPr>
                <w:sz w:val="22"/>
                <w:szCs w:val="22"/>
                <w:lang w:val="en-GB"/>
              </w:rPr>
              <w:t>3</w:t>
            </w:r>
            <w:r w:rsidR="00C2609C" w:rsidRPr="000F0222">
              <w:rPr>
                <w:sz w:val="22"/>
                <w:szCs w:val="22"/>
                <w:lang w:val="en-GB"/>
              </w:rPr>
              <w:t xml:space="preserve">4 at present, which represents an increase of </w:t>
            </w:r>
            <w:r w:rsidR="00F165DA" w:rsidRPr="000F0222">
              <w:rPr>
                <w:sz w:val="22"/>
                <w:szCs w:val="22"/>
                <w:lang w:val="en-GB"/>
              </w:rPr>
              <w:t>1</w:t>
            </w:r>
            <w:r w:rsidR="00C2609C" w:rsidRPr="000F0222">
              <w:rPr>
                <w:sz w:val="22"/>
                <w:szCs w:val="22"/>
                <w:lang w:val="en-GB"/>
              </w:rPr>
              <w:t>9%. This increase is a result of lower popula</w:t>
            </w:r>
            <w:r w:rsidR="00006A74" w:rsidRPr="000F0222">
              <w:rPr>
                <w:sz w:val="22"/>
                <w:szCs w:val="22"/>
                <w:lang w:val="en-GB"/>
              </w:rPr>
              <w:t>tion estimates, identified long-</w:t>
            </w:r>
            <w:r w:rsidR="00C2609C" w:rsidRPr="000F0222">
              <w:rPr>
                <w:sz w:val="22"/>
                <w:szCs w:val="22"/>
                <w:lang w:val="en-GB"/>
              </w:rPr>
              <w:t>term decline or up</w:t>
            </w:r>
            <w:r w:rsidR="00821504" w:rsidRPr="000F0222">
              <w:rPr>
                <w:sz w:val="22"/>
                <w:szCs w:val="22"/>
                <w:lang w:val="en-GB"/>
              </w:rPr>
              <w:t>-</w:t>
            </w:r>
            <w:r w:rsidR="00C2609C" w:rsidRPr="000F0222">
              <w:rPr>
                <w:sz w:val="22"/>
                <w:szCs w:val="22"/>
                <w:lang w:val="en-GB"/>
              </w:rPr>
              <w:t xml:space="preserve">listing of species on the IUCN Red List. </w:t>
            </w:r>
            <w:r w:rsidR="00276117" w:rsidRPr="000F0222">
              <w:rPr>
                <w:sz w:val="22"/>
                <w:szCs w:val="22"/>
                <w:lang w:val="en-GB"/>
              </w:rPr>
              <w:t>The target was not achieved</w:t>
            </w:r>
          </w:p>
          <w:p w14:paraId="7712736C" w14:textId="77777777" w:rsidR="00C2609C" w:rsidRPr="000F0222" w:rsidRDefault="00C2609C" w:rsidP="009058FB">
            <w:pPr>
              <w:rPr>
                <w:sz w:val="22"/>
                <w:szCs w:val="22"/>
                <w:lang w:val="en-GB"/>
              </w:rPr>
            </w:pPr>
          </w:p>
          <w:p w14:paraId="19E2F192" w14:textId="75F7A404" w:rsidR="00C2609C" w:rsidRPr="000F0222" w:rsidRDefault="00C2609C" w:rsidP="009058FB">
            <w:pPr>
              <w:rPr>
                <w:sz w:val="22"/>
                <w:szCs w:val="22"/>
                <w:lang w:val="en-GB"/>
              </w:rPr>
            </w:pPr>
            <w:r w:rsidRPr="000F0222">
              <w:rPr>
                <w:b/>
                <w:sz w:val="22"/>
                <w:szCs w:val="22"/>
                <w:lang w:val="en-GB"/>
              </w:rPr>
              <w:t>C</w:t>
            </w:r>
            <w:r w:rsidR="00D152FD" w:rsidRPr="000F0222">
              <w:rPr>
                <w:b/>
                <w:sz w:val="22"/>
                <w:szCs w:val="22"/>
                <w:lang w:val="en-GB"/>
              </w:rPr>
              <w:t>h</w:t>
            </w:r>
            <w:r w:rsidRPr="000F0222">
              <w:rPr>
                <w:b/>
                <w:sz w:val="22"/>
                <w:szCs w:val="22"/>
                <w:lang w:val="en-GB"/>
              </w:rPr>
              <w:t>a</w:t>
            </w:r>
            <w:r w:rsidR="00D152FD" w:rsidRPr="000F0222">
              <w:rPr>
                <w:b/>
                <w:sz w:val="22"/>
                <w:szCs w:val="22"/>
                <w:lang w:val="en-GB"/>
              </w:rPr>
              <w:t>n</w:t>
            </w:r>
            <w:r w:rsidRPr="000F0222">
              <w:rPr>
                <w:b/>
                <w:sz w:val="22"/>
                <w:szCs w:val="22"/>
                <w:lang w:val="en-GB"/>
              </w:rPr>
              <w:t>ge since MOP</w:t>
            </w:r>
            <w:r w:rsidR="00276117" w:rsidRPr="000F0222">
              <w:rPr>
                <w:b/>
                <w:sz w:val="22"/>
                <w:szCs w:val="22"/>
                <w:lang w:val="en-GB"/>
              </w:rPr>
              <w:t>4</w:t>
            </w:r>
            <w:r w:rsidRPr="000F0222">
              <w:rPr>
                <w:b/>
                <w:sz w:val="22"/>
                <w:szCs w:val="22"/>
                <w:lang w:val="en-GB"/>
              </w:rPr>
              <w:t>:</w:t>
            </w:r>
            <w:r w:rsidRPr="000F0222">
              <w:rPr>
                <w:sz w:val="22"/>
                <w:szCs w:val="22"/>
                <w:lang w:val="en-GB"/>
              </w:rPr>
              <w:t xml:space="preserve"> Negative</w:t>
            </w:r>
            <w:r w:rsidR="00276117" w:rsidRPr="000F0222">
              <w:rPr>
                <w:sz w:val="22"/>
                <w:szCs w:val="22"/>
                <w:lang w:val="en-GB"/>
              </w:rPr>
              <w:t>.</w:t>
            </w:r>
            <w:r w:rsidR="00D152FD" w:rsidRPr="000F0222">
              <w:rPr>
                <w:sz w:val="22"/>
                <w:szCs w:val="22"/>
                <w:lang w:val="en-GB"/>
              </w:rPr>
              <w:t xml:space="preserve"> (lowered category of progress – from category </w:t>
            </w:r>
            <w:r w:rsidR="00821504" w:rsidRPr="000F0222">
              <w:rPr>
                <w:i/>
                <w:sz w:val="22"/>
                <w:szCs w:val="22"/>
                <w:lang w:val="en-GB"/>
              </w:rPr>
              <w:t>a</w:t>
            </w:r>
            <w:r w:rsidR="00D152FD" w:rsidRPr="000F0222">
              <w:rPr>
                <w:i/>
                <w:sz w:val="22"/>
                <w:szCs w:val="22"/>
                <w:lang w:val="en-GB"/>
              </w:rPr>
              <w:t>chieved / reached</w:t>
            </w:r>
            <w:r w:rsidR="00D152FD" w:rsidRPr="000F0222">
              <w:rPr>
                <w:sz w:val="22"/>
                <w:szCs w:val="22"/>
                <w:lang w:val="en-GB"/>
              </w:rPr>
              <w:t xml:space="preserve"> to </w:t>
            </w:r>
            <w:r w:rsidR="00821504" w:rsidRPr="000F0222">
              <w:rPr>
                <w:sz w:val="22"/>
                <w:szCs w:val="22"/>
                <w:lang w:val="en-GB"/>
              </w:rPr>
              <w:t>n</w:t>
            </w:r>
            <w:r w:rsidR="00D152FD" w:rsidRPr="000F0222">
              <w:rPr>
                <w:sz w:val="22"/>
                <w:szCs w:val="22"/>
                <w:lang w:val="en-GB"/>
              </w:rPr>
              <w:t xml:space="preserve">ot </w:t>
            </w:r>
            <w:r w:rsidR="00D152FD" w:rsidRPr="000F0222">
              <w:rPr>
                <w:i/>
                <w:sz w:val="22"/>
                <w:szCs w:val="22"/>
                <w:lang w:val="en-GB"/>
              </w:rPr>
              <w:t>achieved / no progress</w:t>
            </w:r>
            <w:r w:rsidR="00D152FD" w:rsidRPr="000F0222">
              <w:rPr>
                <w:sz w:val="22"/>
                <w:szCs w:val="22"/>
                <w:lang w:val="en-GB"/>
              </w:rPr>
              <w:t>)</w:t>
            </w:r>
            <w:r w:rsidRPr="000F0222">
              <w:rPr>
                <w:sz w:val="22"/>
                <w:szCs w:val="22"/>
                <w:lang w:val="en-GB"/>
              </w:rPr>
              <w:t>. While at MOP5 this indicator was reported surpassed (achieved 8% reduction of Column A listed populations), there has been a significant slide into the negative direction for this indicator.</w:t>
            </w:r>
            <w:r w:rsidR="00276117" w:rsidRPr="000F0222">
              <w:rPr>
                <w:sz w:val="22"/>
                <w:szCs w:val="22"/>
                <w:lang w:val="en-GB"/>
              </w:rPr>
              <w:t xml:space="preserve"> The number of populations listed on Column A increased from 197 in 2008 to 214 in 2012, stabilized at the same number in 2015 and increased again to 234 in 2018. </w:t>
            </w:r>
          </w:p>
          <w:p w14:paraId="0B4C5517" w14:textId="069F069A" w:rsidR="00006A74" w:rsidRDefault="00006A74" w:rsidP="009058FB">
            <w:pPr>
              <w:rPr>
                <w:b/>
                <w:sz w:val="22"/>
                <w:szCs w:val="22"/>
                <w:lang w:val="en-GB"/>
              </w:rPr>
            </w:pPr>
          </w:p>
          <w:p w14:paraId="1DCCF4C0" w14:textId="77777777" w:rsidR="00FA6682" w:rsidRPr="000F0222" w:rsidRDefault="00FA6682" w:rsidP="009058FB">
            <w:pPr>
              <w:rPr>
                <w:b/>
                <w:sz w:val="22"/>
                <w:szCs w:val="22"/>
                <w:lang w:val="en-GB"/>
              </w:rPr>
            </w:pPr>
          </w:p>
          <w:p w14:paraId="5C57BE70" w14:textId="4B0538DF" w:rsidR="00E87B18" w:rsidRPr="000F0222" w:rsidRDefault="009058FB" w:rsidP="007A05D5">
            <w:pPr>
              <w:rPr>
                <w:sz w:val="22"/>
                <w:szCs w:val="22"/>
                <w:lang w:val="en-GB"/>
              </w:rPr>
            </w:pPr>
            <w:r w:rsidRPr="000F0222">
              <w:rPr>
                <w:b/>
                <w:sz w:val="22"/>
                <w:szCs w:val="22"/>
                <w:lang w:val="en-GB"/>
              </w:rPr>
              <w:lastRenderedPageBreak/>
              <w:t xml:space="preserve">Reference: </w:t>
            </w:r>
            <w:r w:rsidR="00276117" w:rsidRPr="000F0222">
              <w:rPr>
                <w:b/>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(document AEWA/MOP </w:t>
            </w:r>
            <w:r w:rsidR="00276117" w:rsidRPr="000F0222">
              <w:rPr>
                <w:sz w:val="22"/>
                <w:szCs w:val="22"/>
                <w:lang w:val="en-GB"/>
              </w:rPr>
              <w:t>7</w:t>
            </w:r>
            <w:r w:rsidRPr="000F0222">
              <w:rPr>
                <w:sz w:val="22"/>
                <w:szCs w:val="22"/>
                <w:lang w:val="en-GB"/>
              </w:rPr>
              <w:t>.14)</w:t>
            </w:r>
            <w:r w:rsidR="00EE4B0F">
              <w:rPr>
                <w:sz w:val="22"/>
                <w:szCs w:val="22"/>
                <w:lang w:val="en-GB"/>
              </w:rPr>
              <w:t>;</w:t>
            </w:r>
          </w:p>
          <w:p w14:paraId="1CDF0C84" w14:textId="71ED8B37" w:rsidR="009058FB" w:rsidRPr="000F0222" w:rsidRDefault="009058FB" w:rsidP="000F0222">
            <w:pPr>
              <w:rPr>
                <w:sz w:val="22"/>
                <w:szCs w:val="22"/>
                <w:lang w:val="en-GB"/>
              </w:rPr>
            </w:pPr>
            <w:r w:rsidRPr="000F0222">
              <w:rPr>
                <w:sz w:val="22"/>
                <w:szCs w:val="22"/>
                <w:lang w:val="en-GB"/>
              </w:rPr>
              <w:t>Proposals to MOP</w:t>
            </w:r>
            <w:r w:rsidR="00276117" w:rsidRPr="000F0222">
              <w:rPr>
                <w:sz w:val="22"/>
                <w:szCs w:val="22"/>
                <w:lang w:val="en-GB"/>
              </w:rPr>
              <w:t>7</w:t>
            </w:r>
            <w:r w:rsidRPr="000F0222">
              <w:rPr>
                <w:sz w:val="22"/>
                <w:szCs w:val="22"/>
                <w:lang w:val="en-GB"/>
              </w:rPr>
              <w:t xml:space="preserve"> for amendments to Annex</w:t>
            </w:r>
            <w:r w:rsidR="00C2609C" w:rsidRPr="000F0222">
              <w:rPr>
                <w:sz w:val="22"/>
                <w:szCs w:val="22"/>
                <w:lang w:val="en-GB"/>
              </w:rPr>
              <w:t>es 2 and</w:t>
            </w:r>
            <w:r w:rsidRPr="000F0222">
              <w:rPr>
                <w:sz w:val="22"/>
                <w:szCs w:val="22"/>
                <w:lang w:val="en-GB"/>
              </w:rPr>
              <w:t xml:space="preserve"> 3 of AEWA (document AEWA/MOP</w:t>
            </w:r>
            <w:r w:rsidR="00852729" w:rsidRPr="000F0222">
              <w:rPr>
                <w:sz w:val="22"/>
                <w:szCs w:val="22"/>
                <w:lang w:val="en-GB"/>
              </w:rPr>
              <w:t xml:space="preserve"> </w:t>
            </w:r>
            <w:r w:rsidR="00276117" w:rsidRPr="000F0222">
              <w:rPr>
                <w:sz w:val="22"/>
                <w:szCs w:val="22"/>
                <w:lang w:val="en-GB"/>
              </w:rPr>
              <w:t>7</w:t>
            </w:r>
            <w:r w:rsidRPr="000F0222">
              <w:rPr>
                <w:sz w:val="22"/>
                <w:szCs w:val="22"/>
                <w:lang w:val="en-GB"/>
              </w:rPr>
              <w:t>.</w:t>
            </w:r>
            <w:r w:rsidR="00276117" w:rsidRPr="000F0222">
              <w:rPr>
                <w:sz w:val="22"/>
                <w:szCs w:val="22"/>
                <w:lang w:val="en-GB"/>
              </w:rPr>
              <w:t>19</w:t>
            </w:r>
            <w:r w:rsidRPr="000F0222">
              <w:rPr>
                <w:sz w:val="22"/>
                <w:szCs w:val="22"/>
                <w:lang w:val="en-GB"/>
              </w:rPr>
              <w:t>)</w:t>
            </w:r>
          </w:p>
        </w:tc>
      </w:tr>
    </w:tbl>
    <w:p w14:paraId="084A5A44" w14:textId="77777777" w:rsidR="009058FB" w:rsidRPr="000F0222" w:rsidRDefault="009058FB" w:rsidP="009058FB">
      <w:pPr>
        <w:rPr>
          <w:lang w:val="en-GB"/>
        </w:rPr>
      </w:pP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2376"/>
        <w:gridCol w:w="2835"/>
        <w:gridCol w:w="9639"/>
      </w:tblGrid>
      <w:tr w:rsidR="009058FB" w:rsidRPr="004779F8" w14:paraId="21475713" w14:textId="77777777" w:rsidTr="00CA059A">
        <w:trPr>
          <w:tblHeader/>
        </w:trPr>
        <w:tc>
          <w:tcPr>
            <w:tcW w:w="2376" w:type="dxa"/>
            <w:tcBorders>
              <w:bottom w:val="single" w:sz="48" w:space="0" w:color="FFFFFF" w:themeColor="background1"/>
            </w:tcBorders>
            <w:shd w:val="clear" w:color="auto" w:fill="F2F2F2" w:themeFill="background1" w:themeFillShade="F2"/>
          </w:tcPr>
          <w:p w14:paraId="277585B2" w14:textId="77777777" w:rsidR="009058FB" w:rsidRPr="000F0222" w:rsidRDefault="009058FB" w:rsidP="009058FB">
            <w:pPr>
              <w:rPr>
                <w:b/>
                <w:lang w:val="en-GB"/>
              </w:rPr>
            </w:pPr>
            <w:r w:rsidRPr="000F0222">
              <w:rPr>
                <w:b/>
                <w:lang w:val="en-GB"/>
              </w:rPr>
              <w:t>Progress</w:t>
            </w:r>
          </w:p>
        </w:tc>
        <w:tc>
          <w:tcPr>
            <w:tcW w:w="2835" w:type="dxa"/>
            <w:tcBorders>
              <w:bottom w:val="single" w:sz="48" w:space="0" w:color="FFFFFF" w:themeColor="background1"/>
            </w:tcBorders>
            <w:shd w:val="clear" w:color="auto" w:fill="F2F2F2" w:themeFill="background1" w:themeFillShade="F2"/>
          </w:tcPr>
          <w:p w14:paraId="6296D0D5" w14:textId="77777777" w:rsidR="009058FB" w:rsidRPr="000F0222" w:rsidRDefault="009058FB" w:rsidP="009058FB">
            <w:pPr>
              <w:rPr>
                <w:b/>
                <w:lang w:val="en-GB"/>
              </w:rPr>
            </w:pPr>
            <w:r w:rsidRPr="000F0222">
              <w:rPr>
                <w:b/>
                <w:lang w:val="en-GB"/>
              </w:rPr>
              <w:t xml:space="preserve">Indicator </w:t>
            </w:r>
          </w:p>
          <w:p w14:paraId="4ED66D0B" w14:textId="77777777" w:rsidR="009058FB" w:rsidRPr="000F0222" w:rsidRDefault="009058FB" w:rsidP="009058FB">
            <w:pPr>
              <w:rPr>
                <w:b/>
                <w:lang w:val="en-GB"/>
              </w:rPr>
            </w:pPr>
            <w:r w:rsidRPr="000F0222">
              <w:rPr>
                <w:b/>
                <w:lang w:val="en-GB"/>
              </w:rPr>
              <w:t>(at the national level)</w:t>
            </w:r>
          </w:p>
        </w:tc>
        <w:tc>
          <w:tcPr>
            <w:tcW w:w="9639" w:type="dxa"/>
            <w:tcBorders>
              <w:bottom w:val="single" w:sz="48" w:space="0" w:color="FFFFFF" w:themeColor="background1"/>
            </w:tcBorders>
            <w:shd w:val="clear" w:color="auto" w:fill="F2F2F2" w:themeFill="background1" w:themeFillShade="F2"/>
          </w:tcPr>
          <w:p w14:paraId="13222DE5" w14:textId="77777777" w:rsidR="009058FB" w:rsidRPr="000F0222" w:rsidRDefault="009058FB" w:rsidP="009058FB">
            <w:pPr>
              <w:rPr>
                <w:b/>
                <w:lang w:val="en-GB"/>
              </w:rPr>
            </w:pPr>
            <w:r w:rsidRPr="000F0222">
              <w:rPr>
                <w:b/>
                <w:lang w:val="en-GB"/>
              </w:rPr>
              <w:t>Summary and reference</w:t>
            </w:r>
          </w:p>
        </w:tc>
      </w:tr>
      <w:tr w:rsidR="009058FB" w:rsidRPr="004779F8" w14:paraId="567D4F55" w14:textId="77777777" w:rsidTr="009B6A3A">
        <w:trPr>
          <w:trHeight w:val="1701"/>
        </w:trPr>
        <w:tc>
          <w:tcPr>
            <w:tcW w:w="2376" w:type="dxa"/>
            <w:tcBorders>
              <w:bottom w:val="single" w:sz="48" w:space="0" w:color="FFFFFF" w:themeColor="background1"/>
            </w:tcBorders>
            <w:shd w:val="clear" w:color="auto" w:fill="A6A6A6" w:themeFill="background1" w:themeFillShade="A6"/>
          </w:tcPr>
          <w:p w14:paraId="48E4462C" w14:textId="77777777" w:rsidR="009058FB" w:rsidRPr="000F0222" w:rsidRDefault="00CA059A" w:rsidP="009058FB">
            <w:pPr>
              <w:rPr>
                <w:sz w:val="22"/>
                <w:szCs w:val="22"/>
                <w:lang w:val="en-GB"/>
              </w:rPr>
            </w:pPr>
            <w:r w:rsidRPr="000F0222">
              <w:rPr>
                <w:noProof/>
                <w:sz w:val="22"/>
                <w:szCs w:val="22"/>
                <w:lang w:val="en-GB"/>
              </w:rPr>
              <w:drawing>
                <wp:inline distT="0" distB="0" distL="0" distR="0" wp14:anchorId="43F2E2A7" wp14:editId="57EDEC7F">
                  <wp:extent cx="1425039" cy="1068779"/>
                  <wp:effectExtent l="0" t="0" r="0" b="0"/>
                  <wp:docPr id="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2835" w:type="dxa"/>
            <w:tcBorders>
              <w:bottom w:val="single" w:sz="48" w:space="0" w:color="FFFFFF" w:themeColor="background1"/>
            </w:tcBorders>
            <w:shd w:val="clear" w:color="auto" w:fill="A6A6A6" w:themeFill="background1" w:themeFillShade="A6"/>
          </w:tcPr>
          <w:p w14:paraId="7864F0C1" w14:textId="77777777" w:rsidR="009058FB" w:rsidRPr="004779F8" w:rsidRDefault="009058FB" w:rsidP="009058FB">
            <w:pPr>
              <w:rPr>
                <w:b/>
                <w:sz w:val="22"/>
                <w:szCs w:val="22"/>
                <w:lang w:val="en-GB"/>
              </w:rPr>
            </w:pPr>
          </w:p>
          <w:p w14:paraId="53751618" w14:textId="77777777" w:rsidR="009058FB" w:rsidRPr="008C5535" w:rsidRDefault="009058FB" w:rsidP="009058FB">
            <w:pPr>
              <w:rPr>
                <w:b/>
                <w:sz w:val="22"/>
                <w:szCs w:val="22"/>
                <w:lang w:val="en-GB"/>
              </w:rPr>
            </w:pPr>
            <w:r w:rsidRPr="00613A29">
              <w:rPr>
                <w:b/>
                <w:sz w:val="22"/>
                <w:szCs w:val="22"/>
                <w:lang w:val="en-GB"/>
              </w:rPr>
              <w:t xml:space="preserve">G9: No AEWA </w:t>
            </w:r>
            <w:proofErr w:type="spellStart"/>
            <w:r w:rsidRPr="00613A29">
              <w:rPr>
                <w:b/>
                <w:sz w:val="22"/>
                <w:szCs w:val="22"/>
                <w:lang w:val="en-GB"/>
              </w:rPr>
              <w:t>waterbird</w:t>
            </w:r>
            <w:proofErr w:type="spellEnd"/>
            <w:r w:rsidRPr="00613A29">
              <w:rPr>
                <w:b/>
                <w:sz w:val="22"/>
                <w:szCs w:val="22"/>
                <w:lang w:val="en-GB"/>
              </w:rPr>
              <w:t xml:space="preserve"> population has gone extinct as a breeding, migrating, or wintering (whichever is applicable) species in any CPs territory</w:t>
            </w:r>
          </w:p>
          <w:p w14:paraId="4DDD8BD5" w14:textId="77777777" w:rsidR="009058FB" w:rsidRPr="00E4475D" w:rsidRDefault="009058FB" w:rsidP="009058FB">
            <w:pPr>
              <w:rPr>
                <w:b/>
                <w:sz w:val="22"/>
                <w:szCs w:val="22"/>
                <w:lang w:val="en-GB"/>
              </w:rPr>
            </w:pPr>
          </w:p>
        </w:tc>
        <w:tc>
          <w:tcPr>
            <w:tcW w:w="9639" w:type="dxa"/>
            <w:tcBorders>
              <w:bottom w:val="single" w:sz="48" w:space="0" w:color="FFFFFF" w:themeColor="background1"/>
            </w:tcBorders>
            <w:shd w:val="clear" w:color="auto" w:fill="A6A6A6" w:themeFill="background1" w:themeFillShade="A6"/>
          </w:tcPr>
          <w:p w14:paraId="069B105B" w14:textId="1492E3F5" w:rsidR="00612F9B" w:rsidRPr="000F0222" w:rsidRDefault="00612F9B" w:rsidP="00612F9B">
            <w:pPr>
              <w:rPr>
                <w:sz w:val="22"/>
                <w:szCs w:val="22"/>
                <w:lang w:val="en-GB"/>
              </w:rPr>
            </w:pPr>
          </w:p>
          <w:p w14:paraId="05CF3034" w14:textId="3C458E36" w:rsidR="009058FB" w:rsidRPr="000F0222" w:rsidRDefault="00612F9B" w:rsidP="00612F9B">
            <w:pPr>
              <w:rPr>
                <w:sz w:val="22"/>
                <w:szCs w:val="22"/>
                <w:lang w:val="en-GB"/>
              </w:rPr>
            </w:pPr>
            <w:r w:rsidRPr="000F0222">
              <w:rPr>
                <w:sz w:val="22"/>
                <w:szCs w:val="22"/>
                <w:lang w:val="en-GB"/>
              </w:rPr>
              <w:t>Not assessed</w:t>
            </w:r>
            <w:r w:rsidR="00CA059A" w:rsidRPr="000F0222">
              <w:rPr>
                <w:sz w:val="22"/>
                <w:szCs w:val="22"/>
                <w:lang w:val="en-GB"/>
              </w:rPr>
              <w:t xml:space="preserve"> (no national reporting on population status to MOP6</w:t>
            </w:r>
            <w:r w:rsidR="004170B3" w:rsidRPr="000F0222">
              <w:rPr>
                <w:sz w:val="22"/>
                <w:szCs w:val="22"/>
                <w:lang w:val="en-GB"/>
              </w:rPr>
              <w:t xml:space="preserve"> and MOP7</w:t>
            </w:r>
            <w:r w:rsidR="00CA059A" w:rsidRPr="000F0222">
              <w:rPr>
                <w:sz w:val="22"/>
                <w:szCs w:val="22"/>
                <w:lang w:val="en-GB"/>
              </w:rPr>
              <w:t>)</w:t>
            </w:r>
            <w:r w:rsidR="009058FB" w:rsidRPr="000F0222">
              <w:rPr>
                <w:sz w:val="22"/>
                <w:szCs w:val="22"/>
                <w:lang w:val="en-GB"/>
              </w:rPr>
              <w:t xml:space="preserve">. </w:t>
            </w:r>
          </w:p>
          <w:p w14:paraId="7878F6C1" w14:textId="77777777" w:rsidR="009058FB" w:rsidRPr="000F0222" w:rsidRDefault="009058FB" w:rsidP="009058FB">
            <w:pPr>
              <w:rPr>
                <w:sz w:val="22"/>
                <w:szCs w:val="22"/>
                <w:lang w:val="en-GB"/>
              </w:rPr>
            </w:pPr>
          </w:p>
          <w:p w14:paraId="539F4F56" w14:textId="2238A8E5" w:rsidR="00612F9B" w:rsidRPr="000F0222" w:rsidRDefault="00612F9B" w:rsidP="009058FB">
            <w:pPr>
              <w:rPr>
                <w:sz w:val="22"/>
                <w:szCs w:val="22"/>
                <w:lang w:val="en-GB"/>
              </w:rPr>
            </w:pPr>
            <w:r w:rsidRPr="000F0222">
              <w:rPr>
                <w:b/>
                <w:sz w:val="22"/>
                <w:szCs w:val="22"/>
                <w:lang w:val="en-GB"/>
              </w:rPr>
              <w:t>Change since MOP</w:t>
            </w:r>
            <w:r w:rsidR="004170B3" w:rsidRPr="000F0222">
              <w:rPr>
                <w:b/>
                <w:sz w:val="22"/>
                <w:szCs w:val="22"/>
                <w:lang w:val="en-GB"/>
              </w:rPr>
              <w:t>4</w:t>
            </w:r>
            <w:r w:rsidRPr="000F0222">
              <w:rPr>
                <w:b/>
                <w:sz w:val="22"/>
                <w:szCs w:val="22"/>
                <w:lang w:val="en-GB"/>
              </w:rPr>
              <w:t>:</w:t>
            </w:r>
            <w:r w:rsidRPr="000F0222">
              <w:rPr>
                <w:sz w:val="22"/>
                <w:szCs w:val="22"/>
                <w:lang w:val="en-GB"/>
              </w:rPr>
              <w:t xml:space="preserve"> </w:t>
            </w:r>
            <w:r w:rsidR="004170B3" w:rsidRPr="000F0222">
              <w:rPr>
                <w:sz w:val="22"/>
                <w:szCs w:val="22"/>
                <w:lang w:val="en-GB"/>
              </w:rPr>
              <w:t>Recent change u</w:t>
            </w:r>
            <w:r w:rsidRPr="000F0222">
              <w:rPr>
                <w:sz w:val="22"/>
                <w:szCs w:val="22"/>
                <w:lang w:val="en-GB"/>
              </w:rPr>
              <w:t xml:space="preserve">nknown. </w:t>
            </w:r>
            <w:r w:rsidR="00CA059A" w:rsidRPr="000F0222">
              <w:rPr>
                <w:sz w:val="22"/>
                <w:szCs w:val="22"/>
                <w:lang w:val="en-GB"/>
              </w:rPr>
              <w:t>At MOP5 e</w:t>
            </w:r>
            <w:r w:rsidRPr="000F0222">
              <w:rPr>
                <w:sz w:val="22"/>
                <w:szCs w:val="22"/>
                <w:lang w:val="en-GB"/>
              </w:rPr>
              <w:t xml:space="preserve">ight Contracting Parties </w:t>
            </w:r>
            <w:r w:rsidR="00CA059A" w:rsidRPr="000F0222">
              <w:rPr>
                <w:sz w:val="22"/>
                <w:szCs w:val="22"/>
                <w:lang w:val="en-GB"/>
              </w:rPr>
              <w:t xml:space="preserve">(CPs) </w:t>
            </w:r>
            <w:r w:rsidRPr="000F0222">
              <w:rPr>
                <w:sz w:val="22"/>
                <w:szCs w:val="22"/>
                <w:lang w:val="en-GB"/>
              </w:rPr>
              <w:t>reported extinctions of breeding populations involving 19 species. These extinctions range from 1% to 9% of the species reported as breeding within the respective CPs. Some of these extinctions are however based on population assessments from the early 2000s.</w:t>
            </w:r>
          </w:p>
          <w:p w14:paraId="49979008" w14:textId="77777777" w:rsidR="009058FB" w:rsidRPr="000F0222" w:rsidRDefault="009058FB" w:rsidP="009058FB">
            <w:pPr>
              <w:rPr>
                <w:sz w:val="22"/>
                <w:szCs w:val="22"/>
                <w:lang w:val="en-GB"/>
              </w:rPr>
            </w:pPr>
          </w:p>
        </w:tc>
      </w:tr>
      <w:tr w:rsidR="009058FB" w:rsidRPr="004779F8" w14:paraId="582B0CD7" w14:textId="77777777" w:rsidTr="00CA059A">
        <w:trPr>
          <w:trHeight w:val="1701"/>
        </w:trPr>
        <w:tc>
          <w:tcPr>
            <w:tcW w:w="2376" w:type="dxa"/>
            <w:tcBorders>
              <w:bottom w:val="single" w:sz="48" w:space="0" w:color="FFFFFF" w:themeColor="background1"/>
            </w:tcBorders>
            <w:shd w:val="clear" w:color="auto" w:fill="A6A6A6" w:themeFill="background1" w:themeFillShade="A6"/>
          </w:tcPr>
          <w:p w14:paraId="20595436" w14:textId="77777777" w:rsidR="009058FB" w:rsidRPr="000F0222" w:rsidRDefault="009058FB" w:rsidP="009058FB">
            <w:pPr>
              <w:rPr>
                <w:sz w:val="22"/>
                <w:szCs w:val="22"/>
                <w:lang w:val="en-GB"/>
              </w:rPr>
            </w:pPr>
            <w:r w:rsidRPr="000F0222">
              <w:rPr>
                <w:noProof/>
                <w:sz w:val="22"/>
                <w:szCs w:val="22"/>
                <w:lang w:val="en-GB"/>
              </w:rPr>
              <w:drawing>
                <wp:inline distT="0" distB="0" distL="0" distR="0" wp14:anchorId="5D969715" wp14:editId="752EDD63">
                  <wp:extent cx="1425039" cy="1068779"/>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2835" w:type="dxa"/>
            <w:tcBorders>
              <w:bottom w:val="single" w:sz="48" w:space="0" w:color="FFFFFF" w:themeColor="background1"/>
            </w:tcBorders>
            <w:shd w:val="clear" w:color="auto" w:fill="A6A6A6" w:themeFill="background1" w:themeFillShade="A6"/>
          </w:tcPr>
          <w:p w14:paraId="1E00576A" w14:textId="77777777" w:rsidR="009058FB" w:rsidRPr="004779F8" w:rsidRDefault="009058FB" w:rsidP="009058FB">
            <w:pPr>
              <w:rPr>
                <w:b/>
                <w:sz w:val="22"/>
                <w:szCs w:val="22"/>
                <w:lang w:val="en-GB"/>
              </w:rPr>
            </w:pPr>
          </w:p>
          <w:p w14:paraId="0E262F0A" w14:textId="77777777" w:rsidR="009058FB" w:rsidRPr="00613A29" w:rsidRDefault="009058FB" w:rsidP="009058FB">
            <w:pPr>
              <w:rPr>
                <w:b/>
                <w:sz w:val="22"/>
                <w:szCs w:val="22"/>
                <w:lang w:val="en-GB"/>
              </w:rPr>
            </w:pPr>
            <w:r w:rsidRPr="00613A29">
              <w:rPr>
                <w:b/>
                <w:sz w:val="22"/>
                <w:szCs w:val="22"/>
                <w:lang w:val="en-GB"/>
              </w:rPr>
              <w:t xml:space="preserve">G10: Current favourable status of AEWA </w:t>
            </w:r>
            <w:proofErr w:type="spellStart"/>
            <w:r w:rsidRPr="00613A29">
              <w:rPr>
                <w:b/>
                <w:sz w:val="22"/>
                <w:szCs w:val="22"/>
                <w:lang w:val="en-GB"/>
              </w:rPr>
              <w:t>waterbirds</w:t>
            </w:r>
            <w:proofErr w:type="spellEnd"/>
            <w:r w:rsidRPr="00613A29">
              <w:rPr>
                <w:b/>
                <w:sz w:val="22"/>
                <w:szCs w:val="22"/>
                <w:lang w:val="en-GB"/>
              </w:rPr>
              <w:t>, as breeding, migrating or wintering species, within any CPs has been retained</w:t>
            </w:r>
          </w:p>
          <w:p w14:paraId="69E74894" w14:textId="77777777" w:rsidR="009058FB" w:rsidRPr="008C5535" w:rsidRDefault="009058FB" w:rsidP="009058FB">
            <w:pPr>
              <w:rPr>
                <w:b/>
                <w:sz w:val="22"/>
                <w:szCs w:val="22"/>
                <w:lang w:val="en-GB"/>
              </w:rPr>
            </w:pPr>
          </w:p>
        </w:tc>
        <w:tc>
          <w:tcPr>
            <w:tcW w:w="9639" w:type="dxa"/>
            <w:tcBorders>
              <w:bottom w:val="single" w:sz="48" w:space="0" w:color="FFFFFF" w:themeColor="background1"/>
            </w:tcBorders>
            <w:shd w:val="clear" w:color="auto" w:fill="A6A6A6" w:themeFill="background1" w:themeFillShade="A6"/>
          </w:tcPr>
          <w:p w14:paraId="68D84D93" w14:textId="77777777" w:rsidR="009058FB" w:rsidRPr="000F0222" w:rsidRDefault="009058FB" w:rsidP="009058FB">
            <w:pPr>
              <w:rPr>
                <w:sz w:val="22"/>
                <w:szCs w:val="22"/>
                <w:lang w:val="en-GB"/>
              </w:rPr>
            </w:pPr>
          </w:p>
          <w:p w14:paraId="4D24EB40" w14:textId="4E575D19" w:rsidR="009058FB" w:rsidRPr="000F0222" w:rsidRDefault="009058FB" w:rsidP="009058FB">
            <w:pPr>
              <w:rPr>
                <w:sz w:val="22"/>
                <w:szCs w:val="22"/>
                <w:lang w:val="en-GB"/>
              </w:rPr>
            </w:pPr>
            <w:r w:rsidRPr="000F0222">
              <w:rPr>
                <w:sz w:val="22"/>
                <w:szCs w:val="22"/>
                <w:lang w:val="en-GB"/>
              </w:rPr>
              <w:t>Not assessed</w:t>
            </w:r>
            <w:r w:rsidR="00CA059A" w:rsidRPr="000F0222">
              <w:rPr>
                <w:sz w:val="22"/>
                <w:szCs w:val="22"/>
                <w:lang w:val="en-GB"/>
              </w:rPr>
              <w:t xml:space="preserve"> (no national reporting on population status to MOP6</w:t>
            </w:r>
            <w:r w:rsidR="004170B3" w:rsidRPr="000F0222">
              <w:rPr>
                <w:sz w:val="22"/>
                <w:szCs w:val="22"/>
                <w:lang w:val="en-GB"/>
              </w:rPr>
              <w:t xml:space="preserve"> and MOP7</w:t>
            </w:r>
            <w:r w:rsidR="00CA059A" w:rsidRPr="000F0222">
              <w:rPr>
                <w:sz w:val="22"/>
                <w:szCs w:val="22"/>
                <w:lang w:val="en-GB"/>
              </w:rPr>
              <w:t>)</w:t>
            </w:r>
            <w:r w:rsidRPr="000F0222">
              <w:rPr>
                <w:sz w:val="22"/>
                <w:szCs w:val="22"/>
                <w:lang w:val="en-GB"/>
              </w:rPr>
              <w:t>.</w:t>
            </w:r>
          </w:p>
          <w:p w14:paraId="1C61D0D7" w14:textId="77777777" w:rsidR="004B72CA" w:rsidRPr="000F0222" w:rsidRDefault="004B72CA" w:rsidP="009058FB">
            <w:pPr>
              <w:rPr>
                <w:sz w:val="22"/>
                <w:szCs w:val="22"/>
                <w:lang w:val="en-GB"/>
              </w:rPr>
            </w:pPr>
          </w:p>
          <w:p w14:paraId="6F9592BB" w14:textId="601DC2F7" w:rsidR="004B72CA" w:rsidRPr="000F0222" w:rsidRDefault="004B72CA" w:rsidP="009058FB">
            <w:pPr>
              <w:rPr>
                <w:sz w:val="22"/>
                <w:szCs w:val="22"/>
                <w:lang w:val="en-GB"/>
              </w:rPr>
            </w:pPr>
            <w:r w:rsidRPr="000F0222">
              <w:rPr>
                <w:b/>
                <w:sz w:val="22"/>
                <w:szCs w:val="22"/>
                <w:lang w:val="en-GB"/>
              </w:rPr>
              <w:t>Change since MOP</w:t>
            </w:r>
            <w:r w:rsidR="004170B3" w:rsidRPr="000F0222">
              <w:rPr>
                <w:b/>
                <w:sz w:val="22"/>
                <w:szCs w:val="22"/>
                <w:lang w:val="en-GB"/>
              </w:rPr>
              <w:t>4</w:t>
            </w:r>
            <w:r w:rsidRPr="000F0222">
              <w:rPr>
                <w:b/>
                <w:sz w:val="22"/>
                <w:szCs w:val="22"/>
                <w:lang w:val="en-GB"/>
              </w:rPr>
              <w:t>:</w:t>
            </w:r>
            <w:r w:rsidRPr="000F0222">
              <w:rPr>
                <w:sz w:val="22"/>
                <w:szCs w:val="22"/>
                <w:lang w:val="en-GB"/>
              </w:rPr>
              <w:t xml:space="preserve"> </w:t>
            </w:r>
            <w:r w:rsidR="004170B3" w:rsidRPr="000F0222">
              <w:rPr>
                <w:sz w:val="22"/>
                <w:szCs w:val="22"/>
                <w:lang w:val="en-GB"/>
              </w:rPr>
              <w:t>Unknown</w:t>
            </w:r>
            <w:r w:rsidRPr="000F0222">
              <w:rPr>
                <w:sz w:val="22"/>
                <w:szCs w:val="22"/>
                <w:lang w:val="en-GB"/>
              </w:rPr>
              <w:t>.</w:t>
            </w:r>
          </w:p>
        </w:tc>
      </w:tr>
      <w:tr w:rsidR="009058FB" w:rsidRPr="004779F8" w14:paraId="07C44812" w14:textId="77777777" w:rsidTr="00CA059A">
        <w:trPr>
          <w:trHeight w:val="589"/>
        </w:trPr>
        <w:tc>
          <w:tcPr>
            <w:tcW w:w="2376" w:type="dxa"/>
            <w:tcBorders>
              <w:bottom w:val="single" w:sz="48" w:space="0" w:color="FFFFFF" w:themeColor="background1"/>
            </w:tcBorders>
            <w:shd w:val="clear" w:color="auto" w:fill="A6A6A6" w:themeFill="background1" w:themeFillShade="A6"/>
          </w:tcPr>
          <w:p w14:paraId="06986628" w14:textId="77777777" w:rsidR="009058FB" w:rsidRPr="000F0222" w:rsidRDefault="00CA059A" w:rsidP="009058FB">
            <w:pPr>
              <w:rPr>
                <w:sz w:val="22"/>
                <w:szCs w:val="22"/>
                <w:lang w:val="en-GB"/>
              </w:rPr>
            </w:pPr>
            <w:r w:rsidRPr="000F0222">
              <w:rPr>
                <w:noProof/>
                <w:sz w:val="22"/>
                <w:szCs w:val="22"/>
                <w:lang w:val="en-GB"/>
              </w:rPr>
              <w:drawing>
                <wp:inline distT="0" distB="0" distL="0" distR="0" wp14:anchorId="21F01A39" wp14:editId="132ACEE8">
                  <wp:extent cx="1425039" cy="1068779"/>
                  <wp:effectExtent l="0" t="0" r="0" b="0"/>
                  <wp:docPr id="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835" w:type="dxa"/>
            <w:tcBorders>
              <w:bottom w:val="single" w:sz="48" w:space="0" w:color="FFFFFF" w:themeColor="background1"/>
            </w:tcBorders>
            <w:shd w:val="clear" w:color="auto" w:fill="A6A6A6" w:themeFill="background1" w:themeFillShade="A6"/>
          </w:tcPr>
          <w:p w14:paraId="1F93BC0A" w14:textId="77777777" w:rsidR="009058FB" w:rsidRPr="004779F8" w:rsidRDefault="009058FB" w:rsidP="009058FB">
            <w:pPr>
              <w:rPr>
                <w:b/>
                <w:sz w:val="22"/>
                <w:szCs w:val="22"/>
                <w:lang w:val="en-GB"/>
              </w:rPr>
            </w:pPr>
          </w:p>
          <w:p w14:paraId="01A18542" w14:textId="77777777" w:rsidR="009058FB" w:rsidRPr="00613A29" w:rsidRDefault="009058FB" w:rsidP="009058FB">
            <w:pPr>
              <w:rPr>
                <w:b/>
                <w:sz w:val="22"/>
                <w:szCs w:val="22"/>
                <w:lang w:val="en-GB"/>
              </w:rPr>
            </w:pPr>
            <w:r w:rsidRPr="00613A29">
              <w:rPr>
                <w:b/>
                <w:sz w:val="22"/>
                <w:szCs w:val="22"/>
                <w:lang w:val="en-GB"/>
              </w:rPr>
              <w:t xml:space="preserve">G11: At least 75% of AEWA </w:t>
            </w:r>
            <w:proofErr w:type="spellStart"/>
            <w:r w:rsidRPr="00613A29">
              <w:rPr>
                <w:b/>
                <w:sz w:val="22"/>
                <w:szCs w:val="22"/>
                <w:lang w:val="en-GB"/>
              </w:rPr>
              <w:t>waterbird</w:t>
            </w:r>
            <w:proofErr w:type="spellEnd"/>
            <w:r w:rsidRPr="00613A29">
              <w:rPr>
                <w:b/>
                <w:sz w:val="22"/>
                <w:szCs w:val="22"/>
                <w:lang w:val="en-GB"/>
              </w:rPr>
              <w:t xml:space="preserve"> species occurring in any CP have a positive trend (stable or growing)</w:t>
            </w:r>
          </w:p>
          <w:p w14:paraId="2C81DC3E" w14:textId="77777777" w:rsidR="009058FB" w:rsidRPr="008C5535" w:rsidRDefault="009058FB" w:rsidP="009058FB">
            <w:pPr>
              <w:rPr>
                <w:b/>
                <w:sz w:val="22"/>
                <w:szCs w:val="22"/>
                <w:lang w:val="en-GB"/>
              </w:rPr>
            </w:pPr>
          </w:p>
        </w:tc>
        <w:tc>
          <w:tcPr>
            <w:tcW w:w="9639" w:type="dxa"/>
            <w:tcBorders>
              <w:bottom w:val="single" w:sz="48" w:space="0" w:color="FFFFFF" w:themeColor="background1"/>
            </w:tcBorders>
            <w:shd w:val="clear" w:color="auto" w:fill="A6A6A6" w:themeFill="background1" w:themeFillShade="A6"/>
          </w:tcPr>
          <w:p w14:paraId="220F90F7" w14:textId="62158CE7" w:rsidR="009058FB" w:rsidRPr="000F0222" w:rsidRDefault="00CA059A" w:rsidP="009058FB">
            <w:pPr>
              <w:rPr>
                <w:sz w:val="22"/>
                <w:szCs w:val="22"/>
                <w:lang w:val="en-GB"/>
              </w:rPr>
            </w:pPr>
            <w:r w:rsidRPr="000F0222">
              <w:rPr>
                <w:sz w:val="22"/>
                <w:szCs w:val="22"/>
                <w:lang w:val="en-GB"/>
              </w:rPr>
              <w:t>Not assessed (no national reporting on population status to MOP6</w:t>
            </w:r>
            <w:r w:rsidR="004170B3" w:rsidRPr="000F0222">
              <w:rPr>
                <w:sz w:val="22"/>
                <w:szCs w:val="22"/>
                <w:lang w:val="en-GB"/>
              </w:rPr>
              <w:t xml:space="preserve"> and MOP7</w:t>
            </w:r>
            <w:r w:rsidRPr="000F0222">
              <w:rPr>
                <w:sz w:val="22"/>
                <w:szCs w:val="22"/>
                <w:lang w:val="en-GB"/>
              </w:rPr>
              <w:t>).</w:t>
            </w:r>
          </w:p>
          <w:p w14:paraId="6560C49C" w14:textId="77777777" w:rsidR="006D4911" w:rsidRPr="000F0222" w:rsidRDefault="006D4911" w:rsidP="00CA059A">
            <w:pPr>
              <w:rPr>
                <w:b/>
                <w:sz w:val="22"/>
                <w:szCs w:val="22"/>
                <w:lang w:val="en-GB"/>
              </w:rPr>
            </w:pPr>
          </w:p>
          <w:p w14:paraId="4A391E79" w14:textId="63F2F4CF" w:rsidR="00CA059A" w:rsidRPr="000F0222" w:rsidRDefault="00CA059A" w:rsidP="00CA059A">
            <w:pPr>
              <w:rPr>
                <w:sz w:val="22"/>
                <w:szCs w:val="22"/>
                <w:lang w:val="en-GB"/>
              </w:rPr>
            </w:pPr>
            <w:r w:rsidRPr="000F0222">
              <w:rPr>
                <w:b/>
                <w:sz w:val="22"/>
                <w:szCs w:val="22"/>
                <w:lang w:val="en-GB"/>
              </w:rPr>
              <w:t>Change since MOP</w:t>
            </w:r>
            <w:r w:rsidR="004170B3" w:rsidRPr="000F0222">
              <w:rPr>
                <w:b/>
                <w:sz w:val="22"/>
                <w:szCs w:val="22"/>
                <w:lang w:val="en-GB"/>
              </w:rPr>
              <w:t>4</w:t>
            </w:r>
            <w:r w:rsidRPr="000F0222">
              <w:rPr>
                <w:b/>
                <w:sz w:val="22"/>
                <w:szCs w:val="22"/>
                <w:lang w:val="en-GB"/>
              </w:rPr>
              <w:t>:</w:t>
            </w:r>
            <w:r w:rsidRPr="000F0222">
              <w:rPr>
                <w:sz w:val="22"/>
                <w:szCs w:val="22"/>
                <w:lang w:val="en-GB"/>
              </w:rPr>
              <w:t xml:space="preserve"> </w:t>
            </w:r>
            <w:r w:rsidR="004170B3" w:rsidRPr="000F0222">
              <w:rPr>
                <w:sz w:val="22"/>
                <w:szCs w:val="22"/>
                <w:lang w:val="en-GB"/>
              </w:rPr>
              <w:t>Recent change u</w:t>
            </w:r>
            <w:r w:rsidRPr="000F0222">
              <w:rPr>
                <w:sz w:val="22"/>
                <w:szCs w:val="22"/>
                <w:lang w:val="en-GB"/>
              </w:rPr>
              <w:t xml:space="preserve">nknown. At MOP5 only four Contracting Parties (CPs) (7% of the CPs) reported 75% or more of their breeding populations </w:t>
            </w:r>
            <w:r w:rsidR="00821504" w:rsidRPr="000F0222">
              <w:rPr>
                <w:sz w:val="22"/>
                <w:szCs w:val="22"/>
                <w:lang w:val="en-GB"/>
              </w:rPr>
              <w:t>with a</w:t>
            </w:r>
            <w:r w:rsidRPr="000F0222">
              <w:rPr>
                <w:sz w:val="22"/>
                <w:szCs w:val="22"/>
                <w:lang w:val="en-GB"/>
              </w:rPr>
              <w:t xml:space="preserve"> positive trend with another 12 CPs (19% of the CPs) approaching the target (50-75%). In 21 CPs (34% of the CPs) the proportion is below 50% and for the rest of the parties no information is available.</w:t>
            </w:r>
          </w:p>
          <w:p w14:paraId="6226DB9F" w14:textId="77777777" w:rsidR="009058FB" w:rsidRPr="000F0222" w:rsidRDefault="009058FB" w:rsidP="009058FB">
            <w:pPr>
              <w:rPr>
                <w:sz w:val="22"/>
                <w:szCs w:val="22"/>
                <w:lang w:val="en-GB"/>
              </w:rPr>
            </w:pPr>
          </w:p>
        </w:tc>
      </w:tr>
      <w:tr w:rsidR="009058FB" w:rsidRPr="004779F8" w14:paraId="595C5C1E" w14:textId="77777777" w:rsidTr="00CA059A">
        <w:trPr>
          <w:trHeight w:val="1701"/>
        </w:trPr>
        <w:tc>
          <w:tcPr>
            <w:tcW w:w="2376" w:type="dxa"/>
            <w:shd w:val="clear" w:color="auto" w:fill="A6A6A6" w:themeFill="background1" w:themeFillShade="A6"/>
          </w:tcPr>
          <w:p w14:paraId="100D7DD5" w14:textId="77777777" w:rsidR="009058FB" w:rsidRPr="000F0222" w:rsidRDefault="00CA059A" w:rsidP="009058FB">
            <w:pPr>
              <w:rPr>
                <w:sz w:val="22"/>
                <w:szCs w:val="22"/>
                <w:lang w:val="en-GB"/>
              </w:rPr>
            </w:pPr>
            <w:r w:rsidRPr="000F0222">
              <w:rPr>
                <w:noProof/>
                <w:sz w:val="22"/>
                <w:szCs w:val="22"/>
                <w:lang w:val="en-GB"/>
              </w:rPr>
              <w:lastRenderedPageBreak/>
              <w:drawing>
                <wp:inline distT="0" distB="0" distL="0" distR="0" wp14:anchorId="6C5057B8" wp14:editId="61422BF2">
                  <wp:extent cx="1425039" cy="1068779"/>
                  <wp:effectExtent l="0" t="0" r="0" b="0"/>
                  <wp:docPr id="5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2835" w:type="dxa"/>
            <w:shd w:val="clear" w:color="auto" w:fill="A6A6A6" w:themeFill="background1" w:themeFillShade="A6"/>
          </w:tcPr>
          <w:p w14:paraId="70A11D0F" w14:textId="77777777" w:rsidR="009058FB" w:rsidRPr="004779F8" w:rsidRDefault="009058FB" w:rsidP="009058FB">
            <w:pPr>
              <w:rPr>
                <w:b/>
                <w:sz w:val="22"/>
                <w:szCs w:val="22"/>
                <w:lang w:val="en-GB"/>
              </w:rPr>
            </w:pPr>
          </w:p>
          <w:p w14:paraId="6FE4A9A1" w14:textId="77777777" w:rsidR="009058FB" w:rsidRPr="00613A29" w:rsidRDefault="009058FB" w:rsidP="009058FB">
            <w:pPr>
              <w:rPr>
                <w:b/>
                <w:sz w:val="22"/>
                <w:szCs w:val="22"/>
                <w:lang w:val="en-GB"/>
              </w:rPr>
            </w:pPr>
            <w:r w:rsidRPr="00613A29">
              <w:rPr>
                <w:b/>
                <w:sz w:val="22"/>
                <w:szCs w:val="22"/>
                <w:lang w:val="en-GB"/>
              </w:rPr>
              <w:t xml:space="preserve">G12: 20% of threatened and Near Threatened species have been </w:t>
            </w:r>
            <w:proofErr w:type="spellStart"/>
            <w:r w:rsidRPr="00613A29">
              <w:rPr>
                <w:b/>
                <w:sz w:val="22"/>
                <w:szCs w:val="22"/>
                <w:lang w:val="en-GB"/>
              </w:rPr>
              <w:t>downlisted</w:t>
            </w:r>
            <w:proofErr w:type="spellEnd"/>
            <w:r w:rsidRPr="00613A29">
              <w:rPr>
                <w:b/>
                <w:sz w:val="22"/>
                <w:szCs w:val="22"/>
                <w:lang w:val="en-GB"/>
              </w:rPr>
              <w:t xml:space="preserve"> to lower categories of threat in each CP</w:t>
            </w:r>
          </w:p>
        </w:tc>
        <w:tc>
          <w:tcPr>
            <w:tcW w:w="9639" w:type="dxa"/>
            <w:shd w:val="clear" w:color="auto" w:fill="A6A6A6" w:themeFill="background1" w:themeFillShade="A6"/>
          </w:tcPr>
          <w:p w14:paraId="324C75F5" w14:textId="77777777" w:rsidR="009058FB" w:rsidRPr="000F0222" w:rsidRDefault="009058FB" w:rsidP="009058FB">
            <w:pPr>
              <w:rPr>
                <w:sz w:val="22"/>
                <w:szCs w:val="22"/>
                <w:lang w:val="en-GB"/>
              </w:rPr>
            </w:pPr>
          </w:p>
          <w:p w14:paraId="3A560435" w14:textId="541705E7" w:rsidR="009058FB" w:rsidRPr="000F0222" w:rsidRDefault="00CA059A" w:rsidP="009058FB">
            <w:pPr>
              <w:rPr>
                <w:sz w:val="22"/>
                <w:szCs w:val="22"/>
                <w:lang w:val="en-GB"/>
              </w:rPr>
            </w:pPr>
            <w:r w:rsidRPr="000F0222">
              <w:rPr>
                <w:sz w:val="22"/>
                <w:szCs w:val="22"/>
                <w:lang w:val="en-GB"/>
              </w:rPr>
              <w:t>Not assessed (no national reporting on population status to MOP6</w:t>
            </w:r>
            <w:r w:rsidR="004170B3" w:rsidRPr="000F0222">
              <w:rPr>
                <w:sz w:val="22"/>
                <w:szCs w:val="22"/>
                <w:lang w:val="en-GB"/>
              </w:rPr>
              <w:t xml:space="preserve"> and MOP7</w:t>
            </w:r>
            <w:r w:rsidRPr="000F0222">
              <w:rPr>
                <w:sz w:val="22"/>
                <w:szCs w:val="22"/>
                <w:lang w:val="en-GB"/>
              </w:rPr>
              <w:t>).</w:t>
            </w:r>
          </w:p>
          <w:p w14:paraId="10EC34AE" w14:textId="77777777" w:rsidR="009058FB" w:rsidRPr="000F0222" w:rsidRDefault="009058FB" w:rsidP="009058FB">
            <w:pPr>
              <w:rPr>
                <w:sz w:val="22"/>
                <w:szCs w:val="22"/>
                <w:lang w:val="en-GB"/>
              </w:rPr>
            </w:pPr>
          </w:p>
          <w:p w14:paraId="3131AA3B" w14:textId="634367A6" w:rsidR="009058FB" w:rsidRPr="000F0222" w:rsidRDefault="00CA059A">
            <w:pPr>
              <w:rPr>
                <w:sz w:val="22"/>
                <w:szCs w:val="22"/>
                <w:lang w:val="en-GB"/>
              </w:rPr>
            </w:pPr>
            <w:r w:rsidRPr="000F0222">
              <w:rPr>
                <w:b/>
                <w:sz w:val="22"/>
                <w:szCs w:val="22"/>
                <w:lang w:val="en-GB"/>
              </w:rPr>
              <w:t>Change since MOP</w:t>
            </w:r>
            <w:r w:rsidR="004170B3" w:rsidRPr="000F0222">
              <w:rPr>
                <w:b/>
                <w:sz w:val="22"/>
                <w:szCs w:val="22"/>
                <w:lang w:val="en-GB"/>
              </w:rPr>
              <w:t>4</w:t>
            </w:r>
            <w:r w:rsidRPr="000F0222">
              <w:rPr>
                <w:b/>
                <w:sz w:val="22"/>
                <w:szCs w:val="22"/>
                <w:lang w:val="en-GB"/>
              </w:rPr>
              <w:t>:</w:t>
            </w:r>
            <w:r w:rsidRPr="000F0222">
              <w:rPr>
                <w:sz w:val="22"/>
                <w:szCs w:val="22"/>
                <w:lang w:val="en-GB"/>
              </w:rPr>
              <w:t xml:space="preserve"> </w:t>
            </w:r>
            <w:r w:rsidR="004170B3" w:rsidRPr="000F0222">
              <w:rPr>
                <w:sz w:val="22"/>
                <w:szCs w:val="22"/>
                <w:lang w:val="en-GB"/>
              </w:rPr>
              <w:t>Recent change u</w:t>
            </w:r>
            <w:r w:rsidRPr="000F0222">
              <w:rPr>
                <w:sz w:val="22"/>
                <w:szCs w:val="22"/>
                <w:lang w:val="en-GB"/>
              </w:rPr>
              <w:t xml:space="preserve">nknown. At MOP5 only one Contracting Party (CP) reported </w:t>
            </w:r>
            <w:proofErr w:type="spellStart"/>
            <w:r w:rsidRPr="000F0222">
              <w:rPr>
                <w:sz w:val="22"/>
                <w:szCs w:val="22"/>
                <w:lang w:val="en-GB"/>
              </w:rPr>
              <w:t>downlisting</w:t>
            </w:r>
            <w:proofErr w:type="spellEnd"/>
            <w:r w:rsidRPr="000F0222">
              <w:rPr>
                <w:sz w:val="22"/>
                <w:szCs w:val="22"/>
                <w:lang w:val="en-GB"/>
              </w:rPr>
              <w:t xml:space="preserve"> more than 20% of their threatened and Near Threatened species to lower categories with two more CPs approaching the target. However, some of the down</w:t>
            </w:r>
            <w:r w:rsidR="00821504" w:rsidRPr="000F0222">
              <w:rPr>
                <w:sz w:val="22"/>
                <w:szCs w:val="22"/>
                <w:lang w:val="en-GB"/>
              </w:rPr>
              <w:t>-</w:t>
            </w:r>
            <w:r w:rsidRPr="000F0222">
              <w:rPr>
                <w:sz w:val="22"/>
                <w:szCs w:val="22"/>
                <w:lang w:val="en-GB"/>
              </w:rPr>
              <w:t>listing reported by the CP could have resulted from change in the method used in the different assessments.</w:t>
            </w:r>
          </w:p>
        </w:tc>
      </w:tr>
    </w:tbl>
    <w:p w14:paraId="752C82E8" w14:textId="2FF24C46" w:rsidR="009058FB" w:rsidRPr="004779F8" w:rsidRDefault="009058FB" w:rsidP="009058FB">
      <w:pPr>
        <w:pageBreakBefore/>
        <w:jc w:val="both"/>
        <w:rPr>
          <w:i/>
          <w:lang w:val="en-GB"/>
        </w:rPr>
      </w:pPr>
      <w:r w:rsidRPr="004779F8">
        <w:rPr>
          <w:i/>
          <w:lang w:val="en-GB"/>
        </w:rPr>
        <w:lastRenderedPageBreak/>
        <w:t>Table 4. Objective 1: To undertake conservation measures</w:t>
      </w:r>
      <w:r w:rsidR="00C17D74">
        <w:rPr>
          <w:i/>
          <w:lang w:val="en-GB"/>
        </w:rPr>
        <w:t>,</w:t>
      </w:r>
      <w:r w:rsidRPr="004779F8">
        <w:rPr>
          <w:i/>
          <w:lang w:val="en-GB"/>
        </w:rPr>
        <w:t xml:space="preserve"> </w:t>
      </w:r>
      <w:proofErr w:type="gramStart"/>
      <w:r w:rsidRPr="004779F8">
        <w:rPr>
          <w:i/>
          <w:lang w:val="en-GB"/>
        </w:rPr>
        <w:t>so as to</w:t>
      </w:r>
      <w:proofErr w:type="gramEnd"/>
      <w:r w:rsidRPr="004779F8">
        <w:rPr>
          <w:i/>
          <w:lang w:val="en-GB"/>
        </w:rPr>
        <w:t xml:space="preserve"> improve or maintain conservation status of </w:t>
      </w:r>
      <w:proofErr w:type="spellStart"/>
      <w:r w:rsidRPr="004779F8">
        <w:rPr>
          <w:i/>
          <w:lang w:val="en-GB"/>
        </w:rPr>
        <w:t>waterbird</w:t>
      </w:r>
      <w:proofErr w:type="spellEnd"/>
      <w:r w:rsidRPr="004779F8">
        <w:rPr>
          <w:i/>
          <w:lang w:val="en-GB"/>
        </w:rPr>
        <w:t xml:space="preserve"> species and their populations</w:t>
      </w:r>
    </w:p>
    <w:p w14:paraId="47A6F3EB" w14:textId="77777777" w:rsidR="009058FB" w:rsidRPr="000F0222" w:rsidRDefault="009058FB" w:rsidP="009058FB">
      <w:pPr>
        <w:rPr>
          <w:lang w:val="en-GB"/>
        </w:rPr>
      </w:pPr>
    </w:p>
    <w:tbl>
      <w:tblPr>
        <w:tblStyle w:val="TableGrid"/>
        <w:tblW w:w="0" w:type="auto"/>
        <w:tblLayout w:type="fixed"/>
        <w:tblLook w:val="04A0" w:firstRow="1" w:lastRow="0" w:firstColumn="1" w:lastColumn="0" w:noHBand="0" w:noVBand="1"/>
      </w:tblPr>
      <w:tblGrid>
        <w:gridCol w:w="2376"/>
        <w:gridCol w:w="2835"/>
        <w:gridCol w:w="2835"/>
        <w:gridCol w:w="6804"/>
      </w:tblGrid>
      <w:tr w:rsidR="009058FB" w:rsidRPr="004779F8" w14:paraId="1B905CB0" w14:textId="77777777" w:rsidTr="00DC030C">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AE85F1A" w14:textId="77777777" w:rsidR="009058FB" w:rsidRPr="000F0222" w:rsidRDefault="009058FB" w:rsidP="009058FB">
            <w:pPr>
              <w:rPr>
                <w:b/>
                <w:lang w:val="en-GB"/>
              </w:rPr>
            </w:pPr>
            <w:r w:rsidRPr="000F0222">
              <w:rPr>
                <w:b/>
                <w:lang w:val="en-G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F955563" w14:textId="77777777" w:rsidR="009058FB" w:rsidRPr="000F0222" w:rsidRDefault="009058FB" w:rsidP="009058FB">
            <w:pPr>
              <w:rPr>
                <w:b/>
                <w:lang w:val="en-GB"/>
              </w:rPr>
            </w:pPr>
            <w:r w:rsidRPr="000F0222">
              <w:rPr>
                <w:b/>
                <w:lang w:val="en-G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F9BB5D" w14:textId="77777777" w:rsidR="009058FB" w:rsidRPr="000F0222" w:rsidRDefault="009058FB" w:rsidP="009058FB">
            <w:pPr>
              <w:rPr>
                <w:b/>
                <w:lang w:val="en-GB"/>
              </w:rPr>
            </w:pPr>
            <w:r w:rsidRPr="000F0222">
              <w:rPr>
                <w:b/>
                <w:lang w:val="en-GB"/>
              </w:rPr>
              <w:t>Indicator</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D95B720" w14:textId="77777777" w:rsidR="009058FB" w:rsidRPr="000F0222" w:rsidRDefault="009058FB" w:rsidP="009058FB">
            <w:pPr>
              <w:rPr>
                <w:b/>
                <w:lang w:val="en-GB"/>
              </w:rPr>
            </w:pPr>
            <w:r w:rsidRPr="000F0222">
              <w:rPr>
                <w:b/>
                <w:lang w:val="en-GB"/>
              </w:rPr>
              <w:t>Summary and reference</w:t>
            </w:r>
          </w:p>
          <w:p w14:paraId="539F2662" w14:textId="77777777" w:rsidR="009058FB" w:rsidRPr="000F0222" w:rsidRDefault="009058FB" w:rsidP="009058FB">
            <w:pPr>
              <w:rPr>
                <w:b/>
                <w:lang w:val="en-GB"/>
              </w:rPr>
            </w:pPr>
          </w:p>
        </w:tc>
      </w:tr>
      <w:tr w:rsidR="009058FB" w:rsidRPr="004779F8" w14:paraId="0243F737" w14:textId="77777777" w:rsidTr="00DC030C">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C4092AC" w14:textId="3EC00B67" w:rsidR="009058FB" w:rsidRPr="000F0222" w:rsidRDefault="00F14B6E" w:rsidP="009058FB">
            <w:pPr>
              <w:rPr>
                <w:sz w:val="22"/>
                <w:szCs w:val="22"/>
                <w:lang w:val="en-GB"/>
              </w:rPr>
            </w:pPr>
            <w:r w:rsidRPr="000F0222">
              <w:rPr>
                <w:b/>
                <w:noProof/>
                <w:lang w:val="en-GB"/>
              </w:rPr>
              <w:drawing>
                <wp:inline distT="0" distB="0" distL="0" distR="0" wp14:anchorId="3B7F2FCD" wp14:editId="19599A9A">
                  <wp:extent cx="1425039" cy="1080655"/>
                  <wp:effectExtent l="0" t="0" r="0" b="0"/>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44795F2" w14:textId="77777777" w:rsidR="009058FB" w:rsidRPr="004779F8" w:rsidRDefault="009058FB" w:rsidP="009058FB">
            <w:pPr>
              <w:ind w:left="372"/>
              <w:rPr>
                <w:b/>
                <w:sz w:val="22"/>
                <w:szCs w:val="22"/>
                <w:lang w:val="en-GB"/>
              </w:rPr>
            </w:pPr>
          </w:p>
          <w:p w14:paraId="69502700" w14:textId="77777777" w:rsidR="009058FB" w:rsidRPr="00613A29" w:rsidRDefault="009058FB" w:rsidP="009058FB">
            <w:pPr>
              <w:rPr>
                <w:b/>
                <w:sz w:val="22"/>
                <w:szCs w:val="22"/>
                <w:lang w:val="en-GB"/>
              </w:rPr>
            </w:pPr>
            <w:r w:rsidRPr="00613A29">
              <w:rPr>
                <w:b/>
                <w:sz w:val="22"/>
                <w:szCs w:val="22"/>
                <w:lang w:val="en-GB"/>
              </w:rPr>
              <w:t>1.1: Full legal protection is provided to all Column A species</w:t>
            </w:r>
          </w:p>
          <w:p w14:paraId="42F50CC8" w14:textId="77777777" w:rsidR="009058FB" w:rsidRPr="000F0222"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DF83011" w14:textId="77777777" w:rsidR="009058FB" w:rsidRPr="004779F8" w:rsidRDefault="009058FB" w:rsidP="009058FB">
            <w:pPr>
              <w:rPr>
                <w:b/>
                <w:sz w:val="22"/>
                <w:szCs w:val="22"/>
                <w:lang w:val="en-GB"/>
              </w:rPr>
            </w:pPr>
          </w:p>
          <w:p w14:paraId="4558ED18" w14:textId="77777777" w:rsidR="009058FB" w:rsidRPr="000F0222" w:rsidRDefault="009058FB" w:rsidP="009058FB">
            <w:pPr>
              <w:rPr>
                <w:b/>
                <w:sz w:val="22"/>
                <w:szCs w:val="22"/>
                <w:lang w:val="en-GB"/>
              </w:rPr>
            </w:pPr>
            <w:r w:rsidRPr="00613A29">
              <w:rPr>
                <w:b/>
                <w:sz w:val="22"/>
                <w:szCs w:val="22"/>
                <w:lang w:val="en-GB"/>
              </w:rPr>
              <w:t>All CPs have adopted national legislation protecting all Column A species</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F8C814A" w14:textId="77777777" w:rsidR="009058FB" w:rsidRPr="000F0222" w:rsidRDefault="009058FB" w:rsidP="009058FB">
            <w:pPr>
              <w:rPr>
                <w:sz w:val="22"/>
                <w:szCs w:val="22"/>
                <w:lang w:val="en-GB"/>
              </w:rPr>
            </w:pPr>
          </w:p>
          <w:p w14:paraId="4C48F057" w14:textId="03E2EEF3" w:rsidR="009058FB" w:rsidRPr="000F0222" w:rsidRDefault="004A5B87" w:rsidP="009058FB">
            <w:pPr>
              <w:rPr>
                <w:b/>
                <w:sz w:val="22"/>
                <w:szCs w:val="22"/>
                <w:lang w:val="en-GB"/>
              </w:rPr>
            </w:pPr>
            <w:r w:rsidRPr="000F0222">
              <w:rPr>
                <w:sz w:val="22"/>
                <w:szCs w:val="22"/>
                <w:lang w:val="en-GB"/>
              </w:rPr>
              <w:t>On</w:t>
            </w:r>
            <w:r w:rsidR="00CE7644" w:rsidRPr="000F0222">
              <w:rPr>
                <w:sz w:val="22"/>
                <w:szCs w:val="22"/>
                <w:lang w:val="en-GB"/>
              </w:rPr>
              <w:t>l</w:t>
            </w:r>
            <w:r w:rsidRPr="000F0222">
              <w:rPr>
                <w:sz w:val="22"/>
                <w:szCs w:val="22"/>
                <w:lang w:val="en-GB"/>
              </w:rPr>
              <w:t xml:space="preserve">y 9 </w:t>
            </w:r>
            <w:r w:rsidR="00CE7644" w:rsidRPr="000F0222">
              <w:rPr>
                <w:sz w:val="22"/>
                <w:szCs w:val="22"/>
                <w:lang w:val="en-GB"/>
              </w:rPr>
              <w:t xml:space="preserve">Contracting Parties (CPs) reported full protection of the Column A populations occurring on their territories. This represent 12% of the CPs. Another 15 CPs reported &gt;75% of their Column A populations under full protection. </w:t>
            </w:r>
            <w:r w:rsidR="00CE7644" w:rsidRPr="000F0222">
              <w:rPr>
                <w:b/>
                <w:sz w:val="22"/>
                <w:szCs w:val="22"/>
                <w:lang w:val="en-GB"/>
              </w:rPr>
              <w:t>Considering that legal status is a fundamental prerequisite for effective conservation this progress was deemed insufficient.</w:t>
            </w:r>
          </w:p>
          <w:p w14:paraId="25390835" w14:textId="77777777" w:rsidR="004D4611" w:rsidRPr="000F0222" w:rsidRDefault="004D4611" w:rsidP="009058FB">
            <w:pPr>
              <w:rPr>
                <w:b/>
                <w:sz w:val="22"/>
                <w:szCs w:val="22"/>
                <w:lang w:val="en-GB"/>
              </w:rPr>
            </w:pPr>
          </w:p>
          <w:p w14:paraId="17FCA17D" w14:textId="57005948" w:rsidR="004D4611" w:rsidRPr="000F0222" w:rsidRDefault="004D4611" w:rsidP="009058FB">
            <w:pPr>
              <w:rPr>
                <w:b/>
                <w:sz w:val="22"/>
                <w:szCs w:val="22"/>
                <w:lang w:val="en-GB"/>
              </w:rPr>
            </w:pPr>
            <w:r w:rsidRPr="000F0222">
              <w:rPr>
                <w:b/>
                <w:sz w:val="22"/>
                <w:szCs w:val="22"/>
                <w:lang w:val="en-GB"/>
              </w:rPr>
              <w:t>Change since MOP</w:t>
            </w:r>
            <w:r w:rsidR="00CE7644" w:rsidRPr="000F0222">
              <w:rPr>
                <w:b/>
                <w:sz w:val="22"/>
                <w:szCs w:val="22"/>
                <w:lang w:val="en-GB"/>
              </w:rPr>
              <w:t>4</w:t>
            </w:r>
            <w:r w:rsidRPr="000F0222">
              <w:rPr>
                <w:b/>
                <w:sz w:val="22"/>
                <w:szCs w:val="22"/>
                <w:lang w:val="en-GB"/>
              </w:rPr>
              <w:t xml:space="preserve">: </w:t>
            </w:r>
            <w:r w:rsidR="00CE7644" w:rsidRPr="000F0222">
              <w:rPr>
                <w:sz w:val="22"/>
                <w:szCs w:val="22"/>
                <w:lang w:val="en-GB"/>
              </w:rPr>
              <w:t xml:space="preserve">Negative. </w:t>
            </w:r>
            <w:r w:rsidRPr="000F0222">
              <w:rPr>
                <w:sz w:val="22"/>
                <w:szCs w:val="22"/>
                <w:lang w:val="en-GB"/>
              </w:rPr>
              <w:t xml:space="preserve">At MOP5 10 Contracting Parties (CPs) (16% of the CPs) reported full protection of all Column A species occurring in their respective territories with additional 15 CPs providing protection to 76-99% of their Column A species. </w:t>
            </w:r>
            <w:r w:rsidR="00FE4DA9" w:rsidRPr="000F0222">
              <w:rPr>
                <w:sz w:val="22"/>
                <w:szCs w:val="22"/>
                <w:lang w:val="en-GB"/>
              </w:rPr>
              <w:t xml:space="preserve">The figures at MOP7 nearly did not change, but the number of CPs increased, thus proportionally the change has been negative. </w:t>
            </w:r>
          </w:p>
          <w:p w14:paraId="164D1BB3" w14:textId="272C502F" w:rsidR="00F14B6E" w:rsidRPr="000F0222" w:rsidRDefault="00F14B6E" w:rsidP="009058FB">
            <w:pPr>
              <w:rPr>
                <w:b/>
                <w:sz w:val="22"/>
                <w:szCs w:val="22"/>
                <w:lang w:val="en-GB"/>
              </w:rPr>
            </w:pPr>
          </w:p>
          <w:p w14:paraId="55DDC359" w14:textId="77777777" w:rsidR="00EE29A1" w:rsidRDefault="00F14B6E" w:rsidP="009058FB">
            <w:pPr>
              <w:rPr>
                <w:sz w:val="22"/>
                <w:szCs w:val="22"/>
                <w:lang w:val="en-GB"/>
              </w:rPr>
            </w:pPr>
            <w:r w:rsidRPr="000F0222">
              <w:rPr>
                <w:b/>
                <w:sz w:val="22"/>
                <w:szCs w:val="22"/>
                <w:lang w:val="en-GB"/>
              </w:rPr>
              <w:t>Reference:</w:t>
            </w:r>
            <w:r w:rsidRPr="000F0222">
              <w:rPr>
                <w:sz w:val="22"/>
                <w:szCs w:val="22"/>
                <w:lang w:val="en-GB"/>
              </w:rPr>
              <w:t xml:space="preserve"> Analysis of the AEWA National Reports for the Triennium </w:t>
            </w:r>
          </w:p>
          <w:p w14:paraId="6A0CF0B7" w14:textId="6530C509" w:rsidR="00F14B6E" w:rsidRPr="000F0222" w:rsidRDefault="00EE29A1" w:rsidP="009058FB">
            <w:pPr>
              <w:rPr>
                <w:b/>
                <w:sz w:val="22"/>
                <w:szCs w:val="22"/>
                <w:lang w:val="en-GB"/>
              </w:rPr>
            </w:pPr>
            <w:r>
              <w:rPr>
                <w:sz w:val="22"/>
                <w:szCs w:val="22"/>
                <w:lang w:val="en-GB"/>
              </w:rPr>
              <w:t xml:space="preserve">                   </w:t>
            </w:r>
            <w:r w:rsidR="00F14B6E" w:rsidRPr="000F0222">
              <w:rPr>
                <w:sz w:val="22"/>
                <w:szCs w:val="22"/>
                <w:lang w:val="en-GB"/>
              </w:rPr>
              <w:t>2015-2017 (document AEWA/MOP 7.12)</w:t>
            </w:r>
          </w:p>
          <w:p w14:paraId="7B0B7993" w14:textId="77777777" w:rsidR="009058FB" w:rsidRPr="000F0222" w:rsidRDefault="009058FB" w:rsidP="004D4611">
            <w:pPr>
              <w:rPr>
                <w:sz w:val="22"/>
                <w:szCs w:val="22"/>
                <w:lang w:val="en-GB"/>
              </w:rPr>
            </w:pPr>
          </w:p>
        </w:tc>
      </w:tr>
      <w:tr w:rsidR="009058FB" w:rsidRPr="004779F8" w14:paraId="40D45A89"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46FA15F" w14:textId="77777777" w:rsidR="009058FB" w:rsidRPr="000F0222" w:rsidRDefault="009058FB" w:rsidP="009058FB">
            <w:pPr>
              <w:rPr>
                <w:sz w:val="22"/>
                <w:szCs w:val="22"/>
                <w:lang w:val="en-GB"/>
              </w:rPr>
            </w:pPr>
            <w:r w:rsidRPr="000F0222">
              <w:rPr>
                <w:noProof/>
                <w:sz w:val="22"/>
                <w:szCs w:val="22"/>
                <w:lang w:val="en-GB"/>
              </w:rPr>
              <w:drawing>
                <wp:inline distT="0" distB="0" distL="0" distR="0" wp14:anchorId="0643260D" wp14:editId="59177C5D">
                  <wp:extent cx="1425039" cy="1080654"/>
                  <wp:effectExtent l="0" t="0" r="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98E6951" w14:textId="77777777" w:rsidR="009058FB" w:rsidRPr="004779F8" w:rsidRDefault="009058FB" w:rsidP="009058FB">
            <w:pPr>
              <w:rPr>
                <w:b/>
                <w:sz w:val="22"/>
                <w:szCs w:val="22"/>
                <w:lang w:val="en-GB"/>
              </w:rPr>
            </w:pPr>
          </w:p>
          <w:p w14:paraId="776B34E9" w14:textId="77777777" w:rsidR="009058FB" w:rsidRPr="008C5535" w:rsidRDefault="009058FB" w:rsidP="009058FB">
            <w:pPr>
              <w:rPr>
                <w:b/>
                <w:sz w:val="22"/>
                <w:szCs w:val="22"/>
                <w:lang w:val="en-GB"/>
              </w:rPr>
            </w:pPr>
            <w:r w:rsidRPr="00613A29">
              <w:rPr>
                <w:b/>
                <w:sz w:val="22"/>
                <w:szCs w:val="22"/>
                <w:lang w:val="en-GB"/>
              </w:rPr>
              <w:t>1.2: A comprehensive and coherent flyway netwo</w:t>
            </w:r>
            <w:r w:rsidRPr="008C5535">
              <w:rPr>
                <w:b/>
                <w:sz w:val="22"/>
                <w:szCs w:val="22"/>
                <w:lang w:val="en-GB"/>
              </w:rPr>
              <w:t xml:space="preserve">rk of protected and managed sites, and other adequately managed sites, of international and national importance for </w:t>
            </w:r>
            <w:proofErr w:type="spellStart"/>
            <w:r w:rsidRPr="008C5535">
              <w:rPr>
                <w:b/>
                <w:sz w:val="22"/>
                <w:szCs w:val="22"/>
                <w:lang w:val="en-GB"/>
              </w:rPr>
              <w:t>waterbirds</w:t>
            </w:r>
            <w:proofErr w:type="spellEnd"/>
            <w:r w:rsidRPr="008C5535">
              <w:rPr>
                <w:b/>
                <w:sz w:val="22"/>
                <w:szCs w:val="22"/>
                <w:lang w:val="en-GB"/>
              </w:rPr>
              <w:t xml:space="preserve"> is established and maintained, while </w:t>
            </w:r>
            <w:proofErr w:type="gramStart"/>
            <w:r w:rsidRPr="008C5535">
              <w:rPr>
                <w:b/>
                <w:sz w:val="22"/>
                <w:szCs w:val="22"/>
                <w:lang w:val="en-GB"/>
              </w:rPr>
              <w:t>taking into account</w:t>
            </w:r>
            <w:proofErr w:type="gramEnd"/>
            <w:r w:rsidRPr="008C5535">
              <w:rPr>
                <w:b/>
                <w:sz w:val="22"/>
                <w:szCs w:val="22"/>
                <w:lang w:val="en-GB"/>
              </w:rPr>
              <w:t xml:space="preserve"> the existing </w:t>
            </w:r>
            <w:r w:rsidRPr="008C5535">
              <w:rPr>
                <w:b/>
                <w:sz w:val="22"/>
                <w:szCs w:val="22"/>
                <w:lang w:val="en-GB"/>
              </w:rPr>
              <w:lastRenderedPageBreak/>
              <w:t>networks and climate change</w:t>
            </w:r>
          </w:p>
          <w:p w14:paraId="66D9C029" w14:textId="77777777" w:rsidR="009058FB" w:rsidRPr="00E4475D"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AADC5ED" w14:textId="77777777" w:rsidR="009058FB" w:rsidRPr="00852729" w:rsidRDefault="009058FB" w:rsidP="009058FB">
            <w:pPr>
              <w:rPr>
                <w:b/>
                <w:sz w:val="22"/>
                <w:szCs w:val="22"/>
                <w:lang w:val="en-GB"/>
              </w:rPr>
            </w:pPr>
          </w:p>
          <w:p w14:paraId="078EF78F" w14:textId="77777777" w:rsidR="009058FB" w:rsidRPr="004779F8" w:rsidRDefault="009058FB" w:rsidP="009058FB">
            <w:pPr>
              <w:rPr>
                <w:b/>
                <w:sz w:val="22"/>
                <w:szCs w:val="22"/>
                <w:lang w:val="en-GB"/>
              </w:rPr>
            </w:pPr>
            <w:r w:rsidRPr="004779F8">
              <w:rPr>
                <w:b/>
                <w:sz w:val="22"/>
                <w:szCs w:val="22"/>
                <w:lang w:val="en-GB"/>
              </w:rPr>
              <w:t>All CPs are in place and maintain comprehensive national networks of sustainably-managed, protected, and other managed areas, that form a coherent flyway site network, which aims to be resilient to the effects of climate change</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2BBCFFD" w14:textId="77777777" w:rsidR="009058FB" w:rsidRPr="000F0222" w:rsidRDefault="009058FB" w:rsidP="009058FB">
            <w:pPr>
              <w:rPr>
                <w:sz w:val="22"/>
                <w:szCs w:val="22"/>
                <w:lang w:val="en-GB"/>
              </w:rPr>
            </w:pPr>
          </w:p>
          <w:p w14:paraId="4A26E8BD" w14:textId="48CD448A" w:rsidR="009058FB" w:rsidRPr="000F0222" w:rsidRDefault="00C50F89" w:rsidP="009058FB">
            <w:pPr>
              <w:rPr>
                <w:b/>
                <w:sz w:val="22"/>
                <w:szCs w:val="22"/>
                <w:lang w:val="en-GB"/>
              </w:rPr>
            </w:pPr>
            <w:r w:rsidRPr="000F0222">
              <w:rPr>
                <w:sz w:val="22"/>
                <w:szCs w:val="22"/>
                <w:lang w:val="en-GB"/>
              </w:rPr>
              <w:t>6</w:t>
            </w:r>
            <w:r w:rsidR="00AC65D5" w:rsidRPr="000F0222">
              <w:rPr>
                <w:sz w:val="22"/>
                <w:szCs w:val="22"/>
                <w:lang w:val="en-GB"/>
              </w:rPr>
              <w:t>5</w:t>
            </w:r>
            <w:r w:rsidR="009058FB" w:rsidRPr="000F0222">
              <w:rPr>
                <w:sz w:val="22"/>
                <w:szCs w:val="22"/>
                <w:lang w:val="en-GB"/>
              </w:rPr>
              <w:t xml:space="preserve">% of the Contracting Parties (CPs) have indicated that they have fully or partially identified their networks of sites. Information provided by up to </w:t>
            </w:r>
            <w:r w:rsidRPr="000F0222">
              <w:rPr>
                <w:sz w:val="22"/>
                <w:szCs w:val="22"/>
                <w:lang w:val="en-GB"/>
              </w:rPr>
              <w:t>60</w:t>
            </w:r>
            <w:r w:rsidR="00AC65D5" w:rsidRPr="000F0222">
              <w:rPr>
                <w:sz w:val="22"/>
                <w:szCs w:val="22"/>
                <w:lang w:val="en-GB"/>
              </w:rPr>
              <w:t xml:space="preserve">% </w:t>
            </w:r>
            <w:r w:rsidR="009058FB" w:rsidRPr="000F0222">
              <w:rPr>
                <w:sz w:val="22"/>
                <w:szCs w:val="22"/>
                <w:lang w:val="en-GB"/>
              </w:rPr>
              <w:t>of CPs on their nationally or internationally important sites (or both) shows very high proportion of sites protected (</w:t>
            </w:r>
            <w:r w:rsidRPr="000F0222">
              <w:rPr>
                <w:sz w:val="22"/>
                <w:szCs w:val="22"/>
                <w:lang w:val="en-GB"/>
              </w:rPr>
              <w:t>100</w:t>
            </w:r>
            <w:r w:rsidR="009058FB" w:rsidRPr="000F0222">
              <w:rPr>
                <w:sz w:val="22"/>
                <w:szCs w:val="22"/>
                <w:lang w:val="en-GB"/>
              </w:rPr>
              <w:t>%</w:t>
            </w:r>
            <w:r w:rsidRPr="000F0222">
              <w:rPr>
                <w:rStyle w:val="FootnoteReference"/>
                <w:sz w:val="22"/>
                <w:szCs w:val="22"/>
                <w:lang w:val="en-GB"/>
              </w:rPr>
              <w:footnoteReference w:id="3"/>
            </w:r>
            <w:r w:rsidR="009058FB" w:rsidRPr="000F0222">
              <w:rPr>
                <w:sz w:val="22"/>
                <w:szCs w:val="22"/>
                <w:lang w:val="en-GB"/>
              </w:rPr>
              <w:t xml:space="preserve"> and 8</w:t>
            </w:r>
            <w:r w:rsidRPr="000F0222">
              <w:rPr>
                <w:sz w:val="22"/>
                <w:szCs w:val="22"/>
                <w:lang w:val="en-GB"/>
              </w:rPr>
              <w:t>7</w:t>
            </w:r>
            <w:r w:rsidR="009058FB" w:rsidRPr="000F0222">
              <w:rPr>
                <w:sz w:val="22"/>
                <w:szCs w:val="22"/>
                <w:lang w:val="en-GB"/>
              </w:rPr>
              <w:t xml:space="preserve">% respectively) and of those protected sites </w:t>
            </w:r>
            <w:r w:rsidR="000677B9" w:rsidRPr="000F0222">
              <w:rPr>
                <w:sz w:val="22"/>
                <w:szCs w:val="22"/>
                <w:lang w:val="en-GB"/>
              </w:rPr>
              <w:t>only 3</w:t>
            </w:r>
            <w:r w:rsidR="009058FB" w:rsidRPr="000F0222">
              <w:rPr>
                <w:sz w:val="22"/>
                <w:szCs w:val="22"/>
                <w:lang w:val="en-GB"/>
              </w:rPr>
              <w:t xml:space="preserve">% of nationally important sites have management plans in place while </w:t>
            </w:r>
            <w:r w:rsidR="00821504" w:rsidRPr="000F0222">
              <w:rPr>
                <w:sz w:val="22"/>
                <w:szCs w:val="22"/>
                <w:lang w:val="en-GB"/>
              </w:rPr>
              <w:t xml:space="preserve">a </w:t>
            </w:r>
            <w:r w:rsidR="000677B9" w:rsidRPr="000F0222">
              <w:rPr>
                <w:sz w:val="22"/>
                <w:szCs w:val="22"/>
                <w:lang w:val="en-GB"/>
              </w:rPr>
              <w:t xml:space="preserve">much higher </w:t>
            </w:r>
            <w:r w:rsidR="009058FB" w:rsidRPr="000F0222">
              <w:rPr>
                <w:sz w:val="22"/>
                <w:szCs w:val="22"/>
                <w:lang w:val="en-GB"/>
              </w:rPr>
              <w:t>proportion of internationally important sites are managed (</w:t>
            </w:r>
            <w:r w:rsidR="00AC65D5" w:rsidRPr="000F0222">
              <w:rPr>
                <w:sz w:val="22"/>
                <w:szCs w:val="22"/>
                <w:lang w:val="en-GB"/>
              </w:rPr>
              <w:t>5</w:t>
            </w:r>
            <w:r w:rsidR="000677B9" w:rsidRPr="000F0222">
              <w:rPr>
                <w:sz w:val="22"/>
                <w:szCs w:val="22"/>
                <w:lang w:val="en-GB"/>
              </w:rPr>
              <w:t>6</w:t>
            </w:r>
            <w:r w:rsidR="009058FB" w:rsidRPr="000F0222">
              <w:rPr>
                <w:sz w:val="22"/>
                <w:szCs w:val="22"/>
                <w:lang w:val="en-GB"/>
              </w:rPr>
              <w:t xml:space="preserve">%). </w:t>
            </w:r>
            <w:r w:rsidR="00C45FD7" w:rsidRPr="000F0222">
              <w:rPr>
                <w:sz w:val="22"/>
                <w:szCs w:val="22"/>
                <w:lang w:val="en-GB"/>
              </w:rPr>
              <w:t>Only 2</w:t>
            </w:r>
            <w:r w:rsidR="00982C75" w:rsidRPr="000F0222">
              <w:rPr>
                <w:sz w:val="22"/>
                <w:szCs w:val="22"/>
                <w:lang w:val="en-GB"/>
              </w:rPr>
              <w:t>4</w:t>
            </w:r>
            <w:r w:rsidR="00C45FD7" w:rsidRPr="000F0222">
              <w:rPr>
                <w:sz w:val="22"/>
                <w:szCs w:val="22"/>
                <w:lang w:val="en-GB"/>
              </w:rPr>
              <w:t xml:space="preserve">% of the CPs have assessed the resilience of their site networks for migratory </w:t>
            </w:r>
            <w:proofErr w:type="spellStart"/>
            <w:r w:rsidR="00C45FD7" w:rsidRPr="000F0222">
              <w:rPr>
                <w:sz w:val="22"/>
                <w:szCs w:val="22"/>
                <w:lang w:val="en-GB"/>
              </w:rPr>
              <w:t>waterbirds</w:t>
            </w:r>
            <w:proofErr w:type="spellEnd"/>
            <w:r w:rsidR="00C45FD7" w:rsidRPr="000F0222">
              <w:rPr>
                <w:sz w:val="22"/>
                <w:szCs w:val="22"/>
                <w:lang w:val="en-GB"/>
              </w:rPr>
              <w:t xml:space="preserve"> with additional </w:t>
            </w:r>
            <w:r w:rsidR="00982C75" w:rsidRPr="000F0222">
              <w:rPr>
                <w:sz w:val="22"/>
                <w:szCs w:val="22"/>
                <w:lang w:val="en-GB"/>
              </w:rPr>
              <w:t>8</w:t>
            </w:r>
            <w:r w:rsidR="00C45FD7" w:rsidRPr="000F0222">
              <w:rPr>
                <w:sz w:val="22"/>
                <w:szCs w:val="22"/>
                <w:lang w:val="en-GB"/>
              </w:rPr>
              <w:t>% that have assessed resilience of individual sites.</w:t>
            </w:r>
            <w:r w:rsidR="00982C75" w:rsidRPr="000F0222">
              <w:rPr>
                <w:sz w:val="22"/>
                <w:szCs w:val="22"/>
                <w:lang w:val="en-GB"/>
              </w:rPr>
              <w:t xml:space="preserve"> Certain progress has been made against this indicator, but it is </w:t>
            </w:r>
            <w:r w:rsidR="00C17D74">
              <w:rPr>
                <w:sz w:val="22"/>
                <w:szCs w:val="22"/>
                <w:lang w:val="en-GB"/>
              </w:rPr>
              <w:t>still</w:t>
            </w:r>
            <w:r w:rsidR="00982C75" w:rsidRPr="000F0222">
              <w:rPr>
                <w:sz w:val="22"/>
                <w:szCs w:val="22"/>
                <w:lang w:val="en-GB"/>
              </w:rPr>
              <w:t xml:space="preserve"> far from achieving the target. </w:t>
            </w:r>
          </w:p>
          <w:p w14:paraId="51BB6D9B" w14:textId="77777777" w:rsidR="009058FB" w:rsidRPr="000F0222" w:rsidRDefault="009058FB" w:rsidP="009058FB">
            <w:pPr>
              <w:rPr>
                <w:sz w:val="22"/>
                <w:szCs w:val="22"/>
                <w:lang w:val="en-GB"/>
              </w:rPr>
            </w:pPr>
          </w:p>
          <w:p w14:paraId="1E68B012" w14:textId="05CB3336" w:rsidR="00B960A8" w:rsidRPr="000F0222" w:rsidRDefault="00B960A8" w:rsidP="009058FB">
            <w:pPr>
              <w:rPr>
                <w:sz w:val="22"/>
                <w:szCs w:val="22"/>
                <w:lang w:val="en-GB"/>
              </w:rPr>
            </w:pPr>
            <w:r w:rsidRPr="000F0222">
              <w:rPr>
                <w:b/>
                <w:sz w:val="22"/>
                <w:szCs w:val="22"/>
                <w:lang w:val="en-GB"/>
              </w:rPr>
              <w:t>Change since MOP</w:t>
            </w:r>
            <w:r w:rsidR="00982C75" w:rsidRPr="000F0222">
              <w:rPr>
                <w:b/>
                <w:sz w:val="22"/>
                <w:szCs w:val="22"/>
                <w:lang w:val="en-GB"/>
              </w:rPr>
              <w:t>4</w:t>
            </w:r>
            <w:r w:rsidRPr="000F0222">
              <w:rPr>
                <w:b/>
                <w:sz w:val="22"/>
                <w:szCs w:val="22"/>
                <w:lang w:val="en-GB"/>
              </w:rPr>
              <w:t>:</w:t>
            </w:r>
            <w:r w:rsidRPr="000F0222">
              <w:rPr>
                <w:sz w:val="22"/>
                <w:szCs w:val="22"/>
                <w:lang w:val="en-GB"/>
              </w:rPr>
              <w:t xml:space="preserve"> </w:t>
            </w:r>
            <w:r w:rsidR="00F179B5" w:rsidRPr="000F0222">
              <w:rPr>
                <w:sz w:val="22"/>
                <w:szCs w:val="22"/>
                <w:lang w:val="en-GB"/>
              </w:rPr>
              <w:t>Slightly positive</w:t>
            </w:r>
            <w:r w:rsidR="00982C75" w:rsidRPr="000F0222">
              <w:rPr>
                <w:sz w:val="22"/>
                <w:szCs w:val="22"/>
                <w:lang w:val="en-GB"/>
              </w:rPr>
              <w:t>. There have been slight changes, either negative or positive, in the different parameters of this indictor</w:t>
            </w:r>
            <w:r w:rsidR="000E2F4D" w:rsidRPr="000F0222">
              <w:rPr>
                <w:sz w:val="22"/>
                <w:szCs w:val="22"/>
                <w:lang w:val="en-GB"/>
              </w:rPr>
              <w:t xml:space="preserve">. </w:t>
            </w:r>
            <w:r w:rsidR="00F179B5" w:rsidRPr="000F0222">
              <w:rPr>
                <w:sz w:val="22"/>
                <w:szCs w:val="22"/>
                <w:lang w:val="en-GB"/>
              </w:rPr>
              <w:t>O</w:t>
            </w:r>
            <w:r w:rsidR="00982C75" w:rsidRPr="000F0222">
              <w:rPr>
                <w:sz w:val="22"/>
                <w:szCs w:val="22"/>
                <w:lang w:val="en-GB"/>
              </w:rPr>
              <w:t xml:space="preserve">verall it has been assessed that there has been </w:t>
            </w:r>
            <w:r w:rsidR="00F179B5" w:rsidRPr="000F0222">
              <w:rPr>
                <w:sz w:val="22"/>
                <w:szCs w:val="22"/>
                <w:lang w:val="en-GB"/>
              </w:rPr>
              <w:t xml:space="preserve">little </w:t>
            </w:r>
            <w:r w:rsidR="00982C75" w:rsidRPr="000F0222">
              <w:rPr>
                <w:sz w:val="22"/>
                <w:szCs w:val="22"/>
                <w:lang w:val="en-GB"/>
              </w:rPr>
              <w:t xml:space="preserve">progress over the last decade. </w:t>
            </w:r>
          </w:p>
          <w:p w14:paraId="3137776F" w14:textId="77777777" w:rsidR="00B960A8" w:rsidRPr="000F0222" w:rsidRDefault="00B960A8" w:rsidP="009058FB">
            <w:pPr>
              <w:rPr>
                <w:sz w:val="22"/>
                <w:szCs w:val="22"/>
                <w:lang w:val="en-GB"/>
              </w:rPr>
            </w:pPr>
          </w:p>
          <w:p w14:paraId="3E3F4A3C" w14:textId="77777777" w:rsidR="00052531" w:rsidRDefault="009058FB" w:rsidP="009058FB">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F14B6E" w:rsidRPr="000F0222">
              <w:rPr>
                <w:sz w:val="22"/>
                <w:szCs w:val="22"/>
                <w:lang w:val="en-GB"/>
              </w:rPr>
              <w:t xml:space="preserve">the </w:t>
            </w:r>
            <w:r w:rsidRPr="000F0222">
              <w:rPr>
                <w:sz w:val="22"/>
                <w:szCs w:val="22"/>
                <w:lang w:val="en-GB"/>
              </w:rPr>
              <w:t>AEWA National Reports for the</w:t>
            </w:r>
            <w:r w:rsidR="00481660" w:rsidRPr="000F0222">
              <w:rPr>
                <w:sz w:val="22"/>
                <w:szCs w:val="22"/>
                <w:lang w:val="en-GB"/>
              </w:rPr>
              <w:t xml:space="preserve"> </w:t>
            </w:r>
            <w:r w:rsidR="00F14B6E" w:rsidRPr="000F0222">
              <w:rPr>
                <w:sz w:val="22"/>
                <w:szCs w:val="22"/>
                <w:lang w:val="en-GB"/>
              </w:rPr>
              <w:t>T</w:t>
            </w:r>
            <w:r w:rsidRPr="000F0222">
              <w:rPr>
                <w:sz w:val="22"/>
                <w:szCs w:val="22"/>
                <w:lang w:val="en-GB"/>
              </w:rPr>
              <w:t xml:space="preserve">riennium </w:t>
            </w:r>
          </w:p>
          <w:p w14:paraId="34708540" w14:textId="5DD2385D" w:rsidR="009058FB" w:rsidRPr="000F0222" w:rsidRDefault="00052531" w:rsidP="009058FB">
            <w:pPr>
              <w:rPr>
                <w:sz w:val="22"/>
                <w:szCs w:val="22"/>
                <w:lang w:val="en-GB"/>
              </w:rPr>
            </w:pPr>
            <w:r>
              <w:rPr>
                <w:sz w:val="22"/>
                <w:szCs w:val="22"/>
                <w:lang w:val="en-GB"/>
              </w:rPr>
              <w:t xml:space="preserve">                   </w:t>
            </w:r>
            <w:r w:rsidR="009058FB" w:rsidRPr="000F0222">
              <w:rPr>
                <w:sz w:val="22"/>
                <w:szCs w:val="22"/>
                <w:lang w:val="en-GB"/>
              </w:rPr>
              <w:t>20</w:t>
            </w:r>
            <w:r w:rsidR="00AC65D5" w:rsidRPr="000F0222">
              <w:rPr>
                <w:sz w:val="22"/>
                <w:szCs w:val="22"/>
                <w:lang w:val="en-GB"/>
              </w:rPr>
              <w:t>1</w:t>
            </w:r>
            <w:r w:rsidR="00F14B6E" w:rsidRPr="000F0222">
              <w:rPr>
                <w:sz w:val="22"/>
                <w:szCs w:val="22"/>
                <w:lang w:val="en-GB"/>
              </w:rPr>
              <w:t>5</w:t>
            </w:r>
            <w:r w:rsidR="009058FB" w:rsidRPr="000F0222">
              <w:rPr>
                <w:sz w:val="22"/>
                <w:szCs w:val="22"/>
                <w:lang w:val="en-GB"/>
              </w:rPr>
              <w:t>-201</w:t>
            </w:r>
            <w:r w:rsidR="00F14B6E" w:rsidRPr="000F0222">
              <w:rPr>
                <w:sz w:val="22"/>
                <w:szCs w:val="22"/>
                <w:lang w:val="en-GB"/>
              </w:rPr>
              <w:t>7</w:t>
            </w:r>
            <w:r w:rsidR="009058FB" w:rsidRPr="000F0222">
              <w:rPr>
                <w:sz w:val="22"/>
                <w:szCs w:val="22"/>
                <w:lang w:val="en-GB"/>
              </w:rPr>
              <w:t xml:space="preserve"> (document AEWA/MOP </w:t>
            </w:r>
            <w:r w:rsidR="00F14B6E" w:rsidRPr="000F0222">
              <w:rPr>
                <w:sz w:val="22"/>
                <w:szCs w:val="22"/>
                <w:lang w:val="en-GB"/>
              </w:rPr>
              <w:t>7</w:t>
            </w:r>
            <w:r w:rsidR="009058FB" w:rsidRPr="000F0222">
              <w:rPr>
                <w:sz w:val="22"/>
                <w:szCs w:val="22"/>
                <w:lang w:val="en-GB"/>
              </w:rPr>
              <w:t>.1</w:t>
            </w:r>
            <w:r w:rsidR="00F14B6E" w:rsidRPr="000F0222">
              <w:rPr>
                <w:sz w:val="22"/>
                <w:szCs w:val="22"/>
                <w:lang w:val="en-GB"/>
              </w:rPr>
              <w:t>2</w:t>
            </w:r>
            <w:r w:rsidR="009058FB" w:rsidRPr="000F0222">
              <w:rPr>
                <w:sz w:val="22"/>
                <w:szCs w:val="22"/>
                <w:lang w:val="en-GB"/>
              </w:rPr>
              <w:t>)</w:t>
            </w:r>
          </w:p>
          <w:p w14:paraId="5BB4C41C" w14:textId="77777777" w:rsidR="009058FB" w:rsidRPr="000F0222" w:rsidRDefault="009058FB" w:rsidP="009058FB">
            <w:pPr>
              <w:rPr>
                <w:sz w:val="22"/>
                <w:szCs w:val="22"/>
                <w:lang w:val="en-GB"/>
              </w:rPr>
            </w:pPr>
          </w:p>
        </w:tc>
      </w:tr>
      <w:tr w:rsidR="009058FB" w:rsidRPr="004779F8" w14:paraId="5919B98B" w14:textId="77777777" w:rsidTr="00DA5917">
        <w:trPr>
          <w:trHeight w:val="342"/>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DA216FB" w14:textId="77777777" w:rsidR="009058FB" w:rsidRPr="000F0222" w:rsidRDefault="009058FB" w:rsidP="009058FB">
            <w:pPr>
              <w:rPr>
                <w:sz w:val="22"/>
                <w:szCs w:val="22"/>
                <w:lang w:val="en-GB"/>
              </w:rPr>
            </w:pPr>
            <w:r w:rsidRPr="000F0222">
              <w:rPr>
                <w:noProof/>
                <w:sz w:val="22"/>
                <w:szCs w:val="22"/>
                <w:lang w:val="en-GB"/>
              </w:rPr>
              <w:lastRenderedPageBreak/>
              <w:drawing>
                <wp:inline distT="0" distB="0" distL="0" distR="0" wp14:anchorId="750AEC1A" wp14:editId="3F108600">
                  <wp:extent cx="1425039" cy="1080654"/>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3E587386" w14:textId="77777777" w:rsidR="009058FB" w:rsidRPr="004779F8" w:rsidRDefault="009058FB" w:rsidP="009058FB">
            <w:pPr>
              <w:rPr>
                <w:b/>
                <w:sz w:val="22"/>
                <w:szCs w:val="22"/>
                <w:lang w:val="en-GB"/>
              </w:rPr>
            </w:pPr>
          </w:p>
          <w:p w14:paraId="6254BB70" w14:textId="77777777" w:rsidR="009058FB" w:rsidRPr="00613A29" w:rsidRDefault="009058FB" w:rsidP="009058FB">
            <w:pPr>
              <w:rPr>
                <w:b/>
                <w:sz w:val="22"/>
                <w:szCs w:val="22"/>
                <w:lang w:val="en-GB"/>
              </w:rPr>
            </w:pPr>
            <w:r w:rsidRPr="00613A29">
              <w:rPr>
                <w:b/>
                <w:sz w:val="22"/>
                <w:szCs w:val="22"/>
                <w:lang w:val="en-GB"/>
              </w:rPr>
              <w:t xml:space="preserve">1.3: Environmental Impact Assessment &amp; Strategic Environmental Assessments are used to reduce the impact of new development on </w:t>
            </w:r>
            <w:proofErr w:type="spellStart"/>
            <w:r w:rsidRPr="00613A29">
              <w:rPr>
                <w:b/>
                <w:sz w:val="22"/>
                <w:szCs w:val="22"/>
                <w:lang w:val="en-GB"/>
              </w:rPr>
              <w:t>waterbird</w:t>
            </w:r>
            <w:proofErr w:type="spellEnd"/>
            <w:r w:rsidRPr="00613A29">
              <w:rPr>
                <w:b/>
                <w:sz w:val="22"/>
                <w:szCs w:val="22"/>
                <w:lang w:val="en-GB"/>
              </w:rPr>
              <w:t xml:space="preserve"> species and populations</w:t>
            </w:r>
          </w:p>
          <w:p w14:paraId="67A796C5" w14:textId="77777777" w:rsidR="009058FB" w:rsidRPr="008C5535"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34FF0AA" w14:textId="77777777" w:rsidR="009058FB" w:rsidRPr="00E4475D" w:rsidRDefault="009058FB" w:rsidP="009058FB">
            <w:pPr>
              <w:rPr>
                <w:b/>
                <w:sz w:val="22"/>
                <w:szCs w:val="22"/>
                <w:lang w:val="en-GB"/>
              </w:rPr>
            </w:pPr>
          </w:p>
          <w:p w14:paraId="4CD06F37" w14:textId="77777777" w:rsidR="009058FB" w:rsidRPr="00852729" w:rsidRDefault="009058FB" w:rsidP="009058FB">
            <w:pPr>
              <w:rPr>
                <w:b/>
                <w:sz w:val="22"/>
                <w:szCs w:val="22"/>
                <w:lang w:val="en-GB"/>
              </w:rPr>
            </w:pPr>
            <w:r w:rsidRPr="00852729">
              <w:rPr>
                <w:b/>
                <w:sz w:val="22"/>
                <w:szCs w:val="22"/>
                <w:lang w:val="en-GB"/>
              </w:rPr>
              <w:t xml:space="preserve">All CPs use EIA/SEA to reduce the impact on </w:t>
            </w:r>
            <w:proofErr w:type="spellStart"/>
            <w:r w:rsidRPr="00852729">
              <w:rPr>
                <w:b/>
                <w:sz w:val="22"/>
                <w:szCs w:val="22"/>
                <w:lang w:val="en-GB"/>
              </w:rPr>
              <w:t>waterbirds</w:t>
            </w:r>
            <w:proofErr w:type="spellEnd"/>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7347796D" w14:textId="77777777" w:rsidR="009058FB" w:rsidRPr="000F0222" w:rsidRDefault="009058FB" w:rsidP="009058FB">
            <w:pPr>
              <w:rPr>
                <w:sz w:val="22"/>
                <w:szCs w:val="22"/>
                <w:lang w:val="en-GB"/>
              </w:rPr>
            </w:pPr>
          </w:p>
          <w:p w14:paraId="180A52BF" w14:textId="103938C8" w:rsidR="009058FB" w:rsidRPr="000F0222" w:rsidRDefault="00923E63" w:rsidP="009058FB">
            <w:pPr>
              <w:rPr>
                <w:sz w:val="22"/>
                <w:szCs w:val="22"/>
                <w:lang w:val="en-GB"/>
              </w:rPr>
            </w:pPr>
            <w:r w:rsidRPr="000F0222">
              <w:rPr>
                <w:sz w:val="22"/>
                <w:szCs w:val="22"/>
                <w:lang w:val="en-GB"/>
              </w:rPr>
              <w:t>6</w:t>
            </w:r>
            <w:r w:rsidR="00C45FD7" w:rsidRPr="000F0222">
              <w:rPr>
                <w:sz w:val="22"/>
                <w:szCs w:val="22"/>
                <w:lang w:val="en-GB"/>
              </w:rPr>
              <w:t>1</w:t>
            </w:r>
            <w:r w:rsidR="009058FB" w:rsidRPr="000F0222">
              <w:rPr>
                <w:sz w:val="22"/>
                <w:szCs w:val="22"/>
                <w:lang w:val="en-GB"/>
              </w:rPr>
              <w:t xml:space="preserve">% of the Contracting Parties (CPs) reported EIA/SEA legislation in place and in </w:t>
            </w:r>
            <w:r w:rsidR="00F179B5" w:rsidRPr="000F0222">
              <w:rPr>
                <w:sz w:val="22"/>
                <w:szCs w:val="22"/>
                <w:lang w:val="en-GB"/>
              </w:rPr>
              <w:t>55</w:t>
            </w:r>
            <w:r w:rsidR="009058FB" w:rsidRPr="000F0222">
              <w:rPr>
                <w:sz w:val="22"/>
                <w:szCs w:val="22"/>
                <w:lang w:val="en-GB"/>
              </w:rPr>
              <w:t xml:space="preserve">% of the CPs EIA/SEA has been used for all relevant </w:t>
            </w:r>
            <w:r w:rsidR="004E37BA" w:rsidRPr="000F0222">
              <w:rPr>
                <w:sz w:val="22"/>
                <w:szCs w:val="22"/>
                <w:lang w:val="en-GB"/>
              </w:rPr>
              <w:t>projects</w:t>
            </w:r>
            <w:r w:rsidR="009058FB" w:rsidRPr="000F0222">
              <w:rPr>
                <w:sz w:val="22"/>
                <w:szCs w:val="22"/>
                <w:lang w:val="en-GB"/>
              </w:rPr>
              <w:t xml:space="preserve"> to assess their impact on AEWA species or habitats/sites on which they depend.</w:t>
            </w:r>
            <w:r w:rsidR="00F179B5" w:rsidRPr="000F0222">
              <w:rPr>
                <w:sz w:val="22"/>
                <w:szCs w:val="22"/>
                <w:lang w:val="en-GB"/>
              </w:rPr>
              <w:t xml:space="preserve"> Certain progress has been made against this indicator, but it is </w:t>
            </w:r>
            <w:r w:rsidR="00C17D74">
              <w:rPr>
                <w:sz w:val="22"/>
                <w:szCs w:val="22"/>
                <w:lang w:val="en-GB"/>
              </w:rPr>
              <w:t>still</w:t>
            </w:r>
            <w:r w:rsidR="00F179B5" w:rsidRPr="000F0222">
              <w:rPr>
                <w:sz w:val="22"/>
                <w:szCs w:val="22"/>
                <w:lang w:val="en-GB"/>
              </w:rPr>
              <w:t xml:space="preserve"> far from achieving the target.</w:t>
            </w:r>
          </w:p>
          <w:p w14:paraId="5F151E82" w14:textId="77777777" w:rsidR="000E2F4D" w:rsidRPr="000F0222" w:rsidRDefault="000E2F4D" w:rsidP="009058FB">
            <w:pPr>
              <w:rPr>
                <w:sz w:val="22"/>
                <w:szCs w:val="22"/>
                <w:lang w:val="en-GB"/>
              </w:rPr>
            </w:pPr>
          </w:p>
          <w:p w14:paraId="4840591D" w14:textId="639F27F6" w:rsidR="000E2F4D" w:rsidRPr="000F0222" w:rsidRDefault="000E2F4D" w:rsidP="009058FB">
            <w:pPr>
              <w:rPr>
                <w:sz w:val="22"/>
                <w:szCs w:val="22"/>
                <w:lang w:val="en-GB"/>
              </w:rPr>
            </w:pPr>
            <w:r w:rsidRPr="000F0222">
              <w:rPr>
                <w:b/>
                <w:sz w:val="22"/>
                <w:szCs w:val="22"/>
                <w:lang w:val="en-GB"/>
              </w:rPr>
              <w:t>Change since MOP</w:t>
            </w:r>
            <w:r w:rsidR="00F179B5" w:rsidRPr="000F0222">
              <w:rPr>
                <w:b/>
                <w:sz w:val="22"/>
                <w:szCs w:val="22"/>
                <w:lang w:val="en-GB"/>
              </w:rPr>
              <w:t>4</w:t>
            </w:r>
            <w:r w:rsidRPr="000F0222">
              <w:rPr>
                <w:b/>
                <w:sz w:val="22"/>
                <w:szCs w:val="22"/>
                <w:lang w:val="en-GB"/>
              </w:rPr>
              <w:t>:</w:t>
            </w:r>
            <w:r w:rsidRPr="000F0222">
              <w:rPr>
                <w:sz w:val="22"/>
                <w:szCs w:val="22"/>
                <w:lang w:val="en-GB"/>
              </w:rPr>
              <w:t xml:space="preserve"> Slightly </w:t>
            </w:r>
            <w:r w:rsidR="00F179B5" w:rsidRPr="000F0222">
              <w:rPr>
                <w:sz w:val="22"/>
                <w:szCs w:val="22"/>
                <w:lang w:val="en-GB"/>
              </w:rPr>
              <w:t>positive</w:t>
            </w:r>
            <w:r w:rsidRPr="000F0222">
              <w:rPr>
                <w:sz w:val="22"/>
                <w:szCs w:val="22"/>
                <w:lang w:val="en-GB"/>
              </w:rPr>
              <w:t xml:space="preserve">. </w:t>
            </w:r>
            <w:r w:rsidR="00F179B5" w:rsidRPr="000F0222">
              <w:rPr>
                <w:sz w:val="22"/>
                <w:szCs w:val="22"/>
                <w:lang w:val="en-GB"/>
              </w:rPr>
              <w:t>3</w:t>
            </w:r>
            <w:r w:rsidRPr="000F0222">
              <w:rPr>
                <w:sz w:val="22"/>
                <w:szCs w:val="22"/>
                <w:lang w:val="en-GB"/>
              </w:rPr>
              <w:t>%</w:t>
            </w:r>
            <w:r w:rsidR="007A42EA">
              <w:rPr>
                <w:sz w:val="22"/>
                <w:szCs w:val="22"/>
                <w:lang w:val="en-GB"/>
              </w:rPr>
              <w:t>-</w:t>
            </w:r>
            <w:r w:rsidR="00F179B5" w:rsidRPr="000F0222">
              <w:rPr>
                <w:sz w:val="22"/>
                <w:szCs w:val="22"/>
                <w:lang w:val="en-GB"/>
              </w:rPr>
              <w:t xml:space="preserve">point increase in the CPs </w:t>
            </w:r>
            <w:r w:rsidRPr="000F0222">
              <w:rPr>
                <w:sz w:val="22"/>
                <w:szCs w:val="22"/>
                <w:lang w:val="en-GB"/>
              </w:rPr>
              <w:t>report</w:t>
            </w:r>
            <w:r w:rsidR="00F179B5" w:rsidRPr="000F0222">
              <w:rPr>
                <w:sz w:val="22"/>
                <w:szCs w:val="22"/>
                <w:lang w:val="en-GB"/>
              </w:rPr>
              <w:t>ing</w:t>
            </w:r>
            <w:r w:rsidRPr="000F0222">
              <w:rPr>
                <w:sz w:val="22"/>
                <w:szCs w:val="22"/>
                <w:lang w:val="en-GB"/>
              </w:rPr>
              <w:t xml:space="preserve"> EIA/SEA legislation in place</w:t>
            </w:r>
            <w:r w:rsidR="00F179B5" w:rsidRPr="000F0222">
              <w:rPr>
                <w:sz w:val="22"/>
                <w:szCs w:val="22"/>
                <w:lang w:val="en-GB"/>
              </w:rPr>
              <w:t xml:space="preserve"> and 5%</w:t>
            </w:r>
            <w:r w:rsidR="007A42EA">
              <w:rPr>
                <w:sz w:val="22"/>
                <w:szCs w:val="22"/>
                <w:lang w:val="en-GB"/>
              </w:rPr>
              <w:t>-</w:t>
            </w:r>
            <w:r w:rsidR="00F179B5" w:rsidRPr="000F0222">
              <w:rPr>
                <w:sz w:val="22"/>
                <w:szCs w:val="22"/>
                <w:lang w:val="en-GB"/>
              </w:rPr>
              <w:t>point increase in the number of CPs where</w:t>
            </w:r>
            <w:r w:rsidR="00F179B5" w:rsidRPr="000F0222">
              <w:rPr>
                <w:lang w:val="en-GB"/>
              </w:rPr>
              <w:t xml:space="preserve"> </w:t>
            </w:r>
            <w:r w:rsidR="00F179B5" w:rsidRPr="000F0222">
              <w:rPr>
                <w:sz w:val="22"/>
                <w:szCs w:val="22"/>
                <w:lang w:val="en-GB"/>
              </w:rPr>
              <w:t>EIA/SEA has been used for all relevant projects</w:t>
            </w:r>
            <w:r w:rsidRPr="000F0222">
              <w:rPr>
                <w:sz w:val="22"/>
                <w:szCs w:val="22"/>
                <w:lang w:val="en-GB"/>
              </w:rPr>
              <w:t xml:space="preserve">. </w:t>
            </w:r>
          </w:p>
          <w:p w14:paraId="67A778FC" w14:textId="77777777" w:rsidR="009058FB" w:rsidRPr="000F0222" w:rsidRDefault="009058FB" w:rsidP="009058FB">
            <w:pPr>
              <w:rPr>
                <w:sz w:val="22"/>
                <w:szCs w:val="22"/>
                <w:lang w:val="en-GB"/>
              </w:rPr>
            </w:pPr>
          </w:p>
          <w:p w14:paraId="13B701D1" w14:textId="77777777" w:rsidR="00052531" w:rsidRDefault="009058FB" w:rsidP="00481660">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A06E74" w:rsidRPr="000F0222">
              <w:rPr>
                <w:sz w:val="22"/>
                <w:szCs w:val="22"/>
                <w:lang w:val="en-GB"/>
              </w:rPr>
              <w:t xml:space="preserve">the </w:t>
            </w:r>
            <w:r w:rsidRPr="000F0222">
              <w:rPr>
                <w:sz w:val="22"/>
                <w:szCs w:val="22"/>
                <w:lang w:val="en-GB"/>
              </w:rPr>
              <w:t>AEWA National Reports for the</w:t>
            </w:r>
            <w:r w:rsidR="00481660" w:rsidRPr="000F0222">
              <w:rPr>
                <w:sz w:val="22"/>
                <w:szCs w:val="22"/>
                <w:lang w:val="en-GB"/>
              </w:rPr>
              <w:t xml:space="preserve"> </w:t>
            </w:r>
            <w:r w:rsidR="00A06E74" w:rsidRPr="000F0222">
              <w:rPr>
                <w:sz w:val="22"/>
                <w:szCs w:val="22"/>
                <w:lang w:val="en-GB"/>
              </w:rPr>
              <w:t>T</w:t>
            </w:r>
            <w:r w:rsidRPr="000F0222">
              <w:rPr>
                <w:sz w:val="22"/>
                <w:szCs w:val="22"/>
                <w:lang w:val="en-GB"/>
              </w:rPr>
              <w:t xml:space="preserve">riennium </w:t>
            </w:r>
          </w:p>
          <w:p w14:paraId="13204C3F" w14:textId="3F4FA3B9" w:rsidR="009058FB" w:rsidRPr="000F0222" w:rsidRDefault="00052531" w:rsidP="00481660">
            <w:pPr>
              <w:rPr>
                <w:sz w:val="22"/>
                <w:szCs w:val="22"/>
                <w:lang w:val="en-GB"/>
              </w:rPr>
            </w:pPr>
            <w:r>
              <w:rPr>
                <w:sz w:val="22"/>
                <w:szCs w:val="22"/>
                <w:lang w:val="en-GB"/>
              </w:rPr>
              <w:t xml:space="preserve">                   </w:t>
            </w:r>
            <w:r w:rsidR="009058FB" w:rsidRPr="000F0222">
              <w:rPr>
                <w:sz w:val="22"/>
                <w:szCs w:val="22"/>
                <w:lang w:val="en-GB"/>
              </w:rPr>
              <w:t>20</w:t>
            </w:r>
            <w:r w:rsidR="00C45FD7" w:rsidRPr="000F0222">
              <w:rPr>
                <w:sz w:val="22"/>
                <w:szCs w:val="22"/>
                <w:lang w:val="en-GB"/>
              </w:rPr>
              <w:t>1</w:t>
            </w:r>
            <w:r w:rsidR="00A06E74" w:rsidRPr="000F0222">
              <w:rPr>
                <w:sz w:val="22"/>
                <w:szCs w:val="22"/>
                <w:lang w:val="en-GB"/>
              </w:rPr>
              <w:t>5</w:t>
            </w:r>
            <w:r w:rsidR="009058FB" w:rsidRPr="000F0222">
              <w:rPr>
                <w:sz w:val="22"/>
                <w:szCs w:val="22"/>
                <w:lang w:val="en-GB"/>
              </w:rPr>
              <w:t>-201</w:t>
            </w:r>
            <w:r w:rsidR="00A06E74" w:rsidRPr="000F0222">
              <w:rPr>
                <w:sz w:val="22"/>
                <w:szCs w:val="22"/>
                <w:lang w:val="en-GB"/>
              </w:rPr>
              <w:t>7</w:t>
            </w:r>
            <w:r w:rsidR="009058FB" w:rsidRPr="000F0222">
              <w:rPr>
                <w:sz w:val="22"/>
                <w:szCs w:val="22"/>
                <w:lang w:val="en-GB"/>
              </w:rPr>
              <w:t xml:space="preserve"> (document AEWA/MOP </w:t>
            </w:r>
            <w:r w:rsidR="00A06E74" w:rsidRPr="000F0222">
              <w:rPr>
                <w:sz w:val="22"/>
                <w:szCs w:val="22"/>
                <w:lang w:val="en-GB"/>
              </w:rPr>
              <w:t>7</w:t>
            </w:r>
            <w:r w:rsidR="009058FB" w:rsidRPr="000F0222">
              <w:rPr>
                <w:sz w:val="22"/>
                <w:szCs w:val="22"/>
                <w:lang w:val="en-GB"/>
              </w:rPr>
              <w:t>.1</w:t>
            </w:r>
            <w:r w:rsidR="00A06E74" w:rsidRPr="000F0222">
              <w:rPr>
                <w:sz w:val="22"/>
                <w:szCs w:val="22"/>
                <w:lang w:val="en-GB"/>
              </w:rPr>
              <w:t>2</w:t>
            </w:r>
            <w:r w:rsidR="009058FB" w:rsidRPr="000F0222">
              <w:rPr>
                <w:sz w:val="22"/>
                <w:szCs w:val="22"/>
                <w:lang w:val="en-GB"/>
              </w:rPr>
              <w:t>)</w:t>
            </w:r>
          </w:p>
        </w:tc>
      </w:tr>
      <w:tr w:rsidR="009058FB" w:rsidRPr="004779F8" w14:paraId="05CF3162" w14:textId="77777777" w:rsidTr="00DA5917">
        <w:trPr>
          <w:trHeight w:val="620"/>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AEFED3A" w14:textId="77777777" w:rsidR="009058FB" w:rsidRPr="000F0222" w:rsidRDefault="00DA5917" w:rsidP="009058FB">
            <w:pPr>
              <w:rPr>
                <w:sz w:val="22"/>
                <w:szCs w:val="22"/>
                <w:lang w:val="en-GB"/>
              </w:rPr>
            </w:pPr>
            <w:r w:rsidRPr="000F0222">
              <w:rPr>
                <w:noProof/>
                <w:sz w:val="22"/>
                <w:szCs w:val="22"/>
                <w:lang w:val="en-GB"/>
              </w:rPr>
              <w:drawing>
                <wp:inline distT="0" distB="0" distL="0" distR="0" wp14:anchorId="77F17ED8" wp14:editId="069C244D">
                  <wp:extent cx="1425039" cy="1080654"/>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716C9AD7" w14:textId="77777777" w:rsidR="009058FB" w:rsidRPr="004779F8" w:rsidRDefault="009058FB" w:rsidP="009058FB">
            <w:pPr>
              <w:rPr>
                <w:b/>
                <w:sz w:val="22"/>
                <w:szCs w:val="22"/>
                <w:lang w:val="en-GB"/>
              </w:rPr>
            </w:pPr>
          </w:p>
          <w:p w14:paraId="6E7D22F6" w14:textId="77777777" w:rsidR="009058FB" w:rsidRPr="008C5535" w:rsidRDefault="009058FB" w:rsidP="009058FB">
            <w:pPr>
              <w:rPr>
                <w:b/>
                <w:sz w:val="22"/>
                <w:szCs w:val="22"/>
                <w:lang w:val="en-GB"/>
              </w:rPr>
            </w:pPr>
            <w:r w:rsidRPr="00613A29">
              <w:rPr>
                <w:b/>
                <w:sz w:val="22"/>
                <w:szCs w:val="22"/>
                <w:lang w:val="en-GB"/>
              </w:rPr>
              <w:t>1.4: Single Species Action Plans (SSAPs) are developed and implemented for most threatened species listed in category 1 and categories 2 and 3, marked</w:t>
            </w:r>
            <w:r w:rsidRPr="008C5535">
              <w:rPr>
                <w:b/>
                <w:sz w:val="22"/>
                <w:szCs w:val="22"/>
                <w:lang w:val="en-GB"/>
              </w:rPr>
              <w:t xml:space="preserve"> with an asterisk on column A of Table 1</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1B3371F" w14:textId="77777777" w:rsidR="009058FB" w:rsidRPr="00E4475D" w:rsidRDefault="009058FB" w:rsidP="009058FB">
            <w:pPr>
              <w:rPr>
                <w:b/>
                <w:sz w:val="22"/>
                <w:szCs w:val="22"/>
                <w:lang w:val="en-GB"/>
              </w:rPr>
            </w:pPr>
          </w:p>
          <w:p w14:paraId="63566E8F" w14:textId="77777777" w:rsidR="009058FB" w:rsidRPr="00852729" w:rsidRDefault="009058FB" w:rsidP="009058FB">
            <w:pPr>
              <w:rPr>
                <w:b/>
                <w:sz w:val="22"/>
                <w:szCs w:val="22"/>
                <w:lang w:val="en-GB"/>
              </w:rPr>
            </w:pPr>
            <w:r w:rsidRPr="00852729">
              <w:rPr>
                <w:b/>
                <w:sz w:val="22"/>
                <w:szCs w:val="22"/>
                <w:lang w:val="en-GB"/>
              </w:rPr>
              <w:t>SSAPs are in place and being effectively implemented for all globally threatened species and species marked with an asterisk</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5DC5D0A" w14:textId="77777777" w:rsidR="009058FB" w:rsidRPr="000F0222" w:rsidRDefault="009058FB" w:rsidP="009058FB">
            <w:pPr>
              <w:rPr>
                <w:sz w:val="22"/>
                <w:szCs w:val="22"/>
                <w:lang w:val="en-GB"/>
              </w:rPr>
            </w:pPr>
          </w:p>
          <w:p w14:paraId="73C5D431" w14:textId="08EFC656" w:rsidR="00821504" w:rsidRPr="000F0222" w:rsidRDefault="009058FB" w:rsidP="009058FB">
            <w:pPr>
              <w:rPr>
                <w:sz w:val="22"/>
                <w:szCs w:val="22"/>
                <w:lang w:val="en-GB"/>
              </w:rPr>
            </w:pPr>
            <w:r w:rsidRPr="000F0222">
              <w:rPr>
                <w:sz w:val="22"/>
                <w:szCs w:val="22"/>
                <w:lang w:val="en-GB"/>
              </w:rPr>
              <w:t xml:space="preserve">Of the </w:t>
            </w:r>
            <w:r w:rsidR="00774E47" w:rsidRPr="000F0222">
              <w:rPr>
                <w:sz w:val="22"/>
                <w:szCs w:val="22"/>
                <w:lang w:val="en-GB"/>
              </w:rPr>
              <w:t xml:space="preserve">32 </w:t>
            </w:r>
            <w:r w:rsidRPr="000F0222">
              <w:rPr>
                <w:sz w:val="22"/>
                <w:szCs w:val="22"/>
                <w:lang w:val="en-GB"/>
              </w:rPr>
              <w:t xml:space="preserve">AEWA species classified as </w:t>
            </w:r>
            <w:r w:rsidR="00A2715E" w:rsidRPr="000F0222">
              <w:rPr>
                <w:sz w:val="22"/>
                <w:szCs w:val="22"/>
                <w:lang w:val="en-GB"/>
              </w:rPr>
              <w:t>g</w:t>
            </w:r>
            <w:r w:rsidRPr="000F0222">
              <w:rPr>
                <w:sz w:val="22"/>
                <w:szCs w:val="22"/>
                <w:lang w:val="en-GB"/>
              </w:rPr>
              <w:t xml:space="preserve">lobally </w:t>
            </w:r>
            <w:r w:rsidR="00A2715E" w:rsidRPr="000F0222">
              <w:rPr>
                <w:sz w:val="22"/>
                <w:szCs w:val="22"/>
                <w:lang w:val="en-GB"/>
              </w:rPr>
              <w:t>t</w:t>
            </w:r>
            <w:r w:rsidRPr="000F0222">
              <w:rPr>
                <w:sz w:val="22"/>
                <w:szCs w:val="22"/>
                <w:lang w:val="en-GB"/>
              </w:rPr>
              <w:t>hreatened in 201</w:t>
            </w:r>
            <w:r w:rsidR="00774E47" w:rsidRPr="000F0222">
              <w:rPr>
                <w:sz w:val="22"/>
                <w:szCs w:val="22"/>
                <w:lang w:val="en-GB"/>
              </w:rPr>
              <w:t>7</w:t>
            </w:r>
            <w:r w:rsidR="00A2715E" w:rsidRPr="000F0222">
              <w:rPr>
                <w:sz w:val="22"/>
                <w:szCs w:val="22"/>
                <w:lang w:val="en-GB"/>
              </w:rPr>
              <w:t>,</w:t>
            </w:r>
            <w:r w:rsidRPr="000F0222">
              <w:rPr>
                <w:sz w:val="22"/>
                <w:szCs w:val="22"/>
                <w:lang w:val="en-GB"/>
              </w:rPr>
              <w:t xml:space="preserve"> AEWA SSAPs have been adopted or developed for </w:t>
            </w:r>
            <w:r w:rsidR="00382AAD" w:rsidRPr="000F0222">
              <w:rPr>
                <w:sz w:val="22"/>
                <w:szCs w:val="22"/>
                <w:lang w:val="en-GB"/>
              </w:rPr>
              <w:t>1</w:t>
            </w:r>
            <w:r w:rsidR="007A2811" w:rsidRPr="000F0222">
              <w:rPr>
                <w:sz w:val="22"/>
                <w:szCs w:val="22"/>
                <w:lang w:val="en-GB"/>
              </w:rPr>
              <w:t>3</w:t>
            </w:r>
            <w:r w:rsidR="00382AAD" w:rsidRPr="000F0222">
              <w:rPr>
                <w:sz w:val="22"/>
                <w:szCs w:val="22"/>
                <w:lang w:val="en-GB"/>
              </w:rPr>
              <w:t xml:space="preserve"> species and </w:t>
            </w:r>
            <w:r w:rsidR="007A2811" w:rsidRPr="000F0222">
              <w:rPr>
                <w:sz w:val="22"/>
                <w:szCs w:val="22"/>
                <w:lang w:val="en-GB"/>
              </w:rPr>
              <w:t xml:space="preserve">five </w:t>
            </w:r>
            <w:r w:rsidR="00382AAD" w:rsidRPr="000F0222">
              <w:rPr>
                <w:sz w:val="22"/>
                <w:szCs w:val="22"/>
                <w:lang w:val="en-GB"/>
              </w:rPr>
              <w:t>species are covered by a Multi-</w:t>
            </w:r>
            <w:proofErr w:type="gramStart"/>
            <w:r w:rsidR="00382AAD" w:rsidRPr="000F0222">
              <w:rPr>
                <w:sz w:val="22"/>
                <w:szCs w:val="22"/>
                <w:lang w:val="en-GB"/>
              </w:rPr>
              <w:t>species</w:t>
            </w:r>
            <w:proofErr w:type="gramEnd"/>
            <w:r w:rsidR="00382AAD" w:rsidRPr="000F0222">
              <w:rPr>
                <w:sz w:val="22"/>
                <w:szCs w:val="22"/>
                <w:lang w:val="en-GB"/>
              </w:rPr>
              <w:t xml:space="preserve"> Action Plan</w:t>
            </w:r>
            <w:r w:rsidRPr="000F0222">
              <w:rPr>
                <w:sz w:val="22"/>
                <w:szCs w:val="22"/>
                <w:lang w:val="en-GB"/>
              </w:rPr>
              <w:t xml:space="preserve">. Of these, international mechanisms for coordination of implementation have been established for </w:t>
            </w:r>
            <w:r w:rsidR="00B55FA4" w:rsidRPr="000F0222">
              <w:rPr>
                <w:sz w:val="22"/>
                <w:szCs w:val="22"/>
                <w:lang w:val="en-GB"/>
              </w:rPr>
              <w:t xml:space="preserve">11 </w:t>
            </w:r>
            <w:r w:rsidRPr="000F0222">
              <w:rPr>
                <w:sz w:val="22"/>
                <w:szCs w:val="22"/>
                <w:lang w:val="en-GB"/>
              </w:rPr>
              <w:t>SSAPs</w:t>
            </w:r>
            <w:r w:rsidR="00B55FA4" w:rsidRPr="000F0222">
              <w:rPr>
                <w:sz w:val="22"/>
                <w:szCs w:val="22"/>
                <w:lang w:val="en-GB"/>
              </w:rPr>
              <w:t xml:space="preserve"> and for the MSAP</w:t>
            </w:r>
            <w:r w:rsidRPr="000F0222">
              <w:rPr>
                <w:sz w:val="22"/>
                <w:szCs w:val="22"/>
                <w:lang w:val="en-GB"/>
              </w:rPr>
              <w:t xml:space="preserve">, </w:t>
            </w:r>
            <w:r w:rsidR="00382AAD" w:rsidRPr="000F0222">
              <w:rPr>
                <w:sz w:val="22"/>
                <w:szCs w:val="22"/>
                <w:lang w:val="en-GB"/>
              </w:rPr>
              <w:t xml:space="preserve">although </w:t>
            </w:r>
            <w:r w:rsidRPr="000F0222">
              <w:rPr>
                <w:sz w:val="22"/>
                <w:szCs w:val="22"/>
                <w:lang w:val="en-GB"/>
              </w:rPr>
              <w:t>not all of them are fully operational</w:t>
            </w:r>
            <w:r w:rsidR="00382AAD" w:rsidRPr="000F0222">
              <w:rPr>
                <w:sz w:val="22"/>
                <w:szCs w:val="22"/>
                <w:lang w:val="en-GB"/>
              </w:rPr>
              <w:t xml:space="preserve"> yet</w:t>
            </w:r>
            <w:r w:rsidRPr="000F0222">
              <w:rPr>
                <w:sz w:val="22"/>
                <w:szCs w:val="22"/>
                <w:lang w:val="en-GB"/>
              </w:rPr>
              <w:t xml:space="preserve">. </w:t>
            </w:r>
          </w:p>
          <w:p w14:paraId="159D8C98" w14:textId="77777777" w:rsidR="00821504" w:rsidRPr="000F0222" w:rsidRDefault="00821504" w:rsidP="009058FB">
            <w:pPr>
              <w:rPr>
                <w:sz w:val="22"/>
                <w:szCs w:val="22"/>
                <w:lang w:val="en-GB"/>
              </w:rPr>
            </w:pPr>
          </w:p>
          <w:p w14:paraId="71E9EA1F" w14:textId="40A6C260" w:rsidR="009058FB" w:rsidRPr="000F0222" w:rsidRDefault="009058FB" w:rsidP="009058FB">
            <w:pPr>
              <w:rPr>
                <w:sz w:val="22"/>
                <w:szCs w:val="22"/>
                <w:lang w:val="en-GB"/>
              </w:rPr>
            </w:pPr>
            <w:r w:rsidRPr="000F0222">
              <w:rPr>
                <w:sz w:val="22"/>
                <w:szCs w:val="22"/>
                <w:lang w:val="en-GB"/>
              </w:rPr>
              <w:t xml:space="preserve">SSAPs have been developed </w:t>
            </w:r>
            <w:r w:rsidR="002266AF" w:rsidRPr="000F0222">
              <w:rPr>
                <w:sz w:val="22"/>
                <w:szCs w:val="22"/>
                <w:lang w:val="en-GB"/>
              </w:rPr>
              <w:t xml:space="preserve">and adopted </w:t>
            </w:r>
            <w:r w:rsidR="006746FB" w:rsidRPr="000F0222">
              <w:rPr>
                <w:sz w:val="22"/>
                <w:szCs w:val="22"/>
                <w:lang w:val="en-GB"/>
              </w:rPr>
              <w:t>for two of the three populations marked with an asterisk</w:t>
            </w:r>
            <w:r w:rsidRPr="000F0222">
              <w:rPr>
                <w:sz w:val="22"/>
                <w:szCs w:val="22"/>
                <w:lang w:val="en-GB"/>
              </w:rPr>
              <w:t xml:space="preserve">. For the species with adopted SSAPs </w:t>
            </w:r>
            <w:r w:rsidR="006746FB" w:rsidRPr="000F0222">
              <w:rPr>
                <w:sz w:val="22"/>
                <w:szCs w:val="22"/>
                <w:lang w:val="en-GB"/>
              </w:rPr>
              <w:t xml:space="preserve">just a few </w:t>
            </w:r>
            <w:r w:rsidRPr="000F0222">
              <w:rPr>
                <w:sz w:val="22"/>
                <w:szCs w:val="22"/>
                <w:lang w:val="en-GB"/>
              </w:rPr>
              <w:lastRenderedPageBreak/>
              <w:t xml:space="preserve">national action plans have been developed and implemented by </w:t>
            </w:r>
            <w:r w:rsidR="006746FB" w:rsidRPr="000F0222">
              <w:rPr>
                <w:sz w:val="22"/>
                <w:szCs w:val="22"/>
                <w:lang w:val="en-GB"/>
              </w:rPr>
              <w:t xml:space="preserve">very </w:t>
            </w:r>
            <w:r w:rsidRPr="000F0222">
              <w:rPr>
                <w:sz w:val="22"/>
                <w:szCs w:val="22"/>
                <w:lang w:val="en-GB"/>
              </w:rPr>
              <w:t>few Contracting Parties.</w:t>
            </w:r>
          </w:p>
          <w:p w14:paraId="2B2CFB03" w14:textId="77A661DA" w:rsidR="00EF5C14" w:rsidRPr="000F0222" w:rsidRDefault="00EF5C14" w:rsidP="009058FB">
            <w:pPr>
              <w:rPr>
                <w:sz w:val="22"/>
                <w:szCs w:val="22"/>
                <w:lang w:val="en-GB"/>
              </w:rPr>
            </w:pPr>
          </w:p>
          <w:p w14:paraId="4504D823" w14:textId="0FEBED54" w:rsidR="00EF5C14" w:rsidRPr="000F0222" w:rsidRDefault="00EF5C14" w:rsidP="009058FB">
            <w:pPr>
              <w:rPr>
                <w:sz w:val="22"/>
                <w:szCs w:val="22"/>
                <w:lang w:val="en-GB"/>
              </w:rPr>
            </w:pPr>
            <w:r w:rsidRPr="000F0222">
              <w:rPr>
                <w:sz w:val="22"/>
                <w:szCs w:val="22"/>
                <w:lang w:val="en-GB"/>
              </w:rPr>
              <w:t xml:space="preserve">Strong progress has been made in the development in plans and establishment of international coordination mechanisms. However, the main gap remaining is in the comprehensive implementation of the plans. Hence, the overall assessment of the progress towards this target is only moderate. </w:t>
            </w:r>
          </w:p>
          <w:p w14:paraId="35C7AEE2" w14:textId="77777777" w:rsidR="009058FB" w:rsidRPr="000F0222" w:rsidRDefault="009058FB" w:rsidP="009058FB">
            <w:pPr>
              <w:rPr>
                <w:sz w:val="22"/>
                <w:szCs w:val="22"/>
                <w:lang w:val="en-GB"/>
              </w:rPr>
            </w:pPr>
          </w:p>
          <w:p w14:paraId="488CE540" w14:textId="13AB6E1E" w:rsidR="000E2F4D" w:rsidRPr="000F0222" w:rsidRDefault="000E2F4D" w:rsidP="009058FB">
            <w:pPr>
              <w:rPr>
                <w:sz w:val="22"/>
                <w:szCs w:val="22"/>
                <w:lang w:val="en-GB"/>
              </w:rPr>
            </w:pPr>
            <w:r w:rsidRPr="000F0222">
              <w:rPr>
                <w:b/>
                <w:sz w:val="22"/>
                <w:szCs w:val="22"/>
                <w:lang w:val="en-GB"/>
              </w:rPr>
              <w:t>Change since MOP</w:t>
            </w:r>
            <w:r w:rsidR="002266AF" w:rsidRPr="000F0222">
              <w:rPr>
                <w:b/>
                <w:sz w:val="22"/>
                <w:szCs w:val="22"/>
                <w:lang w:val="en-GB"/>
              </w:rPr>
              <w:t>4</w:t>
            </w:r>
            <w:r w:rsidRPr="000F0222">
              <w:rPr>
                <w:b/>
                <w:sz w:val="22"/>
                <w:szCs w:val="22"/>
                <w:lang w:val="en-GB"/>
              </w:rPr>
              <w:t>:</w:t>
            </w:r>
            <w:r w:rsidRPr="000F0222">
              <w:rPr>
                <w:sz w:val="22"/>
                <w:szCs w:val="22"/>
                <w:lang w:val="en-GB"/>
              </w:rPr>
              <w:t xml:space="preserve"> </w:t>
            </w:r>
            <w:r w:rsidR="00382AAD" w:rsidRPr="000F0222">
              <w:rPr>
                <w:sz w:val="22"/>
                <w:szCs w:val="22"/>
                <w:lang w:val="en-GB"/>
              </w:rPr>
              <w:t xml:space="preserve">Positive. </w:t>
            </w:r>
            <w:r w:rsidR="002266AF" w:rsidRPr="000F0222">
              <w:rPr>
                <w:sz w:val="22"/>
                <w:szCs w:val="22"/>
                <w:lang w:val="en-GB"/>
              </w:rPr>
              <w:t>The coverage of Globally Threatened species by species action plans has increased from 33% in 2012 to 59% in 2018 and of the asterisk</w:t>
            </w:r>
            <w:r w:rsidR="00EF5C14" w:rsidRPr="000F0222">
              <w:rPr>
                <w:sz w:val="22"/>
                <w:szCs w:val="22"/>
                <w:lang w:val="en-GB"/>
              </w:rPr>
              <w:t xml:space="preserve">-marked populations from zero to 67%. </w:t>
            </w:r>
            <w:r w:rsidR="007E74B7" w:rsidRPr="000F0222">
              <w:rPr>
                <w:sz w:val="22"/>
                <w:szCs w:val="22"/>
                <w:lang w:val="en-GB"/>
              </w:rPr>
              <w:t>International</w:t>
            </w:r>
            <w:r w:rsidR="00382AAD" w:rsidRPr="000F0222">
              <w:rPr>
                <w:sz w:val="22"/>
                <w:szCs w:val="22"/>
                <w:lang w:val="en-GB"/>
              </w:rPr>
              <w:t xml:space="preserve"> coordination mechanisms are in place </w:t>
            </w:r>
            <w:r w:rsidR="00EF5C14" w:rsidRPr="000F0222">
              <w:rPr>
                <w:sz w:val="22"/>
                <w:szCs w:val="22"/>
                <w:lang w:val="en-GB"/>
              </w:rPr>
              <w:t>for all but two of the 19 species for which species action plans have been adopted under AEWA</w:t>
            </w:r>
            <w:r w:rsidR="007E74B7" w:rsidRPr="000F0222">
              <w:rPr>
                <w:sz w:val="22"/>
                <w:szCs w:val="22"/>
                <w:lang w:val="en-GB"/>
              </w:rPr>
              <w:t>.</w:t>
            </w:r>
          </w:p>
          <w:p w14:paraId="60439739" w14:textId="77777777" w:rsidR="00382AAD" w:rsidRPr="000F0222" w:rsidRDefault="00382AAD" w:rsidP="009058FB">
            <w:pPr>
              <w:rPr>
                <w:sz w:val="22"/>
                <w:szCs w:val="22"/>
                <w:lang w:val="en-GB"/>
              </w:rPr>
            </w:pPr>
          </w:p>
          <w:p w14:paraId="1C0D50C8" w14:textId="3C2AEE11" w:rsidR="009058FB" w:rsidRDefault="009058FB" w:rsidP="00052531">
            <w:pPr>
              <w:rPr>
                <w:sz w:val="22"/>
                <w:szCs w:val="22"/>
                <w:lang w:val="en-GB"/>
              </w:rPr>
            </w:pPr>
            <w:r w:rsidRPr="00EE4B0F">
              <w:rPr>
                <w:b/>
                <w:sz w:val="22"/>
                <w:szCs w:val="22"/>
                <w:lang w:val="en-GB"/>
              </w:rPr>
              <w:t xml:space="preserve">Reference: </w:t>
            </w:r>
            <w:r w:rsidR="00EF5C14" w:rsidRPr="00052531">
              <w:rPr>
                <w:sz w:val="22"/>
                <w:szCs w:val="22"/>
                <w:lang w:val="en-GB"/>
              </w:rPr>
              <w:t>7</w:t>
            </w:r>
            <w:r w:rsidRPr="00052531">
              <w:rPr>
                <w:sz w:val="22"/>
                <w:szCs w:val="22"/>
                <w:vertAlign w:val="superscript"/>
                <w:lang w:val="en-GB"/>
              </w:rPr>
              <w:t>th</w:t>
            </w:r>
            <w:r w:rsidRPr="00052531">
              <w:rPr>
                <w:sz w:val="22"/>
                <w:szCs w:val="22"/>
                <w:lang w:val="en-GB"/>
              </w:rPr>
              <w:t xml:space="preserve"> edition of the AEWA Conservation Status Report</w:t>
            </w:r>
          </w:p>
          <w:p w14:paraId="0CC0D85E" w14:textId="16F3E864" w:rsidR="00E87B18" w:rsidRPr="00EE4B0F" w:rsidRDefault="009058FB" w:rsidP="009058FB">
            <w:pPr>
              <w:rPr>
                <w:sz w:val="22"/>
                <w:szCs w:val="22"/>
                <w:lang w:val="en-GB"/>
              </w:rPr>
            </w:pPr>
            <w:r w:rsidRPr="00EE4B0F">
              <w:rPr>
                <w:sz w:val="22"/>
                <w:szCs w:val="22"/>
                <w:lang w:val="en-GB"/>
              </w:rPr>
              <w:t xml:space="preserve">(document AEWA/MOP </w:t>
            </w:r>
            <w:r w:rsidR="00EF5C14" w:rsidRPr="00EE4B0F">
              <w:rPr>
                <w:sz w:val="22"/>
                <w:szCs w:val="22"/>
                <w:lang w:val="en-GB"/>
              </w:rPr>
              <w:t>7</w:t>
            </w:r>
            <w:r w:rsidRPr="00EE4B0F">
              <w:rPr>
                <w:sz w:val="22"/>
                <w:szCs w:val="22"/>
                <w:lang w:val="en-GB"/>
              </w:rPr>
              <w:t>.14);</w:t>
            </w:r>
          </w:p>
          <w:p w14:paraId="57C04579" w14:textId="44136075" w:rsidR="00C17D74" w:rsidRPr="000F0222" w:rsidRDefault="00C17D74" w:rsidP="000F0222">
            <w:pPr>
              <w:rPr>
                <w:sz w:val="22"/>
                <w:szCs w:val="22"/>
                <w:lang w:val="en-GB"/>
              </w:rPr>
            </w:pPr>
            <w:r w:rsidRPr="000F0222">
              <w:rPr>
                <w:sz w:val="22"/>
                <w:szCs w:val="22"/>
                <w:lang w:val="en-GB"/>
              </w:rPr>
              <w:t>A</w:t>
            </w:r>
            <w:r w:rsidR="009058FB" w:rsidRPr="000F0222">
              <w:rPr>
                <w:sz w:val="22"/>
                <w:szCs w:val="22"/>
                <w:lang w:val="en-GB"/>
              </w:rPr>
              <w:t xml:space="preserve">nalysis of </w:t>
            </w:r>
            <w:r w:rsidR="00EF5C14" w:rsidRPr="000F0222">
              <w:rPr>
                <w:sz w:val="22"/>
                <w:szCs w:val="22"/>
                <w:lang w:val="en-GB"/>
              </w:rPr>
              <w:t xml:space="preserve">the </w:t>
            </w:r>
            <w:r w:rsidR="009058FB" w:rsidRPr="000F0222">
              <w:rPr>
                <w:sz w:val="22"/>
                <w:szCs w:val="22"/>
                <w:lang w:val="en-GB"/>
              </w:rPr>
              <w:t>AEWA National Reports for the</w:t>
            </w:r>
            <w:r w:rsidR="00481660" w:rsidRPr="000F0222">
              <w:rPr>
                <w:sz w:val="22"/>
                <w:szCs w:val="22"/>
                <w:lang w:val="en-GB"/>
              </w:rPr>
              <w:t xml:space="preserve"> </w:t>
            </w:r>
            <w:r w:rsidR="0041237F" w:rsidRPr="000F0222">
              <w:rPr>
                <w:sz w:val="22"/>
                <w:szCs w:val="22"/>
                <w:lang w:val="en-GB"/>
              </w:rPr>
              <w:t>T</w:t>
            </w:r>
            <w:r w:rsidR="009058FB" w:rsidRPr="000F0222">
              <w:rPr>
                <w:sz w:val="22"/>
                <w:szCs w:val="22"/>
                <w:lang w:val="en-GB"/>
              </w:rPr>
              <w:t xml:space="preserve">riennium </w:t>
            </w:r>
          </w:p>
          <w:p w14:paraId="3DF1F46C" w14:textId="00DEB95D" w:rsidR="00E87B18" w:rsidRPr="00EE4B0F" w:rsidRDefault="009058FB" w:rsidP="00EE4B0F">
            <w:pPr>
              <w:rPr>
                <w:sz w:val="22"/>
                <w:szCs w:val="22"/>
                <w:lang w:val="en-GB"/>
              </w:rPr>
            </w:pPr>
            <w:r w:rsidRPr="00EE4B0F">
              <w:rPr>
                <w:sz w:val="22"/>
                <w:szCs w:val="22"/>
                <w:lang w:val="en-GB"/>
              </w:rPr>
              <w:t>20</w:t>
            </w:r>
            <w:r w:rsidR="006746FB" w:rsidRPr="00EE4B0F">
              <w:rPr>
                <w:sz w:val="22"/>
                <w:szCs w:val="22"/>
                <w:lang w:val="en-GB"/>
              </w:rPr>
              <w:t>1</w:t>
            </w:r>
            <w:r w:rsidR="00EF5C14" w:rsidRPr="00EE4B0F">
              <w:rPr>
                <w:sz w:val="22"/>
                <w:szCs w:val="22"/>
                <w:lang w:val="en-GB"/>
              </w:rPr>
              <w:t>5</w:t>
            </w:r>
            <w:r w:rsidRPr="00EE4B0F">
              <w:rPr>
                <w:sz w:val="22"/>
                <w:szCs w:val="22"/>
                <w:lang w:val="en-GB"/>
              </w:rPr>
              <w:t>-201</w:t>
            </w:r>
            <w:r w:rsidR="00C61141" w:rsidRPr="00EE4B0F">
              <w:rPr>
                <w:sz w:val="22"/>
                <w:szCs w:val="22"/>
                <w:lang w:val="en-GB"/>
              </w:rPr>
              <w:t>7</w:t>
            </w:r>
            <w:r w:rsidRPr="00EE4B0F">
              <w:rPr>
                <w:sz w:val="22"/>
                <w:szCs w:val="22"/>
                <w:lang w:val="en-GB"/>
              </w:rPr>
              <w:t xml:space="preserve"> (document AEWA/MOP </w:t>
            </w:r>
            <w:r w:rsidR="00EF5C14" w:rsidRPr="00EE4B0F">
              <w:rPr>
                <w:sz w:val="22"/>
                <w:szCs w:val="22"/>
                <w:lang w:val="en-GB"/>
              </w:rPr>
              <w:t>7</w:t>
            </w:r>
            <w:r w:rsidRPr="00EE4B0F">
              <w:rPr>
                <w:sz w:val="22"/>
                <w:szCs w:val="22"/>
                <w:lang w:val="en-GB"/>
              </w:rPr>
              <w:t>.1</w:t>
            </w:r>
            <w:r w:rsidR="00EF5C14" w:rsidRPr="00EE4B0F">
              <w:rPr>
                <w:sz w:val="22"/>
                <w:szCs w:val="22"/>
                <w:lang w:val="en-GB"/>
              </w:rPr>
              <w:t>2</w:t>
            </w:r>
            <w:r w:rsidRPr="00EE4B0F">
              <w:rPr>
                <w:sz w:val="22"/>
                <w:szCs w:val="22"/>
                <w:lang w:val="en-GB"/>
              </w:rPr>
              <w:t>);</w:t>
            </w:r>
          </w:p>
          <w:p w14:paraId="5FB7F434" w14:textId="4A577AF4" w:rsidR="009058FB" w:rsidRPr="000F0222" w:rsidRDefault="00C61141" w:rsidP="000F0222">
            <w:pPr>
              <w:rPr>
                <w:sz w:val="22"/>
                <w:szCs w:val="22"/>
                <w:lang w:val="en-GB"/>
              </w:rPr>
            </w:pPr>
            <w:r w:rsidRPr="000F0222">
              <w:rPr>
                <w:sz w:val="22"/>
                <w:szCs w:val="22"/>
                <w:lang w:val="en-GB"/>
              </w:rPr>
              <w:t>Summary of the Current Status of Single Species Action Plan</w:t>
            </w:r>
            <w:r w:rsidR="00E87B18">
              <w:rPr>
                <w:sz w:val="22"/>
                <w:szCs w:val="22"/>
                <w:lang w:val="en-GB"/>
              </w:rPr>
              <w:t xml:space="preserve"> </w:t>
            </w:r>
            <w:r w:rsidRPr="000F0222">
              <w:rPr>
                <w:sz w:val="22"/>
                <w:szCs w:val="22"/>
                <w:lang w:val="en-GB"/>
              </w:rPr>
              <w:t>and Species Management Plan Production and Coordination with Recommendations to MOP for Extension, Revision or</w:t>
            </w:r>
            <w:r w:rsidR="00E87B18">
              <w:rPr>
                <w:sz w:val="22"/>
                <w:szCs w:val="22"/>
                <w:lang w:val="en-GB"/>
              </w:rPr>
              <w:t xml:space="preserve"> </w:t>
            </w:r>
            <w:r w:rsidRPr="000F0222">
              <w:rPr>
                <w:sz w:val="22"/>
                <w:szCs w:val="22"/>
                <w:lang w:val="en-GB"/>
              </w:rPr>
              <w:t>Retirement</w:t>
            </w:r>
            <w:r w:rsidR="00481660" w:rsidRPr="000F0222">
              <w:rPr>
                <w:sz w:val="22"/>
                <w:szCs w:val="22"/>
                <w:lang w:val="en-GB"/>
              </w:rPr>
              <w:t xml:space="preserve"> </w:t>
            </w:r>
            <w:r w:rsidR="009058FB" w:rsidRPr="000F0222">
              <w:rPr>
                <w:sz w:val="22"/>
                <w:szCs w:val="22"/>
                <w:lang w:val="en-GB"/>
              </w:rPr>
              <w:t xml:space="preserve">(document </w:t>
            </w:r>
            <w:r w:rsidR="00C17D74" w:rsidRPr="000F0222">
              <w:rPr>
                <w:sz w:val="22"/>
                <w:szCs w:val="22"/>
                <w:lang w:val="en-GB"/>
              </w:rPr>
              <w:t>A</w:t>
            </w:r>
            <w:r w:rsidR="009058FB" w:rsidRPr="000F0222">
              <w:rPr>
                <w:sz w:val="22"/>
                <w:szCs w:val="22"/>
                <w:lang w:val="en-GB"/>
              </w:rPr>
              <w:t xml:space="preserve">EWA/MOP </w:t>
            </w:r>
            <w:r w:rsidRPr="000F0222">
              <w:rPr>
                <w:sz w:val="22"/>
                <w:szCs w:val="22"/>
                <w:lang w:val="en-GB"/>
              </w:rPr>
              <w:t>7</w:t>
            </w:r>
            <w:r w:rsidR="009058FB" w:rsidRPr="000F0222">
              <w:rPr>
                <w:sz w:val="22"/>
                <w:szCs w:val="22"/>
                <w:lang w:val="en-GB"/>
              </w:rPr>
              <w:t>.</w:t>
            </w:r>
            <w:r w:rsidRPr="000F0222">
              <w:rPr>
                <w:sz w:val="22"/>
                <w:szCs w:val="22"/>
                <w:lang w:val="en-GB"/>
              </w:rPr>
              <w:t>2</w:t>
            </w:r>
            <w:r w:rsidR="00711602" w:rsidRPr="000F0222">
              <w:rPr>
                <w:sz w:val="22"/>
                <w:szCs w:val="22"/>
                <w:lang w:val="en-GB"/>
              </w:rPr>
              <w:t>1</w:t>
            </w:r>
            <w:r w:rsidR="009058FB" w:rsidRPr="000F0222">
              <w:rPr>
                <w:sz w:val="22"/>
                <w:szCs w:val="22"/>
                <w:lang w:val="en-GB"/>
              </w:rPr>
              <w:t>)</w:t>
            </w:r>
          </w:p>
          <w:p w14:paraId="2F2050F9" w14:textId="77777777" w:rsidR="009058FB" w:rsidRPr="000F0222" w:rsidRDefault="009058FB" w:rsidP="009058FB">
            <w:pPr>
              <w:rPr>
                <w:sz w:val="22"/>
                <w:szCs w:val="22"/>
                <w:lang w:val="en-GB"/>
              </w:rPr>
            </w:pPr>
          </w:p>
        </w:tc>
      </w:tr>
      <w:tr w:rsidR="009058FB" w:rsidRPr="004779F8" w14:paraId="150DE1D6"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8A636AB" w14:textId="7AD2438A" w:rsidR="009058FB" w:rsidRPr="000F0222" w:rsidRDefault="009058FB" w:rsidP="009058FB">
            <w:pPr>
              <w:rPr>
                <w:sz w:val="22"/>
                <w:szCs w:val="22"/>
                <w:lang w:val="en-GB"/>
              </w:rPr>
            </w:pPr>
            <w:r w:rsidRPr="000F0222">
              <w:rPr>
                <w:noProof/>
                <w:sz w:val="22"/>
                <w:szCs w:val="22"/>
                <w:lang w:val="en-GB"/>
              </w:rPr>
              <w:lastRenderedPageBreak/>
              <w:drawing>
                <wp:inline distT="0" distB="0" distL="0" distR="0" wp14:anchorId="2F294CF4" wp14:editId="5E7A0235">
                  <wp:extent cx="1425039" cy="1080655"/>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B8C358F" w14:textId="77777777" w:rsidR="009058FB" w:rsidRPr="004779F8" w:rsidRDefault="009058FB" w:rsidP="009058FB">
            <w:pPr>
              <w:rPr>
                <w:b/>
                <w:sz w:val="22"/>
                <w:szCs w:val="22"/>
                <w:lang w:val="en-GB"/>
              </w:rPr>
            </w:pPr>
          </w:p>
          <w:p w14:paraId="6CEF771A" w14:textId="77777777" w:rsidR="009058FB" w:rsidRPr="008C5535" w:rsidRDefault="009058FB" w:rsidP="009058FB">
            <w:pPr>
              <w:rPr>
                <w:b/>
                <w:sz w:val="22"/>
                <w:szCs w:val="22"/>
                <w:lang w:val="en-GB"/>
              </w:rPr>
            </w:pPr>
            <w:r w:rsidRPr="00613A29">
              <w:rPr>
                <w:b/>
                <w:sz w:val="22"/>
                <w:szCs w:val="22"/>
                <w:lang w:val="en-GB"/>
              </w:rPr>
              <w:t xml:space="preserve">1.5: </w:t>
            </w:r>
            <w:proofErr w:type="spellStart"/>
            <w:r w:rsidRPr="00613A29">
              <w:rPr>
                <w:b/>
                <w:sz w:val="22"/>
                <w:szCs w:val="22"/>
                <w:lang w:val="en-GB"/>
              </w:rPr>
              <w:t>Waterbirds</w:t>
            </w:r>
            <w:proofErr w:type="spellEnd"/>
            <w:r w:rsidRPr="00613A29">
              <w:rPr>
                <w:b/>
                <w:sz w:val="22"/>
                <w:szCs w:val="22"/>
                <w:lang w:val="en-GB"/>
              </w:rPr>
              <w:t xml:space="preserve"> are considered thoroughly in the context of the delivery of National Action Plans on non-native species by other international fora, such as CBD, Bern Conven</w:t>
            </w:r>
            <w:r w:rsidRPr="008C5535">
              <w:rPr>
                <w:b/>
                <w:sz w:val="22"/>
                <w:szCs w:val="22"/>
                <w:lang w:val="en-GB"/>
              </w:rPr>
              <w:t>tion, and GISP</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9B91D94" w14:textId="77777777" w:rsidR="009058FB" w:rsidRPr="00E4475D" w:rsidRDefault="009058FB" w:rsidP="009058FB">
            <w:pPr>
              <w:rPr>
                <w:b/>
                <w:sz w:val="22"/>
                <w:szCs w:val="22"/>
                <w:lang w:val="en-GB"/>
              </w:rPr>
            </w:pPr>
          </w:p>
          <w:p w14:paraId="0DB0776F" w14:textId="77777777" w:rsidR="009058FB" w:rsidRPr="00852729" w:rsidRDefault="009058FB" w:rsidP="009058FB">
            <w:pPr>
              <w:rPr>
                <w:b/>
                <w:sz w:val="22"/>
                <w:szCs w:val="22"/>
                <w:lang w:val="en-GB"/>
              </w:rPr>
            </w:pPr>
            <w:r w:rsidRPr="00852729">
              <w:rPr>
                <w:b/>
                <w:sz w:val="22"/>
                <w:szCs w:val="22"/>
                <w:lang w:val="en-GB"/>
              </w:rPr>
              <w:t xml:space="preserve">CPs have incorporated, as part of National Action Plans on non-native species, specific measures for invasive non-native species of </w:t>
            </w:r>
            <w:proofErr w:type="spellStart"/>
            <w:r w:rsidRPr="00852729">
              <w:rPr>
                <w:b/>
                <w:sz w:val="22"/>
                <w:szCs w:val="22"/>
                <w:lang w:val="en-GB"/>
              </w:rPr>
              <w:t>waterbirds</w:t>
            </w:r>
            <w:proofErr w:type="spellEnd"/>
            <w:r w:rsidRPr="00852729">
              <w:rPr>
                <w:b/>
                <w:sz w:val="22"/>
                <w:szCs w:val="22"/>
                <w:lang w:val="en-GB"/>
              </w:rPr>
              <w:t xml:space="preserve"> and are implementing them </w:t>
            </w:r>
            <w:proofErr w:type="gramStart"/>
            <w:r w:rsidRPr="00852729">
              <w:rPr>
                <w:b/>
                <w:sz w:val="22"/>
                <w:szCs w:val="22"/>
                <w:lang w:val="en-GB"/>
              </w:rPr>
              <w:t xml:space="preserve">in </w:t>
            </w:r>
            <w:r w:rsidRPr="00852729">
              <w:rPr>
                <w:b/>
                <w:sz w:val="22"/>
                <w:szCs w:val="22"/>
                <w:lang w:val="en-GB"/>
              </w:rPr>
              <w:lastRenderedPageBreak/>
              <w:t>order to</w:t>
            </w:r>
            <w:proofErr w:type="gramEnd"/>
            <w:r w:rsidRPr="00852729">
              <w:rPr>
                <w:b/>
                <w:sz w:val="22"/>
                <w:szCs w:val="22"/>
                <w:lang w:val="en-GB"/>
              </w:rPr>
              <w:t xml:space="preserve"> ensure their control or eradication </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5E2876F" w14:textId="77777777" w:rsidR="009058FB" w:rsidRPr="000F0222" w:rsidRDefault="009058FB" w:rsidP="009058FB">
            <w:pPr>
              <w:rPr>
                <w:sz w:val="22"/>
                <w:szCs w:val="22"/>
                <w:lang w:val="en-GB"/>
              </w:rPr>
            </w:pPr>
          </w:p>
          <w:p w14:paraId="1E728A50" w14:textId="6D7532E4" w:rsidR="009058FB" w:rsidRPr="000F0222" w:rsidRDefault="009058FB" w:rsidP="009058FB">
            <w:pPr>
              <w:rPr>
                <w:sz w:val="22"/>
                <w:szCs w:val="22"/>
                <w:lang w:val="en-GB"/>
              </w:rPr>
            </w:pPr>
            <w:r w:rsidRPr="000F0222">
              <w:rPr>
                <w:sz w:val="22"/>
                <w:szCs w:val="22"/>
                <w:lang w:val="en-GB"/>
              </w:rPr>
              <w:t xml:space="preserve">Only </w:t>
            </w:r>
            <w:r w:rsidR="00CD5D32" w:rsidRPr="000F0222">
              <w:rPr>
                <w:sz w:val="22"/>
                <w:szCs w:val="22"/>
                <w:lang w:val="en-GB"/>
              </w:rPr>
              <w:t>13</w:t>
            </w:r>
            <w:r w:rsidRPr="000F0222">
              <w:rPr>
                <w:sz w:val="22"/>
                <w:szCs w:val="22"/>
                <w:lang w:val="en-GB"/>
              </w:rPr>
              <w:t>% of the Contracting Parties have National Action Plans on non-native species</w:t>
            </w:r>
            <w:r w:rsidR="00785DC7" w:rsidRPr="00594679">
              <w:rPr>
                <w:sz w:val="22"/>
                <w:szCs w:val="22"/>
                <w:lang w:val="en-GB"/>
              </w:rPr>
              <w:t xml:space="preserve"> in place</w:t>
            </w:r>
            <w:r w:rsidRPr="000F0222">
              <w:rPr>
                <w:sz w:val="22"/>
                <w:szCs w:val="22"/>
                <w:lang w:val="en-GB"/>
              </w:rPr>
              <w:t xml:space="preserve">. </w:t>
            </w:r>
            <w:r w:rsidR="006D3D4F" w:rsidRPr="000F0222">
              <w:rPr>
                <w:sz w:val="22"/>
                <w:szCs w:val="22"/>
                <w:lang w:val="en-GB"/>
              </w:rPr>
              <w:t>No up-to-date information was reported to MOP7, but at MOP6 o</w:t>
            </w:r>
            <w:r w:rsidRPr="000F0222">
              <w:rPr>
                <w:sz w:val="22"/>
                <w:szCs w:val="22"/>
                <w:lang w:val="en-GB"/>
              </w:rPr>
              <w:t>f the 1</w:t>
            </w:r>
            <w:r w:rsidR="00CF0BE2" w:rsidRPr="000F0222">
              <w:rPr>
                <w:sz w:val="22"/>
                <w:szCs w:val="22"/>
                <w:lang w:val="en-GB"/>
              </w:rPr>
              <w:t>7</w:t>
            </w:r>
            <w:r w:rsidRPr="000F0222">
              <w:rPr>
                <w:sz w:val="22"/>
                <w:szCs w:val="22"/>
                <w:lang w:val="en-GB"/>
              </w:rPr>
              <w:t xml:space="preserve"> CPs confirming breeding non-native species on their territories</w:t>
            </w:r>
            <w:r w:rsidR="00B960A8" w:rsidRPr="000F0222">
              <w:rPr>
                <w:sz w:val="22"/>
                <w:szCs w:val="22"/>
                <w:lang w:val="en-GB"/>
              </w:rPr>
              <w:t xml:space="preserve"> </w:t>
            </w:r>
            <w:r w:rsidRPr="000F0222">
              <w:rPr>
                <w:sz w:val="22"/>
                <w:szCs w:val="22"/>
                <w:lang w:val="en-GB"/>
              </w:rPr>
              <w:t xml:space="preserve">only eight CPs are implementing or developing control/eradication programmes on </w:t>
            </w:r>
            <w:r w:rsidR="00CF0BE2" w:rsidRPr="000F0222">
              <w:rPr>
                <w:sz w:val="22"/>
                <w:szCs w:val="22"/>
                <w:lang w:val="en-GB"/>
              </w:rPr>
              <w:t>six</w:t>
            </w:r>
            <w:r w:rsidRPr="000F0222">
              <w:rPr>
                <w:sz w:val="22"/>
                <w:szCs w:val="22"/>
                <w:lang w:val="en-GB"/>
              </w:rPr>
              <w:t xml:space="preserve"> species.</w:t>
            </w:r>
          </w:p>
          <w:p w14:paraId="2B30E280" w14:textId="77777777" w:rsidR="000E2F4D" w:rsidRPr="000F0222" w:rsidRDefault="000E2F4D" w:rsidP="009058FB">
            <w:pPr>
              <w:rPr>
                <w:sz w:val="22"/>
                <w:szCs w:val="22"/>
                <w:lang w:val="en-GB"/>
              </w:rPr>
            </w:pPr>
          </w:p>
          <w:p w14:paraId="0D6E0E43" w14:textId="56597E1D" w:rsidR="000E2F4D" w:rsidRPr="000F0222" w:rsidRDefault="000E2F4D" w:rsidP="009058FB">
            <w:pPr>
              <w:rPr>
                <w:sz w:val="22"/>
                <w:szCs w:val="22"/>
                <w:lang w:val="en-GB"/>
              </w:rPr>
            </w:pPr>
            <w:r w:rsidRPr="000F0222">
              <w:rPr>
                <w:b/>
                <w:sz w:val="22"/>
                <w:szCs w:val="22"/>
                <w:lang w:val="en-GB"/>
              </w:rPr>
              <w:t>Change since MOP</w:t>
            </w:r>
            <w:r w:rsidR="006872E1" w:rsidRPr="000F0222">
              <w:rPr>
                <w:b/>
                <w:sz w:val="22"/>
                <w:szCs w:val="22"/>
                <w:lang w:val="en-GB"/>
              </w:rPr>
              <w:t>4</w:t>
            </w:r>
            <w:r w:rsidRPr="000F0222">
              <w:rPr>
                <w:b/>
                <w:sz w:val="22"/>
                <w:szCs w:val="22"/>
                <w:lang w:val="en-GB"/>
              </w:rPr>
              <w:t>:</w:t>
            </w:r>
            <w:r w:rsidRPr="000F0222">
              <w:rPr>
                <w:sz w:val="22"/>
                <w:szCs w:val="22"/>
                <w:lang w:val="en-GB"/>
              </w:rPr>
              <w:t xml:space="preserve"> Neutral. </w:t>
            </w:r>
            <w:r w:rsidR="004B1D38" w:rsidRPr="000F0222">
              <w:rPr>
                <w:sz w:val="22"/>
                <w:szCs w:val="22"/>
                <w:lang w:val="en-GB"/>
              </w:rPr>
              <w:t xml:space="preserve">There has been little or no progress for most of the period of the Strategic Plan 2009-2018. </w:t>
            </w:r>
          </w:p>
          <w:p w14:paraId="5225D7F0" w14:textId="77777777" w:rsidR="009058FB" w:rsidRPr="000F0222" w:rsidRDefault="009058FB" w:rsidP="009058FB">
            <w:pPr>
              <w:rPr>
                <w:sz w:val="22"/>
                <w:szCs w:val="22"/>
                <w:lang w:val="en-GB"/>
              </w:rPr>
            </w:pPr>
          </w:p>
          <w:p w14:paraId="5E4887F2" w14:textId="77777777" w:rsidR="008710CC" w:rsidRDefault="009058FB" w:rsidP="008710CC">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41237F" w:rsidRPr="000F0222">
              <w:rPr>
                <w:sz w:val="22"/>
                <w:szCs w:val="22"/>
                <w:lang w:val="en-GB"/>
              </w:rPr>
              <w:t xml:space="preserve">the </w:t>
            </w:r>
            <w:r w:rsidRPr="000F0222">
              <w:rPr>
                <w:sz w:val="22"/>
                <w:szCs w:val="22"/>
                <w:lang w:val="en-GB"/>
              </w:rPr>
              <w:t>AEWA National Reports for the</w:t>
            </w:r>
            <w:r w:rsidR="0090749D" w:rsidRPr="000F0222">
              <w:rPr>
                <w:sz w:val="22"/>
                <w:szCs w:val="22"/>
                <w:lang w:val="en-GB"/>
              </w:rPr>
              <w:t xml:space="preserve"> </w:t>
            </w:r>
            <w:r w:rsidR="0041237F" w:rsidRPr="000F0222">
              <w:rPr>
                <w:sz w:val="22"/>
                <w:szCs w:val="22"/>
                <w:lang w:val="en-GB"/>
              </w:rPr>
              <w:t>T</w:t>
            </w:r>
            <w:r w:rsidRPr="000F0222">
              <w:rPr>
                <w:sz w:val="22"/>
                <w:szCs w:val="22"/>
                <w:lang w:val="en-GB"/>
              </w:rPr>
              <w:t xml:space="preserve">riennium </w:t>
            </w:r>
          </w:p>
          <w:p w14:paraId="11F8E8F6" w14:textId="0972F124" w:rsidR="009058FB" w:rsidRPr="000F0222" w:rsidRDefault="008710CC" w:rsidP="008710CC">
            <w:pPr>
              <w:rPr>
                <w:sz w:val="22"/>
                <w:szCs w:val="22"/>
                <w:lang w:val="en-GB"/>
              </w:rPr>
            </w:pPr>
            <w:r>
              <w:rPr>
                <w:sz w:val="22"/>
                <w:szCs w:val="22"/>
                <w:lang w:val="en-GB"/>
              </w:rPr>
              <w:t xml:space="preserve">                   </w:t>
            </w:r>
            <w:r w:rsidR="009058FB" w:rsidRPr="000F0222">
              <w:rPr>
                <w:sz w:val="22"/>
                <w:szCs w:val="22"/>
                <w:lang w:val="en-GB"/>
              </w:rPr>
              <w:t>20</w:t>
            </w:r>
            <w:r w:rsidR="00B960A8" w:rsidRPr="000F0222">
              <w:rPr>
                <w:sz w:val="22"/>
                <w:szCs w:val="22"/>
                <w:lang w:val="en-GB"/>
              </w:rPr>
              <w:t>12</w:t>
            </w:r>
            <w:r w:rsidR="009058FB" w:rsidRPr="000F0222">
              <w:rPr>
                <w:sz w:val="22"/>
                <w:szCs w:val="22"/>
                <w:lang w:val="en-GB"/>
              </w:rPr>
              <w:t>-201</w:t>
            </w:r>
            <w:r w:rsidR="00B960A8" w:rsidRPr="000F0222">
              <w:rPr>
                <w:sz w:val="22"/>
                <w:szCs w:val="22"/>
                <w:lang w:val="en-GB"/>
              </w:rPr>
              <w:t>4</w:t>
            </w:r>
            <w:r w:rsidR="009058FB" w:rsidRPr="000F0222">
              <w:rPr>
                <w:sz w:val="22"/>
                <w:szCs w:val="22"/>
                <w:lang w:val="en-GB"/>
              </w:rPr>
              <w:t xml:space="preserve"> (document AEWA/MOP </w:t>
            </w:r>
            <w:r w:rsidR="006D3D4F" w:rsidRPr="000F0222">
              <w:rPr>
                <w:sz w:val="22"/>
                <w:szCs w:val="22"/>
                <w:lang w:val="en-GB"/>
              </w:rPr>
              <w:t>7</w:t>
            </w:r>
            <w:r w:rsidR="009058FB" w:rsidRPr="000F0222">
              <w:rPr>
                <w:sz w:val="22"/>
                <w:szCs w:val="22"/>
                <w:lang w:val="en-GB"/>
              </w:rPr>
              <w:t>.1</w:t>
            </w:r>
            <w:r w:rsidR="006D3D4F" w:rsidRPr="000F0222">
              <w:rPr>
                <w:sz w:val="22"/>
                <w:szCs w:val="22"/>
                <w:lang w:val="en-GB"/>
              </w:rPr>
              <w:t>2</w:t>
            </w:r>
            <w:r w:rsidR="009058FB" w:rsidRPr="000F0222">
              <w:rPr>
                <w:sz w:val="22"/>
                <w:szCs w:val="22"/>
                <w:lang w:val="en-GB"/>
              </w:rPr>
              <w:t>)</w:t>
            </w:r>
          </w:p>
        </w:tc>
      </w:tr>
    </w:tbl>
    <w:p w14:paraId="509D989F" w14:textId="77777777" w:rsidR="009058FB" w:rsidRPr="00613A29" w:rsidRDefault="009058FB" w:rsidP="009058FB">
      <w:pPr>
        <w:pageBreakBefore/>
        <w:rPr>
          <w:i/>
          <w:iCs/>
          <w:lang w:val="en-GB"/>
        </w:rPr>
      </w:pPr>
      <w:r w:rsidRPr="004779F8">
        <w:rPr>
          <w:i/>
          <w:lang w:val="en-GB"/>
        </w:rPr>
        <w:lastRenderedPageBreak/>
        <w:t xml:space="preserve">Table 5. Objective 2: </w:t>
      </w:r>
      <w:r w:rsidRPr="00613A29">
        <w:rPr>
          <w:i/>
          <w:iCs/>
          <w:lang w:val="en-GB"/>
        </w:rPr>
        <w:t xml:space="preserve">To ensure that any use of </w:t>
      </w:r>
      <w:proofErr w:type="spellStart"/>
      <w:r w:rsidRPr="00613A29">
        <w:rPr>
          <w:i/>
          <w:iCs/>
          <w:lang w:val="en-GB"/>
        </w:rPr>
        <w:t>waterbirds</w:t>
      </w:r>
      <w:proofErr w:type="spellEnd"/>
      <w:r w:rsidRPr="00613A29">
        <w:rPr>
          <w:i/>
          <w:iCs/>
          <w:lang w:val="en-GB"/>
        </w:rPr>
        <w:t xml:space="preserve"> in the Agreement area is sustainable</w:t>
      </w:r>
    </w:p>
    <w:p w14:paraId="48F4E959" w14:textId="77777777" w:rsidR="009058FB" w:rsidRPr="000F0222" w:rsidRDefault="009058FB" w:rsidP="009058FB">
      <w:pPr>
        <w:rPr>
          <w:b/>
          <w:lang w:val="en-GB"/>
        </w:rPr>
      </w:pPr>
    </w:p>
    <w:tbl>
      <w:tblPr>
        <w:tblStyle w:val="TableGrid"/>
        <w:tblW w:w="0" w:type="auto"/>
        <w:tblLayout w:type="fixed"/>
        <w:tblLook w:val="04A0" w:firstRow="1" w:lastRow="0" w:firstColumn="1" w:lastColumn="0" w:noHBand="0" w:noVBand="1"/>
      </w:tblPr>
      <w:tblGrid>
        <w:gridCol w:w="2376"/>
        <w:gridCol w:w="2835"/>
        <w:gridCol w:w="2835"/>
        <w:gridCol w:w="6804"/>
      </w:tblGrid>
      <w:tr w:rsidR="009058FB" w:rsidRPr="004779F8" w14:paraId="54A66C49" w14:textId="77777777" w:rsidTr="002D03A2">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6A8D026" w14:textId="77777777" w:rsidR="009058FB" w:rsidRPr="000F0222" w:rsidRDefault="009058FB" w:rsidP="009058FB">
            <w:pPr>
              <w:rPr>
                <w:b/>
                <w:lang w:val="en-GB"/>
              </w:rPr>
            </w:pPr>
            <w:r w:rsidRPr="000F0222">
              <w:rPr>
                <w:b/>
                <w:lang w:val="en-G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5463352" w14:textId="77777777" w:rsidR="009058FB" w:rsidRPr="000F0222" w:rsidRDefault="009058FB" w:rsidP="009058FB">
            <w:pPr>
              <w:rPr>
                <w:b/>
                <w:lang w:val="en-GB"/>
              </w:rPr>
            </w:pPr>
            <w:r w:rsidRPr="000F0222">
              <w:rPr>
                <w:b/>
                <w:lang w:val="en-G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12BB1D3" w14:textId="77777777" w:rsidR="009058FB" w:rsidRPr="000F0222" w:rsidRDefault="009058FB" w:rsidP="009058FB">
            <w:pPr>
              <w:rPr>
                <w:b/>
                <w:lang w:val="en-GB"/>
              </w:rPr>
            </w:pPr>
            <w:r w:rsidRPr="000F0222">
              <w:rPr>
                <w:b/>
                <w:lang w:val="en-GB"/>
              </w:rPr>
              <w:t>Indicator</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451A7BE" w14:textId="77777777" w:rsidR="009058FB" w:rsidRPr="000F0222" w:rsidRDefault="009058FB" w:rsidP="009058FB">
            <w:pPr>
              <w:rPr>
                <w:b/>
                <w:lang w:val="en-GB"/>
              </w:rPr>
            </w:pPr>
            <w:r w:rsidRPr="000F0222">
              <w:rPr>
                <w:b/>
                <w:lang w:val="en-GB"/>
              </w:rPr>
              <w:t>Summary and reference</w:t>
            </w:r>
          </w:p>
          <w:p w14:paraId="7B9D17C9" w14:textId="77777777" w:rsidR="009058FB" w:rsidRPr="000F0222" w:rsidRDefault="009058FB" w:rsidP="009058FB">
            <w:pPr>
              <w:rPr>
                <w:b/>
                <w:lang w:val="en-GB"/>
              </w:rPr>
            </w:pPr>
          </w:p>
        </w:tc>
      </w:tr>
      <w:tr w:rsidR="009058FB" w:rsidRPr="004779F8" w14:paraId="2A7E50F0" w14:textId="77777777" w:rsidTr="002D03A2">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F950683" w14:textId="3B7FF02F" w:rsidR="009058FB" w:rsidRPr="000F0222" w:rsidRDefault="006872E1" w:rsidP="009058FB">
            <w:pPr>
              <w:rPr>
                <w:sz w:val="22"/>
                <w:szCs w:val="22"/>
                <w:lang w:val="en-GB"/>
              </w:rPr>
            </w:pPr>
            <w:r w:rsidRPr="000F0222">
              <w:rPr>
                <w:noProof/>
                <w:sz w:val="22"/>
                <w:szCs w:val="22"/>
                <w:lang w:val="en-GB"/>
              </w:rPr>
              <w:drawing>
                <wp:inline distT="0" distB="0" distL="0" distR="0" wp14:anchorId="07EBCAAA" wp14:editId="7BCA9E71">
                  <wp:extent cx="1425039" cy="1080655"/>
                  <wp:effectExtent l="0" t="0" r="0" b="0"/>
                  <wp:docPr id="4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32788D5" w14:textId="77777777" w:rsidR="009058FB" w:rsidRPr="004779F8" w:rsidRDefault="009058FB" w:rsidP="009058FB">
            <w:pPr>
              <w:rPr>
                <w:b/>
                <w:sz w:val="22"/>
                <w:szCs w:val="22"/>
                <w:lang w:val="en-GB"/>
              </w:rPr>
            </w:pPr>
          </w:p>
          <w:p w14:paraId="7EB94AE3" w14:textId="77777777" w:rsidR="009058FB" w:rsidRPr="00613A29" w:rsidRDefault="009058FB" w:rsidP="009058FB">
            <w:pPr>
              <w:rPr>
                <w:b/>
                <w:sz w:val="22"/>
                <w:szCs w:val="22"/>
                <w:lang w:val="en-GB"/>
              </w:rPr>
            </w:pPr>
            <w:r w:rsidRPr="00613A29">
              <w:rPr>
                <w:b/>
                <w:sz w:val="22"/>
                <w:szCs w:val="22"/>
                <w:lang w:val="en-GB"/>
              </w:rPr>
              <w:t>2.1: The use of lead shot for hunting in wetlands is phased out in all CPs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57ADBCE" w14:textId="77777777" w:rsidR="009058FB" w:rsidRPr="008C5535" w:rsidRDefault="009058FB" w:rsidP="009058FB">
            <w:pPr>
              <w:rPr>
                <w:b/>
                <w:sz w:val="22"/>
                <w:szCs w:val="22"/>
                <w:lang w:val="en-GB"/>
              </w:rPr>
            </w:pPr>
          </w:p>
          <w:p w14:paraId="754F32B1" w14:textId="77777777" w:rsidR="009058FB" w:rsidRPr="00E4475D" w:rsidRDefault="009058FB" w:rsidP="009058FB">
            <w:pPr>
              <w:rPr>
                <w:b/>
                <w:sz w:val="22"/>
                <w:szCs w:val="22"/>
                <w:lang w:val="en-GB"/>
              </w:rPr>
            </w:pPr>
            <w:r w:rsidRPr="00E4475D">
              <w:rPr>
                <w:b/>
                <w:sz w:val="22"/>
                <w:szCs w:val="22"/>
                <w:lang w:val="en-GB"/>
              </w:rPr>
              <w:t>All CPs have adopted national legislation prohibiting the use of lead shot (in wetlands)</w:t>
            </w:r>
          </w:p>
          <w:p w14:paraId="7A58ADBA" w14:textId="77777777" w:rsidR="009058FB" w:rsidRPr="00852729" w:rsidRDefault="009058FB" w:rsidP="009058FB">
            <w:pPr>
              <w:rPr>
                <w:b/>
                <w:sz w:val="22"/>
                <w:szCs w:val="22"/>
                <w:lang w:val="en-GB"/>
              </w:rPr>
            </w:pPr>
          </w:p>
          <w:p w14:paraId="370DBB79" w14:textId="77777777" w:rsidR="009058FB" w:rsidRPr="004779F8" w:rsidRDefault="009058FB" w:rsidP="009058FB">
            <w:pPr>
              <w:rPr>
                <w:b/>
                <w:sz w:val="22"/>
                <w:szCs w:val="22"/>
                <w:lang w:val="en-GB"/>
              </w:rPr>
            </w:pPr>
            <w:r w:rsidRPr="004779F8">
              <w:rPr>
                <w:b/>
                <w:sz w:val="22"/>
                <w:szCs w:val="22"/>
                <w:lang w:val="en-GB"/>
              </w:rPr>
              <w:t>No authenticated report of continued use of lead shot for hunting in wetlands in the Agreement area is received by the Secretariat</w:t>
            </w:r>
          </w:p>
          <w:p w14:paraId="24DDD106" w14:textId="77777777" w:rsidR="009058FB" w:rsidRPr="004779F8" w:rsidRDefault="009058FB" w:rsidP="009058FB">
            <w:pPr>
              <w:rPr>
                <w:b/>
                <w:sz w:val="22"/>
                <w:szCs w:val="22"/>
                <w:lang w:val="en-GB"/>
              </w:rPr>
            </w:pP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CA89244" w14:textId="77777777" w:rsidR="009058FB" w:rsidRPr="000F0222" w:rsidRDefault="009058FB" w:rsidP="009058FB">
            <w:pPr>
              <w:rPr>
                <w:sz w:val="22"/>
                <w:szCs w:val="22"/>
                <w:lang w:val="en-GB"/>
              </w:rPr>
            </w:pPr>
          </w:p>
          <w:p w14:paraId="1A0038A9" w14:textId="71EE7E33" w:rsidR="009058FB" w:rsidRPr="000F0222" w:rsidRDefault="00B01F54" w:rsidP="009058FB">
            <w:pPr>
              <w:rPr>
                <w:sz w:val="22"/>
                <w:szCs w:val="22"/>
                <w:lang w:val="en-GB"/>
              </w:rPr>
            </w:pPr>
            <w:r w:rsidRPr="000F0222">
              <w:rPr>
                <w:sz w:val="22"/>
                <w:szCs w:val="22"/>
                <w:lang w:val="en-GB"/>
              </w:rPr>
              <w:t>31</w:t>
            </w:r>
            <w:r w:rsidR="009058FB" w:rsidRPr="000F0222">
              <w:rPr>
                <w:sz w:val="22"/>
                <w:szCs w:val="22"/>
                <w:lang w:val="en-GB"/>
              </w:rPr>
              <w:t xml:space="preserve">% of the Contracting Parties have fully phased out the use of lead shot with </w:t>
            </w:r>
            <w:r w:rsidR="00BC633D" w:rsidRPr="000F0222">
              <w:rPr>
                <w:sz w:val="22"/>
                <w:szCs w:val="22"/>
                <w:lang w:val="en-GB"/>
              </w:rPr>
              <w:t xml:space="preserve">an </w:t>
            </w:r>
            <w:r w:rsidR="009058FB" w:rsidRPr="000F0222">
              <w:rPr>
                <w:sz w:val="22"/>
                <w:szCs w:val="22"/>
                <w:lang w:val="en-GB"/>
              </w:rPr>
              <w:t xml:space="preserve">additional </w:t>
            </w:r>
            <w:r w:rsidRPr="000F0222">
              <w:rPr>
                <w:sz w:val="22"/>
                <w:szCs w:val="22"/>
                <w:lang w:val="en-GB"/>
              </w:rPr>
              <w:t>12</w:t>
            </w:r>
            <w:r w:rsidR="009058FB" w:rsidRPr="000F0222">
              <w:rPr>
                <w:sz w:val="22"/>
                <w:szCs w:val="22"/>
                <w:lang w:val="en-GB"/>
              </w:rPr>
              <w:t xml:space="preserve">% having introduced partial ban. </w:t>
            </w:r>
            <w:r w:rsidRPr="000F0222">
              <w:rPr>
                <w:sz w:val="22"/>
                <w:szCs w:val="22"/>
                <w:lang w:val="en-GB"/>
              </w:rPr>
              <w:t xml:space="preserve">While gradual progress has been made, </w:t>
            </w:r>
            <w:r w:rsidR="006872E1" w:rsidRPr="000F0222">
              <w:rPr>
                <w:sz w:val="22"/>
                <w:szCs w:val="22"/>
                <w:lang w:val="en-GB"/>
              </w:rPr>
              <w:t xml:space="preserve">after one decade </w:t>
            </w:r>
            <w:r w:rsidRPr="000F0222">
              <w:rPr>
                <w:sz w:val="22"/>
                <w:szCs w:val="22"/>
                <w:lang w:val="en-GB"/>
              </w:rPr>
              <w:t xml:space="preserve">the target is far from being met. </w:t>
            </w:r>
          </w:p>
          <w:p w14:paraId="158A6BE9" w14:textId="77777777" w:rsidR="009058FB" w:rsidRPr="000F0222" w:rsidRDefault="009058FB" w:rsidP="009058FB">
            <w:pPr>
              <w:rPr>
                <w:sz w:val="22"/>
                <w:szCs w:val="22"/>
                <w:lang w:val="en-GB"/>
              </w:rPr>
            </w:pPr>
          </w:p>
          <w:p w14:paraId="7A5A8C2D" w14:textId="3AD275F1" w:rsidR="00273FD0" w:rsidRPr="000F0222" w:rsidRDefault="00273FD0" w:rsidP="009058FB">
            <w:pPr>
              <w:rPr>
                <w:sz w:val="22"/>
                <w:szCs w:val="22"/>
                <w:lang w:val="en-GB"/>
              </w:rPr>
            </w:pPr>
            <w:r w:rsidRPr="000F0222">
              <w:rPr>
                <w:b/>
                <w:sz w:val="22"/>
                <w:szCs w:val="22"/>
                <w:lang w:val="en-GB"/>
              </w:rPr>
              <w:t>Change since MOP</w:t>
            </w:r>
            <w:r w:rsidR="006872E1" w:rsidRPr="000F0222">
              <w:rPr>
                <w:b/>
                <w:sz w:val="22"/>
                <w:szCs w:val="22"/>
                <w:lang w:val="en-GB"/>
              </w:rPr>
              <w:t>4</w:t>
            </w:r>
            <w:r w:rsidRPr="000F0222">
              <w:rPr>
                <w:b/>
                <w:sz w:val="22"/>
                <w:szCs w:val="22"/>
                <w:lang w:val="en-GB"/>
              </w:rPr>
              <w:t>:</w:t>
            </w:r>
            <w:r w:rsidRPr="000F0222">
              <w:rPr>
                <w:sz w:val="22"/>
                <w:szCs w:val="22"/>
                <w:lang w:val="en-GB"/>
              </w:rPr>
              <w:t xml:space="preserve"> </w:t>
            </w:r>
            <w:r w:rsidR="00B01F54" w:rsidRPr="000F0222">
              <w:rPr>
                <w:sz w:val="22"/>
                <w:szCs w:val="22"/>
                <w:lang w:val="en-GB"/>
              </w:rPr>
              <w:t>Positive</w:t>
            </w:r>
            <w:r w:rsidRPr="000F0222">
              <w:rPr>
                <w:sz w:val="22"/>
                <w:szCs w:val="22"/>
                <w:lang w:val="en-GB"/>
              </w:rPr>
              <w:t xml:space="preserve">. </w:t>
            </w:r>
            <w:r w:rsidR="00B01F54" w:rsidRPr="000F0222">
              <w:rPr>
                <w:sz w:val="22"/>
                <w:szCs w:val="22"/>
                <w:lang w:val="en-GB"/>
              </w:rPr>
              <w:t xml:space="preserve">In 2008 20% of the CPs reported </w:t>
            </w:r>
            <w:r w:rsidR="00785DC7">
              <w:rPr>
                <w:sz w:val="22"/>
                <w:szCs w:val="22"/>
                <w:lang w:val="en-GB"/>
              </w:rPr>
              <w:t xml:space="preserve">a </w:t>
            </w:r>
            <w:r w:rsidR="00B01F54" w:rsidRPr="000F0222">
              <w:rPr>
                <w:sz w:val="22"/>
                <w:szCs w:val="22"/>
                <w:lang w:val="en-GB"/>
              </w:rPr>
              <w:t>full ban o</w:t>
            </w:r>
            <w:r w:rsidR="00785DC7">
              <w:rPr>
                <w:sz w:val="22"/>
                <w:szCs w:val="22"/>
                <w:lang w:val="en-GB"/>
              </w:rPr>
              <w:t>n</w:t>
            </w:r>
            <w:r w:rsidR="00B01F54" w:rsidRPr="000F0222">
              <w:rPr>
                <w:sz w:val="22"/>
                <w:szCs w:val="22"/>
                <w:lang w:val="en-GB"/>
              </w:rPr>
              <w:t xml:space="preserve"> lead shot, which proportion in 2018 has increased to 31%. </w:t>
            </w:r>
            <w:r w:rsidR="00D307D1" w:rsidRPr="000F0222">
              <w:rPr>
                <w:sz w:val="22"/>
                <w:szCs w:val="22"/>
                <w:lang w:val="en-GB"/>
              </w:rPr>
              <w:t xml:space="preserve">The proportion of CPs with partial bans has shown a minimal increase. </w:t>
            </w:r>
          </w:p>
          <w:p w14:paraId="7EC0A5F0" w14:textId="77777777" w:rsidR="00273FD0" w:rsidRPr="000F0222" w:rsidRDefault="00273FD0" w:rsidP="009058FB">
            <w:pPr>
              <w:rPr>
                <w:sz w:val="22"/>
                <w:szCs w:val="22"/>
                <w:lang w:val="en-GB"/>
              </w:rPr>
            </w:pPr>
          </w:p>
          <w:p w14:paraId="375CBFA7" w14:textId="77777777" w:rsidR="008710CC" w:rsidRDefault="009058FB" w:rsidP="00D307D1">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D307D1" w:rsidRPr="000F0222">
              <w:rPr>
                <w:sz w:val="22"/>
                <w:szCs w:val="22"/>
                <w:lang w:val="en-GB"/>
              </w:rPr>
              <w:t xml:space="preserve">the </w:t>
            </w:r>
            <w:r w:rsidRPr="000F0222">
              <w:rPr>
                <w:sz w:val="22"/>
                <w:szCs w:val="22"/>
                <w:lang w:val="en-GB"/>
              </w:rPr>
              <w:t>AEWA National Reports for the</w:t>
            </w:r>
            <w:r w:rsidR="00743670" w:rsidRPr="000F0222">
              <w:rPr>
                <w:sz w:val="22"/>
                <w:szCs w:val="22"/>
                <w:lang w:val="en-GB"/>
              </w:rPr>
              <w:t xml:space="preserve"> </w:t>
            </w:r>
            <w:r w:rsidR="00D307D1" w:rsidRPr="000F0222">
              <w:rPr>
                <w:sz w:val="22"/>
                <w:szCs w:val="22"/>
                <w:lang w:val="en-GB"/>
              </w:rPr>
              <w:t>T</w:t>
            </w:r>
            <w:r w:rsidRPr="000F0222">
              <w:rPr>
                <w:sz w:val="22"/>
                <w:szCs w:val="22"/>
                <w:lang w:val="en-GB"/>
              </w:rPr>
              <w:t xml:space="preserve">riennium </w:t>
            </w:r>
          </w:p>
          <w:p w14:paraId="172CBDE9" w14:textId="2B3DAAAC" w:rsidR="009058FB" w:rsidRPr="000F0222" w:rsidRDefault="008710CC" w:rsidP="00D307D1">
            <w:pPr>
              <w:rPr>
                <w:sz w:val="22"/>
                <w:szCs w:val="22"/>
                <w:lang w:val="en-GB"/>
              </w:rPr>
            </w:pPr>
            <w:r>
              <w:rPr>
                <w:sz w:val="22"/>
                <w:szCs w:val="22"/>
                <w:lang w:val="en-GB"/>
              </w:rPr>
              <w:t xml:space="preserve">                   </w:t>
            </w:r>
            <w:r w:rsidR="009058FB" w:rsidRPr="000F0222">
              <w:rPr>
                <w:sz w:val="22"/>
                <w:szCs w:val="22"/>
                <w:lang w:val="en-GB"/>
              </w:rPr>
              <w:t>20</w:t>
            </w:r>
            <w:r w:rsidR="00273FD0" w:rsidRPr="000F0222">
              <w:rPr>
                <w:sz w:val="22"/>
                <w:szCs w:val="22"/>
                <w:lang w:val="en-GB"/>
              </w:rPr>
              <w:t>1</w:t>
            </w:r>
            <w:r w:rsidR="00D307D1" w:rsidRPr="000F0222">
              <w:rPr>
                <w:sz w:val="22"/>
                <w:szCs w:val="22"/>
                <w:lang w:val="en-GB"/>
              </w:rPr>
              <w:t>5</w:t>
            </w:r>
            <w:r w:rsidR="009058FB" w:rsidRPr="000F0222">
              <w:rPr>
                <w:sz w:val="22"/>
                <w:szCs w:val="22"/>
                <w:lang w:val="en-GB"/>
              </w:rPr>
              <w:t>-201</w:t>
            </w:r>
            <w:r w:rsidR="00D307D1" w:rsidRPr="000F0222">
              <w:rPr>
                <w:sz w:val="22"/>
                <w:szCs w:val="22"/>
                <w:lang w:val="en-GB"/>
              </w:rPr>
              <w:t>7</w:t>
            </w:r>
            <w:r w:rsidR="009058FB" w:rsidRPr="000F0222">
              <w:rPr>
                <w:sz w:val="22"/>
                <w:szCs w:val="22"/>
                <w:lang w:val="en-GB"/>
              </w:rPr>
              <w:t xml:space="preserve"> (document AEWA/MOP </w:t>
            </w:r>
            <w:r w:rsidR="00D307D1" w:rsidRPr="000F0222">
              <w:rPr>
                <w:sz w:val="22"/>
                <w:szCs w:val="22"/>
                <w:lang w:val="en-GB"/>
              </w:rPr>
              <w:t>7</w:t>
            </w:r>
            <w:r w:rsidR="009058FB" w:rsidRPr="000F0222">
              <w:rPr>
                <w:sz w:val="22"/>
                <w:szCs w:val="22"/>
                <w:lang w:val="en-GB"/>
              </w:rPr>
              <w:t>.1</w:t>
            </w:r>
            <w:r w:rsidR="00D307D1" w:rsidRPr="000F0222">
              <w:rPr>
                <w:sz w:val="22"/>
                <w:szCs w:val="22"/>
                <w:lang w:val="en-GB"/>
              </w:rPr>
              <w:t>2</w:t>
            </w:r>
            <w:r w:rsidR="009058FB" w:rsidRPr="000F0222">
              <w:rPr>
                <w:sz w:val="22"/>
                <w:szCs w:val="22"/>
                <w:lang w:val="en-GB"/>
              </w:rPr>
              <w:t>)</w:t>
            </w:r>
          </w:p>
        </w:tc>
      </w:tr>
      <w:tr w:rsidR="009058FB" w:rsidRPr="004779F8" w14:paraId="50928700" w14:textId="77777777" w:rsidTr="002D03A2">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AF3D0FE" w14:textId="77777777" w:rsidR="009058FB" w:rsidRPr="000F0222" w:rsidRDefault="009058FB" w:rsidP="009058FB">
            <w:pPr>
              <w:rPr>
                <w:sz w:val="22"/>
                <w:szCs w:val="22"/>
                <w:lang w:val="en-GB"/>
              </w:rPr>
            </w:pPr>
            <w:r w:rsidRPr="000F0222">
              <w:rPr>
                <w:noProof/>
                <w:sz w:val="22"/>
                <w:szCs w:val="22"/>
                <w:lang w:val="en-GB"/>
              </w:rPr>
              <w:drawing>
                <wp:inline distT="0" distB="0" distL="0" distR="0" wp14:anchorId="63029871" wp14:editId="759F2215">
                  <wp:extent cx="1425039" cy="1080654"/>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6A576E5" w14:textId="77777777" w:rsidR="009058FB" w:rsidRPr="004779F8" w:rsidRDefault="009058FB" w:rsidP="009058FB">
            <w:pPr>
              <w:rPr>
                <w:b/>
                <w:sz w:val="22"/>
                <w:lang w:val="en-GB"/>
              </w:rPr>
            </w:pPr>
          </w:p>
          <w:p w14:paraId="14CEE1C5" w14:textId="77777777" w:rsidR="009058FB" w:rsidRPr="008C5535" w:rsidRDefault="009058FB" w:rsidP="009058FB">
            <w:pPr>
              <w:rPr>
                <w:b/>
                <w:sz w:val="22"/>
                <w:szCs w:val="22"/>
                <w:lang w:val="en-GB"/>
              </w:rPr>
            </w:pPr>
            <w:r w:rsidRPr="00613A29">
              <w:rPr>
                <w:b/>
                <w:sz w:val="22"/>
                <w:lang w:val="en-GB"/>
              </w:rPr>
              <w:t>2.2: Internationally coordinated collection of harvest data is developed and implemented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FB80D58" w14:textId="77777777" w:rsidR="009058FB" w:rsidRPr="00E4475D" w:rsidRDefault="009058FB" w:rsidP="009058FB">
            <w:pPr>
              <w:rPr>
                <w:b/>
                <w:sz w:val="22"/>
                <w:szCs w:val="22"/>
                <w:lang w:val="en-GB"/>
              </w:rPr>
            </w:pPr>
          </w:p>
          <w:p w14:paraId="32E4CD73" w14:textId="77777777" w:rsidR="009058FB" w:rsidRPr="00852729" w:rsidRDefault="009058FB" w:rsidP="009058FB">
            <w:pPr>
              <w:rPr>
                <w:b/>
                <w:sz w:val="22"/>
                <w:szCs w:val="22"/>
                <w:lang w:val="en-GB"/>
              </w:rPr>
            </w:pPr>
            <w:r w:rsidRPr="00852729">
              <w:rPr>
                <w:b/>
                <w:sz w:val="22"/>
                <w:szCs w:val="22"/>
                <w:lang w:val="en-GB"/>
              </w:rPr>
              <w:t>Internationally coordinated harvest data collection in place involving at least 25% of the CPs</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EAA7E83" w14:textId="77777777" w:rsidR="009058FB" w:rsidRPr="000F0222" w:rsidRDefault="009058FB" w:rsidP="009058FB">
            <w:pPr>
              <w:rPr>
                <w:sz w:val="22"/>
                <w:szCs w:val="22"/>
                <w:lang w:val="en-GB"/>
              </w:rPr>
            </w:pPr>
          </w:p>
          <w:p w14:paraId="3DC410E0" w14:textId="66BCCC83" w:rsidR="009058FB" w:rsidRPr="000F0222" w:rsidRDefault="00CE76AC" w:rsidP="009058FB">
            <w:pPr>
              <w:rPr>
                <w:b/>
                <w:sz w:val="22"/>
                <w:szCs w:val="22"/>
                <w:lang w:val="en-GB"/>
              </w:rPr>
            </w:pPr>
            <w:r w:rsidRPr="000F0222">
              <w:rPr>
                <w:sz w:val="22"/>
                <w:szCs w:val="22"/>
                <w:lang w:val="en-GB"/>
              </w:rPr>
              <w:t>4</w:t>
            </w:r>
            <w:r w:rsidR="008B234E" w:rsidRPr="000F0222">
              <w:rPr>
                <w:sz w:val="22"/>
                <w:szCs w:val="22"/>
                <w:lang w:val="en-GB"/>
              </w:rPr>
              <w:t>5</w:t>
            </w:r>
            <w:r w:rsidR="009058FB" w:rsidRPr="000F0222">
              <w:rPr>
                <w:sz w:val="22"/>
                <w:szCs w:val="22"/>
                <w:lang w:val="en-GB"/>
              </w:rPr>
              <w:t xml:space="preserve">% of the Contracting Parties (CPs) have confirmed </w:t>
            </w:r>
            <w:r w:rsidR="00785DC7">
              <w:rPr>
                <w:sz w:val="22"/>
                <w:szCs w:val="22"/>
                <w:lang w:val="en-GB"/>
              </w:rPr>
              <w:t xml:space="preserve">that </w:t>
            </w:r>
            <w:r w:rsidR="009058FB" w:rsidRPr="000F0222">
              <w:rPr>
                <w:sz w:val="22"/>
                <w:szCs w:val="22"/>
                <w:lang w:val="en-GB"/>
              </w:rPr>
              <w:t xml:space="preserve">harvest data collection systems </w:t>
            </w:r>
            <w:r w:rsidR="00785DC7">
              <w:rPr>
                <w:sz w:val="22"/>
                <w:szCs w:val="22"/>
                <w:lang w:val="en-GB"/>
              </w:rPr>
              <w:t xml:space="preserve">are </w:t>
            </w:r>
            <w:r w:rsidR="009058FB" w:rsidRPr="000F0222">
              <w:rPr>
                <w:sz w:val="22"/>
                <w:szCs w:val="22"/>
                <w:lang w:val="en-GB"/>
              </w:rPr>
              <w:t>in place</w:t>
            </w:r>
            <w:r w:rsidR="007E7A5A" w:rsidRPr="000F0222">
              <w:rPr>
                <w:sz w:val="22"/>
                <w:szCs w:val="22"/>
                <w:lang w:val="en-GB"/>
              </w:rPr>
              <w:t>, which surpasses the target,</w:t>
            </w:r>
            <w:r w:rsidR="009058FB" w:rsidRPr="000F0222">
              <w:rPr>
                <w:sz w:val="22"/>
                <w:szCs w:val="22"/>
                <w:lang w:val="en-GB"/>
              </w:rPr>
              <w:t xml:space="preserve"> and for </w:t>
            </w:r>
            <w:r w:rsidRPr="000F0222">
              <w:rPr>
                <w:sz w:val="22"/>
                <w:szCs w:val="22"/>
                <w:lang w:val="en-GB"/>
              </w:rPr>
              <w:t>1</w:t>
            </w:r>
            <w:r w:rsidR="008B234E" w:rsidRPr="000F0222">
              <w:rPr>
                <w:sz w:val="22"/>
                <w:szCs w:val="22"/>
                <w:lang w:val="en-GB"/>
              </w:rPr>
              <w:t>9</w:t>
            </w:r>
            <w:r w:rsidR="009058FB" w:rsidRPr="000F0222">
              <w:rPr>
                <w:sz w:val="22"/>
                <w:szCs w:val="22"/>
                <w:lang w:val="en-GB"/>
              </w:rPr>
              <w:t xml:space="preserve">% of the CPs these systems cover all AEWA species, the whole territory of the country and all harvesting activities. </w:t>
            </w:r>
            <w:r w:rsidR="009058FB" w:rsidRPr="000F0222">
              <w:rPr>
                <w:b/>
                <w:sz w:val="22"/>
                <w:szCs w:val="22"/>
                <w:lang w:val="en-GB"/>
              </w:rPr>
              <w:t>However, the</w:t>
            </w:r>
            <w:r w:rsidR="00743670" w:rsidRPr="000F0222">
              <w:rPr>
                <w:b/>
                <w:sz w:val="22"/>
                <w:szCs w:val="22"/>
                <w:lang w:val="en-GB"/>
              </w:rPr>
              <w:t xml:space="preserve"> international coordination and </w:t>
            </w:r>
            <w:r w:rsidR="009058FB" w:rsidRPr="000F0222">
              <w:rPr>
                <w:b/>
                <w:sz w:val="22"/>
                <w:szCs w:val="22"/>
                <w:lang w:val="en-GB"/>
              </w:rPr>
              <w:t>synchronization of these national schemes is still lacking.</w:t>
            </w:r>
            <w:r w:rsidR="000C3C99" w:rsidRPr="000F0222">
              <w:rPr>
                <w:b/>
                <w:sz w:val="22"/>
                <w:szCs w:val="22"/>
                <w:lang w:val="en-GB"/>
              </w:rPr>
              <w:t xml:space="preserve"> </w:t>
            </w:r>
            <w:r w:rsidR="000C3C99" w:rsidRPr="000F0222">
              <w:rPr>
                <w:sz w:val="22"/>
                <w:szCs w:val="22"/>
                <w:lang w:val="en-GB"/>
              </w:rPr>
              <w:t>Coordination of harvest data collection at a smaller scale is now being established under the AEWA European Goose Management Platform, but that covers a very limited number of species and populations.</w:t>
            </w:r>
            <w:r w:rsidR="000C3C99" w:rsidRPr="000F0222">
              <w:rPr>
                <w:b/>
                <w:sz w:val="22"/>
                <w:szCs w:val="22"/>
                <w:lang w:val="en-GB"/>
              </w:rPr>
              <w:t xml:space="preserve"> </w:t>
            </w:r>
          </w:p>
          <w:p w14:paraId="25C83E70" w14:textId="77777777" w:rsidR="00CE76AC" w:rsidRPr="000F0222" w:rsidRDefault="00CE76AC" w:rsidP="009058FB">
            <w:pPr>
              <w:rPr>
                <w:b/>
                <w:sz w:val="22"/>
                <w:szCs w:val="22"/>
                <w:lang w:val="en-GB"/>
              </w:rPr>
            </w:pPr>
          </w:p>
          <w:p w14:paraId="0E101918" w14:textId="4B631DE5" w:rsidR="00CE76AC" w:rsidRPr="000F0222" w:rsidRDefault="00CE76AC" w:rsidP="009058FB">
            <w:pPr>
              <w:rPr>
                <w:sz w:val="22"/>
                <w:szCs w:val="22"/>
                <w:lang w:val="en-GB"/>
              </w:rPr>
            </w:pPr>
            <w:r w:rsidRPr="000F0222">
              <w:rPr>
                <w:b/>
                <w:sz w:val="22"/>
                <w:szCs w:val="22"/>
                <w:lang w:val="en-GB"/>
              </w:rPr>
              <w:t>Change since MOP</w:t>
            </w:r>
            <w:r w:rsidR="008B234E" w:rsidRPr="000F0222">
              <w:rPr>
                <w:b/>
                <w:sz w:val="22"/>
                <w:szCs w:val="22"/>
                <w:lang w:val="en-GB"/>
              </w:rPr>
              <w:t>4</w:t>
            </w:r>
            <w:r w:rsidRPr="000F0222">
              <w:rPr>
                <w:b/>
                <w:sz w:val="22"/>
                <w:szCs w:val="22"/>
                <w:lang w:val="en-GB"/>
              </w:rPr>
              <w:t xml:space="preserve">: </w:t>
            </w:r>
            <w:r w:rsidRPr="000F0222">
              <w:rPr>
                <w:sz w:val="22"/>
                <w:szCs w:val="22"/>
                <w:lang w:val="en-GB"/>
              </w:rPr>
              <w:t xml:space="preserve">Negative. </w:t>
            </w:r>
            <w:r w:rsidR="007E7A5A" w:rsidRPr="000F0222">
              <w:rPr>
                <w:sz w:val="22"/>
                <w:szCs w:val="22"/>
                <w:lang w:val="en-GB"/>
              </w:rPr>
              <w:t>5</w:t>
            </w:r>
            <w:r w:rsidRPr="000F0222">
              <w:rPr>
                <w:sz w:val="22"/>
                <w:szCs w:val="22"/>
                <w:lang w:val="en-GB"/>
              </w:rPr>
              <w:t>%</w:t>
            </w:r>
            <w:r w:rsidR="00643038" w:rsidRPr="000F0222">
              <w:rPr>
                <w:sz w:val="22"/>
                <w:szCs w:val="22"/>
                <w:lang w:val="en-GB"/>
              </w:rPr>
              <w:t>-</w:t>
            </w:r>
            <w:r w:rsidR="007E7A5A" w:rsidRPr="000F0222">
              <w:rPr>
                <w:sz w:val="22"/>
                <w:szCs w:val="22"/>
                <w:lang w:val="en-GB"/>
              </w:rPr>
              <w:t xml:space="preserve">point decline in the number of CPs </w:t>
            </w:r>
            <w:r w:rsidRPr="000F0222">
              <w:rPr>
                <w:sz w:val="22"/>
                <w:szCs w:val="22"/>
                <w:lang w:val="en-GB"/>
              </w:rPr>
              <w:t>confirm</w:t>
            </w:r>
            <w:r w:rsidR="007E7A5A" w:rsidRPr="000F0222">
              <w:rPr>
                <w:sz w:val="22"/>
                <w:szCs w:val="22"/>
                <w:lang w:val="en-GB"/>
              </w:rPr>
              <w:t>ing</w:t>
            </w:r>
            <w:r w:rsidRPr="000F0222">
              <w:rPr>
                <w:sz w:val="22"/>
                <w:szCs w:val="22"/>
                <w:lang w:val="en-GB"/>
              </w:rPr>
              <w:t xml:space="preserve"> harvest data collection systems in place</w:t>
            </w:r>
            <w:r w:rsidR="007E7A5A" w:rsidRPr="000F0222">
              <w:rPr>
                <w:sz w:val="22"/>
                <w:szCs w:val="22"/>
                <w:lang w:val="en-GB"/>
              </w:rPr>
              <w:t xml:space="preserve"> compared to 2012</w:t>
            </w:r>
            <w:r w:rsidRPr="000F0222">
              <w:rPr>
                <w:sz w:val="22"/>
                <w:szCs w:val="22"/>
                <w:lang w:val="en-GB"/>
              </w:rPr>
              <w:t xml:space="preserve"> and 1</w:t>
            </w:r>
            <w:r w:rsidR="007E7A5A" w:rsidRPr="000F0222">
              <w:rPr>
                <w:sz w:val="22"/>
                <w:szCs w:val="22"/>
                <w:lang w:val="en-GB"/>
              </w:rPr>
              <w:t>2</w:t>
            </w:r>
            <w:r w:rsidRPr="000F0222">
              <w:rPr>
                <w:sz w:val="22"/>
                <w:szCs w:val="22"/>
                <w:lang w:val="en-GB"/>
              </w:rPr>
              <w:t>%</w:t>
            </w:r>
            <w:r w:rsidR="00643038" w:rsidRPr="000F0222">
              <w:rPr>
                <w:sz w:val="22"/>
                <w:szCs w:val="22"/>
                <w:lang w:val="en-GB"/>
              </w:rPr>
              <w:t>-</w:t>
            </w:r>
            <w:r w:rsidR="007E7A5A" w:rsidRPr="000F0222">
              <w:rPr>
                <w:sz w:val="22"/>
                <w:szCs w:val="22"/>
                <w:lang w:val="en-GB"/>
              </w:rPr>
              <w:t xml:space="preserve">point decline in the number of </w:t>
            </w:r>
            <w:r w:rsidRPr="000F0222">
              <w:rPr>
                <w:sz w:val="22"/>
                <w:szCs w:val="22"/>
                <w:lang w:val="en-GB"/>
              </w:rPr>
              <w:t>CPs report</w:t>
            </w:r>
            <w:r w:rsidR="007E7A5A" w:rsidRPr="000F0222">
              <w:rPr>
                <w:sz w:val="22"/>
                <w:szCs w:val="22"/>
                <w:lang w:val="en-GB"/>
              </w:rPr>
              <w:t>ing</w:t>
            </w:r>
            <w:r w:rsidRPr="000F0222">
              <w:rPr>
                <w:sz w:val="22"/>
                <w:szCs w:val="22"/>
                <w:lang w:val="en-GB"/>
              </w:rPr>
              <w:t xml:space="preserve"> comprehensive systems covering all species, the whole territory and all harvesting activities.</w:t>
            </w:r>
          </w:p>
          <w:p w14:paraId="1A9F6F5C" w14:textId="77777777" w:rsidR="009058FB" w:rsidRPr="000F0222" w:rsidRDefault="009058FB" w:rsidP="009058FB">
            <w:pPr>
              <w:rPr>
                <w:sz w:val="22"/>
                <w:szCs w:val="22"/>
                <w:lang w:val="en-GB"/>
              </w:rPr>
            </w:pPr>
          </w:p>
          <w:p w14:paraId="77E828CE" w14:textId="77777777" w:rsidR="008710CC" w:rsidRDefault="009058FB" w:rsidP="007E7A5A">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7E7A5A" w:rsidRPr="000F0222">
              <w:rPr>
                <w:sz w:val="22"/>
                <w:szCs w:val="22"/>
                <w:lang w:val="en-GB"/>
              </w:rPr>
              <w:t xml:space="preserve">the </w:t>
            </w:r>
            <w:r w:rsidRPr="000F0222">
              <w:rPr>
                <w:sz w:val="22"/>
                <w:szCs w:val="22"/>
                <w:lang w:val="en-GB"/>
              </w:rPr>
              <w:t>AEWA National Reports for the</w:t>
            </w:r>
            <w:r w:rsidR="00743670" w:rsidRPr="000F0222">
              <w:rPr>
                <w:sz w:val="22"/>
                <w:szCs w:val="22"/>
                <w:lang w:val="en-GB"/>
              </w:rPr>
              <w:t xml:space="preserve"> </w:t>
            </w:r>
            <w:r w:rsidR="007E7A5A" w:rsidRPr="000F0222">
              <w:rPr>
                <w:sz w:val="22"/>
                <w:szCs w:val="22"/>
                <w:lang w:val="en-GB"/>
              </w:rPr>
              <w:t>T</w:t>
            </w:r>
            <w:r w:rsidRPr="000F0222">
              <w:rPr>
                <w:sz w:val="22"/>
                <w:szCs w:val="22"/>
                <w:lang w:val="en-GB"/>
              </w:rPr>
              <w:t xml:space="preserve">riennium </w:t>
            </w:r>
          </w:p>
          <w:p w14:paraId="5003F477" w14:textId="6371BA37" w:rsidR="009058FB" w:rsidRPr="000F0222" w:rsidRDefault="008710CC" w:rsidP="007E7A5A">
            <w:pPr>
              <w:rPr>
                <w:sz w:val="22"/>
                <w:szCs w:val="22"/>
                <w:lang w:val="en-GB"/>
              </w:rPr>
            </w:pPr>
            <w:r>
              <w:rPr>
                <w:sz w:val="22"/>
                <w:szCs w:val="22"/>
                <w:lang w:val="en-GB"/>
              </w:rPr>
              <w:t xml:space="preserve">                   </w:t>
            </w:r>
            <w:r w:rsidR="009058FB" w:rsidRPr="000F0222">
              <w:rPr>
                <w:sz w:val="22"/>
                <w:szCs w:val="22"/>
                <w:lang w:val="en-GB"/>
              </w:rPr>
              <w:t>20</w:t>
            </w:r>
            <w:r w:rsidR="00CE76AC" w:rsidRPr="000F0222">
              <w:rPr>
                <w:sz w:val="22"/>
                <w:szCs w:val="22"/>
                <w:lang w:val="en-GB"/>
              </w:rPr>
              <w:t>1</w:t>
            </w:r>
            <w:r w:rsidR="007E7A5A" w:rsidRPr="000F0222">
              <w:rPr>
                <w:sz w:val="22"/>
                <w:szCs w:val="22"/>
                <w:lang w:val="en-GB"/>
              </w:rPr>
              <w:t>5</w:t>
            </w:r>
            <w:r w:rsidR="009058FB" w:rsidRPr="000F0222">
              <w:rPr>
                <w:sz w:val="22"/>
                <w:szCs w:val="22"/>
                <w:lang w:val="en-GB"/>
              </w:rPr>
              <w:t>-201</w:t>
            </w:r>
            <w:r w:rsidR="007E7A5A" w:rsidRPr="000F0222">
              <w:rPr>
                <w:sz w:val="22"/>
                <w:szCs w:val="22"/>
                <w:lang w:val="en-GB"/>
              </w:rPr>
              <w:t>7</w:t>
            </w:r>
            <w:r w:rsidR="009058FB" w:rsidRPr="000F0222">
              <w:rPr>
                <w:sz w:val="22"/>
                <w:szCs w:val="22"/>
                <w:lang w:val="en-GB"/>
              </w:rPr>
              <w:t xml:space="preserve"> (document AEWA/MOP </w:t>
            </w:r>
            <w:r w:rsidR="007E7A5A" w:rsidRPr="000F0222">
              <w:rPr>
                <w:sz w:val="22"/>
                <w:szCs w:val="22"/>
                <w:lang w:val="en-GB"/>
              </w:rPr>
              <w:t>7</w:t>
            </w:r>
            <w:r w:rsidR="009058FB" w:rsidRPr="000F0222">
              <w:rPr>
                <w:sz w:val="22"/>
                <w:szCs w:val="22"/>
                <w:lang w:val="en-GB"/>
              </w:rPr>
              <w:t>.1</w:t>
            </w:r>
            <w:r w:rsidR="007E7A5A" w:rsidRPr="000F0222">
              <w:rPr>
                <w:sz w:val="22"/>
                <w:szCs w:val="22"/>
                <w:lang w:val="en-GB"/>
              </w:rPr>
              <w:t>2</w:t>
            </w:r>
            <w:r w:rsidR="009058FB" w:rsidRPr="000F0222">
              <w:rPr>
                <w:sz w:val="22"/>
                <w:szCs w:val="22"/>
                <w:lang w:val="en-GB"/>
              </w:rPr>
              <w:t>)</w:t>
            </w:r>
            <w:r>
              <w:rPr>
                <w:sz w:val="22"/>
                <w:szCs w:val="22"/>
                <w:lang w:val="en-GB"/>
              </w:rPr>
              <w:t>;</w:t>
            </w:r>
          </w:p>
          <w:p w14:paraId="42C6680D" w14:textId="347EC7F6" w:rsidR="009058FB" w:rsidRPr="000F0222" w:rsidRDefault="00C10742" w:rsidP="00852729">
            <w:pPr>
              <w:rPr>
                <w:sz w:val="22"/>
                <w:szCs w:val="22"/>
                <w:lang w:val="en-GB"/>
              </w:rPr>
            </w:pPr>
            <w:r w:rsidRPr="000F0222">
              <w:rPr>
                <w:sz w:val="22"/>
                <w:szCs w:val="22"/>
                <w:lang w:val="en-GB"/>
              </w:rPr>
              <w:t xml:space="preserve">                   Report of the Secretariat (document AEWA/MOP 7.9)</w:t>
            </w:r>
          </w:p>
        </w:tc>
      </w:tr>
      <w:tr w:rsidR="009058FB" w:rsidRPr="004779F8" w14:paraId="26EAB963" w14:textId="77777777" w:rsidTr="002D03A2">
        <w:trPr>
          <w:trHeight w:val="62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051E165" w14:textId="6BEAE420" w:rsidR="009058FB" w:rsidRPr="000F0222" w:rsidRDefault="000949B3" w:rsidP="009058FB">
            <w:pPr>
              <w:rPr>
                <w:sz w:val="22"/>
                <w:szCs w:val="22"/>
                <w:lang w:val="en-GB"/>
              </w:rPr>
            </w:pPr>
            <w:r w:rsidRPr="000F0222">
              <w:rPr>
                <w:noProof/>
                <w:sz w:val="22"/>
                <w:szCs w:val="22"/>
                <w:lang w:val="en-GB"/>
              </w:rPr>
              <w:lastRenderedPageBreak/>
              <w:drawing>
                <wp:inline distT="0" distB="0" distL="0" distR="0" wp14:anchorId="1BE4DDD9" wp14:editId="361F911E">
                  <wp:extent cx="1425039" cy="1080654"/>
                  <wp:effectExtent l="0" t="0" r="0" b="0"/>
                  <wp:docPr id="5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040A3BB" w14:textId="77777777" w:rsidR="009058FB" w:rsidRPr="004779F8" w:rsidRDefault="009058FB" w:rsidP="009058FB">
            <w:pPr>
              <w:rPr>
                <w:b/>
                <w:sz w:val="22"/>
                <w:szCs w:val="22"/>
                <w:lang w:val="en-GB"/>
              </w:rPr>
            </w:pPr>
          </w:p>
          <w:p w14:paraId="4AD5EDB6" w14:textId="77777777" w:rsidR="009058FB" w:rsidRPr="00613A29" w:rsidRDefault="009058FB" w:rsidP="009058FB">
            <w:pPr>
              <w:rPr>
                <w:b/>
                <w:sz w:val="22"/>
                <w:szCs w:val="22"/>
                <w:lang w:val="en-GB"/>
              </w:rPr>
            </w:pPr>
            <w:r w:rsidRPr="00613A29">
              <w:rPr>
                <w:b/>
                <w:sz w:val="22"/>
                <w:szCs w:val="22"/>
                <w:lang w:val="en-GB"/>
              </w:rPr>
              <w:t xml:space="preserve">2.3: Measures to reduce, and as far as possible eliminate, illegal taking of </w:t>
            </w:r>
            <w:proofErr w:type="spellStart"/>
            <w:r w:rsidRPr="00613A29">
              <w:rPr>
                <w:b/>
                <w:sz w:val="22"/>
                <w:szCs w:val="22"/>
                <w:lang w:val="en-GB"/>
              </w:rPr>
              <w:t>waterbirds</w:t>
            </w:r>
            <w:proofErr w:type="spellEnd"/>
            <w:r w:rsidRPr="00613A29">
              <w:rPr>
                <w:b/>
                <w:sz w:val="22"/>
                <w:szCs w:val="22"/>
                <w:lang w:val="en-GB"/>
              </w:rPr>
              <w:t>, the use of poison baits and non-selective methods of taking are developed and implemented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C0D427A" w14:textId="77777777" w:rsidR="009058FB" w:rsidRPr="008C5535" w:rsidRDefault="009058FB" w:rsidP="009058FB">
            <w:pPr>
              <w:rPr>
                <w:b/>
                <w:sz w:val="22"/>
                <w:szCs w:val="22"/>
                <w:lang w:val="en-GB"/>
              </w:rPr>
            </w:pPr>
          </w:p>
          <w:p w14:paraId="73BBFEA2" w14:textId="77777777" w:rsidR="009058FB" w:rsidRPr="00E4475D" w:rsidRDefault="009058FB" w:rsidP="009058FB">
            <w:pPr>
              <w:rPr>
                <w:b/>
                <w:sz w:val="22"/>
                <w:szCs w:val="22"/>
                <w:lang w:val="en-GB"/>
              </w:rPr>
            </w:pPr>
            <w:r w:rsidRPr="00E4475D">
              <w:rPr>
                <w:b/>
                <w:sz w:val="22"/>
                <w:szCs w:val="22"/>
                <w:lang w:val="en-GB"/>
              </w:rPr>
              <w:t>All CPs have pertinent legislation in place which is being fully enforced</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E249586" w14:textId="77777777" w:rsidR="009058FB" w:rsidRPr="000F0222" w:rsidRDefault="009058FB" w:rsidP="009058FB">
            <w:pPr>
              <w:rPr>
                <w:sz w:val="22"/>
                <w:szCs w:val="22"/>
                <w:lang w:val="en-GB"/>
              </w:rPr>
            </w:pPr>
          </w:p>
          <w:p w14:paraId="2C88F525" w14:textId="20C1877E" w:rsidR="009058FB" w:rsidRPr="000F0222" w:rsidRDefault="000949B3" w:rsidP="009058FB">
            <w:pPr>
              <w:rPr>
                <w:b/>
                <w:iCs/>
                <w:lang w:val="en-GB"/>
              </w:rPr>
            </w:pPr>
            <w:r w:rsidRPr="000F0222">
              <w:rPr>
                <w:sz w:val="22"/>
                <w:szCs w:val="22"/>
                <w:lang w:val="en-GB"/>
              </w:rPr>
              <w:t>69</w:t>
            </w:r>
            <w:r w:rsidR="009058FB" w:rsidRPr="000F0222">
              <w:rPr>
                <w:sz w:val="22"/>
                <w:szCs w:val="22"/>
                <w:lang w:val="en-GB"/>
              </w:rPr>
              <w:t xml:space="preserve">% of the Contracting Parties (CPs) </w:t>
            </w:r>
            <w:r w:rsidR="009058FB" w:rsidRPr="000F0222">
              <w:rPr>
                <w:iCs/>
                <w:lang w:val="en-GB"/>
              </w:rPr>
              <w:t xml:space="preserve">confirmed that measures are in place to </w:t>
            </w:r>
            <w:r w:rsidR="009058FB" w:rsidRPr="000F0222">
              <w:rPr>
                <w:lang w:val="en-GB"/>
              </w:rPr>
              <w:t xml:space="preserve">reduce/eliminate illegal taking of </w:t>
            </w:r>
            <w:proofErr w:type="spellStart"/>
            <w:r w:rsidR="009058FB" w:rsidRPr="000F0222">
              <w:rPr>
                <w:lang w:val="en-GB"/>
              </w:rPr>
              <w:t>waterbirds</w:t>
            </w:r>
            <w:proofErr w:type="spellEnd"/>
            <w:r w:rsidR="009058FB" w:rsidRPr="000F0222">
              <w:rPr>
                <w:iCs/>
                <w:lang w:val="en-GB"/>
              </w:rPr>
              <w:t xml:space="preserve"> within their country, while only </w:t>
            </w:r>
            <w:r w:rsidRPr="000F0222">
              <w:rPr>
                <w:iCs/>
                <w:lang w:val="en-GB"/>
              </w:rPr>
              <w:t>36</w:t>
            </w:r>
            <w:r w:rsidR="009058FB" w:rsidRPr="000F0222">
              <w:rPr>
                <w:iCs/>
                <w:lang w:val="en-GB"/>
              </w:rPr>
              <w:t xml:space="preserve">% of the CPs consider the effectiveness of these measures to be high. </w:t>
            </w:r>
            <w:r w:rsidR="007D6BA0" w:rsidRPr="000F0222">
              <w:rPr>
                <w:iCs/>
                <w:lang w:val="en-GB"/>
              </w:rPr>
              <w:t>4</w:t>
            </w:r>
            <w:r w:rsidRPr="000F0222">
              <w:rPr>
                <w:iCs/>
                <w:lang w:val="en-GB"/>
              </w:rPr>
              <w:t>3</w:t>
            </w:r>
            <w:r w:rsidR="007D6BA0" w:rsidRPr="000F0222">
              <w:rPr>
                <w:iCs/>
                <w:lang w:val="en-GB"/>
              </w:rPr>
              <w:t>% of the CPs have indicated that all non-selective methods of taking, as listed in the AEWA Action Plan, including poison baits, have been prohibited.</w:t>
            </w:r>
            <w:r w:rsidR="007D6BA0" w:rsidRPr="000F0222">
              <w:rPr>
                <w:b/>
                <w:iCs/>
                <w:lang w:val="en-GB"/>
              </w:rPr>
              <w:t xml:space="preserve"> </w:t>
            </w:r>
          </w:p>
          <w:p w14:paraId="1D316083" w14:textId="77777777" w:rsidR="00C15143" w:rsidRPr="000F0222" w:rsidRDefault="00C15143" w:rsidP="009058FB">
            <w:pPr>
              <w:rPr>
                <w:b/>
                <w:iCs/>
                <w:lang w:val="en-GB"/>
              </w:rPr>
            </w:pPr>
          </w:p>
          <w:p w14:paraId="0A5053CA" w14:textId="2716D428" w:rsidR="00C15143" w:rsidRPr="000F0222" w:rsidRDefault="00C15143" w:rsidP="00C15143">
            <w:pPr>
              <w:rPr>
                <w:iCs/>
                <w:lang w:val="en-GB"/>
              </w:rPr>
            </w:pPr>
            <w:r w:rsidRPr="000F0222">
              <w:rPr>
                <w:b/>
                <w:iCs/>
                <w:lang w:val="en-GB"/>
              </w:rPr>
              <w:t>Change since MOP</w:t>
            </w:r>
            <w:r w:rsidR="00D32D04" w:rsidRPr="000F0222">
              <w:rPr>
                <w:b/>
                <w:iCs/>
                <w:lang w:val="en-GB"/>
              </w:rPr>
              <w:t>4</w:t>
            </w:r>
            <w:r w:rsidRPr="000F0222">
              <w:rPr>
                <w:b/>
                <w:iCs/>
                <w:lang w:val="en-GB"/>
              </w:rPr>
              <w:t>:</w:t>
            </w:r>
            <w:r w:rsidRPr="000F0222">
              <w:rPr>
                <w:iCs/>
                <w:lang w:val="en-GB"/>
              </w:rPr>
              <w:t xml:space="preserve"> </w:t>
            </w:r>
            <w:r w:rsidR="00D32D04" w:rsidRPr="000F0222">
              <w:rPr>
                <w:iCs/>
                <w:lang w:val="en-GB"/>
              </w:rPr>
              <w:t>Slightly positive</w:t>
            </w:r>
            <w:r w:rsidRPr="000F0222">
              <w:rPr>
                <w:iCs/>
                <w:lang w:val="en-GB"/>
              </w:rPr>
              <w:t xml:space="preserve">. </w:t>
            </w:r>
            <w:r w:rsidR="009222C9" w:rsidRPr="000F0222">
              <w:rPr>
                <w:iCs/>
                <w:lang w:val="en-GB"/>
              </w:rPr>
              <w:t>There have been a 4%</w:t>
            </w:r>
            <w:r w:rsidR="00643038" w:rsidRPr="000F0222">
              <w:rPr>
                <w:iCs/>
                <w:lang w:val="en-GB"/>
              </w:rPr>
              <w:t>-</w:t>
            </w:r>
            <w:r w:rsidR="009222C9" w:rsidRPr="000F0222">
              <w:rPr>
                <w:iCs/>
                <w:lang w:val="en-GB"/>
              </w:rPr>
              <w:t>point increase in the number of CPs reporting measures in place, although a 1%</w:t>
            </w:r>
            <w:r w:rsidR="00643038" w:rsidRPr="000F0222">
              <w:rPr>
                <w:iCs/>
                <w:lang w:val="en-GB"/>
              </w:rPr>
              <w:t>-</w:t>
            </w:r>
            <w:r w:rsidR="009222C9" w:rsidRPr="000F0222">
              <w:rPr>
                <w:iCs/>
                <w:lang w:val="en-GB"/>
              </w:rPr>
              <w:t>point decline in those considering effectiveness to be high. The 43% of CPs with prohibition of all non-selective modes of taking is a significant increase from the 34% in the last assessment in 2015.</w:t>
            </w:r>
          </w:p>
          <w:p w14:paraId="46AB29D3" w14:textId="77777777" w:rsidR="009058FB" w:rsidRPr="000F0222" w:rsidRDefault="009058FB" w:rsidP="009058FB">
            <w:pPr>
              <w:rPr>
                <w:iCs/>
                <w:lang w:val="en-GB"/>
              </w:rPr>
            </w:pPr>
          </w:p>
          <w:p w14:paraId="7B5C7E57" w14:textId="77777777" w:rsidR="008710CC" w:rsidRDefault="009058FB" w:rsidP="00743670">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9222C9" w:rsidRPr="000F0222">
              <w:rPr>
                <w:sz w:val="22"/>
                <w:szCs w:val="22"/>
                <w:lang w:val="en-GB"/>
              </w:rPr>
              <w:t xml:space="preserve">the </w:t>
            </w:r>
            <w:r w:rsidRPr="000F0222">
              <w:rPr>
                <w:sz w:val="22"/>
                <w:szCs w:val="22"/>
                <w:lang w:val="en-GB"/>
              </w:rPr>
              <w:t>AEWA National Reports for the</w:t>
            </w:r>
            <w:r w:rsidR="00743670" w:rsidRPr="000F0222">
              <w:rPr>
                <w:sz w:val="22"/>
                <w:szCs w:val="22"/>
                <w:lang w:val="en-GB"/>
              </w:rPr>
              <w:t xml:space="preserve"> </w:t>
            </w:r>
            <w:r w:rsidR="009222C9" w:rsidRPr="000F0222">
              <w:rPr>
                <w:sz w:val="22"/>
                <w:szCs w:val="22"/>
                <w:lang w:val="en-GB"/>
              </w:rPr>
              <w:t>T</w:t>
            </w:r>
            <w:r w:rsidRPr="000F0222">
              <w:rPr>
                <w:sz w:val="22"/>
                <w:szCs w:val="22"/>
                <w:lang w:val="en-GB"/>
              </w:rPr>
              <w:t xml:space="preserve">riennium </w:t>
            </w:r>
          </w:p>
          <w:p w14:paraId="046F0012" w14:textId="1E02ECB6" w:rsidR="009058FB" w:rsidRPr="000F0222" w:rsidRDefault="008710CC" w:rsidP="00743670">
            <w:pPr>
              <w:rPr>
                <w:sz w:val="22"/>
                <w:szCs w:val="22"/>
                <w:lang w:val="en-GB"/>
              </w:rPr>
            </w:pPr>
            <w:r>
              <w:rPr>
                <w:sz w:val="22"/>
                <w:szCs w:val="22"/>
                <w:lang w:val="en-GB"/>
              </w:rPr>
              <w:t xml:space="preserve">                   </w:t>
            </w:r>
            <w:r w:rsidR="009058FB" w:rsidRPr="000F0222">
              <w:rPr>
                <w:sz w:val="22"/>
                <w:szCs w:val="22"/>
                <w:lang w:val="en-GB"/>
              </w:rPr>
              <w:t>20</w:t>
            </w:r>
            <w:r w:rsidR="007D6BA0" w:rsidRPr="000F0222">
              <w:rPr>
                <w:sz w:val="22"/>
                <w:szCs w:val="22"/>
                <w:lang w:val="en-GB"/>
              </w:rPr>
              <w:t>1</w:t>
            </w:r>
            <w:r w:rsidR="009222C9" w:rsidRPr="000F0222">
              <w:rPr>
                <w:sz w:val="22"/>
                <w:szCs w:val="22"/>
                <w:lang w:val="en-GB"/>
              </w:rPr>
              <w:t>5</w:t>
            </w:r>
            <w:r w:rsidR="009058FB" w:rsidRPr="000F0222">
              <w:rPr>
                <w:sz w:val="22"/>
                <w:szCs w:val="22"/>
                <w:lang w:val="en-GB"/>
              </w:rPr>
              <w:t>-</w:t>
            </w:r>
            <w:r w:rsidR="00976980">
              <w:rPr>
                <w:sz w:val="22"/>
                <w:szCs w:val="22"/>
                <w:lang w:val="en-GB"/>
              </w:rPr>
              <w:t>2</w:t>
            </w:r>
            <w:r w:rsidR="009058FB" w:rsidRPr="000F0222">
              <w:rPr>
                <w:sz w:val="22"/>
                <w:szCs w:val="22"/>
                <w:lang w:val="en-GB"/>
              </w:rPr>
              <w:t>01</w:t>
            </w:r>
            <w:r w:rsidR="009222C9" w:rsidRPr="000F0222">
              <w:rPr>
                <w:sz w:val="22"/>
                <w:szCs w:val="22"/>
                <w:lang w:val="en-GB"/>
              </w:rPr>
              <w:t>7</w:t>
            </w:r>
            <w:r w:rsidR="009058FB" w:rsidRPr="000F0222">
              <w:rPr>
                <w:sz w:val="22"/>
                <w:szCs w:val="22"/>
                <w:lang w:val="en-GB"/>
              </w:rPr>
              <w:t xml:space="preserve"> (document AEWA/MOP </w:t>
            </w:r>
            <w:r w:rsidR="009222C9" w:rsidRPr="000F0222">
              <w:rPr>
                <w:sz w:val="22"/>
                <w:szCs w:val="22"/>
                <w:lang w:val="en-GB"/>
              </w:rPr>
              <w:t>7</w:t>
            </w:r>
            <w:r w:rsidR="009058FB" w:rsidRPr="000F0222">
              <w:rPr>
                <w:sz w:val="22"/>
                <w:szCs w:val="22"/>
                <w:lang w:val="en-GB"/>
              </w:rPr>
              <w:t>.1</w:t>
            </w:r>
            <w:r w:rsidR="009222C9" w:rsidRPr="000F0222">
              <w:rPr>
                <w:sz w:val="22"/>
                <w:szCs w:val="22"/>
                <w:lang w:val="en-GB"/>
              </w:rPr>
              <w:t>2</w:t>
            </w:r>
            <w:r w:rsidR="009058FB" w:rsidRPr="000F0222">
              <w:rPr>
                <w:sz w:val="22"/>
                <w:szCs w:val="22"/>
                <w:lang w:val="en-GB"/>
              </w:rPr>
              <w:t>)</w:t>
            </w:r>
          </w:p>
          <w:p w14:paraId="316265DE" w14:textId="77777777" w:rsidR="009058FB" w:rsidRPr="000F0222" w:rsidRDefault="009058FB" w:rsidP="009058FB">
            <w:pPr>
              <w:rPr>
                <w:sz w:val="22"/>
                <w:szCs w:val="22"/>
                <w:lang w:val="en-GB"/>
              </w:rPr>
            </w:pPr>
          </w:p>
        </w:tc>
      </w:tr>
      <w:tr w:rsidR="009058FB" w:rsidRPr="004779F8" w14:paraId="457135C9" w14:textId="77777777" w:rsidTr="002D03A2">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5D6C63C" w14:textId="5F20CE8B" w:rsidR="009058FB" w:rsidRPr="004779F8" w:rsidRDefault="006B4DFC" w:rsidP="009058FB">
            <w:pPr>
              <w:rPr>
                <w:noProof/>
                <w:sz w:val="22"/>
                <w:szCs w:val="22"/>
                <w:lang w:val="en-GB" w:eastAsia="en-GB"/>
              </w:rPr>
            </w:pPr>
            <w:r w:rsidRPr="000F0222">
              <w:rPr>
                <w:b/>
                <w:noProof/>
                <w:lang w:val="en-GB"/>
              </w:rPr>
              <w:drawing>
                <wp:inline distT="0" distB="0" distL="0" distR="0" wp14:anchorId="0C7E6EF1" wp14:editId="6972CD3E">
                  <wp:extent cx="1425039" cy="1068780"/>
                  <wp:effectExtent l="0" t="0" r="0" b="0"/>
                  <wp:docPr id="6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B7FB945" w14:textId="77777777" w:rsidR="009058FB" w:rsidRPr="00613A29" w:rsidRDefault="009058FB" w:rsidP="009058FB">
            <w:pPr>
              <w:rPr>
                <w:b/>
                <w:sz w:val="22"/>
                <w:szCs w:val="22"/>
                <w:lang w:val="en-GB"/>
              </w:rPr>
            </w:pPr>
          </w:p>
          <w:p w14:paraId="1DF3853A" w14:textId="77777777" w:rsidR="009058FB" w:rsidRPr="008C5535" w:rsidRDefault="009058FB" w:rsidP="009058FB">
            <w:pPr>
              <w:rPr>
                <w:b/>
                <w:sz w:val="22"/>
                <w:szCs w:val="22"/>
                <w:lang w:val="en-GB"/>
              </w:rPr>
            </w:pPr>
            <w:r w:rsidRPr="00613A29">
              <w:rPr>
                <w:b/>
                <w:sz w:val="22"/>
                <w:szCs w:val="22"/>
                <w:lang w:val="en-GB"/>
              </w:rPr>
              <w:t xml:space="preserve">2.4: </w:t>
            </w:r>
            <w:r w:rsidRPr="008C5535">
              <w:rPr>
                <w:b/>
                <w:sz w:val="22"/>
                <w:szCs w:val="22"/>
                <w:lang w:val="en-GB"/>
              </w:rPr>
              <w:t xml:space="preserve">Best practice codes and standards, such as bird identification, are developed and prompted, </w:t>
            </w:r>
            <w:proofErr w:type="gramStart"/>
            <w:r w:rsidRPr="008C5535">
              <w:rPr>
                <w:b/>
                <w:sz w:val="22"/>
                <w:szCs w:val="22"/>
                <w:lang w:val="en-GB"/>
              </w:rPr>
              <w:t>in order to</w:t>
            </w:r>
            <w:proofErr w:type="gramEnd"/>
            <w:r w:rsidRPr="008C5535">
              <w:rPr>
                <w:b/>
                <w:sz w:val="22"/>
                <w:szCs w:val="22"/>
                <w:lang w:val="en-GB"/>
              </w:rPr>
              <w:t xml:space="preserve"> achieve proper enforcement of legally binding provisions </w:t>
            </w:r>
          </w:p>
          <w:p w14:paraId="224AD0F9" w14:textId="77777777" w:rsidR="009058FB" w:rsidRPr="00E4475D"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B3F9E33" w14:textId="77777777" w:rsidR="009058FB" w:rsidRPr="00852729" w:rsidRDefault="009058FB" w:rsidP="009058FB">
            <w:pPr>
              <w:rPr>
                <w:b/>
                <w:sz w:val="22"/>
                <w:szCs w:val="22"/>
                <w:lang w:val="en-GB"/>
              </w:rPr>
            </w:pPr>
          </w:p>
          <w:p w14:paraId="42A4D7C7" w14:textId="77777777" w:rsidR="009058FB" w:rsidRPr="004779F8" w:rsidRDefault="009058FB" w:rsidP="009058FB">
            <w:pPr>
              <w:rPr>
                <w:b/>
                <w:sz w:val="22"/>
                <w:szCs w:val="22"/>
                <w:lang w:val="en-GB"/>
              </w:rPr>
            </w:pPr>
            <w:r w:rsidRPr="004779F8">
              <w:rPr>
                <w:b/>
                <w:sz w:val="22"/>
                <w:szCs w:val="22"/>
                <w:lang w:val="en-GB"/>
              </w:rPr>
              <w:t>50% of CPs are effectively enforcing legally binding best practice standards</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48F6D18C" w14:textId="77777777" w:rsidR="009058FB" w:rsidRPr="000F0222" w:rsidRDefault="009058FB" w:rsidP="009058FB">
            <w:pPr>
              <w:rPr>
                <w:sz w:val="22"/>
                <w:szCs w:val="22"/>
                <w:lang w:val="en-GB"/>
              </w:rPr>
            </w:pPr>
          </w:p>
          <w:p w14:paraId="3FD1C30C" w14:textId="256C0403" w:rsidR="00077FDD" w:rsidRPr="000F0222" w:rsidRDefault="00A63F29" w:rsidP="004142BC">
            <w:pPr>
              <w:rPr>
                <w:sz w:val="22"/>
                <w:szCs w:val="22"/>
                <w:lang w:val="en-GB"/>
              </w:rPr>
            </w:pPr>
            <w:r w:rsidRPr="000F0222">
              <w:rPr>
                <w:sz w:val="22"/>
                <w:szCs w:val="22"/>
                <w:lang w:val="en-GB"/>
              </w:rPr>
              <w:t>35</w:t>
            </w:r>
            <w:r w:rsidR="004142BC" w:rsidRPr="000F0222">
              <w:rPr>
                <w:sz w:val="22"/>
                <w:szCs w:val="22"/>
                <w:lang w:val="en-GB"/>
              </w:rPr>
              <w:t xml:space="preserve">% of the CPs reported that best practice codes and standards are in place </w:t>
            </w:r>
            <w:r w:rsidR="006B4DFC" w:rsidRPr="000F0222">
              <w:rPr>
                <w:sz w:val="22"/>
                <w:szCs w:val="22"/>
                <w:lang w:val="en-GB"/>
              </w:rPr>
              <w:t>and</w:t>
            </w:r>
            <w:r w:rsidR="004142BC" w:rsidRPr="000F0222">
              <w:rPr>
                <w:sz w:val="22"/>
                <w:szCs w:val="22"/>
                <w:lang w:val="en-GB"/>
              </w:rPr>
              <w:t xml:space="preserve"> </w:t>
            </w:r>
            <w:r w:rsidR="006B4DFC" w:rsidRPr="000F0222">
              <w:rPr>
                <w:sz w:val="22"/>
                <w:szCs w:val="22"/>
                <w:lang w:val="en-GB"/>
              </w:rPr>
              <w:t>45</w:t>
            </w:r>
            <w:r w:rsidR="004142BC" w:rsidRPr="000F0222">
              <w:rPr>
                <w:sz w:val="22"/>
                <w:szCs w:val="22"/>
                <w:lang w:val="en-GB"/>
              </w:rPr>
              <w:t>% of CPs which confirmed that legally binding best practice codes and standards are considered priority</w:t>
            </w:r>
            <w:r w:rsidR="006B4DFC" w:rsidRPr="000F0222">
              <w:rPr>
                <w:sz w:val="22"/>
                <w:szCs w:val="22"/>
                <w:lang w:val="en-GB"/>
              </w:rPr>
              <w:t>.</w:t>
            </w:r>
          </w:p>
          <w:p w14:paraId="6D347F5E" w14:textId="77777777" w:rsidR="004142BC" w:rsidRPr="000F0222" w:rsidRDefault="004142BC" w:rsidP="004142BC">
            <w:pPr>
              <w:rPr>
                <w:sz w:val="22"/>
                <w:szCs w:val="22"/>
                <w:lang w:val="en-GB"/>
              </w:rPr>
            </w:pPr>
          </w:p>
          <w:p w14:paraId="12073B74" w14:textId="5ED3BEB7" w:rsidR="004142BC" w:rsidRPr="000F0222" w:rsidRDefault="004142BC" w:rsidP="004142BC">
            <w:pPr>
              <w:rPr>
                <w:sz w:val="22"/>
                <w:szCs w:val="22"/>
                <w:lang w:val="en-GB"/>
              </w:rPr>
            </w:pPr>
            <w:r w:rsidRPr="000F0222">
              <w:rPr>
                <w:b/>
                <w:sz w:val="22"/>
                <w:szCs w:val="22"/>
                <w:lang w:val="en-GB"/>
              </w:rPr>
              <w:t>Change since MOP</w:t>
            </w:r>
            <w:r w:rsidR="006B4DFC" w:rsidRPr="000F0222">
              <w:rPr>
                <w:b/>
                <w:sz w:val="22"/>
                <w:szCs w:val="22"/>
                <w:lang w:val="en-GB"/>
              </w:rPr>
              <w:t>4</w:t>
            </w:r>
            <w:r w:rsidRPr="000F0222">
              <w:rPr>
                <w:b/>
                <w:sz w:val="22"/>
                <w:szCs w:val="22"/>
                <w:lang w:val="en-GB"/>
              </w:rPr>
              <w:t>:</w:t>
            </w:r>
            <w:r w:rsidR="00976980">
              <w:rPr>
                <w:b/>
                <w:sz w:val="22"/>
                <w:szCs w:val="22"/>
                <w:lang w:val="en-GB"/>
              </w:rPr>
              <w:t xml:space="preserve"> </w:t>
            </w:r>
            <w:r w:rsidR="006B4DFC" w:rsidRPr="000F0222">
              <w:rPr>
                <w:sz w:val="22"/>
                <w:szCs w:val="22"/>
                <w:lang w:val="en-GB"/>
              </w:rPr>
              <w:t>Positive</w:t>
            </w:r>
            <w:r w:rsidRPr="000F0222">
              <w:rPr>
                <w:sz w:val="22"/>
                <w:szCs w:val="22"/>
                <w:lang w:val="en-GB"/>
              </w:rPr>
              <w:t xml:space="preserve">. </w:t>
            </w:r>
            <w:r w:rsidR="006B4DFC" w:rsidRPr="000F0222">
              <w:rPr>
                <w:sz w:val="22"/>
                <w:szCs w:val="22"/>
                <w:lang w:val="en-GB"/>
              </w:rPr>
              <w:t>This indicator was assessed for first time at MOP5 and since then figures changed substantially (9%</w:t>
            </w:r>
            <w:r w:rsidR="00643038" w:rsidRPr="000F0222">
              <w:rPr>
                <w:sz w:val="22"/>
                <w:szCs w:val="22"/>
                <w:lang w:val="en-GB"/>
              </w:rPr>
              <w:t>-</w:t>
            </w:r>
            <w:r w:rsidR="006B4DFC" w:rsidRPr="000F0222">
              <w:rPr>
                <w:sz w:val="22"/>
                <w:szCs w:val="22"/>
                <w:lang w:val="en-GB"/>
              </w:rPr>
              <w:t>point increase in the number of CPs with best practice codes in place and 13%</w:t>
            </w:r>
            <w:r w:rsidR="00643038" w:rsidRPr="000F0222">
              <w:rPr>
                <w:sz w:val="22"/>
                <w:szCs w:val="22"/>
                <w:lang w:val="en-GB"/>
              </w:rPr>
              <w:t>-</w:t>
            </w:r>
            <w:r w:rsidR="006B4DFC" w:rsidRPr="000F0222">
              <w:rPr>
                <w:sz w:val="22"/>
                <w:szCs w:val="22"/>
                <w:lang w:val="en-GB"/>
              </w:rPr>
              <w:t>point increase of CPs considering such standards to be priority)</w:t>
            </w:r>
          </w:p>
          <w:p w14:paraId="3A807FD2" w14:textId="77777777" w:rsidR="004142BC" w:rsidRPr="000F0222" w:rsidRDefault="004142BC" w:rsidP="004142BC">
            <w:pPr>
              <w:rPr>
                <w:sz w:val="22"/>
                <w:szCs w:val="22"/>
                <w:lang w:val="en-GB"/>
              </w:rPr>
            </w:pPr>
          </w:p>
          <w:p w14:paraId="38B84541" w14:textId="77777777" w:rsidR="008710CC" w:rsidRDefault="004142BC" w:rsidP="006B4DFC">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6B4DFC" w:rsidRPr="000F0222">
              <w:rPr>
                <w:sz w:val="22"/>
                <w:szCs w:val="22"/>
                <w:lang w:val="en-GB"/>
              </w:rPr>
              <w:t xml:space="preserve">the </w:t>
            </w:r>
            <w:r w:rsidRPr="000F0222">
              <w:rPr>
                <w:sz w:val="22"/>
                <w:szCs w:val="22"/>
                <w:lang w:val="en-GB"/>
              </w:rPr>
              <w:t>AEWA National Reports for the</w:t>
            </w:r>
            <w:r w:rsidR="00743670" w:rsidRPr="000F0222">
              <w:rPr>
                <w:sz w:val="22"/>
                <w:szCs w:val="22"/>
                <w:lang w:val="en-GB"/>
              </w:rPr>
              <w:t xml:space="preserve"> </w:t>
            </w:r>
            <w:r w:rsidRPr="000F0222">
              <w:rPr>
                <w:sz w:val="22"/>
                <w:szCs w:val="22"/>
                <w:lang w:val="en-GB"/>
              </w:rPr>
              <w:t xml:space="preserve">triennium </w:t>
            </w:r>
          </w:p>
          <w:p w14:paraId="39BCF8BB" w14:textId="72A13249" w:rsidR="004142BC" w:rsidRPr="000F0222" w:rsidRDefault="008710CC" w:rsidP="006B4DFC">
            <w:pPr>
              <w:rPr>
                <w:sz w:val="22"/>
                <w:szCs w:val="22"/>
                <w:lang w:val="en-GB"/>
              </w:rPr>
            </w:pPr>
            <w:r>
              <w:rPr>
                <w:sz w:val="22"/>
                <w:szCs w:val="22"/>
                <w:lang w:val="en-GB"/>
              </w:rPr>
              <w:t xml:space="preserve">                   </w:t>
            </w:r>
            <w:r w:rsidR="004142BC" w:rsidRPr="000F0222">
              <w:rPr>
                <w:sz w:val="22"/>
                <w:szCs w:val="22"/>
                <w:lang w:val="en-GB"/>
              </w:rPr>
              <w:t>201</w:t>
            </w:r>
            <w:r w:rsidR="006B4DFC" w:rsidRPr="000F0222">
              <w:rPr>
                <w:sz w:val="22"/>
                <w:szCs w:val="22"/>
                <w:lang w:val="en-GB"/>
              </w:rPr>
              <w:t>5</w:t>
            </w:r>
            <w:r w:rsidR="004142BC" w:rsidRPr="000F0222">
              <w:rPr>
                <w:sz w:val="22"/>
                <w:szCs w:val="22"/>
                <w:lang w:val="en-GB"/>
              </w:rPr>
              <w:t>-201</w:t>
            </w:r>
            <w:r w:rsidR="006B4DFC" w:rsidRPr="000F0222">
              <w:rPr>
                <w:sz w:val="22"/>
                <w:szCs w:val="22"/>
                <w:lang w:val="en-GB"/>
              </w:rPr>
              <w:t>7</w:t>
            </w:r>
            <w:r w:rsidR="004142BC" w:rsidRPr="000F0222">
              <w:rPr>
                <w:sz w:val="22"/>
                <w:szCs w:val="22"/>
                <w:lang w:val="en-GB"/>
              </w:rPr>
              <w:t xml:space="preserve"> (document AEWA/MOP </w:t>
            </w:r>
            <w:r w:rsidR="006B4DFC" w:rsidRPr="000F0222">
              <w:rPr>
                <w:sz w:val="22"/>
                <w:szCs w:val="22"/>
                <w:lang w:val="en-GB"/>
              </w:rPr>
              <w:t>7</w:t>
            </w:r>
            <w:r w:rsidR="004142BC" w:rsidRPr="000F0222">
              <w:rPr>
                <w:sz w:val="22"/>
                <w:szCs w:val="22"/>
                <w:lang w:val="en-GB"/>
              </w:rPr>
              <w:t>.1</w:t>
            </w:r>
            <w:r w:rsidR="006B4DFC" w:rsidRPr="000F0222">
              <w:rPr>
                <w:sz w:val="22"/>
                <w:szCs w:val="22"/>
                <w:lang w:val="en-GB"/>
              </w:rPr>
              <w:t>2</w:t>
            </w:r>
            <w:r w:rsidR="004142BC" w:rsidRPr="000F0222">
              <w:rPr>
                <w:sz w:val="22"/>
                <w:szCs w:val="22"/>
                <w:lang w:val="en-GB"/>
              </w:rPr>
              <w:t>)</w:t>
            </w:r>
          </w:p>
          <w:p w14:paraId="1CECD9EE" w14:textId="6835E38E" w:rsidR="00743670" w:rsidRPr="000F0222" w:rsidRDefault="00743670" w:rsidP="00743670">
            <w:pPr>
              <w:rPr>
                <w:sz w:val="22"/>
                <w:szCs w:val="22"/>
                <w:lang w:val="en-GB"/>
              </w:rPr>
            </w:pPr>
          </w:p>
        </w:tc>
      </w:tr>
      <w:tr w:rsidR="009058FB" w:rsidRPr="004779F8" w14:paraId="279C5435" w14:textId="77777777" w:rsidTr="004142BC">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3292DF2" w14:textId="53C2B6F7" w:rsidR="009058FB" w:rsidRPr="004779F8" w:rsidRDefault="002D03A2" w:rsidP="009058FB">
            <w:pPr>
              <w:rPr>
                <w:noProof/>
                <w:sz w:val="22"/>
                <w:szCs w:val="22"/>
                <w:lang w:val="en-GB" w:eastAsia="en-GB"/>
              </w:rPr>
            </w:pPr>
            <w:r w:rsidRPr="000F0222">
              <w:rPr>
                <w:b/>
                <w:noProof/>
                <w:lang w:val="en-GB"/>
              </w:rPr>
              <w:lastRenderedPageBreak/>
              <w:drawing>
                <wp:inline distT="0" distB="0" distL="0" distR="0" wp14:anchorId="2ECFC7E8" wp14:editId="7434D9AF">
                  <wp:extent cx="1425039" cy="1080655"/>
                  <wp:effectExtent l="0" t="0" r="0" b="0"/>
                  <wp:docPr id="6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DD47327" w14:textId="77777777" w:rsidR="009058FB" w:rsidRPr="00613A29" w:rsidRDefault="009058FB" w:rsidP="009058FB">
            <w:pPr>
              <w:rPr>
                <w:b/>
                <w:sz w:val="22"/>
                <w:lang w:val="en-GB"/>
              </w:rPr>
            </w:pPr>
          </w:p>
          <w:p w14:paraId="5A52A1FE" w14:textId="77777777" w:rsidR="009058FB" w:rsidRPr="00613A29" w:rsidRDefault="009058FB" w:rsidP="009058FB">
            <w:pPr>
              <w:rPr>
                <w:b/>
                <w:sz w:val="22"/>
                <w:lang w:val="en-GB"/>
              </w:rPr>
            </w:pPr>
            <w:r w:rsidRPr="00613A29">
              <w:rPr>
                <w:b/>
                <w:sz w:val="22"/>
                <w:lang w:val="en-GB"/>
              </w:rPr>
              <w:t>2.5: Adaptive harvest management of quarry populations is ensured at international scale</w:t>
            </w:r>
          </w:p>
          <w:p w14:paraId="2F1D6CCF" w14:textId="77777777" w:rsidR="009058FB" w:rsidRPr="008C5535"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6E40B62" w14:textId="77777777" w:rsidR="009058FB" w:rsidRPr="00E4475D" w:rsidRDefault="009058FB" w:rsidP="009058FB">
            <w:pPr>
              <w:rPr>
                <w:b/>
                <w:sz w:val="22"/>
                <w:szCs w:val="22"/>
                <w:lang w:val="en-GB"/>
              </w:rPr>
            </w:pPr>
          </w:p>
          <w:p w14:paraId="45955B55" w14:textId="77777777" w:rsidR="009058FB" w:rsidRPr="004779F8" w:rsidRDefault="009058FB" w:rsidP="009058FB">
            <w:pPr>
              <w:rPr>
                <w:b/>
                <w:sz w:val="22"/>
                <w:szCs w:val="22"/>
                <w:lang w:val="en-GB"/>
              </w:rPr>
            </w:pPr>
            <w:r w:rsidRPr="00852729">
              <w:rPr>
                <w:b/>
                <w:sz w:val="22"/>
                <w:szCs w:val="22"/>
                <w:lang w:val="en-GB"/>
              </w:rPr>
              <w:t>International harvest management plans (</w:t>
            </w:r>
            <w:r w:rsidRPr="004779F8">
              <w:rPr>
                <w:b/>
                <w:sz w:val="22"/>
                <w:szCs w:val="22"/>
                <w:lang w:val="en-GB"/>
              </w:rPr>
              <w:t>IHMP) for two quarry populations developed and implemented</w:t>
            </w:r>
          </w:p>
          <w:p w14:paraId="0DDDB695" w14:textId="77777777" w:rsidR="009058FB" w:rsidRPr="004779F8" w:rsidRDefault="009058FB" w:rsidP="009058FB">
            <w:pPr>
              <w:rPr>
                <w:b/>
                <w:sz w:val="22"/>
                <w:szCs w:val="22"/>
                <w:lang w:val="en-GB"/>
              </w:rPr>
            </w:pPr>
          </w:p>
          <w:p w14:paraId="0DB2186C" w14:textId="77777777" w:rsidR="009058FB" w:rsidRPr="004779F8" w:rsidRDefault="009058FB" w:rsidP="009058FB">
            <w:pPr>
              <w:rPr>
                <w:b/>
                <w:sz w:val="22"/>
                <w:szCs w:val="22"/>
                <w:lang w:val="en-GB"/>
              </w:rPr>
            </w:pPr>
          </w:p>
          <w:p w14:paraId="045F93BF" w14:textId="77777777" w:rsidR="009058FB" w:rsidRPr="004779F8" w:rsidRDefault="009058FB" w:rsidP="009058FB">
            <w:pPr>
              <w:rPr>
                <w:b/>
                <w:sz w:val="22"/>
                <w:szCs w:val="22"/>
                <w:lang w:val="en-GB"/>
              </w:rPr>
            </w:pP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1B3B5D1" w14:textId="77777777" w:rsidR="009058FB" w:rsidRPr="000F0222" w:rsidRDefault="009058FB" w:rsidP="009058FB">
            <w:pPr>
              <w:rPr>
                <w:sz w:val="22"/>
                <w:szCs w:val="22"/>
                <w:lang w:val="en-GB"/>
              </w:rPr>
            </w:pPr>
          </w:p>
          <w:p w14:paraId="4652EBF1" w14:textId="7B475AE0" w:rsidR="009058FB" w:rsidRPr="000F0222" w:rsidRDefault="009058FB" w:rsidP="009058FB">
            <w:pPr>
              <w:rPr>
                <w:sz w:val="22"/>
                <w:szCs w:val="22"/>
                <w:lang w:val="en-GB"/>
              </w:rPr>
            </w:pPr>
            <w:r w:rsidRPr="000F0222">
              <w:rPr>
                <w:sz w:val="22"/>
                <w:szCs w:val="22"/>
                <w:lang w:val="en-GB"/>
              </w:rPr>
              <w:t xml:space="preserve">The </w:t>
            </w:r>
            <w:r w:rsidR="00976980">
              <w:rPr>
                <w:sz w:val="22"/>
                <w:szCs w:val="22"/>
                <w:lang w:val="en-GB"/>
              </w:rPr>
              <w:t xml:space="preserve">International </w:t>
            </w:r>
            <w:r w:rsidR="002D03A2" w:rsidRPr="000F0222">
              <w:rPr>
                <w:sz w:val="22"/>
                <w:szCs w:val="22"/>
                <w:lang w:val="en-GB"/>
              </w:rPr>
              <w:t xml:space="preserve">Single </w:t>
            </w:r>
            <w:r w:rsidRPr="000F0222">
              <w:rPr>
                <w:sz w:val="22"/>
                <w:szCs w:val="22"/>
                <w:lang w:val="en-GB"/>
              </w:rPr>
              <w:t xml:space="preserve">Species Management Plan </w:t>
            </w:r>
            <w:r w:rsidR="002D03A2" w:rsidRPr="000F0222">
              <w:rPr>
                <w:sz w:val="22"/>
                <w:szCs w:val="22"/>
                <w:lang w:val="en-GB"/>
              </w:rPr>
              <w:t>(</w:t>
            </w:r>
            <w:r w:rsidR="00976980">
              <w:rPr>
                <w:sz w:val="22"/>
                <w:szCs w:val="22"/>
                <w:lang w:val="en-GB"/>
              </w:rPr>
              <w:t>I</w:t>
            </w:r>
            <w:r w:rsidR="002D03A2" w:rsidRPr="000F0222">
              <w:rPr>
                <w:sz w:val="22"/>
                <w:szCs w:val="22"/>
                <w:lang w:val="en-GB"/>
              </w:rPr>
              <w:t xml:space="preserve">SSMP) </w:t>
            </w:r>
            <w:r w:rsidRPr="000F0222">
              <w:rPr>
                <w:sz w:val="22"/>
                <w:szCs w:val="22"/>
                <w:lang w:val="en-GB"/>
              </w:rPr>
              <w:t>for the Svalbard population of the Pink-footed Goose (</w:t>
            </w:r>
            <w:r w:rsidRPr="000F0222">
              <w:rPr>
                <w:i/>
                <w:sz w:val="22"/>
                <w:szCs w:val="22"/>
                <w:lang w:val="en-GB"/>
              </w:rPr>
              <w:t xml:space="preserve">Anser </w:t>
            </w:r>
            <w:proofErr w:type="spellStart"/>
            <w:r w:rsidRPr="000F0222">
              <w:rPr>
                <w:i/>
                <w:sz w:val="22"/>
                <w:szCs w:val="22"/>
                <w:lang w:val="en-GB"/>
              </w:rPr>
              <w:t>brachyrhynchus</w:t>
            </w:r>
            <w:proofErr w:type="spellEnd"/>
            <w:r w:rsidRPr="000F0222">
              <w:rPr>
                <w:sz w:val="22"/>
                <w:szCs w:val="22"/>
                <w:lang w:val="en-GB"/>
              </w:rPr>
              <w:t>)</w:t>
            </w:r>
            <w:r w:rsidR="002D03A2" w:rsidRPr="000F0222">
              <w:rPr>
                <w:sz w:val="22"/>
                <w:szCs w:val="22"/>
                <w:lang w:val="en-GB"/>
              </w:rPr>
              <w:t xml:space="preserve"> and the</w:t>
            </w:r>
            <w:r w:rsidR="00976980">
              <w:rPr>
                <w:sz w:val="22"/>
                <w:szCs w:val="22"/>
                <w:lang w:val="en-GB"/>
              </w:rPr>
              <w:t xml:space="preserve"> International</w:t>
            </w:r>
            <w:r w:rsidR="002D03A2" w:rsidRPr="000F0222">
              <w:rPr>
                <w:sz w:val="22"/>
                <w:szCs w:val="22"/>
                <w:lang w:val="en-GB"/>
              </w:rPr>
              <w:t xml:space="preserve"> Single Species Action Plan (</w:t>
            </w:r>
            <w:r w:rsidR="00976980">
              <w:rPr>
                <w:sz w:val="22"/>
                <w:szCs w:val="22"/>
                <w:lang w:val="en-GB"/>
              </w:rPr>
              <w:t>I</w:t>
            </w:r>
            <w:r w:rsidR="002D03A2" w:rsidRPr="000F0222">
              <w:rPr>
                <w:sz w:val="22"/>
                <w:szCs w:val="22"/>
                <w:lang w:val="en-GB"/>
              </w:rPr>
              <w:t>SSAP) for the Taiga Bean Goose (</w:t>
            </w:r>
            <w:r w:rsidR="002D03A2" w:rsidRPr="000F0222">
              <w:rPr>
                <w:i/>
                <w:sz w:val="22"/>
                <w:szCs w:val="22"/>
                <w:lang w:val="en-GB"/>
              </w:rPr>
              <w:t xml:space="preserve">Anser </w:t>
            </w:r>
            <w:proofErr w:type="spellStart"/>
            <w:r w:rsidR="002D03A2" w:rsidRPr="000F0222">
              <w:rPr>
                <w:i/>
                <w:sz w:val="22"/>
                <w:szCs w:val="22"/>
                <w:lang w:val="en-GB"/>
              </w:rPr>
              <w:t>fabalis</w:t>
            </w:r>
            <w:proofErr w:type="spellEnd"/>
            <w:r w:rsidR="002D03A2" w:rsidRPr="000F0222">
              <w:rPr>
                <w:i/>
                <w:sz w:val="22"/>
                <w:szCs w:val="22"/>
                <w:lang w:val="en-GB"/>
              </w:rPr>
              <w:t xml:space="preserve"> </w:t>
            </w:r>
            <w:proofErr w:type="spellStart"/>
            <w:r w:rsidR="002D03A2" w:rsidRPr="000F0222">
              <w:rPr>
                <w:i/>
                <w:sz w:val="22"/>
                <w:szCs w:val="22"/>
                <w:lang w:val="en-GB"/>
              </w:rPr>
              <w:t>fabalis</w:t>
            </w:r>
            <w:proofErr w:type="spellEnd"/>
            <w:r w:rsidR="002D03A2" w:rsidRPr="000F0222">
              <w:rPr>
                <w:sz w:val="22"/>
                <w:szCs w:val="22"/>
                <w:lang w:val="en-GB"/>
              </w:rPr>
              <w:t>) have been successfully implemented since MOP5 and MOP6 respectively. T</w:t>
            </w:r>
            <w:r w:rsidR="00C36C6F" w:rsidRPr="000F0222">
              <w:rPr>
                <w:sz w:val="22"/>
                <w:szCs w:val="22"/>
                <w:lang w:val="en-GB"/>
              </w:rPr>
              <w:t xml:space="preserve">he Eurasian Curlew </w:t>
            </w:r>
            <w:r w:rsidR="00976980">
              <w:rPr>
                <w:sz w:val="22"/>
                <w:szCs w:val="22"/>
                <w:lang w:val="en-GB"/>
              </w:rPr>
              <w:t>I</w:t>
            </w:r>
            <w:r w:rsidR="002D03A2" w:rsidRPr="000F0222">
              <w:rPr>
                <w:sz w:val="22"/>
                <w:szCs w:val="22"/>
                <w:lang w:val="en-GB"/>
              </w:rPr>
              <w:t>SSAP</w:t>
            </w:r>
            <w:r w:rsidR="00976980">
              <w:rPr>
                <w:sz w:val="22"/>
                <w:szCs w:val="22"/>
                <w:lang w:val="en-GB"/>
              </w:rPr>
              <w:t xml:space="preserve"> </w:t>
            </w:r>
            <w:r w:rsidR="002D03A2" w:rsidRPr="000F0222">
              <w:rPr>
                <w:sz w:val="22"/>
                <w:szCs w:val="22"/>
                <w:lang w:val="en-GB"/>
              </w:rPr>
              <w:t xml:space="preserve">also </w:t>
            </w:r>
            <w:r w:rsidR="00C36C6F" w:rsidRPr="000F0222">
              <w:rPr>
                <w:sz w:val="22"/>
                <w:szCs w:val="22"/>
                <w:lang w:val="en-GB"/>
              </w:rPr>
              <w:t>contain</w:t>
            </w:r>
            <w:r w:rsidR="002D03A2" w:rsidRPr="000F0222">
              <w:rPr>
                <w:sz w:val="22"/>
                <w:szCs w:val="22"/>
                <w:lang w:val="en-GB"/>
              </w:rPr>
              <w:t>s</w:t>
            </w:r>
            <w:r w:rsidR="00C36C6F" w:rsidRPr="000F0222">
              <w:rPr>
                <w:sz w:val="22"/>
                <w:szCs w:val="22"/>
                <w:lang w:val="en-GB"/>
              </w:rPr>
              <w:t xml:space="preserve"> elements of adaptive harvest </w:t>
            </w:r>
            <w:r w:rsidR="00976980" w:rsidRPr="00852729">
              <w:rPr>
                <w:sz w:val="22"/>
                <w:szCs w:val="22"/>
                <w:lang w:val="en-GB"/>
              </w:rPr>
              <w:t>management. Two</w:t>
            </w:r>
            <w:r w:rsidR="002D03A2" w:rsidRPr="000F0222">
              <w:rPr>
                <w:sz w:val="22"/>
                <w:szCs w:val="22"/>
                <w:lang w:val="en-GB"/>
              </w:rPr>
              <w:t xml:space="preserve"> new </w:t>
            </w:r>
            <w:r w:rsidR="00976980">
              <w:rPr>
                <w:sz w:val="22"/>
                <w:szCs w:val="22"/>
                <w:lang w:val="en-GB"/>
              </w:rPr>
              <w:t>I</w:t>
            </w:r>
            <w:r w:rsidR="002D03A2" w:rsidRPr="000F0222">
              <w:rPr>
                <w:sz w:val="22"/>
                <w:szCs w:val="22"/>
                <w:lang w:val="en-GB"/>
              </w:rPr>
              <w:t>SSMPs for the Barnacle Goose (</w:t>
            </w:r>
            <w:proofErr w:type="spellStart"/>
            <w:r w:rsidR="002D03A2" w:rsidRPr="000F0222">
              <w:rPr>
                <w:i/>
                <w:sz w:val="22"/>
                <w:szCs w:val="22"/>
                <w:lang w:val="en-GB"/>
              </w:rPr>
              <w:t>Branta</w:t>
            </w:r>
            <w:proofErr w:type="spellEnd"/>
            <w:r w:rsidR="002D03A2" w:rsidRPr="000F0222">
              <w:rPr>
                <w:i/>
                <w:sz w:val="22"/>
                <w:szCs w:val="22"/>
                <w:lang w:val="en-GB"/>
              </w:rPr>
              <w:t xml:space="preserve"> </w:t>
            </w:r>
            <w:proofErr w:type="spellStart"/>
            <w:r w:rsidR="002D03A2" w:rsidRPr="000F0222">
              <w:rPr>
                <w:i/>
                <w:sz w:val="22"/>
                <w:szCs w:val="22"/>
                <w:lang w:val="en-GB"/>
              </w:rPr>
              <w:t>leucopsis</w:t>
            </w:r>
            <w:proofErr w:type="spellEnd"/>
            <w:r w:rsidR="002D03A2" w:rsidRPr="000F0222">
              <w:rPr>
                <w:sz w:val="22"/>
                <w:szCs w:val="22"/>
                <w:lang w:val="en-GB"/>
              </w:rPr>
              <w:t>) and the Greylag Goose (</w:t>
            </w:r>
            <w:r w:rsidR="002D03A2" w:rsidRPr="000F0222">
              <w:rPr>
                <w:i/>
                <w:sz w:val="22"/>
                <w:szCs w:val="22"/>
                <w:lang w:val="en-GB"/>
              </w:rPr>
              <w:t xml:space="preserve">Anser </w:t>
            </w:r>
            <w:proofErr w:type="spellStart"/>
            <w:r w:rsidR="002D03A2" w:rsidRPr="000F0222">
              <w:rPr>
                <w:i/>
                <w:sz w:val="22"/>
                <w:szCs w:val="22"/>
                <w:lang w:val="en-GB"/>
              </w:rPr>
              <w:t>anser</w:t>
            </w:r>
            <w:proofErr w:type="spellEnd"/>
            <w:r w:rsidR="002D03A2" w:rsidRPr="000F0222">
              <w:rPr>
                <w:sz w:val="22"/>
                <w:szCs w:val="22"/>
                <w:lang w:val="en-GB"/>
              </w:rPr>
              <w:t xml:space="preserve">) </w:t>
            </w:r>
            <w:r w:rsidR="00A72CEE" w:rsidRPr="000F0222">
              <w:rPr>
                <w:sz w:val="22"/>
                <w:szCs w:val="22"/>
                <w:lang w:val="en-GB"/>
              </w:rPr>
              <w:t>have been compiled and submitted to MOP7 for review and adoption</w:t>
            </w:r>
            <w:r w:rsidR="00C36C6F" w:rsidRPr="000F0222">
              <w:rPr>
                <w:sz w:val="22"/>
                <w:szCs w:val="22"/>
                <w:lang w:val="en-GB"/>
              </w:rPr>
              <w:t>.</w:t>
            </w:r>
            <w:r w:rsidR="00A72CEE" w:rsidRPr="000F0222">
              <w:rPr>
                <w:sz w:val="22"/>
                <w:szCs w:val="22"/>
                <w:lang w:val="en-GB"/>
              </w:rPr>
              <w:t xml:space="preserve"> The target has been fully met and even surpassed with the latest plans.</w:t>
            </w:r>
          </w:p>
          <w:p w14:paraId="76324E4B" w14:textId="77777777" w:rsidR="009058FB" w:rsidRPr="000F0222" w:rsidRDefault="009058FB" w:rsidP="009058FB">
            <w:pPr>
              <w:rPr>
                <w:sz w:val="22"/>
                <w:szCs w:val="22"/>
                <w:lang w:val="en-GB"/>
              </w:rPr>
            </w:pPr>
          </w:p>
          <w:p w14:paraId="02F299F9" w14:textId="4073CF6D" w:rsidR="00C36C6F" w:rsidRPr="000F0222" w:rsidRDefault="00C36C6F" w:rsidP="009058FB">
            <w:pPr>
              <w:rPr>
                <w:sz w:val="22"/>
                <w:szCs w:val="22"/>
                <w:lang w:val="en-GB"/>
              </w:rPr>
            </w:pPr>
            <w:r w:rsidRPr="000F0222">
              <w:rPr>
                <w:b/>
                <w:sz w:val="22"/>
                <w:szCs w:val="22"/>
                <w:lang w:val="en-GB"/>
              </w:rPr>
              <w:t>Change since MOP</w:t>
            </w:r>
            <w:r w:rsidR="00A72CEE" w:rsidRPr="000F0222">
              <w:rPr>
                <w:b/>
                <w:sz w:val="22"/>
                <w:szCs w:val="22"/>
                <w:lang w:val="en-GB"/>
              </w:rPr>
              <w:t>4</w:t>
            </w:r>
            <w:r w:rsidRPr="000F0222">
              <w:rPr>
                <w:b/>
                <w:sz w:val="22"/>
                <w:szCs w:val="22"/>
                <w:lang w:val="en-GB"/>
              </w:rPr>
              <w:t>:</w:t>
            </w:r>
            <w:r w:rsidRPr="000F0222">
              <w:rPr>
                <w:sz w:val="22"/>
                <w:szCs w:val="22"/>
                <w:lang w:val="en-GB"/>
              </w:rPr>
              <w:t xml:space="preserve"> Positive </w:t>
            </w:r>
            <w:r w:rsidR="00A72CEE" w:rsidRPr="000F0222">
              <w:rPr>
                <w:sz w:val="22"/>
                <w:szCs w:val="22"/>
                <w:lang w:val="en-GB"/>
              </w:rPr>
              <w:t>Since the start of the Strate</w:t>
            </w:r>
            <w:r w:rsidR="007503C2" w:rsidRPr="000F0222">
              <w:rPr>
                <w:sz w:val="22"/>
                <w:szCs w:val="22"/>
                <w:lang w:val="en-GB"/>
              </w:rPr>
              <w:t xml:space="preserve">gic Plan there have been a consistent progress with the production of </w:t>
            </w:r>
            <w:r w:rsidR="00417F53" w:rsidRPr="000F0222">
              <w:rPr>
                <w:sz w:val="22"/>
                <w:szCs w:val="22"/>
                <w:lang w:val="en-GB"/>
              </w:rPr>
              <w:t xml:space="preserve">five </w:t>
            </w:r>
            <w:r w:rsidR="007503C2" w:rsidRPr="000F0222">
              <w:rPr>
                <w:sz w:val="22"/>
                <w:szCs w:val="22"/>
                <w:lang w:val="en-GB"/>
              </w:rPr>
              <w:t>relevant plans, two of which are already in implementation phase</w:t>
            </w:r>
            <w:r w:rsidR="00417F53" w:rsidRPr="000F0222">
              <w:rPr>
                <w:sz w:val="22"/>
                <w:szCs w:val="22"/>
                <w:lang w:val="en-GB"/>
              </w:rPr>
              <w:t>.</w:t>
            </w:r>
          </w:p>
          <w:p w14:paraId="30098959" w14:textId="77777777" w:rsidR="00C36C6F" w:rsidRPr="000F0222" w:rsidRDefault="00C36C6F" w:rsidP="009058FB">
            <w:pPr>
              <w:rPr>
                <w:sz w:val="22"/>
                <w:szCs w:val="22"/>
                <w:lang w:val="en-GB"/>
              </w:rPr>
            </w:pPr>
          </w:p>
          <w:p w14:paraId="0FB375AE" w14:textId="77777777" w:rsidR="008710CC" w:rsidRDefault="009058FB" w:rsidP="00417F53">
            <w:pPr>
              <w:rPr>
                <w:sz w:val="22"/>
                <w:szCs w:val="22"/>
                <w:lang w:val="en-GB"/>
              </w:rPr>
            </w:pPr>
            <w:r w:rsidRPr="000F0222">
              <w:rPr>
                <w:b/>
                <w:sz w:val="22"/>
                <w:szCs w:val="22"/>
                <w:lang w:val="en-GB"/>
              </w:rPr>
              <w:t xml:space="preserve">Reference: </w:t>
            </w:r>
            <w:r w:rsidRPr="000F0222">
              <w:rPr>
                <w:sz w:val="22"/>
                <w:szCs w:val="22"/>
                <w:lang w:val="en-GB"/>
              </w:rPr>
              <w:t xml:space="preserve">Draft International </w:t>
            </w:r>
            <w:r w:rsidR="00417F53" w:rsidRPr="000F0222">
              <w:rPr>
                <w:sz w:val="22"/>
                <w:szCs w:val="22"/>
                <w:lang w:val="en-GB"/>
              </w:rPr>
              <w:t xml:space="preserve">Single </w:t>
            </w:r>
            <w:r w:rsidRPr="000F0222">
              <w:rPr>
                <w:sz w:val="22"/>
                <w:szCs w:val="22"/>
                <w:lang w:val="en-GB"/>
              </w:rPr>
              <w:t xml:space="preserve">Species </w:t>
            </w:r>
            <w:r w:rsidR="00417F53" w:rsidRPr="000F0222">
              <w:rPr>
                <w:sz w:val="22"/>
                <w:szCs w:val="22"/>
                <w:lang w:val="en-GB"/>
              </w:rPr>
              <w:t xml:space="preserve">Management </w:t>
            </w:r>
            <w:r w:rsidRPr="000F0222">
              <w:rPr>
                <w:sz w:val="22"/>
                <w:szCs w:val="22"/>
                <w:lang w:val="en-GB"/>
              </w:rPr>
              <w:t>Plan</w:t>
            </w:r>
            <w:r w:rsidR="004142BC" w:rsidRPr="000F0222">
              <w:rPr>
                <w:sz w:val="22"/>
                <w:szCs w:val="22"/>
                <w:lang w:val="en-GB"/>
              </w:rPr>
              <w:t>s</w:t>
            </w:r>
            <w:r w:rsidRPr="000F0222">
              <w:rPr>
                <w:sz w:val="22"/>
                <w:szCs w:val="22"/>
                <w:lang w:val="en-GB"/>
              </w:rPr>
              <w:t xml:space="preserve"> for the</w:t>
            </w:r>
            <w:r w:rsidR="00943892" w:rsidRPr="000F0222">
              <w:rPr>
                <w:sz w:val="22"/>
                <w:szCs w:val="22"/>
                <w:lang w:val="en-GB"/>
              </w:rPr>
              <w:t xml:space="preserve"> </w:t>
            </w:r>
          </w:p>
          <w:p w14:paraId="252173E8" w14:textId="77777777" w:rsidR="008710CC" w:rsidRDefault="008710CC" w:rsidP="00417F53">
            <w:pPr>
              <w:rPr>
                <w:sz w:val="22"/>
                <w:szCs w:val="22"/>
                <w:lang w:val="en-GB"/>
              </w:rPr>
            </w:pPr>
            <w:r>
              <w:rPr>
                <w:sz w:val="22"/>
                <w:szCs w:val="22"/>
                <w:lang w:val="en-GB"/>
              </w:rPr>
              <w:t xml:space="preserve">                    </w:t>
            </w:r>
            <w:r w:rsidR="00417F53" w:rsidRPr="000F0222">
              <w:rPr>
                <w:sz w:val="22"/>
                <w:szCs w:val="22"/>
                <w:lang w:val="en-GB"/>
              </w:rPr>
              <w:t>Barnacle</w:t>
            </w:r>
            <w:r w:rsidR="00976980">
              <w:rPr>
                <w:sz w:val="22"/>
                <w:szCs w:val="22"/>
                <w:lang w:val="en-GB"/>
              </w:rPr>
              <w:t xml:space="preserve"> </w:t>
            </w:r>
            <w:r w:rsidR="004142BC" w:rsidRPr="000F0222">
              <w:rPr>
                <w:sz w:val="22"/>
                <w:szCs w:val="22"/>
                <w:lang w:val="en-GB"/>
              </w:rPr>
              <w:t xml:space="preserve">Goose and for the </w:t>
            </w:r>
            <w:r w:rsidR="00417F53" w:rsidRPr="000F0222">
              <w:rPr>
                <w:sz w:val="22"/>
                <w:szCs w:val="22"/>
                <w:lang w:val="en-GB"/>
              </w:rPr>
              <w:t xml:space="preserve">Greylag Goose (NW/SW </w:t>
            </w:r>
          </w:p>
          <w:p w14:paraId="0209CE38" w14:textId="77777777" w:rsidR="008710CC" w:rsidRDefault="008710CC" w:rsidP="00417F53">
            <w:pPr>
              <w:rPr>
                <w:sz w:val="22"/>
                <w:szCs w:val="22"/>
                <w:lang w:val="en-GB"/>
              </w:rPr>
            </w:pPr>
            <w:r>
              <w:rPr>
                <w:sz w:val="22"/>
                <w:szCs w:val="22"/>
                <w:lang w:val="en-GB"/>
              </w:rPr>
              <w:t xml:space="preserve">                    </w:t>
            </w:r>
            <w:r w:rsidR="00417F53" w:rsidRPr="000F0222">
              <w:rPr>
                <w:sz w:val="22"/>
                <w:szCs w:val="22"/>
                <w:lang w:val="en-GB"/>
              </w:rPr>
              <w:t xml:space="preserve">European </w:t>
            </w:r>
            <w:r w:rsidR="00976980">
              <w:rPr>
                <w:sz w:val="22"/>
                <w:szCs w:val="22"/>
                <w:lang w:val="en-GB"/>
              </w:rPr>
              <w:t>p</w:t>
            </w:r>
            <w:r w:rsidR="00417F53" w:rsidRPr="000F0222">
              <w:rPr>
                <w:sz w:val="22"/>
                <w:szCs w:val="22"/>
                <w:lang w:val="en-GB"/>
              </w:rPr>
              <w:t xml:space="preserve">opulation) </w:t>
            </w:r>
            <w:r w:rsidR="009058FB" w:rsidRPr="000F0222">
              <w:rPr>
                <w:sz w:val="22"/>
                <w:szCs w:val="22"/>
                <w:lang w:val="en-GB"/>
              </w:rPr>
              <w:t>(document</w:t>
            </w:r>
            <w:r w:rsidR="004142BC" w:rsidRPr="000F0222">
              <w:rPr>
                <w:sz w:val="22"/>
                <w:szCs w:val="22"/>
                <w:lang w:val="en-GB"/>
              </w:rPr>
              <w:t>s</w:t>
            </w:r>
            <w:r w:rsidR="009058FB" w:rsidRPr="000F0222">
              <w:rPr>
                <w:sz w:val="22"/>
                <w:szCs w:val="22"/>
                <w:lang w:val="en-GB"/>
              </w:rPr>
              <w:t xml:space="preserve"> AEWA/MOP .</w:t>
            </w:r>
            <w:r w:rsidR="00733A87" w:rsidRPr="000F0222">
              <w:rPr>
                <w:sz w:val="22"/>
                <w:szCs w:val="22"/>
                <w:lang w:val="en-GB"/>
              </w:rPr>
              <w:t>26</w:t>
            </w:r>
            <w:r w:rsidR="004142BC" w:rsidRPr="000F0222">
              <w:rPr>
                <w:sz w:val="22"/>
                <w:szCs w:val="22"/>
                <w:lang w:val="en-GB"/>
              </w:rPr>
              <w:t xml:space="preserve"> and </w:t>
            </w:r>
          </w:p>
          <w:p w14:paraId="59E466C9" w14:textId="77777777" w:rsidR="008710CC" w:rsidRDefault="008710CC" w:rsidP="00417F53">
            <w:pPr>
              <w:rPr>
                <w:sz w:val="22"/>
                <w:szCs w:val="22"/>
                <w:lang w:val="en-GB"/>
              </w:rPr>
            </w:pPr>
            <w:r>
              <w:rPr>
                <w:sz w:val="22"/>
                <w:szCs w:val="22"/>
                <w:lang w:val="en-GB"/>
              </w:rPr>
              <w:t xml:space="preserve">                    </w:t>
            </w:r>
            <w:r w:rsidR="004142BC" w:rsidRPr="000F0222">
              <w:rPr>
                <w:sz w:val="22"/>
                <w:szCs w:val="22"/>
                <w:lang w:val="en-GB"/>
              </w:rPr>
              <w:t xml:space="preserve">AEWA/MOP </w:t>
            </w:r>
            <w:r w:rsidR="00417F53" w:rsidRPr="000F0222">
              <w:rPr>
                <w:sz w:val="22"/>
                <w:szCs w:val="22"/>
                <w:lang w:val="en-GB"/>
              </w:rPr>
              <w:t>7</w:t>
            </w:r>
            <w:r w:rsidR="004142BC" w:rsidRPr="000F0222">
              <w:rPr>
                <w:sz w:val="22"/>
                <w:szCs w:val="22"/>
                <w:lang w:val="en-GB"/>
              </w:rPr>
              <w:t>.</w:t>
            </w:r>
            <w:r w:rsidR="006F01FC" w:rsidRPr="000F0222">
              <w:rPr>
                <w:sz w:val="22"/>
                <w:szCs w:val="22"/>
                <w:lang w:val="en-GB"/>
              </w:rPr>
              <w:t>2</w:t>
            </w:r>
            <w:r w:rsidR="00417F53" w:rsidRPr="000F0222">
              <w:rPr>
                <w:sz w:val="22"/>
                <w:szCs w:val="22"/>
                <w:lang w:val="en-GB"/>
              </w:rPr>
              <w:t>7</w:t>
            </w:r>
            <w:r w:rsidR="009058FB" w:rsidRPr="000F0222">
              <w:rPr>
                <w:sz w:val="22"/>
                <w:szCs w:val="22"/>
                <w:lang w:val="en-GB"/>
              </w:rPr>
              <w:t xml:space="preserve">); </w:t>
            </w:r>
          </w:p>
          <w:p w14:paraId="07E97162" w14:textId="77777777" w:rsidR="008710CC" w:rsidRDefault="008710CC" w:rsidP="00417F53">
            <w:pPr>
              <w:rPr>
                <w:sz w:val="22"/>
                <w:szCs w:val="22"/>
                <w:lang w:val="en-GB"/>
              </w:rPr>
            </w:pPr>
            <w:r>
              <w:rPr>
                <w:sz w:val="22"/>
                <w:szCs w:val="22"/>
                <w:lang w:val="en-GB"/>
              </w:rPr>
              <w:t xml:space="preserve">                    </w:t>
            </w:r>
            <w:r w:rsidR="00417F53" w:rsidRPr="000F0222">
              <w:rPr>
                <w:sz w:val="22"/>
                <w:szCs w:val="22"/>
                <w:lang w:val="en-GB"/>
              </w:rPr>
              <w:t xml:space="preserve">Summary of the Current Status of Single Species Action Plan </w:t>
            </w:r>
          </w:p>
          <w:p w14:paraId="7F3A52F5" w14:textId="77777777" w:rsidR="008710CC" w:rsidRDefault="008710CC" w:rsidP="00417F53">
            <w:pPr>
              <w:rPr>
                <w:sz w:val="22"/>
                <w:szCs w:val="22"/>
                <w:lang w:val="en-GB"/>
              </w:rPr>
            </w:pPr>
            <w:r>
              <w:rPr>
                <w:sz w:val="22"/>
                <w:szCs w:val="22"/>
                <w:lang w:val="en-GB"/>
              </w:rPr>
              <w:t xml:space="preserve">                    </w:t>
            </w:r>
            <w:r w:rsidR="00417F53" w:rsidRPr="000F0222">
              <w:rPr>
                <w:sz w:val="22"/>
                <w:szCs w:val="22"/>
                <w:lang w:val="en-GB"/>
              </w:rPr>
              <w:t xml:space="preserve">and Species Management Plan Production and Coordination </w:t>
            </w:r>
          </w:p>
          <w:p w14:paraId="570F46C0" w14:textId="77777777" w:rsidR="008710CC" w:rsidRDefault="008710CC" w:rsidP="00417F53">
            <w:pPr>
              <w:rPr>
                <w:sz w:val="22"/>
                <w:szCs w:val="22"/>
                <w:lang w:val="en-GB"/>
              </w:rPr>
            </w:pPr>
            <w:r>
              <w:rPr>
                <w:sz w:val="22"/>
                <w:szCs w:val="22"/>
                <w:lang w:val="en-GB"/>
              </w:rPr>
              <w:t xml:space="preserve">                    </w:t>
            </w:r>
            <w:r w:rsidR="00417F53" w:rsidRPr="000F0222">
              <w:rPr>
                <w:sz w:val="22"/>
                <w:szCs w:val="22"/>
                <w:lang w:val="en-GB"/>
              </w:rPr>
              <w:t xml:space="preserve">with Recommendations to MOP for Extension, Revision or </w:t>
            </w:r>
          </w:p>
          <w:p w14:paraId="00A00911" w14:textId="0B2357C3" w:rsidR="00417F53" w:rsidRPr="000F0222" w:rsidRDefault="008710CC" w:rsidP="00417F53">
            <w:pPr>
              <w:rPr>
                <w:sz w:val="22"/>
                <w:szCs w:val="22"/>
                <w:lang w:val="en-GB"/>
              </w:rPr>
            </w:pPr>
            <w:r>
              <w:rPr>
                <w:sz w:val="22"/>
                <w:szCs w:val="22"/>
                <w:lang w:val="en-GB"/>
              </w:rPr>
              <w:t xml:space="preserve">                    </w:t>
            </w:r>
            <w:r w:rsidR="00417F53" w:rsidRPr="000F0222">
              <w:rPr>
                <w:sz w:val="22"/>
                <w:szCs w:val="22"/>
                <w:lang w:val="en-GB"/>
              </w:rPr>
              <w:t>Retirement</w:t>
            </w:r>
            <w:r w:rsidR="00417F53" w:rsidRPr="004779F8">
              <w:rPr>
                <w:sz w:val="22"/>
                <w:szCs w:val="22"/>
                <w:lang w:val="en-GB"/>
              </w:rPr>
              <w:t xml:space="preserve"> </w:t>
            </w:r>
            <w:r w:rsidR="00417F53" w:rsidRPr="000F0222">
              <w:rPr>
                <w:sz w:val="22"/>
                <w:szCs w:val="22"/>
                <w:lang w:val="en-GB"/>
              </w:rPr>
              <w:t>(document AEWA/MOP 7.21)</w:t>
            </w:r>
          </w:p>
          <w:p w14:paraId="72B83FCC" w14:textId="5661FB22" w:rsidR="00711602" w:rsidRPr="000F0222" w:rsidRDefault="00711602" w:rsidP="00743670">
            <w:pPr>
              <w:rPr>
                <w:sz w:val="22"/>
                <w:szCs w:val="22"/>
                <w:lang w:val="en-GB"/>
              </w:rPr>
            </w:pPr>
          </w:p>
          <w:p w14:paraId="55513648" w14:textId="77777777" w:rsidR="009058FB" w:rsidRPr="000F0222" w:rsidRDefault="009058FB" w:rsidP="009058FB">
            <w:pPr>
              <w:rPr>
                <w:sz w:val="22"/>
                <w:szCs w:val="22"/>
                <w:lang w:val="en-GB"/>
              </w:rPr>
            </w:pPr>
          </w:p>
        </w:tc>
      </w:tr>
    </w:tbl>
    <w:p w14:paraId="33573CE3" w14:textId="4BE0ED5F" w:rsidR="009058FB" w:rsidRPr="000F0222" w:rsidRDefault="009058FB" w:rsidP="009058FB">
      <w:pPr>
        <w:rPr>
          <w:lang w:val="en-GB"/>
        </w:rPr>
      </w:pPr>
    </w:p>
    <w:p w14:paraId="34C79CD1" w14:textId="77777777" w:rsidR="009058FB" w:rsidRPr="00613A29" w:rsidRDefault="009058FB" w:rsidP="009058FB">
      <w:pPr>
        <w:pageBreakBefore/>
        <w:jc w:val="both"/>
        <w:rPr>
          <w:i/>
          <w:iCs/>
          <w:lang w:val="en-GB"/>
        </w:rPr>
      </w:pPr>
      <w:r w:rsidRPr="004779F8">
        <w:rPr>
          <w:i/>
          <w:lang w:val="en-GB"/>
        </w:rPr>
        <w:lastRenderedPageBreak/>
        <w:t>Table 6. Objective 3: To increase knowledge about species an</w:t>
      </w:r>
      <w:r w:rsidRPr="00613A29">
        <w:rPr>
          <w:i/>
          <w:lang w:val="en-GB"/>
        </w:rPr>
        <w:t>d their populations, flyways and threats to them, as a basis for conservation action</w:t>
      </w:r>
    </w:p>
    <w:p w14:paraId="68D7DB49" w14:textId="77777777" w:rsidR="009058FB" w:rsidRPr="000F0222" w:rsidRDefault="009058FB" w:rsidP="009058FB">
      <w:pPr>
        <w:rPr>
          <w:b/>
          <w:lang w:val="en-GB"/>
        </w:rPr>
      </w:pPr>
    </w:p>
    <w:tbl>
      <w:tblPr>
        <w:tblStyle w:val="TableGrid"/>
        <w:tblW w:w="0" w:type="auto"/>
        <w:tblLayout w:type="fixed"/>
        <w:tblLook w:val="04A0" w:firstRow="1" w:lastRow="0" w:firstColumn="1" w:lastColumn="0" w:noHBand="0" w:noVBand="1"/>
      </w:tblPr>
      <w:tblGrid>
        <w:gridCol w:w="2376"/>
        <w:gridCol w:w="2835"/>
        <w:gridCol w:w="2835"/>
        <w:gridCol w:w="6663"/>
      </w:tblGrid>
      <w:tr w:rsidR="009058FB" w:rsidRPr="004779F8" w14:paraId="29D9A1A6" w14:textId="77777777" w:rsidTr="00DC030C">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C0465CC" w14:textId="77777777" w:rsidR="009058FB" w:rsidRPr="000F0222" w:rsidRDefault="009058FB" w:rsidP="009058FB">
            <w:pPr>
              <w:rPr>
                <w:b/>
                <w:lang w:val="en-GB"/>
              </w:rPr>
            </w:pPr>
            <w:r w:rsidRPr="000F0222">
              <w:rPr>
                <w:b/>
                <w:lang w:val="en-G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C21AA1" w14:textId="77777777" w:rsidR="009058FB" w:rsidRPr="000F0222" w:rsidRDefault="009058FB" w:rsidP="009058FB">
            <w:pPr>
              <w:rPr>
                <w:b/>
                <w:lang w:val="en-GB"/>
              </w:rPr>
            </w:pPr>
            <w:r w:rsidRPr="000F0222">
              <w:rPr>
                <w:b/>
                <w:lang w:val="en-G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4844BF6" w14:textId="77777777" w:rsidR="009058FB" w:rsidRPr="000F0222" w:rsidRDefault="009058FB" w:rsidP="009058FB">
            <w:pPr>
              <w:rPr>
                <w:b/>
                <w:lang w:val="en-GB"/>
              </w:rPr>
            </w:pPr>
            <w:r w:rsidRPr="000F0222">
              <w:rPr>
                <w:b/>
                <w:lang w:val="en-GB"/>
              </w:rPr>
              <w:t>Indicator</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262DC0F" w14:textId="77777777" w:rsidR="009058FB" w:rsidRPr="000F0222" w:rsidRDefault="009058FB" w:rsidP="009058FB">
            <w:pPr>
              <w:rPr>
                <w:b/>
                <w:lang w:val="en-GB"/>
              </w:rPr>
            </w:pPr>
            <w:r w:rsidRPr="000F0222">
              <w:rPr>
                <w:b/>
                <w:lang w:val="en-GB"/>
              </w:rPr>
              <w:t>Summary and reference</w:t>
            </w:r>
          </w:p>
          <w:p w14:paraId="25A0EE10" w14:textId="77777777" w:rsidR="009058FB" w:rsidRPr="000F0222" w:rsidRDefault="009058FB" w:rsidP="009058FB">
            <w:pPr>
              <w:rPr>
                <w:b/>
                <w:lang w:val="en-GB"/>
              </w:rPr>
            </w:pPr>
          </w:p>
        </w:tc>
      </w:tr>
      <w:tr w:rsidR="009058FB" w:rsidRPr="004779F8" w14:paraId="0F888282" w14:textId="77777777" w:rsidTr="00DC030C">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D1B32E0" w14:textId="19DB7635" w:rsidR="009058FB" w:rsidRPr="000F0222" w:rsidRDefault="003C67D8" w:rsidP="009058FB">
            <w:pPr>
              <w:rPr>
                <w:sz w:val="22"/>
                <w:szCs w:val="22"/>
                <w:lang w:val="en-GB"/>
              </w:rPr>
            </w:pPr>
            <w:r w:rsidRPr="000F0222">
              <w:rPr>
                <w:noProof/>
                <w:sz w:val="22"/>
                <w:szCs w:val="22"/>
                <w:lang w:val="en-GB"/>
              </w:rPr>
              <w:drawing>
                <wp:inline distT="0" distB="0" distL="0" distR="0" wp14:anchorId="32746CB9" wp14:editId="377BD617">
                  <wp:extent cx="1425039" cy="1068780"/>
                  <wp:effectExtent l="0" t="0" r="0" b="0"/>
                  <wp:docPr id="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377B7F7C" w14:textId="77777777" w:rsidR="009058FB" w:rsidRPr="004779F8" w:rsidRDefault="009058FB" w:rsidP="009058FB">
            <w:pPr>
              <w:rPr>
                <w:b/>
                <w:sz w:val="22"/>
                <w:szCs w:val="22"/>
                <w:lang w:val="en-GB"/>
              </w:rPr>
            </w:pPr>
          </w:p>
          <w:p w14:paraId="17D69629" w14:textId="77777777" w:rsidR="009058FB" w:rsidRPr="008C5535" w:rsidRDefault="009058FB" w:rsidP="009058FB">
            <w:pPr>
              <w:rPr>
                <w:b/>
                <w:sz w:val="22"/>
                <w:szCs w:val="22"/>
                <w:lang w:val="en-GB"/>
              </w:rPr>
            </w:pPr>
            <w:r w:rsidRPr="00613A29">
              <w:rPr>
                <w:b/>
                <w:sz w:val="22"/>
                <w:szCs w:val="22"/>
                <w:lang w:val="en-GB"/>
              </w:rPr>
              <w:t>3.1: Necessary resources are in place to support, on a long-term basis, the international processes for gathering mon</w:t>
            </w:r>
            <w:r w:rsidRPr="008C5535">
              <w:rPr>
                <w:b/>
                <w:sz w:val="22"/>
                <w:szCs w:val="22"/>
                <w:lang w:val="en-GB"/>
              </w:rPr>
              <w:t>itoring data for status assessment.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E4B5BC4" w14:textId="77777777" w:rsidR="009058FB" w:rsidRPr="00E4475D" w:rsidRDefault="009058FB" w:rsidP="009058FB">
            <w:pPr>
              <w:rPr>
                <w:b/>
                <w:sz w:val="22"/>
                <w:szCs w:val="22"/>
                <w:lang w:val="en-GB"/>
              </w:rPr>
            </w:pPr>
          </w:p>
          <w:p w14:paraId="4C0C42DF" w14:textId="77777777" w:rsidR="009058FB" w:rsidRPr="004779F8" w:rsidRDefault="009058FB" w:rsidP="009058FB">
            <w:pPr>
              <w:rPr>
                <w:b/>
                <w:sz w:val="22"/>
                <w:szCs w:val="22"/>
                <w:lang w:val="en-GB"/>
              </w:rPr>
            </w:pPr>
            <w:r w:rsidRPr="00852729">
              <w:rPr>
                <w:b/>
                <w:sz w:val="22"/>
                <w:szCs w:val="22"/>
                <w:lang w:val="en-GB"/>
              </w:rPr>
              <w:t xml:space="preserve">Timely production of annual IWC summary report and the AEWA CSR and global </w:t>
            </w:r>
            <w:proofErr w:type="spellStart"/>
            <w:r w:rsidRPr="004779F8">
              <w:rPr>
                <w:b/>
                <w:i/>
                <w:sz w:val="22"/>
                <w:szCs w:val="22"/>
                <w:lang w:val="en-GB"/>
              </w:rPr>
              <w:t>Waterbird</w:t>
            </w:r>
            <w:proofErr w:type="spellEnd"/>
            <w:r w:rsidRPr="004779F8">
              <w:rPr>
                <w:b/>
                <w:i/>
                <w:sz w:val="22"/>
                <w:szCs w:val="22"/>
                <w:lang w:val="en-GB"/>
              </w:rPr>
              <w:t xml:space="preserve"> Population Estimates</w:t>
            </w:r>
          </w:p>
          <w:p w14:paraId="0D6E4898" w14:textId="77777777" w:rsidR="009058FB" w:rsidRPr="004779F8" w:rsidRDefault="009058FB" w:rsidP="009058FB">
            <w:pPr>
              <w:rPr>
                <w:b/>
                <w:sz w:val="22"/>
                <w:szCs w:val="22"/>
                <w:lang w:val="en-GB"/>
              </w:rPr>
            </w:pPr>
          </w:p>
          <w:p w14:paraId="5AE3B20E" w14:textId="77777777" w:rsidR="009058FB" w:rsidRPr="004779F8" w:rsidRDefault="009058FB" w:rsidP="009058FB">
            <w:pPr>
              <w:rPr>
                <w:b/>
                <w:sz w:val="22"/>
                <w:szCs w:val="22"/>
                <w:lang w:val="en-GB"/>
              </w:rPr>
            </w:pPr>
            <w:r w:rsidRPr="004779F8">
              <w:rPr>
                <w:b/>
                <w:sz w:val="22"/>
                <w:szCs w:val="22"/>
                <w:lang w:val="en-GB"/>
              </w:rPr>
              <w:t>50% increase of species/ populations whose international status is being assessed with regular monitoring data</w:t>
            </w:r>
          </w:p>
          <w:p w14:paraId="6C329DD2"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CDD8037" w14:textId="77777777" w:rsidR="009058FB" w:rsidRPr="000F0222" w:rsidRDefault="009058FB" w:rsidP="009058FB">
            <w:pPr>
              <w:rPr>
                <w:sz w:val="22"/>
                <w:szCs w:val="22"/>
                <w:lang w:val="en-GB"/>
              </w:rPr>
            </w:pPr>
          </w:p>
          <w:p w14:paraId="088CB2CC" w14:textId="2FE2047B" w:rsidR="009058FB" w:rsidRPr="000F0222" w:rsidRDefault="009058FB" w:rsidP="009058FB">
            <w:pPr>
              <w:rPr>
                <w:sz w:val="22"/>
                <w:szCs w:val="22"/>
                <w:lang w:val="en-GB"/>
              </w:rPr>
            </w:pPr>
            <w:r w:rsidRPr="000F0222">
              <w:rPr>
                <w:sz w:val="22"/>
                <w:szCs w:val="22"/>
                <w:lang w:val="en-GB"/>
              </w:rPr>
              <w:t xml:space="preserve">Annual International </w:t>
            </w:r>
            <w:proofErr w:type="spellStart"/>
            <w:r w:rsidRPr="000F0222">
              <w:rPr>
                <w:sz w:val="22"/>
                <w:szCs w:val="22"/>
                <w:lang w:val="en-GB"/>
              </w:rPr>
              <w:t>Waterbird</w:t>
            </w:r>
            <w:proofErr w:type="spellEnd"/>
            <w:r w:rsidRPr="000F0222">
              <w:rPr>
                <w:sz w:val="22"/>
                <w:szCs w:val="22"/>
                <w:lang w:val="en-GB"/>
              </w:rPr>
              <w:t xml:space="preserve"> Census (IWC) summary reports (national totals) have been published </w:t>
            </w:r>
            <w:r w:rsidR="002D43CD" w:rsidRPr="000F0222">
              <w:rPr>
                <w:sz w:val="22"/>
                <w:szCs w:val="22"/>
                <w:lang w:val="en-GB"/>
              </w:rPr>
              <w:t>every year since 2011 and are available on the IWC online portal</w:t>
            </w:r>
            <w:r w:rsidRPr="000F0222">
              <w:rPr>
                <w:sz w:val="22"/>
                <w:szCs w:val="22"/>
                <w:lang w:val="en-GB"/>
              </w:rPr>
              <w:t xml:space="preserve">. The </w:t>
            </w:r>
            <w:r w:rsidR="002D43CD"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(CSR) was produced in 201</w:t>
            </w:r>
            <w:r w:rsidR="002D43CD" w:rsidRPr="000F0222">
              <w:rPr>
                <w:sz w:val="22"/>
                <w:szCs w:val="22"/>
                <w:lang w:val="en-GB"/>
              </w:rPr>
              <w:t>8</w:t>
            </w:r>
            <w:r w:rsidRPr="000F0222">
              <w:rPr>
                <w:sz w:val="22"/>
                <w:szCs w:val="22"/>
                <w:lang w:val="en-GB"/>
              </w:rPr>
              <w:t xml:space="preserve"> and submitted to MOP</w:t>
            </w:r>
            <w:r w:rsidR="002D43CD" w:rsidRPr="000F0222">
              <w:rPr>
                <w:sz w:val="22"/>
                <w:szCs w:val="22"/>
                <w:lang w:val="en-GB"/>
              </w:rPr>
              <w:t>7</w:t>
            </w:r>
            <w:r w:rsidRPr="000F0222">
              <w:rPr>
                <w:sz w:val="22"/>
                <w:szCs w:val="22"/>
                <w:lang w:val="en-GB"/>
              </w:rPr>
              <w:t xml:space="preserve">. </w:t>
            </w:r>
            <w:r w:rsidR="002D43CD" w:rsidRPr="000F0222">
              <w:rPr>
                <w:sz w:val="22"/>
                <w:szCs w:val="22"/>
                <w:lang w:val="en-GB"/>
              </w:rPr>
              <w:t xml:space="preserve">In 2018 the 1% thresholds </w:t>
            </w:r>
            <w:r w:rsidRPr="000F0222">
              <w:rPr>
                <w:sz w:val="22"/>
                <w:szCs w:val="22"/>
                <w:lang w:val="en-GB"/>
              </w:rPr>
              <w:t xml:space="preserve">of the </w:t>
            </w:r>
            <w:proofErr w:type="spellStart"/>
            <w:r w:rsidRPr="000F0222">
              <w:rPr>
                <w:sz w:val="22"/>
                <w:szCs w:val="22"/>
                <w:lang w:val="en-GB"/>
              </w:rPr>
              <w:t>Waterbird</w:t>
            </w:r>
            <w:proofErr w:type="spellEnd"/>
            <w:r w:rsidRPr="000F0222">
              <w:rPr>
                <w:sz w:val="22"/>
                <w:szCs w:val="22"/>
                <w:lang w:val="en-GB"/>
              </w:rPr>
              <w:t xml:space="preserve"> Population Estimates (WPE)</w:t>
            </w:r>
            <w:r w:rsidR="002D43CD" w:rsidRPr="000F0222">
              <w:rPr>
                <w:sz w:val="22"/>
                <w:szCs w:val="22"/>
                <w:lang w:val="en-GB"/>
              </w:rPr>
              <w:t xml:space="preserve"> Have been updated if they have changed by more than 10% since the last comprehensive update in 2012.</w:t>
            </w:r>
            <w:r w:rsidR="00FA41C2" w:rsidRPr="000F0222">
              <w:rPr>
                <w:sz w:val="22"/>
                <w:szCs w:val="22"/>
                <w:lang w:val="en-GB"/>
              </w:rPr>
              <w:t xml:space="preserve"> </w:t>
            </w:r>
            <w:r w:rsidR="002D43CD" w:rsidRPr="000F0222">
              <w:rPr>
                <w:sz w:val="22"/>
                <w:szCs w:val="22"/>
                <w:lang w:val="en-GB"/>
              </w:rPr>
              <w:t xml:space="preserve">The </w:t>
            </w:r>
            <w:r w:rsidR="00FA41C2" w:rsidRPr="000F0222">
              <w:rPr>
                <w:sz w:val="22"/>
                <w:szCs w:val="22"/>
                <w:lang w:val="en-GB"/>
              </w:rPr>
              <w:t xml:space="preserve">WPE </w:t>
            </w:r>
            <w:r w:rsidR="002D43CD" w:rsidRPr="000F0222">
              <w:rPr>
                <w:sz w:val="22"/>
                <w:szCs w:val="22"/>
                <w:lang w:val="en-GB"/>
              </w:rPr>
              <w:t>are now published on a searchable online database</w:t>
            </w:r>
            <w:r w:rsidRPr="000F0222">
              <w:rPr>
                <w:sz w:val="22"/>
                <w:szCs w:val="22"/>
                <w:lang w:val="en-GB"/>
              </w:rPr>
              <w:t>.</w:t>
            </w:r>
          </w:p>
          <w:p w14:paraId="18B3F67B" w14:textId="77777777" w:rsidR="009058FB" w:rsidRPr="000F0222" w:rsidRDefault="009058FB" w:rsidP="009058FB">
            <w:pPr>
              <w:rPr>
                <w:sz w:val="22"/>
                <w:szCs w:val="22"/>
                <w:lang w:val="en-GB"/>
              </w:rPr>
            </w:pPr>
          </w:p>
          <w:p w14:paraId="3DB23960" w14:textId="58BB49BE" w:rsidR="0085068F" w:rsidRDefault="0085068F" w:rsidP="009058FB">
            <w:pPr>
              <w:rPr>
                <w:sz w:val="22"/>
                <w:szCs w:val="22"/>
                <w:lang w:val="en-GB"/>
              </w:rPr>
            </w:pPr>
            <w:r w:rsidRPr="000F0222">
              <w:rPr>
                <w:b/>
                <w:sz w:val="22"/>
                <w:szCs w:val="22"/>
                <w:lang w:val="en-GB"/>
              </w:rPr>
              <w:t>Change since MOP</w:t>
            </w:r>
            <w:r w:rsidR="00590DCE" w:rsidRPr="000F0222">
              <w:rPr>
                <w:b/>
                <w:sz w:val="22"/>
                <w:szCs w:val="22"/>
                <w:lang w:val="en-GB"/>
              </w:rPr>
              <w:t>4</w:t>
            </w:r>
            <w:r w:rsidRPr="000F0222">
              <w:rPr>
                <w:b/>
                <w:sz w:val="22"/>
                <w:szCs w:val="22"/>
                <w:lang w:val="en-GB"/>
              </w:rPr>
              <w:t>:</w:t>
            </w:r>
            <w:r w:rsidRPr="000F0222">
              <w:rPr>
                <w:sz w:val="22"/>
                <w:szCs w:val="22"/>
                <w:lang w:val="en-GB"/>
              </w:rPr>
              <w:t xml:space="preserve"> </w:t>
            </w:r>
            <w:r w:rsidR="00590DCE" w:rsidRPr="000F0222">
              <w:rPr>
                <w:sz w:val="22"/>
                <w:szCs w:val="22"/>
                <w:lang w:val="en-GB"/>
              </w:rPr>
              <w:t>Positive</w:t>
            </w:r>
            <w:r w:rsidRPr="000F0222">
              <w:rPr>
                <w:sz w:val="22"/>
                <w:szCs w:val="22"/>
                <w:lang w:val="en-GB"/>
              </w:rPr>
              <w:t xml:space="preserve">. Production of all </w:t>
            </w:r>
            <w:r w:rsidR="007764FE" w:rsidRPr="000F0222">
              <w:rPr>
                <w:sz w:val="22"/>
                <w:szCs w:val="22"/>
                <w:lang w:val="en-GB"/>
              </w:rPr>
              <w:t xml:space="preserve">products </w:t>
            </w:r>
            <w:r w:rsidRPr="000F0222">
              <w:rPr>
                <w:sz w:val="22"/>
                <w:szCs w:val="22"/>
                <w:lang w:val="en-GB"/>
              </w:rPr>
              <w:t>has been kept on track</w:t>
            </w:r>
            <w:r w:rsidR="00590DCE" w:rsidRPr="000F0222">
              <w:rPr>
                <w:sz w:val="22"/>
                <w:szCs w:val="22"/>
                <w:lang w:val="en-GB"/>
              </w:rPr>
              <w:t xml:space="preserve"> over the period of the Strategic Plan 2009-2018</w:t>
            </w:r>
            <w:r w:rsidRPr="000F0222">
              <w:rPr>
                <w:sz w:val="22"/>
                <w:szCs w:val="22"/>
                <w:lang w:val="en-GB"/>
              </w:rPr>
              <w:t xml:space="preserve">. </w:t>
            </w:r>
          </w:p>
          <w:p w14:paraId="2408E99F" w14:textId="77777777" w:rsidR="00FA6682" w:rsidRPr="000F0222" w:rsidRDefault="00FA6682" w:rsidP="009058FB">
            <w:pPr>
              <w:rPr>
                <w:sz w:val="22"/>
                <w:szCs w:val="22"/>
                <w:lang w:val="en-GB"/>
              </w:rPr>
            </w:pPr>
          </w:p>
          <w:p w14:paraId="3DF9343D" w14:textId="77777777" w:rsidR="00EE4B0F" w:rsidRDefault="00EE4B0F" w:rsidP="009058FB">
            <w:pPr>
              <w:rPr>
                <w:sz w:val="22"/>
                <w:szCs w:val="22"/>
                <w:lang w:val="en-GB"/>
              </w:rPr>
            </w:pPr>
            <w:r w:rsidRPr="00F65A91">
              <w:rPr>
                <w:b/>
                <w:sz w:val="22"/>
                <w:szCs w:val="22"/>
                <w:lang w:val="en-GB"/>
              </w:rPr>
              <w:t>Reference</w:t>
            </w:r>
            <w:r w:rsidRPr="00EE4B0F">
              <w:rPr>
                <w:b/>
                <w:sz w:val="22"/>
                <w:szCs w:val="22"/>
                <w:lang w:val="en-GB"/>
              </w:rPr>
              <w:t xml:space="preserve">: </w:t>
            </w:r>
            <w:r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 </w:t>
            </w:r>
          </w:p>
          <w:p w14:paraId="04725C1C" w14:textId="595902BE" w:rsidR="009058FB" w:rsidRPr="00EE4B0F" w:rsidRDefault="00EE4B0F" w:rsidP="009058FB">
            <w:pPr>
              <w:rPr>
                <w:lang w:val="en-GB"/>
              </w:rPr>
            </w:pPr>
            <w:r>
              <w:rPr>
                <w:sz w:val="22"/>
                <w:szCs w:val="22"/>
                <w:lang w:val="en-GB"/>
              </w:rPr>
              <w:t xml:space="preserve">                   </w:t>
            </w:r>
            <w:r w:rsidRPr="000F0222">
              <w:rPr>
                <w:lang w:val="en-GB"/>
              </w:rPr>
              <w:t>(document AEWA/MOP 7.14);</w:t>
            </w:r>
          </w:p>
          <w:p w14:paraId="640C41A7" w14:textId="77777777" w:rsidR="00FA6682" w:rsidRDefault="00EE4B0F" w:rsidP="009058FB">
            <w:pPr>
              <w:rPr>
                <w:sz w:val="22"/>
                <w:szCs w:val="22"/>
                <w:lang w:val="en-GB"/>
              </w:rPr>
            </w:pPr>
            <w:r>
              <w:rPr>
                <w:sz w:val="22"/>
                <w:szCs w:val="22"/>
                <w:lang w:val="en-GB"/>
              </w:rPr>
              <w:t xml:space="preserve">                   </w:t>
            </w:r>
            <w:r w:rsidRPr="000F0222">
              <w:rPr>
                <w:sz w:val="22"/>
                <w:szCs w:val="22"/>
                <w:lang w:val="en-GB"/>
              </w:rPr>
              <w:t xml:space="preserve">Report on the development of </w:t>
            </w:r>
            <w:proofErr w:type="spellStart"/>
            <w:r w:rsidRPr="000F0222">
              <w:rPr>
                <w:sz w:val="22"/>
                <w:szCs w:val="22"/>
                <w:lang w:val="en-GB"/>
              </w:rPr>
              <w:t>wate</w:t>
            </w:r>
            <w:r w:rsidR="000A3B8E">
              <w:rPr>
                <w:sz w:val="22"/>
                <w:szCs w:val="22"/>
                <w:lang w:val="en-GB"/>
              </w:rPr>
              <w:t>r</w:t>
            </w:r>
            <w:r w:rsidRPr="000F0222">
              <w:rPr>
                <w:sz w:val="22"/>
                <w:szCs w:val="22"/>
                <w:lang w:val="en-GB"/>
              </w:rPr>
              <w:t>bird</w:t>
            </w:r>
            <w:proofErr w:type="spellEnd"/>
            <w:r w:rsidRPr="000F0222">
              <w:rPr>
                <w:sz w:val="22"/>
                <w:szCs w:val="22"/>
                <w:lang w:val="en-GB"/>
              </w:rPr>
              <w:t xml:space="preserve"> monitoring along</w:t>
            </w:r>
          </w:p>
          <w:p w14:paraId="7895D5EF" w14:textId="64422611" w:rsidR="00EE4B0F" w:rsidRDefault="00FA6682" w:rsidP="009058FB">
            <w:pPr>
              <w:rPr>
                <w:sz w:val="22"/>
                <w:szCs w:val="22"/>
                <w:lang w:val="en-GB"/>
              </w:rPr>
            </w:pPr>
            <w:r>
              <w:rPr>
                <w:sz w:val="22"/>
                <w:szCs w:val="22"/>
                <w:lang w:val="en-GB"/>
              </w:rPr>
              <w:t xml:space="preserve">                  </w:t>
            </w:r>
            <w:r w:rsidR="00EE4B0F" w:rsidRPr="000F0222">
              <w:rPr>
                <w:sz w:val="22"/>
                <w:szCs w:val="22"/>
                <w:lang w:val="en-GB"/>
              </w:rPr>
              <w:t xml:space="preserve"> the African-Eurasian Flyways (document AEWA/MOP 7.31)</w:t>
            </w:r>
          </w:p>
          <w:p w14:paraId="15D75FCC" w14:textId="77777777" w:rsidR="00EE4B0F" w:rsidRPr="000F0222" w:rsidRDefault="00EE4B0F" w:rsidP="009058FB">
            <w:pPr>
              <w:rPr>
                <w:sz w:val="22"/>
                <w:szCs w:val="22"/>
                <w:lang w:val="en-GB"/>
              </w:rPr>
            </w:pPr>
          </w:p>
          <w:p w14:paraId="324443A3" w14:textId="14C75DDC" w:rsidR="009058FB" w:rsidRPr="000F0222" w:rsidRDefault="009058FB" w:rsidP="009058FB">
            <w:pPr>
              <w:rPr>
                <w:sz w:val="22"/>
                <w:szCs w:val="22"/>
                <w:lang w:val="en-GB"/>
              </w:rPr>
            </w:pPr>
            <w:r w:rsidRPr="000F0222">
              <w:rPr>
                <w:sz w:val="22"/>
                <w:szCs w:val="22"/>
                <w:lang w:val="en-GB"/>
              </w:rPr>
              <w:t xml:space="preserve">The number of populations whose international status was assessed </w:t>
            </w:r>
            <w:proofErr w:type="gramStart"/>
            <w:r w:rsidRPr="000F0222">
              <w:rPr>
                <w:sz w:val="22"/>
                <w:szCs w:val="22"/>
                <w:lang w:val="en-GB"/>
              </w:rPr>
              <w:t>on the basis of</w:t>
            </w:r>
            <w:proofErr w:type="gramEnd"/>
            <w:r w:rsidRPr="000F0222">
              <w:rPr>
                <w:sz w:val="22"/>
                <w:szCs w:val="22"/>
                <w:lang w:val="en-GB"/>
              </w:rPr>
              <w:t xml:space="preserve"> regular monitoring data increased from 102</w:t>
            </w:r>
            <w:r w:rsidR="00A02562" w:rsidRPr="000F0222">
              <w:rPr>
                <w:sz w:val="22"/>
                <w:szCs w:val="22"/>
                <w:lang w:val="en-GB"/>
              </w:rPr>
              <w:t xml:space="preserve"> in 2008</w:t>
            </w:r>
            <w:r w:rsidR="00750B26" w:rsidRPr="000F0222">
              <w:rPr>
                <w:sz w:val="22"/>
                <w:szCs w:val="22"/>
                <w:lang w:val="en-GB"/>
              </w:rPr>
              <w:t>, to 107 in 2012,</w:t>
            </w:r>
            <w:r w:rsidRPr="000F0222">
              <w:rPr>
                <w:sz w:val="22"/>
                <w:szCs w:val="22"/>
                <w:lang w:val="en-GB"/>
              </w:rPr>
              <w:t xml:space="preserve"> to 1</w:t>
            </w:r>
            <w:r w:rsidR="00A02562" w:rsidRPr="000F0222">
              <w:rPr>
                <w:sz w:val="22"/>
                <w:szCs w:val="22"/>
                <w:lang w:val="en-GB"/>
              </w:rPr>
              <w:t>8</w:t>
            </w:r>
            <w:r w:rsidRPr="000F0222">
              <w:rPr>
                <w:sz w:val="22"/>
                <w:szCs w:val="22"/>
                <w:lang w:val="en-GB"/>
              </w:rPr>
              <w:t>0</w:t>
            </w:r>
            <w:r w:rsidR="00A02562" w:rsidRPr="000F0222">
              <w:rPr>
                <w:sz w:val="22"/>
                <w:szCs w:val="22"/>
                <w:lang w:val="en-GB"/>
              </w:rPr>
              <w:t xml:space="preserve"> in 2015</w:t>
            </w:r>
            <w:r w:rsidRPr="000F0222">
              <w:rPr>
                <w:sz w:val="22"/>
                <w:szCs w:val="22"/>
                <w:lang w:val="en-GB"/>
              </w:rPr>
              <w:t>,</w:t>
            </w:r>
            <w:r w:rsidR="00750B26" w:rsidRPr="000F0222">
              <w:rPr>
                <w:sz w:val="22"/>
                <w:szCs w:val="22"/>
                <w:lang w:val="en-GB"/>
              </w:rPr>
              <w:t xml:space="preserve"> to 221 in 2018</w:t>
            </w:r>
            <w:r w:rsidRPr="000F0222">
              <w:rPr>
                <w:sz w:val="22"/>
                <w:szCs w:val="22"/>
                <w:lang w:val="en-GB"/>
              </w:rPr>
              <w:t xml:space="preserve"> i.e. by </w:t>
            </w:r>
            <w:r w:rsidR="002D43CD" w:rsidRPr="000F0222">
              <w:rPr>
                <w:sz w:val="22"/>
                <w:szCs w:val="22"/>
                <w:lang w:val="en-GB"/>
              </w:rPr>
              <w:t>116</w:t>
            </w:r>
            <w:r w:rsidRPr="000F0222">
              <w:rPr>
                <w:sz w:val="22"/>
                <w:szCs w:val="22"/>
                <w:lang w:val="en-GB"/>
              </w:rPr>
              <w:t xml:space="preserve">%, which is </w:t>
            </w:r>
            <w:r w:rsidR="002D43CD" w:rsidRPr="000F0222">
              <w:rPr>
                <w:sz w:val="22"/>
                <w:szCs w:val="22"/>
                <w:lang w:val="en-GB"/>
              </w:rPr>
              <w:t xml:space="preserve">much </w:t>
            </w:r>
            <w:r w:rsidR="00A02562" w:rsidRPr="000F0222">
              <w:rPr>
                <w:sz w:val="22"/>
                <w:szCs w:val="22"/>
                <w:lang w:val="en-GB"/>
              </w:rPr>
              <w:t xml:space="preserve">higher </w:t>
            </w:r>
            <w:r w:rsidRPr="000F0222">
              <w:rPr>
                <w:sz w:val="22"/>
                <w:szCs w:val="22"/>
                <w:lang w:val="en-GB"/>
              </w:rPr>
              <w:t>than the target.</w:t>
            </w:r>
          </w:p>
          <w:p w14:paraId="7FE39728" w14:textId="77777777" w:rsidR="00A02562" w:rsidRPr="000F0222" w:rsidRDefault="00A02562" w:rsidP="009058FB">
            <w:pPr>
              <w:rPr>
                <w:sz w:val="22"/>
                <w:szCs w:val="22"/>
                <w:lang w:val="en-GB"/>
              </w:rPr>
            </w:pPr>
          </w:p>
          <w:p w14:paraId="592ADCA8" w14:textId="23DC1A86" w:rsidR="00A02562" w:rsidRPr="000F0222" w:rsidRDefault="00A02562" w:rsidP="009058FB">
            <w:pPr>
              <w:rPr>
                <w:sz w:val="22"/>
                <w:szCs w:val="22"/>
                <w:lang w:val="en-GB"/>
              </w:rPr>
            </w:pPr>
            <w:r w:rsidRPr="000F0222">
              <w:rPr>
                <w:b/>
                <w:sz w:val="22"/>
                <w:szCs w:val="22"/>
                <w:lang w:val="en-GB"/>
              </w:rPr>
              <w:t>Change since MOP</w:t>
            </w:r>
            <w:r w:rsidR="002D43CD" w:rsidRPr="000F0222">
              <w:rPr>
                <w:b/>
                <w:sz w:val="22"/>
                <w:szCs w:val="22"/>
                <w:lang w:val="en-GB"/>
              </w:rPr>
              <w:t>4</w:t>
            </w:r>
            <w:r w:rsidRPr="000F0222">
              <w:rPr>
                <w:b/>
                <w:sz w:val="22"/>
                <w:szCs w:val="22"/>
                <w:lang w:val="en-GB"/>
              </w:rPr>
              <w:t>:</w:t>
            </w:r>
            <w:r w:rsidRPr="000F0222">
              <w:rPr>
                <w:sz w:val="22"/>
                <w:szCs w:val="22"/>
                <w:lang w:val="en-GB"/>
              </w:rPr>
              <w:t xml:space="preserve"> Positive. </w:t>
            </w:r>
          </w:p>
          <w:p w14:paraId="5C5FEE13" w14:textId="77777777" w:rsidR="009058FB" w:rsidRPr="000F0222" w:rsidRDefault="009058FB" w:rsidP="009058FB">
            <w:pPr>
              <w:rPr>
                <w:sz w:val="22"/>
                <w:szCs w:val="22"/>
                <w:lang w:val="en-GB"/>
              </w:rPr>
            </w:pPr>
          </w:p>
          <w:p w14:paraId="199081CF" w14:textId="4DF25CD9" w:rsidR="00EF6B19" w:rsidRPr="000F0222" w:rsidRDefault="009058FB" w:rsidP="00EF6B19">
            <w:pPr>
              <w:rPr>
                <w:sz w:val="22"/>
                <w:szCs w:val="22"/>
                <w:lang w:val="en-GB"/>
              </w:rPr>
            </w:pPr>
            <w:r w:rsidRPr="000F0222">
              <w:rPr>
                <w:b/>
                <w:sz w:val="22"/>
                <w:szCs w:val="22"/>
                <w:lang w:val="en-GB"/>
              </w:rPr>
              <w:t>Reference:</w:t>
            </w:r>
            <w:r w:rsidRPr="000F0222">
              <w:rPr>
                <w:sz w:val="22"/>
                <w:szCs w:val="22"/>
                <w:lang w:val="en-GB"/>
              </w:rPr>
              <w:t xml:space="preserve"> </w:t>
            </w:r>
            <w:r w:rsidR="002D43CD" w:rsidRPr="000F0222">
              <w:rPr>
                <w:sz w:val="22"/>
                <w:szCs w:val="22"/>
                <w:lang w:val="en-GB"/>
              </w:rPr>
              <w:t>7</w:t>
            </w:r>
            <w:r w:rsidRPr="000F0222">
              <w:rPr>
                <w:sz w:val="22"/>
                <w:szCs w:val="22"/>
                <w:vertAlign w:val="superscript"/>
                <w:lang w:val="en-GB"/>
              </w:rPr>
              <w:t>th</w:t>
            </w:r>
            <w:r w:rsidRPr="000F0222">
              <w:rPr>
                <w:sz w:val="22"/>
                <w:szCs w:val="22"/>
                <w:lang w:val="en-GB"/>
              </w:rPr>
              <w:t xml:space="preserve"> edition of the AEWA Conservation Status Report</w:t>
            </w:r>
            <w:r w:rsidR="00EF6B19" w:rsidRPr="000F0222">
              <w:rPr>
                <w:sz w:val="22"/>
                <w:szCs w:val="22"/>
                <w:lang w:val="en-GB"/>
              </w:rPr>
              <w:t xml:space="preserve"> </w:t>
            </w:r>
            <w:r w:rsidRPr="000F0222">
              <w:rPr>
                <w:sz w:val="22"/>
                <w:szCs w:val="22"/>
                <w:lang w:val="en-GB"/>
              </w:rPr>
              <w:t xml:space="preserve"> </w:t>
            </w:r>
            <w:r w:rsidR="00EF6B19" w:rsidRPr="000F0222">
              <w:rPr>
                <w:sz w:val="22"/>
                <w:szCs w:val="22"/>
                <w:lang w:val="en-GB"/>
              </w:rPr>
              <w:t xml:space="preserve">            </w:t>
            </w:r>
          </w:p>
          <w:p w14:paraId="313F67F6" w14:textId="65E0C653" w:rsidR="009058FB" w:rsidRPr="000F0222" w:rsidRDefault="00EF6B19" w:rsidP="00EF6B19">
            <w:pPr>
              <w:rPr>
                <w:sz w:val="22"/>
                <w:szCs w:val="22"/>
                <w:lang w:val="en-GB"/>
              </w:rPr>
            </w:pPr>
            <w:r w:rsidRPr="000F0222">
              <w:rPr>
                <w:sz w:val="22"/>
                <w:szCs w:val="22"/>
                <w:lang w:val="en-GB"/>
              </w:rPr>
              <w:t xml:space="preserve">                   </w:t>
            </w:r>
            <w:r w:rsidR="009058FB" w:rsidRPr="000F0222">
              <w:rPr>
                <w:sz w:val="22"/>
                <w:szCs w:val="22"/>
                <w:lang w:val="en-GB"/>
              </w:rPr>
              <w:t xml:space="preserve">(document AEWA/MOP </w:t>
            </w:r>
            <w:r w:rsidR="002D43CD" w:rsidRPr="000F0222">
              <w:rPr>
                <w:sz w:val="22"/>
                <w:szCs w:val="22"/>
                <w:lang w:val="en-GB"/>
              </w:rPr>
              <w:t>7</w:t>
            </w:r>
            <w:r w:rsidR="009058FB" w:rsidRPr="000F0222">
              <w:rPr>
                <w:sz w:val="22"/>
                <w:szCs w:val="22"/>
                <w:lang w:val="en-GB"/>
              </w:rPr>
              <w:t>.14)</w:t>
            </w:r>
          </w:p>
          <w:p w14:paraId="688424FA" w14:textId="77777777" w:rsidR="009058FB" w:rsidRPr="000F0222" w:rsidRDefault="009058FB" w:rsidP="009058FB">
            <w:pPr>
              <w:rPr>
                <w:sz w:val="22"/>
                <w:szCs w:val="22"/>
                <w:lang w:val="en-GB"/>
              </w:rPr>
            </w:pPr>
          </w:p>
          <w:p w14:paraId="308B7824" w14:textId="7B2541A7" w:rsidR="009058FB" w:rsidRPr="000F0222" w:rsidRDefault="00487EEB" w:rsidP="009058FB">
            <w:pPr>
              <w:rPr>
                <w:sz w:val="22"/>
                <w:szCs w:val="22"/>
                <w:lang w:val="en-GB"/>
              </w:rPr>
            </w:pPr>
            <w:r w:rsidRPr="000F0222">
              <w:rPr>
                <w:sz w:val="22"/>
                <w:szCs w:val="22"/>
                <w:lang w:val="en-GB"/>
              </w:rPr>
              <w:t xml:space="preserve">Although most of the financial targets outlined in document AEWA/MOP 5.42 were largely met, majority of the funding is project-based and short- or maximum medium-term without any guarantee of long-term sustainability. </w:t>
            </w:r>
            <w:r w:rsidR="009058FB" w:rsidRPr="000F0222">
              <w:rPr>
                <w:sz w:val="22"/>
                <w:szCs w:val="22"/>
                <w:lang w:val="en-GB"/>
              </w:rPr>
              <w:t xml:space="preserve">Only </w:t>
            </w:r>
            <w:r w:rsidR="00E8745B" w:rsidRPr="000F0222">
              <w:rPr>
                <w:sz w:val="22"/>
                <w:szCs w:val="22"/>
                <w:lang w:val="en-GB"/>
              </w:rPr>
              <w:t>1</w:t>
            </w:r>
            <w:r w:rsidR="007764FE" w:rsidRPr="000F0222">
              <w:rPr>
                <w:sz w:val="22"/>
                <w:szCs w:val="22"/>
                <w:lang w:val="en-GB"/>
              </w:rPr>
              <w:t>5</w:t>
            </w:r>
            <w:r w:rsidR="00E8745B" w:rsidRPr="000F0222">
              <w:rPr>
                <w:sz w:val="22"/>
                <w:szCs w:val="22"/>
                <w:lang w:val="en-GB"/>
              </w:rPr>
              <w:t xml:space="preserve"> </w:t>
            </w:r>
            <w:r w:rsidR="009058FB" w:rsidRPr="000F0222">
              <w:rPr>
                <w:sz w:val="22"/>
                <w:szCs w:val="22"/>
                <w:lang w:val="en-GB"/>
              </w:rPr>
              <w:t>CPs have reported f</w:t>
            </w:r>
            <w:r w:rsidR="00B501D0" w:rsidRPr="000F0222">
              <w:rPr>
                <w:sz w:val="22"/>
                <w:szCs w:val="22"/>
                <w:lang w:val="en-GB"/>
              </w:rPr>
              <w:t xml:space="preserve">inancial and/or </w:t>
            </w:r>
            <w:r w:rsidR="00B501D0" w:rsidRPr="000F0222">
              <w:rPr>
                <w:sz w:val="22"/>
                <w:szCs w:val="22"/>
                <w:lang w:val="en-GB"/>
              </w:rPr>
              <w:lastRenderedPageBreak/>
              <w:t xml:space="preserve">logistical </w:t>
            </w:r>
            <w:r w:rsidR="009058FB" w:rsidRPr="000F0222">
              <w:rPr>
                <w:sz w:val="22"/>
                <w:szCs w:val="22"/>
                <w:lang w:val="en-GB"/>
              </w:rPr>
              <w:t xml:space="preserve">support provided to the </w:t>
            </w:r>
            <w:r w:rsidR="00B501D0" w:rsidRPr="000F0222">
              <w:rPr>
                <w:sz w:val="22"/>
                <w:szCs w:val="22"/>
                <w:lang w:val="en-GB"/>
              </w:rPr>
              <w:t xml:space="preserve">International </w:t>
            </w:r>
            <w:proofErr w:type="spellStart"/>
            <w:r w:rsidR="00B501D0" w:rsidRPr="000F0222">
              <w:rPr>
                <w:sz w:val="22"/>
                <w:szCs w:val="22"/>
                <w:lang w:val="en-GB"/>
              </w:rPr>
              <w:t>Waterbird</w:t>
            </w:r>
            <w:proofErr w:type="spellEnd"/>
            <w:r w:rsidR="00B501D0" w:rsidRPr="000F0222">
              <w:rPr>
                <w:sz w:val="22"/>
                <w:szCs w:val="22"/>
                <w:lang w:val="en-GB"/>
              </w:rPr>
              <w:t xml:space="preserve"> Census at </w:t>
            </w:r>
            <w:r w:rsidR="009058FB" w:rsidRPr="000F0222">
              <w:rPr>
                <w:sz w:val="22"/>
                <w:szCs w:val="22"/>
                <w:lang w:val="en-GB"/>
              </w:rPr>
              <w:t xml:space="preserve">international </w:t>
            </w:r>
            <w:r w:rsidR="00B501D0" w:rsidRPr="000F0222">
              <w:rPr>
                <w:sz w:val="22"/>
                <w:szCs w:val="22"/>
                <w:lang w:val="en-GB"/>
              </w:rPr>
              <w:t xml:space="preserve">level and 11 CPs reported </w:t>
            </w:r>
            <w:r w:rsidR="009058FB" w:rsidRPr="000F0222">
              <w:rPr>
                <w:sz w:val="22"/>
                <w:szCs w:val="22"/>
                <w:lang w:val="en-GB"/>
              </w:rPr>
              <w:t xml:space="preserve">bi-lateral </w:t>
            </w:r>
            <w:r w:rsidR="00B501D0" w:rsidRPr="000F0222">
              <w:rPr>
                <w:sz w:val="22"/>
                <w:szCs w:val="22"/>
                <w:lang w:val="en-GB"/>
              </w:rPr>
              <w:t xml:space="preserve">technical or financial support to </w:t>
            </w:r>
            <w:r w:rsidR="009058FB" w:rsidRPr="000F0222">
              <w:rPr>
                <w:sz w:val="22"/>
                <w:szCs w:val="22"/>
                <w:lang w:val="en-GB"/>
              </w:rPr>
              <w:t>other CPs/Range States.</w:t>
            </w:r>
            <w:r w:rsidR="006E70AB" w:rsidRPr="000F0222">
              <w:rPr>
                <w:sz w:val="22"/>
                <w:szCs w:val="22"/>
                <w:lang w:val="en-GB"/>
              </w:rPr>
              <w:t xml:space="preserve"> The </w:t>
            </w:r>
            <w:proofErr w:type="spellStart"/>
            <w:r w:rsidR="006E70AB" w:rsidRPr="000F0222">
              <w:rPr>
                <w:sz w:val="22"/>
                <w:szCs w:val="22"/>
                <w:lang w:val="en-GB"/>
              </w:rPr>
              <w:t>Waterbird</w:t>
            </w:r>
            <w:proofErr w:type="spellEnd"/>
            <w:r w:rsidR="006E70AB" w:rsidRPr="000F0222">
              <w:rPr>
                <w:sz w:val="22"/>
                <w:szCs w:val="22"/>
                <w:lang w:val="en-GB"/>
              </w:rPr>
              <w:t xml:space="preserve"> Fund was established by the African-Eurasian </w:t>
            </w:r>
            <w:proofErr w:type="spellStart"/>
            <w:r w:rsidR="006E70AB" w:rsidRPr="000F0222">
              <w:rPr>
                <w:sz w:val="22"/>
                <w:szCs w:val="22"/>
                <w:lang w:val="en-GB"/>
              </w:rPr>
              <w:t>Waterbird</w:t>
            </w:r>
            <w:proofErr w:type="spellEnd"/>
            <w:r w:rsidR="006E70AB" w:rsidRPr="000F0222">
              <w:rPr>
                <w:sz w:val="22"/>
                <w:szCs w:val="22"/>
                <w:lang w:val="en-GB"/>
              </w:rPr>
              <w:t xml:space="preserve"> Monitoring Partnership, but only modest funds have been donated to date. </w:t>
            </w:r>
          </w:p>
          <w:p w14:paraId="718CD770" w14:textId="77777777" w:rsidR="00487EEB" w:rsidRPr="000F0222" w:rsidRDefault="00487EEB" w:rsidP="009058FB">
            <w:pPr>
              <w:rPr>
                <w:sz w:val="22"/>
                <w:szCs w:val="22"/>
                <w:lang w:val="en-GB"/>
              </w:rPr>
            </w:pPr>
          </w:p>
          <w:p w14:paraId="4331E623" w14:textId="5F54AC43" w:rsidR="00487EEB" w:rsidRPr="000F0222" w:rsidRDefault="00487EEB" w:rsidP="009058FB">
            <w:pPr>
              <w:rPr>
                <w:sz w:val="22"/>
                <w:szCs w:val="22"/>
                <w:lang w:val="en-GB"/>
              </w:rPr>
            </w:pPr>
            <w:r w:rsidRPr="000F0222">
              <w:rPr>
                <w:b/>
                <w:sz w:val="22"/>
                <w:szCs w:val="22"/>
                <w:lang w:val="en-GB"/>
              </w:rPr>
              <w:t>Change since MOP</w:t>
            </w:r>
            <w:r w:rsidR="003C67D8" w:rsidRPr="000F0222">
              <w:rPr>
                <w:b/>
                <w:sz w:val="22"/>
                <w:szCs w:val="22"/>
                <w:lang w:val="en-GB"/>
              </w:rPr>
              <w:t>4</w:t>
            </w:r>
            <w:r w:rsidRPr="000F0222">
              <w:rPr>
                <w:b/>
                <w:sz w:val="22"/>
                <w:szCs w:val="22"/>
                <w:lang w:val="en-GB"/>
              </w:rPr>
              <w:t>:</w:t>
            </w:r>
            <w:r w:rsidRPr="000F0222">
              <w:rPr>
                <w:sz w:val="22"/>
                <w:szCs w:val="22"/>
                <w:lang w:val="en-GB"/>
              </w:rPr>
              <w:t xml:space="preserve"> Positive. However, financial sustainability </w:t>
            </w:r>
            <w:r w:rsidR="00733A87" w:rsidRPr="000F0222">
              <w:rPr>
                <w:sz w:val="22"/>
                <w:szCs w:val="22"/>
                <w:lang w:val="en-GB"/>
              </w:rPr>
              <w:t>of IWC</w:t>
            </w:r>
            <w:r w:rsidRPr="000F0222">
              <w:rPr>
                <w:sz w:val="22"/>
                <w:szCs w:val="22"/>
                <w:lang w:val="en-GB"/>
              </w:rPr>
              <w:t xml:space="preserve"> has not been achieved. </w:t>
            </w:r>
          </w:p>
          <w:p w14:paraId="6C56AFB1" w14:textId="77777777" w:rsidR="009058FB" w:rsidRPr="000F0222" w:rsidRDefault="009058FB" w:rsidP="009058FB">
            <w:pPr>
              <w:rPr>
                <w:sz w:val="22"/>
                <w:szCs w:val="22"/>
                <w:lang w:val="en-GB"/>
              </w:rPr>
            </w:pPr>
          </w:p>
          <w:p w14:paraId="588F9768" w14:textId="77777777" w:rsidR="008710CC" w:rsidRDefault="009058FB" w:rsidP="008710CC">
            <w:pPr>
              <w:rPr>
                <w:sz w:val="22"/>
                <w:szCs w:val="22"/>
                <w:lang w:val="en-GB"/>
              </w:rPr>
            </w:pPr>
            <w:r w:rsidRPr="000F0222">
              <w:rPr>
                <w:b/>
                <w:sz w:val="22"/>
                <w:szCs w:val="22"/>
                <w:lang w:val="en-GB"/>
              </w:rPr>
              <w:t>Reference:</w:t>
            </w:r>
            <w:r w:rsidRPr="000F0222">
              <w:rPr>
                <w:sz w:val="22"/>
                <w:szCs w:val="22"/>
                <w:lang w:val="en-GB"/>
              </w:rPr>
              <w:t xml:space="preserve"> </w:t>
            </w:r>
            <w:r w:rsidR="009C5E3D" w:rsidRPr="000F0222">
              <w:rPr>
                <w:sz w:val="22"/>
                <w:szCs w:val="22"/>
                <w:lang w:val="en-GB"/>
              </w:rPr>
              <w:t>R</w:t>
            </w:r>
            <w:r w:rsidR="00487EEB" w:rsidRPr="000F0222">
              <w:rPr>
                <w:sz w:val="22"/>
                <w:szCs w:val="22"/>
                <w:lang w:val="en-GB"/>
              </w:rPr>
              <w:t xml:space="preserve">eport on the </w:t>
            </w:r>
            <w:r w:rsidRPr="000F0222">
              <w:rPr>
                <w:sz w:val="22"/>
                <w:szCs w:val="22"/>
                <w:lang w:val="en-GB"/>
              </w:rPr>
              <w:t xml:space="preserve">development of the </w:t>
            </w:r>
            <w:proofErr w:type="spellStart"/>
            <w:r w:rsidRPr="000F0222">
              <w:rPr>
                <w:sz w:val="22"/>
                <w:szCs w:val="22"/>
                <w:lang w:val="en-GB"/>
              </w:rPr>
              <w:t>waterbird</w:t>
            </w:r>
            <w:proofErr w:type="spellEnd"/>
            <w:r w:rsidRPr="000F0222">
              <w:rPr>
                <w:sz w:val="22"/>
                <w:szCs w:val="22"/>
                <w:lang w:val="en-GB"/>
              </w:rPr>
              <w:t xml:space="preserve"> monitoring </w:t>
            </w:r>
            <w:r w:rsidR="00976980">
              <w:rPr>
                <w:sz w:val="22"/>
                <w:szCs w:val="22"/>
                <w:lang w:val="en-GB"/>
              </w:rPr>
              <w:t xml:space="preserve"> </w:t>
            </w:r>
          </w:p>
          <w:p w14:paraId="0BD71D41" w14:textId="77777777" w:rsidR="008710CC" w:rsidRDefault="008710CC" w:rsidP="008710CC">
            <w:pPr>
              <w:rPr>
                <w:sz w:val="22"/>
                <w:szCs w:val="22"/>
                <w:lang w:val="en-GB"/>
              </w:rPr>
            </w:pPr>
            <w:r>
              <w:rPr>
                <w:sz w:val="22"/>
                <w:szCs w:val="22"/>
                <w:lang w:val="en-GB"/>
              </w:rPr>
              <w:t xml:space="preserve">                   </w:t>
            </w:r>
            <w:r w:rsidR="00487EEB" w:rsidRPr="000F0222">
              <w:rPr>
                <w:sz w:val="22"/>
                <w:szCs w:val="22"/>
                <w:lang w:val="en-GB"/>
              </w:rPr>
              <w:t>along</w:t>
            </w:r>
            <w:r w:rsidR="009058FB" w:rsidRPr="000F0222">
              <w:rPr>
                <w:sz w:val="22"/>
                <w:szCs w:val="22"/>
                <w:lang w:val="en-GB"/>
              </w:rPr>
              <w:t xml:space="preserve"> the African-Eurasian </w:t>
            </w:r>
            <w:r w:rsidR="00EF6B19" w:rsidRPr="000F0222">
              <w:rPr>
                <w:sz w:val="22"/>
                <w:szCs w:val="22"/>
                <w:lang w:val="en-GB"/>
              </w:rPr>
              <w:t xml:space="preserve">flyways (document </w:t>
            </w:r>
            <w:r w:rsidR="009058FB" w:rsidRPr="000F0222">
              <w:rPr>
                <w:sz w:val="22"/>
                <w:szCs w:val="22"/>
                <w:lang w:val="en-GB"/>
              </w:rPr>
              <w:t xml:space="preserve">AEWA/MOP </w:t>
            </w:r>
          </w:p>
          <w:p w14:paraId="0C5F89FA" w14:textId="77777777" w:rsidR="008710CC" w:rsidRDefault="008710CC" w:rsidP="008710CC">
            <w:pPr>
              <w:rPr>
                <w:sz w:val="22"/>
                <w:szCs w:val="22"/>
                <w:lang w:val="en-GB"/>
              </w:rPr>
            </w:pPr>
            <w:r>
              <w:rPr>
                <w:sz w:val="22"/>
                <w:szCs w:val="22"/>
                <w:lang w:val="en-GB"/>
              </w:rPr>
              <w:t xml:space="preserve">                   </w:t>
            </w:r>
            <w:r w:rsidR="003C67D8" w:rsidRPr="000F0222">
              <w:rPr>
                <w:sz w:val="22"/>
                <w:szCs w:val="22"/>
                <w:lang w:val="en-GB"/>
              </w:rPr>
              <w:t>7</w:t>
            </w:r>
            <w:r w:rsidR="009058FB" w:rsidRPr="000F0222">
              <w:rPr>
                <w:sz w:val="22"/>
                <w:szCs w:val="22"/>
                <w:lang w:val="en-GB"/>
              </w:rPr>
              <w:t>.</w:t>
            </w:r>
            <w:r w:rsidR="003C67D8" w:rsidRPr="000F0222">
              <w:rPr>
                <w:sz w:val="22"/>
                <w:szCs w:val="22"/>
                <w:lang w:val="en-GB"/>
              </w:rPr>
              <w:t>31</w:t>
            </w:r>
            <w:r w:rsidR="009058FB" w:rsidRPr="000F0222">
              <w:rPr>
                <w:sz w:val="22"/>
                <w:szCs w:val="22"/>
                <w:lang w:val="en-GB"/>
              </w:rPr>
              <w:t>);</w:t>
            </w:r>
            <w:r w:rsidDel="008710CC">
              <w:rPr>
                <w:sz w:val="22"/>
                <w:szCs w:val="22"/>
                <w:lang w:val="en-GB"/>
              </w:rPr>
              <w:t xml:space="preserve"> </w:t>
            </w:r>
          </w:p>
          <w:p w14:paraId="647D7DE4" w14:textId="77777777" w:rsidR="008710CC" w:rsidRDefault="008710CC" w:rsidP="008710CC">
            <w:pPr>
              <w:rPr>
                <w:lang w:val="en-GB"/>
              </w:rPr>
            </w:pPr>
            <w:r>
              <w:rPr>
                <w:sz w:val="22"/>
                <w:szCs w:val="22"/>
                <w:lang w:val="en-GB"/>
              </w:rPr>
              <w:t xml:space="preserve">                   </w:t>
            </w:r>
            <w:r w:rsidR="009058FB" w:rsidRPr="000F0222">
              <w:rPr>
                <w:lang w:val="en-GB"/>
              </w:rPr>
              <w:t xml:space="preserve">Analysis of </w:t>
            </w:r>
            <w:r w:rsidR="003C67D8" w:rsidRPr="000F0222">
              <w:rPr>
                <w:lang w:val="en-GB"/>
              </w:rPr>
              <w:t xml:space="preserve">the </w:t>
            </w:r>
            <w:r w:rsidR="009058FB" w:rsidRPr="000F0222">
              <w:rPr>
                <w:lang w:val="en-GB"/>
              </w:rPr>
              <w:t>AEWA National Reports for the</w:t>
            </w:r>
            <w:r w:rsidR="00EF6B19" w:rsidRPr="000F0222">
              <w:rPr>
                <w:lang w:val="en-GB"/>
              </w:rPr>
              <w:t xml:space="preserve"> </w:t>
            </w:r>
          </w:p>
          <w:p w14:paraId="0F2A10CC" w14:textId="3F063BC4" w:rsidR="009058FB" w:rsidRPr="000F0222" w:rsidRDefault="008710CC" w:rsidP="008710CC">
            <w:pPr>
              <w:rPr>
                <w:lang w:val="en-GB"/>
              </w:rPr>
            </w:pPr>
            <w:r>
              <w:rPr>
                <w:lang w:val="en-GB"/>
              </w:rPr>
              <w:t xml:space="preserve">                 </w:t>
            </w:r>
            <w:r w:rsidR="003C67D8" w:rsidRPr="000F0222">
              <w:rPr>
                <w:lang w:val="en-GB"/>
              </w:rPr>
              <w:t>T</w:t>
            </w:r>
            <w:r w:rsidR="009058FB" w:rsidRPr="000F0222">
              <w:rPr>
                <w:lang w:val="en-GB"/>
              </w:rPr>
              <w:t>riennium 20</w:t>
            </w:r>
            <w:r w:rsidR="00487EEB" w:rsidRPr="000F0222">
              <w:rPr>
                <w:lang w:val="en-GB"/>
              </w:rPr>
              <w:t>1</w:t>
            </w:r>
            <w:r w:rsidR="003C67D8" w:rsidRPr="000F0222">
              <w:rPr>
                <w:lang w:val="en-GB"/>
              </w:rPr>
              <w:t>5-</w:t>
            </w:r>
            <w:r w:rsidR="009058FB" w:rsidRPr="000F0222">
              <w:rPr>
                <w:lang w:val="en-GB"/>
              </w:rPr>
              <w:t>201</w:t>
            </w:r>
            <w:r w:rsidR="003C67D8" w:rsidRPr="000F0222">
              <w:rPr>
                <w:lang w:val="en-GB"/>
              </w:rPr>
              <w:t>7</w:t>
            </w:r>
            <w:r w:rsidR="009058FB" w:rsidRPr="000F0222">
              <w:rPr>
                <w:lang w:val="en-GB"/>
              </w:rPr>
              <w:t xml:space="preserve"> (document AEWA/MOP </w:t>
            </w:r>
            <w:r w:rsidR="003C67D8" w:rsidRPr="000F0222">
              <w:rPr>
                <w:lang w:val="en-GB"/>
              </w:rPr>
              <w:t>7</w:t>
            </w:r>
            <w:r w:rsidR="009058FB" w:rsidRPr="000F0222">
              <w:rPr>
                <w:lang w:val="en-GB"/>
              </w:rPr>
              <w:t>.1</w:t>
            </w:r>
            <w:r w:rsidR="003C67D8" w:rsidRPr="000F0222">
              <w:rPr>
                <w:lang w:val="en-GB"/>
              </w:rPr>
              <w:t>2</w:t>
            </w:r>
            <w:r w:rsidR="009058FB" w:rsidRPr="000F0222">
              <w:rPr>
                <w:lang w:val="en-GB"/>
              </w:rPr>
              <w:t>)</w:t>
            </w:r>
          </w:p>
          <w:p w14:paraId="5BD312BD" w14:textId="77777777" w:rsidR="009058FB" w:rsidRPr="000F0222" w:rsidRDefault="009058FB" w:rsidP="009058FB">
            <w:pPr>
              <w:rPr>
                <w:sz w:val="22"/>
                <w:szCs w:val="22"/>
                <w:lang w:val="en-GB"/>
              </w:rPr>
            </w:pPr>
          </w:p>
          <w:p w14:paraId="4B82BD94" w14:textId="385EA229" w:rsidR="009058FB" w:rsidRPr="000F0222" w:rsidRDefault="009058FB" w:rsidP="009058FB">
            <w:pPr>
              <w:rPr>
                <w:sz w:val="22"/>
                <w:szCs w:val="22"/>
                <w:lang w:val="en-GB"/>
              </w:rPr>
            </w:pPr>
            <w:r w:rsidRPr="000F0222">
              <w:rPr>
                <w:sz w:val="22"/>
                <w:szCs w:val="22"/>
                <w:lang w:val="en-GB"/>
              </w:rPr>
              <w:t xml:space="preserve">Nationally, </w:t>
            </w:r>
            <w:r w:rsidR="003C67D8" w:rsidRPr="000F0222">
              <w:rPr>
                <w:sz w:val="22"/>
                <w:szCs w:val="22"/>
                <w:lang w:val="en-GB"/>
              </w:rPr>
              <w:t>49</w:t>
            </w:r>
            <w:r w:rsidRPr="000F0222">
              <w:rPr>
                <w:sz w:val="22"/>
                <w:szCs w:val="22"/>
                <w:lang w:val="en-GB"/>
              </w:rPr>
              <w:t xml:space="preserve">% of the CPs have funded or logistically supported IWC activities. </w:t>
            </w:r>
          </w:p>
          <w:p w14:paraId="71AFC1E9" w14:textId="77777777" w:rsidR="00B501D0" w:rsidRPr="000F0222" w:rsidRDefault="00B501D0" w:rsidP="009058FB">
            <w:pPr>
              <w:rPr>
                <w:sz w:val="22"/>
                <w:szCs w:val="22"/>
                <w:lang w:val="en-GB"/>
              </w:rPr>
            </w:pPr>
          </w:p>
          <w:p w14:paraId="7EAEFE1A" w14:textId="1B0537EE" w:rsidR="00B501D0" w:rsidRPr="000F0222" w:rsidRDefault="00B501D0" w:rsidP="009058FB">
            <w:pPr>
              <w:rPr>
                <w:sz w:val="22"/>
                <w:szCs w:val="22"/>
                <w:lang w:val="en-GB"/>
              </w:rPr>
            </w:pPr>
            <w:r w:rsidRPr="000F0222">
              <w:rPr>
                <w:b/>
                <w:sz w:val="22"/>
                <w:szCs w:val="22"/>
                <w:lang w:val="en-GB"/>
              </w:rPr>
              <w:t>Change since MOP</w:t>
            </w:r>
            <w:r w:rsidR="003C67D8" w:rsidRPr="000F0222">
              <w:rPr>
                <w:b/>
                <w:sz w:val="22"/>
                <w:szCs w:val="22"/>
                <w:lang w:val="en-GB"/>
              </w:rPr>
              <w:t>4</w:t>
            </w:r>
            <w:r w:rsidRPr="000F0222">
              <w:rPr>
                <w:b/>
                <w:sz w:val="22"/>
                <w:szCs w:val="22"/>
                <w:lang w:val="en-GB"/>
              </w:rPr>
              <w:t>:</w:t>
            </w:r>
            <w:r w:rsidRPr="000F0222">
              <w:rPr>
                <w:sz w:val="22"/>
                <w:szCs w:val="22"/>
                <w:lang w:val="en-GB"/>
              </w:rPr>
              <w:t xml:space="preserve"> </w:t>
            </w:r>
            <w:r w:rsidR="003C67D8" w:rsidRPr="000F0222">
              <w:rPr>
                <w:sz w:val="22"/>
                <w:szCs w:val="22"/>
                <w:lang w:val="en-GB"/>
              </w:rPr>
              <w:t>Positive</w:t>
            </w:r>
            <w:r w:rsidRPr="000F0222">
              <w:rPr>
                <w:sz w:val="22"/>
                <w:szCs w:val="22"/>
                <w:lang w:val="en-GB"/>
              </w:rPr>
              <w:t xml:space="preserve">. </w:t>
            </w:r>
            <w:r w:rsidR="003C67D8" w:rsidRPr="000F0222">
              <w:rPr>
                <w:sz w:val="22"/>
                <w:szCs w:val="22"/>
                <w:lang w:val="en-GB"/>
              </w:rPr>
              <w:t>5</w:t>
            </w:r>
            <w:r w:rsidRPr="000F0222">
              <w:rPr>
                <w:sz w:val="22"/>
                <w:szCs w:val="22"/>
                <w:lang w:val="en-GB"/>
              </w:rPr>
              <w:t>%</w:t>
            </w:r>
            <w:r w:rsidR="008710CC">
              <w:rPr>
                <w:sz w:val="22"/>
                <w:szCs w:val="22"/>
                <w:lang w:val="en-GB"/>
              </w:rPr>
              <w:t>-</w:t>
            </w:r>
            <w:r w:rsidR="003C67D8" w:rsidRPr="000F0222">
              <w:rPr>
                <w:sz w:val="22"/>
                <w:szCs w:val="22"/>
                <w:lang w:val="en-GB"/>
              </w:rPr>
              <w:t xml:space="preserve">point increase in the number of </w:t>
            </w:r>
            <w:r w:rsidRPr="000F0222">
              <w:rPr>
                <w:sz w:val="22"/>
                <w:szCs w:val="22"/>
                <w:lang w:val="en-GB"/>
              </w:rPr>
              <w:t>CPs support</w:t>
            </w:r>
            <w:r w:rsidR="003C67D8" w:rsidRPr="000F0222">
              <w:rPr>
                <w:sz w:val="22"/>
                <w:szCs w:val="22"/>
                <w:lang w:val="en-GB"/>
              </w:rPr>
              <w:t>ing</w:t>
            </w:r>
            <w:r w:rsidRPr="000F0222">
              <w:rPr>
                <w:sz w:val="22"/>
                <w:szCs w:val="22"/>
                <w:lang w:val="en-GB"/>
              </w:rPr>
              <w:t xml:space="preserve"> IWC compared to </w:t>
            </w:r>
            <w:r w:rsidR="003C67D8" w:rsidRPr="000F0222">
              <w:rPr>
                <w:sz w:val="22"/>
                <w:szCs w:val="22"/>
                <w:lang w:val="en-GB"/>
              </w:rPr>
              <w:t xml:space="preserve">the first assessment in </w:t>
            </w:r>
            <w:r w:rsidRPr="000F0222">
              <w:rPr>
                <w:sz w:val="22"/>
                <w:szCs w:val="22"/>
                <w:lang w:val="en-GB"/>
              </w:rPr>
              <w:t>2012.</w:t>
            </w:r>
          </w:p>
          <w:p w14:paraId="1A573265" w14:textId="77777777" w:rsidR="009058FB" w:rsidRPr="000F0222" w:rsidRDefault="009058FB" w:rsidP="009058FB">
            <w:pPr>
              <w:rPr>
                <w:sz w:val="22"/>
                <w:szCs w:val="22"/>
                <w:lang w:val="en-GB"/>
              </w:rPr>
            </w:pPr>
          </w:p>
          <w:p w14:paraId="52FA9172" w14:textId="169828CA" w:rsidR="00EF6B19" w:rsidRPr="000F0222" w:rsidRDefault="009058FB" w:rsidP="00EF6B19">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3C67D8" w:rsidRPr="000F0222">
              <w:rPr>
                <w:sz w:val="22"/>
                <w:szCs w:val="22"/>
                <w:lang w:val="en-GB"/>
              </w:rPr>
              <w:t xml:space="preserve">the </w:t>
            </w:r>
            <w:r w:rsidRPr="000F0222">
              <w:rPr>
                <w:sz w:val="22"/>
                <w:szCs w:val="22"/>
                <w:lang w:val="en-GB"/>
              </w:rPr>
              <w:t>AEWA National Reports for the</w:t>
            </w:r>
            <w:r w:rsidR="00EF6B19" w:rsidRPr="000F0222">
              <w:rPr>
                <w:sz w:val="22"/>
                <w:szCs w:val="22"/>
                <w:lang w:val="en-GB"/>
              </w:rPr>
              <w:t xml:space="preserve"> </w:t>
            </w:r>
            <w:r w:rsidR="003C67D8" w:rsidRPr="000F0222">
              <w:rPr>
                <w:sz w:val="22"/>
                <w:szCs w:val="22"/>
                <w:lang w:val="en-GB"/>
              </w:rPr>
              <w:t>T</w:t>
            </w:r>
            <w:r w:rsidRPr="000F0222">
              <w:rPr>
                <w:sz w:val="22"/>
                <w:szCs w:val="22"/>
                <w:lang w:val="en-GB"/>
              </w:rPr>
              <w:t xml:space="preserve">riennium </w:t>
            </w:r>
          </w:p>
          <w:p w14:paraId="731D7A3D" w14:textId="21ABB0F3" w:rsidR="009058FB" w:rsidRPr="000F0222" w:rsidRDefault="00EF6B19" w:rsidP="00EF6B19">
            <w:pPr>
              <w:rPr>
                <w:sz w:val="22"/>
                <w:szCs w:val="22"/>
                <w:lang w:val="en-GB"/>
              </w:rPr>
            </w:pPr>
            <w:r w:rsidRPr="000F0222">
              <w:rPr>
                <w:sz w:val="22"/>
                <w:szCs w:val="22"/>
                <w:lang w:val="en-GB"/>
              </w:rPr>
              <w:t xml:space="preserve">                   </w:t>
            </w:r>
            <w:r w:rsidR="009058FB" w:rsidRPr="000F0222">
              <w:rPr>
                <w:sz w:val="22"/>
                <w:szCs w:val="22"/>
                <w:lang w:val="en-GB"/>
              </w:rPr>
              <w:t>20</w:t>
            </w:r>
            <w:r w:rsidR="00A02562" w:rsidRPr="000F0222">
              <w:rPr>
                <w:sz w:val="22"/>
                <w:szCs w:val="22"/>
                <w:lang w:val="en-GB"/>
              </w:rPr>
              <w:t>1</w:t>
            </w:r>
            <w:r w:rsidR="003C67D8" w:rsidRPr="000F0222">
              <w:rPr>
                <w:sz w:val="22"/>
                <w:szCs w:val="22"/>
                <w:lang w:val="en-GB"/>
              </w:rPr>
              <w:t>5</w:t>
            </w:r>
            <w:r w:rsidR="009058FB" w:rsidRPr="000F0222">
              <w:rPr>
                <w:sz w:val="22"/>
                <w:szCs w:val="22"/>
                <w:lang w:val="en-GB"/>
              </w:rPr>
              <w:t>-201</w:t>
            </w:r>
            <w:r w:rsidR="003C67D8" w:rsidRPr="000F0222">
              <w:rPr>
                <w:sz w:val="22"/>
                <w:szCs w:val="22"/>
                <w:lang w:val="en-GB"/>
              </w:rPr>
              <w:t>7</w:t>
            </w:r>
            <w:r w:rsidR="009058FB" w:rsidRPr="000F0222">
              <w:rPr>
                <w:sz w:val="22"/>
                <w:szCs w:val="22"/>
                <w:lang w:val="en-GB"/>
              </w:rPr>
              <w:t xml:space="preserve"> (document AEWA/MOP </w:t>
            </w:r>
            <w:r w:rsidR="003C67D8" w:rsidRPr="000F0222">
              <w:rPr>
                <w:sz w:val="22"/>
                <w:szCs w:val="22"/>
                <w:lang w:val="en-GB"/>
              </w:rPr>
              <w:t>7</w:t>
            </w:r>
            <w:r w:rsidR="009058FB" w:rsidRPr="000F0222">
              <w:rPr>
                <w:sz w:val="22"/>
                <w:szCs w:val="22"/>
                <w:lang w:val="en-GB"/>
              </w:rPr>
              <w:t>.1</w:t>
            </w:r>
            <w:r w:rsidR="003C67D8" w:rsidRPr="000F0222">
              <w:rPr>
                <w:sz w:val="22"/>
                <w:szCs w:val="22"/>
                <w:lang w:val="en-GB"/>
              </w:rPr>
              <w:t>2</w:t>
            </w:r>
            <w:r w:rsidR="009058FB" w:rsidRPr="000F0222">
              <w:rPr>
                <w:sz w:val="22"/>
                <w:szCs w:val="22"/>
                <w:lang w:val="en-GB"/>
              </w:rPr>
              <w:t>)</w:t>
            </w:r>
          </w:p>
          <w:p w14:paraId="4CE761FB" w14:textId="77777777" w:rsidR="009058FB" w:rsidRPr="000F0222" w:rsidRDefault="009058FB" w:rsidP="009058FB">
            <w:pPr>
              <w:rPr>
                <w:sz w:val="22"/>
                <w:szCs w:val="22"/>
                <w:lang w:val="en-GB"/>
              </w:rPr>
            </w:pPr>
          </w:p>
          <w:p w14:paraId="01247EE0" w14:textId="52208DDD" w:rsidR="00DA4069" w:rsidRPr="000F0222" w:rsidRDefault="00DA4069" w:rsidP="009058FB">
            <w:pPr>
              <w:rPr>
                <w:sz w:val="22"/>
                <w:szCs w:val="22"/>
                <w:lang w:val="en-GB"/>
              </w:rPr>
            </w:pPr>
            <w:r w:rsidRPr="000F0222">
              <w:rPr>
                <w:b/>
                <w:sz w:val="22"/>
                <w:szCs w:val="22"/>
                <w:u w:val="single"/>
                <w:lang w:val="en-GB"/>
              </w:rPr>
              <w:t>Overall change since MOP</w:t>
            </w:r>
            <w:r w:rsidR="003C67D8" w:rsidRPr="000F0222">
              <w:rPr>
                <w:b/>
                <w:sz w:val="22"/>
                <w:szCs w:val="22"/>
                <w:u w:val="single"/>
                <w:lang w:val="en-GB"/>
              </w:rPr>
              <w:t>4</w:t>
            </w:r>
            <w:r w:rsidRPr="000F0222">
              <w:rPr>
                <w:b/>
                <w:sz w:val="22"/>
                <w:szCs w:val="22"/>
                <w:u w:val="single"/>
                <w:lang w:val="en-GB"/>
              </w:rPr>
              <w:t>:</w:t>
            </w:r>
            <w:r w:rsidRPr="000F0222">
              <w:rPr>
                <w:sz w:val="22"/>
                <w:szCs w:val="22"/>
                <w:lang w:val="en-GB"/>
              </w:rPr>
              <w:t xml:space="preserve"> Positive </w:t>
            </w:r>
          </w:p>
          <w:p w14:paraId="63A6C2B5" w14:textId="77777777" w:rsidR="00EF6B19" w:rsidRPr="000F0222" w:rsidRDefault="00EF6B19" w:rsidP="009058FB">
            <w:pPr>
              <w:rPr>
                <w:sz w:val="22"/>
                <w:szCs w:val="22"/>
                <w:lang w:val="en-GB"/>
              </w:rPr>
            </w:pPr>
          </w:p>
        </w:tc>
      </w:tr>
      <w:tr w:rsidR="009058FB" w:rsidRPr="004779F8" w14:paraId="0134CD0A" w14:textId="77777777" w:rsidTr="00667721">
        <w:trPr>
          <w:trHeight w:val="58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3036629" w14:textId="37160991" w:rsidR="009058FB" w:rsidRPr="000F0222" w:rsidRDefault="009058FB" w:rsidP="009058FB">
            <w:pPr>
              <w:rPr>
                <w:sz w:val="22"/>
                <w:szCs w:val="22"/>
                <w:lang w:val="en-GB"/>
              </w:rPr>
            </w:pPr>
            <w:r w:rsidRPr="000F0222">
              <w:rPr>
                <w:noProof/>
                <w:sz w:val="22"/>
                <w:szCs w:val="22"/>
                <w:lang w:val="en-GB"/>
              </w:rPr>
              <w:lastRenderedPageBreak/>
              <w:drawing>
                <wp:inline distT="0" distB="0" distL="0" distR="0" wp14:anchorId="54E0B7E4" wp14:editId="4BFB842A">
                  <wp:extent cx="1425039" cy="1068780"/>
                  <wp:effectExtent l="0" t="0" r="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3472D776" w14:textId="77777777" w:rsidR="009058FB" w:rsidRPr="004779F8" w:rsidRDefault="009058FB" w:rsidP="009058FB">
            <w:pPr>
              <w:rPr>
                <w:b/>
                <w:sz w:val="22"/>
                <w:szCs w:val="22"/>
                <w:lang w:val="en-GB"/>
              </w:rPr>
            </w:pPr>
          </w:p>
          <w:p w14:paraId="34C095EC" w14:textId="77777777" w:rsidR="009058FB" w:rsidRPr="00613A29" w:rsidRDefault="009058FB" w:rsidP="009058FB">
            <w:pPr>
              <w:rPr>
                <w:b/>
                <w:sz w:val="22"/>
                <w:szCs w:val="22"/>
                <w:lang w:val="en-GB"/>
              </w:rPr>
            </w:pPr>
            <w:r w:rsidRPr="00613A29">
              <w:rPr>
                <w:b/>
                <w:sz w:val="22"/>
                <w:szCs w:val="22"/>
                <w:lang w:val="en-GB"/>
              </w:rPr>
              <w:t xml:space="preserve">3.2: Capacity of national monitoring systems to assess the status of the </w:t>
            </w:r>
            <w:proofErr w:type="spellStart"/>
            <w:r w:rsidRPr="00613A29">
              <w:rPr>
                <w:b/>
                <w:sz w:val="22"/>
                <w:szCs w:val="22"/>
                <w:lang w:val="en-GB"/>
              </w:rPr>
              <w:t>waterbirds</w:t>
            </w:r>
            <w:proofErr w:type="spellEnd"/>
            <w:r w:rsidRPr="00613A29">
              <w:rPr>
                <w:b/>
                <w:sz w:val="22"/>
                <w:szCs w:val="22"/>
                <w:lang w:val="en-GB"/>
              </w:rPr>
              <w:t xml:space="preserve"> is established, maintained and further developed</w:t>
            </w:r>
          </w:p>
          <w:p w14:paraId="5B445739" w14:textId="77777777" w:rsidR="009058FB" w:rsidRPr="008C5535"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7D31366" w14:textId="77777777" w:rsidR="009058FB" w:rsidRPr="00E4475D" w:rsidRDefault="009058FB" w:rsidP="009058FB">
            <w:pPr>
              <w:rPr>
                <w:b/>
                <w:sz w:val="22"/>
                <w:szCs w:val="22"/>
                <w:lang w:val="en-GB"/>
              </w:rPr>
            </w:pPr>
          </w:p>
          <w:p w14:paraId="279C2D43" w14:textId="5F9A51A6" w:rsidR="009058FB" w:rsidRPr="004779F8" w:rsidRDefault="009058FB" w:rsidP="009058FB">
            <w:pPr>
              <w:rPr>
                <w:b/>
                <w:sz w:val="22"/>
                <w:szCs w:val="22"/>
                <w:lang w:val="en-GB"/>
              </w:rPr>
            </w:pPr>
            <w:r w:rsidRPr="00852729">
              <w:rPr>
                <w:b/>
                <w:sz w:val="22"/>
                <w:szCs w:val="22"/>
                <w:lang w:val="en-GB"/>
              </w:rPr>
              <w:t>Half of CPs have year-round</w:t>
            </w:r>
            <w:r w:rsidRPr="004779F8">
              <w:rPr>
                <w:b/>
                <w:sz w:val="22"/>
                <w:szCs w:val="22"/>
                <w:lang w:val="en-GB"/>
              </w:rPr>
              <w:t xml:space="preserve"> (as appropriate) monitoring systems in place</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D812AD3" w14:textId="77777777" w:rsidR="009058FB" w:rsidRPr="000F0222" w:rsidRDefault="009058FB" w:rsidP="009058FB">
            <w:pPr>
              <w:rPr>
                <w:sz w:val="22"/>
                <w:szCs w:val="22"/>
                <w:lang w:val="en-GB"/>
              </w:rPr>
            </w:pPr>
          </w:p>
          <w:p w14:paraId="4F549F11" w14:textId="0B4B631B" w:rsidR="009058FB" w:rsidRPr="000F0222" w:rsidRDefault="001A6E8E" w:rsidP="009058FB">
            <w:pPr>
              <w:rPr>
                <w:b/>
                <w:sz w:val="22"/>
                <w:szCs w:val="22"/>
                <w:lang w:val="en-GB"/>
              </w:rPr>
            </w:pPr>
            <w:r w:rsidRPr="000F0222">
              <w:rPr>
                <w:sz w:val="22"/>
                <w:szCs w:val="22"/>
                <w:lang w:val="en-GB"/>
              </w:rPr>
              <w:t>5</w:t>
            </w:r>
            <w:r w:rsidR="003C67D8" w:rsidRPr="000F0222">
              <w:rPr>
                <w:sz w:val="22"/>
                <w:szCs w:val="22"/>
                <w:lang w:val="en-GB"/>
              </w:rPr>
              <w:t>9</w:t>
            </w:r>
            <w:r w:rsidR="009058FB" w:rsidRPr="000F0222">
              <w:rPr>
                <w:sz w:val="22"/>
                <w:szCs w:val="22"/>
                <w:lang w:val="en-GB"/>
              </w:rPr>
              <w:t xml:space="preserve">% of the Contracting Parties (CPs) confirmed that </w:t>
            </w:r>
            <w:proofErr w:type="spellStart"/>
            <w:r w:rsidR="009058FB" w:rsidRPr="000F0222">
              <w:rPr>
                <w:sz w:val="22"/>
                <w:szCs w:val="22"/>
                <w:lang w:val="en-GB"/>
              </w:rPr>
              <w:t>waterbird</w:t>
            </w:r>
            <w:proofErr w:type="spellEnd"/>
            <w:r w:rsidR="009058FB" w:rsidRPr="000F0222">
              <w:rPr>
                <w:sz w:val="22"/>
                <w:szCs w:val="22"/>
                <w:lang w:val="en-GB"/>
              </w:rPr>
              <w:t xml:space="preserve"> monitoring schemes for AEWA species are in place in their countries, but only </w:t>
            </w:r>
            <w:r w:rsidR="003C67D8" w:rsidRPr="000F0222">
              <w:rPr>
                <w:sz w:val="22"/>
                <w:szCs w:val="22"/>
                <w:lang w:val="en-GB"/>
              </w:rPr>
              <w:t>9</w:t>
            </w:r>
            <w:r w:rsidR="009058FB" w:rsidRPr="000F0222">
              <w:rPr>
                <w:sz w:val="22"/>
                <w:szCs w:val="22"/>
                <w:lang w:val="en-GB"/>
              </w:rPr>
              <w:t xml:space="preserve">% reported full coverage of all three periods (breeding, passage/migration and non-breeding/wintering). The proportion of CPs reporting either full or partial coverage of all three periods is </w:t>
            </w:r>
            <w:r w:rsidR="009058FB" w:rsidRPr="000F0222">
              <w:rPr>
                <w:sz w:val="22"/>
                <w:szCs w:val="22"/>
                <w:lang w:val="en-GB"/>
              </w:rPr>
              <w:lastRenderedPageBreak/>
              <w:t>significantly higher (</w:t>
            </w:r>
            <w:r w:rsidRPr="000F0222">
              <w:rPr>
                <w:sz w:val="22"/>
                <w:szCs w:val="22"/>
                <w:lang w:val="en-GB"/>
              </w:rPr>
              <w:t>4</w:t>
            </w:r>
            <w:r w:rsidR="003C67D8" w:rsidRPr="000F0222">
              <w:rPr>
                <w:sz w:val="22"/>
                <w:szCs w:val="22"/>
                <w:lang w:val="en-GB"/>
              </w:rPr>
              <w:t>5</w:t>
            </w:r>
            <w:r w:rsidR="009058FB" w:rsidRPr="000F0222">
              <w:rPr>
                <w:sz w:val="22"/>
                <w:szCs w:val="22"/>
                <w:lang w:val="en-GB"/>
              </w:rPr>
              <w:t xml:space="preserve">%). </w:t>
            </w:r>
            <w:r w:rsidR="009058FB" w:rsidRPr="000F0222">
              <w:rPr>
                <w:b/>
                <w:sz w:val="22"/>
                <w:szCs w:val="22"/>
                <w:lang w:val="en-GB"/>
              </w:rPr>
              <w:t>Further details and closer analysis of national monitoring schemes will be useful.</w:t>
            </w:r>
          </w:p>
          <w:p w14:paraId="7C6734C6" w14:textId="77777777" w:rsidR="001A6E8E" w:rsidRPr="000F0222" w:rsidRDefault="001A6E8E" w:rsidP="009058FB">
            <w:pPr>
              <w:rPr>
                <w:b/>
                <w:sz w:val="22"/>
                <w:szCs w:val="22"/>
                <w:lang w:val="en-GB"/>
              </w:rPr>
            </w:pPr>
          </w:p>
          <w:p w14:paraId="1E609BD3" w14:textId="5252DA37" w:rsidR="001A6E8E" w:rsidRPr="000F0222" w:rsidRDefault="001A6E8E" w:rsidP="009058FB">
            <w:pPr>
              <w:rPr>
                <w:b/>
                <w:sz w:val="22"/>
                <w:szCs w:val="22"/>
                <w:lang w:val="en-GB"/>
              </w:rPr>
            </w:pPr>
            <w:r w:rsidRPr="000F0222">
              <w:rPr>
                <w:b/>
                <w:sz w:val="22"/>
                <w:szCs w:val="22"/>
                <w:lang w:val="en-GB"/>
              </w:rPr>
              <w:t>Change since MOP</w:t>
            </w:r>
            <w:r w:rsidR="003C67D8" w:rsidRPr="000F0222">
              <w:rPr>
                <w:b/>
                <w:sz w:val="22"/>
                <w:szCs w:val="22"/>
                <w:lang w:val="en-GB"/>
              </w:rPr>
              <w:t>4</w:t>
            </w:r>
            <w:r w:rsidRPr="000F0222">
              <w:rPr>
                <w:b/>
                <w:sz w:val="22"/>
                <w:szCs w:val="22"/>
                <w:lang w:val="en-GB"/>
              </w:rPr>
              <w:t xml:space="preserve">: </w:t>
            </w:r>
            <w:r w:rsidR="003C67D8" w:rsidRPr="000F0222">
              <w:rPr>
                <w:sz w:val="22"/>
                <w:szCs w:val="22"/>
                <w:lang w:val="en-GB"/>
              </w:rPr>
              <w:t>Slightly</w:t>
            </w:r>
            <w:r w:rsidR="003C67D8" w:rsidRPr="000F0222">
              <w:rPr>
                <w:b/>
                <w:sz w:val="22"/>
                <w:szCs w:val="22"/>
                <w:lang w:val="en-GB"/>
              </w:rPr>
              <w:t xml:space="preserve"> </w:t>
            </w:r>
            <w:r w:rsidR="003C67D8" w:rsidRPr="000F0222">
              <w:rPr>
                <w:sz w:val="22"/>
                <w:szCs w:val="22"/>
                <w:lang w:val="en-GB"/>
              </w:rPr>
              <w:t>n</w:t>
            </w:r>
            <w:r w:rsidRPr="000F0222">
              <w:rPr>
                <w:sz w:val="22"/>
                <w:szCs w:val="22"/>
                <w:lang w:val="en-GB"/>
              </w:rPr>
              <w:t>egative. All parameters above have declined</w:t>
            </w:r>
            <w:r w:rsidR="003C67D8" w:rsidRPr="000F0222">
              <w:rPr>
                <w:sz w:val="22"/>
                <w:szCs w:val="22"/>
                <w:lang w:val="en-GB"/>
              </w:rPr>
              <w:t xml:space="preserve"> compared to the first assessment in 2012</w:t>
            </w:r>
            <w:r w:rsidRPr="000F0222">
              <w:rPr>
                <w:sz w:val="22"/>
                <w:szCs w:val="22"/>
                <w:lang w:val="en-GB"/>
              </w:rPr>
              <w:t>; however, the category of progress has been retained.</w:t>
            </w:r>
          </w:p>
          <w:p w14:paraId="7B46A5EC" w14:textId="77777777" w:rsidR="009058FB" w:rsidRPr="000F0222" w:rsidRDefault="009058FB" w:rsidP="009058FB">
            <w:pPr>
              <w:rPr>
                <w:sz w:val="22"/>
                <w:szCs w:val="22"/>
                <w:lang w:val="en-GB"/>
              </w:rPr>
            </w:pPr>
          </w:p>
          <w:p w14:paraId="46D23F54" w14:textId="4F8A54FC" w:rsidR="00EF6B19" w:rsidRPr="000F0222" w:rsidRDefault="009058FB" w:rsidP="00EF6B19">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3C67D8" w:rsidRPr="000F0222">
              <w:rPr>
                <w:sz w:val="22"/>
                <w:szCs w:val="22"/>
                <w:lang w:val="en-GB"/>
              </w:rPr>
              <w:t xml:space="preserve">the </w:t>
            </w:r>
            <w:r w:rsidRPr="000F0222">
              <w:rPr>
                <w:sz w:val="22"/>
                <w:szCs w:val="22"/>
                <w:lang w:val="en-GB"/>
              </w:rPr>
              <w:t>AEWA National Reports for the</w:t>
            </w:r>
            <w:r w:rsidR="00EF6B19" w:rsidRPr="000F0222">
              <w:rPr>
                <w:sz w:val="22"/>
                <w:szCs w:val="22"/>
                <w:lang w:val="en-GB"/>
              </w:rPr>
              <w:t xml:space="preserve"> </w:t>
            </w:r>
            <w:r w:rsidR="003C67D8" w:rsidRPr="000F0222">
              <w:rPr>
                <w:sz w:val="22"/>
                <w:szCs w:val="22"/>
                <w:lang w:val="en-GB"/>
              </w:rPr>
              <w:t>T</w:t>
            </w:r>
            <w:r w:rsidRPr="000F0222">
              <w:rPr>
                <w:sz w:val="22"/>
                <w:szCs w:val="22"/>
                <w:lang w:val="en-GB"/>
              </w:rPr>
              <w:t xml:space="preserve">riennium </w:t>
            </w:r>
          </w:p>
          <w:p w14:paraId="3377E5F0" w14:textId="62CB6B1F" w:rsidR="009058FB" w:rsidRPr="000F0222" w:rsidRDefault="00EF6B19" w:rsidP="00EF6B19">
            <w:pPr>
              <w:rPr>
                <w:sz w:val="22"/>
                <w:szCs w:val="22"/>
                <w:lang w:val="en-GB"/>
              </w:rPr>
            </w:pPr>
            <w:r w:rsidRPr="000F0222">
              <w:rPr>
                <w:sz w:val="22"/>
                <w:szCs w:val="22"/>
                <w:lang w:val="en-GB"/>
              </w:rPr>
              <w:t xml:space="preserve">                   </w:t>
            </w:r>
            <w:r w:rsidR="009058FB" w:rsidRPr="000F0222">
              <w:rPr>
                <w:sz w:val="22"/>
                <w:szCs w:val="22"/>
                <w:lang w:val="en-GB"/>
              </w:rPr>
              <w:t>20</w:t>
            </w:r>
            <w:r w:rsidR="001A6E8E" w:rsidRPr="000F0222">
              <w:rPr>
                <w:sz w:val="22"/>
                <w:szCs w:val="22"/>
                <w:lang w:val="en-GB"/>
              </w:rPr>
              <w:t>1</w:t>
            </w:r>
            <w:r w:rsidR="003C67D8" w:rsidRPr="000F0222">
              <w:rPr>
                <w:sz w:val="22"/>
                <w:szCs w:val="22"/>
                <w:lang w:val="en-GB"/>
              </w:rPr>
              <w:t>5</w:t>
            </w:r>
            <w:r w:rsidR="009058FB" w:rsidRPr="000F0222">
              <w:rPr>
                <w:sz w:val="22"/>
                <w:szCs w:val="22"/>
                <w:lang w:val="en-GB"/>
              </w:rPr>
              <w:t>-201</w:t>
            </w:r>
            <w:r w:rsidR="003C67D8" w:rsidRPr="000F0222">
              <w:rPr>
                <w:sz w:val="22"/>
                <w:szCs w:val="22"/>
                <w:lang w:val="en-GB"/>
              </w:rPr>
              <w:t>7</w:t>
            </w:r>
            <w:r w:rsidR="009058FB" w:rsidRPr="000F0222">
              <w:rPr>
                <w:sz w:val="22"/>
                <w:szCs w:val="22"/>
                <w:lang w:val="en-GB"/>
              </w:rPr>
              <w:t xml:space="preserve"> (document AEWA/MOP </w:t>
            </w:r>
            <w:r w:rsidR="003C67D8" w:rsidRPr="000F0222">
              <w:rPr>
                <w:sz w:val="22"/>
                <w:szCs w:val="22"/>
                <w:lang w:val="en-GB"/>
              </w:rPr>
              <w:t>7</w:t>
            </w:r>
            <w:r w:rsidR="009058FB" w:rsidRPr="000F0222">
              <w:rPr>
                <w:sz w:val="22"/>
                <w:szCs w:val="22"/>
                <w:lang w:val="en-GB"/>
              </w:rPr>
              <w:t>.1</w:t>
            </w:r>
            <w:r w:rsidR="003C67D8" w:rsidRPr="000F0222">
              <w:rPr>
                <w:sz w:val="22"/>
                <w:szCs w:val="22"/>
                <w:lang w:val="en-GB"/>
              </w:rPr>
              <w:t>2</w:t>
            </w:r>
            <w:r w:rsidR="009058FB" w:rsidRPr="000F0222">
              <w:rPr>
                <w:sz w:val="22"/>
                <w:szCs w:val="22"/>
                <w:lang w:val="en-GB"/>
              </w:rPr>
              <w:t>)</w:t>
            </w:r>
          </w:p>
          <w:p w14:paraId="19BCF5F7" w14:textId="77777777" w:rsidR="009058FB" w:rsidRPr="000F0222" w:rsidRDefault="009058FB" w:rsidP="009058FB">
            <w:pPr>
              <w:rPr>
                <w:sz w:val="22"/>
                <w:szCs w:val="22"/>
                <w:lang w:val="en-GB"/>
              </w:rPr>
            </w:pPr>
          </w:p>
        </w:tc>
      </w:tr>
      <w:tr w:rsidR="009058FB" w:rsidRPr="004779F8" w14:paraId="371C732C"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1AAB6F9" w14:textId="77777777" w:rsidR="009058FB" w:rsidRPr="000F0222" w:rsidRDefault="009058FB" w:rsidP="009058FB">
            <w:pPr>
              <w:rPr>
                <w:sz w:val="22"/>
                <w:szCs w:val="22"/>
                <w:lang w:val="en-GB"/>
              </w:rPr>
            </w:pPr>
            <w:r w:rsidRPr="000F0222">
              <w:rPr>
                <w:noProof/>
                <w:sz w:val="22"/>
                <w:szCs w:val="22"/>
                <w:lang w:val="en-GB"/>
              </w:rPr>
              <w:lastRenderedPageBreak/>
              <w:drawing>
                <wp:inline distT="0" distB="0" distL="0" distR="0" wp14:anchorId="0B0A0D09" wp14:editId="1BA2DA94">
                  <wp:extent cx="1425039" cy="1068779"/>
                  <wp:effectExtent l="0" t="0" r="0" b="0"/>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D3A4D17" w14:textId="77777777" w:rsidR="009058FB" w:rsidRPr="004779F8" w:rsidRDefault="009058FB" w:rsidP="009058FB">
            <w:pPr>
              <w:rPr>
                <w:b/>
                <w:sz w:val="22"/>
                <w:lang w:val="en-GB"/>
              </w:rPr>
            </w:pPr>
          </w:p>
          <w:p w14:paraId="70AC6077" w14:textId="77777777" w:rsidR="009058FB" w:rsidRPr="00E4475D" w:rsidRDefault="009058FB" w:rsidP="009058FB">
            <w:pPr>
              <w:rPr>
                <w:b/>
                <w:sz w:val="22"/>
                <w:szCs w:val="22"/>
                <w:lang w:val="en-GB"/>
              </w:rPr>
            </w:pPr>
            <w:r w:rsidRPr="00613A29">
              <w:rPr>
                <w:b/>
                <w:sz w:val="22"/>
                <w:lang w:val="en-GB"/>
              </w:rPr>
              <w:t>3.3: Nationally responsible state agencies, acad</w:t>
            </w:r>
            <w:r w:rsidRPr="008C5535">
              <w:rPr>
                <w:b/>
                <w:sz w:val="22"/>
                <w:lang w:val="en-GB"/>
              </w:rPr>
              <w:t xml:space="preserve">emic and other wildlife-related research institutions are encouraged to establish research programmes to support implementation of </w:t>
            </w:r>
            <w:proofErr w:type="spellStart"/>
            <w:r w:rsidRPr="008C5535">
              <w:rPr>
                <w:b/>
                <w:sz w:val="22"/>
                <w:lang w:val="en-GB"/>
              </w:rPr>
              <w:t>waterbird</w:t>
            </w:r>
            <w:proofErr w:type="spellEnd"/>
            <w:r w:rsidRPr="008C5535">
              <w:rPr>
                <w:b/>
                <w:sz w:val="22"/>
                <w:lang w:val="en-GB"/>
              </w:rPr>
              <w:t xml:space="preserve"> conservation priorities</w:t>
            </w:r>
          </w:p>
          <w:p w14:paraId="1FFDB1D7" w14:textId="77777777" w:rsidR="009058FB" w:rsidRPr="00852729"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29C3B47" w14:textId="77777777" w:rsidR="009058FB" w:rsidRPr="004779F8" w:rsidRDefault="009058FB" w:rsidP="009058FB">
            <w:pPr>
              <w:rPr>
                <w:b/>
                <w:sz w:val="22"/>
                <w:szCs w:val="22"/>
                <w:lang w:val="en-GB"/>
              </w:rPr>
            </w:pPr>
          </w:p>
          <w:p w14:paraId="1E9AF926" w14:textId="77777777" w:rsidR="009058FB" w:rsidRPr="004779F8" w:rsidRDefault="009058FB" w:rsidP="009058FB">
            <w:pPr>
              <w:rPr>
                <w:b/>
                <w:sz w:val="22"/>
                <w:szCs w:val="22"/>
                <w:lang w:val="en-GB"/>
              </w:rPr>
            </w:pPr>
            <w:r w:rsidRPr="004779F8">
              <w:rPr>
                <w:b/>
                <w:sz w:val="22"/>
                <w:szCs w:val="22"/>
                <w:lang w:val="en-GB"/>
              </w:rPr>
              <w:t>Ten new AEWA-linked research programmes are established</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3A54DEED" w14:textId="77777777" w:rsidR="009058FB" w:rsidRPr="000F0222" w:rsidRDefault="009058FB" w:rsidP="009058FB">
            <w:pPr>
              <w:rPr>
                <w:sz w:val="22"/>
                <w:szCs w:val="22"/>
                <w:lang w:val="en-GB"/>
              </w:rPr>
            </w:pPr>
          </w:p>
          <w:p w14:paraId="64F905CF" w14:textId="68E985C2" w:rsidR="009058FB" w:rsidRPr="000F0222" w:rsidRDefault="008C4BEF" w:rsidP="009058FB">
            <w:pPr>
              <w:rPr>
                <w:lang w:val="en-GB"/>
              </w:rPr>
            </w:pPr>
            <w:r w:rsidRPr="000F0222">
              <w:rPr>
                <w:lang w:val="en-GB"/>
              </w:rPr>
              <w:t>48</w:t>
            </w:r>
            <w:r w:rsidR="009058FB" w:rsidRPr="000F0222">
              <w:rPr>
                <w:lang w:val="en-GB"/>
              </w:rPr>
              <w:t>% of the Contracting Parties (CPs) reported that research relat</w:t>
            </w:r>
            <w:r w:rsidR="00E919A4">
              <w:rPr>
                <w:lang w:val="en-GB"/>
              </w:rPr>
              <w:t>ing</w:t>
            </w:r>
            <w:r w:rsidR="009058FB" w:rsidRPr="000F0222">
              <w:rPr>
                <w:lang w:val="en-GB"/>
              </w:rPr>
              <w:t xml:space="preserve"> to </w:t>
            </w:r>
            <w:proofErr w:type="spellStart"/>
            <w:r w:rsidR="009058FB" w:rsidRPr="000F0222">
              <w:rPr>
                <w:lang w:val="en-GB"/>
              </w:rPr>
              <w:t>waterbirds</w:t>
            </w:r>
            <w:proofErr w:type="spellEnd"/>
            <w:r w:rsidR="009058FB" w:rsidRPr="000F0222">
              <w:rPr>
                <w:lang w:val="en-GB"/>
              </w:rPr>
              <w:t xml:space="preserve"> and their conservation had been undertaken over the past triennium. </w:t>
            </w:r>
            <w:proofErr w:type="gramStart"/>
            <w:r w:rsidR="00A2715E" w:rsidRPr="000F0222">
              <w:rPr>
                <w:lang w:val="en-GB"/>
              </w:rPr>
              <w:t>A l</w:t>
            </w:r>
            <w:r w:rsidR="009058FB" w:rsidRPr="000F0222">
              <w:rPr>
                <w:lang w:val="en-GB"/>
              </w:rPr>
              <w:t>arge number of</w:t>
            </w:r>
            <w:proofErr w:type="gramEnd"/>
            <w:r w:rsidR="009058FB" w:rsidRPr="000F0222">
              <w:rPr>
                <w:lang w:val="en-GB"/>
              </w:rPr>
              <w:t xml:space="preserve"> projects was listed, although not all of them were initiated in the last triennium and they also have different levels of research objectives. </w:t>
            </w:r>
            <w:r w:rsidR="00594022" w:rsidRPr="000F0222">
              <w:rPr>
                <w:b/>
                <w:lang w:val="en-GB"/>
              </w:rPr>
              <w:t>Definition of</w:t>
            </w:r>
            <w:r w:rsidR="00594022" w:rsidRPr="000F0222">
              <w:rPr>
                <w:lang w:val="en-GB"/>
              </w:rPr>
              <w:t xml:space="preserve"> </w:t>
            </w:r>
            <w:r w:rsidR="00594022" w:rsidRPr="000F0222">
              <w:rPr>
                <w:b/>
                <w:lang w:val="en-GB"/>
              </w:rPr>
              <w:t>f</w:t>
            </w:r>
            <w:r w:rsidR="009058FB" w:rsidRPr="000F0222">
              <w:rPr>
                <w:b/>
                <w:lang w:val="en-GB"/>
              </w:rPr>
              <w:t xml:space="preserve">urther criteria </w:t>
            </w:r>
            <w:r w:rsidR="00594022" w:rsidRPr="000F0222">
              <w:rPr>
                <w:b/>
                <w:lang w:val="en-GB"/>
              </w:rPr>
              <w:t xml:space="preserve">would have been </w:t>
            </w:r>
            <w:r w:rsidR="009058FB" w:rsidRPr="000F0222">
              <w:rPr>
                <w:b/>
                <w:lang w:val="en-GB"/>
              </w:rPr>
              <w:t>need</w:t>
            </w:r>
            <w:r w:rsidR="00594022" w:rsidRPr="000F0222">
              <w:rPr>
                <w:b/>
                <w:lang w:val="en-GB"/>
              </w:rPr>
              <w:t>ed</w:t>
            </w:r>
            <w:r w:rsidR="009058FB" w:rsidRPr="000F0222">
              <w:rPr>
                <w:b/>
                <w:lang w:val="en-GB"/>
              </w:rPr>
              <w:t xml:space="preserve"> for assessing progress towards this target</w:t>
            </w:r>
            <w:r w:rsidR="009058FB" w:rsidRPr="000F0222">
              <w:rPr>
                <w:lang w:val="en-GB"/>
              </w:rPr>
              <w:t>.</w:t>
            </w:r>
          </w:p>
          <w:p w14:paraId="4060BCA0" w14:textId="77777777" w:rsidR="009058FB" w:rsidRPr="000F0222" w:rsidRDefault="009058FB" w:rsidP="009058FB">
            <w:pPr>
              <w:rPr>
                <w:lang w:val="en-GB"/>
              </w:rPr>
            </w:pPr>
          </w:p>
          <w:p w14:paraId="5A312B94" w14:textId="61BD6553" w:rsidR="00A2261C" w:rsidRPr="000F0222" w:rsidRDefault="00A2261C" w:rsidP="009058FB">
            <w:pPr>
              <w:rPr>
                <w:lang w:val="en-GB"/>
              </w:rPr>
            </w:pPr>
            <w:r w:rsidRPr="000F0222">
              <w:rPr>
                <w:b/>
                <w:lang w:val="en-GB"/>
              </w:rPr>
              <w:t>Change since MOP</w:t>
            </w:r>
            <w:r w:rsidR="00F24C00" w:rsidRPr="000F0222">
              <w:rPr>
                <w:b/>
                <w:lang w:val="en-GB"/>
              </w:rPr>
              <w:t>4</w:t>
            </w:r>
            <w:r w:rsidRPr="000F0222">
              <w:rPr>
                <w:b/>
                <w:lang w:val="en-GB"/>
              </w:rPr>
              <w:t>:</w:t>
            </w:r>
            <w:r w:rsidRPr="000F0222">
              <w:rPr>
                <w:lang w:val="en-GB"/>
              </w:rPr>
              <w:t xml:space="preserve"> </w:t>
            </w:r>
            <w:r w:rsidR="00F24C00" w:rsidRPr="000F0222">
              <w:rPr>
                <w:lang w:val="en-GB"/>
              </w:rPr>
              <w:t>Unknown.</w:t>
            </w:r>
          </w:p>
          <w:p w14:paraId="2B61A45C" w14:textId="77777777" w:rsidR="00A2261C" w:rsidRPr="000F0222" w:rsidRDefault="00A2261C" w:rsidP="009058FB">
            <w:pPr>
              <w:rPr>
                <w:lang w:val="en-GB"/>
              </w:rPr>
            </w:pPr>
          </w:p>
          <w:p w14:paraId="422E56CA" w14:textId="0400B5E3" w:rsidR="00EF6B19" w:rsidRPr="000F0222" w:rsidRDefault="009058FB" w:rsidP="00EF6B19">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F24C00" w:rsidRPr="000F0222">
              <w:rPr>
                <w:sz w:val="22"/>
                <w:szCs w:val="22"/>
                <w:lang w:val="en-GB"/>
              </w:rPr>
              <w:t xml:space="preserve">the </w:t>
            </w:r>
            <w:r w:rsidRPr="000F0222">
              <w:rPr>
                <w:sz w:val="22"/>
                <w:szCs w:val="22"/>
                <w:lang w:val="en-GB"/>
              </w:rPr>
              <w:t>AEWA National Reports for the</w:t>
            </w:r>
            <w:r w:rsidR="00EF6B19" w:rsidRPr="000F0222">
              <w:rPr>
                <w:sz w:val="22"/>
                <w:szCs w:val="22"/>
                <w:lang w:val="en-GB"/>
              </w:rPr>
              <w:t xml:space="preserve"> </w:t>
            </w:r>
            <w:r w:rsidR="00F24C00" w:rsidRPr="000F0222">
              <w:rPr>
                <w:sz w:val="22"/>
                <w:szCs w:val="22"/>
                <w:lang w:val="en-GB"/>
              </w:rPr>
              <w:t>T</w:t>
            </w:r>
            <w:r w:rsidRPr="000F0222">
              <w:rPr>
                <w:sz w:val="22"/>
                <w:szCs w:val="22"/>
                <w:lang w:val="en-GB"/>
              </w:rPr>
              <w:t xml:space="preserve">riennium </w:t>
            </w:r>
          </w:p>
          <w:p w14:paraId="65E562DA" w14:textId="349FEBB3" w:rsidR="009058FB" w:rsidRPr="000F0222" w:rsidRDefault="00EF6B19" w:rsidP="00EF6B19">
            <w:pPr>
              <w:rPr>
                <w:sz w:val="22"/>
                <w:szCs w:val="22"/>
                <w:lang w:val="en-GB"/>
              </w:rPr>
            </w:pPr>
            <w:r w:rsidRPr="000F0222">
              <w:rPr>
                <w:sz w:val="22"/>
                <w:szCs w:val="22"/>
                <w:lang w:val="en-GB"/>
              </w:rPr>
              <w:t xml:space="preserve">                   </w:t>
            </w:r>
            <w:r w:rsidR="009058FB" w:rsidRPr="000F0222">
              <w:rPr>
                <w:sz w:val="22"/>
                <w:szCs w:val="22"/>
                <w:lang w:val="en-GB"/>
              </w:rPr>
              <w:t>20</w:t>
            </w:r>
            <w:r w:rsidR="00A2261C" w:rsidRPr="000F0222">
              <w:rPr>
                <w:sz w:val="22"/>
                <w:szCs w:val="22"/>
                <w:lang w:val="en-GB"/>
              </w:rPr>
              <w:t>1</w:t>
            </w:r>
            <w:r w:rsidR="00F24C00" w:rsidRPr="000F0222">
              <w:rPr>
                <w:sz w:val="22"/>
                <w:szCs w:val="22"/>
                <w:lang w:val="en-GB"/>
              </w:rPr>
              <w:t>5</w:t>
            </w:r>
            <w:r w:rsidR="009058FB" w:rsidRPr="000F0222">
              <w:rPr>
                <w:sz w:val="22"/>
                <w:szCs w:val="22"/>
                <w:lang w:val="en-GB"/>
              </w:rPr>
              <w:t>-201</w:t>
            </w:r>
            <w:r w:rsidR="00F24C00" w:rsidRPr="000F0222">
              <w:rPr>
                <w:sz w:val="22"/>
                <w:szCs w:val="22"/>
                <w:lang w:val="en-GB"/>
              </w:rPr>
              <w:t>7</w:t>
            </w:r>
            <w:r w:rsidR="009058FB" w:rsidRPr="000F0222">
              <w:rPr>
                <w:sz w:val="22"/>
                <w:szCs w:val="22"/>
                <w:lang w:val="en-GB"/>
              </w:rPr>
              <w:t xml:space="preserve"> (document AEWA/MOP </w:t>
            </w:r>
            <w:r w:rsidR="00F24C00" w:rsidRPr="000F0222">
              <w:rPr>
                <w:sz w:val="22"/>
                <w:szCs w:val="22"/>
                <w:lang w:val="en-GB"/>
              </w:rPr>
              <w:t>7</w:t>
            </w:r>
            <w:r w:rsidR="009058FB" w:rsidRPr="000F0222">
              <w:rPr>
                <w:sz w:val="22"/>
                <w:szCs w:val="22"/>
                <w:lang w:val="en-GB"/>
              </w:rPr>
              <w:t>.1</w:t>
            </w:r>
            <w:r w:rsidR="00F24C00" w:rsidRPr="000F0222">
              <w:rPr>
                <w:sz w:val="22"/>
                <w:szCs w:val="22"/>
                <w:lang w:val="en-GB"/>
              </w:rPr>
              <w:t>2</w:t>
            </w:r>
            <w:r w:rsidR="009058FB" w:rsidRPr="000F0222">
              <w:rPr>
                <w:sz w:val="22"/>
                <w:szCs w:val="22"/>
                <w:lang w:val="en-GB"/>
              </w:rPr>
              <w:t>)</w:t>
            </w:r>
          </w:p>
          <w:p w14:paraId="2C0E2E8C" w14:textId="77777777" w:rsidR="009058FB" w:rsidRPr="000F0222" w:rsidRDefault="009058FB" w:rsidP="009058FB">
            <w:pPr>
              <w:rPr>
                <w:sz w:val="22"/>
                <w:szCs w:val="22"/>
                <w:lang w:val="en-GB"/>
              </w:rPr>
            </w:pPr>
          </w:p>
        </w:tc>
      </w:tr>
      <w:tr w:rsidR="009058FB" w:rsidRPr="004779F8" w14:paraId="70011A4A"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597B2F4E" w14:textId="77777777" w:rsidR="009058FB" w:rsidRPr="004779F8" w:rsidRDefault="009058FB" w:rsidP="009058FB">
            <w:pPr>
              <w:rPr>
                <w:noProof/>
                <w:sz w:val="22"/>
                <w:szCs w:val="22"/>
                <w:lang w:val="en-GB" w:eastAsia="en-GB"/>
              </w:rPr>
            </w:pPr>
            <w:r w:rsidRPr="000F0222">
              <w:rPr>
                <w:noProof/>
                <w:sz w:val="22"/>
                <w:szCs w:val="22"/>
                <w:lang w:val="en-GB"/>
              </w:rPr>
              <w:drawing>
                <wp:inline distT="0" distB="0" distL="0" distR="0" wp14:anchorId="51A81E1B" wp14:editId="3997D072">
                  <wp:extent cx="1425039" cy="1068779"/>
                  <wp:effectExtent l="0" t="0" r="0"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5D2B8BF" w14:textId="77777777" w:rsidR="009058FB" w:rsidRPr="00613A29" w:rsidRDefault="009058FB" w:rsidP="009058FB">
            <w:pPr>
              <w:rPr>
                <w:b/>
                <w:sz w:val="22"/>
                <w:lang w:val="en-GB"/>
              </w:rPr>
            </w:pPr>
          </w:p>
          <w:p w14:paraId="6006696D" w14:textId="77777777" w:rsidR="009058FB" w:rsidRPr="00E4475D" w:rsidRDefault="009058FB" w:rsidP="009058FB">
            <w:pPr>
              <w:rPr>
                <w:b/>
                <w:sz w:val="22"/>
                <w:lang w:val="en-GB"/>
              </w:rPr>
            </w:pPr>
            <w:r w:rsidRPr="00613A29">
              <w:rPr>
                <w:b/>
                <w:sz w:val="22"/>
                <w:lang w:val="en-GB"/>
              </w:rPr>
              <w:t xml:space="preserve">3.4: </w:t>
            </w:r>
            <w:r w:rsidRPr="008C5535">
              <w:rPr>
                <w:b/>
                <w:sz w:val="22"/>
                <w:lang w:val="en-GB"/>
              </w:rPr>
              <w:t xml:space="preserve">Best practices, including traditional knowledge, for </w:t>
            </w:r>
            <w:proofErr w:type="spellStart"/>
            <w:r w:rsidRPr="008C5535">
              <w:rPr>
                <w:b/>
                <w:sz w:val="22"/>
                <w:lang w:val="en-GB"/>
              </w:rPr>
              <w:t>waterbird</w:t>
            </w:r>
            <w:proofErr w:type="spellEnd"/>
            <w:r w:rsidRPr="008C5535">
              <w:rPr>
                <w:b/>
                <w:sz w:val="22"/>
                <w:lang w:val="en-GB"/>
              </w:rPr>
              <w:t xml:space="preserve"> conservation programmes are collated and incorporated</w:t>
            </w:r>
          </w:p>
          <w:p w14:paraId="710765F8" w14:textId="77777777" w:rsidR="009058FB" w:rsidRPr="00852729"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43DFC019" w14:textId="77777777" w:rsidR="009058FB" w:rsidRPr="004779F8" w:rsidRDefault="009058FB" w:rsidP="009058FB">
            <w:pPr>
              <w:rPr>
                <w:b/>
                <w:sz w:val="22"/>
                <w:szCs w:val="22"/>
                <w:lang w:val="en-GB"/>
              </w:rPr>
            </w:pPr>
          </w:p>
          <w:p w14:paraId="79D95339" w14:textId="77777777" w:rsidR="009058FB" w:rsidRPr="004779F8" w:rsidRDefault="009058FB" w:rsidP="009058FB">
            <w:pPr>
              <w:rPr>
                <w:b/>
                <w:sz w:val="22"/>
                <w:szCs w:val="22"/>
                <w:lang w:val="en-GB"/>
              </w:rPr>
            </w:pPr>
            <w:r w:rsidRPr="004779F8">
              <w:rPr>
                <w:b/>
                <w:sz w:val="22"/>
                <w:szCs w:val="22"/>
                <w:lang w:val="en-GB"/>
              </w:rPr>
              <w:t xml:space="preserve">50 best practices collated and published at </w:t>
            </w:r>
            <w:hyperlink r:id="rId60" w:history="1">
              <w:r w:rsidRPr="004779F8">
                <w:rPr>
                  <w:rStyle w:val="Hyperlink"/>
                  <w:b/>
                  <w:sz w:val="22"/>
                  <w:szCs w:val="22"/>
                  <w:lang w:val="en-GB"/>
                </w:rPr>
                <w:t>www.conservationevidence.com</w:t>
              </w:r>
            </w:hyperlink>
            <w:r w:rsidRPr="004779F8">
              <w:rPr>
                <w:b/>
                <w:sz w:val="22"/>
                <w:szCs w:val="22"/>
                <w:lang w:val="en-GB"/>
              </w:rPr>
              <w:t xml:space="preserve"> </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215AB13D" w14:textId="77777777" w:rsidR="009058FB" w:rsidRPr="000F0222" w:rsidRDefault="009058FB" w:rsidP="009058FB">
            <w:pPr>
              <w:rPr>
                <w:sz w:val="22"/>
                <w:szCs w:val="22"/>
                <w:lang w:val="en-GB"/>
              </w:rPr>
            </w:pPr>
          </w:p>
          <w:p w14:paraId="2F4E2AA2" w14:textId="77777777" w:rsidR="009058FB" w:rsidRPr="000F0222" w:rsidRDefault="009058FB" w:rsidP="009058FB">
            <w:pPr>
              <w:rPr>
                <w:sz w:val="22"/>
                <w:szCs w:val="22"/>
                <w:lang w:val="en-GB"/>
              </w:rPr>
            </w:pPr>
            <w:r w:rsidRPr="000F0222">
              <w:rPr>
                <w:sz w:val="22"/>
                <w:szCs w:val="22"/>
                <w:lang w:val="en-GB"/>
              </w:rPr>
              <w:t>Not assessed.</w:t>
            </w:r>
          </w:p>
          <w:p w14:paraId="64C6488A" w14:textId="77777777" w:rsidR="00A548B0" w:rsidRPr="000F0222" w:rsidRDefault="00A548B0" w:rsidP="009058FB">
            <w:pPr>
              <w:rPr>
                <w:sz w:val="22"/>
                <w:szCs w:val="22"/>
                <w:lang w:val="en-GB"/>
              </w:rPr>
            </w:pPr>
          </w:p>
          <w:p w14:paraId="25D9BF1C" w14:textId="548BDD6D" w:rsidR="00A548B0" w:rsidRPr="000F0222" w:rsidRDefault="00A548B0" w:rsidP="00A548B0">
            <w:pPr>
              <w:rPr>
                <w:lang w:val="en-GB"/>
              </w:rPr>
            </w:pPr>
            <w:r w:rsidRPr="000F0222">
              <w:rPr>
                <w:b/>
                <w:lang w:val="en-GB"/>
              </w:rPr>
              <w:t>Change since MOP</w:t>
            </w:r>
            <w:r w:rsidR="00F24C00" w:rsidRPr="000F0222">
              <w:rPr>
                <w:b/>
                <w:lang w:val="en-GB"/>
              </w:rPr>
              <w:t>4</w:t>
            </w:r>
            <w:r w:rsidRPr="000F0222">
              <w:rPr>
                <w:b/>
                <w:lang w:val="en-GB"/>
              </w:rPr>
              <w:t>:</w:t>
            </w:r>
            <w:r w:rsidRPr="000F0222">
              <w:rPr>
                <w:lang w:val="en-GB"/>
              </w:rPr>
              <w:t xml:space="preserve"> </w:t>
            </w:r>
            <w:r w:rsidR="00F24C00" w:rsidRPr="000F0222">
              <w:rPr>
                <w:lang w:val="en-GB"/>
              </w:rPr>
              <w:t>Unknown</w:t>
            </w:r>
            <w:r w:rsidRPr="000F0222">
              <w:rPr>
                <w:lang w:val="en-GB"/>
              </w:rPr>
              <w:t>.</w:t>
            </w:r>
          </w:p>
          <w:p w14:paraId="2D855B02" w14:textId="77777777" w:rsidR="00A548B0" w:rsidRPr="000F0222" w:rsidRDefault="00A548B0" w:rsidP="009058FB">
            <w:pPr>
              <w:rPr>
                <w:sz w:val="22"/>
                <w:szCs w:val="22"/>
                <w:lang w:val="en-GB"/>
              </w:rPr>
            </w:pPr>
          </w:p>
        </w:tc>
      </w:tr>
      <w:tr w:rsidR="009058FB" w:rsidRPr="004779F8" w14:paraId="2FEA8465"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55A7C6B" w14:textId="77777777" w:rsidR="009058FB" w:rsidRPr="004779F8" w:rsidRDefault="009058FB" w:rsidP="009058FB">
            <w:pPr>
              <w:rPr>
                <w:noProof/>
                <w:sz w:val="22"/>
                <w:szCs w:val="22"/>
                <w:lang w:val="en-GB" w:eastAsia="en-GB"/>
              </w:rPr>
            </w:pPr>
            <w:r w:rsidRPr="000F0222">
              <w:rPr>
                <w:noProof/>
                <w:sz w:val="22"/>
                <w:szCs w:val="22"/>
                <w:lang w:val="en-GB"/>
              </w:rPr>
              <w:lastRenderedPageBreak/>
              <w:drawing>
                <wp:inline distT="0" distB="0" distL="0" distR="0" wp14:anchorId="102468B4" wp14:editId="5FD17936">
                  <wp:extent cx="1425039" cy="1080655"/>
                  <wp:effectExtent l="0" t="0" r="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B6418AC" w14:textId="77777777" w:rsidR="009058FB" w:rsidRPr="00613A29" w:rsidRDefault="009058FB" w:rsidP="009058FB">
            <w:pPr>
              <w:rPr>
                <w:b/>
                <w:sz w:val="22"/>
                <w:lang w:val="en-GB"/>
              </w:rPr>
            </w:pPr>
          </w:p>
          <w:p w14:paraId="3A134571" w14:textId="77777777" w:rsidR="009058FB" w:rsidRPr="00E4475D" w:rsidRDefault="009058FB" w:rsidP="009058FB">
            <w:pPr>
              <w:rPr>
                <w:b/>
                <w:sz w:val="22"/>
                <w:szCs w:val="22"/>
                <w:lang w:val="en-GB"/>
              </w:rPr>
            </w:pPr>
            <w:r w:rsidRPr="00613A29">
              <w:rPr>
                <w:b/>
                <w:sz w:val="22"/>
                <w:lang w:val="en-GB"/>
              </w:rPr>
              <w:t xml:space="preserve">3.5: </w:t>
            </w:r>
            <w:r w:rsidRPr="008C5535">
              <w:rPr>
                <w:b/>
                <w:sz w:val="22"/>
                <w:lang w:val="en-GB"/>
              </w:rPr>
              <w:t xml:space="preserve">Sharing and accessibility of relevant data and information are enhanced </w:t>
            </w:r>
            <w:proofErr w:type="gramStart"/>
            <w:r w:rsidRPr="008C5535">
              <w:rPr>
                <w:b/>
                <w:sz w:val="22"/>
                <w:lang w:val="en-GB"/>
              </w:rPr>
              <w:t>so as to</w:t>
            </w:r>
            <w:proofErr w:type="gramEnd"/>
            <w:r w:rsidRPr="008C5535">
              <w:rPr>
                <w:b/>
                <w:sz w:val="22"/>
                <w:lang w:val="en-GB"/>
              </w:rPr>
              <w:t xml:space="preserve"> underpin relevant conservation decision- making</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05BDA6B" w14:textId="77777777" w:rsidR="009058FB" w:rsidRPr="00852729" w:rsidRDefault="009058FB" w:rsidP="009058FB">
            <w:pPr>
              <w:rPr>
                <w:b/>
                <w:sz w:val="22"/>
                <w:szCs w:val="22"/>
                <w:lang w:val="en-GB"/>
              </w:rPr>
            </w:pPr>
          </w:p>
          <w:p w14:paraId="2ED6F099" w14:textId="77777777" w:rsidR="009058FB" w:rsidRPr="004779F8" w:rsidRDefault="009058FB" w:rsidP="009058FB">
            <w:pPr>
              <w:rPr>
                <w:b/>
                <w:sz w:val="22"/>
                <w:szCs w:val="22"/>
                <w:lang w:val="en-GB"/>
              </w:rPr>
            </w:pPr>
            <w:r w:rsidRPr="004779F8">
              <w:rPr>
                <w:b/>
                <w:sz w:val="22"/>
                <w:szCs w:val="22"/>
                <w:lang w:val="en-GB"/>
              </w:rPr>
              <w:t xml:space="preserve">Web-based list of research related to </w:t>
            </w:r>
            <w:proofErr w:type="spellStart"/>
            <w:r w:rsidRPr="004779F8">
              <w:rPr>
                <w:b/>
                <w:sz w:val="22"/>
                <w:szCs w:val="22"/>
                <w:lang w:val="en-GB"/>
              </w:rPr>
              <w:t>waterbirds</w:t>
            </w:r>
            <w:proofErr w:type="spellEnd"/>
            <w:r w:rsidRPr="004779F8">
              <w:rPr>
                <w:b/>
                <w:sz w:val="22"/>
                <w:szCs w:val="22"/>
                <w:lang w:val="en-GB"/>
              </w:rPr>
              <w:t xml:space="preserve"> and their conservation in each CP per triennium</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6D8DA21" w14:textId="77777777" w:rsidR="009058FB" w:rsidRPr="000F0222" w:rsidRDefault="009058FB" w:rsidP="009058FB">
            <w:pPr>
              <w:rPr>
                <w:sz w:val="22"/>
                <w:szCs w:val="22"/>
                <w:lang w:val="en-GB"/>
              </w:rPr>
            </w:pPr>
          </w:p>
          <w:p w14:paraId="4834CE79" w14:textId="544E48D5" w:rsidR="009058FB" w:rsidRPr="000F0222" w:rsidRDefault="00A2715E" w:rsidP="009058FB">
            <w:pPr>
              <w:rPr>
                <w:sz w:val="22"/>
                <w:szCs w:val="22"/>
                <w:lang w:val="en-GB"/>
              </w:rPr>
            </w:pPr>
            <w:proofErr w:type="gramStart"/>
            <w:r w:rsidRPr="000F0222">
              <w:rPr>
                <w:sz w:val="22"/>
                <w:szCs w:val="22"/>
                <w:lang w:val="en-GB"/>
              </w:rPr>
              <w:t>A l</w:t>
            </w:r>
            <w:r w:rsidR="009058FB" w:rsidRPr="000F0222">
              <w:rPr>
                <w:sz w:val="22"/>
                <w:szCs w:val="22"/>
                <w:lang w:val="en-GB"/>
              </w:rPr>
              <w:t>arge number of</w:t>
            </w:r>
            <w:proofErr w:type="gramEnd"/>
            <w:r w:rsidR="009058FB" w:rsidRPr="000F0222">
              <w:rPr>
                <w:sz w:val="22"/>
                <w:szCs w:val="22"/>
                <w:lang w:val="en-GB"/>
              </w:rPr>
              <w:t xml:space="preserve"> projects was listed by 5</w:t>
            </w:r>
            <w:r w:rsidR="00C0462F" w:rsidRPr="000F0222">
              <w:rPr>
                <w:sz w:val="22"/>
                <w:szCs w:val="22"/>
                <w:lang w:val="en-GB"/>
              </w:rPr>
              <w:t>5</w:t>
            </w:r>
            <w:r w:rsidR="009058FB" w:rsidRPr="000F0222">
              <w:rPr>
                <w:sz w:val="22"/>
                <w:szCs w:val="22"/>
                <w:lang w:val="en-GB"/>
              </w:rPr>
              <w:t>% the Contracting Parties reporting to MOP</w:t>
            </w:r>
            <w:r w:rsidR="00C0462F" w:rsidRPr="000F0222">
              <w:rPr>
                <w:sz w:val="22"/>
                <w:szCs w:val="22"/>
                <w:lang w:val="en-GB"/>
              </w:rPr>
              <w:t>7</w:t>
            </w:r>
            <w:r w:rsidR="009058FB" w:rsidRPr="000F0222">
              <w:rPr>
                <w:sz w:val="22"/>
                <w:szCs w:val="22"/>
                <w:lang w:val="en-GB"/>
              </w:rPr>
              <w:t>. However, this list is still not readily accessible and searchable</w:t>
            </w:r>
            <w:r w:rsidRPr="000F0222">
              <w:rPr>
                <w:sz w:val="22"/>
                <w:szCs w:val="22"/>
                <w:lang w:val="en-GB"/>
              </w:rPr>
              <w:t>,</w:t>
            </w:r>
            <w:r w:rsidR="009058FB" w:rsidRPr="000F0222">
              <w:rPr>
                <w:sz w:val="22"/>
                <w:szCs w:val="22"/>
                <w:lang w:val="en-GB"/>
              </w:rPr>
              <w:t xml:space="preserve"> which </w:t>
            </w:r>
            <w:r w:rsidR="009058FB" w:rsidRPr="000F0222">
              <w:rPr>
                <w:b/>
                <w:sz w:val="22"/>
                <w:szCs w:val="22"/>
                <w:lang w:val="en-GB"/>
              </w:rPr>
              <w:t>can be addressed through the development of an analytical tool to the CMS Family Online Reporting System</w:t>
            </w:r>
            <w:r w:rsidR="009058FB" w:rsidRPr="000F0222">
              <w:rPr>
                <w:sz w:val="22"/>
                <w:szCs w:val="22"/>
                <w:lang w:val="en-GB"/>
              </w:rPr>
              <w:t>.</w:t>
            </w:r>
          </w:p>
          <w:p w14:paraId="2CE1D16C" w14:textId="77777777" w:rsidR="009058FB" w:rsidRPr="000F0222" w:rsidRDefault="009058FB" w:rsidP="009058FB">
            <w:pPr>
              <w:rPr>
                <w:sz w:val="22"/>
                <w:szCs w:val="22"/>
                <w:lang w:val="en-GB"/>
              </w:rPr>
            </w:pPr>
          </w:p>
          <w:p w14:paraId="6E2BF16D" w14:textId="5A4D05B8" w:rsidR="00217C7B" w:rsidRPr="000F0222" w:rsidRDefault="00217C7B" w:rsidP="009058FB">
            <w:pPr>
              <w:rPr>
                <w:sz w:val="22"/>
                <w:szCs w:val="22"/>
                <w:lang w:val="en-GB"/>
              </w:rPr>
            </w:pPr>
            <w:r w:rsidRPr="000F0222">
              <w:rPr>
                <w:b/>
                <w:sz w:val="22"/>
                <w:szCs w:val="22"/>
                <w:lang w:val="en-GB"/>
              </w:rPr>
              <w:t>Change since MOP</w:t>
            </w:r>
            <w:r w:rsidR="003B06D3" w:rsidRPr="000F0222">
              <w:rPr>
                <w:b/>
                <w:sz w:val="22"/>
                <w:szCs w:val="22"/>
                <w:lang w:val="en-GB"/>
              </w:rPr>
              <w:t>4</w:t>
            </w:r>
            <w:r w:rsidRPr="000F0222">
              <w:rPr>
                <w:b/>
                <w:sz w:val="22"/>
                <w:szCs w:val="22"/>
                <w:lang w:val="en-GB"/>
              </w:rPr>
              <w:t>:</w:t>
            </w:r>
            <w:r w:rsidRPr="000F0222">
              <w:rPr>
                <w:sz w:val="22"/>
                <w:szCs w:val="22"/>
                <w:lang w:val="en-GB"/>
              </w:rPr>
              <w:t xml:space="preserve"> No change. </w:t>
            </w:r>
          </w:p>
          <w:p w14:paraId="26D9D098" w14:textId="77777777" w:rsidR="00217C7B" w:rsidRPr="000F0222" w:rsidRDefault="00217C7B" w:rsidP="009058FB">
            <w:pPr>
              <w:rPr>
                <w:sz w:val="22"/>
                <w:szCs w:val="22"/>
                <w:lang w:val="en-GB"/>
              </w:rPr>
            </w:pPr>
          </w:p>
          <w:p w14:paraId="105ED6DF" w14:textId="57E144BA" w:rsidR="00EF6B19" w:rsidRPr="000F0222" w:rsidRDefault="009058FB" w:rsidP="00EF6B19">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3B06D3" w:rsidRPr="000F0222">
              <w:rPr>
                <w:sz w:val="22"/>
                <w:szCs w:val="22"/>
                <w:lang w:val="en-GB"/>
              </w:rPr>
              <w:t xml:space="preserve">the </w:t>
            </w:r>
            <w:r w:rsidRPr="000F0222">
              <w:rPr>
                <w:sz w:val="22"/>
                <w:szCs w:val="22"/>
                <w:lang w:val="en-GB"/>
              </w:rPr>
              <w:t>AEWA National Reports for the</w:t>
            </w:r>
            <w:r w:rsidR="00EF6B19" w:rsidRPr="000F0222">
              <w:rPr>
                <w:sz w:val="22"/>
                <w:szCs w:val="22"/>
                <w:lang w:val="en-GB"/>
              </w:rPr>
              <w:t xml:space="preserve"> </w:t>
            </w:r>
            <w:r w:rsidR="003B06D3" w:rsidRPr="000F0222">
              <w:rPr>
                <w:sz w:val="22"/>
                <w:szCs w:val="22"/>
                <w:lang w:val="en-GB"/>
              </w:rPr>
              <w:t>t</w:t>
            </w:r>
            <w:r w:rsidRPr="000F0222">
              <w:rPr>
                <w:sz w:val="22"/>
                <w:szCs w:val="22"/>
                <w:lang w:val="en-GB"/>
              </w:rPr>
              <w:t xml:space="preserve">riennium </w:t>
            </w:r>
          </w:p>
          <w:p w14:paraId="3E757566" w14:textId="637B0820" w:rsidR="009058FB" w:rsidRPr="000F0222" w:rsidRDefault="00EF6B19" w:rsidP="00EF6B19">
            <w:pPr>
              <w:rPr>
                <w:sz w:val="22"/>
                <w:szCs w:val="22"/>
                <w:lang w:val="en-GB"/>
              </w:rPr>
            </w:pPr>
            <w:r w:rsidRPr="000F0222">
              <w:rPr>
                <w:sz w:val="22"/>
                <w:szCs w:val="22"/>
                <w:lang w:val="en-GB"/>
              </w:rPr>
              <w:t xml:space="preserve">                   </w:t>
            </w:r>
            <w:r w:rsidR="009058FB" w:rsidRPr="000F0222">
              <w:rPr>
                <w:sz w:val="22"/>
                <w:szCs w:val="22"/>
                <w:lang w:val="en-GB"/>
              </w:rPr>
              <w:t>20</w:t>
            </w:r>
            <w:r w:rsidR="00217C7B" w:rsidRPr="000F0222">
              <w:rPr>
                <w:sz w:val="22"/>
                <w:szCs w:val="22"/>
                <w:lang w:val="en-GB"/>
              </w:rPr>
              <w:t>1</w:t>
            </w:r>
            <w:r w:rsidR="003B06D3" w:rsidRPr="000F0222">
              <w:rPr>
                <w:sz w:val="22"/>
                <w:szCs w:val="22"/>
                <w:lang w:val="en-GB"/>
              </w:rPr>
              <w:t>5</w:t>
            </w:r>
            <w:r w:rsidR="009058FB" w:rsidRPr="000F0222">
              <w:rPr>
                <w:sz w:val="22"/>
                <w:szCs w:val="22"/>
                <w:lang w:val="en-GB"/>
              </w:rPr>
              <w:t>-201</w:t>
            </w:r>
            <w:r w:rsidR="003B06D3" w:rsidRPr="000F0222">
              <w:rPr>
                <w:sz w:val="22"/>
                <w:szCs w:val="22"/>
                <w:lang w:val="en-GB"/>
              </w:rPr>
              <w:t>7</w:t>
            </w:r>
            <w:r w:rsidR="009058FB" w:rsidRPr="000F0222">
              <w:rPr>
                <w:sz w:val="22"/>
                <w:szCs w:val="22"/>
                <w:lang w:val="en-GB"/>
              </w:rPr>
              <w:t xml:space="preserve"> (document AEWA/MOP </w:t>
            </w:r>
            <w:r w:rsidR="003B06D3" w:rsidRPr="000F0222">
              <w:rPr>
                <w:sz w:val="22"/>
                <w:szCs w:val="22"/>
                <w:lang w:val="en-GB"/>
              </w:rPr>
              <w:t>7</w:t>
            </w:r>
            <w:r w:rsidR="009058FB" w:rsidRPr="000F0222">
              <w:rPr>
                <w:sz w:val="22"/>
                <w:szCs w:val="22"/>
                <w:lang w:val="en-GB"/>
              </w:rPr>
              <w:t>.1</w:t>
            </w:r>
            <w:r w:rsidR="003B06D3" w:rsidRPr="000F0222">
              <w:rPr>
                <w:sz w:val="22"/>
                <w:szCs w:val="22"/>
                <w:lang w:val="en-GB"/>
              </w:rPr>
              <w:t>2</w:t>
            </w:r>
            <w:r w:rsidR="009058FB" w:rsidRPr="000F0222">
              <w:rPr>
                <w:sz w:val="22"/>
                <w:szCs w:val="22"/>
                <w:lang w:val="en-GB"/>
              </w:rPr>
              <w:t>)</w:t>
            </w:r>
          </w:p>
          <w:p w14:paraId="3B25B055" w14:textId="77777777" w:rsidR="009058FB" w:rsidRPr="000F0222" w:rsidRDefault="009058FB" w:rsidP="009058FB">
            <w:pPr>
              <w:rPr>
                <w:sz w:val="22"/>
                <w:szCs w:val="22"/>
                <w:lang w:val="en-GB"/>
              </w:rPr>
            </w:pPr>
            <w:r w:rsidRPr="000F0222">
              <w:rPr>
                <w:sz w:val="22"/>
                <w:szCs w:val="22"/>
                <w:lang w:val="en-GB"/>
              </w:rPr>
              <w:t xml:space="preserve"> </w:t>
            </w:r>
          </w:p>
        </w:tc>
      </w:tr>
    </w:tbl>
    <w:p w14:paraId="52E5F686" w14:textId="77777777" w:rsidR="009058FB" w:rsidRPr="000F0222" w:rsidRDefault="009058FB" w:rsidP="009058FB">
      <w:pPr>
        <w:rPr>
          <w:lang w:val="en-GB"/>
        </w:rPr>
      </w:pPr>
    </w:p>
    <w:p w14:paraId="5B2F58BB" w14:textId="77777777" w:rsidR="009058FB" w:rsidRPr="00E4475D" w:rsidRDefault="009058FB" w:rsidP="009058FB">
      <w:pPr>
        <w:pageBreakBefore/>
        <w:jc w:val="both"/>
        <w:rPr>
          <w:i/>
          <w:iCs/>
          <w:lang w:val="en-GB"/>
        </w:rPr>
      </w:pPr>
      <w:r w:rsidRPr="004779F8">
        <w:rPr>
          <w:i/>
          <w:lang w:val="en-GB"/>
        </w:rPr>
        <w:lastRenderedPageBreak/>
        <w:t>Table 7. Objective 4: To improve Communic</w:t>
      </w:r>
      <w:r w:rsidRPr="00613A29">
        <w:rPr>
          <w:i/>
          <w:lang w:val="en-GB"/>
        </w:rPr>
        <w:t xml:space="preserve">ation, Education and Public Awareness (CEPA) about migratory </w:t>
      </w:r>
      <w:proofErr w:type="spellStart"/>
      <w:r w:rsidRPr="00613A29">
        <w:rPr>
          <w:i/>
          <w:lang w:val="en-GB"/>
        </w:rPr>
        <w:t>waterbird</w:t>
      </w:r>
      <w:proofErr w:type="spellEnd"/>
      <w:r w:rsidRPr="00613A29">
        <w:rPr>
          <w:i/>
          <w:lang w:val="en-GB"/>
        </w:rPr>
        <w:t xml:space="preserve"> species, their flyways, </w:t>
      </w:r>
      <w:r w:rsidRPr="00613A29">
        <w:rPr>
          <w:i/>
          <w:iCs/>
          <w:lang w:val="en-GB"/>
        </w:rPr>
        <w:t>their role in alleviating poverty,</w:t>
      </w:r>
      <w:r w:rsidRPr="008C5535">
        <w:rPr>
          <w:i/>
          <w:lang w:val="en-GB"/>
        </w:rPr>
        <w:t xml:space="preserve"> threats to them and the measures needed to conserve them and their habitats</w:t>
      </w:r>
    </w:p>
    <w:p w14:paraId="426BE6E9" w14:textId="77777777" w:rsidR="009058FB" w:rsidRPr="000F0222" w:rsidRDefault="009058FB" w:rsidP="009058FB">
      <w:pPr>
        <w:rPr>
          <w:b/>
          <w:lang w:val="en-GB"/>
        </w:rPr>
      </w:pPr>
    </w:p>
    <w:tbl>
      <w:tblPr>
        <w:tblStyle w:val="TableGrid"/>
        <w:tblW w:w="0" w:type="auto"/>
        <w:tblLayout w:type="fixed"/>
        <w:tblLook w:val="04A0" w:firstRow="1" w:lastRow="0" w:firstColumn="1" w:lastColumn="0" w:noHBand="0" w:noVBand="1"/>
      </w:tblPr>
      <w:tblGrid>
        <w:gridCol w:w="2376"/>
        <w:gridCol w:w="2835"/>
        <w:gridCol w:w="2835"/>
        <w:gridCol w:w="6663"/>
      </w:tblGrid>
      <w:tr w:rsidR="009058FB" w:rsidRPr="004779F8" w14:paraId="24766D91" w14:textId="77777777" w:rsidTr="00667721">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0863E7A" w14:textId="77777777" w:rsidR="009058FB" w:rsidRPr="000F0222" w:rsidRDefault="009058FB" w:rsidP="009058FB">
            <w:pPr>
              <w:rPr>
                <w:b/>
                <w:lang w:val="en-GB"/>
              </w:rPr>
            </w:pPr>
            <w:r w:rsidRPr="000F0222">
              <w:rPr>
                <w:b/>
                <w:lang w:val="en-G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17B33F" w14:textId="77777777" w:rsidR="009058FB" w:rsidRPr="000F0222" w:rsidRDefault="009058FB" w:rsidP="009058FB">
            <w:pPr>
              <w:rPr>
                <w:b/>
                <w:lang w:val="en-GB"/>
              </w:rPr>
            </w:pPr>
            <w:r w:rsidRPr="000F0222">
              <w:rPr>
                <w:b/>
                <w:lang w:val="en-G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D446B6E" w14:textId="77777777" w:rsidR="009058FB" w:rsidRPr="000F0222" w:rsidRDefault="009058FB" w:rsidP="009058FB">
            <w:pPr>
              <w:rPr>
                <w:b/>
                <w:lang w:val="en-GB"/>
              </w:rPr>
            </w:pPr>
            <w:r w:rsidRPr="000F0222">
              <w:rPr>
                <w:b/>
                <w:lang w:val="en-GB"/>
              </w:rPr>
              <w:t>Indicator</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4DA1208" w14:textId="77777777" w:rsidR="009058FB" w:rsidRPr="000F0222" w:rsidRDefault="009058FB" w:rsidP="009058FB">
            <w:pPr>
              <w:rPr>
                <w:b/>
                <w:lang w:val="en-GB"/>
              </w:rPr>
            </w:pPr>
            <w:r w:rsidRPr="000F0222">
              <w:rPr>
                <w:b/>
                <w:lang w:val="en-GB"/>
              </w:rPr>
              <w:t>Summary and reference</w:t>
            </w:r>
          </w:p>
          <w:p w14:paraId="1CF2AA27" w14:textId="77777777" w:rsidR="009058FB" w:rsidRPr="000F0222" w:rsidRDefault="009058FB" w:rsidP="009058FB">
            <w:pPr>
              <w:rPr>
                <w:b/>
                <w:lang w:val="en-GB"/>
              </w:rPr>
            </w:pPr>
          </w:p>
        </w:tc>
      </w:tr>
      <w:tr w:rsidR="009058FB" w:rsidRPr="004779F8" w14:paraId="42C1F0D0"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E560D85" w14:textId="77777777" w:rsidR="009058FB" w:rsidRPr="000F0222" w:rsidRDefault="009058FB" w:rsidP="009058FB">
            <w:pPr>
              <w:rPr>
                <w:sz w:val="22"/>
                <w:szCs w:val="22"/>
                <w:lang w:val="en-GB"/>
              </w:rPr>
            </w:pPr>
            <w:r w:rsidRPr="000F0222">
              <w:rPr>
                <w:noProof/>
                <w:sz w:val="22"/>
                <w:szCs w:val="22"/>
                <w:lang w:val="en-GB"/>
              </w:rPr>
              <w:drawing>
                <wp:inline distT="0" distB="0" distL="0" distR="0" wp14:anchorId="0223F2D3" wp14:editId="382732D6">
                  <wp:extent cx="1425039" cy="1080655"/>
                  <wp:effectExtent l="0" t="0" r="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65189D8" w14:textId="77777777" w:rsidR="009058FB" w:rsidRPr="004779F8" w:rsidRDefault="009058FB" w:rsidP="009058FB">
            <w:pPr>
              <w:rPr>
                <w:b/>
                <w:sz w:val="22"/>
                <w:lang w:val="en-GB"/>
              </w:rPr>
            </w:pPr>
          </w:p>
          <w:p w14:paraId="31221E47" w14:textId="77777777" w:rsidR="009058FB" w:rsidRPr="00613A29" w:rsidRDefault="009058FB" w:rsidP="009058FB">
            <w:pPr>
              <w:rPr>
                <w:b/>
                <w:sz w:val="22"/>
                <w:lang w:val="en-GB"/>
              </w:rPr>
            </w:pPr>
            <w:r w:rsidRPr="00613A29">
              <w:rPr>
                <w:b/>
                <w:sz w:val="22"/>
                <w:lang w:val="en-GB"/>
              </w:rPr>
              <w:t>4.1: Support for the implementation of the Communication Strategy (CS) is secured</w:t>
            </w:r>
          </w:p>
          <w:p w14:paraId="04F0588C" w14:textId="77777777" w:rsidR="009058FB" w:rsidRPr="00613A29"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381A2AB" w14:textId="77777777" w:rsidR="009058FB" w:rsidRPr="008C5535" w:rsidRDefault="009058FB" w:rsidP="009058FB">
            <w:pPr>
              <w:rPr>
                <w:b/>
                <w:sz w:val="22"/>
                <w:szCs w:val="22"/>
                <w:lang w:val="en-GB"/>
              </w:rPr>
            </w:pPr>
          </w:p>
          <w:p w14:paraId="6F4A2940" w14:textId="77777777" w:rsidR="009058FB" w:rsidRPr="00852729" w:rsidRDefault="009058FB" w:rsidP="009058FB">
            <w:pPr>
              <w:rPr>
                <w:b/>
                <w:sz w:val="22"/>
                <w:szCs w:val="22"/>
                <w:lang w:val="en-GB"/>
              </w:rPr>
            </w:pPr>
            <w:r w:rsidRPr="00E4475D">
              <w:rPr>
                <w:b/>
                <w:sz w:val="22"/>
                <w:szCs w:val="22"/>
                <w:lang w:val="en-GB"/>
              </w:rPr>
              <w:t>100% funding and other support, as appropriate (</w:t>
            </w:r>
            <w:r w:rsidRPr="00852729">
              <w:rPr>
                <w:b/>
                <w:i/>
                <w:sz w:val="22"/>
                <w:szCs w:val="22"/>
                <w:lang w:val="en-GB"/>
              </w:rPr>
              <w:t>e.g.</w:t>
            </w:r>
            <w:r w:rsidRPr="00852729">
              <w:rPr>
                <w:b/>
                <w:sz w:val="22"/>
                <w:szCs w:val="22"/>
                <w:lang w:val="en-GB"/>
              </w:rPr>
              <w:t xml:space="preserve"> expertise, network, skills and resources), is secured for the Communication Strategy implementation </w:t>
            </w:r>
          </w:p>
          <w:p w14:paraId="0B1D5FC2"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0EF5159" w14:textId="77777777" w:rsidR="009058FB" w:rsidRPr="000F0222" w:rsidRDefault="009058FB" w:rsidP="009058FB">
            <w:pPr>
              <w:rPr>
                <w:sz w:val="22"/>
                <w:szCs w:val="22"/>
                <w:lang w:val="en-GB"/>
              </w:rPr>
            </w:pPr>
          </w:p>
          <w:p w14:paraId="2B6B4C36" w14:textId="67AFEC65" w:rsidR="00D30C66" w:rsidRPr="000F0222" w:rsidRDefault="00D30C66" w:rsidP="00D30C66">
            <w:pPr>
              <w:rPr>
                <w:sz w:val="22"/>
                <w:szCs w:val="22"/>
                <w:lang w:val="en-GB"/>
              </w:rPr>
            </w:pPr>
            <w:r w:rsidRPr="000F0222">
              <w:rPr>
                <w:sz w:val="22"/>
                <w:szCs w:val="22"/>
                <w:lang w:val="en-GB"/>
              </w:rPr>
              <w:t>While no specific assessment of the progress towards the achievement of this target has been made</w:t>
            </w:r>
            <w:r w:rsidR="00063CB1" w:rsidRPr="000F0222">
              <w:rPr>
                <w:sz w:val="22"/>
                <w:szCs w:val="22"/>
                <w:lang w:val="en-GB"/>
              </w:rPr>
              <w:t xml:space="preserve"> at Secretariat level and with only 1</w:t>
            </w:r>
            <w:r w:rsidR="001D62BB" w:rsidRPr="000F0222">
              <w:rPr>
                <w:sz w:val="22"/>
                <w:szCs w:val="22"/>
                <w:lang w:val="en-GB"/>
              </w:rPr>
              <w:t>2</w:t>
            </w:r>
            <w:r w:rsidR="00063CB1" w:rsidRPr="000F0222">
              <w:rPr>
                <w:sz w:val="22"/>
                <w:szCs w:val="22"/>
                <w:lang w:val="en-GB"/>
              </w:rPr>
              <w:t xml:space="preserve">% of CPs reporting financial or other support provided, </w:t>
            </w:r>
            <w:r w:rsidRPr="000F0222">
              <w:rPr>
                <w:sz w:val="22"/>
                <w:szCs w:val="22"/>
                <w:lang w:val="en-GB"/>
              </w:rPr>
              <w:t xml:space="preserve">considering that progress towards a substantial number of other Communication Strategy related </w:t>
            </w:r>
            <w:r w:rsidR="0095473D" w:rsidRPr="000F0222">
              <w:rPr>
                <w:sz w:val="22"/>
                <w:szCs w:val="22"/>
                <w:lang w:val="en-GB"/>
              </w:rPr>
              <w:t>indicators</w:t>
            </w:r>
            <w:r w:rsidRPr="000F0222">
              <w:rPr>
                <w:sz w:val="22"/>
                <w:szCs w:val="22"/>
                <w:lang w:val="en-GB"/>
              </w:rPr>
              <w:t xml:space="preserve"> has been limited and that in those cases funding has been restricted or not available, it w</w:t>
            </w:r>
            <w:r w:rsidR="00E919A4">
              <w:rPr>
                <w:sz w:val="22"/>
                <w:szCs w:val="22"/>
                <w:lang w:val="en-GB"/>
              </w:rPr>
              <w:t>ould</w:t>
            </w:r>
            <w:r w:rsidRPr="000F0222">
              <w:rPr>
                <w:sz w:val="22"/>
                <w:szCs w:val="22"/>
                <w:lang w:val="en-GB"/>
              </w:rPr>
              <w:t xml:space="preserve"> be justified to assess the progress towards target 4.1 as limited.</w:t>
            </w:r>
            <w:r w:rsidR="001D393C" w:rsidRPr="000F0222">
              <w:rPr>
                <w:sz w:val="22"/>
                <w:szCs w:val="22"/>
                <w:lang w:val="en-GB"/>
              </w:rPr>
              <w:t xml:space="preserve"> It should be noted that a new AEWA Communication Strategy was adopted by MOP6 in 2015. </w:t>
            </w:r>
          </w:p>
          <w:p w14:paraId="4E576AB0" w14:textId="77777777" w:rsidR="00D30C66" w:rsidRPr="000F0222" w:rsidRDefault="00D30C66" w:rsidP="009058FB">
            <w:pPr>
              <w:rPr>
                <w:sz w:val="22"/>
                <w:szCs w:val="22"/>
                <w:lang w:val="en-GB"/>
              </w:rPr>
            </w:pPr>
          </w:p>
          <w:p w14:paraId="0AA4CF30" w14:textId="77C61D0E" w:rsidR="00D30C66" w:rsidRPr="000F0222" w:rsidRDefault="00D30C66" w:rsidP="009058FB">
            <w:pPr>
              <w:rPr>
                <w:sz w:val="22"/>
                <w:szCs w:val="22"/>
                <w:lang w:val="en-GB"/>
              </w:rPr>
            </w:pPr>
            <w:r w:rsidRPr="000F0222">
              <w:rPr>
                <w:b/>
                <w:sz w:val="22"/>
                <w:szCs w:val="22"/>
                <w:lang w:val="en-GB"/>
              </w:rPr>
              <w:t>Change since MOP</w:t>
            </w:r>
            <w:r w:rsidR="001D62BB" w:rsidRPr="000F0222">
              <w:rPr>
                <w:b/>
                <w:sz w:val="22"/>
                <w:szCs w:val="22"/>
                <w:lang w:val="en-GB"/>
              </w:rPr>
              <w:t>4</w:t>
            </w:r>
            <w:r w:rsidRPr="000F0222">
              <w:rPr>
                <w:b/>
                <w:sz w:val="22"/>
                <w:szCs w:val="22"/>
                <w:lang w:val="en-GB"/>
              </w:rPr>
              <w:t>:</w:t>
            </w:r>
            <w:r w:rsidRPr="000F0222">
              <w:rPr>
                <w:sz w:val="22"/>
                <w:szCs w:val="22"/>
                <w:lang w:val="en-GB"/>
              </w:rPr>
              <w:t xml:space="preserve"> Unknown.</w:t>
            </w:r>
          </w:p>
          <w:p w14:paraId="6FAD1178" w14:textId="77777777" w:rsidR="009058FB" w:rsidRPr="000F0222" w:rsidRDefault="009058FB" w:rsidP="009058FB">
            <w:pPr>
              <w:rPr>
                <w:sz w:val="22"/>
                <w:szCs w:val="22"/>
                <w:lang w:val="en-GB"/>
              </w:rPr>
            </w:pPr>
          </w:p>
          <w:p w14:paraId="4891CD19" w14:textId="065593E8" w:rsidR="00EF6B19" w:rsidRPr="000F0222" w:rsidRDefault="009058FB" w:rsidP="00EF6B19">
            <w:pPr>
              <w:rPr>
                <w:sz w:val="22"/>
                <w:szCs w:val="22"/>
                <w:lang w:val="en-GB"/>
              </w:rPr>
            </w:pPr>
            <w:r w:rsidRPr="000F0222">
              <w:rPr>
                <w:b/>
                <w:sz w:val="22"/>
                <w:szCs w:val="22"/>
                <w:lang w:val="en-GB"/>
              </w:rPr>
              <w:t xml:space="preserve">Reference: </w:t>
            </w:r>
            <w:r w:rsidR="00063CB1" w:rsidRPr="000F0222">
              <w:rPr>
                <w:sz w:val="22"/>
                <w:szCs w:val="22"/>
                <w:lang w:val="en-GB"/>
              </w:rPr>
              <w:t xml:space="preserve">Analysis of </w:t>
            </w:r>
            <w:r w:rsidR="001D62BB" w:rsidRPr="000F0222">
              <w:rPr>
                <w:sz w:val="22"/>
                <w:szCs w:val="22"/>
                <w:lang w:val="en-GB"/>
              </w:rPr>
              <w:t xml:space="preserve">the </w:t>
            </w:r>
            <w:r w:rsidR="00063CB1" w:rsidRPr="000F0222">
              <w:rPr>
                <w:sz w:val="22"/>
                <w:szCs w:val="22"/>
                <w:lang w:val="en-GB"/>
              </w:rPr>
              <w:t>AEWA National Reports for the</w:t>
            </w:r>
            <w:r w:rsidR="00EF6B19" w:rsidRPr="000F0222">
              <w:rPr>
                <w:sz w:val="22"/>
                <w:szCs w:val="22"/>
                <w:lang w:val="en-GB"/>
              </w:rPr>
              <w:t xml:space="preserve"> </w:t>
            </w:r>
            <w:r w:rsidR="001D62BB" w:rsidRPr="000F0222">
              <w:rPr>
                <w:sz w:val="22"/>
                <w:szCs w:val="22"/>
                <w:lang w:val="en-GB"/>
              </w:rPr>
              <w:t>T</w:t>
            </w:r>
            <w:r w:rsidR="00063CB1" w:rsidRPr="000F0222">
              <w:rPr>
                <w:sz w:val="22"/>
                <w:szCs w:val="22"/>
                <w:lang w:val="en-GB"/>
              </w:rPr>
              <w:t xml:space="preserve">riennium </w:t>
            </w:r>
          </w:p>
          <w:p w14:paraId="197BA102" w14:textId="1AAC3A84" w:rsidR="009058FB" w:rsidRPr="000F0222" w:rsidRDefault="00EF6B19" w:rsidP="00EF6B19">
            <w:pPr>
              <w:rPr>
                <w:sz w:val="22"/>
                <w:szCs w:val="22"/>
                <w:lang w:val="en-GB"/>
              </w:rPr>
            </w:pPr>
            <w:r w:rsidRPr="000F0222">
              <w:rPr>
                <w:sz w:val="22"/>
                <w:szCs w:val="22"/>
                <w:lang w:val="en-GB"/>
              </w:rPr>
              <w:t xml:space="preserve">                   </w:t>
            </w:r>
            <w:r w:rsidR="00063CB1" w:rsidRPr="000F0222">
              <w:rPr>
                <w:sz w:val="22"/>
                <w:szCs w:val="22"/>
                <w:lang w:val="en-GB"/>
              </w:rPr>
              <w:t>201</w:t>
            </w:r>
            <w:r w:rsidR="001D62BB" w:rsidRPr="000F0222">
              <w:rPr>
                <w:sz w:val="22"/>
                <w:szCs w:val="22"/>
                <w:lang w:val="en-GB"/>
              </w:rPr>
              <w:t>5</w:t>
            </w:r>
            <w:r w:rsidR="00063CB1" w:rsidRPr="000F0222">
              <w:rPr>
                <w:sz w:val="22"/>
                <w:szCs w:val="22"/>
                <w:lang w:val="en-GB"/>
              </w:rPr>
              <w:t>-201</w:t>
            </w:r>
            <w:r w:rsidR="001D62BB" w:rsidRPr="000F0222">
              <w:rPr>
                <w:sz w:val="22"/>
                <w:szCs w:val="22"/>
                <w:lang w:val="en-GB"/>
              </w:rPr>
              <w:t>7</w:t>
            </w:r>
            <w:r w:rsidR="00063CB1" w:rsidRPr="000F0222">
              <w:rPr>
                <w:sz w:val="22"/>
                <w:szCs w:val="22"/>
                <w:lang w:val="en-GB"/>
              </w:rPr>
              <w:t xml:space="preserve"> (document AEWA/MOP </w:t>
            </w:r>
            <w:r w:rsidR="001D62BB" w:rsidRPr="000F0222">
              <w:rPr>
                <w:sz w:val="22"/>
                <w:szCs w:val="22"/>
                <w:lang w:val="en-GB"/>
              </w:rPr>
              <w:t>7</w:t>
            </w:r>
            <w:r w:rsidR="00063CB1" w:rsidRPr="000F0222">
              <w:rPr>
                <w:sz w:val="22"/>
                <w:szCs w:val="22"/>
                <w:lang w:val="en-GB"/>
              </w:rPr>
              <w:t>.1</w:t>
            </w:r>
            <w:r w:rsidR="001D62BB" w:rsidRPr="000F0222">
              <w:rPr>
                <w:sz w:val="22"/>
                <w:szCs w:val="22"/>
                <w:lang w:val="en-GB"/>
              </w:rPr>
              <w:t>2</w:t>
            </w:r>
            <w:r w:rsidR="00063CB1" w:rsidRPr="000F0222">
              <w:rPr>
                <w:sz w:val="22"/>
                <w:szCs w:val="22"/>
                <w:lang w:val="en-GB"/>
              </w:rPr>
              <w:t>)</w:t>
            </w:r>
          </w:p>
          <w:p w14:paraId="36DC76AF" w14:textId="77777777" w:rsidR="009058FB" w:rsidRPr="000F0222" w:rsidRDefault="009058FB" w:rsidP="008B5334">
            <w:pPr>
              <w:rPr>
                <w:sz w:val="22"/>
                <w:szCs w:val="22"/>
                <w:lang w:val="en-GB"/>
              </w:rPr>
            </w:pPr>
          </w:p>
        </w:tc>
      </w:tr>
      <w:tr w:rsidR="009058FB" w:rsidRPr="004779F8" w14:paraId="05121E47" w14:textId="77777777" w:rsidTr="00667721">
        <w:trPr>
          <w:trHeight w:val="1701"/>
        </w:trPr>
        <w:tc>
          <w:tcPr>
            <w:tcW w:w="2376" w:type="dxa"/>
            <w:vMerge w:val="restart"/>
            <w:tcBorders>
              <w:top w:val="single" w:sz="48" w:space="0" w:color="FFFFFF" w:themeColor="background1"/>
              <w:left w:val="single" w:sz="48" w:space="0" w:color="FFFFFF" w:themeColor="background1"/>
              <w:right w:val="single" w:sz="48" w:space="0" w:color="FFFFFF" w:themeColor="background1"/>
            </w:tcBorders>
            <w:shd w:val="clear" w:color="auto" w:fill="FABF8F" w:themeFill="accent6" w:themeFillTint="99"/>
          </w:tcPr>
          <w:p w14:paraId="25404237" w14:textId="77777777" w:rsidR="009058FB" w:rsidRPr="000F0222" w:rsidRDefault="009058FB" w:rsidP="009058FB">
            <w:pPr>
              <w:rPr>
                <w:sz w:val="22"/>
                <w:szCs w:val="22"/>
                <w:lang w:val="en-GB"/>
              </w:rPr>
            </w:pPr>
            <w:r w:rsidRPr="000F0222">
              <w:rPr>
                <w:noProof/>
                <w:sz w:val="22"/>
                <w:szCs w:val="22"/>
                <w:lang w:val="en-GB"/>
              </w:rPr>
              <w:drawing>
                <wp:inline distT="0" distB="0" distL="0" distR="0" wp14:anchorId="52D61FB3" wp14:editId="7B8AEC57">
                  <wp:extent cx="1425039" cy="1080655"/>
                  <wp:effectExtent l="0" t="0" r="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2835" w:type="dxa"/>
            <w:vMerge w:val="restart"/>
            <w:tcBorders>
              <w:top w:val="single" w:sz="48" w:space="0" w:color="FFFFFF" w:themeColor="background1"/>
              <w:left w:val="single" w:sz="48" w:space="0" w:color="FFFFFF" w:themeColor="background1"/>
              <w:right w:val="single" w:sz="48" w:space="0" w:color="FFFFFF" w:themeColor="background1"/>
            </w:tcBorders>
            <w:shd w:val="clear" w:color="auto" w:fill="FABF8F" w:themeFill="accent6" w:themeFillTint="99"/>
          </w:tcPr>
          <w:p w14:paraId="2D390BFA" w14:textId="77777777" w:rsidR="009058FB" w:rsidRPr="004779F8" w:rsidRDefault="009058FB" w:rsidP="009058FB">
            <w:pPr>
              <w:rPr>
                <w:b/>
                <w:sz w:val="22"/>
                <w:lang w:val="en-GB"/>
              </w:rPr>
            </w:pPr>
          </w:p>
          <w:p w14:paraId="008D410D" w14:textId="77777777" w:rsidR="009058FB" w:rsidRPr="00613A29" w:rsidRDefault="009058FB" w:rsidP="009058FB">
            <w:pPr>
              <w:rPr>
                <w:b/>
                <w:sz w:val="22"/>
                <w:szCs w:val="22"/>
                <w:lang w:val="en-GB"/>
              </w:rPr>
            </w:pPr>
            <w:r w:rsidRPr="00613A29">
              <w:rPr>
                <w:b/>
                <w:sz w:val="22"/>
                <w:lang w:val="en-GB"/>
              </w:rPr>
              <w:t>4.2: The AEWA Communication Strategy is implemented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6055149" w14:textId="77777777" w:rsidR="009058FB" w:rsidRPr="008C5535" w:rsidRDefault="009058FB" w:rsidP="009058FB">
            <w:pPr>
              <w:rPr>
                <w:b/>
                <w:sz w:val="22"/>
                <w:szCs w:val="22"/>
                <w:lang w:val="en-GB"/>
              </w:rPr>
            </w:pPr>
          </w:p>
          <w:p w14:paraId="550C34E3" w14:textId="77777777" w:rsidR="009058FB" w:rsidRPr="00852729" w:rsidRDefault="009058FB" w:rsidP="009058FB">
            <w:pPr>
              <w:rPr>
                <w:b/>
                <w:sz w:val="22"/>
                <w:szCs w:val="22"/>
                <w:lang w:val="en-GB"/>
              </w:rPr>
            </w:pPr>
            <w:r w:rsidRPr="00E4475D">
              <w:rPr>
                <w:b/>
                <w:sz w:val="22"/>
                <w:szCs w:val="22"/>
                <w:lang w:val="en-GB"/>
              </w:rPr>
              <w:t>The Communication Strat</w:t>
            </w:r>
            <w:r w:rsidRPr="00852729">
              <w:rPr>
                <w:b/>
                <w:sz w:val="22"/>
                <w:szCs w:val="22"/>
                <w:lang w:val="en-GB"/>
              </w:rPr>
              <w:t>egy has been monitored annually and reviewed and updated on a tri-annual basis</w:t>
            </w:r>
          </w:p>
          <w:p w14:paraId="5055C5D3"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59315EF" w14:textId="77777777" w:rsidR="009058FB" w:rsidRPr="000F0222" w:rsidRDefault="009058FB" w:rsidP="009058FB">
            <w:pPr>
              <w:rPr>
                <w:sz w:val="22"/>
                <w:szCs w:val="22"/>
                <w:lang w:val="en-GB"/>
              </w:rPr>
            </w:pPr>
          </w:p>
          <w:p w14:paraId="76BD22F9" w14:textId="23E01343" w:rsidR="009058FB" w:rsidRPr="000F0222" w:rsidRDefault="009058FB" w:rsidP="009058FB">
            <w:pPr>
              <w:rPr>
                <w:sz w:val="22"/>
                <w:szCs w:val="22"/>
                <w:lang w:val="en-GB"/>
              </w:rPr>
            </w:pPr>
            <w:r w:rsidRPr="000F0222">
              <w:rPr>
                <w:sz w:val="22"/>
                <w:szCs w:val="22"/>
                <w:lang w:val="en-GB"/>
              </w:rPr>
              <w:t xml:space="preserve">Detailed reports on the implementation of the CS were presented to MOP4 (September 2008), </w:t>
            </w:r>
            <w:r w:rsidR="00E919A4">
              <w:rPr>
                <w:sz w:val="22"/>
                <w:szCs w:val="22"/>
                <w:lang w:val="en-GB"/>
              </w:rPr>
              <w:t xml:space="preserve">the </w:t>
            </w:r>
            <w:r w:rsidRPr="000F0222">
              <w:rPr>
                <w:sz w:val="22"/>
                <w:szCs w:val="22"/>
                <w:lang w:val="en-GB"/>
              </w:rPr>
              <w:t>6</w:t>
            </w:r>
            <w:r w:rsidRPr="000F0222">
              <w:rPr>
                <w:sz w:val="22"/>
                <w:szCs w:val="22"/>
                <w:vertAlign w:val="superscript"/>
                <w:lang w:val="en-GB"/>
              </w:rPr>
              <w:t>th</w:t>
            </w:r>
            <w:r w:rsidRPr="000F0222">
              <w:rPr>
                <w:sz w:val="22"/>
                <w:szCs w:val="22"/>
                <w:lang w:val="en-GB"/>
              </w:rPr>
              <w:t xml:space="preserve"> </w:t>
            </w:r>
            <w:r w:rsidR="00E919A4">
              <w:rPr>
                <w:sz w:val="22"/>
                <w:szCs w:val="22"/>
                <w:lang w:val="en-GB"/>
              </w:rPr>
              <w:t>M</w:t>
            </w:r>
            <w:r w:rsidRPr="000F0222">
              <w:rPr>
                <w:sz w:val="22"/>
                <w:szCs w:val="22"/>
                <w:lang w:val="en-GB"/>
              </w:rPr>
              <w:t>eeting of the Standing Committee (StC</w:t>
            </w:r>
            <w:r w:rsidR="004B682D" w:rsidRPr="000F0222">
              <w:rPr>
                <w:sz w:val="22"/>
                <w:szCs w:val="22"/>
                <w:lang w:val="en-GB"/>
              </w:rPr>
              <w:t>6</w:t>
            </w:r>
            <w:r w:rsidRPr="000F0222">
              <w:rPr>
                <w:sz w:val="22"/>
                <w:szCs w:val="22"/>
                <w:lang w:val="en-GB"/>
              </w:rPr>
              <w:t>) (June 2010)</w:t>
            </w:r>
            <w:r w:rsidR="00D30C66" w:rsidRPr="000F0222">
              <w:rPr>
                <w:sz w:val="22"/>
                <w:szCs w:val="22"/>
                <w:lang w:val="en-GB"/>
              </w:rPr>
              <w:t>,</w:t>
            </w:r>
            <w:r w:rsidRPr="000F0222">
              <w:rPr>
                <w:sz w:val="22"/>
                <w:szCs w:val="22"/>
                <w:lang w:val="en-GB"/>
              </w:rPr>
              <w:t xml:space="preserve"> StC7 (November 2011)</w:t>
            </w:r>
            <w:r w:rsidR="004B682D" w:rsidRPr="000F0222">
              <w:rPr>
                <w:sz w:val="22"/>
                <w:szCs w:val="22"/>
                <w:lang w:val="en-GB"/>
              </w:rPr>
              <w:t>, MOP5 (May 2012)</w:t>
            </w:r>
            <w:r w:rsidR="00D30C66" w:rsidRPr="000F0222">
              <w:rPr>
                <w:sz w:val="22"/>
                <w:szCs w:val="22"/>
                <w:lang w:val="en-GB"/>
              </w:rPr>
              <w:t xml:space="preserve"> and StC9 (September 2013)</w:t>
            </w:r>
            <w:r w:rsidRPr="000F0222">
              <w:rPr>
                <w:sz w:val="22"/>
                <w:szCs w:val="22"/>
                <w:lang w:val="en-GB"/>
              </w:rPr>
              <w:t xml:space="preserve">. </w:t>
            </w:r>
            <w:r w:rsidR="004B682D" w:rsidRPr="000F0222">
              <w:rPr>
                <w:sz w:val="22"/>
                <w:szCs w:val="22"/>
                <w:lang w:val="en-GB"/>
              </w:rPr>
              <w:t>No specific reviews of the CS have been undertaken for StC10 (July 2014), but a summary of communication</w:t>
            </w:r>
            <w:r w:rsidR="00E919A4">
              <w:rPr>
                <w:sz w:val="22"/>
                <w:szCs w:val="22"/>
                <w:lang w:val="en-GB"/>
              </w:rPr>
              <w:t>-</w:t>
            </w:r>
            <w:r w:rsidR="004B682D" w:rsidRPr="000F0222">
              <w:rPr>
                <w:sz w:val="22"/>
                <w:szCs w:val="22"/>
                <w:lang w:val="en-GB"/>
              </w:rPr>
              <w:t xml:space="preserve"> related activities by the Secretariat were included in the Report of the Secretariat to the </w:t>
            </w:r>
            <w:proofErr w:type="spellStart"/>
            <w:r w:rsidR="004B682D" w:rsidRPr="000F0222">
              <w:rPr>
                <w:sz w:val="22"/>
                <w:szCs w:val="22"/>
                <w:lang w:val="en-GB"/>
              </w:rPr>
              <w:t>StC</w:t>
            </w:r>
            <w:proofErr w:type="spellEnd"/>
            <w:r w:rsidR="004B682D" w:rsidRPr="000F0222">
              <w:rPr>
                <w:sz w:val="22"/>
                <w:szCs w:val="22"/>
                <w:lang w:val="en-GB"/>
              </w:rPr>
              <w:t xml:space="preserve">. </w:t>
            </w:r>
            <w:r w:rsidR="00CE1EC2" w:rsidRPr="000F0222">
              <w:rPr>
                <w:sz w:val="22"/>
                <w:szCs w:val="22"/>
                <w:lang w:val="en-GB"/>
              </w:rPr>
              <w:t>A</w:t>
            </w:r>
            <w:r w:rsidR="004B682D" w:rsidRPr="000F0222">
              <w:rPr>
                <w:sz w:val="22"/>
                <w:szCs w:val="22"/>
                <w:lang w:val="en-GB"/>
              </w:rPr>
              <w:t xml:space="preserve"> new AEWA Communication Strategy was initiated in 2014 by the Secretariat and </w:t>
            </w:r>
            <w:r w:rsidR="00ED4C1B" w:rsidRPr="000F0222">
              <w:rPr>
                <w:sz w:val="22"/>
                <w:szCs w:val="22"/>
                <w:lang w:val="en-GB"/>
              </w:rPr>
              <w:t xml:space="preserve">adopted by </w:t>
            </w:r>
            <w:r w:rsidR="00332802" w:rsidRPr="000F0222">
              <w:rPr>
                <w:sz w:val="22"/>
                <w:szCs w:val="22"/>
                <w:lang w:val="en-GB"/>
              </w:rPr>
              <w:t xml:space="preserve">MOP6 </w:t>
            </w:r>
            <w:r w:rsidR="00ED4C1B" w:rsidRPr="000F0222">
              <w:rPr>
                <w:sz w:val="22"/>
                <w:szCs w:val="22"/>
                <w:lang w:val="en-GB"/>
              </w:rPr>
              <w:t>in 2015</w:t>
            </w:r>
            <w:r w:rsidRPr="000F0222">
              <w:rPr>
                <w:sz w:val="22"/>
                <w:szCs w:val="22"/>
                <w:lang w:val="en-GB"/>
              </w:rPr>
              <w:t>.</w:t>
            </w:r>
            <w:r w:rsidR="00ED4C1B" w:rsidRPr="000F0222">
              <w:rPr>
                <w:sz w:val="22"/>
                <w:szCs w:val="22"/>
                <w:lang w:val="en-GB"/>
              </w:rPr>
              <w:t xml:space="preserve"> The first progress report on the new CS is being submitted to MOP7.</w:t>
            </w:r>
          </w:p>
          <w:p w14:paraId="50F3B0A7" w14:textId="77777777" w:rsidR="00332802" w:rsidRPr="000F0222" w:rsidRDefault="00332802" w:rsidP="009058FB">
            <w:pPr>
              <w:rPr>
                <w:sz w:val="22"/>
                <w:szCs w:val="22"/>
                <w:lang w:val="en-GB"/>
              </w:rPr>
            </w:pPr>
          </w:p>
          <w:p w14:paraId="2FCCDCCC" w14:textId="4AAE4B2C" w:rsidR="00332802" w:rsidRPr="000F0222" w:rsidRDefault="00332802" w:rsidP="009058FB">
            <w:pPr>
              <w:rPr>
                <w:sz w:val="22"/>
                <w:szCs w:val="22"/>
                <w:lang w:val="en-GB"/>
              </w:rPr>
            </w:pPr>
            <w:r w:rsidRPr="000F0222">
              <w:rPr>
                <w:b/>
                <w:sz w:val="22"/>
                <w:szCs w:val="22"/>
                <w:lang w:val="en-GB"/>
              </w:rPr>
              <w:t>Change since MOP</w:t>
            </w:r>
            <w:r w:rsidR="00ED4C1B" w:rsidRPr="000F0222">
              <w:rPr>
                <w:b/>
                <w:sz w:val="22"/>
                <w:szCs w:val="22"/>
                <w:lang w:val="en-GB"/>
              </w:rPr>
              <w:t>4</w:t>
            </w:r>
            <w:r w:rsidRPr="000F0222">
              <w:rPr>
                <w:b/>
                <w:sz w:val="22"/>
                <w:szCs w:val="22"/>
                <w:lang w:val="en-GB"/>
              </w:rPr>
              <w:t>:</w:t>
            </w:r>
            <w:r w:rsidRPr="000F0222">
              <w:rPr>
                <w:sz w:val="22"/>
                <w:szCs w:val="22"/>
                <w:lang w:val="en-GB"/>
              </w:rPr>
              <w:t xml:space="preserve"> Neutral. </w:t>
            </w:r>
          </w:p>
          <w:p w14:paraId="613F47B0" w14:textId="60D4B922" w:rsidR="009058FB" w:rsidRDefault="009058FB" w:rsidP="009058FB">
            <w:pPr>
              <w:rPr>
                <w:sz w:val="22"/>
                <w:szCs w:val="22"/>
                <w:lang w:val="en-GB"/>
              </w:rPr>
            </w:pPr>
          </w:p>
          <w:p w14:paraId="5BCF40F7" w14:textId="38FC27FC" w:rsidR="00E919A4" w:rsidRDefault="00E919A4" w:rsidP="009058FB">
            <w:pPr>
              <w:rPr>
                <w:sz w:val="22"/>
                <w:szCs w:val="22"/>
                <w:lang w:val="en-GB"/>
              </w:rPr>
            </w:pPr>
          </w:p>
          <w:p w14:paraId="3C96C9BC" w14:textId="77777777" w:rsidR="00E919A4" w:rsidRPr="000F0222" w:rsidRDefault="00E919A4" w:rsidP="009058FB">
            <w:pPr>
              <w:rPr>
                <w:sz w:val="22"/>
                <w:szCs w:val="22"/>
                <w:lang w:val="en-GB"/>
              </w:rPr>
            </w:pPr>
          </w:p>
          <w:p w14:paraId="11AE722C" w14:textId="2AEE4216" w:rsidR="00252ADD" w:rsidRPr="000F0222" w:rsidRDefault="009058FB" w:rsidP="008710CC">
            <w:pPr>
              <w:rPr>
                <w:sz w:val="22"/>
                <w:szCs w:val="22"/>
                <w:lang w:val="en-GB"/>
              </w:rPr>
            </w:pPr>
            <w:r w:rsidRPr="000F0222">
              <w:rPr>
                <w:b/>
                <w:sz w:val="22"/>
                <w:szCs w:val="22"/>
                <w:lang w:val="en-GB"/>
              </w:rPr>
              <w:lastRenderedPageBreak/>
              <w:t xml:space="preserve">Reference: </w:t>
            </w:r>
            <w:r w:rsidR="00252ADD" w:rsidRPr="000F0222">
              <w:rPr>
                <w:sz w:val="22"/>
                <w:szCs w:val="22"/>
                <w:lang w:val="en-GB"/>
              </w:rPr>
              <w:t xml:space="preserve">Various reports to </w:t>
            </w:r>
            <w:proofErr w:type="spellStart"/>
            <w:r w:rsidR="00252ADD" w:rsidRPr="000F0222">
              <w:rPr>
                <w:sz w:val="22"/>
                <w:szCs w:val="22"/>
                <w:lang w:val="en-GB"/>
              </w:rPr>
              <w:t>StC</w:t>
            </w:r>
            <w:proofErr w:type="spellEnd"/>
            <w:r w:rsidR="00252ADD" w:rsidRPr="000F0222">
              <w:rPr>
                <w:sz w:val="22"/>
                <w:szCs w:val="22"/>
                <w:lang w:val="en-GB"/>
              </w:rPr>
              <w:t xml:space="preserve"> and MOP meetings;</w:t>
            </w:r>
          </w:p>
          <w:p w14:paraId="5EA2A11E" w14:textId="664FAF14" w:rsidR="008710CC" w:rsidRDefault="00E919A4">
            <w:pPr>
              <w:rPr>
                <w:sz w:val="22"/>
                <w:szCs w:val="22"/>
                <w:lang w:val="en-GB"/>
              </w:rPr>
            </w:pPr>
            <w:r>
              <w:rPr>
                <w:sz w:val="22"/>
                <w:szCs w:val="22"/>
                <w:lang w:val="en-GB"/>
              </w:rPr>
              <w:t>R</w:t>
            </w:r>
            <w:r w:rsidR="00ED4C1B" w:rsidRPr="000F0222">
              <w:rPr>
                <w:sz w:val="22"/>
                <w:szCs w:val="22"/>
                <w:lang w:val="en-GB"/>
              </w:rPr>
              <w:t xml:space="preserve">eport on the Implementation of the AEWA Communication </w:t>
            </w:r>
          </w:p>
          <w:p w14:paraId="22F75204" w14:textId="19FC85E2" w:rsidR="009058FB" w:rsidRPr="000F0222" w:rsidRDefault="00ED4C1B" w:rsidP="008710CC">
            <w:pPr>
              <w:rPr>
                <w:sz w:val="22"/>
                <w:szCs w:val="22"/>
                <w:lang w:val="en-GB"/>
              </w:rPr>
            </w:pPr>
            <w:r w:rsidRPr="000F0222">
              <w:rPr>
                <w:sz w:val="22"/>
                <w:szCs w:val="22"/>
                <w:lang w:val="en-GB"/>
              </w:rPr>
              <w:t>Strategy</w:t>
            </w:r>
            <w:r w:rsidRPr="000F0222" w:rsidDel="00ED4C1B">
              <w:rPr>
                <w:sz w:val="22"/>
                <w:szCs w:val="22"/>
                <w:lang w:val="en-GB"/>
              </w:rPr>
              <w:t xml:space="preserve"> </w:t>
            </w:r>
            <w:r w:rsidR="009058FB" w:rsidRPr="004779F8">
              <w:rPr>
                <w:sz w:val="22"/>
                <w:szCs w:val="22"/>
                <w:lang w:val="en-GB"/>
              </w:rPr>
              <w:t xml:space="preserve">(document </w:t>
            </w:r>
            <w:r w:rsidR="009058FB" w:rsidRPr="000F0222">
              <w:rPr>
                <w:sz w:val="22"/>
                <w:szCs w:val="22"/>
                <w:lang w:val="en-GB"/>
              </w:rPr>
              <w:t>AEWA/MOP</w:t>
            </w:r>
            <w:r w:rsidR="00EF6B19" w:rsidRPr="000F0222">
              <w:rPr>
                <w:sz w:val="22"/>
                <w:szCs w:val="22"/>
                <w:lang w:val="en-GB"/>
              </w:rPr>
              <w:t xml:space="preserve"> </w:t>
            </w:r>
            <w:r w:rsidRPr="000F0222">
              <w:rPr>
                <w:sz w:val="22"/>
                <w:szCs w:val="22"/>
                <w:lang w:val="en-GB"/>
              </w:rPr>
              <w:t>7</w:t>
            </w:r>
            <w:r w:rsidR="009058FB" w:rsidRPr="000F0222">
              <w:rPr>
                <w:sz w:val="22"/>
                <w:szCs w:val="22"/>
                <w:lang w:val="en-GB"/>
              </w:rPr>
              <w:t>.1</w:t>
            </w:r>
            <w:r w:rsidRPr="000F0222">
              <w:rPr>
                <w:sz w:val="22"/>
                <w:szCs w:val="22"/>
                <w:lang w:val="en-GB"/>
              </w:rPr>
              <w:t>3</w:t>
            </w:r>
            <w:r w:rsidR="009058FB" w:rsidRPr="000F0222">
              <w:rPr>
                <w:sz w:val="22"/>
                <w:szCs w:val="22"/>
                <w:lang w:val="en-GB"/>
              </w:rPr>
              <w:t>)</w:t>
            </w:r>
          </w:p>
        </w:tc>
      </w:tr>
      <w:tr w:rsidR="009058FB" w:rsidRPr="004779F8" w14:paraId="1BAE4650" w14:textId="77777777" w:rsidTr="00667721">
        <w:trPr>
          <w:trHeight w:val="1701"/>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23202D76" w14:textId="77777777" w:rsidR="009058FB" w:rsidRPr="000F0222" w:rsidRDefault="009058FB" w:rsidP="009058FB">
            <w:pPr>
              <w:rPr>
                <w:sz w:val="22"/>
                <w:szCs w:val="22"/>
                <w:lang w:val="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247CCD07" w14:textId="77777777" w:rsidR="009058FB" w:rsidRPr="000F0222"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2D2521E" w14:textId="77777777" w:rsidR="009058FB" w:rsidRPr="000F0222" w:rsidRDefault="009058FB" w:rsidP="009058FB">
            <w:pPr>
              <w:rPr>
                <w:b/>
                <w:sz w:val="22"/>
                <w:szCs w:val="22"/>
                <w:lang w:val="en-GB"/>
              </w:rPr>
            </w:pPr>
          </w:p>
          <w:p w14:paraId="39A53B2A" w14:textId="77777777" w:rsidR="009058FB" w:rsidRPr="004779F8" w:rsidRDefault="009058FB" w:rsidP="009058FB">
            <w:pPr>
              <w:rPr>
                <w:b/>
                <w:sz w:val="22"/>
                <w:szCs w:val="22"/>
                <w:lang w:val="en-GB"/>
              </w:rPr>
            </w:pPr>
            <w:r w:rsidRPr="004779F8">
              <w:rPr>
                <w:b/>
                <w:sz w:val="22"/>
                <w:szCs w:val="22"/>
                <w:lang w:val="en-GB"/>
              </w:rPr>
              <w:t>At least one Training of Trainers workshop for CEPA has been held in each AEWA region (CS 3.1)</w:t>
            </w:r>
            <w:r w:rsidRPr="00613A29">
              <w:rPr>
                <w:rStyle w:val="FootnoteReference"/>
                <w:b/>
                <w:szCs w:val="22"/>
                <w:lang w:val="en-GB"/>
              </w:rPr>
              <w:t xml:space="preserve"> </w:t>
            </w:r>
            <w:r w:rsidRPr="004779F8">
              <w:rPr>
                <w:rStyle w:val="FootnoteReference"/>
                <w:b/>
                <w:szCs w:val="22"/>
                <w:lang w:val="en-GB"/>
              </w:rPr>
              <w:footnoteReference w:id="4"/>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2DB942D" w14:textId="77777777" w:rsidR="009058FB" w:rsidRPr="000F0222" w:rsidRDefault="009058FB" w:rsidP="009058FB">
            <w:pPr>
              <w:rPr>
                <w:sz w:val="22"/>
                <w:szCs w:val="22"/>
                <w:lang w:val="en-GB"/>
              </w:rPr>
            </w:pPr>
          </w:p>
          <w:p w14:paraId="0CD034A1" w14:textId="5B835864" w:rsidR="009058FB" w:rsidRPr="000F0222" w:rsidRDefault="001C7BD2" w:rsidP="009058FB">
            <w:pPr>
              <w:rPr>
                <w:sz w:val="22"/>
                <w:szCs w:val="22"/>
                <w:lang w:val="en-GB"/>
              </w:rPr>
            </w:pPr>
            <w:r w:rsidRPr="000F0222">
              <w:rPr>
                <w:sz w:val="22"/>
                <w:szCs w:val="22"/>
                <w:lang w:val="en-GB"/>
              </w:rPr>
              <w:t>In the framework of the UNEP-GEF African-Eurasian Wings over Wetlands (WOW) Flyways Project, t</w:t>
            </w:r>
            <w:r w:rsidR="009058FB" w:rsidRPr="000F0222">
              <w:rPr>
                <w:sz w:val="22"/>
                <w:szCs w:val="22"/>
                <w:lang w:val="en-GB"/>
              </w:rPr>
              <w:t>hree Training of Trainers (</w:t>
            </w:r>
            <w:proofErr w:type="spellStart"/>
            <w:r w:rsidR="009058FB" w:rsidRPr="000F0222">
              <w:rPr>
                <w:sz w:val="22"/>
                <w:szCs w:val="22"/>
                <w:lang w:val="en-GB"/>
              </w:rPr>
              <w:t>ToT</w:t>
            </w:r>
            <w:proofErr w:type="spellEnd"/>
            <w:r w:rsidR="009058FB" w:rsidRPr="000F0222">
              <w:rPr>
                <w:sz w:val="22"/>
                <w:szCs w:val="22"/>
                <w:lang w:val="en-GB"/>
              </w:rPr>
              <w:t xml:space="preserve">) workshops using the WOW Flyway Training Kit (FTK) </w:t>
            </w:r>
            <w:r w:rsidR="00252ADD" w:rsidRPr="000F0222">
              <w:rPr>
                <w:sz w:val="22"/>
                <w:szCs w:val="22"/>
                <w:lang w:val="en-GB"/>
              </w:rPr>
              <w:t>took</w:t>
            </w:r>
            <w:r w:rsidR="009058FB" w:rsidRPr="000F0222">
              <w:rPr>
                <w:sz w:val="22"/>
                <w:szCs w:val="22"/>
                <w:lang w:val="en-GB"/>
              </w:rPr>
              <w:t xml:space="preserve"> place</w:t>
            </w:r>
            <w:r w:rsidR="00E919A4">
              <w:rPr>
                <w:sz w:val="22"/>
                <w:szCs w:val="22"/>
                <w:lang w:val="en-GB"/>
              </w:rPr>
              <w:t xml:space="preserve"> </w:t>
            </w:r>
            <w:r w:rsidRPr="000F0222">
              <w:rPr>
                <w:sz w:val="22"/>
                <w:szCs w:val="22"/>
                <w:lang w:val="en-GB"/>
              </w:rPr>
              <w:t xml:space="preserve">in </w:t>
            </w:r>
            <w:r w:rsidR="009058FB" w:rsidRPr="000F0222">
              <w:rPr>
                <w:sz w:val="22"/>
                <w:szCs w:val="22"/>
                <w:lang w:val="en-GB"/>
              </w:rPr>
              <w:t>four sub-regions (West Africa and Central Africa (Cameroon), the Middle East (Jordan) and Central Asia &amp; Caucasus (Kazakhstan) since MOP4.</w:t>
            </w:r>
          </w:p>
          <w:p w14:paraId="2A7FB365" w14:textId="77777777" w:rsidR="009058FB" w:rsidRPr="000F0222" w:rsidRDefault="009058FB" w:rsidP="009058FB">
            <w:pPr>
              <w:rPr>
                <w:sz w:val="22"/>
                <w:szCs w:val="22"/>
                <w:lang w:val="en-GB"/>
              </w:rPr>
            </w:pPr>
          </w:p>
          <w:p w14:paraId="0011F84C" w14:textId="79CBEBD7" w:rsidR="009058FB" w:rsidRPr="000F0222" w:rsidRDefault="001C7BD2" w:rsidP="009058FB">
            <w:pPr>
              <w:rPr>
                <w:sz w:val="22"/>
                <w:szCs w:val="22"/>
                <w:lang w:val="en-GB"/>
              </w:rPr>
            </w:pPr>
            <w:r w:rsidRPr="000F0222">
              <w:rPr>
                <w:sz w:val="22"/>
                <w:szCs w:val="22"/>
                <w:lang w:val="en-GB"/>
              </w:rPr>
              <w:t>Thanks to funding from the AEWA/CMS EC ENRTP Project, t</w:t>
            </w:r>
            <w:r w:rsidR="009058FB" w:rsidRPr="000F0222">
              <w:rPr>
                <w:sz w:val="22"/>
                <w:szCs w:val="22"/>
                <w:lang w:val="en-GB"/>
              </w:rPr>
              <w:t xml:space="preserve">wo </w:t>
            </w:r>
            <w:proofErr w:type="spellStart"/>
            <w:r w:rsidR="009058FB" w:rsidRPr="000F0222">
              <w:rPr>
                <w:sz w:val="22"/>
                <w:szCs w:val="22"/>
                <w:lang w:val="en-GB"/>
              </w:rPr>
              <w:t>ToT</w:t>
            </w:r>
            <w:proofErr w:type="spellEnd"/>
            <w:r w:rsidR="009058FB" w:rsidRPr="000F0222">
              <w:rPr>
                <w:sz w:val="22"/>
                <w:szCs w:val="22"/>
                <w:lang w:val="en-GB"/>
              </w:rPr>
              <w:t xml:space="preserve"> courses </w:t>
            </w:r>
            <w:r w:rsidRPr="000F0222">
              <w:rPr>
                <w:sz w:val="22"/>
                <w:szCs w:val="22"/>
                <w:lang w:val="en-GB"/>
              </w:rPr>
              <w:t xml:space="preserve">were organized in the framework of AEWA </w:t>
            </w:r>
            <w:r w:rsidR="009058FB" w:rsidRPr="000F0222">
              <w:rPr>
                <w:sz w:val="22"/>
                <w:szCs w:val="22"/>
                <w:lang w:val="en-GB"/>
              </w:rPr>
              <w:t xml:space="preserve">using the WOW FTK </w:t>
            </w:r>
            <w:r w:rsidRPr="000F0222">
              <w:rPr>
                <w:sz w:val="22"/>
                <w:szCs w:val="22"/>
                <w:lang w:val="en-GB"/>
              </w:rPr>
              <w:t xml:space="preserve">and other training materials (e.g. the ONCFS toolkit on </w:t>
            </w:r>
            <w:proofErr w:type="spellStart"/>
            <w:r w:rsidRPr="000F0222">
              <w:rPr>
                <w:sz w:val="22"/>
                <w:szCs w:val="22"/>
                <w:lang w:val="en-GB"/>
              </w:rPr>
              <w:t>waterbird</w:t>
            </w:r>
            <w:proofErr w:type="spellEnd"/>
            <w:r w:rsidRPr="000F0222">
              <w:rPr>
                <w:sz w:val="22"/>
                <w:szCs w:val="22"/>
                <w:lang w:val="en-GB"/>
              </w:rPr>
              <w:t xml:space="preserve"> identification </w:t>
            </w:r>
            <w:r w:rsidR="00017176" w:rsidRPr="000F0222">
              <w:rPr>
                <w:sz w:val="22"/>
                <w:szCs w:val="22"/>
                <w:lang w:val="en-GB"/>
              </w:rPr>
              <w:t xml:space="preserve">and census and the </w:t>
            </w:r>
            <w:proofErr w:type="spellStart"/>
            <w:r w:rsidR="00017176" w:rsidRPr="000F0222">
              <w:rPr>
                <w:sz w:val="22"/>
                <w:szCs w:val="22"/>
                <w:lang w:val="en-GB"/>
              </w:rPr>
              <w:t>BirdLife</w:t>
            </w:r>
            <w:proofErr w:type="spellEnd"/>
            <w:r w:rsidR="00017176" w:rsidRPr="000F0222">
              <w:rPr>
                <w:sz w:val="22"/>
                <w:szCs w:val="22"/>
                <w:lang w:val="en-GB"/>
              </w:rPr>
              <w:t xml:space="preserve"> International IBA approach)</w:t>
            </w:r>
            <w:r w:rsidR="003100A3" w:rsidRPr="000F0222">
              <w:rPr>
                <w:sz w:val="22"/>
                <w:szCs w:val="22"/>
                <w:lang w:val="en-GB"/>
              </w:rPr>
              <w:t xml:space="preserve">. </w:t>
            </w:r>
            <w:r w:rsidR="00017176" w:rsidRPr="000F0222">
              <w:rPr>
                <w:sz w:val="22"/>
                <w:szCs w:val="22"/>
                <w:lang w:val="en-GB"/>
              </w:rPr>
              <w:t xml:space="preserve">The first </w:t>
            </w:r>
            <w:r w:rsidR="003100A3" w:rsidRPr="000F0222">
              <w:rPr>
                <w:sz w:val="22"/>
                <w:szCs w:val="22"/>
                <w:lang w:val="en-GB"/>
              </w:rPr>
              <w:t xml:space="preserve">workshop </w:t>
            </w:r>
            <w:r w:rsidR="009058FB" w:rsidRPr="000F0222">
              <w:rPr>
                <w:sz w:val="22"/>
                <w:szCs w:val="22"/>
                <w:lang w:val="en-GB"/>
              </w:rPr>
              <w:t xml:space="preserve">for </w:t>
            </w:r>
            <w:r w:rsidR="00127826" w:rsidRPr="000F0222">
              <w:rPr>
                <w:sz w:val="22"/>
                <w:szCs w:val="22"/>
                <w:lang w:val="en-GB"/>
              </w:rPr>
              <w:t>Anglophone</w:t>
            </w:r>
            <w:r w:rsidR="009058FB" w:rsidRPr="000F0222">
              <w:rPr>
                <w:sz w:val="22"/>
                <w:szCs w:val="22"/>
                <w:lang w:val="en-GB"/>
              </w:rPr>
              <w:t xml:space="preserve"> countries in Southern and Eastern Africa </w:t>
            </w:r>
            <w:r w:rsidR="00017176" w:rsidRPr="000F0222">
              <w:rPr>
                <w:sz w:val="22"/>
                <w:szCs w:val="22"/>
                <w:lang w:val="en-GB"/>
              </w:rPr>
              <w:t xml:space="preserve">(May 2013, </w:t>
            </w:r>
            <w:r w:rsidR="003100A3" w:rsidRPr="000F0222">
              <w:rPr>
                <w:sz w:val="22"/>
                <w:szCs w:val="22"/>
                <w:lang w:val="en-GB"/>
              </w:rPr>
              <w:t>Naivasha, Kenya</w:t>
            </w:r>
            <w:r w:rsidR="00017176" w:rsidRPr="000F0222">
              <w:rPr>
                <w:sz w:val="22"/>
                <w:szCs w:val="22"/>
                <w:lang w:val="en-GB"/>
              </w:rPr>
              <w:t>) brought together</w:t>
            </w:r>
            <w:r w:rsidR="003100A3" w:rsidRPr="000F0222">
              <w:rPr>
                <w:sz w:val="22"/>
                <w:szCs w:val="22"/>
                <w:lang w:val="en-GB"/>
              </w:rPr>
              <w:t xml:space="preserve"> 19 </w:t>
            </w:r>
            <w:r w:rsidR="00017176" w:rsidRPr="000F0222">
              <w:rPr>
                <w:sz w:val="22"/>
                <w:szCs w:val="22"/>
                <w:lang w:val="en-GB"/>
              </w:rPr>
              <w:t xml:space="preserve">technical experts </w:t>
            </w:r>
            <w:r w:rsidR="003100A3" w:rsidRPr="000F0222">
              <w:rPr>
                <w:sz w:val="22"/>
                <w:szCs w:val="22"/>
                <w:lang w:val="en-GB"/>
              </w:rPr>
              <w:t xml:space="preserve">from 13 countries. </w:t>
            </w:r>
            <w:r w:rsidR="00017176" w:rsidRPr="000F0222">
              <w:rPr>
                <w:sz w:val="22"/>
                <w:szCs w:val="22"/>
                <w:lang w:val="en-GB"/>
              </w:rPr>
              <w:t xml:space="preserve">The second </w:t>
            </w:r>
            <w:r w:rsidR="003100A3" w:rsidRPr="000F0222">
              <w:rPr>
                <w:sz w:val="22"/>
                <w:szCs w:val="22"/>
                <w:lang w:val="en-GB"/>
              </w:rPr>
              <w:t xml:space="preserve">workshop, for </w:t>
            </w:r>
            <w:r w:rsidR="00017176" w:rsidRPr="000F0222">
              <w:rPr>
                <w:sz w:val="22"/>
                <w:szCs w:val="22"/>
                <w:lang w:val="en-GB"/>
              </w:rPr>
              <w:t xml:space="preserve">the five </w:t>
            </w:r>
            <w:r w:rsidR="009058FB" w:rsidRPr="000F0222">
              <w:rPr>
                <w:sz w:val="22"/>
                <w:szCs w:val="22"/>
                <w:lang w:val="en-GB"/>
              </w:rPr>
              <w:t xml:space="preserve">Portuguese-speaking countries in Africa </w:t>
            </w:r>
            <w:r w:rsidR="00017176" w:rsidRPr="000F0222">
              <w:rPr>
                <w:sz w:val="22"/>
                <w:szCs w:val="22"/>
                <w:lang w:val="en-GB"/>
              </w:rPr>
              <w:t>(</w:t>
            </w:r>
            <w:r w:rsidR="003100A3" w:rsidRPr="000F0222">
              <w:rPr>
                <w:sz w:val="22"/>
                <w:szCs w:val="22"/>
                <w:lang w:val="en-GB"/>
              </w:rPr>
              <w:t>January 2014</w:t>
            </w:r>
            <w:r w:rsidR="00017176" w:rsidRPr="000F0222">
              <w:rPr>
                <w:sz w:val="22"/>
                <w:szCs w:val="22"/>
                <w:lang w:val="en-GB"/>
              </w:rPr>
              <w:t>,</w:t>
            </w:r>
            <w:r w:rsidR="003100A3" w:rsidRPr="000F0222">
              <w:rPr>
                <w:sz w:val="22"/>
                <w:szCs w:val="22"/>
                <w:lang w:val="en-GB"/>
              </w:rPr>
              <w:t xml:space="preserve"> Luanda, Angola</w:t>
            </w:r>
            <w:r w:rsidR="00017176" w:rsidRPr="000F0222">
              <w:rPr>
                <w:sz w:val="22"/>
                <w:szCs w:val="22"/>
                <w:lang w:val="en-GB"/>
              </w:rPr>
              <w:t>)</w:t>
            </w:r>
            <w:r w:rsidR="003100A3" w:rsidRPr="000F0222">
              <w:rPr>
                <w:sz w:val="22"/>
                <w:szCs w:val="22"/>
                <w:lang w:val="en-GB"/>
              </w:rPr>
              <w:t xml:space="preserve"> brought together 21 </w:t>
            </w:r>
            <w:r w:rsidR="00017176" w:rsidRPr="000F0222">
              <w:rPr>
                <w:sz w:val="22"/>
                <w:szCs w:val="22"/>
                <w:lang w:val="en-GB"/>
              </w:rPr>
              <w:t>technical experts</w:t>
            </w:r>
            <w:r w:rsidR="00B960E5" w:rsidRPr="000F0222">
              <w:rPr>
                <w:sz w:val="22"/>
                <w:szCs w:val="22"/>
                <w:lang w:val="en-GB"/>
              </w:rPr>
              <w:t>.</w:t>
            </w:r>
            <w:r w:rsidR="003100A3" w:rsidRPr="000F0222">
              <w:rPr>
                <w:sz w:val="22"/>
                <w:szCs w:val="22"/>
                <w:lang w:val="en-GB"/>
              </w:rPr>
              <w:t xml:space="preserve"> </w:t>
            </w:r>
          </w:p>
          <w:p w14:paraId="4C6F1D7A" w14:textId="77777777" w:rsidR="009058FB" w:rsidRPr="000F0222" w:rsidRDefault="009058FB" w:rsidP="009058FB">
            <w:pPr>
              <w:rPr>
                <w:sz w:val="22"/>
                <w:szCs w:val="22"/>
                <w:lang w:val="en-GB"/>
              </w:rPr>
            </w:pPr>
          </w:p>
          <w:p w14:paraId="5DCAAF0E" w14:textId="4F66E099" w:rsidR="009058FB" w:rsidRPr="000F0222" w:rsidRDefault="009058FB" w:rsidP="009058FB">
            <w:pPr>
              <w:rPr>
                <w:lang w:val="en-GB"/>
              </w:rPr>
            </w:pPr>
            <w:r w:rsidRPr="000F0222">
              <w:rPr>
                <w:sz w:val="22"/>
                <w:szCs w:val="22"/>
                <w:lang w:val="en-GB"/>
              </w:rPr>
              <w:t xml:space="preserve">The focus of these </w:t>
            </w:r>
            <w:proofErr w:type="spellStart"/>
            <w:r w:rsidRPr="000F0222">
              <w:rPr>
                <w:sz w:val="22"/>
                <w:szCs w:val="22"/>
                <w:lang w:val="en-GB"/>
              </w:rPr>
              <w:t>ToT’s</w:t>
            </w:r>
            <w:proofErr w:type="spellEnd"/>
            <w:r w:rsidRPr="000F0222">
              <w:rPr>
                <w:sz w:val="22"/>
                <w:szCs w:val="22"/>
                <w:lang w:val="en-GB"/>
              </w:rPr>
              <w:t xml:space="preserve"> has not been on CEPA per se, although the workshops do include CEPA related topics</w:t>
            </w:r>
            <w:r w:rsidR="00252ADD" w:rsidRPr="000F0222">
              <w:rPr>
                <w:sz w:val="22"/>
                <w:szCs w:val="22"/>
                <w:lang w:val="en-GB"/>
              </w:rPr>
              <w:t xml:space="preserve"> and training elements</w:t>
            </w:r>
            <w:r w:rsidRPr="000F0222">
              <w:rPr>
                <w:sz w:val="22"/>
                <w:szCs w:val="22"/>
                <w:lang w:val="en-GB"/>
              </w:rPr>
              <w:t>.</w:t>
            </w:r>
          </w:p>
          <w:p w14:paraId="43AA9C7A" w14:textId="77777777" w:rsidR="009058FB" w:rsidRPr="000F0222" w:rsidRDefault="009058FB" w:rsidP="009058FB">
            <w:pPr>
              <w:rPr>
                <w:sz w:val="22"/>
                <w:szCs w:val="22"/>
                <w:lang w:val="en-GB"/>
              </w:rPr>
            </w:pPr>
          </w:p>
          <w:p w14:paraId="0341DFD9" w14:textId="1F2392F7" w:rsidR="00B960E5" w:rsidRPr="000F0222" w:rsidRDefault="00B960E5" w:rsidP="009058FB">
            <w:pPr>
              <w:rPr>
                <w:sz w:val="22"/>
                <w:szCs w:val="22"/>
                <w:lang w:val="en-GB"/>
              </w:rPr>
            </w:pPr>
            <w:r w:rsidRPr="000F0222">
              <w:rPr>
                <w:b/>
                <w:sz w:val="22"/>
                <w:szCs w:val="22"/>
                <w:lang w:val="en-GB"/>
              </w:rPr>
              <w:t>Change since MOP</w:t>
            </w:r>
            <w:r w:rsidR="00223348" w:rsidRPr="000F0222">
              <w:rPr>
                <w:b/>
                <w:sz w:val="22"/>
                <w:szCs w:val="22"/>
                <w:lang w:val="en-GB"/>
              </w:rPr>
              <w:t>4</w:t>
            </w:r>
            <w:r w:rsidRPr="000F0222">
              <w:rPr>
                <w:b/>
                <w:sz w:val="22"/>
                <w:szCs w:val="22"/>
                <w:lang w:val="en-GB"/>
              </w:rPr>
              <w:t>:</w:t>
            </w:r>
            <w:r w:rsidRPr="000F0222">
              <w:rPr>
                <w:sz w:val="22"/>
                <w:szCs w:val="22"/>
                <w:lang w:val="en-GB"/>
              </w:rPr>
              <w:t xml:space="preserve"> Positive. Two </w:t>
            </w:r>
            <w:proofErr w:type="spellStart"/>
            <w:r w:rsidRPr="000F0222">
              <w:rPr>
                <w:sz w:val="22"/>
                <w:szCs w:val="22"/>
                <w:lang w:val="en-GB"/>
              </w:rPr>
              <w:t>ToT</w:t>
            </w:r>
            <w:proofErr w:type="spellEnd"/>
            <w:r w:rsidRPr="000F0222">
              <w:rPr>
                <w:sz w:val="22"/>
                <w:szCs w:val="22"/>
                <w:lang w:val="en-GB"/>
              </w:rPr>
              <w:t xml:space="preserve"> training workshops took place.</w:t>
            </w:r>
          </w:p>
          <w:p w14:paraId="11352E0C" w14:textId="1BCC46F2" w:rsidR="00B960E5" w:rsidRDefault="00B960E5" w:rsidP="009058FB">
            <w:pPr>
              <w:rPr>
                <w:sz w:val="22"/>
                <w:szCs w:val="22"/>
                <w:lang w:val="en-GB"/>
              </w:rPr>
            </w:pPr>
          </w:p>
          <w:p w14:paraId="06CA804B" w14:textId="77777777" w:rsidR="00E87B18" w:rsidRPr="000F0222" w:rsidRDefault="00E87B18" w:rsidP="009058FB">
            <w:pPr>
              <w:rPr>
                <w:sz w:val="22"/>
                <w:szCs w:val="22"/>
                <w:lang w:val="en-GB"/>
              </w:rPr>
            </w:pPr>
          </w:p>
          <w:p w14:paraId="4B88D2ED" w14:textId="77777777" w:rsidR="008710CC" w:rsidRDefault="009058FB" w:rsidP="00127826">
            <w:pPr>
              <w:rPr>
                <w:sz w:val="22"/>
                <w:szCs w:val="22"/>
                <w:lang w:val="en-GB"/>
              </w:rPr>
            </w:pPr>
            <w:r w:rsidRPr="000F0222">
              <w:rPr>
                <w:b/>
                <w:sz w:val="22"/>
                <w:szCs w:val="22"/>
                <w:lang w:val="en-GB"/>
              </w:rPr>
              <w:lastRenderedPageBreak/>
              <w:t xml:space="preserve">Reference: </w:t>
            </w:r>
            <w:r w:rsidR="00223348" w:rsidRPr="000F0222">
              <w:rPr>
                <w:sz w:val="22"/>
                <w:szCs w:val="22"/>
                <w:lang w:val="en-GB"/>
              </w:rPr>
              <w:t xml:space="preserve">Report on the Implementation of the African Initiative and </w:t>
            </w:r>
          </w:p>
          <w:p w14:paraId="6BE718C6" w14:textId="3156022A" w:rsidR="00667721" w:rsidRPr="000F0222" w:rsidRDefault="00223348" w:rsidP="000F0222">
            <w:pPr>
              <w:rPr>
                <w:sz w:val="22"/>
                <w:szCs w:val="22"/>
                <w:lang w:val="en-GB"/>
              </w:rPr>
            </w:pPr>
            <w:r w:rsidRPr="000F0222">
              <w:rPr>
                <w:sz w:val="22"/>
                <w:szCs w:val="22"/>
                <w:lang w:val="en-GB"/>
              </w:rPr>
              <w:t>the Plan of Action for Africa 2012-2018</w:t>
            </w:r>
            <w:r w:rsidR="009058FB" w:rsidRPr="000F0222">
              <w:rPr>
                <w:sz w:val="22"/>
                <w:szCs w:val="22"/>
                <w:lang w:val="en-GB"/>
              </w:rPr>
              <w:t xml:space="preserve"> </w:t>
            </w:r>
            <w:r w:rsidR="00127826" w:rsidRPr="000F0222">
              <w:rPr>
                <w:sz w:val="22"/>
                <w:szCs w:val="22"/>
                <w:lang w:val="en-GB"/>
              </w:rPr>
              <w:t>(</w:t>
            </w:r>
            <w:r w:rsidR="00981732" w:rsidRPr="000F0222">
              <w:rPr>
                <w:sz w:val="22"/>
                <w:szCs w:val="22"/>
                <w:lang w:val="en-GB"/>
              </w:rPr>
              <w:t xml:space="preserve">document </w:t>
            </w:r>
            <w:r w:rsidR="00981732">
              <w:rPr>
                <w:sz w:val="22"/>
                <w:szCs w:val="22"/>
                <w:lang w:val="en-GB"/>
              </w:rPr>
              <w:t>AEWA</w:t>
            </w:r>
            <w:r w:rsidR="009058FB" w:rsidRPr="000F0222">
              <w:rPr>
                <w:sz w:val="22"/>
                <w:szCs w:val="22"/>
                <w:lang w:val="en-GB"/>
              </w:rPr>
              <w:t xml:space="preserve">/MOP </w:t>
            </w:r>
            <w:r w:rsidRPr="000F0222">
              <w:rPr>
                <w:sz w:val="22"/>
                <w:szCs w:val="22"/>
                <w:lang w:val="en-GB"/>
              </w:rPr>
              <w:t>7</w:t>
            </w:r>
            <w:r w:rsidR="009058FB" w:rsidRPr="000F0222">
              <w:rPr>
                <w:sz w:val="22"/>
                <w:szCs w:val="22"/>
                <w:lang w:val="en-GB"/>
              </w:rPr>
              <w:t>.</w:t>
            </w:r>
            <w:r w:rsidR="00942732" w:rsidRPr="000F0222">
              <w:rPr>
                <w:sz w:val="22"/>
                <w:szCs w:val="22"/>
                <w:lang w:val="en-GB"/>
              </w:rPr>
              <w:t>11</w:t>
            </w:r>
            <w:r w:rsidR="009058FB" w:rsidRPr="000F0222">
              <w:rPr>
                <w:sz w:val="22"/>
                <w:szCs w:val="22"/>
                <w:lang w:val="en-GB"/>
              </w:rPr>
              <w:t>)</w:t>
            </w:r>
          </w:p>
        </w:tc>
      </w:tr>
      <w:tr w:rsidR="009058FB" w:rsidRPr="004779F8" w14:paraId="7DF70615" w14:textId="77777777" w:rsidTr="00127826">
        <w:trPr>
          <w:trHeight w:val="1014"/>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07CC3193" w14:textId="0CAED696" w:rsidR="009058FB" w:rsidRPr="004779F8"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3F9684F5" w14:textId="77777777" w:rsidR="009058FB" w:rsidRPr="004779F8"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C777975" w14:textId="77777777" w:rsidR="009058FB" w:rsidRPr="004779F8" w:rsidRDefault="009058FB" w:rsidP="009058FB">
            <w:pPr>
              <w:rPr>
                <w:b/>
                <w:sz w:val="22"/>
                <w:szCs w:val="22"/>
                <w:lang w:val="en-GB"/>
              </w:rPr>
            </w:pPr>
          </w:p>
          <w:p w14:paraId="5E7B37CC" w14:textId="77777777" w:rsidR="009058FB" w:rsidRPr="004779F8" w:rsidRDefault="009058FB" w:rsidP="009058FB">
            <w:pPr>
              <w:rPr>
                <w:b/>
                <w:sz w:val="22"/>
                <w:szCs w:val="22"/>
                <w:lang w:val="en-GB"/>
              </w:rPr>
            </w:pPr>
            <w:r w:rsidRPr="004779F8">
              <w:rPr>
                <w:b/>
                <w:sz w:val="22"/>
                <w:szCs w:val="22"/>
                <w:lang w:val="en-GB"/>
              </w:rPr>
              <w:t xml:space="preserve">In at least three AEWA regions, follow-up trainings for CEPA at the national level have been conducted by the people trained under target 3.3 (CS 3.2) </w:t>
            </w:r>
          </w:p>
          <w:p w14:paraId="38187316"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D03F500" w14:textId="77777777" w:rsidR="009058FB" w:rsidRPr="000F0222" w:rsidRDefault="009058FB" w:rsidP="009058FB">
            <w:pPr>
              <w:rPr>
                <w:sz w:val="22"/>
                <w:szCs w:val="22"/>
                <w:lang w:val="en-GB"/>
              </w:rPr>
            </w:pPr>
          </w:p>
          <w:p w14:paraId="3BDACAF4" w14:textId="45A64A11" w:rsidR="009058FB" w:rsidRPr="000F0222" w:rsidRDefault="00BD5A0D" w:rsidP="009058FB">
            <w:pPr>
              <w:rPr>
                <w:sz w:val="22"/>
                <w:szCs w:val="22"/>
                <w:lang w:val="en-GB"/>
              </w:rPr>
            </w:pPr>
            <w:r w:rsidRPr="000F0222">
              <w:rPr>
                <w:sz w:val="22"/>
                <w:szCs w:val="22"/>
                <w:lang w:val="en-GB"/>
              </w:rPr>
              <w:t>Only one CP reported that training for CEPA, conducted by staff trained in the framework of the AEWA Training of Trainers programme, had taken place</w:t>
            </w:r>
            <w:r w:rsidR="009058FB" w:rsidRPr="000F0222">
              <w:rPr>
                <w:sz w:val="22"/>
                <w:szCs w:val="22"/>
                <w:lang w:val="en-GB"/>
              </w:rPr>
              <w:t xml:space="preserve">. </w:t>
            </w:r>
            <w:r w:rsidR="007D79CD" w:rsidRPr="000F0222">
              <w:rPr>
                <w:sz w:val="22"/>
                <w:szCs w:val="22"/>
                <w:lang w:val="en-GB"/>
              </w:rPr>
              <w:t>T</w:t>
            </w:r>
            <w:r w:rsidR="00223348" w:rsidRPr="000F0222">
              <w:rPr>
                <w:sz w:val="22"/>
                <w:szCs w:val="22"/>
                <w:lang w:val="en-GB"/>
              </w:rPr>
              <w:t>hree</w:t>
            </w:r>
            <w:r w:rsidR="007D79CD" w:rsidRPr="000F0222">
              <w:rPr>
                <w:sz w:val="22"/>
                <w:szCs w:val="22"/>
                <w:lang w:val="en-GB"/>
              </w:rPr>
              <w:t xml:space="preserve"> Parties reported that AEWA Training of Trainers programme are being planned in their country.</w:t>
            </w:r>
          </w:p>
          <w:p w14:paraId="53A8D732" w14:textId="77777777" w:rsidR="00BD5A0D" w:rsidRPr="000F0222" w:rsidRDefault="00BD5A0D" w:rsidP="009058FB">
            <w:pPr>
              <w:rPr>
                <w:sz w:val="22"/>
                <w:szCs w:val="22"/>
                <w:lang w:val="en-GB"/>
              </w:rPr>
            </w:pPr>
          </w:p>
          <w:p w14:paraId="0F5469DD" w14:textId="3B718895" w:rsidR="00BD5A0D" w:rsidRPr="000F0222" w:rsidRDefault="00BD5A0D" w:rsidP="009058FB">
            <w:pPr>
              <w:rPr>
                <w:sz w:val="22"/>
                <w:szCs w:val="22"/>
                <w:lang w:val="en-GB"/>
              </w:rPr>
            </w:pPr>
            <w:r w:rsidRPr="000F0222">
              <w:rPr>
                <w:b/>
                <w:sz w:val="22"/>
                <w:szCs w:val="22"/>
                <w:lang w:val="en-GB"/>
              </w:rPr>
              <w:t>Change since MOP</w:t>
            </w:r>
            <w:r w:rsidR="00223348" w:rsidRPr="000F0222">
              <w:rPr>
                <w:b/>
                <w:sz w:val="22"/>
                <w:szCs w:val="22"/>
                <w:lang w:val="en-GB"/>
              </w:rPr>
              <w:t>4</w:t>
            </w:r>
            <w:r w:rsidRPr="000F0222">
              <w:rPr>
                <w:b/>
                <w:sz w:val="22"/>
                <w:szCs w:val="22"/>
                <w:lang w:val="en-GB"/>
              </w:rPr>
              <w:t>:</w:t>
            </w:r>
            <w:r w:rsidRPr="000F0222">
              <w:rPr>
                <w:sz w:val="22"/>
                <w:szCs w:val="22"/>
                <w:lang w:val="en-GB"/>
              </w:rPr>
              <w:t xml:space="preserve"> Slightly positive. One national training has taken place</w:t>
            </w:r>
            <w:r w:rsidR="007D79CD" w:rsidRPr="000F0222">
              <w:rPr>
                <w:sz w:val="22"/>
                <w:szCs w:val="22"/>
                <w:lang w:val="en-GB"/>
              </w:rPr>
              <w:t xml:space="preserve"> and t</w:t>
            </w:r>
            <w:r w:rsidR="00223348" w:rsidRPr="000F0222">
              <w:rPr>
                <w:sz w:val="22"/>
                <w:szCs w:val="22"/>
                <w:lang w:val="en-GB"/>
              </w:rPr>
              <w:t>hree</w:t>
            </w:r>
            <w:r w:rsidRPr="000F0222">
              <w:rPr>
                <w:sz w:val="22"/>
                <w:szCs w:val="22"/>
                <w:lang w:val="en-GB"/>
              </w:rPr>
              <w:t xml:space="preserve">. </w:t>
            </w:r>
          </w:p>
          <w:p w14:paraId="346E0ED0" w14:textId="77777777" w:rsidR="009058FB" w:rsidRPr="000F0222" w:rsidRDefault="009058FB" w:rsidP="009058FB">
            <w:pPr>
              <w:rPr>
                <w:sz w:val="22"/>
                <w:szCs w:val="22"/>
                <w:lang w:val="en-GB"/>
              </w:rPr>
            </w:pPr>
          </w:p>
          <w:p w14:paraId="24C75A7B" w14:textId="77777777" w:rsidR="008710CC" w:rsidRDefault="009058FB" w:rsidP="00223348">
            <w:pPr>
              <w:rPr>
                <w:sz w:val="22"/>
                <w:szCs w:val="22"/>
                <w:lang w:val="en-GB"/>
              </w:rPr>
            </w:pPr>
            <w:r w:rsidRPr="000F0222">
              <w:rPr>
                <w:b/>
                <w:sz w:val="22"/>
                <w:szCs w:val="22"/>
                <w:lang w:val="en-GB"/>
              </w:rPr>
              <w:t xml:space="preserve">Reference: </w:t>
            </w:r>
            <w:r w:rsidR="00BD5A0D" w:rsidRPr="000F0222">
              <w:rPr>
                <w:sz w:val="22"/>
                <w:szCs w:val="22"/>
                <w:lang w:val="en-GB"/>
              </w:rPr>
              <w:t xml:space="preserve">Analysis of </w:t>
            </w:r>
            <w:r w:rsidR="00223348" w:rsidRPr="000F0222">
              <w:rPr>
                <w:sz w:val="22"/>
                <w:szCs w:val="22"/>
                <w:lang w:val="en-GB"/>
              </w:rPr>
              <w:t xml:space="preserve">the </w:t>
            </w:r>
            <w:r w:rsidR="00BD5A0D" w:rsidRPr="000F0222">
              <w:rPr>
                <w:sz w:val="22"/>
                <w:szCs w:val="22"/>
                <w:lang w:val="en-GB"/>
              </w:rPr>
              <w:t xml:space="preserve">AEWA National reports for the </w:t>
            </w:r>
            <w:r w:rsidR="00223348" w:rsidRPr="000F0222">
              <w:rPr>
                <w:sz w:val="22"/>
                <w:szCs w:val="22"/>
                <w:lang w:val="en-GB"/>
              </w:rPr>
              <w:t>T</w:t>
            </w:r>
            <w:r w:rsidR="00BD5A0D" w:rsidRPr="000F0222">
              <w:rPr>
                <w:sz w:val="22"/>
                <w:szCs w:val="22"/>
                <w:lang w:val="en-GB"/>
              </w:rPr>
              <w:t>riennium</w:t>
            </w:r>
            <w:r w:rsidR="00127826" w:rsidRPr="000F0222">
              <w:rPr>
                <w:sz w:val="22"/>
                <w:szCs w:val="22"/>
                <w:lang w:val="en-GB"/>
              </w:rPr>
              <w:t xml:space="preserve"> </w:t>
            </w:r>
          </w:p>
          <w:p w14:paraId="6E84F6A5" w14:textId="66A7166B" w:rsidR="009058FB" w:rsidRPr="000F0222" w:rsidRDefault="008710CC" w:rsidP="00223348">
            <w:pPr>
              <w:rPr>
                <w:sz w:val="22"/>
                <w:szCs w:val="22"/>
                <w:lang w:val="en-GB"/>
              </w:rPr>
            </w:pPr>
            <w:r>
              <w:rPr>
                <w:sz w:val="22"/>
                <w:szCs w:val="22"/>
                <w:lang w:val="en-GB"/>
              </w:rPr>
              <w:t xml:space="preserve">                   </w:t>
            </w:r>
            <w:r w:rsidR="00BD5A0D" w:rsidRPr="000F0222">
              <w:rPr>
                <w:sz w:val="22"/>
                <w:szCs w:val="22"/>
                <w:lang w:val="en-GB"/>
              </w:rPr>
              <w:t>201</w:t>
            </w:r>
            <w:r w:rsidR="00223348" w:rsidRPr="000F0222">
              <w:rPr>
                <w:sz w:val="22"/>
                <w:szCs w:val="22"/>
                <w:lang w:val="en-GB"/>
              </w:rPr>
              <w:t>5</w:t>
            </w:r>
            <w:r w:rsidR="00BD5A0D" w:rsidRPr="000F0222">
              <w:rPr>
                <w:sz w:val="22"/>
                <w:szCs w:val="22"/>
                <w:lang w:val="en-GB"/>
              </w:rPr>
              <w:t>-201</w:t>
            </w:r>
            <w:r w:rsidR="00223348" w:rsidRPr="000F0222">
              <w:rPr>
                <w:sz w:val="22"/>
                <w:szCs w:val="22"/>
                <w:lang w:val="en-GB"/>
              </w:rPr>
              <w:t>7</w:t>
            </w:r>
            <w:r w:rsidR="00BD5A0D" w:rsidRPr="000F0222">
              <w:rPr>
                <w:sz w:val="22"/>
                <w:szCs w:val="22"/>
                <w:lang w:val="en-GB"/>
              </w:rPr>
              <w:t xml:space="preserve"> (document AEWA/MOP </w:t>
            </w:r>
            <w:r w:rsidR="00223348" w:rsidRPr="000F0222">
              <w:rPr>
                <w:sz w:val="22"/>
                <w:szCs w:val="22"/>
                <w:lang w:val="en-GB"/>
              </w:rPr>
              <w:t>7</w:t>
            </w:r>
            <w:r w:rsidR="00BD5A0D" w:rsidRPr="000F0222">
              <w:rPr>
                <w:sz w:val="22"/>
                <w:szCs w:val="22"/>
                <w:lang w:val="en-GB"/>
              </w:rPr>
              <w:t>.1</w:t>
            </w:r>
            <w:r w:rsidR="00223348" w:rsidRPr="000F0222">
              <w:rPr>
                <w:sz w:val="22"/>
                <w:szCs w:val="22"/>
                <w:lang w:val="en-GB"/>
              </w:rPr>
              <w:t>2</w:t>
            </w:r>
            <w:r w:rsidR="00BD5A0D" w:rsidRPr="000F0222">
              <w:rPr>
                <w:sz w:val="22"/>
                <w:szCs w:val="22"/>
                <w:lang w:val="en-GB"/>
              </w:rPr>
              <w:t>)</w:t>
            </w:r>
          </w:p>
        </w:tc>
      </w:tr>
      <w:tr w:rsidR="009058FB" w:rsidRPr="004779F8" w14:paraId="44D9FFF2" w14:textId="77777777" w:rsidTr="009B6A3A">
        <w:trPr>
          <w:trHeight w:val="581"/>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08B1546F" w14:textId="77777777" w:rsidR="009058FB" w:rsidRPr="004779F8"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1600E318" w14:textId="77777777" w:rsidR="009058FB" w:rsidRPr="004779F8"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B14CF1C" w14:textId="77777777" w:rsidR="009058FB" w:rsidRPr="004779F8" w:rsidRDefault="009058FB" w:rsidP="009058FB">
            <w:pPr>
              <w:rPr>
                <w:b/>
                <w:sz w:val="22"/>
                <w:szCs w:val="22"/>
                <w:lang w:val="en-GB"/>
              </w:rPr>
            </w:pPr>
          </w:p>
          <w:p w14:paraId="285A3246" w14:textId="77777777" w:rsidR="009058FB" w:rsidRPr="004779F8" w:rsidRDefault="009058FB" w:rsidP="009058FB">
            <w:pPr>
              <w:rPr>
                <w:b/>
                <w:sz w:val="22"/>
                <w:szCs w:val="22"/>
                <w:lang w:val="en-GB"/>
              </w:rPr>
            </w:pPr>
            <w:r w:rsidRPr="004779F8">
              <w:rPr>
                <w:b/>
                <w:sz w:val="22"/>
                <w:szCs w:val="22"/>
                <w:lang w:val="en-GB"/>
              </w:rPr>
              <w:t>Regional Centres for the exchange of information on AEWA have been established in all regions (CS 2.2)</w:t>
            </w:r>
          </w:p>
          <w:p w14:paraId="27477DC0"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CAFEBD0" w14:textId="77777777" w:rsidR="009058FB" w:rsidRPr="000F0222" w:rsidRDefault="009058FB" w:rsidP="009058FB">
            <w:pPr>
              <w:rPr>
                <w:sz w:val="22"/>
                <w:szCs w:val="22"/>
                <w:lang w:val="en-GB"/>
              </w:rPr>
            </w:pPr>
          </w:p>
          <w:p w14:paraId="52BD271B" w14:textId="5F38BC04" w:rsidR="009B08DC" w:rsidRPr="000F0222" w:rsidRDefault="009B08DC" w:rsidP="009058FB">
            <w:pPr>
              <w:rPr>
                <w:sz w:val="22"/>
                <w:szCs w:val="22"/>
                <w:lang w:val="en-GB"/>
              </w:rPr>
            </w:pPr>
            <w:r w:rsidRPr="000F0222">
              <w:rPr>
                <w:sz w:val="22"/>
                <w:szCs w:val="22"/>
                <w:lang w:val="en-GB"/>
              </w:rPr>
              <w:t>While 4</w:t>
            </w:r>
            <w:r w:rsidR="00174D91" w:rsidRPr="000F0222">
              <w:rPr>
                <w:sz w:val="22"/>
                <w:szCs w:val="22"/>
                <w:lang w:val="en-GB"/>
              </w:rPr>
              <w:t>7</w:t>
            </w:r>
            <w:r w:rsidRPr="000F0222">
              <w:rPr>
                <w:sz w:val="22"/>
                <w:szCs w:val="22"/>
                <w:lang w:val="en-GB"/>
              </w:rPr>
              <w:t xml:space="preserve">% of Contracting Parties reported that they had not yet considered hosting a Regional AEWA Exchange Centre, </w:t>
            </w:r>
            <w:r w:rsidR="005030EF" w:rsidRPr="000F0222">
              <w:rPr>
                <w:sz w:val="22"/>
                <w:szCs w:val="22"/>
                <w:lang w:val="en-GB"/>
              </w:rPr>
              <w:t>10</w:t>
            </w:r>
            <w:r w:rsidR="00174D91" w:rsidRPr="000F0222">
              <w:rPr>
                <w:sz w:val="22"/>
                <w:szCs w:val="22"/>
                <w:lang w:val="en-GB"/>
              </w:rPr>
              <w:t xml:space="preserve"> </w:t>
            </w:r>
            <w:r w:rsidRPr="000F0222">
              <w:rPr>
                <w:sz w:val="22"/>
                <w:szCs w:val="22"/>
                <w:lang w:val="en-GB"/>
              </w:rPr>
              <w:t>Parties (</w:t>
            </w:r>
            <w:r w:rsidR="005030EF" w:rsidRPr="000F0222">
              <w:rPr>
                <w:sz w:val="22"/>
                <w:szCs w:val="22"/>
                <w:lang w:val="en-GB"/>
              </w:rPr>
              <w:t xml:space="preserve">Czech Republic, Djibouti, </w:t>
            </w:r>
            <w:proofErr w:type="spellStart"/>
            <w:r w:rsidR="005030EF" w:rsidRPr="000F0222">
              <w:rPr>
                <w:sz w:val="22"/>
                <w:szCs w:val="22"/>
                <w:lang w:val="en-GB"/>
              </w:rPr>
              <w:t>Eswatini</w:t>
            </w:r>
            <w:proofErr w:type="spellEnd"/>
            <w:r w:rsidR="005030EF" w:rsidRPr="000F0222">
              <w:rPr>
                <w:sz w:val="22"/>
                <w:szCs w:val="22"/>
                <w:lang w:val="en-GB"/>
              </w:rPr>
              <w:t xml:space="preserve">, </w:t>
            </w:r>
            <w:r w:rsidRPr="000F0222">
              <w:rPr>
                <w:sz w:val="22"/>
                <w:szCs w:val="22"/>
                <w:lang w:val="en-GB"/>
              </w:rPr>
              <w:t xml:space="preserve">Ethiopia, </w:t>
            </w:r>
            <w:r w:rsidR="005030EF" w:rsidRPr="000F0222">
              <w:rPr>
                <w:sz w:val="22"/>
                <w:szCs w:val="22"/>
                <w:lang w:val="en-GB"/>
              </w:rPr>
              <w:t xml:space="preserve">Finland, </w:t>
            </w:r>
            <w:r w:rsidRPr="000F0222">
              <w:rPr>
                <w:sz w:val="22"/>
                <w:szCs w:val="22"/>
                <w:lang w:val="en-GB"/>
              </w:rPr>
              <w:t xml:space="preserve">Germany, </w:t>
            </w:r>
            <w:r w:rsidR="005030EF" w:rsidRPr="000F0222">
              <w:rPr>
                <w:sz w:val="22"/>
                <w:szCs w:val="22"/>
                <w:lang w:val="en-GB"/>
              </w:rPr>
              <w:t xml:space="preserve">Ghana, </w:t>
            </w:r>
            <w:r w:rsidRPr="000F0222">
              <w:rPr>
                <w:sz w:val="22"/>
                <w:szCs w:val="22"/>
                <w:lang w:val="en-GB"/>
              </w:rPr>
              <w:t>Morocco</w:t>
            </w:r>
            <w:r w:rsidR="005030EF" w:rsidRPr="000F0222">
              <w:rPr>
                <w:sz w:val="22"/>
                <w:szCs w:val="22"/>
                <w:lang w:val="en-GB"/>
              </w:rPr>
              <w:t>, Senegal</w:t>
            </w:r>
            <w:r w:rsidRPr="000F0222">
              <w:rPr>
                <w:sz w:val="22"/>
                <w:szCs w:val="22"/>
                <w:lang w:val="en-GB"/>
              </w:rPr>
              <w:t xml:space="preserve"> and South Africa) indicated that they have considered and are interested in hosting a Regional AEWA Exchange Centre, while </w:t>
            </w:r>
            <w:r w:rsidR="005030EF" w:rsidRPr="000F0222">
              <w:rPr>
                <w:sz w:val="22"/>
                <w:szCs w:val="22"/>
                <w:lang w:val="en-GB"/>
              </w:rPr>
              <w:t xml:space="preserve">four </w:t>
            </w:r>
            <w:r w:rsidRPr="000F0222">
              <w:rPr>
                <w:sz w:val="22"/>
                <w:szCs w:val="22"/>
                <w:lang w:val="en-GB"/>
              </w:rPr>
              <w:t>Parties (</w:t>
            </w:r>
            <w:r w:rsidR="005030EF" w:rsidRPr="000F0222">
              <w:rPr>
                <w:sz w:val="22"/>
                <w:szCs w:val="22"/>
                <w:lang w:val="en-GB"/>
              </w:rPr>
              <w:t xml:space="preserve">Benin, Guinea-Bissau, Romania and </w:t>
            </w:r>
            <w:r w:rsidRPr="000F0222">
              <w:rPr>
                <w:sz w:val="22"/>
                <w:szCs w:val="22"/>
                <w:lang w:val="en-GB"/>
              </w:rPr>
              <w:t>Slovakia) indicated that they are currently considering it.</w:t>
            </w:r>
          </w:p>
          <w:p w14:paraId="28EE7276" w14:textId="77777777" w:rsidR="009B08DC" w:rsidRPr="000F0222" w:rsidRDefault="009B08DC" w:rsidP="009058FB">
            <w:pPr>
              <w:rPr>
                <w:sz w:val="22"/>
                <w:szCs w:val="22"/>
                <w:lang w:val="en-GB"/>
              </w:rPr>
            </w:pPr>
          </w:p>
          <w:p w14:paraId="03F68C31" w14:textId="00DE06C5" w:rsidR="009058FB" w:rsidRPr="000F0222" w:rsidRDefault="009058FB" w:rsidP="009058FB">
            <w:pPr>
              <w:rPr>
                <w:sz w:val="22"/>
                <w:szCs w:val="22"/>
                <w:lang w:val="en-GB"/>
              </w:rPr>
            </w:pPr>
            <w:r w:rsidRPr="000F0222">
              <w:rPr>
                <w:sz w:val="22"/>
                <w:szCs w:val="22"/>
                <w:lang w:val="en-GB"/>
              </w:rPr>
              <w:t xml:space="preserve">The four regional </w:t>
            </w:r>
            <w:r w:rsidR="00981732" w:rsidRPr="000F0222">
              <w:rPr>
                <w:sz w:val="22"/>
                <w:szCs w:val="22"/>
                <w:lang w:val="en-GB"/>
              </w:rPr>
              <w:t>centres</w:t>
            </w:r>
            <w:r w:rsidRPr="000F0222">
              <w:rPr>
                <w:sz w:val="22"/>
                <w:szCs w:val="22"/>
                <w:lang w:val="en-GB"/>
              </w:rPr>
              <w:t xml:space="preserve"> established in the framework of Wings over Wetlands (WOW) project in Dakar, Almaty &amp; Moscow, Nairobi and Amman, in many ways, function</w:t>
            </w:r>
            <w:r w:rsidR="009B08DC" w:rsidRPr="000F0222">
              <w:rPr>
                <w:sz w:val="22"/>
                <w:szCs w:val="22"/>
                <w:lang w:val="en-GB"/>
              </w:rPr>
              <w:t>ed</w:t>
            </w:r>
            <w:r w:rsidRPr="000F0222">
              <w:rPr>
                <w:sz w:val="22"/>
                <w:szCs w:val="22"/>
                <w:lang w:val="en-GB"/>
              </w:rPr>
              <w:t xml:space="preserve"> as </w:t>
            </w:r>
            <w:r w:rsidRPr="000F0222">
              <w:rPr>
                <w:i/>
                <w:sz w:val="22"/>
                <w:szCs w:val="22"/>
                <w:lang w:val="en-GB"/>
              </w:rPr>
              <w:t>de facto</w:t>
            </w:r>
            <w:r w:rsidRPr="000F0222">
              <w:rPr>
                <w:sz w:val="22"/>
                <w:szCs w:val="22"/>
                <w:lang w:val="en-GB"/>
              </w:rPr>
              <w:t xml:space="preserve"> information exchange and capacity building centres on AEWA over the course of WOW project implementation (2006-2010). </w:t>
            </w:r>
            <w:r w:rsidR="009B08DC" w:rsidRPr="000F0222">
              <w:rPr>
                <w:sz w:val="22"/>
                <w:szCs w:val="22"/>
                <w:lang w:val="en-GB"/>
              </w:rPr>
              <w:t>However, a</w:t>
            </w:r>
            <w:r w:rsidRPr="000F0222">
              <w:rPr>
                <w:sz w:val="22"/>
                <w:szCs w:val="22"/>
                <w:lang w:val="en-GB"/>
              </w:rPr>
              <w:t xml:space="preserve">fter the closure of the project the level of activity of these centres has significantly reduced and </w:t>
            </w:r>
            <w:r w:rsidRPr="000F0222">
              <w:rPr>
                <w:b/>
                <w:sz w:val="22"/>
                <w:szCs w:val="22"/>
                <w:lang w:val="en-GB"/>
              </w:rPr>
              <w:lastRenderedPageBreak/>
              <w:t>further funding will be required to resume their operation as AEWA exchange centres</w:t>
            </w:r>
            <w:r w:rsidRPr="000F0222">
              <w:rPr>
                <w:sz w:val="22"/>
                <w:szCs w:val="22"/>
                <w:lang w:val="en-GB"/>
              </w:rPr>
              <w:t>.</w:t>
            </w:r>
            <w:r w:rsidR="009B08DC" w:rsidRPr="000F0222">
              <w:rPr>
                <w:sz w:val="22"/>
                <w:szCs w:val="22"/>
                <w:lang w:val="en-GB"/>
              </w:rPr>
              <w:t xml:space="preserve"> Funding would also be required to support the set-up of Regional AEWA Centres in some of the countries which have indicated that they would be interested in hosting one.</w:t>
            </w:r>
          </w:p>
          <w:p w14:paraId="246CF092" w14:textId="77777777" w:rsidR="009058FB" w:rsidRPr="000F0222" w:rsidRDefault="009058FB" w:rsidP="009058FB">
            <w:pPr>
              <w:rPr>
                <w:sz w:val="22"/>
                <w:szCs w:val="22"/>
                <w:lang w:val="en-GB"/>
              </w:rPr>
            </w:pPr>
          </w:p>
          <w:p w14:paraId="0255D06F" w14:textId="3D04CE6E" w:rsidR="00BD5A0D" w:rsidRPr="000F0222" w:rsidRDefault="00BD5A0D" w:rsidP="009058FB">
            <w:pPr>
              <w:rPr>
                <w:sz w:val="22"/>
                <w:szCs w:val="22"/>
                <w:lang w:val="en-GB"/>
              </w:rPr>
            </w:pPr>
            <w:r w:rsidRPr="000F0222">
              <w:rPr>
                <w:b/>
                <w:sz w:val="22"/>
                <w:szCs w:val="22"/>
                <w:lang w:val="en-GB"/>
              </w:rPr>
              <w:t>Change since MOP</w:t>
            </w:r>
            <w:r w:rsidR="005030EF" w:rsidRPr="000F0222">
              <w:rPr>
                <w:b/>
                <w:sz w:val="22"/>
                <w:szCs w:val="22"/>
                <w:lang w:val="en-GB"/>
              </w:rPr>
              <w:t>4</w:t>
            </w:r>
            <w:r w:rsidRPr="000F0222">
              <w:rPr>
                <w:b/>
                <w:sz w:val="22"/>
                <w:szCs w:val="22"/>
                <w:lang w:val="en-GB"/>
              </w:rPr>
              <w:t>:</w:t>
            </w:r>
            <w:r w:rsidRPr="000F0222">
              <w:rPr>
                <w:sz w:val="22"/>
                <w:szCs w:val="22"/>
                <w:lang w:val="en-GB"/>
              </w:rPr>
              <w:t xml:space="preserve"> No change.</w:t>
            </w:r>
          </w:p>
          <w:p w14:paraId="3129D910" w14:textId="77777777" w:rsidR="00BD5A0D" w:rsidRPr="000F0222" w:rsidRDefault="00BD5A0D" w:rsidP="009058FB">
            <w:pPr>
              <w:rPr>
                <w:sz w:val="22"/>
                <w:szCs w:val="22"/>
                <w:lang w:val="en-GB"/>
              </w:rPr>
            </w:pPr>
          </w:p>
          <w:p w14:paraId="62E4430B" w14:textId="77777777" w:rsidR="008710CC" w:rsidRDefault="009058FB" w:rsidP="008710CC">
            <w:pPr>
              <w:rPr>
                <w:sz w:val="22"/>
                <w:szCs w:val="22"/>
                <w:lang w:val="en-GB"/>
              </w:rPr>
            </w:pPr>
            <w:r w:rsidRPr="000F0222">
              <w:rPr>
                <w:b/>
                <w:sz w:val="22"/>
                <w:szCs w:val="22"/>
                <w:lang w:val="en-GB"/>
              </w:rPr>
              <w:t xml:space="preserve">Reference: </w:t>
            </w:r>
            <w:r w:rsidR="009B08DC" w:rsidRPr="000F0222">
              <w:rPr>
                <w:sz w:val="22"/>
                <w:szCs w:val="22"/>
                <w:lang w:val="en-GB"/>
              </w:rPr>
              <w:t xml:space="preserve">Analysis of </w:t>
            </w:r>
            <w:r w:rsidR="005030EF" w:rsidRPr="000F0222">
              <w:rPr>
                <w:sz w:val="22"/>
                <w:szCs w:val="22"/>
                <w:lang w:val="en-GB"/>
              </w:rPr>
              <w:t xml:space="preserve">the </w:t>
            </w:r>
            <w:r w:rsidR="009B08DC" w:rsidRPr="000F0222">
              <w:rPr>
                <w:sz w:val="22"/>
                <w:szCs w:val="22"/>
                <w:lang w:val="en-GB"/>
              </w:rPr>
              <w:t xml:space="preserve">AEWA National reports for the </w:t>
            </w:r>
            <w:r w:rsidR="005030EF" w:rsidRPr="000F0222">
              <w:rPr>
                <w:sz w:val="22"/>
                <w:szCs w:val="22"/>
                <w:lang w:val="en-GB"/>
              </w:rPr>
              <w:t>T</w:t>
            </w:r>
            <w:r w:rsidR="009B08DC" w:rsidRPr="000F0222">
              <w:rPr>
                <w:sz w:val="22"/>
                <w:szCs w:val="22"/>
                <w:lang w:val="en-GB"/>
              </w:rPr>
              <w:t>riennium</w:t>
            </w:r>
            <w:r w:rsidR="00127826" w:rsidRPr="000F0222">
              <w:rPr>
                <w:sz w:val="22"/>
                <w:szCs w:val="22"/>
                <w:lang w:val="en-GB"/>
              </w:rPr>
              <w:t xml:space="preserve"> </w:t>
            </w:r>
          </w:p>
          <w:p w14:paraId="1B85525B" w14:textId="33DAE0E8" w:rsidR="009B08DC" w:rsidRPr="000F0222" w:rsidRDefault="00FA6682" w:rsidP="008710CC">
            <w:pPr>
              <w:rPr>
                <w:sz w:val="22"/>
                <w:szCs w:val="22"/>
                <w:lang w:val="en-GB"/>
              </w:rPr>
            </w:pPr>
            <w:r>
              <w:rPr>
                <w:sz w:val="22"/>
                <w:szCs w:val="22"/>
                <w:lang w:val="en-GB"/>
              </w:rPr>
              <w:t xml:space="preserve">                    </w:t>
            </w:r>
            <w:r w:rsidR="009B08DC" w:rsidRPr="000F0222">
              <w:rPr>
                <w:sz w:val="22"/>
                <w:szCs w:val="22"/>
                <w:lang w:val="en-GB"/>
              </w:rPr>
              <w:t>201</w:t>
            </w:r>
            <w:r w:rsidR="005030EF" w:rsidRPr="000F0222">
              <w:rPr>
                <w:sz w:val="22"/>
                <w:szCs w:val="22"/>
                <w:lang w:val="en-GB"/>
              </w:rPr>
              <w:t>5</w:t>
            </w:r>
            <w:r w:rsidR="009B08DC" w:rsidRPr="000F0222">
              <w:rPr>
                <w:sz w:val="22"/>
                <w:szCs w:val="22"/>
                <w:lang w:val="en-GB"/>
              </w:rPr>
              <w:t>-201</w:t>
            </w:r>
            <w:r w:rsidR="005030EF" w:rsidRPr="000F0222">
              <w:rPr>
                <w:sz w:val="22"/>
                <w:szCs w:val="22"/>
                <w:lang w:val="en-GB"/>
              </w:rPr>
              <w:t>7</w:t>
            </w:r>
            <w:r w:rsidR="009B08DC" w:rsidRPr="000F0222">
              <w:rPr>
                <w:sz w:val="22"/>
                <w:szCs w:val="22"/>
                <w:lang w:val="en-GB"/>
              </w:rPr>
              <w:t xml:space="preserve"> (document AEWA/MOP </w:t>
            </w:r>
            <w:r w:rsidR="005030EF" w:rsidRPr="000F0222">
              <w:rPr>
                <w:sz w:val="22"/>
                <w:szCs w:val="22"/>
                <w:lang w:val="en-GB"/>
              </w:rPr>
              <w:t>7</w:t>
            </w:r>
            <w:r w:rsidR="009B08DC" w:rsidRPr="000F0222">
              <w:rPr>
                <w:sz w:val="22"/>
                <w:szCs w:val="22"/>
                <w:lang w:val="en-GB"/>
              </w:rPr>
              <w:t>.1</w:t>
            </w:r>
            <w:r w:rsidR="005030EF" w:rsidRPr="000F0222">
              <w:rPr>
                <w:sz w:val="22"/>
                <w:szCs w:val="22"/>
                <w:lang w:val="en-GB"/>
              </w:rPr>
              <w:t>2</w:t>
            </w:r>
            <w:r w:rsidR="009B08DC" w:rsidRPr="000F0222">
              <w:rPr>
                <w:sz w:val="22"/>
                <w:szCs w:val="22"/>
                <w:lang w:val="en-GB"/>
              </w:rPr>
              <w:t xml:space="preserve">); </w:t>
            </w:r>
          </w:p>
          <w:p w14:paraId="4662CEE4" w14:textId="77777777" w:rsidR="00FA6682" w:rsidRDefault="00FA6682" w:rsidP="008710CC">
            <w:pPr>
              <w:rPr>
                <w:sz w:val="22"/>
                <w:szCs w:val="22"/>
                <w:lang w:val="en-GB"/>
              </w:rPr>
            </w:pPr>
            <w:r>
              <w:rPr>
                <w:sz w:val="22"/>
                <w:szCs w:val="22"/>
                <w:lang w:val="en-GB"/>
              </w:rPr>
              <w:t xml:space="preserve">                    </w:t>
            </w:r>
            <w:r w:rsidR="009058FB" w:rsidRPr="000F0222">
              <w:rPr>
                <w:sz w:val="22"/>
                <w:szCs w:val="22"/>
                <w:lang w:val="en-GB"/>
              </w:rPr>
              <w:t>Report on the imp</w:t>
            </w:r>
            <w:r w:rsidR="00127826" w:rsidRPr="000F0222">
              <w:rPr>
                <w:sz w:val="22"/>
                <w:szCs w:val="22"/>
                <w:lang w:val="en-GB"/>
              </w:rPr>
              <w:t>lementation and revision of the</w:t>
            </w:r>
          </w:p>
          <w:p w14:paraId="5E43166E" w14:textId="19F40503" w:rsidR="009058FB" w:rsidRPr="000F0222" w:rsidRDefault="00FA6682" w:rsidP="008710CC">
            <w:pPr>
              <w:rPr>
                <w:sz w:val="22"/>
                <w:szCs w:val="22"/>
                <w:lang w:val="en-GB"/>
              </w:rPr>
            </w:pPr>
            <w:r>
              <w:rPr>
                <w:sz w:val="22"/>
                <w:szCs w:val="22"/>
                <w:lang w:val="en-GB"/>
              </w:rPr>
              <w:t xml:space="preserve">                    </w:t>
            </w:r>
            <w:r w:rsidR="009058FB" w:rsidRPr="000F0222">
              <w:rPr>
                <w:sz w:val="22"/>
                <w:szCs w:val="22"/>
                <w:lang w:val="en-GB"/>
              </w:rPr>
              <w:t>communication</w:t>
            </w:r>
            <w:r w:rsidR="00127826" w:rsidRPr="000F0222">
              <w:rPr>
                <w:sz w:val="22"/>
                <w:szCs w:val="22"/>
                <w:lang w:val="en-GB"/>
              </w:rPr>
              <w:t xml:space="preserve"> strategy (document AEWA/MOP </w:t>
            </w:r>
            <w:r w:rsidR="009058FB" w:rsidRPr="000F0222">
              <w:rPr>
                <w:sz w:val="22"/>
                <w:szCs w:val="22"/>
                <w:lang w:val="en-GB"/>
              </w:rPr>
              <w:t>5.18)</w:t>
            </w:r>
          </w:p>
          <w:p w14:paraId="4EC05DC4" w14:textId="77777777" w:rsidR="009058FB" w:rsidRPr="000F0222" w:rsidRDefault="009058FB" w:rsidP="009058FB">
            <w:pPr>
              <w:rPr>
                <w:sz w:val="22"/>
                <w:szCs w:val="22"/>
                <w:lang w:val="en-GB"/>
              </w:rPr>
            </w:pPr>
          </w:p>
        </w:tc>
      </w:tr>
      <w:tr w:rsidR="009058FB" w:rsidRPr="004779F8" w14:paraId="11AFC978" w14:textId="77777777" w:rsidTr="009B6A3A">
        <w:trPr>
          <w:trHeight w:val="1156"/>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7A3CB549" w14:textId="30453D35" w:rsidR="009058FB" w:rsidRPr="000F0222"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0603B193" w14:textId="77777777" w:rsidR="009058FB" w:rsidRPr="000F0222"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6C01836" w14:textId="77777777" w:rsidR="009058FB" w:rsidRPr="004779F8" w:rsidRDefault="009058FB" w:rsidP="009058FB">
            <w:pPr>
              <w:rPr>
                <w:b/>
                <w:sz w:val="22"/>
                <w:szCs w:val="22"/>
                <w:lang w:val="en-GB"/>
              </w:rPr>
            </w:pPr>
          </w:p>
          <w:p w14:paraId="226DB838" w14:textId="77777777" w:rsidR="009058FB" w:rsidRPr="00613A29" w:rsidRDefault="009058FB" w:rsidP="009058FB">
            <w:pPr>
              <w:rPr>
                <w:b/>
                <w:sz w:val="22"/>
                <w:szCs w:val="22"/>
                <w:lang w:val="en-GB"/>
              </w:rPr>
            </w:pPr>
            <w:r w:rsidRPr="00613A29">
              <w:rPr>
                <w:b/>
                <w:sz w:val="22"/>
                <w:szCs w:val="22"/>
                <w:lang w:val="en-GB"/>
              </w:rPr>
              <w:t xml:space="preserve">The AEWA website has been improved and maintained, and </w:t>
            </w:r>
            <w:proofErr w:type="gramStart"/>
            <w:r w:rsidRPr="00613A29">
              <w:rPr>
                <w:b/>
                <w:sz w:val="22"/>
                <w:szCs w:val="22"/>
                <w:lang w:val="en-GB"/>
              </w:rPr>
              <w:t>in particular made</w:t>
            </w:r>
            <w:proofErr w:type="gramEnd"/>
            <w:r w:rsidRPr="00613A29">
              <w:rPr>
                <w:b/>
                <w:sz w:val="22"/>
                <w:szCs w:val="22"/>
                <w:lang w:val="en-GB"/>
              </w:rPr>
              <w:t xml:space="preserve"> more interactive (CS 4.1)</w:t>
            </w:r>
          </w:p>
          <w:p w14:paraId="664105B2" w14:textId="77777777" w:rsidR="009058FB" w:rsidRPr="00613A29"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5EF75E9" w14:textId="77777777" w:rsidR="009058FB" w:rsidRPr="008C5535" w:rsidRDefault="009058FB" w:rsidP="009058FB">
            <w:pPr>
              <w:rPr>
                <w:sz w:val="22"/>
                <w:szCs w:val="22"/>
                <w:lang w:val="en-GB"/>
              </w:rPr>
            </w:pPr>
          </w:p>
          <w:p w14:paraId="5E8B3EE3" w14:textId="40BE3C5B" w:rsidR="009058FB" w:rsidRPr="004779F8" w:rsidRDefault="00BD5A0D" w:rsidP="009058FB">
            <w:pPr>
              <w:rPr>
                <w:sz w:val="22"/>
                <w:szCs w:val="22"/>
                <w:lang w:val="en-GB"/>
              </w:rPr>
            </w:pPr>
            <w:r w:rsidRPr="00E4475D">
              <w:rPr>
                <w:sz w:val="22"/>
                <w:szCs w:val="22"/>
                <w:lang w:val="en-GB"/>
              </w:rPr>
              <w:t>The new AEWA website was launched in May 2014 as part of the CMS Family Website Project, but it</w:t>
            </w:r>
            <w:r w:rsidR="00EF0A4A" w:rsidRPr="00852729">
              <w:rPr>
                <w:sz w:val="22"/>
                <w:szCs w:val="22"/>
                <w:lang w:val="en-GB"/>
              </w:rPr>
              <w:t xml:space="preserve"> still requires further work </w:t>
            </w:r>
            <w:r w:rsidR="009B08DC" w:rsidRPr="00852729">
              <w:rPr>
                <w:sz w:val="22"/>
                <w:szCs w:val="22"/>
                <w:lang w:val="en-GB"/>
              </w:rPr>
              <w:t xml:space="preserve">and investment </w:t>
            </w:r>
            <w:r w:rsidR="00EF0A4A" w:rsidRPr="004779F8">
              <w:rPr>
                <w:sz w:val="22"/>
                <w:szCs w:val="22"/>
                <w:lang w:val="en-GB"/>
              </w:rPr>
              <w:t>to meet the needs of the AEWA constituency</w:t>
            </w:r>
            <w:r w:rsidR="009B08DC" w:rsidRPr="004779F8">
              <w:rPr>
                <w:sz w:val="22"/>
                <w:szCs w:val="22"/>
                <w:lang w:val="en-GB"/>
              </w:rPr>
              <w:t xml:space="preserve"> Further improvements on the overall usability and presentation of the website is ongoing.</w:t>
            </w:r>
          </w:p>
          <w:p w14:paraId="1EF8831A" w14:textId="77777777" w:rsidR="00EF0A4A" w:rsidRPr="004779F8" w:rsidRDefault="00EF0A4A" w:rsidP="009058FB">
            <w:pPr>
              <w:rPr>
                <w:sz w:val="22"/>
                <w:szCs w:val="22"/>
                <w:lang w:val="en-GB"/>
              </w:rPr>
            </w:pPr>
          </w:p>
          <w:p w14:paraId="3ECA40DB" w14:textId="033B6455" w:rsidR="00EF0A4A" w:rsidRPr="004779F8" w:rsidRDefault="00EF0A4A" w:rsidP="009058FB">
            <w:pPr>
              <w:rPr>
                <w:sz w:val="22"/>
                <w:szCs w:val="22"/>
                <w:lang w:val="en-GB"/>
              </w:rPr>
            </w:pPr>
            <w:r w:rsidRPr="004779F8">
              <w:rPr>
                <w:b/>
                <w:sz w:val="22"/>
                <w:szCs w:val="22"/>
                <w:lang w:val="en-GB"/>
              </w:rPr>
              <w:t>Change since MOP</w:t>
            </w:r>
            <w:r w:rsidR="00E9077B" w:rsidRPr="004779F8">
              <w:rPr>
                <w:b/>
                <w:sz w:val="22"/>
                <w:szCs w:val="22"/>
                <w:lang w:val="en-GB"/>
              </w:rPr>
              <w:t>4</w:t>
            </w:r>
            <w:r w:rsidRPr="004779F8">
              <w:rPr>
                <w:b/>
                <w:sz w:val="22"/>
                <w:szCs w:val="22"/>
                <w:lang w:val="en-GB"/>
              </w:rPr>
              <w:t>:</w:t>
            </w:r>
            <w:r w:rsidRPr="004779F8">
              <w:rPr>
                <w:sz w:val="22"/>
                <w:szCs w:val="22"/>
                <w:lang w:val="en-GB"/>
              </w:rPr>
              <w:t xml:space="preserve"> Positive </w:t>
            </w:r>
            <w:r w:rsidR="00E919A4">
              <w:rPr>
                <w:sz w:val="22"/>
                <w:szCs w:val="22"/>
                <w:lang w:val="en-GB"/>
              </w:rPr>
              <w:t>n</w:t>
            </w:r>
            <w:r w:rsidRPr="00852729">
              <w:rPr>
                <w:sz w:val="22"/>
                <w:szCs w:val="22"/>
                <w:lang w:val="en-GB"/>
              </w:rPr>
              <w:t>ew website launched</w:t>
            </w:r>
            <w:r w:rsidR="009B08DC" w:rsidRPr="004779F8">
              <w:rPr>
                <w:sz w:val="22"/>
                <w:szCs w:val="22"/>
                <w:lang w:val="en-GB"/>
              </w:rPr>
              <w:t xml:space="preserve"> and work to improve it further is ongoing</w:t>
            </w:r>
            <w:r w:rsidRPr="004779F8">
              <w:rPr>
                <w:sz w:val="22"/>
                <w:szCs w:val="22"/>
                <w:lang w:val="en-GB"/>
              </w:rPr>
              <w:t>.</w:t>
            </w:r>
          </w:p>
          <w:p w14:paraId="7026E52D" w14:textId="77777777" w:rsidR="009058FB" w:rsidRPr="000F0222" w:rsidRDefault="009058FB" w:rsidP="009058FB">
            <w:pPr>
              <w:rPr>
                <w:b/>
                <w:sz w:val="22"/>
                <w:szCs w:val="22"/>
                <w:lang w:val="en-GB"/>
              </w:rPr>
            </w:pPr>
          </w:p>
          <w:p w14:paraId="2A2E63A3" w14:textId="73E31E6C" w:rsidR="009058FB" w:rsidRPr="000F0222" w:rsidRDefault="009058FB" w:rsidP="00127826">
            <w:pPr>
              <w:rPr>
                <w:sz w:val="22"/>
                <w:szCs w:val="22"/>
                <w:lang w:val="en-GB"/>
              </w:rPr>
            </w:pPr>
            <w:r w:rsidRPr="000F0222">
              <w:rPr>
                <w:b/>
                <w:sz w:val="22"/>
                <w:szCs w:val="22"/>
                <w:lang w:val="en-GB"/>
              </w:rPr>
              <w:t xml:space="preserve">Reference: </w:t>
            </w:r>
            <w:r w:rsidR="00127826" w:rsidRPr="000F0222">
              <w:rPr>
                <w:sz w:val="22"/>
                <w:szCs w:val="22"/>
                <w:lang w:val="en-GB"/>
              </w:rPr>
              <w:t>Report o</w:t>
            </w:r>
            <w:r w:rsidR="009B08DC" w:rsidRPr="000F0222">
              <w:rPr>
                <w:sz w:val="22"/>
                <w:szCs w:val="22"/>
                <w:lang w:val="en-GB"/>
              </w:rPr>
              <w:t>f</w:t>
            </w:r>
            <w:r w:rsidR="00127826" w:rsidRPr="000F0222">
              <w:rPr>
                <w:sz w:val="22"/>
                <w:szCs w:val="22"/>
                <w:lang w:val="en-GB"/>
              </w:rPr>
              <w:t xml:space="preserve"> </w:t>
            </w:r>
            <w:r w:rsidRPr="000F0222">
              <w:rPr>
                <w:sz w:val="22"/>
                <w:szCs w:val="22"/>
                <w:lang w:val="en-GB"/>
              </w:rPr>
              <w:t xml:space="preserve">the </w:t>
            </w:r>
            <w:r w:rsidR="00EF0A4A" w:rsidRPr="000F0222">
              <w:rPr>
                <w:sz w:val="22"/>
                <w:szCs w:val="22"/>
                <w:lang w:val="en-GB"/>
              </w:rPr>
              <w:t>Secretariat</w:t>
            </w:r>
            <w:r w:rsidR="00127826" w:rsidRPr="000F0222">
              <w:rPr>
                <w:sz w:val="22"/>
                <w:szCs w:val="22"/>
                <w:lang w:val="en-GB"/>
              </w:rPr>
              <w:t xml:space="preserve"> (document AEWA/MOP </w:t>
            </w:r>
            <w:r w:rsidR="00EF0A4A" w:rsidRPr="000F0222">
              <w:rPr>
                <w:sz w:val="22"/>
                <w:szCs w:val="22"/>
                <w:lang w:val="en-GB"/>
              </w:rPr>
              <w:t>6</w:t>
            </w:r>
            <w:r w:rsidRPr="000F0222">
              <w:rPr>
                <w:sz w:val="22"/>
                <w:szCs w:val="22"/>
                <w:lang w:val="en-GB"/>
              </w:rPr>
              <w:t>.</w:t>
            </w:r>
            <w:r w:rsidR="00EF0A4A" w:rsidRPr="000F0222">
              <w:rPr>
                <w:sz w:val="22"/>
                <w:szCs w:val="22"/>
                <w:lang w:val="en-GB"/>
              </w:rPr>
              <w:t>9</w:t>
            </w:r>
            <w:r w:rsidRPr="000F0222">
              <w:rPr>
                <w:sz w:val="22"/>
                <w:szCs w:val="22"/>
                <w:lang w:val="en-GB"/>
              </w:rPr>
              <w:t>);</w:t>
            </w:r>
          </w:p>
          <w:p w14:paraId="4E544389" w14:textId="6C097FED" w:rsidR="009058FB" w:rsidRPr="004779F8" w:rsidRDefault="009058FB" w:rsidP="008B5334">
            <w:pPr>
              <w:rPr>
                <w:sz w:val="22"/>
                <w:szCs w:val="22"/>
                <w:lang w:val="en-GB"/>
              </w:rPr>
            </w:pPr>
            <w:r w:rsidRPr="000F0222">
              <w:rPr>
                <w:sz w:val="22"/>
                <w:szCs w:val="22"/>
                <w:lang w:val="en-GB"/>
              </w:rPr>
              <w:t xml:space="preserve">                    </w:t>
            </w:r>
          </w:p>
        </w:tc>
      </w:tr>
      <w:tr w:rsidR="009058FB" w:rsidRPr="00C8008E" w14:paraId="00ECD47C" w14:textId="77777777" w:rsidTr="00667721">
        <w:trPr>
          <w:trHeight w:val="53"/>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1FD0CD3F" w14:textId="77777777" w:rsidR="009058FB" w:rsidRPr="004779F8"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285EBCC2" w14:textId="77777777" w:rsidR="009058FB" w:rsidRPr="004779F8"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557C3445" w14:textId="77777777" w:rsidR="009058FB" w:rsidRPr="004779F8" w:rsidRDefault="009058FB" w:rsidP="009058FB">
            <w:pPr>
              <w:rPr>
                <w:b/>
                <w:sz w:val="22"/>
                <w:szCs w:val="22"/>
                <w:lang w:val="en-GB"/>
              </w:rPr>
            </w:pPr>
          </w:p>
          <w:p w14:paraId="18EE1415" w14:textId="77777777" w:rsidR="009058FB" w:rsidRPr="004779F8" w:rsidRDefault="009058FB" w:rsidP="009058FB">
            <w:pPr>
              <w:rPr>
                <w:b/>
                <w:sz w:val="22"/>
                <w:szCs w:val="22"/>
                <w:lang w:val="en-GB"/>
              </w:rPr>
            </w:pPr>
            <w:r w:rsidRPr="004779F8">
              <w:rPr>
                <w:b/>
                <w:sz w:val="22"/>
                <w:szCs w:val="22"/>
                <w:lang w:val="en-GB"/>
              </w:rPr>
              <w:t>The AEWA newsletter is being published regularly, and twice yearly in hard copy supported by monthly electronic updates (CS 4.2)</w:t>
            </w:r>
          </w:p>
          <w:p w14:paraId="00853B61"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243B23C" w14:textId="77777777" w:rsidR="009058FB" w:rsidRPr="000F0222" w:rsidRDefault="009058FB" w:rsidP="009058FB">
            <w:pPr>
              <w:rPr>
                <w:sz w:val="22"/>
                <w:szCs w:val="22"/>
                <w:lang w:val="en-GB"/>
              </w:rPr>
            </w:pPr>
          </w:p>
          <w:p w14:paraId="4A1971E7" w14:textId="3CFC8686" w:rsidR="009058FB" w:rsidRPr="004779F8" w:rsidRDefault="009058FB" w:rsidP="009058FB">
            <w:pPr>
              <w:rPr>
                <w:sz w:val="22"/>
                <w:szCs w:val="22"/>
                <w:lang w:val="en-GB"/>
              </w:rPr>
            </w:pPr>
            <w:r w:rsidRPr="004779F8">
              <w:rPr>
                <w:sz w:val="22"/>
                <w:szCs w:val="22"/>
                <w:lang w:val="en-GB"/>
              </w:rPr>
              <w:t>The AEWA E-Newsletter has evolved to become one of the primary communicati</w:t>
            </w:r>
            <w:r w:rsidRPr="00613A29">
              <w:rPr>
                <w:sz w:val="22"/>
                <w:szCs w:val="22"/>
                <w:lang w:val="en-GB"/>
              </w:rPr>
              <w:t xml:space="preserve">on tools of the Secretariat to reach out to the currently </w:t>
            </w:r>
            <w:r w:rsidR="00017176" w:rsidRPr="00613A29">
              <w:rPr>
                <w:sz w:val="22"/>
                <w:szCs w:val="22"/>
                <w:lang w:val="en-GB"/>
              </w:rPr>
              <w:t>3</w:t>
            </w:r>
            <w:r w:rsidRPr="008C5535">
              <w:rPr>
                <w:sz w:val="22"/>
                <w:szCs w:val="22"/>
                <w:lang w:val="en-GB"/>
              </w:rPr>
              <w:t>000+ contacts</w:t>
            </w:r>
            <w:r w:rsidR="00017176" w:rsidRPr="00E4475D">
              <w:rPr>
                <w:sz w:val="22"/>
                <w:szCs w:val="22"/>
                <w:lang w:val="en-GB"/>
              </w:rPr>
              <w:t>, currently on 4-6-month basis</w:t>
            </w:r>
            <w:r w:rsidRPr="00852729">
              <w:rPr>
                <w:sz w:val="22"/>
                <w:szCs w:val="22"/>
                <w:lang w:val="en-GB"/>
              </w:rPr>
              <w:t xml:space="preserve">. A total of </w:t>
            </w:r>
            <w:r w:rsidR="00017176" w:rsidRPr="00852729">
              <w:rPr>
                <w:sz w:val="22"/>
                <w:szCs w:val="22"/>
                <w:lang w:val="en-GB"/>
              </w:rPr>
              <w:t>31</w:t>
            </w:r>
            <w:r w:rsidRPr="004779F8">
              <w:rPr>
                <w:sz w:val="22"/>
                <w:szCs w:val="22"/>
                <w:lang w:val="en-GB"/>
              </w:rPr>
              <w:t xml:space="preserve"> E-Newsletters </w:t>
            </w:r>
            <w:r w:rsidR="00017176" w:rsidRPr="004779F8">
              <w:rPr>
                <w:sz w:val="22"/>
                <w:szCs w:val="22"/>
                <w:lang w:val="en-GB"/>
              </w:rPr>
              <w:t xml:space="preserve">have been sent out </w:t>
            </w:r>
            <w:r w:rsidRPr="004779F8">
              <w:rPr>
                <w:sz w:val="22"/>
                <w:szCs w:val="22"/>
                <w:lang w:val="en-GB"/>
              </w:rPr>
              <w:t>since MOP4</w:t>
            </w:r>
            <w:r w:rsidR="00017176" w:rsidRPr="004779F8">
              <w:rPr>
                <w:sz w:val="22"/>
                <w:szCs w:val="22"/>
                <w:lang w:val="en-GB"/>
              </w:rPr>
              <w:t xml:space="preserve"> – 10 between MOP4 and MOP5, 15 between MOP5 and MOP6 and 6 between MOP6 and MOP7</w:t>
            </w:r>
            <w:r w:rsidRPr="004779F8">
              <w:rPr>
                <w:sz w:val="22"/>
                <w:szCs w:val="22"/>
                <w:lang w:val="en-GB"/>
              </w:rPr>
              <w:t xml:space="preserve">). </w:t>
            </w:r>
            <w:r w:rsidR="00D57B04" w:rsidRPr="004779F8">
              <w:rPr>
                <w:sz w:val="22"/>
                <w:szCs w:val="22"/>
                <w:lang w:val="en-GB"/>
              </w:rPr>
              <w:t>With the development of the new AEWA Website in 2014, a new E-Newsletter creation and dissemination tool has also been developed.</w:t>
            </w:r>
          </w:p>
          <w:p w14:paraId="4D33828C" w14:textId="77777777" w:rsidR="009058FB" w:rsidRPr="004779F8" w:rsidRDefault="009058FB" w:rsidP="009058FB">
            <w:pPr>
              <w:rPr>
                <w:sz w:val="22"/>
                <w:szCs w:val="22"/>
                <w:lang w:val="en-GB"/>
              </w:rPr>
            </w:pPr>
          </w:p>
          <w:p w14:paraId="4C240BED" w14:textId="3EC194BA" w:rsidR="009058FB" w:rsidRPr="004779F8" w:rsidRDefault="009058FB" w:rsidP="009058FB">
            <w:pPr>
              <w:rPr>
                <w:sz w:val="22"/>
                <w:szCs w:val="22"/>
                <w:lang w:val="en-GB"/>
              </w:rPr>
            </w:pPr>
            <w:r w:rsidRPr="004779F8">
              <w:rPr>
                <w:sz w:val="22"/>
                <w:szCs w:val="22"/>
                <w:lang w:val="en-GB"/>
              </w:rPr>
              <w:lastRenderedPageBreak/>
              <w:t xml:space="preserve">The last hard copy Newsletter was produced in-house in January 2008 and </w:t>
            </w:r>
            <w:r w:rsidR="00017176" w:rsidRPr="004779F8">
              <w:rPr>
                <w:b/>
                <w:sz w:val="22"/>
                <w:szCs w:val="22"/>
                <w:lang w:val="en-GB"/>
              </w:rPr>
              <w:t xml:space="preserve">there are currently no plans </w:t>
            </w:r>
            <w:r w:rsidRPr="004779F8">
              <w:rPr>
                <w:b/>
                <w:sz w:val="22"/>
                <w:szCs w:val="22"/>
                <w:lang w:val="en-GB"/>
              </w:rPr>
              <w:t xml:space="preserve">to resume the regular production and dissemination of </w:t>
            </w:r>
            <w:r w:rsidR="00D57B04" w:rsidRPr="004779F8">
              <w:rPr>
                <w:b/>
                <w:sz w:val="22"/>
                <w:szCs w:val="22"/>
                <w:lang w:val="en-GB"/>
              </w:rPr>
              <w:t xml:space="preserve">a </w:t>
            </w:r>
            <w:r w:rsidRPr="004779F8">
              <w:rPr>
                <w:b/>
                <w:sz w:val="22"/>
                <w:szCs w:val="22"/>
                <w:lang w:val="en-GB"/>
              </w:rPr>
              <w:t>hard copy Newsletter to compliment the E-Newsletter</w:t>
            </w:r>
            <w:r w:rsidRPr="004779F8">
              <w:rPr>
                <w:sz w:val="22"/>
                <w:szCs w:val="22"/>
                <w:lang w:val="en-GB"/>
              </w:rPr>
              <w:t>.</w:t>
            </w:r>
          </w:p>
          <w:p w14:paraId="1DEA5F7D" w14:textId="77777777" w:rsidR="009058FB" w:rsidRPr="004779F8" w:rsidRDefault="009058FB" w:rsidP="009058FB">
            <w:pPr>
              <w:rPr>
                <w:sz w:val="22"/>
                <w:szCs w:val="22"/>
                <w:lang w:val="en-GB"/>
              </w:rPr>
            </w:pPr>
          </w:p>
          <w:p w14:paraId="435DF076" w14:textId="6892512B" w:rsidR="00EF0A4A" w:rsidRPr="004779F8" w:rsidRDefault="00EF0A4A" w:rsidP="009058FB">
            <w:pPr>
              <w:rPr>
                <w:sz w:val="22"/>
                <w:szCs w:val="22"/>
                <w:lang w:val="en-GB"/>
              </w:rPr>
            </w:pPr>
            <w:r w:rsidRPr="004779F8">
              <w:rPr>
                <w:b/>
                <w:sz w:val="22"/>
                <w:szCs w:val="22"/>
                <w:lang w:val="en-GB"/>
              </w:rPr>
              <w:t>Change since MOP</w:t>
            </w:r>
            <w:r w:rsidR="00DE1D41" w:rsidRPr="004779F8">
              <w:rPr>
                <w:b/>
                <w:sz w:val="22"/>
                <w:szCs w:val="22"/>
                <w:lang w:val="en-GB"/>
              </w:rPr>
              <w:t>4</w:t>
            </w:r>
            <w:r w:rsidRPr="004779F8">
              <w:rPr>
                <w:b/>
                <w:sz w:val="22"/>
                <w:szCs w:val="22"/>
                <w:lang w:val="en-GB"/>
              </w:rPr>
              <w:t>:</w:t>
            </w:r>
            <w:r w:rsidRPr="004779F8">
              <w:rPr>
                <w:sz w:val="22"/>
                <w:szCs w:val="22"/>
                <w:lang w:val="en-GB"/>
              </w:rPr>
              <w:t xml:space="preserve"> Positive. </w:t>
            </w:r>
          </w:p>
          <w:p w14:paraId="05DEC599" w14:textId="77777777" w:rsidR="00EF0A4A" w:rsidRPr="004779F8" w:rsidRDefault="00EF0A4A" w:rsidP="009058FB">
            <w:pPr>
              <w:rPr>
                <w:sz w:val="22"/>
                <w:szCs w:val="22"/>
                <w:lang w:val="en-GB"/>
              </w:rPr>
            </w:pPr>
          </w:p>
          <w:p w14:paraId="64492202" w14:textId="48C9F8A8" w:rsidR="009058FB" w:rsidRPr="004779F8" w:rsidRDefault="009058FB">
            <w:pPr>
              <w:rPr>
                <w:sz w:val="22"/>
                <w:szCs w:val="22"/>
                <w:lang w:val="en-GB"/>
              </w:rPr>
            </w:pPr>
            <w:r w:rsidRPr="000F0222">
              <w:rPr>
                <w:b/>
                <w:sz w:val="22"/>
                <w:szCs w:val="22"/>
                <w:lang w:val="en-GB"/>
              </w:rPr>
              <w:t xml:space="preserve">Reference: </w:t>
            </w:r>
          </w:p>
          <w:p w14:paraId="36F77BF9" w14:textId="1884C196" w:rsidR="003241B1" w:rsidRPr="000F0222" w:rsidRDefault="003241B1">
            <w:pPr>
              <w:rPr>
                <w:sz w:val="22"/>
                <w:szCs w:val="22"/>
                <w:lang w:val="en-GB"/>
              </w:rPr>
            </w:pPr>
            <w:r w:rsidRPr="000F0222">
              <w:rPr>
                <w:sz w:val="22"/>
                <w:szCs w:val="22"/>
                <w:lang w:val="en-GB"/>
              </w:rPr>
              <w:t xml:space="preserve">Report on the Implementation of the AEWA Communication                     </w:t>
            </w:r>
          </w:p>
          <w:p w14:paraId="2BE5C303" w14:textId="3A9FF8B1" w:rsidR="003241B1" w:rsidRPr="00C8008E" w:rsidRDefault="003241B1">
            <w:pPr>
              <w:rPr>
                <w:sz w:val="22"/>
                <w:szCs w:val="22"/>
                <w:lang w:val="it-IT"/>
              </w:rPr>
            </w:pPr>
            <w:r w:rsidRPr="000F0222">
              <w:rPr>
                <w:sz w:val="22"/>
                <w:szCs w:val="22"/>
                <w:lang w:val="en-GB"/>
              </w:rPr>
              <w:t xml:space="preserve">                   </w:t>
            </w:r>
            <w:r w:rsidRPr="00C8008E">
              <w:rPr>
                <w:sz w:val="22"/>
                <w:szCs w:val="22"/>
                <w:lang w:val="it-IT"/>
              </w:rPr>
              <w:t>Strategy (document AEWA/MOP 7.13)</w:t>
            </w:r>
            <w:r w:rsidR="00EE4B0F" w:rsidRPr="00C8008E">
              <w:rPr>
                <w:sz w:val="22"/>
                <w:szCs w:val="22"/>
                <w:lang w:val="it-IT"/>
              </w:rPr>
              <w:t>;</w:t>
            </w:r>
          </w:p>
          <w:p w14:paraId="7F43A181" w14:textId="77777777" w:rsidR="008710CC" w:rsidRPr="00C8008E" w:rsidRDefault="003241B1" w:rsidP="003241B1">
            <w:pPr>
              <w:rPr>
                <w:lang w:val="it-IT"/>
              </w:rPr>
            </w:pPr>
            <w:r w:rsidRPr="00C8008E">
              <w:rPr>
                <w:sz w:val="22"/>
                <w:szCs w:val="22"/>
                <w:lang w:val="it-IT"/>
              </w:rPr>
              <w:t xml:space="preserve">                   </w:t>
            </w:r>
            <w:r w:rsidR="00B06325" w:rsidRPr="00C8008E">
              <w:rPr>
                <w:sz w:val="22"/>
                <w:szCs w:val="22"/>
                <w:lang w:val="it-IT"/>
              </w:rPr>
              <w:t xml:space="preserve">AEWA </w:t>
            </w:r>
            <w:r w:rsidR="00D57B04" w:rsidRPr="00C8008E">
              <w:rPr>
                <w:sz w:val="22"/>
                <w:szCs w:val="22"/>
                <w:lang w:val="it-IT"/>
              </w:rPr>
              <w:t>W</w:t>
            </w:r>
            <w:r w:rsidR="00B06325" w:rsidRPr="00C8008E">
              <w:rPr>
                <w:sz w:val="22"/>
                <w:szCs w:val="22"/>
                <w:lang w:val="it-IT"/>
              </w:rPr>
              <w:t>ebsite</w:t>
            </w:r>
            <w:r w:rsidR="00D57B04" w:rsidRPr="00C8008E">
              <w:rPr>
                <w:sz w:val="22"/>
                <w:szCs w:val="22"/>
                <w:lang w:val="it-IT"/>
              </w:rPr>
              <w:t xml:space="preserve"> E-Newsletter Archive</w:t>
            </w:r>
            <w:r w:rsidR="005D006B" w:rsidRPr="00C8008E">
              <w:rPr>
                <w:sz w:val="22"/>
                <w:szCs w:val="22"/>
                <w:lang w:val="it-IT"/>
              </w:rPr>
              <w:t xml:space="preserve">: </w:t>
            </w:r>
            <w:r w:rsidR="008710CC" w:rsidRPr="003E3956">
              <w:rPr>
                <w:lang w:val="en-GB"/>
              </w:rPr>
              <w:fldChar w:fldCharType="begin"/>
            </w:r>
            <w:r w:rsidR="008710CC" w:rsidRPr="00C8008E">
              <w:rPr>
                <w:lang w:val="it-IT"/>
              </w:rPr>
              <w:instrText xml:space="preserve"> HYPERLINK "http://www.unep-          </w:instrText>
            </w:r>
          </w:p>
          <w:p w14:paraId="6097D343" w14:textId="77777777" w:rsidR="008710CC" w:rsidRPr="00FA6682" w:rsidRDefault="008710CC" w:rsidP="003241B1">
            <w:pPr>
              <w:rPr>
                <w:rStyle w:val="Hyperlink"/>
                <w:u w:val="none"/>
                <w:lang w:val="it-IT"/>
              </w:rPr>
            </w:pPr>
            <w:r w:rsidRPr="00FA6682">
              <w:rPr>
                <w:lang w:val="it-IT"/>
              </w:rPr>
              <w:instrText xml:space="preserve">                  aewa.org/en/publications/newsletter" </w:instrText>
            </w:r>
            <w:r w:rsidRPr="003E3956">
              <w:rPr>
                <w:lang w:val="en-GB"/>
              </w:rPr>
              <w:fldChar w:fldCharType="separate"/>
            </w:r>
            <w:r w:rsidRPr="00FA6682">
              <w:rPr>
                <w:rStyle w:val="Hyperlink"/>
                <w:u w:val="none"/>
                <w:lang w:val="it-IT"/>
              </w:rPr>
              <w:t xml:space="preserve">http://www.unep-          </w:t>
            </w:r>
          </w:p>
          <w:p w14:paraId="6A8F03AD" w14:textId="3B90A5DB" w:rsidR="00E919A4" w:rsidRPr="00C8008E" w:rsidRDefault="008710CC" w:rsidP="003241B1">
            <w:pPr>
              <w:rPr>
                <w:sz w:val="22"/>
                <w:szCs w:val="22"/>
                <w:lang w:val="fr-FR"/>
              </w:rPr>
            </w:pPr>
            <w:r w:rsidRPr="00FA6682">
              <w:rPr>
                <w:rStyle w:val="Hyperlink"/>
                <w:u w:val="none"/>
                <w:lang w:val="it-IT"/>
              </w:rPr>
              <w:t xml:space="preserve">                  </w:t>
            </w:r>
            <w:r w:rsidRPr="00C8008E">
              <w:rPr>
                <w:rStyle w:val="Hyperlink"/>
                <w:u w:val="none"/>
                <w:lang w:val="fr-FR"/>
              </w:rPr>
              <w:t>aewa.org/en/publications/newsletter</w:t>
            </w:r>
            <w:r w:rsidRPr="003E3956">
              <w:rPr>
                <w:lang w:val="en-GB"/>
              </w:rPr>
              <w:fldChar w:fldCharType="end"/>
            </w:r>
          </w:p>
          <w:p w14:paraId="64AAA0EF" w14:textId="4EEFF758" w:rsidR="00035731" w:rsidRPr="00C8008E" w:rsidRDefault="00035731" w:rsidP="009058FB">
            <w:pPr>
              <w:rPr>
                <w:sz w:val="22"/>
                <w:szCs w:val="22"/>
                <w:lang w:val="fr-FR"/>
              </w:rPr>
            </w:pPr>
          </w:p>
        </w:tc>
      </w:tr>
      <w:tr w:rsidR="009058FB" w:rsidRPr="004779F8" w14:paraId="4A64EB47" w14:textId="77777777" w:rsidTr="00667721">
        <w:trPr>
          <w:trHeight w:val="439"/>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18A03C7E" w14:textId="77777777" w:rsidR="009058FB" w:rsidRPr="00C8008E" w:rsidRDefault="009058FB" w:rsidP="009058FB">
            <w:pPr>
              <w:rPr>
                <w:noProof/>
                <w:sz w:val="22"/>
                <w:szCs w:val="22"/>
                <w:lang w:val="fr-FR"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563D5E07" w14:textId="77777777" w:rsidR="009058FB" w:rsidRPr="00C8008E" w:rsidRDefault="009058FB" w:rsidP="009058FB">
            <w:pPr>
              <w:rPr>
                <w:b/>
                <w:sz w:val="22"/>
                <w:szCs w:val="22"/>
                <w:lang w:val="fr-FR"/>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B4D16FD" w14:textId="77777777" w:rsidR="009058FB" w:rsidRPr="00FA6682" w:rsidRDefault="009058FB" w:rsidP="009058FB">
            <w:pPr>
              <w:rPr>
                <w:b/>
                <w:sz w:val="22"/>
                <w:szCs w:val="22"/>
                <w:lang w:val="en-GB"/>
              </w:rPr>
            </w:pPr>
          </w:p>
          <w:p w14:paraId="27779B03" w14:textId="77777777" w:rsidR="009058FB" w:rsidRPr="004779F8" w:rsidRDefault="009058FB" w:rsidP="009058FB">
            <w:pPr>
              <w:rPr>
                <w:b/>
                <w:sz w:val="22"/>
                <w:szCs w:val="22"/>
                <w:lang w:val="en-GB"/>
              </w:rPr>
            </w:pPr>
            <w:r w:rsidRPr="004779F8">
              <w:rPr>
                <w:b/>
                <w:sz w:val="22"/>
                <w:szCs w:val="22"/>
                <w:lang w:val="en-GB"/>
              </w:rPr>
              <w:t>The infrastructure for e-discussions is in place and the discussions facilitated (CS 4.3)</w:t>
            </w:r>
          </w:p>
          <w:p w14:paraId="32829749" w14:textId="77777777" w:rsidR="009058FB" w:rsidRPr="00613A29" w:rsidRDefault="009058FB" w:rsidP="009058FB">
            <w:pPr>
              <w:rPr>
                <w:b/>
                <w:sz w:val="22"/>
                <w:szCs w:val="22"/>
                <w:lang w:val="en-GB"/>
              </w:rPr>
            </w:pPr>
          </w:p>
          <w:p w14:paraId="56F29326" w14:textId="77777777" w:rsidR="009058FB" w:rsidRPr="00613A29"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3040B85" w14:textId="77777777" w:rsidR="009058FB" w:rsidRPr="000F0222" w:rsidRDefault="009058FB" w:rsidP="009058FB">
            <w:pPr>
              <w:rPr>
                <w:sz w:val="22"/>
                <w:szCs w:val="22"/>
                <w:lang w:val="en-GB"/>
              </w:rPr>
            </w:pPr>
          </w:p>
          <w:p w14:paraId="56A9FDB4" w14:textId="71C1B05E" w:rsidR="00DB4A1E" w:rsidRPr="000F0222" w:rsidRDefault="00DB4A1E" w:rsidP="009058FB">
            <w:pPr>
              <w:rPr>
                <w:sz w:val="22"/>
                <w:szCs w:val="22"/>
                <w:lang w:val="en-GB"/>
              </w:rPr>
            </w:pPr>
            <w:r w:rsidRPr="000F0222">
              <w:rPr>
                <w:sz w:val="22"/>
                <w:szCs w:val="22"/>
                <w:lang w:val="en-GB"/>
              </w:rPr>
              <w:t>Group e-mail addresses were established to facilitate communication and exchange of information between AEWA National Focal Points in the African region as well as for each of the five sub-regions.</w:t>
            </w:r>
            <w:r w:rsidR="00C04F30" w:rsidRPr="000F0222">
              <w:rPr>
                <w:sz w:val="22"/>
                <w:szCs w:val="22"/>
                <w:lang w:val="en-GB"/>
              </w:rPr>
              <w:t xml:space="preserve"> In addition, the CMS Family National Focal Point E-Community </w:t>
            </w:r>
            <w:r w:rsidRPr="000F0222">
              <w:rPr>
                <w:sz w:val="22"/>
                <w:szCs w:val="22"/>
                <w:lang w:val="en-GB"/>
              </w:rPr>
              <w:t xml:space="preserve">was </w:t>
            </w:r>
            <w:r w:rsidR="00C04F30" w:rsidRPr="000F0222">
              <w:rPr>
                <w:sz w:val="22"/>
                <w:szCs w:val="22"/>
                <w:lang w:val="en-GB"/>
              </w:rPr>
              <w:t>established and is designed to function as a state-of-the-art electronic discussion forum for National Focal Points of all CMS Family Instruments.</w:t>
            </w:r>
            <w:r w:rsidR="00847385" w:rsidRPr="000F0222">
              <w:rPr>
                <w:sz w:val="22"/>
                <w:szCs w:val="22"/>
                <w:lang w:val="en-GB"/>
              </w:rPr>
              <w:t xml:space="preserve"> </w:t>
            </w:r>
            <w:r w:rsidRPr="000F0222">
              <w:rPr>
                <w:sz w:val="22"/>
                <w:szCs w:val="22"/>
                <w:lang w:val="en-GB"/>
              </w:rPr>
              <w:t>However, despite being promoted at NFP workshops, it has not been actively used as a communication platform by NFPs.</w:t>
            </w:r>
          </w:p>
          <w:p w14:paraId="20C083F6" w14:textId="30520C2E" w:rsidR="00847385" w:rsidRPr="000F0222" w:rsidRDefault="00DB4A1E" w:rsidP="009058FB">
            <w:pPr>
              <w:rPr>
                <w:sz w:val="22"/>
                <w:szCs w:val="22"/>
                <w:lang w:val="en-GB"/>
              </w:rPr>
            </w:pPr>
            <w:r w:rsidRPr="000F0222">
              <w:rPr>
                <w:sz w:val="22"/>
                <w:szCs w:val="22"/>
                <w:lang w:val="en-GB"/>
              </w:rPr>
              <w:t xml:space="preserve"> </w:t>
            </w:r>
          </w:p>
          <w:p w14:paraId="6BC8E424" w14:textId="62027DC5" w:rsidR="00B06325" w:rsidRPr="000F0222" w:rsidRDefault="00B06325" w:rsidP="009058FB">
            <w:pPr>
              <w:rPr>
                <w:sz w:val="22"/>
                <w:szCs w:val="22"/>
                <w:lang w:val="en-GB"/>
              </w:rPr>
            </w:pPr>
            <w:r w:rsidRPr="000F0222">
              <w:rPr>
                <w:b/>
                <w:sz w:val="22"/>
                <w:szCs w:val="22"/>
                <w:lang w:val="en-GB"/>
              </w:rPr>
              <w:t>Change since MOP</w:t>
            </w:r>
            <w:r w:rsidR="00847385" w:rsidRPr="000F0222">
              <w:rPr>
                <w:b/>
                <w:sz w:val="22"/>
                <w:szCs w:val="22"/>
                <w:lang w:val="en-GB"/>
              </w:rPr>
              <w:t>4</w:t>
            </w:r>
            <w:r w:rsidRPr="000F0222">
              <w:rPr>
                <w:b/>
                <w:sz w:val="22"/>
                <w:szCs w:val="22"/>
                <w:lang w:val="en-GB"/>
              </w:rPr>
              <w:t>:</w:t>
            </w:r>
            <w:r w:rsidRPr="000F0222">
              <w:rPr>
                <w:sz w:val="22"/>
                <w:szCs w:val="22"/>
                <w:lang w:val="en-GB"/>
              </w:rPr>
              <w:t xml:space="preserve"> </w:t>
            </w:r>
            <w:r w:rsidR="00C04F30" w:rsidRPr="000F0222">
              <w:rPr>
                <w:sz w:val="22"/>
                <w:szCs w:val="22"/>
                <w:lang w:val="en-GB"/>
              </w:rPr>
              <w:t>Slightly positive. CMS Family NFP Community developed.</w:t>
            </w:r>
          </w:p>
          <w:p w14:paraId="14E518EA" w14:textId="77777777" w:rsidR="00B06325" w:rsidRPr="000F0222" w:rsidRDefault="00B06325" w:rsidP="009058FB">
            <w:pPr>
              <w:rPr>
                <w:sz w:val="22"/>
                <w:szCs w:val="22"/>
                <w:lang w:val="en-GB"/>
              </w:rPr>
            </w:pPr>
          </w:p>
          <w:p w14:paraId="45FCF40F" w14:textId="77777777" w:rsidR="00AC76C5" w:rsidRDefault="009058FB" w:rsidP="00AC76C5">
            <w:pPr>
              <w:rPr>
                <w:sz w:val="22"/>
                <w:szCs w:val="22"/>
                <w:lang w:val="en-GB"/>
              </w:rPr>
            </w:pPr>
            <w:r w:rsidRPr="000F0222">
              <w:rPr>
                <w:b/>
                <w:sz w:val="22"/>
                <w:szCs w:val="22"/>
                <w:lang w:val="en-GB"/>
              </w:rPr>
              <w:t xml:space="preserve">Reference: </w:t>
            </w:r>
            <w:r w:rsidR="00AC76C5" w:rsidRPr="00F65A91">
              <w:rPr>
                <w:sz w:val="22"/>
                <w:szCs w:val="22"/>
                <w:lang w:val="en-GB"/>
              </w:rPr>
              <w:t xml:space="preserve">Report on the Implementation of the African Initiative and </w:t>
            </w:r>
          </w:p>
          <w:p w14:paraId="4217D4AE" w14:textId="77777777" w:rsidR="00AC76C5" w:rsidRDefault="00AC76C5" w:rsidP="00AC76C5">
            <w:pPr>
              <w:rPr>
                <w:sz w:val="22"/>
                <w:szCs w:val="22"/>
                <w:lang w:val="en-GB"/>
              </w:rPr>
            </w:pPr>
            <w:r>
              <w:rPr>
                <w:sz w:val="22"/>
                <w:szCs w:val="22"/>
                <w:lang w:val="en-GB"/>
              </w:rPr>
              <w:t xml:space="preserve">                    </w:t>
            </w:r>
            <w:r w:rsidRPr="00F65A91">
              <w:rPr>
                <w:sz w:val="22"/>
                <w:szCs w:val="22"/>
                <w:lang w:val="en-GB"/>
              </w:rPr>
              <w:t xml:space="preserve">the Plan of Action for Africa 2012-2018 (document </w:t>
            </w:r>
            <w:r>
              <w:rPr>
                <w:sz w:val="22"/>
                <w:szCs w:val="22"/>
                <w:lang w:val="en-GB"/>
              </w:rPr>
              <w:t xml:space="preserve"> </w:t>
            </w:r>
          </w:p>
          <w:p w14:paraId="7A474C4F" w14:textId="15AA2025" w:rsidR="00035731" w:rsidRPr="000F0222" w:rsidRDefault="00AC76C5" w:rsidP="00AC76C5">
            <w:pPr>
              <w:rPr>
                <w:sz w:val="22"/>
                <w:szCs w:val="22"/>
                <w:lang w:val="en-GB"/>
              </w:rPr>
            </w:pPr>
            <w:r>
              <w:rPr>
                <w:sz w:val="22"/>
                <w:szCs w:val="22"/>
                <w:lang w:val="en-GB"/>
              </w:rPr>
              <w:t xml:space="preserve">                   A</w:t>
            </w:r>
            <w:r w:rsidRPr="00F65A91">
              <w:rPr>
                <w:sz w:val="22"/>
                <w:szCs w:val="22"/>
                <w:lang w:val="en-GB"/>
              </w:rPr>
              <w:t>EWA/MOP 7.11)</w:t>
            </w:r>
            <w:r w:rsidR="00EE4B0F">
              <w:rPr>
                <w:sz w:val="22"/>
                <w:szCs w:val="22"/>
                <w:lang w:val="en-GB"/>
              </w:rPr>
              <w:t>;</w:t>
            </w:r>
          </w:p>
          <w:p w14:paraId="50EA0624" w14:textId="77777777" w:rsidR="00C04F30" w:rsidRPr="000F0222" w:rsidRDefault="00035731" w:rsidP="00C04F30">
            <w:pPr>
              <w:rPr>
                <w:sz w:val="22"/>
                <w:szCs w:val="22"/>
                <w:lang w:val="en-GB"/>
              </w:rPr>
            </w:pPr>
            <w:r w:rsidRPr="000F0222">
              <w:rPr>
                <w:sz w:val="22"/>
                <w:szCs w:val="22"/>
                <w:lang w:val="en-GB"/>
              </w:rPr>
              <w:t xml:space="preserve">                   </w:t>
            </w:r>
            <w:r w:rsidR="00C04F30" w:rsidRPr="000F0222">
              <w:rPr>
                <w:sz w:val="22"/>
                <w:szCs w:val="22"/>
                <w:lang w:val="en-GB"/>
              </w:rPr>
              <w:t>CMS Family NFP Community Website</w:t>
            </w:r>
          </w:p>
          <w:p w14:paraId="473EAC4D" w14:textId="10DEDDA7" w:rsidR="00035731" w:rsidRPr="000F0222" w:rsidRDefault="00035731" w:rsidP="00C04F30">
            <w:pPr>
              <w:rPr>
                <w:sz w:val="22"/>
                <w:szCs w:val="22"/>
                <w:lang w:val="en-GB"/>
              </w:rPr>
            </w:pPr>
          </w:p>
        </w:tc>
      </w:tr>
      <w:tr w:rsidR="009058FB" w:rsidRPr="004779F8" w14:paraId="05EACBFD" w14:textId="77777777" w:rsidTr="009B6A3A">
        <w:trPr>
          <w:trHeight w:val="1156"/>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1CA2CC73" w14:textId="42A00467" w:rsidR="009058FB" w:rsidRPr="000F0222"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2C8A2076" w14:textId="77777777" w:rsidR="009058FB" w:rsidRPr="000F0222"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4A0C09B0" w14:textId="77777777" w:rsidR="009058FB" w:rsidRPr="000F0222" w:rsidRDefault="009058FB" w:rsidP="009058FB">
            <w:pPr>
              <w:rPr>
                <w:b/>
                <w:sz w:val="22"/>
                <w:szCs w:val="22"/>
                <w:lang w:val="en-GB"/>
              </w:rPr>
            </w:pPr>
          </w:p>
          <w:p w14:paraId="4ADC6EF7" w14:textId="77777777" w:rsidR="009058FB" w:rsidRPr="004779F8" w:rsidRDefault="009058FB" w:rsidP="009058FB">
            <w:pPr>
              <w:rPr>
                <w:b/>
                <w:sz w:val="22"/>
                <w:szCs w:val="22"/>
                <w:lang w:val="en-GB"/>
              </w:rPr>
            </w:pPr>
            <w:r w:rsidRPr="004779F8">
              <w:rPr>
                <w:b/>
                <w:sz w:val="22"/>
                <w:szCs w:val="22"/>
                <w:lang w:val="en-GB"/>
              </w:rPr>
              <w:t>Guidelines for Accession have been updated and distributed to all non-CPs (CS 4.4)</w:t>
            </w:r>
          </w:p>
          <w:p w14:paraId="0599E542" w14:textId="77777777" w:rsidR="009058FB" w:rsidRPr="00613A29"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BFCBB30" w14:textId="77777777" w:rsidR="009058FB" w:rsidRPr="000F0222" w:rsidRDefault="009058FB" w:rsidP="009058FB">
            <w:pPr>
              <w:rPr>
                <w:sz w:val="22"/>
                <w:szCs w:val="22"/>
                <w:lang w:val="en-GB"/>
              </w:rPr>
            </w:pPr>
          </w:p>
          <w:p w14:paraId="29A612B4" w14:textId="2E980A2C" w:rsidR="009058FB" w:rsidRPr="000F0222" w:rsidRDefault="009058FB" w:rsidP="009058FB">
            <w:pPr>
              <w:rPr>
                <w:b/>
                <w:sz w:val="22"/>
                <w:szCs w:val="22"/>
                <w:lang w:val="en-GB"/>
              </w:rPr>
            </w:pPr>
            <w:r w:rsidRPr="000F0222">
              <w:rPr>
                <w:sz w:val="22"/>
                <w:szCs w:val="22"/>
                <w:lang w:val="en-GB"/>
              </w:rPr>
              <w:t xml:space="preserve">Accession guidelines </w:t>
            </w:r>
            <w:r w:rsidR="0013498F" w:rsidRPr="000F0222">
              <w:rPr>
                <w:sz w:val="22"/>
                <w:szCs w:val="22"/>
                <w:lang w:val="en-GB"/>
              </w:rPr>
              <w:t xml:space="preserve">were </w:t>
            </w:r>
            <w:r w:rsidRPr="000F0222">
              <w:rPr>
                <w:sz w:val="22"/>
                <w:szCs w:val="22"/>
                <w:lang w:val="en-GB"/>
              </w:rPr>
              <w:t>produced by the Secretariat in English, French, Arabic</w:t>
            </w:r>
            <w:r w:rsidR="0013498F" w:rsidRPr="000F0222">
              <w:rPr>
                <w:sz w:val="22"/>
                <w:szCs w:val="22"/>
                <w:lang w:val="en-GB"/>
              </w:rPr>
              <w:t>,</w:t>
            </w:r>
            <w:r w:rsidRPr="000F0222">
              <w:rPr>
                <w:sz w:val="22"/>
                <w:szCs w:val="22"/>
                <w:lang w:val="en-GB"/>
              </w:rPr>
              <w:t xml:space="preserve"> Russian </w:t>
            </w:r>
            <w:r w:rsidR="0013498F" w:rsidRPr="000F0222">
              <w:rPr>
                <w:sz w:val="22"/>
                <w:szCs w:val="22"/>
                <w:lang w:val="en-GB"/>
              </w:rPr>
              <w:t xml:space="preserve">and Portuguese </w:t>
            </w:r>
            <w:r w:rsidRPr="000F0222">
              <w:rPr>
                <w:sz w:val="22"/>
                <w:szCs w:val="22"/>
                <w:lang w:val="en-GB"/>
              </w:rPr>
              <w:t>language</w:t>
            </w:r>
            <w:r w:rsidR="00F17E78">
              <w:rPr>
                <w:sz w:val="22"/>
                <w:szCs w:val="22"/>
                <w:lang w:val="en-GB"/>
              </w:rPr>
              <w:t xml:space="preserve"> versions</w:t>
            </w:r>
            <w:r w:rsidR="0013498F" w:rsidRPr="000F0222">
              <w:rPr>
                <w:sz w:val="22"/>
                <w:szCs w:val="22"/>
                <w:lang w:val="en-GB"/>
              </w:rPr>
              <w:t>. These guidelines were printed</w:t>
            </w:r>
            <w:r w:rsidRPr="000F0222">
              <w:rPr>
                <w:sz w:val="22"/>
                <w:szCs w:val="22"/>
                <w:lang w:val="en-GB"/>
              </w:rPr>
              <w:t xml:space="preserve"> and widely distributed to non-Contracting Parties. </w:t>
            </w:r>
          </w:p>
          <w:p w14:paraId="63285D61" w14:textId="77777777" w:rsidR="00B06325" w:rsidRPr="000F0222" w:rsidRDefault="00B06325" w:rsidP="009058FB">
            <w:pPr>
              <w:rPr>
                <w:b/>
                <w:sz w:val="22"/>
                <w:szCs w:val="22"/>
                <w:lang w:val="en-GB"/>
              </w:rPr>
            </w:pPr>
          </w:p>
          <w:p w14:paraId="1E9331D9" w14:textId="0D6FE137" w:rsidR="00B06325" w:rsidRPr="000F0222" w:rsidRDefault="00B06325" w:rsidP="009058FB">
            <w:pPr>
              <w:rPr>
                <w:b/>
                <w:sz w:val="22"/>
                <w:szCs w:val="22"/>
                <w:lang w:val="en-GB"/>
              </w:rPr>
            </w:pPr>
            <w:r w:rsidRPr="000F0222">
              <w:rPr>
                <w:b/>
                <w:sz w:val="22"/>
                <w:szCs w:val="22"/>
                <w:lang w:val="en-GB"/>
              </w:rPr>
              <w:t>Change since MOP</w:t>
            </w:r>
            <w:r w:rsidR="00670DEC" w:rsidRPr="000F0222">
              <w:rPr>
                <w:b/>
                <w:sz w:val="22"/>
                <w:szCs w:val="22"/>
                <w:lang w:val="en-GB"/>
              </w:rPr>
              <w:t>4</w:t>
            </w:r>
            <w:r w:rsidRPr="000F0222">
              <w:rPr>
                <w:b/>
                <w:sz w:val="22"/>
                <w:szCs w:val="22"/>
                <w:lang w:val="en-GB"/>
              </w:rPr>
              <w:t xml:space="preserve">: </w:t>
            </w:r>
            <w:r w:rsidRPr="000F0222">
              <w:rPr>
                <w:sz w:val="22"/>
                <w:szCs w:val="22"/>
                <w:lang w:val="en-GB"/>
              </w:rPr>
              <w:t>Positive. Revised guidelines have been published and distributed.</w:t>
            </w:r>
          </w:p>
          <w:p w14:paraId="0FEC22FC" w14:textId="77777777" w:rsidR="009058FB" w:rsidRPr="000F0222" w:rsidRDefault="009058FB" w:rsidP="009058FB">
            <w:pPr>
              <w:rPr>
                <w:sz w:val="22"/>
                <w:szCs w:val="22"/>
                <w:lang w:val="en-GB"/>
              </w:rPr>
            </w:pPr>
          </w:p>
          <w:p w14:paraId="38181E84" w14:textId="181FC1B7" w:rsidR="009058FB" w:rsidRPr="000F0222" w:rsidRDefault="009058FB" w:rsidP="004A55C3">
            <w:pPr>
              <w:rPr>
                <w:sz w:val="22"/>
                <w:szCs w:val="22"/>
                <w:lang w:val="en-GB"/>
              </w:rPr>
            </w:pPr>
            <w:r w:rsidRPr="000F0222">
              <w:rPr>
                <w:b/>
                <w:sz w:val="22"/>
                <w:szCs w:val="22"/>
                <w:lang w:val="en-GB"/>
              </w:rPr>
              <w:t xml:space="preserve">Reference: </w:t>
            </w:r>
            <w:r w:rsidRPr="000F0222">
              <w:rPr>
                <w:sz w:val="22"/>
                <w:szCs w:val="22"/>
                <w:lang w:val="en-GB"/>
              </w:rPr>
              <w:t>Report o</w:t>
            </w:r>
            <w:r w:rsidR="00670DEC" w:rsidRPr="000F0222">
              <w:rPr>
                <w:sz w:val="22"/>
                <w:szCs w:val="22"/>
                <w:lang w:val="en-GB"/>
              </w:rPr>
              <w:t>f</w:t>
            </w:r>
            <w:r w:rsidRPr="000F0222">
              <w:rPr>
                <w:sz w:val="22"/>
                <w:szCs w:val="22"/>
                <w:lang w:val="en-GB"/>
              </w:rPr>
              <w:t xml:space="preserve"> the </w:t>
            </w:r>
            <w:r w:rsidR="00B06325" w:rsidRPr="000F0222">
              <w:rPr>
                <w:sz w:val="22"/>
                <w:szCs w:val="22"/>
                <w:lang w:val="en-GB"/>
              </w:rPr>
              <w:t>Secretariat</w:t>
            </w:r>
            <w:r w:rsidRPr="000F0222">
              <w:rPr>
                <w:sz w:val="22"/>
                <w:szCs w:val="22"/>
                <w:lang w:val="en-GB"/>
              </w:rPr>
              <w:t xml:space="preserve"> (document AEWA/MOP </w:t>
            </w:r>
            <w:r w:rsidR="00B06325" w:rsidRPr="000F0222">
              <w:rPr>
                <w:sz w:val="22"/>
                <w:szCs w:val="22"/>
                <w:lang w:val="en-GB"/>
              </w:rPr>
              <w:t>6</w:t>
            </w:r>
            <w:r w:rsidRPr="000F0222">
              <w:rPr>
                <w:sz w:val="22"/>
                <w:szCs w:val="22"/>
                <w:lang w:val="en-GB"/>
              </w:rPr>
              <w:t>.</w:t>
            </w:r>
            <w:r w:rsidR="00B06325" w:rsidRPr="000F0222">
              <w:rPr>
                <w:sz w:val="22"/>
                <w:szCs w:val="22"/>
                <w:lang w:val="en-GB"/>
              </w:rPr>
              <w:t>9</w:t>
            </w:r>
            <w:r w:rsidRPr="000F0222">
              <w:rPr>
                <w:sz w:val="22"/>
                <w:szCs w:val="22"/>
                <w:lang w:val="en-GB"/>
              </w:rPr>
              <w:t>)</w:t>
            </w:r>
          </w:p>
          <w:p w14:paraId="10577331" w14:textId="77777777" w:rsidR="009058FB" w:rsidRPr="000F0222" w:rsidRDefault="009058FB" w:rsidP="009058FB">
            <w:pPr>
              <w:rPr>
                <w:sz w:val="22"/>
                <w:szCs w:val="22"/>
                <w:lang w:val="en-GB"/>
              </w:rPr>
            </w:pPr>
          </w:p>
        </w:tc>
      </w:tr>
      <w:tr w:rsidR="009058FB" w:rsidRPr="004779F8" w14:paraId="572CB1A2" w14:textId="77777777" w:rsidTr="009B6A3A">
        <w:trPr>
          <w:trHeight w:val="336"/>
        </w:trPr>
        <w:tc>
          <w:tcPr>
            <w:tcW w:w="2376" w:type="dxa"/>
            <w:vMerge/>
            <w:tcBorders>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BA04A55" w14:textId="77777777" w:rsidR="009058FB" w:rsidRPr="000F0222" w:rsidRDefault="009058FB" w:rsidP="009058FB">
            <w:pPr>
              <w:rPr>
                <w:noProof/>
                <w:sz w:val="22"/>
                <w:szCs w:val="22"/>
                <w:lang w:val="en-GB" w:eastAsia="en-GB"/>
              </w:rPr>
            </w:pPr>
          </w:p>
        </w:tc>
        <w:tc>
          <w:tcPr>
            <w:tcW w:w="2835" w:type="dxa"/>
            <w:vMerge/>
            <w:tcBorders>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F5052CD" w14:textId="77777777" w:rsidR="009058FB" w:rsidRPr="000F0222" w:rsidRDefault="009058FB" w:rsidP="009058FB">
            <w:pPr>
              <w:rPr>
                <w:b/>
                <w:sz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7857DF4" w14:textId="77777777" w:rsidR="009058FB" w:rsidRPr="000F0222" w:rsidRDefault="009058FB" w:rsidP="009058FB">
            <w:pPr>
              <w:rPr>
                <w:b/>
                <w:sz w:val="22"/>
                <w:szCs w:val="22"/>
                <w:lang w:val="en-GB"/>
              </w:rPr>
            </w:pPr>
          </w:p>
          <w:p w14:paraId="573DE0AA" w14:textId="77777777" w:rsidR="009058FB" w:rsidRPr="004779F8" w:rsidRDefault="009058FB" w:rsidP="009058FB">
            <w:pPr>
              <w:rPr>
                <w:b/>
                <w:sz w:val="22"/>
                <w:szCs w:val="22"/>
                <w:lang w:val="en-GB"/>
              </w:rPr>
            </w:pPr>
            <w:r w:rsidRPr="004779F8">
              <w:rPr>
                <w:b/>
                <w:sz w:val="22"/>
                <w:szCs w:val="22"/>
                <w:lang w:val="en-GB"/>
              </w:rPr>
              <w:t>A flexible toolkit is produced, and distributed, providing a set of resource materials for awareness raising at the national level (CS 4.5)</w:t>
            </w:r>
          </w:p>
          <w:p w14:paraId="7BE0D0AA" w14:textId="77777777" w:rsidR="009058FB" w:rsidRPr="00613A29"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AB21412" w14:textId="77777777" w:rsidR="009058FB" w:rsidRPr="000F0222" w:rsidRDefault="009058FB" w:rsidP="009058FB">
            <w:pPr>
              <w:rPr>
                <w:sz w:val="22"/>
                <w:szCs w:val="22"/>
                <w:lang w:val="en-GB"/>
              </w:rPr>
            </w:pPr>
          </w:p>
          <w:p w14:paraId="1CB902BB" w14:textId="15574EF1" w:rsidR="009058FB" w:rsidRPr="008C5535" w:rsidRDefault="00526B85" w:rsidP="009058FB">
            <w:pPr>
              <w:rPr>
                <w:sz w:val="22"/>
                <w:szCs w:val="22"/>
                <w:lang w:val="en-GB"/>
              </w:rPr>
            </w:pPr>
            <w:r w:rsidRPr="004779F8">
              <w:rPr>
                <w:sz w:val="22"/>
                <w:szCs w:val="22"/>
                <w:lang w:val="en-GB"/>
              </w:rPr>
              <w:t>Not implemented</w:t>
            </w:r>
            <w:r w:rsidR="0013498F" w:rsidRPr="00613A29">
              <w:rPr>
                <w:sz w:val="22"/>
                <w:szCs w:val="22"/>
                <w:lang w:val="en-GB"/>
              </w:rPr>
              <w:t xml:space="preserve"> due to lack of funding. Some materials for inclusion in a toolkit exist, but resources are needed to produce and disseminate the toolkit.</w:t>
            </w:r>
          </w:p>
          <w:p w14:paraId="00AA9415" w14:textId="77777777" w:rsidR="00526B85" w:rsidRPr="00E4475D" w:rsidRDefault="00526B85" w:rsidP="009058FB">
            <w:pPr>
              <w:rPr>
                <w:sz w:val="22"/>
                <w:szCs w:val="22"/>
                <w:lang w:val="en-GB"/>
              </w:rPr>
            </w:pPr>
          </w:p>
          <w:p w14:paraId="2AFF9C6F" w14:textId="052815EC" w:rsidR="00526B85" w:rsidRPr="004779F8" w:rsidRDefault="00526B85" w:rsidP="009058FB">
            <w:pPr>
              <w:rPr>
                <w:sz w:val="22"/>
                <w:szCs w:val="22"/>
                <w:lang w:val="en-GB"/>
              </w:rPr>
            </w:pPr>
            <w:r w:rsidRPr="00852729">
              <w:rPr>
                <w:b/>
                <w:sz w:val="22"/>
                <w:szCs w:val="22"/>
                <w:lang w:val="en-GB"/>
              </w:rPr>
              <w:t>Change since MOP</w:t>
            </w:r>
            <w:r w:rsidR="00670DEC" w:rsidRPr="00852729">
              <w:rPr>
                <w:b/>
                <w:sz w:val="22"/>
                <w:szCs w:val="22"/>
                <w:lang w:val="en-GB"/>
              </w:rPr>
              <w:t>4</w:t>
            </w:r>
            <w:r w:rsidRPr="004779F8">
              <w:rPr>
                <w:b/>
                <w:sz w:val="22"/>
                <w:szCs w:val="22"/>
                <w:lang w:val="en-GB"/>
              </w:rPr>
              <w:t>:</w:t>
            </w:r>
            <w:r w:rsidRPr="004779F8">
              <w:rPr>
                <w:sz w:val="22"/>
                <w:szCs w:val="22"/>
                <w:lang w:val="en-GB"/>
              </w:rPr>
              <w:t xml:space="preserve"> No change </w:t>
            </w:r>
          </w:p>
          <w:p w14:paraId="2B2107A6" w14:textId="77777777" w:rsidR="009058FB" w:rsidRPr="000F0222" w:rsidRDefault="009058FB" w:rsidP="009058FB">
            <w:pPr>
              <w:rPr>
                <w:sz w:val="22"/>
                <w:szCs w:val="22"/>
                <w:lang w:val="en-GB"/>
              </w:rPr>
            </w:pPr>
          </w:p>
          <w:p w14:paraId="21103FF3" w14:textId="77777777" w:rsidR="004A55C3" w:rsidRPr="000F0222" w:rsidRDefault="004A55C3" w:rsidP="004A55C3">
            <w:pPr>
              <w:rPr>
                <w:b/>
                <w:sz w:val="22"/>
                <w:szCs w:val="22"/>
                <w:lang w:val="en-GB"/>
              </w:rPr>
            </w:pPr>
          </w:p>
          <w:p w14:paraId="2FAA5AA3" w14:textId="3064AB66" w:rsidR="009058FB" w:rsidRPr="000F0222" w:rsidRDefault="009058FB" w:rsidP="004A55C3">
            <w:pPr>
              <w:rPr>
                <w:sz w:val="22"/>
                <w:szCs w:val="22"/>
                <w:lang w:val="en-GB"/>
              </w:rPr>
            </w:pPr>
            <w:r w:rsidRPr="000F0222">
              <w:rPr>
                <w:b/>
                <w:sz w:val="22"/>
                <w:szCs w:val="22"/>
                <w:lang w:val="en-GB"/>
              </w:rPr>
              <w:t xml:space="preserve">Reference: </w:t>
            </w:r>
            <w:r w:rsidRPr="000F0222">
              <w:rPr>
                <w:sz w:val="22"/>
                <w:szCs w:val="22"/>
                <w:lang w:val="en-GB"/>
              </w:rPr>
              <w:t xml:space="preserve">Report on the </w:t>
            </w:r>
            <w:r w:rsidR="00526B85" w:rsidRPr="000F0222">
              <w:rPr>
                <w:sz w:val="22"/>
                <w:szCs w:val="22"/>
                <w:lang w:val="en-GB"/>
              </w:rPr>
              <w:t>Secretariat</w:t>
            </w:r>
            <w:r w:rsidR="004A55C3" w:rsidRPr="000F0222">
              <w:rPr>
                <w:sz w:val="22"/>
                <w:szCs w:val="22"/>
                <w:lang w:val="en-GB"/>
              </w:rPr>
              <w:t xml:space="preserve"> (document AEWA/MOP </w:t>
            </w:r>
            <w:r w:rsidR="00526B85" w:rsidRPr="000F0222">
              <w:rPr>
                <w:sz w:val="22"/>
                <w:szCs w:val="22"/>
                <w:lang w:val="en-GB"/>
              </w:rPr>
              <w:t>6</w:t>
            </w:r>
            <w:r w:rsidRPr="000F0222">
              <w:rPr>
                <w:sz w:val="22"/>
                <w:szCs w:val="22"/>
                <w:lang w:val="en-GB"/>
              </w:rPr>
              <w:t>.</w:t>
            </w:r>
            <w:r w:rsidR="00526B85" w:rsidRPr="000F0222">
              <w:rPr>
                <w:sz w:val="22"/>
                <w:szCs w:val="22"/>
                <w:lang w:val="en-GB"/>
              </w:rPr>
              <w:t>9</w:t>
            </w:r>
            <w:r w:rsidRPr="000F0222">
              <w:rPr>
                <w:sz w:val="22"/>
                <w:szCs w:val="22"/>
                <w:lang w:val="en-GB"/>
              </w:rPr>
              <w:t>)</w:t>
            </w:r>
          </w:p>
          <w:p w14:paraId="3563F7F8" w14:textId="77777777" w:rsidR="009058FB" w:rsidRPr="000F0222" w:rsidRDefault="009058FB" w:rsidP="009058FB">
            <w:pPr>
              <w:rPr>
                <w:sz w:val="22"/>
                <w:szCs w:val="22"/>
                <w:lang w:val="en-GB"/>
              </w:rPr>
            </w:pPr>
          </w:p>
        </w:tc>
      </w:tr>
      <w:tr w:rsidR="009058FB" w:rsidRPr="004779F8" w14:paraId="6F359C40"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8A76F69" w14:textId="77777777" w:rsidR="009058FB" w:rsidRPr="004779F8" w:rsidRDefault="009058FB" w:rsidP="009058FB">
            <w:pPr>
              <w:rPr>
                <w:noProof/>
                <w:sz w:val="22"/>
                <w:szCs w:val="22"/>
                <w:lang w:val="en-GB" w:eastAsia="en-GB"/>
              </w:rPr>
            </w:pPr>
            <w:r w:rsidRPr="000F0222">
              <w:rPr>
                <w:noProof/>
                <w:sz w:val="22"/>
                <w:szCs w:val="22"/>
                <w:lang w:val="en-GB"/>
              </w:rPr>
              <w:drawing>
                <wp:inline distT="0" distB="0" distL="0" distR="0" wp14:anchorId="1B99CF67" wp14:editId="76B65764">
                  <wp:extent cx="1425039" cy="1080655"/>
                  <wp:effectExtent l="0" t="0" r="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A6A0DFF" w14:textId="77777777" w:rsidR="009058FB" w:rsidRPr="00613A29" w:rsidRDefault="009058FB" w:rsidP="009058FB">
            <w:pPr>
              <w:rPr>
                <w:b/>
                <w:sz w:val="22"/>
                <w:lang w:val="en-GB"/>
              </w:rPr>
            </w:pPr>
          </w:p>
          <w:p w14:paraId="51A7DD55" w14:textId="77777777" w:rsidR="009058FB" w:rsidRPr="00E4475D" w:rsidRDefault="009058FB" w:rsidP="009058FB">
            <w:pPr>
              <w:rPr>
                <w:b/>
                <w:sz w:val="22"/>
                <w:szCs w:val="22"/>
                <w:lang w:val="en-GB"/>
              </w:rPr>
            </w:pPr>
            <w:r w:rsidRPr="00613A29">
              <w:rPr>
                <w:b/>
                <w:sz w:val="22"/>
                <w:lang w:val="en-GB"/>
              </w:rPr>
              <w:t xml:space="preserve">4.3: Awareness and understanding of </w:t>
            </w:r>
            <w:proofErr w:type="spellStart"/>
            <w:r w:rsidRPr="00613A29">
              <w:rPr>
                <w:b/>
                <w:sz w:val="22"/>
                <w:lang w:val="en-GB"/>
              </w:rPr>
              <w:t>waterbird</w:t>
            </w:r>
            <w:proofErr w:type="spellEnd"/>
            <w:r w:rsidRPr="00613A29">
              <w:rPr>
                <w:b/>
                <w:sz w:val="22"/>
                <w:lang w:val="en-GB"/>
              </w:rPr>
              <w:t xml:space="preserve"> conservation issues in gen</w:t>
            </w:r>
            <w:r w:rsidRPr="008C5535">
              <w:rPr>
                <w:b/>
                <w:sz w:val="22"/>
                <w:lang w:val="en-GB"/>
              </w:rPr>
              <w:t xml:space="preserve">eral and of AEWA </w:t>
            </w:r>
            <w:proofErr w:type="gramStart"/>
            <w:r w:rsidRPr="008C5535">
              <w:rPr>
                <w:b/>
                <w:sz w:val="22"/>
                <w:lang w:val="en-GB"/>
              </w:rPr>
              <w:t>in particular are</w:t>
            </w:r>
            <w:proofErr w:type="gramEnd"/>
            <w:r w:rsidRPr="008C5535">
              <w:rPr>
                <w:b/>
                <w:sz w:val="22"/>
                <w:lang w:val="en-GB"/>
              </w:rPr>
              <w:t xml:space="preserve"> increased at all levels within the CPs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FE2DCB9" w14:textId="77777777" w:rsidR="009058FB" w:rsidRPr="00852729" w:rsidRDefault="009058FB" w:rsidP="009058FB">
            <w:pPr>
              <w:rPr>
                <w:b/>
                <w:sz w:val="22"/>
                <w:szCs w:val="22"/>
                <w:lang w:val="en-GB"/>
              </w:rPr>
            </w:pPr>
          </w:p>
          <w:p w14:paraId="2D3A6CB1" w14:textId="77777777" w:rsidR="009058FB" w:rsidRPr="004779F8" w:rsidRDefault="009058FB" w:rsidP="009058FB">
            <w:pPr>
              <w:rPr>
                <w:b/>
                <w:sz w:val="22"/>
                <w:szCs w:val="22"/>
                <w:lang w:val="en-GB"/>
              </w:rPr>
            </w:pPr>
            <w:r w:rsidRPr="004779F8">
              <w:rPr>
                <w:b/>
                <w:sz w:val="22"/>
                <w:szCs w:val="22"/>
                <w:lang w:val="en-GB"/>
              </w:rPr>
              <w:t xml:space="preserve">At least 25% of CPs have developed and are implementing programmes for raising awareness and understanding on </w:t>
            </w:r>
            <w:proofErr w:type="spellStart"/>
            <w:r w:rsidRPr="004779F8">
              <w:rPr>
                <w:b/>
                <w:sz w:val="22"/>
                <w:szCs w:val="22"/>
                <w:lang w:val="en-GB"/>
              </w:rPr>
              <w:t>waterbird</w:t>
            </w:r>
            <w:proofErr w:type="spellEnd"/>
            <w:r w:rsidRPr="004779F8">
              <w:rPr>
                <w:b/>
                <w:sz w:val="22"/>
                <w:szCs w:val="22"/>
                <w:lang w:val="en-GB"/>
              </w:rPr>
              <w:t xml:space="preserve"> conservation and AEWA</w:t>
            </w:r>
          </w:p>
          <w:p w14:paraId="356880B8"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51ED216" w14:textId="77777777" w:rsidR="009058FB" w:rsidRPr="000F0222" w:rsidRDefault="009058FB" w:rsidP="009058FB">
            <w:pPr>
              <w:rPr>
                <w:sz w:val="22"/>
                <w:szCs w:val="22"/>
                <w:lang w:val="en-GB"/>
              </w:rPr>
            </w:pPr>
          </w:p>
          <w:p w14:paraId="0A6E5529" w14:textId="67F34C25" w:rsidR="009058FB" w:rsidRPr="000F0222" w:rsidRDefault="00826D92" w:rsidP="009058FB">
            <w:pPr>
              <w:rPr>
                <w:b/>
                <w:sz w:val="22"/>
                <w:szCs w:val="22"/>
                <w:lang w:val="en-GB"/>
              </w:rPr>
            </w:pPr>
            <w:r w:rsidRPr="000F0222">
              <w:rPr>
                <w:sz w:val="22"/>
                <w:szCs w:val="22"/>
                <w:lang w:val="en-GB"/>
              </w:rPr>
              <w:t>32</w:t>
            </w:r>
            <w:r w:rsidR="009058FB" w:rsidRPr="000F0222">
              <w:rPr>
                <w:sz w:val="22"/>
                <w:szCs w:val="22"/>
                <w:lang w:val="en-GB"/>
              </w:rPr>
              <w:t xml:space="preserve">% of the Contracting Parties (CPs) reported that they have in place and are implementing programmes for awareness raising on </w:t>
            </w:r>
            <w:proofErr w:type="spellStart"/>
            <w:r w:rsidR="009058FB" w:rsidRPr="000F0222">
              <w:rPr>
                <w:sz w:val="22"/>
                <w:szCs w:val="22"/>
                <w:lang w:val="en-GB"/>
              </w:rPr>
              <w:t>waterbird</w:t>
            </w:r>
            <w:proofErr w:type="spellEnd"/>
            <w:r w:rsidR="009058FB" w:rsidRPr="000F0222">
              <w:rPr>
                <w:sz w:val="22"/>
                <w:szCs w:val="22"/>
                <w:lang w:val="en-GB"/>
              </w:rPr>
              <w:t xml:space="preserve"> conservation and AEWA. </w:t>
            </w:r>
            <w:r w:rsidR="00C00815" w:rsidRPr="000F0222">
              <w:rPr>
                <w:sz w:val="22"/>
                <w:szCs w:val="22"/>
                <w:lang w:val="en-GB"/>
              </w:rPr>
              <w:t>A f</w:t>
            </w:r>
            <w:r w:rsidR="009058FB" w:rsidRPr="000F0222">
              <w:rPr>
                <w:sz w:val="22"/>
                <w:szCs w:val="22"/>
                <w:lang w:val="en-GB"/>
              </w:rPr>
              <w:t xml:space="preserve">urther </w:t>
            </w:r>
            <w:r w:rsidRPr="000F0222">
              <w:rPr>
                <w:sz w:val="22"/>
                <w:szCs w:val="22"/>
                <w:lang w:val="en-GB"/>
              </w:rPr>
              <w:t>5</w:t>
            </w:r>
            <w:r w:rsidR="009058FB" w:rsidRPr="000F0222">
              <w:rPr>
                <w:sz w:val="22"/>
                <w:szCs w:val="22"/>
                <w:lang w:val="en-GB"/>
              </w:rPr>
              <w:t xml:space="preserve">% are developing such programmes. </w:t>
            </w:r>
            <w:r w:rsidR="009058FB" w:rsidRPr="000F0222">
              <w:rPr>
                <w:b/>
                <w:sz w:val="22"/>
                <w:szCs w:val="22"/>
                <w:lang w:val="en-GB"/>
              </w:rPr>
              <w:t xml:space="preserve">A more comprehensive analysis should be made to assess the level and type of CEPA activities </w:t>
            </w:r>
            <w:r w:rsidR="00C04F30" w:rsidRPr="000F0222">
              <w:rPr>
                <w:b/>
                <w:sz w:val="22"/>
                <w:szCs w:val="22"/>
                <w:lang w:val="en-GB"/>
              </w:rPr>
              <w:t xml:space="preserve">and the extent of the programmes developed by </w:t>
            </w:r>
            <w:r w:rsidR="009058FB" w:rsidRPr="000F0222">
              <w:rPr>
                <w:b/>
                <w:sz w:val="22"/>
                <w:szCs w:val="22"/>
                <w:lang w:val="en-GB"/>
              </w:rPr>
              <w:t>the CPs.</w:t>
            </w:r>
          </w:p>
          <w:p w14:paraId="45C5BE17" w14:textId="77777777" w:rsidR="006A2233" w:rsidRPr="000F0222" w:rsidRDefault="006A2233" w:rsidP="009058FB">
            <w:pPr>
              <w:rPr>
                <w:b/>
                <w:sz w:val="22"/>
                <w:szCs w:val="22"/>
                <w:lang w:val="en-GB"/>
              </w:rPr>
            </w:pPr>
          </w:p>
          <w:p w14:paraId="4E1A5B09" w14:textId="07656094" w:rsidR="006A2233" w:rsidRPr="000F0222" w:rsidRDefault="006A2233" w:rsidP="009058FB">
            <w:pPr>
              <w:rPr>
                <w:sz w:val="22"/>
                <w:szCs w:val="22"/>
                <w:lang w:val="en-GB"/>
              </w:rPr>
            </w:pPr>
            <w:r w:rsidRPr="000F0222">
              <w:rPr>
                <w:b/>
                <w:sz w:val="22"/>
                <w:szCs w:val="22"/>
                <w:lang w:val="en-GB"/>
              </w:rPr>
              <w:t>Change since MOP</w:t>
            </w:r>
            <w:r w:rsidR="00826D92" w:rsidRPr="000F0222">
              <w:rPr>
                <w:b/>
                <w:sz w:val="22"/>
                <w:szCs w:val="22"/>
                <w:lang w:val="en-GB"/>
              </w:rPr>
              <w:t>4</w:t>
            </w:r>
            <w:r w:rsidRPr="000F0222">
              <w:rPr>
                <w:b/>
                <w:sz w:val="22"/>
                <w:szCs w:val="22"/>
                <w:lang w:val="en-GB"/>
              </w:rPr>
              <w:t xml:space="preserve">: </w:t>
            </w:r>
            <w:r w:rsidRPr="000F0222">
              <w:rPr>
                <w:sz w:val="22"/>
                <w:szCs w:val="22"/>
                <w:lang w:val="en-GB"/>
              </w:rPr>
              <w:t xml:space="preserve">Negative. </w:t>
            </w:r>
            <w:r w:rsidR="00C04F30" w:rsidRPr="000F0222">
              <w:rPr>
                <w:sz w:val="22"/>
                <w:szCs w:val="22"/>
                <w:lang w:val="en-GB"/>
              </w:rPr>
              <w:t>Although still surpassing the target, t</w:t>
            </w:r>
            <w:r w:rsidRPr="000F0222">
              <w:rPr>
                <w:sz w:val="22"/>
                <w:szCs w:val="22"/>
                <w:lang w:val="en-GB"/>
              </w:rPr>
              <w:t xml:space="preserve">he proportion of CPs reporting programmes in place has dropped from 39% </w:t>
            </w:r>
            <w:r w:rsidR="00826D92" w:rsidRPr="000F0222">
              <w:rPr>
                <w:sz w:val="22"/>
                <w:szCs w:val="22"/>
                <w:lang w:val="en-GB"/>
              </w:rPr>
              <w:t>during the first assessment in 2012</w:t>
            </w:r>
            <w:r w:rsidRPr="000F0222">
              <w:rPr>
                <w:sz w:val="22"/>
                <w:szCs w:val="22"/>
                <w:lang w:val="en-GB"/>
              </w:rPr>
              <w:t>.</w:t>
            </w:r>
          </w:p>
          <w:p w14:paraId="64234A93" w14:textId="77777777" w:rsidR="009058FB" w:rsidRPr="000F0222" w:rsidRDefault="009058FB" w:rsidP="009058FB">
            <w:pPr>
              <w:rPr>
                <w:sz w:val="22"/>
                <w:szCs w:val="22"/>
                <w:lang w:val="en-GB"/>
              </w:rPr>
            </w:pPr>
          </w:p>
          <w:p w14:paraId="64F847CD" w14:textId="5736C702" w:rsidR="004A55C3" w:rsidRPr="000F0222" w:rsidRDefault="009058FB" w:rsidP="004A55C3">
            <w:pPr>
              <w:rPr>
                <w:sz w:val="22"/>
                <w:szCs w:val="22"/>
                <w:lang w:val="en-GB"/>
              </w:rPr>
            </w:pPr>
            <w:r w:rsidRPr="000F0222">
              <w:rPr>
                <w:b/>
                <w:sz w:val="22"/>
                <w:szCs w:val="22"/>
                <w:lang w:val="en-GB"/>
              </w:rPr>
              <w:lastRenderedPageBreak/>
              <w:t xml:space="preserve">Reference: </w:t>
            </w:r>
            <w:r w:rsidRPr="000F0222">
              <w:rPr>
                <w:sz w:val="22"/>
                <w:szCs w:val="22"/>
                <w:lang w:val="en-GB"/>
              </w:rPr>
              <w:t xml:space="preserve">Analysis of </w:t>
            </w:r>
            <w:r w:rsidR="00826D92" w:rsidRPr="000F0222">
              <w:rPr>
                <w:sz w:val="22"/>
                <w:szCs w:val="22"/>
                <w:lang w:val="en-GB"/>
              </w:rPr>
              <w:t xml:space="preserve">the </w:t>
            </w:r>
            <w:r w:rsidRPr="000F0222">
              <w:rPr>
                <w:sz w:val="22"/>
                <w:szCs w:val="22"/>
                <w:lang w:val="en-GB"/>
              </w:rPr>
              <w:t>AEWA National Reports for the</w:t>
            </w:r>
            <w:r w:rsidR="004A55C3" w:rsidRPr="000F0222">
              <w:rPr>
                <w:sz w:val="22"/>
                <w:szCs w:val="22"/>
                <w:lang w:val="en-GB"/>
              </w:rPr>
              <w:t xml:space="preserve"> </w:t>
            </w:r>
            <w:r w:rsidR="00826D92" w:rsidRPr="000F0222">
              <w:rPr>
                <w:sz w:val="22"/>
                <w:szCs w:val="22"/>
                <w:lang w:val="en-GB"/>
              </w:rPr>
              <w:t>T</w:t>
            </w:r>
            <w:r w:rsidRPr="000F0222">
              <w:rPr>
                <w:sz w:val="22"/>
                <w:szCs w:val="22"/>
                <w:lang w:val="en-GB"/>
              </w:rPr>
              <w:t xml:space="preserve">riennium </w:t>
            </w:r>
          </w:p>
          <w:p w14:paraId="094ADE82" w14:textId="70EE8B77" w:rsidR="009058FB" w:rsidRPr="000F0222" w:rsidRDefault="004A55C3" w:rsidP="004A55C3">
            <w:pPr>
              <w:rPr>
                <w:sz w:val="22"/>
                <w:szCs w:val="22"/>
                <w:lang w:val="en-GB"/>
              </w:rPr>
            </w:pPr>
            <w:r w:rsidRPr="000F0222">
              <w:rPr>
                <w:sz w:val="22"/>
                <w:szCs w:val="22"/>
                <w:lang w:val="en-GB"/>
              </w:rPr>
              <w:t xml:space="preserve">                   </w:t>
            </w:r>
            <w:r w:rsidR="009058FB" w:rsidRPr="000F0222">
              <w:rPr>
                <w:sz w:val="22"/>
                <w:szCs w:val="22"/>
                <w:lang w:val="en-GB"/>
              </w:rPr>
              <w:t>20</w:t>
            </w:r>
            <w:r w:rsidR="006A2233" w:rsidRPr="000F0222">
              <w:rPr>
                <w:sz w:val="22"/>
                <w:szCs w:val="22"/>
                <w:lang w:val="en-GB"/>
              </w:rPr>
              <w:t>1</w:t>
            </w:r>
            <w:r w:rsidR="00826D92" w:rsidRPr="000F0222">
              <w:rPr>
                <w:sz w:val="22"/>
                <w:szCs w:val="22"/>
                <w:lang w:val="en-GB"/>
              </w:rPr>
              <w:t>5</w:t>
            </w:r>
            <w:r w:rsidR="009058FB" w:rsidRPr="000F0222">
              <w:rPr>
                <w:sz w:val="22"/>
                <w:szCs w:val="22"/>
                <w:lang w:val="en-GB"/>
              </w:rPr>
              <w:t>-201</w:t>
            </w:r>
            <w:r w:rsidR="00826D92" w:rsidRPr="000F0222">
              <w:rPr>
                <w:sz w:val="22"/>
                <w:szCs w:val="22"/>
                <w:lang w:val="en-GB"/>
              </w:rPr>
              <w:t>7</w:t>
            </w:r>
            <w:r w:rsidR="009058FB" w:rsidRPr="000F0222">
              <w:rPr>
                <w:sz w:val="22"/>
                <w:szCs w:val="22"/>
                <w:lang w:val="en-GB"/>
              </w:rPr>
              <w:t xml:space="preserve"> (document AEWA/MOP </w:t>
            </w:r>
            <w:r w:rsidR="00826D92" w:rsidRPr="000F0222">
              <w:rPr>
                <w:sz w:val="22"/>
                <w:szCs w:val="22"/>
                <w:lang w:val="en-GB"/>
              </w:rPr>
              <w:t>7</w:t>
            </w:r>
            <w:r w:rsidR="009058FB" w:rsidRPr="000F0222">
              <w:rPr>
                <w:sz w:val="22"/>
                <w:szCs w:val="22"/>
                <w:lang w:val="en-GB"/>
              </w:rPr>
              <w:t>.1</w:t>
            </w:r>
            <w:r w:rsidR="00826D92" w:rsidRPr="000F0222">
              <w:rPr>
                <w:sz w:val="22"/>
                <w:szCs w:val="22"/>
                <w:lang w:val="en-GB"/>
              </w:rPr>
              <w:t>2</w:t>
            </w:r>
            <w:r w:rsidR="009058FB" w:rsidRPr="000F0222">
              <w:rPr>
                <w:sz w:val="22"/>
                <w:szCs w:val="22"/>
                <w:lang w:val="en-GB"/>
              </w:rPr>
              <w:t>)</w:t>
            </w:r>
          </w:p>
          <w:p w14:paraId="1846CD10" w14:textId="77777777" w:rsidR="009058FB" w:rsidRPr="000F0222" w:rsidRDefault="009058FB" w:rsidP="009058FB">
            <w:pPr>
              <w:rPr>
                <w:sz w:val="22"/>
                <w:szCs w:val="22"/>
                <w:lang w:val="en-GB"/>
              </w:rPr>
            </w:pPr>
          </w:p>
        </w:tc>
      </w:tr>
    </w:tbl>
    <w:p w14:paraId="76B8415A" w14:textId="77777777" w:rsidR="009058FB" w:rsidRPr="000F0222" w:rsidRDefault="009058FB" w:rsidP="009058FB">
      <w:pPr>
        <w:rPr>
          <w:lang w:val="en-GB"/>
        </w:rPr>
      </w:pPr>
    </w:p>
    <w:p w14:paraId="15B00E83" w14:textId="77777777" w:rsidR="009058FB" w:rsidRPr="000F0222" w:rsidRDefault="009058FB" w:rsidP="009058FB">
      <w:pPr>
        <w:rPr>
          <w:lang w:val="en-GB"/>
        </w:rPr>
      </w:pPr>
    </w:p>
    <w:p w14:paraId="1E2971F6" w14:textId="77777777" w:rsidR="009058FB" w:rsidRPr="00613A29" w:rsidRDefault="009058FB" w:rsidP="009058FB">
      <w:pPr>
        <w:pageBreakBefore/>
        <w:jc w:val="both"/>
        <w:rPr>
          <w:i/>
          <w:iCs/>
          <w:lang w:val="en-GB"/>
        </w:rPr>
      </w:pPr>
      <w:r w:rsidRPr="004779F8">
        <w:rPr>
          <w:i/>
          <w:lang w:val="en-GB"/>
        </w:rPr>
        <w:lastRenderedPageBreak/>
        <w:t xml:space="preserve">Table 8. Objective 5: To improve the capacity of Range States and international cooperation and capacity towards the conservation of migratory </w:t>
      </w:r>
      <w:proofErr w:type="spellStart"/>
      <w:r w:rsidRPr="004779F8">
        <w:rPr>
          <w:i/>
          <w:lang w:val="en-GB"/>
        </w:rPr>
        <w:t>wate</w:t>
      </w:r>
      <w:r w:rsidRPr="00613A29">
        <w:rPr>
          <w:i/>
          <w:lang w:val="en-GB"/>
        </w:rPr>
        <w:t>rbird</w:t>
      </w:r>
      <w:proofErr w:type="spellEnd"/>
      <w:r w:rsidRPr="00613A29">
        <w:rPr>
          <w:i/>
          <w:lang w:val="en-GB"/>
        </w:rPr>
        <w:t xml:space="preserve"> species and their flyways</w:t>
      </w:r>
    </w:p>
    <w:p w14:paraId="3705B0F3" w14:textId="77777777" w:rsidR="009058FB" w:rsidRPr="000F0222" w:rsidRDefault="009058FB" w:rsidP="009058FB">
      <w:pPr>
        <w:rPr>
          <w:b/>
          <w:lang w:val="en-GB"/>
        </w:rPr>
      </w:pPr>
    </w:p>
    <w:tbl>
      <w:tblPr>
        <w:tblStyle w:val="TableGrid"/>
        <w:tblW w:w="0" w:type="auto"/>
        <w:tblLayout w:type="fixed"/>
        <w:tblLook w:val="04A0" w:firstRow="1" w:lastRow="0" w:firstColumn="1" w:lastColumn="0" w:noHBand="0" w:noVBand="1"/>
      </w:tblPr>
      <w:tblGrid>
        <w:gridCol w:w="2376"/>
        <w:gridCol w:w="2835"/>
        <w:gridCol w:w="2835"/>
        <w:gridCol w:w="6663"/>
      </w:tblGrid>
      <w:tr w:rsidR="009058FB" w:rsidRPr="004779F8" w14:paraId="59F4D206" w14:textId="77777777" w:rsidTr="009D142E">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0623829" w14:textId="77777777" w:rsidR="009058FB" w:rsidRPr="000F0222" w:rsidRDefault="009058FB" w:rsidP="009058FB">
            <w:pPr>
              <w:rPr>
                <w:b/>
                <w:lang w:val="en-GB"/>
              </w:rPr>
            </w:pPr>
            <w:r w:rsidRPr="000F0222">
              <w:rPr>
                <w:b/>
                <w:lang w:val="en-G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3116D97" w14:textId="77777777" w:rsidR="009058FB" w:rsidRPr="000F0222" w:rsidRDefault="009058FB" w:rsidP="009058FB">
            <w:pPr>
              <w:rPr>
                <w:b/>
                <w:lang w:val="en-GB"/>
              </w:rPr>
            </w:pPr>
            <w:r w:rsidRPr="000F0222">
              <w:rPr>
                <w:b/>
                <w:lang w:val="en-G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A5F486" w14:textId="77777777" w:rsidR="009058FB" w:rsidRPr="000F0222" w:rsidRDefault="009058FB" w:rsidP="009058FB">
            <w:pPr>
              <w:rPr>
                <w:b/>
                <w:lang w:val="en-GB"/>
              </w:rPr>
            </w:pPr>
            <w:r w:rsidRPr="000F0222">
              <w:rPr>
                <w:b/>
                <w:lang w:val="en-GB"/>
              </w:rPr>
              <w:t>Indicator</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FA29B23" w14:textId="77777777" w:rsidR="009058FB" w:rsidRPr="000F0222" w:rsidRDefault="009058FB" w:rsidP="009058FB">
            <w:pPr>
              <w:rPr>
                <w:b/>
                <w:lang w:val="en-GB"/>
              </w:rPr>
            </w:pPr>
            <w:r w:rsidRPr="000F0222">
              <w:rPr>
                <w:b/>
                <w:lang w:val="en-GB"/>
              </w:rPr>
              <w:t>Summary and reference</w:t>
            </w:r>
          </w:p>
          <w:p w14:paraId="2C26721F" w14:textId="77777777" w:rsidR="009058FB" w:rsidRPr="000F0222" w:rsidRDefault="009058FB" w:rsidP="009058FB">
            <w:pPr>
              <w:rPr>
                <w:b/>
                <w:lang w:val="en-GB"/>
              </w:rPr>
            </w:pPr>
          </w:p>
        </w:tc>
      </w:tr>
      <w:tr w:rsidR="009058FB" w:rsidRPr="004779F8" w14:paraId="0A556611" w14:textId="77777777" w:rsidTr="009D142E">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02A03F4" w14:textId="5450F967" w:rsidR="009058FB" w:rsidRPr="000F0222" w:rsidRDefault="007C64BF" w:rsidP="009058FB">
            <w:pPr>
              <w:rPr>
                <w:sz w:val="22"/>
                <w:szCs w:val="22"/>
                <w:lang w:val="en-GB"/>
              </w:rPr>
            </w:pPr>
            <w:r w:rsidRPr="000F0222">
              <w:rPr>
                <w:b/>
                <w:noProof/>
                <w:lang w:val="en-GB"/>
              </w:rPr>
              <w:drawing>
                <wp:inline distT="0" distB="0" distL="0" distR="0" wp14:anchorId="2A9C545B" wp14:editId="4A5CFA14">
                  <wp:extent cx="1425039" cy="1080654"/>
                  <wp:effectExtent l="0" t="0" r="0" b="0"/>
                  <wp:docPr id="7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6E65DF8" w14:textId="77777777" w:rsidR="009058FB" w:rsidRPr="004779F8" w:rsidRDefault="009058FB" w:rsidP="009058FB">
            <w:pPr>
              <w:tabs>
                <w:tab w:val="left" w:pos="2160"/>
              </w:tabs>
              <w:rPr>
                <w:b/>
                <w:sz w:val="22"/>
                <w:szCs w:val="22"/>
                <w:lang w:val="en-GB"/>
              </w:rPr>
            </w:pPr>
          </w:p>
          <w:p w14:paraId="4EAF9AA8" w14:textId="77777777" w:rsidR="009058FB" w:rsidRPr="00613A29" w:rsidRDefault="009058FB" w:rsidP="009058FB">
            <w:pPr>
              <w:tabs>
                <w:tab w:val="left" w:pos="2160"/>
              </w:tabs>
              <w:rPr>
                <w:b/>
                <w:sz w:val="22"/>
                <w:szCs w:val="22"/>
                <w:lang w:val="en-GB"/>
              </w:rPr>
            </w:pPr>
            <w:r w:rsidRPr="00613A29">
              <w:rPr>
                <w:b/>
                <w:sz w:val="22"/>
                <w:szCs w:val="22"/>
                <w:lang w:val="en-GB"/>
              </w:rPr>
              <w:t>5.1: The membership of the Agreement is expanded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1CCF546" w14:textId="77777777" w:rsidR="009058FB" w:rsidRPr="008C5535" w:rsidRDefault="009058FB" w:rsidP="009058FB">
            <w:pPr>
              <w:rPr>
                <w:b/>
                <w:sz w:val="22"/>
                <w:szCs w:val="22"/>
                <w:lang w:val="en-GB"/>
              </w:rPr>
            </w:pPr>
          </w:p>
          <w:p w14:paraId="6EEA5AE3" w14:textId="77777777" w:rsidR="009058FB" w:rsidRPr="00852729" w:rsidRDefault="009058FB" w:rsidP="009058FB">
            <w:pPr>
              <w:rPr>
                <w:b/>
                <w:sz w:val="22"/>
                <w:szCs w:val="22"/>
                <w:lang w:val="en-GB"/>
              </w:rPr>
            </w:pPr>
            <w:r w:rsidRPr="00E4475D">
              <w:rPr>
                <w:b/>
                <w:sz w:val="22"/>
                <w:szCs w:val="22"/>
                <w:lang w:val="en-GB"/>
              </w:rPr>
              <w:t xml:space="preserve">AEWA Membership has increased to 75 Parties by MOP5, to 85 Parties by MOP6, and to 90 Parties by MOP 7, with </w:t>
            </w:r>
            <w:proofErr w:type="gramStart"/>
            <w:r w:rsidRPr="00E4475D">
              <w:rPr>
                <w:b/>
                <w:sz w:val="22"/>
                <w:szCs w:val="22"/>
                <w:lang w:val="en-GB"/>
              </w:rPr>
              <w:t xml:space="preserve">particular </w:t>
            </w:r>
            <w:r w:rsidRPr="00852729">
              <w:rPr>
                <w:b/>
                <w:sz w:val="22"/>
                <w:szCs w:val="22"/>
                <w:lang w:val="en-GB"/>
              </w:rPr>
              <w:t>focus</w:t>
            </w:r>
            <w:proofErr w:type="gramEnd"/>
            <w:r w:rsidRPr="00852729">
              <w:rPr>
                <w:b/>
                <w:sz w:val="22"/>
                <w:szCs w:val="22"/>
                <w:lang w:val="en-GB"/>
              </w:rPr>
              <w:t xml:space="preserve"> on Central Asia and the Middle East</w:t>
            </w:r>
          </w:p>
          <w:p w14:paraId="2FADBC37"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371A464C" w14:textId="77777777" w:rsidR="009058FB" w:rsidRPr="000F0222" w:rsidRDefault="009058FB" w:rsidP="009058FB">
            <w:pPr>
              <w:rPr>
                <w:sz w:val="22"/>
                <w:szCs w:val="22"/>
                <w:lang w:val="en-GB"/>
              </w:rPr>
            </w:pPr>
          </w:p>
          <w:p w14:paraId="0607B3EB" w14:textId="16285CEE" w:rsidR="009058FB" w:rsidRPr="000F0222" w:rsidRDefault="009058FB" w:rsidP="009058FB">
            <w:pPr>
              <w:rPr>
                <w:sz w:val="22"/>
                <w:szCs w:val="22"/>
                <w:lang w:val="en-GB"/>
              </w:rPr>
            </w:pPr>
            <w:r w:rsidRPr="000F0222">
              <w:rPr>
                <w:sz w:val="22"/>
                <w:szCs w:val="22"/>
                <w:lang w:val="en-GB"/>
              </w:rPr>
              <w:t xml:space="preserve">The number of Contracting Parties (CPs) increased by </w:t>
            </w:r>
            <w:r w:rsidR="00715E4C" w:rsidRPr="000F0222">
              <w:rPr>
                <w:sz w:val="22"/>
                <w:szCs w:val="22"/>
                <w:lang w:val="en-GB"/>
              </w:rPr>
              <w:t>1</w:t>
            </w:r>
            <w:r w:rsidR="009F736D" w:rsidRPr="000F0222">
              <w:rPr>
                <w:sz w:val="22"/>
                <w:szCs w:val="22"/>
                <w:lang w:val="en-GB"/>
              </w:rPr>
              <w:t>6</w:t>
            </w:r>
            <w:r w:rsidR="00715E4C" w:rsidRPr="000F0222">
              <w:rPr>
                <w:sz w:val="22"/>
                <w:szCs w:val="22"/>
                <w:lang w:val="en-GB"/>
              </w:rPr>
              <w:t xml:space="preserve"> </w:t>
            </w:r>
            <w:r w:rsidRPr="000F0222">
              <w:rPr>
                <w:sz w:val="22"/>
                <w:szCs w:val="22"/>
                <w:lang w:val="en-GB"/>
              </w:rPr>
              <w:t xml:space="preserve">from 61 at MOP4 (as of 1 September 2008) to </w:t>
            </w:r>
            <w:r w:rsidR="00715E4C" w:rsidRPr="000F0222">
              <w:rPr>
                <w:sz w:val="22"/>
                <w:szCs w:val="22"/>
                <w:lang w:val="en-GB"/>
              </w:rPr>
              <w:t>7</w:t>
            </w:r>
            <w:r w:rsidR="009F736D" w:rsidRPr="000F0222">
              <w:rPr>
                <w:sz w:val="22"/>
                <w:szCs w:val="22"/>
                <w:lang w:val="en-GB"/>
              </w:rPr>
              <w:t>7</w:t>
            </w:r>
            <w:r w:rsidRPr="000F0222">
              <w:rPr>
                <w:sz w:val="22"/>
                <w:szCs w:val="22"/>
                <w:lang w:val="en-GB"/>
              </w:rPr>
              <w:t xml:space="preserve"> at MOP</w:t>
            </w:r>
            <w:r w:rsidR="009F736D" w:rsidRPr="000F0222">
              <w:rPr>
                <w:sz w:val="22"/>
                <w:szCs w:val="22"/>
                <w:lang w:val="en-GB"/>
              </w:rPr>
              <w:t>7</w:t>
            </w:r>
            <w:r w:rsidRPr="000F0222">
              <w:rPr>
                <w:sz w:val="22"/>
                <w:szCs w:val="22"/>
                <w:lang w:val="en-GB"/>
              </w:rPr>
              <w:t xml:space="preserve"> (as of 1 </w:t>
            </w:r>
            <w:r w:rsidR="009F736D" w:rsidRPr="000F0222">
              <w:rPr>
                <w:sz w:val="22"/>
                <w:szCs w:val="22"/>
                <w:lang w:val="en-GB"/>
              </w:rPr>
              <w:t xml:space="preserve">October </w:t>
            </w:r>
            <w:r w:rsidRPr="000F0222">
              <w:rPr>
                <w:sz w:val="22"/>
                <w:szCs w:val="22"/>
                <w:lang w:val="en-GB"/>
              </w:rPr>
              <w:t>201</w:t>
            </w:r>
            <w:r w:rsidR="009F736D" w:rsidRPr="000F0222">
              <w:rPr>
                <w:sz w:val="22"/>
                <w:szCs w:val="22"/>
                <w:lang w:val="en-GB"/>
              </w:rPr>
              <w:t>8</w:t>
            </w:r>
            <w:r w:rsidRPr="000F0222">
              <w:rPr>
                <w:sz w:val="22"/>
                <w:szCs w:val="22"/>
                <w:lang w:val="en-GB"/>
              </w:rPr>
              <w:t xml:space="preserve">) with </w:t>
            </w:r>
            <w:r w:rsidR="00715E4C" w:rsidRPr="000F0222">
              <w:rPr>
                <w:sz w:val="22"/>
                <w:szCs w:val="22"/>
                <w:lang w:val="en-GB"/>
              </w:rPr>
              <w:t>1</w:t>
            </w:r>
            <w:r w:rsidR="009F736D" w:rsidRPr="000F0222">
              <w:rPr>
                <w:sz w:val="22"/>
                <w:szCs w:val="22"/>
                <w:lang w:val="en-GB"/>
              </w:rPr>
              <w:t>4</w:t>
            </w:r>
            <w:r w:rsidR="00715E4C" w:rsidRPr="000F0222">
              <w:rPr>
                <w:sz w:val="22"/>
                <w:szCs w:val="22"/>
                <w:lang w:val="en-GB"/>
              </w:rPr>
              <w:t xml:space="preserve"> </w:t>
            </w:r>
            <w:r w:rsidRPr="000F0222">
              <w:rPr>
                <w:sz w:val="22"/>
                <w:szCs w:val="22"/>
                <w:lang w:val="en-GB"/>
              </w:rPr>
              <w:t xml:space="preserve">new CPs from Africa and two from Europe. </w:t>
            </w:r>
            <w:r w:rsidR="001C49A1" w:rsidRPr="000F0222">
              <w:rPr>
                <w:sz w:val="22"/>
                <w:szCs w:val="22"/>
                <w:lang w:val="en-GB"/>
              </w:rPr>
              <w:t xml:space="preserve">Since MOP6 (2015) only two new Parties joined (one African and one European). </w:t>
            </w:r>
            <w:r w:rsidRPr="000F0222">
              <w:rPr>
                <w:sz w:val="22"/>
                <w:szCs w:val="22"/>
                <w:lang w:val="en-GB"/>
              </w:rPr>
              <w:t xml:space="preserve">Only </w:t>
            </w:r>
            <w:r w:rsidR="009F736D" w:rsidRPr="000F0222">
              <w:rPr>
                <w:sz w:val="22"/>
                <w:szCs w:val="22"/>
                <w:lang w:val="en-GB"/>
              </w:rPr>
              <w:t xml:space="preserve">four </w:t>
            </w:r>
            <w:r w:rsidRPr="000F0222">
              <w:rPr>
                <w:sz w:val="22"/>
                <w:szCs w:val="22"/>
                <w:lang w:val="en-GB"/>
              </w:rPr>
              <w:t>CPs reported approaching non-CPs to encourage them to accede to the Agreement.</w:t>
            </w:r>
            <w:r w:rsidR="00D652AF" w:rsidRPr="000F0222">
              <w:rPr>
                <w:sz w:val="22"/>
                <w:szCs w:val="22"/>
                <w:lang w:val="en-GB"/>
              </w:rPr>
              <w:t xml:space="preserve"> </w:t>
            </w:r>
          </w:p>
          <w:p w14:paraId="708DFDD5" w14:textId="77777777" w:rsidR="009058FB" w:rsidRPr="000F0222" w:rsidRDefault="009058FB" w:rsidP="009058FB">
            <w:pPr>
              <w:rPr>
                <w:sz w:val="22"/>
                <w:szCs w:val="22"/>
                <w:lang w:val="en-GB"/>
              </w:rPr>
            </w:pPr>
          </w:p>
          <w:p w14:paraId="36CF2AE6" w14:textId="3084C0FD" w:rsidR="00E87B18" w:rsidRDefault="00715E4C" w:rsidP="009058FB">
            <w:pPr>
              <w:rPr>
                <w:sz w:val="22"/>
                <w:szCs w:val="22"/>
                <w:lang w:val="en-GB"/>
              </w:rPr>
            </w:pPr>
            <w:r w:rsidRPr="000F0222">
              <w:rPr>
                <w:b/>
                <w:sz w:val="22"/>
                <w:szCs w:val="22"/>
                <w:lang w:val="en-GB"/>
              </w:rPr>
              <w:t>Change since MOP</w:t>
            </w:r>
            <w:r w:rsidR="009F736D" w:rsidRPr="000F0222">
              <w:rPr>
                <w:b/>
                <w:sz w:val="22"/>
                <w:szCs w:val="22"/>
                <w:lang w:val="en-GB"/>
              </w:rPr>
              <w:t>4</w:t>
            </w:r>
            <w:r w:rsidRPr="000F0222">
              <w:rPr>
                <w:b/>
                <w:sz w:val="22"/>
                <w:szCs w:val="22"/>
                <w:lang w:val="en-GB"/>
              </w:rPr>
              <w:t>:</w:t>
            </w:r>
            <w:r w:rsidR="00D652AF" w:rsidRPr="000F0222">
              <w:rPr>
                <w:sz w:val="22"/>
                <w:szCs w:val="22"/>
                <w:lang w:val="en-GB"/>
              </w:rPr>
              <w:t xml:space="preserve"> Positive. </w:t>
            </w:r>
          </w:p>
          <w:p w14:paraId="50A08B03" w14:textId="77777777" w:rsidR="00E87B18" w:rsidRPr="000F0222" w:rsidRDefault="00E87B18" w:rsidP="009058FB">
            <w:pPr>
              <w:rPr>
                <w:sz w:val="22"/>
                <w:szCs w:val="22"/>
                <w:lang w:val="en-GB"/>
              </w:rPr>
            </w:pPr>
          </w:p>
          <w:p w14:paraId="21939FB8" w14:textId="77777777" w:rsidR="00FA6682" w:rsidRDefault="009058FB" w:rsidP="000F0222">
            <w:pPr>
              <w:rPr>
                <w:sz w:val="22"/>
                <w:szCs w:val="22"/>
                <w:lang w:val="en-GB"/>
              </w:rPr>
            </w:pPr>
            <w:r w:rsidRPr="000F0222">
              <w:rPr>
                <w:b/>
                <w:sz w:val="22"/>
                <w:szCs w:val="22"/>
                <w:lang w:val="en-GB"/>
              </w:rPr>
              <w:t xml:space="preserve">Reference: </w:t>
            </w:r>
            <w:r w:rsidR="00F17E78">
              <w:rPr>
                <w:sz w:val="22"/>
                <w:szCs w:val="22"/>
                <w:lang w:val="en-GB"/>
              </w:rPr>
              <w:t>R</w:t>
            </w:r>
            <w:r w:rsidRPr="000F0222">
              <w:rPr>
                <w:sz w:val="22"/>
                <w:szCs w:val="22"/>
                <w:lang w:val="en-GB"/>
              </w:rPr>
              <w:t xml:space="preserve">eport of the Depositary (document AEWA/MOP </w:t>
            </w:r>
            <w:r w:rsidR="009F736D" w:rsidRPr="000F0222">
              <w:rPr>
                <w:sz w:val="22"/>
                <w:szCs w:val="22"/>
                <w:lang w:val="en-GB"/>
              </w:rPr>
              <w:t>7</w:t>
            </w:r>
            <w:r w:rsidRPr="000F0222">
              <w:rPr>
                <w:sz w:val="22"/>
                <w:szCs w:val="22"/>
                <w:lang w:val="en-GB"/>
              </w:rPr>
              <w:t>.8)</w:t>
            </w:r>
            <w:r w:rsidR="00EE4B0F">
              <w:rPr>
                <w:sz w:val="22"/>
                <w:szCs w:val="22"/>
                <w:lang w:val="en-GB"/>
              </w:rPr>
              <w:t>;</w:t>
            </w:r>
          </w:p>
          <w:p w14:paraId="059BF5FC" w14:textId="6FD57923" w:rsidR="00E87B18" w:rsidRDefault="00FA6682" w:rsidP="000F0222">
            <w:pPr>
              <w:rPr>
                <w:sz w:val="22"/>
                <w:szCs w:val="22"/>
                <w:lang w:val="en-GB"/>
              </w:rPr>
            </w:pPr>
            <w:r>
              <w:rPr>
                <w:lang w:val="en-GB"/>
              </w:rPr>
              <w:t xml:space="preserve">                 </w:t>
            </w:r>
            <w:bookmarkStart w:id="4" w:name="_GoBack"/>
            <w:bookmarkEnd w:id="4"/>
            <w:r w:rsidR="009058FB" w:rsidRPr="000F0222">
              <w:rPr>
                <w:sz w:val="22"/>
                <w:szCs w:val="22"/>
                <w:lang w:val="en-GB"/>
              </w:rPr>
              <w:t xml:space="preserve">Analysis of </w:t>
            </w:r>
            <w:r w:rsidR="009F736D" w:rsidRPr="000F0222">
              <w:rPr>
                <w:sz w:val="22"/>
                <w:szCs w:val="22"/>
                <w:lang w:val="en-GB"/>
              </w:rPr>
              <w:t xml:space="preserve">the </w:t>
            </w:r>
            <w:r w:rsidR="009058FB" w:rsidRPr="000F0222">
              <w:rPr>
                <w:sz w:val="22"/>
                <w:szCs w:val="22"/>
                <w:lang w:val="en-GB"/>
              </w:rPr>
              <w:t xml:space="preserve">AEWA National </w:t>
            </w:r>
            <w:r w:rsidR="009F736D" w:rsidRPr="000F0222">
              <w:rPr>
                <w:sz w:val="22"/>
                <w:szCs w:val="22"/>
                <w:lang w:val="en-GB"/>
              </w:rPr>
              <w:t>R</w:t>
            </w:r>
            <w:r w:rsidR="009058FB" w:rsidRPr="000F0222">
              <w:rPr>
                <w:sz w:val="22"/>
                <w:szCs w:val="22"/>
                <w:lang w:val="en-GB"/>
              </w:rPr>
              <w:t xml:space="preserve">eports for the </w:t>
            </w:r>
            <w:r w:rsidR="009F736D" w:rsidRPr="000F0222">
              <w:rPr>
                <w:sz w:val="22"/>
                <w:szCs w:val="22"/>
                <w:lang w:val="en-GB"/>
              </w:rPr>
              <w:t>T</w:t>
            </w:r>
            <w:r w:rsidR="009058FB" w:rsidRPr="000F0222">
              <w:rPr>
                <w:sz w:val="22"/>
                <w:szCs w:val="22"/>
                <w:lang w:val="en-GB"/>
              </w:rPr>
              <w:t>riennium</w:t>
            </w:r>
            <w:r w:rsidR="00E87B18">
              <w:rPr>
                <w:sz w:val="22"/>
                <w:szCs w:val="22"/>
                <w:lang w:val="en-GB"/>
              </w:rPr>
              <w:t>;</w:t>
            </w:r>
            <w:r w:rsidR="00966A5A">
              <w:rPr>
                <w:sz w:val="22"/>
                <w:szCs w:val="22"/>
                <w:lang w:val="en-GB"/>
              </w:rPr>
              <w:t xml:space="preserve"> </w:t>
            </w:r>
          </w:p>
          <w:p w14:paraId="0A299DC3" w14:textId="5B50C017" w:rsidR="009058FB" w:rsidRPr="000F0222" w:rsidRDefault="00FA6682" w:rsidP="000F0222">
            <w:pPr>
              <w:rPr>
                <w:sz w:val="22"/>
                <w:szCs w:val="22"/>
                <w:lang w:val="en-GB"/>
              </w:rPr>
            </w:pPr>
            <w:r>
              <w:rPr>
                <w:sz w:val="22"/>
                <w:szCs w:val="22"/>
                <w:lang w:val="en-GB"/>
              </w:rPr>
              <w:t xml:space="preserve">                   </w:t>
            </w:r>
            <w:r w:rsidR="009058FB" w:rsidRPr="000F0222">
              <w:rPr>
                <w:sz w:val="22"/>
                <w:szCs w:val="22"/>
                <w:lang w:val="en-GB"/>
              </w:rPr>
              <w:t>20</w:t>
            </w:r>
            <w:r w:rsidR="00715E4C" w:rsidRPr="000F0222">
              <w:rPr>
                <w:sz w:val="22"/>
                <w:szCs w:val="22"/>
                <w:lang w:val="en-GB"/>
              </w:rPr>
              <w:t>1</w:t>
            </w:r>
            <w:r w:rsidR="009F736D" w:rsidRPr="000F0222">
              <w:rPr>
                <w:sz w:val="22"/>
                <w:szCs w:val="22"/>
                <w:lang w:val="en-GB"/>
              </w:rPr>
              <w:t>5</w:t>
            </w:r>
            <w:r w:rsidR="009058FB" w:rsidRPr="000F0222">
              <w:rPr>
                <w:sz w:val="22"/>
                <w:szCs w:val="22"/>
                <w:lang w:val="en-GB"/>
              </w:rPr>
              <w:t>-201</w:t>
            </w:r>
            <w:r w:rsidR="009F736D" w:rsidRPr="000F0222">
              <w:rPr>
                <w:sz w:val="22"/>
                <w:szCs w:val="22"/>
                <w:lang w:val="en-GB"/>
              </w:rPr>
              <w:t>7</w:t>
            </w:r>
            <w:r w:rsidR="009058FB" w:rsidRPr="000F0222">
              <w:rPr>
                <w:sz w:val="22"/>
                <w:szCs w:val="22"/>
                <w:lang w:val="en-GB"/>
              </w:rPr>
              <w:t xml:space="preserve"> (document AEWA/MOP </w:t>
            </w:r>
            <w:r w:rsidR="009F736D" w:rsidRPr="000F0222">
              <w:rPr>
                <w:sz w:val="22"/>
                <w:szCs w:val="22"/>
                <w:lang w:val="en-GB"/>
              </w:rPr>
              <w:t>7</w:t>
            </w:r>
            <w:r w:rsidR="009058FB" w:rsidRPr="000F0222">
              <w:rPr>
                <w:sz w:val="22"/>
                <w:szCs w:val="22"/>
                <w:lang w:val="en-GB"/>
              </w:rPr>
              <w:t>.1</w:t>
            </w:r>
            <w:r w:rsidR="009F736D" w:rsidRPr="000F0222">
              <w:rPr>
                <w:sz w:val="22"/>
                <w:szCs w:val="22"/>
                <w:lang w:val="en-GB"/>
              </w:rPr>
              <w:t>2</w:t>
            </w:r>
            <w:r w:rsidR="009058FB" w:rsidRPr="000F0222">
              <w:rPr>
                <w:sz w:val="22"/>
                <w:szCs w:val="22"/>
                <w:lang w:val="en-GB"/>
              </w:rPr>
              <w:t>)</w:t>
            </w:r>
          </w:p>
          <w:p w14:paraId="7995FE9A" w14:textId="77777777" w:rsidR="009058FB" w:rsidRPr="000F0222" w:rsidRDefault="009058FB" w:rsidP="009058FB">
            <w:pPr>
              <w:rPr>
                <w:sz w:val="22"/>
                <w:szCs w:val="22"/>
                <w:lang w:val="en-GB"/>
              </w:rPr>
            </w:pPr>
          </w:p>
        </w:tc>
      </w:tr>
      <w:tr w:rsidR="009058FB" w:rsidRPr="004779F8" w14:paraId="175EED3A" w14:textId="77777777" w:rsidTr="009D142E">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9394111" w14:textId="77777777" w:rsidR="009058FB" w:rsidRPr="000F0222" w:rsidRDefault="009058FB" w:rsidP="009058FB">
            <w:pPr>
              <w:rPr>
                <w:sz w:val="22"/>
                <w:szCs w:val="22"/>
                <w:lang w:val="en-GB"/>
              </w:rPr>
            </w:pPr>
            <w:r w:rsidRPr="000F0222">
              <w:rPr>
                <w:noProof/>
                <w:sz w:val="22"/>
                <w:szCs w:val="22"/>
                <w:lang w:val="en-GB"/>
              </w:rPr>
              <w:drawing>
                <wp:inline distT="0" distB="0" distL="0" distR="0" wp14:anchorId="6492D4DE" wp14:editId="6FFD38D0">
                  <wp:extent cx="1425039" cy="1080655"/>
                  <wp:effectExtent l="0" t="0" r="0" b="0"/>
                  <wp:docPr id="5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481E710" w14:textId="77777777" w:rsidR="009058FB" w:rsidRPr="004779F8" w:rsidRDefault="009058FB" w:rsidP="009058FB">
            <w:pPr>
              <w:tabs>
                <w:tab w:val="left" w:pos="2160"/>
              </w:tabs>
              <w:rPr>
                <w:b/>
                <w:sz w:val="22"/>
                <w:lang w:val="en-GB"/>
              </w:rPr>
            </w:pPr>
          </w:p>
          <w:p w14:paraId="368A525D" w14:textId="77777777" w:rsidR="009058FB" w:rsidRPr="008C5535" w:rsidRDefault="009058FB" w:rsidP="009058FB">
            <w:pPr>
              <w:tabs>
                <w:tab w:val="left" w:pos="2160"/>
              </w:tabs>
              <w:rPr>
                <w:b/>
                <w:sz w:val="22"/>
                <w:szCs w:val="22"/>
                <w:lang w:val="en-GB"/>
              </w:rPr>
            </w:pPr>
            <w:r w:rsidRPr="00613A29">
              <w:rPr>
                <w:b/>
                <w:sz w:val="22"/>
                <w:lang w:val="en-GB"/>
              </w:rPr>
              <w:t>5.2: Sufficient funding for the implementation of the SP is raised from different sources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38695DF" w14:textId="77777777" w:rsidR="009058FB" w:rsidRPr="00E4475D" w:rsidRDefault="009058FB" w:rsidP="009058FB">
            <w:pPr>
              <w:rPr>
                <w:b/>
                <w:sz w:val="22"/>
                <w:szCs w:val="22"/>
                <w:lang w:val="en-GB"/>
              </w:rPr>
            </w:pPr>
          </w:p>
          <w:p w14:paraId="0D306EEC" w14:textId="77777777" w:rsidR="009058FB" w:rsidRPr="00852729" w:rsidRDefault="009058FB" w:rsidP="009058FB">
            <w:pPr>
              <w:rPr>
                <w:b/>
                <w:sz w:val="22"/>
                <w:szCs w:val="22"/>
                <w:lang w:val="en-GB"/>
              </w:rPr>
            </w:pPr>
            <w:r w:rsidRPr="00852729">
              <w:rPr>
                <w:b/>
                <w:sz w:val="22"/>
                <w:szCs w:val="22"/>
                <w:lang w:val="en-GB"/>
              </w:rPr>
              <w:t>Full funding is raised</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61BFE39" w14:textId="77777777" w:rsidR="009058FB" w:rsidRPr="000F0222" w:rsidRDefault="009058FB" w:rsidP="009058FB">
            <w:pPr>
              <w:rPr>
                <w:sz w:val="22"/>
                <w:szCs w:val="22"/>
                <w:lang w:val="en-GB"/>
              </w:rPr>
            </w:pPr>
          </w:p>
          <w:p w14:paraId="4AF483CF" w14:textId="5006045B" w:rsidR="009058FB" w:rsidRPr="000F0222" w:rsidRDefault="009058FB" w:rsidP="009058FB">
            <w:pPr>
              <w:rPr>
                <w:sz w:val="22"/>
                <w:szCs w:val="22"/>
                <w:lang w:val="en-GB"/>
              </w:rPr>
            </w:pPr>
            <w:r w:rsidRPr="000F0222">
              <w:rPr>
                <w:sz w:val="22"/>
                <w:szCs w:val="22"/>
                <w:lang w:val="en-GB"/>
              </w:rPr>
              <w:t>While no specific assessment of the progress towards the achievement of this target has been made, considering that progress towards a substanti</w:t>
            </w:r>
            <w:r w:rsidR="00D652AF" w:rsidRPr="000F0222">
              <w:rPr>
                <w:sz w:val="22"/>
                <w:szCs w:val="22"/>
                <w:lang w:val="en-GB"/>
              </w:rPr>
              <w:t>al</w:t>
            </w:r>
            <w:r w:rsidRPr="000F0222">
              <w:rPr>
                <w:sz w:val="22"/>
                <w:szCs w:val="22"/>
                <w:lang w:val="en-GB"/>
              </w:rPr>
              <w:t xml:space="preserve"> number of other targets has been limited and that in those cases funding has been restricted or not available, it will be justified to assess the progress towards target 5.2 as limited.</w:t>
            </w:r>
          </w:p>
          <w:p w14:paraId="21717165" w14:textId="77777777" w:rsidR="00D652AF" w:rsidRPr="000F0222" w:rsidRDefault="00D652AF" w:rsidP="009058FB">
            <w:pPr>
              <w:rPr>
                <w:sz w:val="22"/>
                <w:szCs w:val="22"/>
                <w:lang w:val="en-GB"/>
              </w:rPr>
            </w:pPr>
          </w:p>
          <w:p w14:paraId="1817F753" w14:textId="06C3D02F" w:rsidR="00D652AF" w:rsidRPr="000F0222" w:rsidRDefault="00D652AF" w:rsidP="009058FB">
            <w:pPr>
              <w:rPr>
                <w:sz w:val="22"/>
                <w:szCs w:val="22"/>
                <w:lang w:val="en-GB"/>
              </w:rPr>
            </w:pPr>
            <w:r w:rsidRPr="000F0222">
              <w:rPr>
                <w:b/>
                <w:sz w:val="22"/>
                <w:szCs w:val="22"/>
                <w:lang w:val="en-GB"/>
              </w:rPr>
              <w:t>Change since MOP</w:t>
            </w:r>
            <w:r w:rsidR="009F736D" w:rsidRPr="000F0222">
              <w:rPr>
                <w:b/>
                <w:sz w:val="22"/>
                <w:szCs w:val="22"/>
                <w:lang w:val="en-GB"/>
              </w:rPr>
              <w:t>4</w:t>
            </w:r>
            <w:r w:rsidRPr="000F0222">
              <w:rPr>
                <w:b/>
                <w:sz w:val="22"/>
                <w:szCs w:val="22"/>
                <w:lang w:val="en-GB"/>
              </w:rPr>
              <w:t>:</w:t>
            </w:r>
            <w:r w:rsidRPr="000F0222">
              <w:rPr>
                <w:sz w:val="22"/>
                <w:szCs w:val="22"/>
                <w:lang w:val="en-GB"/>
              </w:rPr>
              <w:t xml:space="preserve"> No change.</w:t>
            </w:r>
          </w:p>
          <w:p w14:paraId="6A77F781" w14:textId="77777777" w:rsidR="009058FB" w:rsidRPr="000F0222" w:rsidRDefault="009058FB" w:rsidP="009058FB">
            <w:pPr>
              <w:rPr>
                <w:sz w:val="22"/>
                <w:szCs w:val="22"/>
                <w:lang w:val="en-GB"/>
              </w:rPr>
            </w:pPr>
          </w:p>
        </w:tc>
      </w:tr>
      <w:tr w:rsidR="009058FB" w:rsidRPr="004779F8" w14:paraId="1A42EA2B" w14:textId="77777777" w:rsidTr="009D142E">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FBF89FC" w14:textId="3A96F10D" w:rsidR="009058FB" w:rsidRPr="000F0222" w:rsidRDefault="006F5561" w:rsidP="009058FB">
            <w:pPr>
              <w:rPr>
                <w:sz w:val="22"/>
                <w:szCs w:val="22"/>
                <w:lang w:val="en-GB"/>
              </w:rPr>
            </w:pPr>
            <w:r w:rsidRPr="000F0222">
              <w:rPr>
                <w:noProof/>
                <w:sz w:val="22"/>
                <w:szCs w:val="22"/>
                <w:lang w:val="en-GB"/>
              </w:rPr>
              <w:drawing>
                <wp:inline distT="0" distB="0" distL="0" distR="0" wp14:anchorId="5D33A1EB" wp14:editId="20D792DC">
                  <wp:extent cx="1425039" cy="1068780"/>
                  <wp:effectExtent l="0" t="0" r="0" b="0"/>
                  <wp:docPr id="6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21D6010" w14:textId="77777777" w:rsidR="009058FB" w:rsidRPr="004779F8" w:rsidRDefault="009058FB" w:rsidP="009058FB">
            <w:pPr>
              <w:tabs>
                <w:tab w:val="left" w:pos="2160"/>
              </w:tabs>
              <w:rPr>
                <w:b/>
                <w:sz w:val="22"/>
                <w:lang w:val="en-GB"/>
              </w:rPr>
            </w:pPr>
          </w:p>
          <w:p w14:paraId="1BFB25A6" w14:textId="77777777" w:rsidR="009058FB" w:rsidRPr="008C5535" w:rsidRDefault="009058FB" w:rsidP="009058FB">
            <w:pPr>
              <w:tabs>
                <w:tab w:val="left" w:pos="2160"/>
              </w:tabs>
              <w:rPr>
                <w:b/>
                <w:sz w:val="22"/>
                <w:szCs w:val="22"/>
                <w:lang w:val="en-GB"/>
              </w:rPr>
            </w:pPr>
            <w:r w:rsidRPr="00613A29">
              <w:rPr>
                <w:b/>
                <w:sz w:val="22"/>
                <w:lang w:val="en-GB"/>
              </w:rPr>
              <w:t>5.3: Cooperation with other MEAs and key partners is enhanced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CE010FF" w14:textId="77777777" w:rsidR="009058FB" w:rsidRPr="00E4475D" w:rsidRDefault="009058FB" w:rsidP="009058FB">
            <w:pPr>
              <w:rPr>
                <w:b/>
                <w:sz w:val="22"/>
                <w:szCs w:val="22"/>
                <w:lang w:val="en-GB"/>
              </w:rPr>
            </w:pPr>
          </w:p>
          <w:p w14:paraId="0AF8C940" w14:textId="77777777" w:rsidR="009058FB" w:rsidRPr="00852729" w:rsidRDefault="009058FB" w:rsidP="009058FB">
            <w:pPr>
              <w:rPr>
                <w:b/>
                <w:sz w:val="22"/>
                <w:szCs w:val="22"/>
                <w:lang w:val="en-GB"/>
              </w:rPr>
            </w:pPr>
            <w:r w:rsidRPr="00852729">
              <w:rPr>
                <w:b/>
                <w:sz w:val="22"/>
                <w:szCs w:val="22"/>
                <w:lang w:val="en-GB"/>
              </w:rPr>
              <w:t>At least 5 new MoU/</w:t>
            </w:r>
            <w:proofErr w:type="spellStart"/>
            <w:r w:rsidRPr="00852729">
              <w:rPr>
                <w:b/>
                <w:sz w:val="22"/>
                <w:szCs w:val="22"/>
                <w:lang w:val="en-GB"/>
              </w:rPr>
              <w:t>MoC</w:t>
            </w:r>
            <w:proofErr w:type="spellEnd"/>
            <w:r w:rsidRPr="00852729">
              <w:rPr>
                <w:b/>
                <w:sz w:val="22"/>
                <w:szCs w:val="22"/>
                <w:lang w:val="en-GB"/>
              </w:rPr>
              <w:t xml:space="preserve"> between AEWA and other MEA’s and key partners are established</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54D6216" w14:textId="77777777" w:rsidR="009058FB" w:rsidRPr="000F0222" w:rsidRDefault="009058FB" w:rsidP="009058FB">
            <w:pPr>
              <w:rPr>
                <w:sz w:val="22"/>
                <w:szCs w:val="22"/>
                <w:lang w:val="en-GB"/>
              </w:rPr>
            </w:pPr>
          </w:p>
          <w:p w14:paraId="04B8A490" w14:textId="77777777" w:rsidR="009058FB" w:rsidRPr="000F0222" w:rsidRDefault="009058FB" w:rsidP="009058FB">
            <w:pPr>
              <w:rPr>
                <w:sz w:val="22"/>
                <w:szCs w:val="22"/>
                <w:lang w:val="en-GB"/>
              </w:rPr>
            </w:pPr>
            <w:r w:rsidRPr="000F0222">
              <w:rPr>
                <w:sz w:val="22"/>
                <w:szCs w:val="22"/>
                <w:lang w:val="en-GB"/>
              </w:rPr>
              <w:t xml:space="preserve">At the </w:t>
            </w:r>
            <w:r w:rsidR="00C00815" w:rsidRPr="000F0222">
              <w:rPr>
                <w:sz w:val="22"/>
                <w:szCs w:val="22"/>
                <w:lang w:val="en-GB"/>
              </w:rPr>
              <w:t xml:space="preserve">AEWA </w:t>
            </w:r>
            <w:r w:rsidRPr="000F0222">
              <w:rPr>
                <w:sz w:val="22"/>
                <w:szCs w:val="22"/>
                <w:lang w:val="en-GB"/>
              </w:rPr>
              <w:t>15</w:t>
            </w:r>
            <w:r w:rsidRPr="000F0222">
              <w:rPr>
                <w:sz w:val="22"/>
                <w:szCs w:val="22"/>
                <w:vertAlign w:val="superscript"/>
                <w:lang w:val="en-GB"/>
              </w:rPr>
              <w:t>th</w:t>
            </w:r>
            <w:r w:rsidRPr="000F0222">
              <w:rPr>
                <w:sz w:val="22"/>
                <w:szCs w:val="22"/>
                <w:lang w:val="en-GB"/>
              </w:rPr>
              <w:t xml:space="preserve"> </w:t>
            </w:r>
            <w:r w:rsidR="00C00815" w:rsidRPr="000F0222">
              <w:rPr>
                <w:sz w:val="22"/>
                <w:szCs w:val="22"/>
                <w:lang w:val="en-GB"/>
              </w:rPr>
              <w:t>A</w:t>
            </w:r>
            <w:r w:rsidRPr="000F0222">
              <w:rPr>
                <w:sz w:val="22"/>
                <w:szCs w:val="22"/>
                <w:lang w:val="en-GB"/>
              </w:rPr>
              <w:t xml:space="preserve">nniversary </w:t>
            </w:r>
            <w:r w:rsidR="00C00815" w:rsidRPr="000F0222">
              <w:rPr>
                <w:sz w:val="22"/>
                <w:szCs w:val="22"/>
                <w:lang w:val="en-GB"/>
              </w:rPr>
              <w:t>S</w:t>
            </w:r>
            <w:r w:rsidRPr="000F0222">
              <w:rPr>
                <w:sz w:val="22"/>
                <w:szCs w:val="22"/>
                <w:lang w:val="en-GB"/>
              </w:rPr>
              <w:t>ymposium in June 2010</w:t>
            </w:r>
            <w:r w:rsidR="00C00815" w:rsidRPr="000F0222">
              <w:rPr>
                <w:sz w:val="22"/>
                <w:szCs w:val="22"/>
                <w:lang w:val="en-GB"/>
              </w:rPr>
              <w:t>,</w:t>
            </w:r>
            <w:r w:rsidRPr="000F0222">
              <w:rPr>
                <w:sz w:val="22"/>
                <w:szCs w:val="22"/>
                <w:lang w:val="en-GB"/>
              </w:rPr>
              <w:t xml:space="preserve"> a Memorandum of Cooperation (</w:t>
            </w:r>
            <w:proofErr w:type="spellStart"/>
            <w:r w:rsidRPr="000F0222">
              <w:rPr>
                <w:sz w:val="22"/>
                <w:szCs w:val="22"/>
                <w:lang w:val="en-GB"/>
              </w:rPr>
              <w:t>MoC</w:t>
            </w:r>
            <w:proofErr w:type="spellEnd"/>
            <w:r w:rsidRPr="000F0222">
              <w:rPr>
                <w:sz w:val="22"/>
                <w:szCs w:val="22"/>
                <w:lang w:val="en-GB"/>
              </w:rPr>
              <w:t xml:space="preserve">) was signed with the </w:t>
            </w:r>
            <w:proofErr w:type="spellStart"/>
            <w:r w:rsidRPr="000F0222">
              <w:rPr>
                <w:sz w:val="22"/>
                <w:szCs w:val="22"/>
                <w:lang w:val="en-GB"/>
              </w:rPr>
              <w:t>Ramsar</w:t>
            </w:r>
            <w:proofErr w:type="spellEnd"/>
            <w:r w:rsidRPr="000F0222">
              <w:rPr>
                <w:sz w:val="22"/>
                <w:szCs w:val="22"/>
                <w:lang w:val="en-GB"/>
              </w:rPr>
              <w:t xml:space="preserve"> Convention, </w:t>
            </w:r>
            <w:proofErr w:type="spellStart"/>
            <w:r w:rsidRPr="000F0222">
              <w:rPr>
                <w:sz w:val="22"/>
                <w:szCs w:val="22"/>
                <w:lang w:val="en-GB"/>
              </w:rPr>
              <w:t>BirdLife</w:t>
            </w:r>
            <w:proofErr w:type="spellEnd"/>
            <w:r w:rsidRPr="000F0222">
              <w:rPr>
                <w:sz w:val="22"/>
                <w:szCs w:val="22"/>
                <w:lang w:val="en-GB"/>
              </w:rPr>
              <w:t xml:space="preserve"> International and Wetlands International to continue the join</w:t>
            </w:r>
            <w:r w:rsidR="00733A87" w:rsidRPr="000F0222">
              <w:rPr>
                <w:sz w:val="22"/>
                <w:szCs w:val="22"/>
                <w:lang w:val="en-GB"/>
              </w:rPr>
              <w:t>t</w:t>
            </w:r>
            <w:r w:rsidRPr="000F0222">
              <w:rPr>
                <w:sz w:val="22"/>
                <w:szCs w:val="22"/>
                <w:lang w:val="en-GB"/>
              </w:rPr>
              <w:t xml:space="preserve"> work and partnership established during the Wing over Wetlands (WOW) project (post-WOW partnership).</w:t>
            </w:r>
          </w:p>
          <w:p w14:paraId="3A8DCF20" w14:textId="77777777" w:rsidR="009058FB" w:rsidRPr="000F0222" w:rsidRDefault="009058FB" w:rsidP="009058FB">
            <w:pPr>
              <w:rPr>
                <w:sz w:val="22"/>
                <w:szCs w:val="22"/>
                <w:lang w:val="en-GB"/>
              </w:rPr>
            </w:pPr>
          </w:p>
          <w:p w14:paraId="6D4FDBE9" w14:textId="11E1F133" w:rsidR="009058FB" w:rsidRPr="000F0222" w:rsidRDefault="009058FB" w:rsidP="009058FB">
            <w:pPr>
              <w:rPr>
                <w:sz w:val="22"/>
                <w:szCs w:val="22"/>
                <w:lang w:val="en-GB"/>
              </w:rPr>
            </w:pPr>
            <w:r w:rsidRPr="000F0222">
              <w:rPr>
                <w:sz w:val="22"/>
                <w:szCs w:val="22"/>
                <w:lang w:val="en-GB"/>
              </w:rPr>
              <w:lastRenderedPageBreak/>
              <w:t xml:space="preserve">An </w:t>
            </w:r>
            <w:proofErr w:type="spellStart"/>
            <w:r w:rsidRPr="000F0222">
              <w:rPr>
                <w:sz w:val="22"/>
                <w:szCs w:val="22"/>
                <w:lang w:val="en-GB"/>
              </w:rPr>
              <w:t>MoC</w:t>
            </w:r>
            <w:proofErr w:type="spellEnd"/>
            <w:r w:rsidRPr="000F0222">
              <w:rPr>
                <w:sz w:val="22"/>
                <w:szCs w:val="22"/>
                <w:lang w:val="en-GB"/>
              </w:rPr>
              <w:t xml:space="preserve"> with Conservation of Arctic Flora and Fauna (CAFF) </w:t>
            </w:r>
            <w:r w:rsidR="00D652AF" w:rsidRPr="000F0222">
              <w:rPr>
                <w:sz w:val="22"/>
                <w:szCs w:val="22"/>
                <w:lang w:val="en-GB"/>
              </w:rPr>
              <w:t xml:space="preserve">was signed </w:t>
            </w:r>
            <w:r w:rsidR="0037386A" w:rsidRPr="000F0222">
              <w:rPr>
                <w:sz w:val="22"/>
                <w:szCs w:val="22"/>
                <w:lang w:val="en-GB"/>
              </w:rPr>
              <w:t xml:space="preserve">on 12 July 2012 during </w:t>
            </w:r>
            <w:proofErr w:type="spellStart"/>
            <w:r w:rsidR="0037386A" w:rsidRPr="000F0222">
              <w:rPr>
                <w:sz w:val="22"/>
                <w:szCs w:val="22"/>
                <w:lang w:val="en-GB"/>
              </w:rPr>
              <w:t>Ramsar</w:t>
            </w:r>
            <w:proofErr w:type="spellEnd"/>
            <w:r w:rsidR="0037386A" w:rsidRPr="000F0222">
              <w:rPr>
                <w:sz w:val="22"/>
                <w:szCs w:val="22"/>
                <w:lang w:val="en-GB"/>
              </w:rPr>
              <w:t xml:space="preserve"> COP11</w:t>
            </w:r>
            <w:r w:rsidRPr="000F0222">
              <w:rPr>
                <w:sz w:val="22"/>
                <w:szCs w:val="22"/>
                <w:lang w:val="en-GB"/>
              </w:rPr>
              <w:t xml:space="preserve">. </w:t>
            </w:r>
          </w:p>
          <w:p w14:paraId="2BB458F4" w14:textId="77777777" w:rsidR="009058FB" w:rsidRPr="000F0222" w:rsidRDefault="009058FB" w:rsidP="009058FB">
            <w:pPr>
              <w:rPr>
                <w:sz w:val="22"/>
                <w:szCs w:val="22"/>
                <w:lang w:val="en-GB"/>
              </w:rPr>
            </w:pPr>
          </w:p>
          <w:p w14:paraId="40C56447" w14:textId="21C82706" w:rsidR="009058FB" w:rsidRPr="000F0222" w:rsidRDefault="009058FB" w:rsidP="009058FB">
            <w:pPr>
              <w:rPr>
                <w:sz w:val="22"/>
                <w:szCs w:val="22"/>
                <w:lang w:val="en-GB"/>
              </w:rPr>
            </w:pPr>
            <w:r w:rsidRPr="000F0222">
              <w:rPr>
                <w:sz w:val="22"/>
                <w:szCs w:val="22"/>
                <w:lang w:val="en-GB"/>
              </w:rPr>
              <w:t xml:space="preserve">An </w:t>
            </w:r>
            <w:proofErr w:type="spellStart"/>
            <w:r w:rsidRPr="000F0222">
              <w:rPr>
                <w:sz w:val="22"/>
                <w:szCs w:val="22"/>
                <w:lang w:val="en-GB"/>
              </w:rPr>
              <w:t>MoC</w:t>
            </w:r>
            <w:proofErr w:type="spellEnd"/>
            <w:r w:rsidRPr="000F0222">
              <w:rPr>
                <w:sz w:val="22"/>
                <w:szCs w:val="22"/>
                <w:lang w:val="en-GB"/>
              </w:rPr>
              <w:t xml:space="preserve"> </w:t>
            </w:r>
            <w:r w:rsidR="00D652AF" w:rsidRPr="000F0222">
              <w:rPr>
                <w:sz w:val="22"/>
                <w:szCs w:val="22"/>
                <w:lang w:val="en-GB"/>
              </w:rPr>
              <w:t>was</w:t>
            </w:r>
            <w:r w:rsidRPr="000F0222">
              <w:rPr>
                <w:sz w:val="22"/>
                <w:szCs w:val="22"/>
                <w:lang w:val="en-GB"/>
              </w:rPr>
              <w:t xml:space="preserve"> signed at MOP5 between the </w:t>
            </w:r>
            <w:proofErr w:type="spellStart"/>
            <w:r w:rsidRPr="000F0222">
              <w:rPr>
                <w:sz w:val="22"/>
                <w:szCs w:val="22"/>
                <w:lang w:val="en-GB"/>
              </w:rPr>
              <w:t>Ramsar</w:t>
            </w:r>
            <w:proofErr w:type="spellEnd"/>
            <w:r w:rsidRPr="000F0222">
              <w:rPr>
                <w:sz w:val="22"/>
                <w:szCs w:val="22"/>
                <w:lang w:val="en-GB"/>
              </w:rPr>
              <w:t xml:space="preserve"> Convention and the CMS (also on behalf of its instruments, including AEWA) under which a Joint Work Plan of 2004 between AEWA and </w:t>
            </w:r>
            <w:proofErr w:type="spellStart"/>
            <w:r w:rsidRPr="000F0222">
              <w:rPr>
                <w:sz w:val="22"/>
                <w:szCs w:val="22"/>
                <w:lang w:val="en-GB"/>
              </w:rPr>
              <w:t>Ramsar</w:t>
            </w:r>
            <w:proofErr w:type="spellEnd"/>
            <w:r w:rsidRPr="000F0222">
              <w:rPr>
                <w:sz w:val="22"/>
                <w:szCs w:val="22"/>
                <w:lang w:val="en-GB"/>
              </w:rPr>
              <w:t xml:space="preserve"> </w:t>
            </w:r>
            <w:r w:rsidR="00D652AF" w:rsidRPr="000F0222">
              <w:rPr>
                <w:sz w:val="22"/>
                <w:szCs w:val="22"/>
                <w:lang w:val="en-GB"/>
              </w:rPr>
              <w:t xml:space="preserve">was </w:t>
            </w:r>
            <w:r w:rsidRPr="000F0222">
              <w:rPr>
                <w:sz w:val="22"/>
                <w:szCs w:val="22"/>
                <w:lang w:val="en-GB"/>
              </w:rPr>
              <w:t>renewed.</w:t>
            </w:r>
          </w:p>
          <w:p w14:paraId="6FA4D740" w14:textId="77777777" w:rsidR="009058FB" w:rsidRPr="000F0222" w:rsidRDefault="009058FB" w:rsidP="009058FB">
            <w:pPr>
              <w:rPr>
                <w:sz w:val="22"/>
                <w:szCs w:val="22"/>
                <w:lang w:val="en-GB"/>
              </w:rPr>
            </w:pPr>
          </w:p>
          <w:p w14:paraId="21E29BD3" w14:textId="3CB2DBC2" w:rsidR="00D652AF" w:rsidRPr="000F0222" w:rsidRDefault="00D652AF" w:rsidP="009058FB">
            <w:pPr>
              <w:rPr>
                <w:sz w:val="22"/>
                <w:szCs w:val="22"/>
                <w:lang w:val="en-GB"/>
              </w:rPr>
            </w:pPr>
            <w:r w:rsidRPr="000F0222">
              <w:rPr>
                <w:b/>
                <w:sz w:val="22"/>
                <w:szCs w:val="22"/>
                <w:lang w:val="en-GB"/>
              </w:rPr>
              <w:t>Change since MOP</w:t>
            </w:r>
            <w:r w:rsidR="00253E07" w:rsidRPr="000F0222">
              <w:rPr>
                <w:b/>
                <w:sz w:val="22"/>
                <w:szCs w:val="22"/>
                <w:lang w:val="en-GB"/>
              </w:rPr>
              <w:t>4</w:t>
            </w:r>
            <w:r w:rsidRPr="000F0222">
              <w:rPr>
                <w:b/>
                <w:sz w:val="22"/>
                <w:szCs w:val="22"/>
                <w:lang w:val="en-GB"/>
              </w:rPr>
              <w:t>:</w:t>
            </w:r>
            <w:r w:rsidRPr="000F0222">
              <w:rPr>
                <w:sz w:val="22"/>
                <w:szCs w:val="22"/>
                <w:lang w:val="en-GB"/>
              </w:rPr>
              <w:t xml:space="preserve"> </w:t>
            </w:r>
            <w:r w:rsidR="00253E07" w:rsidRPr="000F0222">
              <w:rPr>
                <w:sz w:val="22"/>
                <w:szCs w:val="22"/>
                <w:lang w:val="en-GB"/>
              </w:rPr>
              <w:t>Positive</w:t>
            </w:r>
            <w:r w:rsidRPr="000F0222">
              <w:rPr>
                <w:sz w:val="22"/>
                <w:szCs w:val="22"/>
                <w:lang w:val="en-GB"/>
              </w:rPr>
              <w:t>.</w:t>
            </w:r>
            <w:r w:rsidR="006F5561" w:rsidRPr="000F0222">
              <w:rPr>
                <w:sz w:val="22"/>
                <w:szCs w:val="22"/>
                <w:lang w:val="en-GB"/>
              </w:rPr>
              <w:t xml:space="preserve"> Three new </w:t>
            </w:r>
            <w:proofErr w:type="spellStart"/>
            <w:r w:rsidR="006F5561" w:rsidRPr="000F0222">
              <w:rPr>
                <w:sz w:val="22"/>
                <w:szCs w:val="22"/>
                <w:lang w:val="en-GB"/>
              </w:rPr>
              <w:t>MoC’s</w:t>
            </w:r>
            <w:proofErr w:type="spellEnd"/>
            <w:r w:rsidR="006F5561" w:rsidRPr="000F0222">
              <w:rPr>
                <w:sz w:val="22"/>
                <w:szCs w:val="22"/>
                <w:lang w:val="en-GB"/>
              </w:rPr>
              <w:t xml:space="preserve"> signed. </w:t>
            </w:r>
          </w:p>
          <w:p w14:paraId="0D80C4F2" w14:textId="77777777" w:rsidR="00D652AF" w:rsidRPr="000F0222" w:rsidRDefault="00D652AF" w:rsidP="009058FB">
            <w:pPr>
              <w:rPr>
                <w:sz w:val="22"/>
                <w:szCs w:val="22"/>
                <w:lang w:val="en-GB"/>
              </w:rPr>
            </w:pPr>
          </w:p>
          <w:p w14:paraId="201042D8" w14:textId="168DE0E8" w:rsidR="009058FB" w:rsidRPr="000F0222" w:rsidRDefault="009058FB" w:rsidP="009058FB">
            <w:pPr>
              <w:rPr>
                <w:sz w:val="22"/>
                <w:szCs w:val="22"/>
                <w:lang w:val="en-GB"/>
              </w:rPr>
            </w:pPr>
            <w:r w:rsidRPr="000F0222">
              <w:rPr>
                <w:b/>
                <w:sz w:val="22"/>
                <w:szCs w:val="22"/>
                <w:lang w:val="en-GB"/>
              </w:rPr>
              <w:t xml:space="preserve">Reference: </w:t>
            </w:r>
            <w:r w:rsidRPr="000F0222">
              <w:rPr>
                <w:sz w:val="22"/>
                <w:szCs w:val="22"/>
                <w:lang w:val="en-GB"/>
              </w:rPr>
              <w:t xml:space="preserve">Report of the Secretariat (document AEWA/MOP </w:t>
            </w:r>
            <w:r w:rsidR="00D652AF" w:rsidRPr="000F0222">
              <w:rPr>
                <w:sz w:val="22"/>
                <w:szCs w:val="22"/>
                <w:lang w:val="en-GB"/>
              </w:rPr>
              <w:t>6</w:t>
            </w:r>
            <w:r w:rsidRPr="000F0222">
              <w:rPr>
                <w:sz w:val="22"/>
                <w:szCs w:val="22"/>
                <w:lang w:val="en-GB"/>
              </w:rPr>
              <w:t>.9)</w:t>
            </w:r>
          </w:p>
          <w:p w14:paraId="2AE12486" w14:textId="77777777" w:rsidR="009058FB" w:rsidRPr="000F0222" w:rsidRDefault="009058FB" w:rsidP="009058FB">
            <w:pPr>
              <w:rPr>
                <w:sz w:val="22"/>
                <w:szCs w:val="22"/>
                <w:lang w:val="en-GB"/>
              </w:rPr>
            </w:pPr>
          </w:p>
        </w:tc>
      </w:tr>
      <w:tr w:rsidR="009058FB" w:rsidRPr="004779F8" w14:paraId="3C90841C" w14:textId="77777777" w:rsidTr="009D142E">
        <w:trPr>
          <w:trHeight w:val="337"/>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41E4406" w14:textId="2A316FE3" w:rsidR="009058FB" w:rsidRPr="004779F8" w:rsidRDefault="002A22BA" w:rsidP="009058FB">
            <w:pPr>
              <w:rPr>
                <w:noProof/>
                <w:sz w:val="22"/>
                <w:szCs w:val="22"/>
                <w:lang w:val="en-GB" w:eastAsia="en-GB"/>
              </w:rPr>
            </w:pPr>
            <w:r w:rsidRPr="000F0222">
              <w:rPr>
                <w:noProof/>
                <w:sz w:val="22"/>
                <w:szCs w:val="22"/>
                <w:lang w:val="en-GB"/>
              </w:rPr>
              <w:lastRenderedPageBreak/>
              <w:drawing>
                <wp:inline distT="0" distB="0" distL="0" distR="0" wp14:anchorId="631AD8B4" wp14:editId="17F86828">
                  <wp:extent cx="1425039" cy="1080655"/>
                  <wp:effectExtent l="0" t="0" r="0" b="0"/>
                  <wp:docPr id="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82449D5" w14:textId="77777777" w:rsidR="009058FB" w:rsidRPr="00613A29" w:rsidRDefault="009058FB" w:rsidP="009058FB">
            <w:pPr>
              <w:tabs>
                <w:tab w:val="left" w:pos="2160"/>
              </w:tabs>
              <w:rPr>
                <w:b/>
                <w:sz w:val="22"/>
                <w:szCs w:val="22"/>
                <w:lang w:val="en-GB"/>
              </w:rPr>
            </w:pPr>
          </w:p>
          <w:p w14:paraId="53315E4C" w14:textId="77777777" w:rsidR="009058FB" w:rsidRPr="008C5535" w:rsidRDefault="009058FB" w:rsidP="009058FB">
            <w:pPr>
              <w:tabs>
                <w:tab w:val="left" w:pos="2160"/>
              </w:tabs>
              <w:rPr>
                <w:b/>
                <w:sz w:val="22"/>
                <w:szCs w:val="22"/>
                <w:lang w:val="en-GB"/>
              </w:rPr>
            </w:pPr>
            <w:r w:rsidRPr="00613A29">
              <w:rPr>
                <w:b/>
                <w:sz w:val="22"/>
                <w:szCs w:val="22"/>
                <w:lang w:val="en-GB"/>
              </w:rPr>
              <w:t xml:space="preserve">5.4: </w:t>
            </w:r>
            <w:r w:rsidRPr="008C5535">
              <w:rPr>
                <w:b/>
                <w:sz w:val="22"/>
                <w:szCs w:val="22"/>
                <w:lang w:val="en-GB"/>
              </w:rPr>
              <w:t>The Small Grants Fund (SGF) is activated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7FB755C" w14:textId="77777777" w:rsidR="009058FB" w:rsidRPr="00E4475D" w:rsidRDefault="009058FB" w:rsidP="009058FB">
            <w:pPr>
              <w:rPr>
                <w:b/>
                <w:sz w:val="22"/>
                <w:szCs w:val="22"/>
                <w:lang w:val="en-GB"/>
              </w:rPr>
            </w:pPr>
          </w:p>
          <w:p w14:paraId="74D2058A" w14:textId="77777777" w:rsidR="009058FB" w:rsidRPr="004779F8" w:rsidRDefault="009058FB" w:rsidP="009058FB">
            <w:pPr>
              <w:rPr>
                <w:b/>
                <w:sz w:val="22"/>
                <w:szCs w:val="22"/>
                <w:lang w:val="en-GB"/>
              </w:rPr>
            </w:pPr>
            <w:r w:rsidRPr="00852729">
              <w:rPr>
                <w:b/>
                <w:sz w:val="22"/>
                <w:szCs w:val="22"/>
                <w:lang w:val="en-GB"/>
              </w:rPr>
              <w:t>At l</w:t>
            </w:r>
            <w:r w:rsidRPr="004779F8">
              <w:rPr>
                <w:b/>
                <w:sz w:val="22"/>
                <w:szCs w:val="22"/>
                <w:lang w:val="en-GB"/>
              </w:rPr>
              <w:t>east 100,000 EUR annually is disbursed to developing countries for implementation of AEWA</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82B6509" w14:textId="77777777" w:rsidR="009058FB" w:rsidRPr="000F0222" w:rsidRDefault="009058FB" w:rsidP="009058FB">
            <w:pPr>
              <w:rPr>
                <w:sz w:val="22"/>
                <w:szCs w:val="22"/>
                <w:lang w:val="en-GB"/>
              </w:rPr>
            </w:pPr>
          </w:p>
          <w:p w14:paraId="1ABA5713" w14:textId="769536E6" w:rsidR="00BF000C" w:rsidRDefault="008F6AD5" w:rsidP="009058FB">
            <w:pPr>
              <w:rPr>
                <w:sz w:val="22"/>
                <w:szCs w:val="22"/>
                <w:lang w:val="en-GB"/>
              </w:rPr>
            </w:pPr>
            <w:r w:rsidRPr="000F0222">
              <w:rPr>
                <w:sz w:val="22"/>
                <w:szCs w:val="22"/>
                <w:lang w:val="en-GB"/>
              </w:rPr>
              <w:t xml:space="preserve">Starting from 2010 there have been </w:t>
            </w:r>
            <w:r w:rsidR="002A22BA" w:rsidRPr="000F0222">
              <w:rPr>
                <w:sz w:val="22"/>
                <w:szCs w:val="22"/>
                <w:lang w:val="en-GB"/>
              </w:rPr>
              <w:t xml:space="preserve">six </w:t>
            </w:r>
            <w:r w:rsidRPr="000F0222">
              <w:rPr>
                <w:sz w:val="22"/>
                <w:szCs w:val="22"/>
                <w:lang w:val="en-GB"/>
              </w:rPr>
              <w:t xml:space="preserve">cycles of the </w:t>
            </w:r>
            <w:r w:rsidR="009058FB" w:rsidRPr="000F0222">
              <w:rPr>
                <w:sz w:val="22"/>
                <w:szCs w:val="22"/>
                <w:lang w:val="en-GB"/>
              </w:rPr>
              <w:t>AEWA SGF</w:t>
            </w:r>
            <w:r w:rsidRPr="000F0222">
              <w:rPr>
                <w:sz w:val="22"/>
                <w:szCs w:val="22"/>
                <w:lang w:val="en-GB"/>
              </w:rPr>
              <w:t>, which have disbursed 2</w:t>
            </w:r>
            <w:r w:rsidR="009914BB" w:rsidRPr="000F0222">
              <w:rPr>
                <w:sz w:val="22"/>
                <w:szCs w:val="22"/>
                <w:lang w:val="en-GB"/>
              </w:rPr>
              <w:t>86</w:t>
            </w:r>
            <w:r w:rsidRPr="000F0222">
              <w:rPr>
                <w:sz w:val="22"/>
                <w:szCs w:val="22"/>
                <w:lang w:val="en-GB"/>
              </w:rPr>
              <w:t>,</w:t>
            </w:r>
            <w:r w:rsidR="009914BB" w:rsidRPr="000F0222">
              <w:rPr>
                <w:sz w:val="22"/>
                <w:szCs w:val="22"/>
                <w:lang w:val="en-GB"/>
              </w:rPr>
              <w:t>230</w:t>
            </w:r>
            <w:r w:rsidRPr="000F0222">
              <w:rPr>
                <w:sz w:val="22"/>
                <w:szCs w:val="22"/>
                <w:lang w:val="en-GB"/>
              </w:rPr>
              <w:t xml:space="preserve"> EUR altogether, which has been divided between the cycles as follows: 2010 – 93,071 EUR; 2011 – 43,400; 2012 – 45,382 EUR; 2013 – 30,393 EUR</w:t>
            </w:r>
            <w:r w:rsidR="002A22BA" w:rsidRPr="000F0222">
              <w:rPr>
                <w:sz w:val="22"/>
                <w:szCs w:val="22"/>
                <w:lang w:val="en-GB"/>
              </w:rPr>
              <w:t>,</w:t>
            </w:r>
            <w:r w:rsidRPr="000F0222">
              <w:rPr>
                <w:sz w:val="22"/>
                <w:szCs w:val="22"/>
                <w:lang w:val="en-GB"/>
              </w:rPr>
              <w:t xml:space="preserve"> 2014 – 39,644</w:t>
            </w:r>
            <w:r w:rsidR="002A22BA" w:rsidRPr="000F0222">
              <w:rPr>
                <w:sz w:val="22"/>
                <w:szCs w:val="22"/>
                <w:lang w:val="en-GB"/>
              </w:rPr>
              <w:t xml:space="preserve"> and 2015 </w:t>
            </w:r>
            <w:r w:rsidR="004F543B" w:rsidRPr="000F0222">
              <w:rPr>
                <w:sz w:val="22"/>
                <w:szCs w:val="22"/>
                <w:lang w:val="en-GB"/>
              </w:rPr>
              <w:t>–</w:t>
            </w:r>
            <w:r w:rsidR="002A22BA" w:rsidRPr="000F0222">
              <w:rPr>
                <w:sz w:val="22"/>
                <w:szCs w:val="22"/>
                <w:lang w:val="en-GB"/>
              </w:rPr>
              <w:t xml:space="preserve"> </w:t>
            </w:r>
            <w:r w:rsidR="004F543B" w:rsidRPr="000F0222">
              <w:rPr>
                <w:sz w:val="22"/>
                <w:szCs w:val="22"/>
                <w:lang w:val="en-GB"/>
              </w:rPr>
              <w:t>35,448 EUR</w:t>
            </w:r>
            <w:r w:rsidRPr="000F0222">
              <w:rPr>
                <w:sz w:val="22"/>
                <w:szCs w:val="22"/>
                <w:lang w:val="en-GB"/>
              </w:rPr>
              <w:t xml:space="preserve">. </w:t>
            </w:r>
            <w:r w:rsidR="009058FB" w:rsidRPr="000F0222">
              <w:rPr>
                <w:sz w:val="22"/>
                <w:szCs w:val="22"/>
                <w:lang w:val="en-GB"/>
              </w:rPr>
              <w:t xml:space="preserve"> </w:t>
            </w:r>
          </w:p>
          <w:p w14:paraId="389668F1" w14:textId="77777777" w:rsidR="00BF000C" w:rsidRDefault="00BF000C" w:rsidP="009058FB">
            <w:pPr>
              <w:rPr>
                <w:sz w:val="22"/>
                <w:szCs w:val="22"/>
                <w:lang w:val="en-GB"/>
              </w:rPr>
            </w:pPr>
          </w:p>
          <w:p w14:paraId="5107B5A8" w14:textId="77777777" w:rsidR="00BF000C" w:rsidRDefault="008F6AD5" w:rsidP="009058FB">
            <w:pPr>
              <w:rPr>
                <w:sz w:val="22"/>
                <w:szCs w:val="22"/>
                <w:lang w:val="en-GB"/>
              </w:rPr>
            </w:pPr>
            <w:r w:rsidRPr="000F0222">
              <w:rPr>
                <w:sz w:val="22"/>
                <w:szCs w:val="22"/>
                <w:lang w:val="en-GB"/>
              </w:rPr>
              <w:t>The SGF has been fed with resources from the AEWA core budget, which provided to date 1</w:t>
            </w:r>
            <w:r w:rsidR="004F543B" w:rsidRPr="000F0222">
              <w:rPr>
                <w:sz w:val="22"/>
                <w:szCs w:val="22"/>
                <w:lang w:val="en-GB"/>
              </w:rPr>
              <w:t>7</w:t>
            </w:r>
            <w:r w:rsidRPr="000F0222">
              <w:rPr>
                <w:sz w:val="22"/>
                <w:szCs w:val="22"/>
                <w:lang w:val="en-GB"/>
              </w:rPr>
              <w:t>0,0</w:t>
            </w:r>
            <w:r w:rsidR="00033D6A" w:rsidRPr="000F0222">
              <w:rPr>
                <w:sz w:val="22"/>
                <w:szCs w:val="22"/>
                <w:lang w:val="en-GB"/>
              </w:rPr>
              <w:t>0</w:t>
            </w:r>
            <w:r w:rsidRPr="000F0222">
              <w:rPr>
                <w:sz w:val="22"/>
                <w:szCs w:val="22"/>
                <w:lang w:val="en-GB"/>
              </w:rPr>
              <w:t xml:space="preserve">0 EUR (20,000 EUR annually from 2009 to 2012 and 30,000 EUR annually </w:t>
            </w:r>
            <w:r w:rsidR="004F543B" w:rsidRPr="000F0222">
              <w:rPr>
                <w:sz w:val="22"/>
                <w:szCs w:val="22"/>
                <w:lang w:val="en-GB"/>
              </w:rPr>
              <w:t xml:space="preserve">from </w:t>
            </w:r>
            <w:r w:rsidRPr="000F0222">
              <w:rPr>
                <w:sz w:val="22"/>
                <w:szCs w:val="22"/>
                <w:lang w:val="en-GB"/>
              </w:rPr>
              <w:t xml:space="preserve">2013 </w:t>
            </w:r>
            <w:r w:rsidR="004F543B" w:rsidRPr="000F0222">
              <w:rPr>
                <w:sz w:val="22"/>
                <w:szCs w:val="22"/>
                <w:lang w:val="en-GB"/>
              </w:rPr>
              <w:t>to</w:t>
            </w:r>
            <w:r w:rsidRPr="000F0222">
              <w:rPr>
                <w:sz w:val="22"/>
                <w:szCs w:val="22"/>
                <w:lang w:val="en-GB"/>
              </w:rPr>
              <w:t xml:space="preserve"> 201</w:t>
            </w:r>
            <w:r w:rsidR="004F543B" w:rsidRPr="000F0222">
              <w:rPr>
                <w:sz w:val="22"/>
                <w:szCs w:val="22"/>
                <w:lang w:val="en-GB"/>
              </w:rPr>
              <w:t>5</w:t>
            </w:r>
            <w:r w:rsidRPr="000F0222">
              <w:rPr>
                <w:sz w:val="22"/>
                <w:szCs w:val="22"/>
                <w:lang w:val="en-GB"/>
              </w:rPr>
              <w:t xml:space="preserve">) and by voluntary contributions from Parties and individuals amounting to 113,032 EUR </w:t>
            </w:r>
            <w:r w:rsidR="00AC028D" w:rsidRPr="000F0222">
              <w:rPr>
                <w:sz w:val="22"/>
                <w:szCs w:val="22"/>
                <w:lang w:val="en-GB"/>
              </w:rPr>
              <w:t>(</w:t>
            </w:r>
            <w:r w:rsidRPr="000F0222">
              <w:rPr>
                <w:sz w:val="22"/>
                <w:szCs w:val="22"/>
                <w:lang w:val="en-GB"/>
              </w:rPr>
              <w:t>including UNEP 13% PSC</w:t>
            </w:r>
            <w:r w:rsidR="00AC028D" w:rsidRPr="000F0222">
              <w:rPr>
                <w:sz w:val="22"/>
                <w:szCs w:val="22"/>
                <w:lang w:val="en-GB"/>
              </w:rPr>
              <w:t>) for the period 2009-2015</w:t>
            </w:r>
            <w:r w:rsidRPr="000F0222">
              <w:rPr>
                <w:sz w:val="22"/>
                <w:szCs w:val="22"/>
                <w:lang w:val="en-GB"/>
              </w:rPr>
              <w:t xml:space="preserve">. </w:t>
            </w:r>
          </w:p>
          <w:p w14:paraId="76C190FE" w14:textId="77777777" w:rsidR="00BF000C" w:rsidRDefault="00BF000C" w:rsidP="009058FB">
            <w:pPr>
              <w:rPr>
                <w:sz w:val="22"/>
                <w:szCs w:val="22"/>
                <w:lang w:val="en-GB"/>
              </w:rPr>
            </w:pPr>
          </w:p>
          <w:p w14:paraId="73CFE54E" w14:textId="2FD0C27A" w:rsidR="009058FB" w:rsidRPr="000F0222" w:rsidRDefault="00033D6A" w:rsidP="009058FB">
            <w:pPr>
              <w:rPr>
                <w:sz w:val="22"/>
                <w:szCs w:val="22"/>
                <w:lang w:val="en-GB"/>
              </w:rPr>
            </w:pPr>
            <w:r w:rsidRPr="000F0222">
              <w:rPr>
                <w:sz w:val="22"/>
                <w:szCs w:val="22"/>
                <w:lang w:val="en-GB"/>
              </w:rPr>
              <w:t>These v</w:t>
            </w:r>
            <w:r w:rsidR="009058FB" w:rsidRPr="000F0222">
              <w:rPr>
                <w:sz w:val="22"/>
                <w:szCs w:val="22"/>
                <w:lang w:val="en-GB"/>
              </w:rPr>
              <w:t>oluntary contributions were provided by France (56</w:t>
            </w:r>
            <w:r w:rsidR="00AC028D" w:rsidRPr="000F0222">
              <w:rPr>
                <w:sz w:val="22"/>
                <w:szCs w:val="22"/>
                <w:lang w:val="en-GB"/>
              </w:rPr>
              <w:t>,</w:t>
            </w:r>
            <w:r w:rsidR="009058FB" w:rsidRPr="000F0222">
              <w:rPr>
                <w:sz w:val="22"/>
                <w:szCs w:val="22"/>
                <w:lang w:val="en-GB"/>
              </w:rPr>
              <w:t>500 E</w:t>
            </w:r>
            <w:r w:rsidRPr="000F0222">
              <w:rPr>
                <w:sz w:val="22"/>
                <w:szCs w:val="22"/>
                <w:lang w:val="en-GB"/>
              </w:rPr>
              <w:t>UR</w:t>
            </w:r>
            <w:r w:rsidR="009058FB" w:rsidRPr="000F0222">
              <w:rPr>
                <w:sz w:val="22"/>
                <w:szCs w:val="22"/>
                <w:lang w:val="en-GB"/>
              </w:rPr>
              <w:t>)</w:t>
            </w:r>
            <w:r w:rsidRPr="000F0222">
              <w:rPr>
                <w:sz w:val="22"/>
                <w:szCs w:val="22"/>
                <w:lang w:val="en-GB"/>
              </w:rPr>
              <w:t>,</w:t>
            </w:r>
            <w:r w:rsidR="009058FB" w:rsidRPr="000F0222">
              <w:rPr>
                <w:sz w:val="22"/>
                <w:szCs w:val="22"/>
                <w:lang w:val="en-GB"/>
              </w:rPr>
              <w:t xml:space="preserve"> Switzerland (27</w:t>
            </w:r>
            <w:r w:rsidR="00AC028D" w:rsidRPr="000F0222">
              <w:rPr>
                <w:sz w:val="22"/>
                <w:szCs w:val="22"/>
                <w:lang w:val="en-GB"/>
              </w:rPr>
              <w:t>,</w:t>
            </w:r>
            <w:r w:rsidR="009058FB" w:rsidRPr="000F0222">
              <w:rPr>
                <w:sz w:val="22"/>
                <w:szCs w:val="22"/>
                <w:lang w:val="en-GB"/>
              </w:rPr>
              <w:t>398 Euros)</w:t>
            </w:r>
            <w:r w:rsidRPr="000F0222">
              <w:rPr>
                <w:sz w:val="22"/>
                <w:szCs w:val="22"/>
                <w:lang w:val="en-GB"/>
              </w:rPr>
              <w:t>, United Kingdom (28,684 EUR) and Mr Sergey Dereliev (450 EUR)</w:t>
            </w:r>
            <w:r w:rsidR="009058FB" w:rsidRPr="000F0222">
              <w:rPr>
                <w:sz w:val="22"/>
                <w:szCs w:val="22"/>
                <w:lang w:val="en-GB"/>
              </w:rPr>
              <w:t>.</w:t>
            </w:r>
          </w:p>
          <w:p w14:paraId="099CD5C7" w14:textId="77777777" w:rsidR="009058FB" w:rsidRPr="000F0222" w:rsidRDefault="009058FB" w:rsidP="009058FB">
            <w:pPr>
              <w:rPr>
                <w:sz w:val="22"/>
                <w:szCs w:val="22"/>
                <w:lang w:val="en-GB"/>
              </w:rPr>
            </w:pPr>
          </w:p>
          <w:p w14:paraId="60C1F142" w14:textId="645CD176" w:rsidR="009058FB" w:rsidRPr="000F0222" w:rsidRDefault="009058FB" w:rsidP="009058FB">
            <w:pPr>
              <w:rPr>
                <w:sz w:val="22"/>
                <w:szCs w:val="22"/>
                <w:lang w:val="en-GB"/>
              </w:rPr>
            </w:pPr>
            <w:r w:rsidRPr="000F0222">
              <w:rPr>
                <w:sz w:val="22"/>
                <w:szCs w:val="22"/>
                <w:lang w:val="en-GB"/>
              </w:rPr>
              <w:t xml:space="preserve">All the </w:t>
            </w:r>
            <w:r w:rsidR="002A22BA" w:rsidRPr="000F0222">
              <w:rPr>
                <w:sz w:val="22"/>
                <w:szCs w:val="22"/>
                <w:lang w:val="en-GB"/>
              </w:rPr>
              <w:t xml:space="preserve">six </w:t>
            </w:r>
            <w:r w:rsidRPr="000F0222">
              <w:rPr>
                <w:sz w:val="22"/>
                <w:szCs w:val="22"/>
                <w:lang w:val="en-GB"/>
              </w:rPr>
              <w:t>cycles have been limited only to the African region due to geographic restrictions of the available funding.</w:t>
            </w:r>
          </w:p>
          <w:p w14:paraId="6C870D66" w14:textId="77777777" w:rsidR="00033D6A" w:rsidRPr="000F0222" w:rsidRDefault="00033D6A" w:rsidP="009058FB">
            <w:pPr>
              <w:rPr>
                <w:sz w:val="22"/>
                <w:szCs w:val="22"/>
                <w:lang w:val="en-GB"/>
              </w:rPr>
            </w:pPr>
          </w:p>
          <w:p w14:paraId="141A05EE" w14:textId="187103AE" w:rsidR="00033D6A" w:rsidRPr="000F0222" w:rsidRDefault="00033D6A" w:rsidP="009058FB">
            <w:pPr>
              <w:rPr>
                <w:sz w:val="22"/>
                <w:szCs w:val="22"/>
                <w:lang w:val="en-GB"/>
              </w:rPr>
            </w:pPr>
            <w:r w:rsidRPr="000F0222">
              <w:rPr>
                <w:sz w:val="22"/>
                <w:szCs w:val="22"/>
                <w:lang w:val="en-GB"/>
              </w:rPr>
              <w:t xml:space="preserve">The amount disbursed so far in the </w:t>
            </w:r>
            <w:r w:rsidR="00ED58D8" w:rsidRPr="000F0222">
              <w:rPr>
                <w:sz w:val="22"/>
                <w:szCs w:val="22"/>
                <w:lang w:val="en-GB"/>
              </w:rPr>
              <w:t xml:space="preserve">six </w:t>
            </w:r>
            <w:r w:rsidRPr="000F0222">
              <w:rPr>
                <w:sz w:val="22"/>
                <w:szCs w:val="22"/>
                <w:lang w:val="en-GB"/>
              </w:rPr>
              <w:t>cycles constitutes</w:t>
            </w:r>
            <w:r w:rsidR="00FD6189" w:rsidRPr="000F0222">
              <w:rPr>
                <w:sz w:val="22"/>
                <w:szCs w:val="22"/>
                <w:lang w:val="en-GB"/>
              </w:rPr>
              <w:t xml:space="preserve"> </w:t>
            </w:r>
            <w:r w:rsidR="002A22BA" w:rsidRPr="000F0222">
              <w:rPr>
                <w:sz w:val="22"/>
                <w:szCs w:val="22"/>
                <w:lang w:val="en-GB"/>
              </w:rPr>
              <w:t>2</w:t>
            </w:r>
            <w:r w:rsidR="00ED58D8" w:rsidRPr="000F0222">
              <w:rPr>
                <w:sz w:val="22"/>
                <w:szCs w:val="22"/>
                <w:lang w:val="en-GB"/>
              </w:rPr>
              <w:t>9</w:t>
            </w:r>
            <w:r w:rsidRPr="000F0222">
              <w:rPr>
                <w:sz w:val="22"/>
                <w:szCs w:val="22"/>
                <w:lang w:val="en-GB"/>
              </w:rPr>
              <w:t>% of the target</w:t>
            </w:r>
            <w:r w:rsidR="000F6621" w:rsidRPr="000F0222">
              <w:rPr>
                <w:sz w:val="22"/>
                <w:szCs w:val="22"/>
                <w:lang w:val="en-GB"/>
              </w:rPr>
              <w:t xml:space="preserve"> (1,000,000 EUR for the decade)</w:t>
            </w:r>
            <w:r w:rsidRPr="000F0222">
              <w:rPr>
                <w:sz w:val="22"/>
                <w:szCs w:val="22"/>
                <w:lang w:val="en-GB"/>
              </w:rPr>
              <w:t>.</w:t>
            </w:r>
          </w:p>
          <w:p w14:paraId="0B515323" w14:textId="77777777" w:rsidR="00D652AF" w:rsidRPr="000F0222" w:rsidRDefault="00D652AF" w:rsidP="009058FB">
            <w:pPr>
              <w:rPr>
                <w:sz w:val="22"/>
                <w:szCs w:val="22"/>
                <w:lang w:val="en-GB"/>
              </w:rPr>
            </w:pPr>
          </w:p>
          <w:p w14:paraId="49EF173E" w14:textId="5568092B" w:rsidR="00D652AF" w:rsidRPr="000F0222" w:rsidRDefault="00D652AF" w:rsidP="009058FB">
            <w:pPr>
              <w:rPr>
                <w:sz w:val="22"/>
                <w:szCs w:val="22"/>
                <w:lang w:val="en-GB"/>
              </w:rPr>
            </w:pPr>
            <w:r w:rsidRPr="000F0222">
              <w:rPr>
                <w:b/>
                <w:sz w:val="22"/>
                <w:szCs w:val="22"/>
                <w:lang w:val="en-GB"/>
              </w:rPr>
              <w:lastRenderedPageBreak/>
              <w:t>Change since MOP</w:t>
            </w:r>
            <w:r w:rsidR="002A22BA" w:rsidRPr="000F0222">
              <w:rPr>
                <w:b/>
                <w:sz w:val="22"/>
                <w:szCs w:val="22"/>
                <w:lang w:val="en-GB"/>
              </w:rPr>
              <w:t>4</w:t>
            </w:r>
            <w:r w:rsidRPr="000F0222">
              <w:rPr>
                <w:b/>
                <w:sz w:val="22"/>
                <w:szCs w:val="22"/>
                <w:lang w:val="en-GB"/>
              </w:rPr>
              <w:t>:</w:t>
            </w:r>
            <w:r w:rsidRPr="000F0222">
              <w:rPr>
                <w:sz w:val="22"/>
                <w:szCs w:val="22"/>
                <w:lang w:val="en-GB"/>
              </w:rPr>
              <w:t xml:space="preserve"> </w:t>
            </w:r>
            <w:r w:rsidR="002A22BA" w:rsidRPr="000F0222">
              <w:rPr>
                <w:sz w:val="22"/>
                <w:szCs w:val="22"/>
                <w:lang w:val="en-GB"/>
              </w:rPr>
              <w:t>Positive</w:t>
            </w:r>
            <w:r w:rsidR="002116DE" w:rsidRPr="000F0222">
              <w:rPr>
                <w:sz w:val="22"/>
                <w:szCs w:val="22"/>
                <w:lang w:val="en-GB"/>
              </w:rPr>
              <w:t xml:space="preserve">. </w:t>
            </w:r>
          </w:p>
          <w:p w14:paraId="745B81D5" w14:textId="77777777" w:rsidR="009058FB" w:rsidRPr="000F0222" w:rsidRDefault="009058FB" w:rsidP="009058FB">
            <w:pPr>
              <w:rPr>
                <w:sz w:val="22"/>
                <w:szCs w:val="22"/>
                <w:lang w:val="en-GB"/>
              </w:rPr>
            </w:pPr>
          </w:p>
          <w:p w14:paraId="6DCD0F63" w14:textId="77777777" w:rsidR="00086986" w:rsidRPr="000F0222" w:rsidRDefault="00086986" w:rsidP="00086986">
            <w:pPr>
              <w:rPr>
                <w:b/>
                <w:sz w:val="22"/>
                <w:szCs w:val="22"/>
                <w:lang w:val="en-GB"/>
              </w:rPr>
            </w:pPr>
          </w:p>
          <w:p w14:paraId="64968D18" w14:textId="77777777" w:rsidR="00966A5A" w:rsidRDefault="009058FB" w:rsidP="00086986">
            <w:pPr>
              <w:rPr>
                <w:sz w:val="22"/>
                <w:szCs w:val="22"/>
                <w:lang w:val="en-GB"/>
              </w:rPr>
            </w:pPr>
            <w:r w:rsidRPr="000F0222">
              <w:rPr>
                <w:b/>
                <w:sz w:val="22"/>
                <w:szCs w:val="22"/>
                <w:lang w:val="en-GB"/>
              </w:rPr>
              <w:t xml:space="preserve">Reference: </w:t>
            </w:r>
            <w:r w:rsidR="00FB4168" w:rsidRPr="000F0222">
              <w:rPr>
                <w:sz w:val="22"/>
                <w:szCs w:val="22"/>
                <w:lang w:val="en-GB"/>
              </w:rPr>
              <w:t xml:space="preserve">Report on the Implementation of the African Initiative and </w:t>
            </w:r>
          </w:p>
          <w:p w14:paraId="49EF59EE" w14:textId="77777777" w:rsidR="00E87B18" w:rsidRDefault="00966A5A" w:rsidP="00086986">
            <w:pPr>
              <w:rPr>
                <w:sz w:val="22"/>
                <w:szCs w:val="22"/>
                <w:lang w:val="en-GB"/>
              </w:rPr>
            </w:pPr>
            <w:r>
              <w:rPr>
                <w:sz w:val="22"/>
                <w:szCs w:val="22"/>
                <w:lang w:val="en-GB"/>
              </w:rPr>
              <w:t xml:space="preserve">                   </w:t>
            </w:r>
            <w:r w:rsidR="00FB4168" w:rsidRPr="000F0222">
              <w:rPr>
                <w:sz w:val="22"/>
                <w:szCs w:val="22"/>
                <w:lang w:val="en-GB"/>
              </w:rPr>
              <w:t>the Plan of Action for Africa 2012-2018</w:t>
            </w:r>
            <w:r w:rsidR="00FB4168" w:rsidRPr="000F0222" w:rsidDel="00FB4168">
              <w:rPr>
                <w:sz w:val="22"/>
                <w:szCs w:val="22"/>
                <w:lang w:val="en-GB"/>
              </w:rPr>
              <w:t xml:space="preserve"> </w:t>
            </w:r>
            <w:r w:rsidR="009058FB" w:rsidRPr="000F0222">
              <w:rPr>
                <w:sz w:val="22"/>
                <w:szCs w:val="22"/>
                <w:lang w:val="en-GB"/>
              </w:rPr>
              <w:t xml:space="preserve">(document </w:t>
            </w:r>
          </w:p>
          <w:p w14:paraId="59F7970D" w14:textId="64293E6E" w:rsidR="009058FB" w:rsidRPr="000F0222" w:rsidRDefault="00E87B18" w:rsidP="00086986">
            <w:pPr>
              <w:rPr>
                <w:sz w:val="22"/>
                <w:szCs w:val="22"/>
                <w:lang w:val="en-GB"/>
              </w:rPr>
            </w:pPr>
            <w:r>
              <w:rPr>
                <w:sz w:val="22"/>
                <w:szCs w:val="22"/>
                <w:lang w:val="en-GB"/>
              </w:rPr>
              <w:t xml:space="preserve">                   </w:t>
            </w:r>
            <w:r w:rsidR="009058FB" w:rsidRPr="000F0222">
              <w:rPr>
                <w:sz w:val="22"/>
                <w:szCs w:val="22"/>
                <w:lang w:val="en-GB"/>
              </w:rPr>
              <w:t xml:space="preserve">AEWA/MOP </w:t>
            </w:r>
            <w:r w:rsidR="00FB4168" w:rsidRPr="000F0222">
              <w:rPr>
                <w:sz w:val="22"/>
                <w:szCs w:val="22"/>
                <w:lang w:val="en-GB"/>
              </w:rPr>
              <w:t>7</w:t>
            </w:r>
            <w:r w:rsidR="009058FB" w:rsidRPr="000F0222">
              <w:rPr>
                <w:sz w:val="22"/>
                <w:szCs w:val="22"/>
                <w:lang w:val="en-GB"/>
              </w:rPr>
              <w:t>.</w:t>
            </w:r>
            <w:r w:rsidR="00033D6A" w:rsidRPr="000F0222">
              <w:rPr>
                <w:sz w:val="22"/>
                <w:szCs w:val="22"/>
                <w:lang w:val="en-GB"/>
              </w:rPr>
              <w:t>11</w:t>
            </w:r>
            <w:r w:rsidR="009058FB" w:rsidRPr="000F0222">
              <w:rPr>
                <w:sz w:val="22"/>
                <w:szCs w:val="22"/>
                <w:lang w:val="en-GB"/>
              </w:rPr>
              <w:t>)</w:t>
            </w:r>
          </w:p>
          <w:p w14:paraId="0A6AC191" w14:textId="77777777" w:rsidR="009058FB" w:rsidRPr="000F0222" w:rsidRDefault="009058FB" w:rsidP="009058FB">
            <w:pPr>
              <w:rPr>
                <w:sz w:val="22"/>
                <w:szCs w:val="22"/>
                <w:lang w:val="en-GB"/>
              </w:rPr>
            </w:pPr>
          </w:p>
        </w:tc>
      </w:tr>
      <w:tr w:rsidR="009058FB" w:rsidRPr="004779F8" w14:paraId="71A3C624" w14:textId="77777777" w:rsidTr="009D142E">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F28F500" w14:textId="60E040F5" w:rsidR="009058FB" w:rsidRPr="004779F8" w:rsidRDefault="00103080" w:rsidP="009058FB">
            <w:pPr>
              <w:rPr>
                <w:noProof/>
                <w:sz w:val="22"/>
                <w:szCs w:val="22"/>
                <w:lang w:val="en-GB" w:eastAsia="en-GB"/>
              </w:rPr>
            </w:pPr>
            <w:r w:rsidRPr="000F0222">
              <w:rPr>
                <w:noProof/>
                <w:sz w:val="22"/>
                <w:szCs w:val="22"/>
                <w:lang w:val="en-GB"/>
              </w:rPr>
              <w:lastRenderedPageBreak/>
              <w:drawing>
                <wp:inline distT="0" distB="0" distL="0" distR="0" wp14:anchorId="0043FDA6" wp14:editId="4B6686AC">
                  <wp:extent cx="1425039" cy="1080654"/>
                  <wp:effectExtent l="0" t="0" r="0" b="0"/>
                  <wp:docPr id="6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314BB7C6" w14:textId="77777777" w:rsidR="009058FB" w:rsidRPr="00613A29" w:rsidRDefault="009058FB" w:rsidP="009058FB">
            <w:pPr>
              <w:tabs>
                <w:tab w:val="left" w:pos="2160"/>
              </w:tabs>
              <w:rPr>
                <w:b/>
                <w:sz w:val="22"/>
                <w:lang w:val="en-GB"/>
              </w:rPr>
            </w:pPr>
          </w:p>
          <w:p w14:paraId="40D5F84D" w14:textId="77777777" w:rsidR="009058FB" w:rsidRPr="00E4475D" w:rsidRDefault="009058FB" w:rsidP="009058FB">
            <w:pPr>
              <w:tabs>
                <w:tab w:val="left" w:pos="2160"/>
              </w:tabs>
              <w:rPr>
                <w:b/>
                <w:sz w:val="22"/>
                <w:lang w:val="en-GB"/>
              </w:rPr>
            </w:pPr>
            <w:r w:rsidRPr="00613A29">
              <w:rPr>
                <w:b/>
                <w:sz w:val="22"/>
                <w:lang w:val="en-GB"/>
              </w:rPr>
              <w:t xml:space="preserve">5.5: </w:t>
            </w:r>
            <w:r w:rsidRPr="008C5535">
              <w:rPr>
                <w:b/>
                <w:sz w:val="22"/>
                <w:lang w:val="en-GB"/>
              </w:rPr>
              <w:t>The rate of submis</w:t>
            </w:r>
            <w:r w:rsidRPr="00E4475D">
              <w:rPr>
                <w:b/>
                <w:sz w:val="22"/>
                <w:lang w:val="en-GB"/>
              </w:rPr>
              <w:t>sion of National Reports is increased</w:t>
            </w:r>
          </w:p>
          <w:p w14:paraId="6BA385DA" w14:textId="77777777" w:rsidR="009058FB" w:rsidRPr="00852729" w:rsidRDefault="009058FB" w:rsidP="009058FB">
            <w:pPr>
              <w:tabs>
                <w:tab w:val="left" w:pos="2160"/>
              </w:tabs>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7B52DAE7" w14:textId="77777777" w:rsidR="009058FB" w:rsidRPr="004779F8" w:rsidRDefault="009058FB" w:rsidP="009058FB">
            <w:pPr>
              <w:rPr>
                <w:b/>
                <w:sz w:val="22"/>
                <w:szCs w:val="22"/>
                <w:lang w:val="en-GB"/>
              </w:rPr>
            </w:pPr>
          </w:p>
          <w:p w14:paraId="34A4C089" w14:textId="77777777" w:rsidR="009058FB" w:rsidRPr="004779F8" w:rsidRDefault="009058FB" w:rsidP="009058FB">
            <w:pPr>
              <w:rPr>
                <w:b/>
                <w:sz w:val="22"/>
                <w:szCs w:val="22"/>
                <w:lang w:val="en-GB"/>
              </w:rPr>
            </w:pPr>
            <w:r w:rsidRPr="004779F8">
              <w:rPr>
                <w:b/>
                <w:sz w:val="22"/>
                <w:szCs w:val="22"/>
                <w:lang w:val="en-GB"/>
              </w:rPr>
              <w:t>All Contracting Parties regularly provide complete national reports</w:t>
            </w:r>
          </w:p>
          <w:p w14:paraId="2F7B21E9" w14:textId="77777777" w:rsidR="009058FB" w:rsidRPr="004779F8" w:rsidRDefault="009058FB" w:rsidP="009058FB">
            <w:pPr>
              <w:rPr>
                <w:b/>
                <w:sz w:val="22"/>
                <w:szCs w:val="22"/>
                <w:lang w:val="en-GB"/>
              </w:rPr>
            </w:pPr>
          </w:p>
          <w:p w14:paraId="21D0AED4" w14:textId="77777777" w:rsidR="009058FB" w:rsidRPr="004779F8" w:rsidRDefault="009058FB" w:rsidP="009058FB">
            <w:pPr>
              <w:rPr>
                <w:b/>
                <w:sz w:val="22"/>
                <w:szCs w:val="22"/>
                <w:lang w:val="en-GB"/>
              </w:rPr>
            </w:pPr>
          </w:p>
          <w:p w14:paraId="5DCFC3EB" w14:textId="77777777" w:rsidR="009058FB" w:rsidRPr="004779F8" w:rsidRDefault="009058FB" w:rsidP="009058FB">
            <w:pPr>
              <w:rPr>
                <w:b/>
                <w:sz w:val="22"/>
                <w:szCs w:val="22"/>
                <w:lang w:val="en-GB"/>
              </w:rPr>
            </w:pPr>
          </w:p>
          <w:p w14:paraId="069C0476" w14:textId="77777777" w:rsidR="009058FB" w:rsidRPr="004779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A63E089" w14:textId="77777777" w:rsidR="009058FB" w:rsidRPr="00966A5A" w:rsidRDefault="009058FB" w:rsidP="009058FB">
            <w:pPr>
              <w:rPr>
                <w:sz w:val="22"/>
                <w:szCs w:val="22"/>
                <w:lang w:val="en-GB"/>
              </w:rPr>
            </w:pPr>
          </w:p>
          <w:p w14:paraId="54A9AE0D" w14:textId="66496618" w:rsidR="009058FB" w:rsidRPr="00966A5A" w:rsidRDefault="009058FB" w:rsidP="009058FB">
            <w:pPr>
              <w:rPr>
                <w:b/>
                <w:sz w:val="22"/>
                <w:szCs w:val="22"/>
                <w:lang w:val="en-GB"/>
              </w:rPr>
            </w:pPr>
            <w:r w:rsidRPr="00966A5A">
              <w:rPr>
                <w:sz w:val="22"/>
                <w:szCs w:val="22"/>
                <w:lang w:val="en-GB"/>
              </w:rPr>
              <w:t xml:space="preserve">Submission rate of nationals reports to </w:t>
            </w:r>
            <w:r w:rsidR="00E5795B" w:rsidRPr="00966A5A">
              <w:rPr>
                <w:sz w:val="22"/>
                <w:szCs w:val="22"/>
                <w:lang w:val="en-GB"/>
              </w:rPr>
              <w:t xml:space="preserve">MOP7 was 71%, which is the highest rate ever. At MOP4 it was 64% and increased to 69% at MOP5 but went down at </w:t>
            </w:r>
            <w:r w:rsidRPr="00966A5A">
              <w:rPr>
                <w:sz w:val="22"/>
                <w:szCs w:val="22"/>
                <w:lang w:val="en-GB"/>
              </w:rPr>
              <w:t>MOP</w:t>
            </w:r>
            <w:r w:rsidR="00D652AF" w:rsidRPr="00966A5A">
              <w:rPr>
                <w:sz w:val="22"/>
                <w:szCs w:val="22"/>
                <w:lang w:val="en-GB"/>
              </w:rPr>
              <w:t>6</w:t>
            </w:r>
            <w:r w:rsidRPr="00966A5A">
              <w:rPr>
                <w:sz w:val="22"/>
                <w:szCs w:val="22"/>
                <w:lang w:val="en-GB"/>
              </w:rPr>
              <w:t xml:space="preserve"> </w:t>
            </w:r>
            <w:r w:rsidR="00E5795B" w:rsidRPr="00966A5A">
              <w:rPr>
                <w:sz w:val="22"/>
                <w:szCs w:val="22"/>
                <w:lang w:val="en-GB"/>
              </w:rPr>
              <w:t>to</w:t>
            </w:r>
            <w:r w:rsidRPr="00966A5A">
              <w:rPr>
                <w:sz w:val="22"/>
                <w:szCs w:val="22"/>
                <w:lang w:val="en-GB"/>
              </w:rPr>
              <w:t xml:space="preserve"> </w:t>
            </w:r>
            <w:r w:rsidR="00D652AF" w:rsidRPr="00966A5A">
              <w:rPr>
                <w:sz w:val="22"/>
                <w:szCs w:val="22"/>
                <w:lang w:val="en-GB"/>
              </w:rPr>
              <w:t>55</w:t>
            </w:r>
            <w:r w:rsidRPr="00966A5A">
              <w:rPr>
                <w:sz w:val="22"/>
                <w:szCs w:val="22"/>
                <w:lang w:val="en-GB"/>
              </w:rPr>
              <w:t>%</w:t>
            </w:r>
            <w:r w:rsidR="00BF000C">
              <w:rPr>
                <w:sz w:val="22"/>
                <w:szCs w:val="22"/>
                <w:lang w:val="en-GB"/>
              </w:rPr>
              <w:t xml:space="preserve">. </w:t>
            </w:r>
            <w:r w:rsidRPr="00966A5A">
              <w:rPr>
                <w:sz w:val="22"/>
                <w:szCs w:val="22"/>
                <w:lang w:val="en-GB"/>
              </w:rPr>
              <w:t xml:space="preserve">There are </w:t>
            </w:r>
            <w:r w:rsidR="005C1A99" w:rsidRPr="00966A5A">
              <w:rPr>
                <w:sz w:val="22"/>
                <w:szCs w:val="22"/>
                <w:lang w:val="en-GB"/>
              </w:rPr>
              <w:t xml:space="preserve">still </w:t>
            </w:r>
            <w:r w:rsidRPr="00966A5A">
              <w:rPr>
                <w:sz w:val="22"/>
                <w:szCs w:val="22"/>
                <w:lang w:val="en-GB"/>
              </w:rPr>
              <w:t>Parties which have not submitted reports to two, three</w:t>
            </w:r>
            <w:r w:rsidR="005C1A99" w:rsidRPr="00966A5A">
              <w:rPr>
                <w:sz w:val="22"/>
                <w:szCs w:val="22"/>
                <w:lang w:val="en-GB"/>
              </w:rPr>
              <w:t>,</w:t>
            </w:r>
            <w:r w:rsidRPr="00966A5A">
              <w:rPr>
                <w:sz w:val="22"/>
                <w:szCs w:val="22"/>
                <w:lang w:val="en-GB"/>
              </w:rPr>
              <w:t xml:space="preserve"> four </w:t>
            </w:r>
            <w:r w:rsidR="005C1A99" w:rsidRPr="00966A5A">
              <w:rPr>
                <w:sz w:val="22"/>
                <w:szCs w:val="22"/>
                <w:lang w:val="en-GB"/>
              </w:rPr>
              <w:t xml:space="preserve">or even </w:t>
            </w:r>
            <w:r w:rsidR="00563BA9" w:rsidRPr="00966A5A">
              <w:rPr>
                <w:sz w:val="22"/>
                <w:szCs w:val="22"/>
                <w:lang w:val="en-GB"/>
              </w:rPr>
              <w:t xml:space="preserve">six </w:t>
            </w:r>
            <w:r w:rsidRPr="00966A5A">
              <w:rPr>
                <w:sz w:val="22"/>
                <w:szCs w:val="22"/>
                <w:lang w:val="en-GB"/>
              </w:rPr>
              <w:t xml:space="preserve">consecutive MOPs. </w:t>
            </w:r>
            <w:r w:rsidRPr="00966A5A">
              <w:rPr>
                <w:b/>
                <w:sz w:val="22"/>
                <w:szCs w:val="22"/>
                <w:lang w:val="en-GB"/>
              </w:rPr>
              <w:t xml:space="preserve">Although </w:t>
            </w:r>
            <w:r w:rsidR="005C1A99" w:rsidRPr="00966A5A">
              <w:rPr>
                <w:b/>
                <w:sz w:val="22"/>
                <w:szCs w:val="22"/>
                <w:lang w:val="en-GB"/>
              </w:rPr>
              <w:t>above 1/2</w:t>
            </w:r>
            <w:r w:rsidRPr="00966A5A">
              <w:rPr>
                <w:b/>
                <w:sz w:val="22"/>
                <w:szCs w:val="22"/>
                <w:lang w:val="en-GB"/>
              </w:rPr>
              <w:t xml:space="preserve"> of the Contracting Parties </w:t>
            </w:r>
            <w:r w:rsidR="00563BA9" w:rsidRPr="00966A5A">
              <w:rPr>
                <w:b/>
                <w:sz w:val="22"/>
                <w:szCs w:val="22"/>
                <w:lang w:val="en-GB"/>
              </w:rPr>
              <w:t xml:space="preserve">have been </w:t>
            </w:r>
            <w:r w:rsidRPr="00966A5A">
              <w:rPr>
                <w:b/>
                <w:sz w:val="22"/>
                <w:szCs w:val="22"/>
                <w:lang w:val="en-GB"/>
              </w:rPr>
              <w:t>submitt</w:t>
            </w:r>
            <w:r w:rsidR="00563BA9" w:rsidRPr="00966A5A">
              <w:rPr>
                <w:b/>
                <w:sz w:val="22"/>
                <w:szCs w:val="22"/>
                <w:lang w:val="en-GB"/>
              </w:rPr>
              <w:t>ing</w:t>
            </w:r>
            <w:r w:rsidRPr="00966A5A">
              <w:rPr>
                <w:b/>
                <w:sz w:val="22"/>
                <w:szCs w:val="22"/>
                <w:lang w:val="en-GB"/>
              </w:rPr>
              <w:t xml:space="preserve"> reports, their quality and completeness, as well as timely submission are yet to be addressed.</w:t>
            </w:r>
          </w:p>
          <w:p w14:paraId="0C87111A" w14:textId="77777777" w:rsidR="005C1A99" w:rsidRPr="00966A5A" w:rsidRDefault="005C1A99" w:rsidP="009058FB">
            <w:pPr>
              <w:rPr>
                <w:b/>
                <w:sz w:val="22"/>
                <w:szCs w:val="22"/>
                <w:lang w:val="en-GB"/>
              </w:rPr>
            </w:pPr>
          </w:p>
          <w:p w14:paraId="34A7C6E5" w14:textId="7FD3679F" w:rsidR="005C1A99" w:rsidRPr="00966A5A" w:rsidRDefault="005C1A99" w:rsidP="009058FB">
            <w:pPr>
              <w:rPr>
                <w:sz w:val="22"/>
                <w:szCs w:val="22"/>
                <w:lang w:val="en-GB"/>
              </w:rPr>
            </w:pPr>
            <w:r w:rsidRPr="00966A5A">
              <w:rPr>
                <w:b/>
                <w:sz w:val="22"/>
                <w:szCs w:val="22"/>
                <w:lang w:val="en-GB"/>
              </w:rPr>
              <w:t>Change since MOP</w:t>
            </w:r>
            <w:r w:rsidR="002A22BA" w:rsidRPr="00966A5A">
              <w:rPr>
                <w:b/>
                <w:sz w:val="22"/>
                <w:szCs w:val="22"/>
                <w:lang w:val="en-GB"/>
              </w:rPr>
              <w:t>4</w:t>
            </w:r>
            <w:r w:rsidRPr="00966A5A">
              <w:rPr>
                <w:b/>
                <w:sz w:val="22"/>
                <w:szCs w:val="22"/>
                <w:lang w:val="en-GB"/>
              </w:rPr>
              <w:t xml:space="preserve">: </w:t>
            </w:r>
            <w:r w:rsidR="002A22BA" w:rsidRPr="00966A5A">
              <w:rPr>
                <w:sz w:val="22"/>
                <w:szCs w:val="22"/>
                <w:lang w:val="en-GB"/>
              </w:rPr>
              <w:t>Positive</w:t>
            </w:r>
            <w:r w:rsidR="00BF000C">
              <w:rPr>
                <w:sz w:val="22"/>
                <w:szCs w:val="22"/>
                <w:lang w:val="en-GB"/>
              </w:rPr>
              <w:t>.</w:t>
            </w:r>
            <w:r w:rsidR="002A22BA" w:rsidRPr="00966A5A">
              <w:rPr>
                <w:sz w:val="22"/>
                <w:szCs w:val="22"/>
                <w:lang w:val="en-GB"/>
              </w:rPr>
              <w:t xml:space="preserve"> There has been an overall increase in the submission rate of national report from MOP4 to MOP7</w:t>
            </w:r>
            <w:r w:rsidRPr="00966A5A">
              <w:rPr>
                <w:sz w:val="22"/>
                <w:szCs w:val="22"/>
                <w:lang w:val="en-GB"/>
              </w:rPr>
              <w:t xml:space="preserve">. </w:t>
            </w:r>
          </w:p>
          <w:p w14:paraId="23861EBA" w14:textId="77777777" w:rsidR="009058FB" w:rsidRPr="00966A5A" w:rsidRDefault="009058FB" w:rsidP="009058FB">
            <w:pPr>
              <w:rPr>
                <w:sz w:val="22"/>
                <w:szCs w:val="22"/>
                <w:lang w:val="en-GB"/>
              </w:rPr>
            </w:pPr>
          </w:p>
          <w:p w14:paraId="6B558FBF" w14:textId="42C664E8" w:rsidR="009058FB" w:rsidRPr="00966A5A" w:rsidRDefault="009058FB" w:rsidP="009058FB">
            <w:pPr>
              <w:rPr>
                <w:sz w:val="22"/>
                <w:szCs w:val="22"/>
                <w:lang w:val="en-GB"/>
              </w:rPr>
            </w:pPr>
            <w:r w:rsidRPr="00966A5A">
              <w:rPr>
                <w:b/>
                <w:sz w:val="22"/>
                <w:szCs w:val="22"/>
                <w:lang w:val="en-GB"/>
              </w:rPr>
              <w:t xml:space="preserve">Reference: </w:t>
            </w:r>
            <w:r w:rsidRPr="00966A5A">
              <w:rPr>
                <w:sz w:val="22"/>
                <w:szCs w:val="22"/>
                <w:lang w:val="en-GB"/>
              </w:rPr>
              <w:t xml:space="preserve">Analysis of </w:t>
            </w:r>
            <w:r w:rsidR="002A22BA" w:rsidRPr="00966A5A">
              <w:rPr>
                <w:sz w:val="22"/>
                <w:szCs w:val="22"/>
                <w:lang w:val="en-GB"/>
              </w:rPr>
              <w:t xml:space="preserve">the </w:t>
            </w:r>
            <w:r w:rsidRPr="00966A5A">
              <w:rPr>
                <w:sz w:val="22"/>
                <w:szCs w:val="22"/>
                <w:lang w:val="en-GB"/>
              </w:rPr>
              <w:t xml:space="preserve">AEWA National </w:t>
            </w:r>
            <w:r w:rsidR="002A22BA" w:rsidRPr="00966A5A">
              <w:rPr>
                <w:sz w:val="22"/>
                <w:szCs w:val="22"/>
                <w:lang w:val="en-GB"/>
              </w:rPr>
              <w:t>R</w:t>
            </w:r>
            <w:r w:rsidRPr="00966A5A">
              <w:rPr>
                <w:sz w:val="22"/>
                <w:szCs w:val="22"/>
                <w:lang w:val="en-GB"/>
              </w:rPr>
              <w:t xml:space="preserve">eports for the </w:t>
            </w:r>
            <w:r w:rsidR="002A22BA" w:rsidRPr="00966A5A">
              <w:rPr>
                <w:sz w:val="22"/>
                <w:szCs w:val="22"/>
                <w:lang w:val="en-GB"/>
              </w:rPr>
              <w:t>T</w:t>
            </w:r>
            <w:r w:rsidRPr="00966A5A">
              <w:rPr>
                <w:sz w:val="22"/>
                <w:szCs w:val="22"/>
                <w:lang w:val="en-GB"/>
              </w:rPr>
              <w:t>riennium</w:t>
            </w:r>
          </w:p>
          <w:p w14:paraId="4C788BD8" w14:textId="05CF05FB" w:rsidR="009058FB" w:rsidRPr="00966A5A" w:rsidRDefault="009058FB" w:rsidP="009058FB">
            <w:pPr>
              <w:rPr>
                <w:sz w:val="22"/>
                <w:szCs w:val="22"/>
                <w:lang w:val="en-GB"/>
              </w:rPr>
            </w:pPr>
            <w:r w:rsidRPr="00966A5A">
              <w:rPr>
                <w:sz w:val="22"/>
                <w:szCs w:val="22"/>
                <w:lang w:val="en-GB"/>
              </w:rPr>
              <w:t xml:space="preserve">                   20</w:t>
            </w:r>
            <w:r w:rsidR="005C1A99" w:rsidRPr="00966A5A">
              <w:rPr>
                <w:sz w:val="22"/>
                <w:szCs w:val="22"/>
                <w:lang w:val="en-GB"/>
              </w:rPr>
              <w:t>1</w:t>
            </w:r>
            <w:r w:rsidR="002A22BA" w:rsidRPr="00966A5A">
              <w:rPr>
                <w:sz w:val="22"/>
                <w:szCs w:val="22"/>
                <w:lang w:val="en-GB"/>
              </w:rPr>
              <w:t>5</w:t>
            </w:r>
            <w:r w:rsidRPr="00966A5A">
              <w:rPr>
                <w:sz w:val="22"/>
                <w:szCs w:val="22"/>
                <w:lang w:val="en-GB"/>
              </w:rPr>
              <w:t>-201</w:t>
            </w:r>
            <w:r w:rsidR="002A22BA" w:rsidRPr="00966A5A">
              <w:rPr>
                <w:sz w:val="22"/>
                <w:szCs w:val="22"/>
                <w:lang w:val="en-GB"/>
              </w:rPr>
              <w:t>7</w:t>
            </w:r>
            <w:r w:rsidRPr="00966A5A">
              <w:rPr>
                <w:sz w:val="22"/>
                <w:szCs w:val="22"/>
                <w:lang w:val="en-GB"/>
              </w:rPr>
              <w:t xml:space="preserve"> (document AEWA/MOP </w:t>
            </w:r>
            <w:r w:rsidR="002A22BA" w:rsidRPr="00966A5A">
              <w:rPr>
                <w:sz w:val="22"/>
                <w:szCs w:val="22"/>
                <w:lang w:val="en-GB"/>
              </w:rPr>
              <w:t>7</w:t>
            </w:r>
            <w:r w:rsidRPr="00966A5A">
              <w:rPr>
                <w:sz w:val="22"/>
                <w:szCs w:val="22"/>
                <w:lang w:val="en-GB"/>
              </w:rPr>
              <w:t>.1</w:t>
            </w:r>
            <w:r w:rsidR="002A22BA" w:rsidRPr="00966A5A">
              <w:rPr>
                <w:sz w:val="22"/>
                <w:szCs w:val="22"/>
                <w:lang w:val="en-GB"/>
              </w:rPr>
              <w:t>2</w:t>
            </w:r>
            <w:r w:rsidRPr="00966A5A">
              <w:rPr>
                <w:sz w:val="22"/>
                <w:szCs w:val="22"/>
                <w:lang w:val="en-GB"/>
              </w:rPr>
              <w:t>)</w:t>
            </w:r>
          </w:p>
          <w:p w14:paraId="4799C83E" w14:textId="77777777" w:rsidR="009058FB" w:rsidRPr="00966A5A" w:rsidRDefault="009058FB" w:rsidP="009058FB">
            <w:pPr>
              <w:rPr>
                <w:sz w:val="22"/>
                <w:szCs w:val="22"/>
                <w:lang w:val="en-GB"/>
              </w:rPr>
            </w:pPr>
          </w:p>
        </w:tc>
      </w:tr>
      <w:tr w:rsidR="009058FB" w:rsidRPr="004779F8" w14:paraId="7EA22982" w14:textId="77777777" w:rsidTr="003B2FA7">
        <w:trPr>
          <w:trHeight w:val="903"/>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32F54831" w14:textId="77777777" w:rsidR="009058FB" w:rsidRPr="004779F8" w:rsidRDefault="003B2FA7" w:rsidP="009058FB">
            <w:pPr>
              <w:rPr>
                <w:noProof/>
                <w:sz w:val="22"/>
                <w:szCs w:val="22"/>
                <w:lang w:val="en-GB" w:eastAsia="en-GB"/>
              </w:rPr>
            </w:pPr>
            <w:r w:rsidRPr="000F0222">
              <w:rPr>
                <w:b/>
                <w:noProof/>
                <w:lang w:val="en-GB"/>
              </w:rPr>
              <w:drawing>
                <wp:inline distT="0" distB="0" distL="0" distR="0" wp14:anchorId="4B17DFBF" wp14:editId="6DEF6CCA">
                  <wp:extent cx="1425039" cy="1080655"/>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6DF560C" w14:textId="77777777" w:rsidR="009058FB" w:rsidRPr="00613A29" w:rsidRDefault="009058FB" w:rsidP="009058FB">
            <w:pPr>
              <w:rPr>
                <w:b/>
                <w:sz w:val="22"/>
                <w:lang w:val="en-GB"/>
              </w:rPr>
            </w:pPr>
          </w:p>
          <w:p w14:paraId="40F4C075" w14:textId="77777777" w:rsidR="009058FB" w:rsidRPr="00E4475D" w:rsidRDefault="009058FB" w:rsidP="009058FB">
            <w:pPr>
              <w:rPr>
                <w:b/>
                <w:sz w:val="22"/>
                <w:szCs w:val="22"/>
                <w:lang w:val="en-GB"/>
              </w:rPr>
            </w:pPr>
            <w:r w:rsidRPr="00613A29">
              <w:rPr>
                <w:b/>
                <w:sz w:val="22"/>
                <w:lang w:val="en-GB"/>
              </w:rPr>
              <w:t xml:space="preserve">5.6: </w:t>
            </w:r>
            <w:r w:rsidRPr="008C5535">
              <w:rPr>
                <w:b/>
                <w:sz w:val="22"/>
                <w:lang w:val="en-GB"/>
              </w:rPr>
              <w:t>Capacity of national staff to implement the Agreement is increased through proper training mechanisms</w:t>
            </w:r>
          </w:p>
          <w:p w14:paraId="088827E4" w14:textId="77777777" w:rsidR="009058FB" w:rsidRPr="00852729"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A6F1211" w14:textId="77777777" w:rsidR="009058FB" w:rsidRPr="004779F8" w:rsidRDefault="009058FB" w:rsidP="009058FB">
            <w:pPr>
              <w:rPr>
                <w:b/>
                <w:sz w:val="22"/>
                <w:szCs w:val="22"/>
                <w:lang w:val="en-GB"/>
              </w:rPr>
            </w:pPr>
          </w:p>
          <w:p w14:paraId="421517E0" w14:textId="77777777" w:rsidR="009058FB" w:rsidRPr="004779F8" w:rsidRDefault="009058FB" w:rsidP="009058FB">
            <w:pPr>
              <w:rPr>
                <w:b/>
                <w:sz w:val="22"/>
                <w:szCs w:val="22"/>
                <w:lang w:val="en-GB"/>
              </w:rPr>
            </w:pPr>
            <w:r w:rsidRPr="004779F8">
              <w:rPr>
                <w:b/>
                <w:sz w:val="22"/>
                <w:szCs w:val="22"/>
                <w:lang w:val="en-GB"/>
              </w:rPr>
              <w:t>At least 30 governmental staff members have been trained in at least 20 countries</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3E41D653" w14:textId="77777777" w:rsidR="009058FB" w:rsidRPr="000F0222" w:rsidRDefault="009058FB" w:rsidP="009058FB">
            <w:pPr>
              <w:rPr>
                <w:sz w:val="22"/>
                <w:szCs w:val="22"/>
                <w:lang w:val="en-GB"/>
              </w:rPr>
            </w:pPr>
          </w:p>
          <w:p w14:paraId="5E86D873" w14:textId="77777777" w:rsidR="00BF000C" w:rsidRDefault="009058FB" w:rsidP="009058FB">
            <w:pPr>
              <w:rPr>
                <w:sz w:val="22"/>
                <w:szCs w:val="22"/>
                <w:lang w:val="en-GB"/>
              </w:rPr>
            </w:pPr>
            <w:r w:rsidRPr="000F0222">
              <w:rPr>
                <w:sz w:val="22"/>
                <w:szCs w:val="22"/>
                <w:lang w:val="en-GB"/>
              </w:rPr>
              <w:t xml:space="preserve">In the framework of the ENRTP Strategic Cooperation Agreement between the European Commission - Directorate General for the Environment and UNEP a three-year capacity building project was launched in 2012 </w:t>
            </w:r>
            <w:r w:rsidR="00356CD6" w:rsidRPr="000F0222">
              <w:rPr>
                <w:sz w:val="22"/>
                <w:szCs w:val="22"/>
                <w:lang w:val="en-GB"/>
              </w:rPr>
              <w:t xml:space="preserve">and was </w:t>
            </w:r>
            <w:r w:rsidRPr="000F0222">
              <w:rPr>
                <w:sz w:val="22"/>
                <w:szCs w:val="22"/>
                <w:lang w:val="en-GB"/>
              </w:rPr>
              <w:t xml:space="preserve">implemented by </w:t>
            </w:r>
            <w:r w:rsidR="004B317E" w:rsidRPr="000F0222">
              <w:rPr>
                <w:sz w:val="22"/>
                <w:szCs w:val="22"/>
                <w:lang w:val="en-GB"/>
              </w:rPr>
              <w:t xml:space="preserve">the </w:t>
            </w:r>
            <w:r w:rsidRPr="000F0222">
              <w:rPr>
                <w:sz w:val="22"/>
                <w:szCs w:val="22"/>
                <w:lang w:val="en-GB"/>
              </w:rPr>
              <w:t xml:space="preserve">UNEP/CMS and UNEP/AEWA Secretariats. </w:t>
            </w:r>
          </w:p>
          <w:p w14:paraId="5AB86A5C" w14:textId="77777777" w:rsidR="00BF000C" w:rsidRDefault="00BF000C" w:rsidP="009058FB">
            <w:pPr>
              <w:rPr>
                <w:sz w:val="22"/>
                <w:szCs w:val="22"/>
                <w:lang w:val="en-GB"/>
              </w:rPr>
            </w:pPr>
          </w:p>
          <w:p w14:paraId="7EC801D8" w14:textId="762A958E" w:rsidR="009058FB" w:rsidRPr="000F0222" w:rsidRDefault="00356CD6" w:rsidP="009058FB">
            <w:pPr>
              <w:rPr>
                <w:sz w:val="22"/>
                <w:szCs w:val="22"/>
                <w:lang w:val="en-GB"/>
              </w:rPr>
            </w:pPr>
            <w:r w:rsidRPr="000F0222">
              <w:rPr>
                <w:sz w:val="22"/>
                <w:szCs w:val="22"/>
                <w:lang w:val="en-GB"/>
              </w:rPr>
              <w:t xml:space="preserve">The two Secretariats compiled a set of guidelines entitled </w:t>
            </w:r>
            <w:r w:rsidR="00006E5D" w:rsidRPr="000F0222">
              <w:rPr>
                <w:sz w:val="22"/>
                <w:szCs w:val="22"/>
                <w:lang w:val="en-GB"/>
              </w:rPr>
              <w:t>“</w:t>
            </w:r>
            <w:r w:rsidRPr="000F0222">
              <w:rPr>
                <w:sz w:val="22"/>
                <w:szCs w:val="22"/>
                <w:lang w:val="en-GB"/>
              </w:rPr>
              <w:t xml:space="preserve">CMS Family National Focal Points </w:t>
            </w:r>
            <w:r w:rsidR="00253083" w:rsidRPr="000F0222">
              <w:rPr>
                <w:sz w:val="22"/>
                <w:szCs w:val="22"/>
                <w:lang w:val="en-GB"/>
              </w:rPr>
              <w:t xml:space="preserve">(NFP) </w:t>
            </w:r>
            <w:r w:rsidRPr="000F0222">
              <w:rPr>
                <w:sz w:val="22"/>
                <w:szCs w:val="22"/>
                <w:lang w:val="en-GB"/>
              </w:rPr>
              <w:t>Manual</w:t>
            </w:r>
            <w:r w:rsidR="00006E5D" w:rsidRPr="000F0222">
              <w:rPr>
                <w:sz w:val="22"/>
                <w:szCs w:val="22"/>
                <w:lang w:val="en-GB"/>
              </w:rPr>
              <w:t>”</w:t>
            </w:r>
            <w:r w:rsidR="00253083" w:rsidRPr="000F0222">
              <w:rPr>
                <w:sz w:val="22"/>
                <w:szCs w:val="22"/>
                <w:lang w:val="en-GB"/>
              </w:rPr>
              <w:t>, as well as established an online forum (CMS Family NFP e-community) for NFPs to access and share information, resources and experience on implementation</w:t>
            </w:r>
            <w:r w:rsidRPr="000F0222">
              <w:rPr>
                <w:sz w:val="22"/>
                <w:szCs w:val="22"/>
                <w:lang w:val="en-GB"/>
              </w:rPr>
              <w:t xml:space="preserve">. This Manual </w:t>
            </w:r>
            <w:r w:rsidRPr="000F0222">
              <w:rPr>
                <w:sz w:val="22"/>
                <w:szCs w:val="22"/>
                <w:lang w:val="en-GB"/>
              </w:rPr>
              <w:lastRenderedPageBreak/>
              <w:t xml:space="preserve">was the basis for the training delivered to 40 NFPs or their representatives from 26 African countries </w:t>
            </w:r>
            <w:r w:rsidR="00006E5D" w:rsidRPr="000F0222">
              <w:rPr>
                <w:sz w:val="22"/>
                <w:szCs w:val="22"/>
                <w:lang w:val="en-GB"/>
              </w:rPr>
              <w:t>in a training workshop organised by both Secretariats and hosted by South Africa on 29-31 October 2013 in Cape Town.</w:t>
            </w:r>
          </w:p>
          <w:p w14:paraId="59FBB78C" w14:textId="77777777" w:rsidR="00006E5D" w:rsidRPr="000F0222" w:rsidRDefault="00006E5D" w:rsidP="009058FB">
            <w:pPr>
              <w:rPr>
                <w:sz w:val="22"/>
                <w:szCs w:val="22"/>
                <w:lang w:val="en-GB"/>
              </w:rPr>
            </w:pPr>
          </w:p>
          <w:p w14:paraId="28BD6E45" w14:textId="479F8B0E" w:rsidR="003B2FA7" w:rsidRPr="000F0222" w:rsidRDefault="003B2FA7" w:rsidP="009058FB">
            <w:pPr>
              <w:rPr>
                <w:sz w:val="22"/>
                <w:szCs w:val="22"/>
                <w:lang w:val="en-GB"/>
              </w:rPr>
            </w:pPr>
            <w:r w:rsidRPr="000F0222">
              <w:rPr>
                <w:sz w:val="22"/>
                <w:szCs w:val="22"/>
                <w:lang w:val="en-GB"/>
              </w:rPr>
              <w:t xml:space="preserve">Another workshop for the East Adriatic </w:t>
            </w:r>
            <w:r w:rsidR="009D142E" w:rsidRPr="000F0222">
              <w:rPr>
                <w:sz w:val="22"/>
                <w:szCs w:val="22"/>
                <w:lang w:val="en-GB"/>
              </w:rPr>
              <w:t>P</w:t>
            </w:r>
            <w:r w:rsidRPr="000F0222">
              <w:rPr>
                <w:sz w:val="22"/>
                <w:szCs w:val="22"/>
                <w:lang w:val="en-GB"/>
              </w:rPr>
              <w:t xml:space="preserve">arties to AEWA (Albania, Croatia, FYR Macedonia, Montenegro and Slovenia) as well as Bosnia &amp; Herzegovina </w:t>
            </w:r>
            <w:r w:rsidR="00103080" w:rsidRPr="000F0222">
              <w:rPr>
                <w:sz w:val="22"/>
                <w:szCs w:val="22"/>
                <w:lang w:val="en-GB"/>
              </w:rPr>
              <w:t xml:space="preserve">and Serbia </w:t>
            </w:r>
            <w:r w:rsidRPr="000F0222">
              <w:rPr>
                <w:sz w:val="22"/>
                <w:szCs w:val="22"/>
                <w:lang w:val="en-GB"/>
              </w:rPr>
              <w:t>as countr</w:t>
            </w:r>
            <w:r w:rsidR="00103080" w:rsidRPr="000F0222">
              <w:rPr>
                <w:sz w:val="22"/>
                <w:szCs w:val="22"/>
                <w:lang w:val="en-GB"/>
              </w:rPr>
              <w:t>ies</w:t>
            </w:r>
            <w:r w:rsidRPr="000F0222">
              <w:rPr>
                <w:sz w:val="22"/>
                <w:szCs w:val="22"/>
                <w:lang w:val="en-GB"/>
              </w:rPr>
              <w:t xml:space="preserve"> in the process of accession,</w:t>
            </w:r>
            <w:r w:rsidR="00086986" w:rsidRPr="000F0222">
              <w:rPr>
                <w:sz w:val="22"/>
                <w:szCs w:val="22"/>
                <w:lang w:val="en-GB"/>
              </w:rPr>
              <w:t xml:space="preserve"> </w:t>
            </w:r>
            <w:r w:rsidR="00103080" w:rsidRPr="000F0222">
              <w:rPr>
                <w:sz w:val="22"/>
                <w:szCs w:val="22"/>
                <w:lang w:val="en-GB"/>
              </w:rPr>
              <w:t>took place</w:t>
            </w:r>
            <w:r w:rsidR="001126B2" w:rsidRPr="000F0222">
              <w:rPr>
                <w:sz w:val="22"/>
                <w:szCs w:val="22"/>
                <w:lang w:val="en-GB"/>
              </w:rPr>
              <w:t xml:space="preserve"> in </w:t>
            </w:r>
            <w:proofErr w:type="spellStart"/>
            <w:r w:rsidR="00103080" w:rsidRPr="000F0222">
              <w:rPr>
                <w:sz w:val="22"/>
                <w:szCs w:val="22"/>
                <w:lang w:val="en-GB"/>
              </w:rPr>
              <w:t>Samobor</w:t>
            </w:r>
            <w:proofErr w:type="spellEnd"/>
            <w:r w:rsidR="00103080" w:rsidRPr="000F0222">
              <w:rPr>
                <w:sz w:val="22"/>
                <w:szCs w:val="22"/>
                <w:lang w:val="en-GB"/>
              </w:rPr>
              <w:t xml:space="preserve">, </w:t>
            </w:r>
            <w:r w:rsidRPr="000F0222">
              <w:rPr>
                <w:sz w:val="22"/>
                <w:szCs w:val="22"/>
                <w:lang w:val="en-GB"/>
              </w:rPr>
              <w:t xml:space="preserve">Croatia </w:t>
            </w:r>
            <w:r w:rsidR="00103080" w:rsidRPr="000F0222">
              <w:rPr>
                <w:sz w:val="22"/>
                <w:szCs w:val="22"/>
                <w:lang w:val="en-GB"/>
              </w:rPr>
              <w:t xml:space="preserve">on 13-15 September </w:t>
            </w:r>
            <w:r w:rsidR="001126B2" w:rsidRPr="000F0222">
              <w:rPr>
                <w:sz w:val="22"/>
                <w:szCs w:val="22"/>
                <w:lang w:val="en-GB"/>
              </w:rPr>
              <w:t xml:space="preserve">2016 </w:t>
            </w:r>
            <w:r w:rsidRPr="000F0222">
              <w:rPr>
                <w:sz w:val="22"/>
                <w:szCs w:val="22"/>
                <w:lang w:val="en-GB"/>
              </w:rPr>
              <w:t xml:space="preserve">and </w:t>
            </w:r>
            <w:r w:rsidR="001126B2" w:rsidRPr="000F0222">
              <w:rPr>
                <w:sz w:val="22"/>
                <w:szCs w:val="22"/>
                <w:lang w:val="en-GB"/>
              </w:rPr>
              <w:t>w</w:t>
            </w:r>
            <w:r w:rsidR="002A2885" w:rsidRPr="000F0222">
              <w:rPr>
                <w:sz w:val="22"/>
                <w:szCs w:val="22"/>
                <w:lang w:val="en-GB"/>
              </w:rPr>
              <w:t xml:space="preserve">as </w:t>
            </w:r>
            <w:r w:rsidRPr="000F0222">
              <w:rPr>
                <w:sz w:val="22"/>
                <w:szCs w:val="22"/>
                <w:lang w:val="en-GB"/>
              </w:rPr>
              <w:t xml:space="preserve">organised by the UNEP/AEWA Secretariat in cooperation and with the support of the German NGO </w:t>
            </w:r>
            <w:proofErr w:type="spellStart"/>
            <w:r w:rsidRPr="000F0222">
              <w:rPr>
                <w:sz w:val="22"/>
                <w:szCs w:val="22"/>
                <w:lang w:val="en-GB"/>
              </w:rPr>
              <w:t>Euronatur</w:t>
            </w:r>
            <w:proofErr w:type="spellEnd"/>
            <w:r w:rsidRPr="000F0222">
              <w:rPr>
                <w:sz w:val="22"/>
                <w:szCs w:val="22"/>
                <w:lang w:val="en-GB"/>
              </w:rPr>
              <w:t>.</w:t>
            </w:r>
            <w:r w:rsidR="00103080" w:rsidRPr="000F0222">
              <w:rPr>
                <w:sz w:val="22"/>
                <w:szCs w:val="22"/>
                <w:lang w:val="en-GB"/>
              </w:rPr>
              <w:t xml:space="preserve"> NFPs of three </w:t>
            </w:r>
            <w:r w:rsidR="009D142E" w:rsidRPr="000F0222">
              <w:rPr>
                <w:sz w:val="22"/>
                <w:szCs w:val="22"/>
                <w:lang w:val="en-GB"/>
              </w:rPr>
              <w:t xml:space="preserve">East Adriatic </w:t>
            </w:r>
            <w:r w:rsidR="004B317E" w:rsidRPr="000F0222">
              <w:rPr>
                <w:sz w:val="22"/>
                <w:szCs w:val="22"/>
                <w:lang w:val="en-GB"/>
              </w:rPr>
              <w:t>Parties</w:t>
            </w:r>
            <w:r w:rsidR="00103080" w:rsidRPr="000F0222">
              <w:rPr>
                <w:sz w:val="22"/>
                <w:szCs w:val="22"/>
                <w:lang w:val="en-GB"/>
              </w:rPr>
              <w:t xml:space="preserve"> received training during this event.</w:t>
            </w:r>
          </w:p>
          <w:p w14:paraId="11B0265C" w14:textId="77777777" w:rsidR="00253083" w:rsidRPr="000F0222" w:rsidRDefault="00253083" w:rsidP="00253083">
            <w:pPr>
              <w:rPr>
                <w:sz w:val="22"/>
                <w:szCs w:val="22"/>
                <w:lang w:val="en-GB"/>
              </w:rPr>
            </w:pPr>
          </w:p>
          <w:p w14:paraId="4B7182FE" w14:textId="768A623F" w:rsidR="00253083" w:rsidRPr="000F0222" w:rsidRDefault="00253083" w:rsidP="00253083">
            <w:pPr>
              <w:rPr>
                <w:sz w:val="22"/>
                <w:szCs w:val="22"/>
                <w:lang w:val="en-GB"/>
              </w:rPr>
            </w:pPr>
            <w:r w:rsidRPr="000F0222">
              <w:rPr>
                <w:sz w:val="22"/>
                <w:szCs w:val="22"/>
                <w:lang w:val="en-GB"/>
              </w:rPr>
              <w:t>In the framework of the African preparatory meetings for the 6</w:t>
            </w:r>
            <w:r w:rsidRPr="000F0222">
              <w:rPr>
                <w:sz w:val="22"/>
                <w:szCs w:val="22"/>
                <w:vertAlign w:val="superscript"/>
                <w:lang w:val="en-GB"/>
              </w:rPr>
              <w:t>th</w:t>
            </w:r>
            <w:r w:rsidRPr="000F0222">
              <w:rPr>
                <w:sz w:val="22"/>
                <w:szCs w:val="22"/>
                <w:lang w:val="en-GB"/>
              </w:rPr>
              <w:t xml:space="preserve"> and 7</w:t>
            </w:r>
            <w:r w:rsidRPr="000F0222">
              <w:rPr>
                <w:sz w:val="22"/>
                <w:szCs w:val="22"/>
                <w:vertAlign w:val="superscript"/>
                <w:lang w:val="en-GB"/>
              </w:rPr>
              <w:t>th</w:t>
            </w:r>
            <w:r w:rsidRPr="000F0222">
              <w:rPr>
                <w:sz w:val="22"/>
                <w:szCs w:val="22"/>
                <w:lang w:val="en-GB"/>
              </w:rPr>
              <w:t xml:space="preserve"> Sessions of the AEWA Meeting of the Parties (Pre-MOP6 and Pre-MOP7 respectively), AEWA NFPs from Africa or their representatives were trained on their roles and responsibilities, as well as skills for negotiation under Multilateral Environmental Agreements (MEAs), using the CMS Family NFP Manual as the key training tool. These trainings covered 32 African Parties at the Pre-MOP6 (South Africa, August 2015) and 24 African Parties at the Pre-MOP7 (</w:t>
            </w:r>
            <w:proofErr w:type="spellStart"/>
            <w:r w:rsidRPr="000F0222">
              <w:rPr>
                <w:sz w:val="22"/>
                <w:szCs w:val="22"/>
                <w:lang w:val="en-GB"/>
              </w:rPr>
              <w:t>Eswatini</w:t>
            </w:r>
            <w:proofErr w:type="spellEnd"/>
            <w:r w:rsidRPr="000F0222">
              <w:rPr>
                <w:sz w:val="22"/>
                <w:szCs w:val="22"/>
                <w:lang w:val="en-GB"/>
              </w:rPr>
              <w:t>, September 2018).</w:t>
            </w:r>
          </w:p>
          <w:p w14:paraId="063C22F0" w14:textId="6101A357" w:rsidR="003B2FA7" w:rsidRPr="000F0222" w:rsidRDefault="003B2FA7" w:rsidP="009058FB">
            <w:pPr>
              <w:rPr>
                <w:sz w:val="22"/>
                <w:szCs w:val="22"/>
                <w:lang w:val="en-GB"/>
              </w:rPr>
            </w:pPr>
          </w:p>
          <w:p w14:paraId="16E43439" w14:textId="10A36084" w:rsidR="002717EF" w:rsidRPr="000F0222" w:rsidRDefault="00C53992" w:rsidP="009058FB">
            <w:pPr>
              <w:rPr>
                <w:sz w:val="22"/>
                <w:szCs w:val="22"/>
                <w:lang w:val="en-GB"/>
              </w:rPr>
            </w:pPr>
            <w:r w:rsidRPr="000F0222">
              <w:rPr>
                <w:sz w:val="22"/>
                <w:szCs w:val="22"/>
                <w:lang w:val="en-GB"/>
              </w:rPr>
              <w:t>In addition, technical capacity of government officers was enhanced through the series of Training of Trainers events (see relevant information under Target 4.2).</w:t>
            </w:r>
          </w:p>
          <w:p w14:paraId="5A1FC4C5" w14:textId="77777777" w:rsidR="002717EF" w:rsidRPr="000F0222" w:rsidRDefault="002717EF" w:rsidP="009058FB">
            <w:pPr>
              <w:rPr>
                <w:sz w:val="22"/>
                <w:szCs w:val="22"/>
                <w:lang w:val="en-GB"/>
              </w:rPr>
            </w:pPr>
          </w:p>
          <w:p w14:paraId="4C150ACF" w14:textId="21599F00" w:rsidR="00006E5D" w:rsidRPr="000F0222" w:rsidRDefault="003B2FA7" w:rsidP="009058FB">
            <w:pPr>
              <w:rPr>
                <w:sz w:val="22"/>
                <w:szCs w:val="22"/>
                <w:lang w:val="en-GB"/>
              </w:rPr>
            </w:pPr>
            <w:r w:rsidRPr="000F0222">
              <w:rPr>
                <w:b/>
                <w:sz w:val="22"/>
                <w:szCs w:val="22"/>
                <w:lang w:val="en-GB"/>
              </w:rPr>
              <w:t>Change since MOP</w:t>
            </w:r>
            <w:r w:rsidR="00103080" w:rsidRPr="000F0222">
              <w:rPr>
                <w:b/>
                <w:sz w:val="22"/>
                <w:szCs w:val="22"/>
                <w:lang w:val="en-GB"/>
              </w:rPr>
              <w:t>4</w:t>
            </w:r>
            <w:r w:rsidRPr="000F0222">
              <w:rPr>
                <w:b/>
                <w:sz w:val="22"/>
                <w:szCs w:val="22"/>
                <w:lang w:val="en-GB"/>
              </w:rPr>
              <w:t>:</w:t>
            </w:r>
            <w:r w:rsidRPr="000F0222">
              <w:rPr>
                <w:sz w:val="22"/>
                <w:szCs w:val="22"/>
                <w:lang w:val="en-GB"/>
              </w:rPr>
              <w:t xml:space="preserve"> Positive</w:t>
            </w:r>
            <w:r w:rsidR="00103080" w:rsidRPr="000F0222">
              <w:rPr>
                <w:sz w:val="22"/>
                <w:szCs w:val="22"/>
                <w:lang w:val="en-GB"/>
              </w:rPr>
              <w:t>.</w:t>
            </w:r>
            <w:r w:rsidRPr="000F0222">
              <w:rPr>
                <w:sz w:val="22"/>
                <w:szCs w:val="22"/>
                <w:lang w:val="en-GB"/>
              </w:rPr>
              <w:t xml:space="preserve"> </w:t>
            </w:r>
          </w:p>
          <w:p w14:paraId="5E4C74D3" w14:textId="77777777" w:rsidR="009058FB" w:rsidRPr="000F0222" w:rsidRDefault="009058FB" w:rsidP="009058FB">
            <w:pPr>
              <w:rPr>
                <w:sz w:val="22"/>
                <w:szCs w:val="22"/>
                <w:lang w:val="en-GB"/>
              </w:rPr>
            </w:pPr>
          </w:p>
          <w:p w14:paraId="6CA48AF1" w14:textId="2D664297" w:rsidR="009669E9" w:rsidRPr="000F0222" w:rsidRDefault="009058FB" w:rsidP="00966A5A">
            <w:pPr>
              <w:rPr>
                <w:b/>
                <w:sz w:val="22"/>
                <w:szCs w:val="22"/>
                <w:lang w:val="en-GB"/>
              </w:rPr>
            </w:pPr>
            <w:r w:rsidRPr="000F0222">
              <w:rPr>
                <w:b/>
                <w:sz w:val="22"/>
                <w:szCs w:val="22"/>
                <w:lang w:val="en-GB"/>
              </w:rPr>
              <w:t xml:space="preserve">Reference: </w:t>
            </w:r>
            <w:r w:rsidR="009669E9" w:rsidRPr="000F0222">
              <w:rPr>
                <w:sz w:val="22"/>
                <w:szCs w:val="22"/>
                <w:lang w:val="en-GB"/>
              </w:rPr>
              <w:t>Report of the Secretariat (document AEWA/MOP 7.9)</w:t>
            </w:r>
            <w:r w:rsidR="00966A5A">
              <w:rPr>
                <w:sz w:val="22"/>
                <w:szCs w:val="22"/>
                <w:lang w:val="en-GB"/>
              </w:rPr>
              <w:t>;</w:t>
            </w:r>
          </w:p>
          <w:p w14:paraId="6D277591" w14:textId="77777777" w:rsidR="00966A5A" w:rsidRDefault="00966A5A" w:rsidP="009058FB">
            <w:pPr>
              <w:rPr>
                <w:sz w:val="22"/>
                <w:szCs w:val="22"/>
                <w:lang w:val="en-GB"/>
              </w:rPr>
            </w:pPr>
            <w:r>
              <w:rPr>
                <w:sz w:val="22"/>
                <w:szCs w:val="22"/>
                <w:lang w:val="en-GB"/>
              </w:rPr>
              <w:t xml:space="preserve">                   </w:t>
            </w:r>
            <w:r w:rsidR="009669E9" w:rsidRPr="000F0222">
              <w:rPr>
                <w:sz w:val="22"/>
                <w:szCs w:val="22"/>
                <w:lang w:val="en-GB"/>
              </w:rPr>
              <w:t xml:space="preserve">Report on the Implementation of the African Initiative and </w:t>
            </w:r>
          </w:p>
          <w:p w14:paraId="3707C6F7" w14:textId="77777777" w:rsidR="00966A5A" w:rsidRDefault="00966A5A" w:rsidP="00966A5A">
            <w:pPr>
              <w:rPr>
                <w:sz w:val="22"/>
                <w:szCs w:val="22"/>
                <w:lang w:val="en-GB"/>
              </w:rPr>
            </w:pPr>
            <w:r>
              <w:rPr>
                <w:sz w:val="22"/>
                <w:szCs w:val="22"/>
                <w:lang w:val="en-GB"/>
              </w:rPr>
              <w:t xml:space="preserve">                   </w:t>
            </w:r>
            <w:r w:rsidR="009669E9" w:rsidRPr="000F0222">
              <w:rPr>
                <w:sz w:val="22"/>
                <w:szCs w:val="22"/>
                <w:lang w:val="en-GB"/>
              </w:rPr>
              <w:t>the Plan of Action for Africa 2012-2018</w:t>
            </w:r>
            <w:r w:rsidR="009058FB" w:rsidRPr="000F0222">
              <w:rPr>
                <w:sz w:val="22"/>
                <w:szCs w:val="22"/>
                <w:lang w:val="en-GB"/>
              </w:rPr>
              <w:t xml:space="preserve"> (document </w:t>
            </w:r>
            <w:r>
              <w:rPr>
                <w:sz w:val="22"/>
                <w:szCs w:val="22"/>
                <w:lang w:val="en-GB"/>
              </w:rPr>
              <w:t xml:space="preserve"> </w:t>
            </w:r>
          </w:p>
          <w:p w14:paraId="2C227FBF" w14:textId="3E070692" w:rsidR="009058FB" w:rsidRPr="000F0222" w:rsidRDefault="00966A5A" w:rsidP="00966A5A">
            <w:pPr>
              <w:rPr>
                <w:sz w:val="22"/>
                <w:szCs w:val="22"/>
                <w:lang w:val="en-GB"/>
              </w:rPr>
            </w:pPr>
            <w:r>
              <w:rPr>
                <w:sz w:val="22"/>
                <w:szCs w:val="22"/>
                <w:lang w:val="en-GB"/>
              </w:rPr>
              <w:t xml:space="preserve">                   </w:t>
            </w:r>
            <w:r w:rsidR="009058FB" w:rsidRPr="000F0222">
              <w:rPr>
                <w:sz w:val="22"/>
                <w:szCs w:val="22"/>
                <w:lang w:val="en-GB"/>
              </w:rPr>
              <w:t xml:space="preserve">AEWA/MOP </w:t>
            </w:r>
            <w:r w:rsidR="009669E9" w:rsidRPr="000F0222">
              <w:rPr>
                <w:sz w:val="22"/>
                <w:szCs w:val="22"/>
                <w:lang w:val="en-GB"/>
              </w:rPr>
              <w:t>7</w:t>
            </w:r>
            <w:r w:rsidR="009058FB" w:rsidRPr="000F0222">
              <w:rPr>
                <w:sz w:val="22"/>
                <w:szCs w:val="22"/>
                <w:lang w:val="en-GB"/>
              </w:rPr>
              <w:t>.</w:t>
            </w:r>
            <w:r w:rsidR="002C1A31" w:rsidRPr="000F0222">
              <w:rPr>
                <w:sz w:val="22"/>
                <w:szCs w:val="22"/>
                <w:lang w:val="en-GB"/>
              </w:rPr>
              <w:t>11</w:t>
            </w:r>
            <w:r w:rsidR="009058FB" w:rsidRPr="000F0222">
              <w:rPr>
                <w:sz w:val="22"/>
                <w:szCs w:val="22"/>
                <w:lang w:val="en-GB"/>
              </w:rPr>
              <w:t>)</w:t>
            </w:r>
          </w:p>
          <w:p w14:paraId="428B8CB7" w14:textId="77777777" w:rsidR="009058FB" w:rsidRPr="000F0222" w:rsidRDefault="009058FB" w:rsidP="009058FB">
            <w:pPr>
              <w:rPr>
                <w:sz w:val="22"/>
                <w:szCs w:val="22"/>
                <w:lang w:val="en-GB"/>
              </w:rPr>
            </w:pPr>
          </w:p>
        </w:tc>
      </w:tr>
      <w:tr w:rsidR="009058FB" w:rsidRPr="004779F8" w14:paraId="7C1CDA7B"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E1F690C" w14:textId="77777777" w:rsidR="009058FB" w:rsidRPr="004779F8" w:rsidRDefault="009058FB" w:rsidP="009058FB">
            <w:pPr>
              <w:rPr>
                <w:noProof/>
                <w:sz w:val="22"/>
                <w:szCs w:val="22"/>
                <w:lang w:val="en-GB" w:eastAsia="en-GB"/>
              </w:rPr>
            </w:pPr>
            <w:r w:rsidRPr="000F0222">
              <w:rPr>
                <w:noProof/>
                <w:sz w:val="22"/>
                <w:szCs w:val="22"/>
                <w:lang w:val="en-GB"/>
              </w:rPr>
              <w:lastRenderedPageBreak/>
              <w:drawing>
                <wp:inline distT="0" distB="0" distL="0" distR="0" wp14:anchorId="152D6963" wp14:editId="0A30B2F1">
                  <wp:extent cx="1425039" cy="1068780"/>
                  <wp:effectExtent l="0" t="0" r="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60DBEEA" w14:textId="77777777" w:rsidR="009058FB" w:rsidRPr="00613A29" w:rsidRDefault="009058FB" w:rsidP="009058FB">
            <w:pPr>
              <w:rPr>
                <w:b/>
                <w:sz w:val="22"/>
                <w:szCs w:val="22"/>
                <w:lang w:val="en-GB"/>
              </w:rPr>
            </w:pPr>
          </w:p>
          <w:p w14:paraId="5861CA68" w14:textId="77777777" w:rsidR="009058FB" w:rsidRPr="00E4475D" w:rsidRDefault="009058FB" w:rsidP="009058FB">
            <w:pPr>
              <w:rPr>
                <w:b/>
                <w:sz w:val="22"/>
                <w:szCs w:val="22"/>
                <w:lang w:val="en-GB"/>
              </w:rPr>
            </w:pPr>
            <w:r w:rsidRPr="00613A29">
              <w:rPr>
                <w:b/>
                <w:sz w:val="22"/>
                <w:szCs w:val="22"/>
                <w:lang w:val="en-GB"/>
              </w:rPr>
              <w:t xml:space="preserve">5.7: </w:t>
            </w:r>
            <w:r w:rsidRPr="008C5535">
              <w:rPr>
                <w:b/>
                <w:sz w:val="22"/>
                <w:szCs w:val="22"/>
                <w:lang w:val="en-GB"/>
              </w:rPr>
              <w:t>Appropriate national coordination mechanism for implementation of AEWA linking to national coordination mechanisms for other biodiversity MEAs are established</w:t>
            </w:r>
          </w:p>
          <w:p w14:paraId="3A9EE8D9" w14:textId="77777777" w:rsidR="009058FB" w:rsidRPr="00852729"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D57AA57" w14:textId="77777777" w:rsidR="009058FB" w:rsidRPr="004779F8" w:rsidRDefault="009058FB" w:rsidP="009058FB">
            <w:pPr>
              <w:rPr>
                <w:b/>
                <w:sz w:val="22"/>
                <w:szCs w:val="22"/>
                <w:lang w:val="en-GB"/>
              </w:rPr>
            </w:pPr>
          </w:p>
          <w:p w14:paraId="272EBFD2" w14:textId="77777777" w:rsidR="009058FB" w:rsidRPr="004779F8" w:rsidRDefault="009058FB" w:rsidP="009058FB">
            <w:pPr>
              <w:rPr>
                <w:b/>
                <w:sz w:val="22"/>
                <w:szCs w:val="22"/>
                <w:lang w:val="en-GB"/>
              </w:rPr>
            </w:pPr>
            <w:r w:rsidRPr="004779F8">
              <w:rPr>
                <w:b/>
                <w:sz w:val="22"/>
                <w:szCs w:val="22"/>
                <w:lang w:val="en-GB"/>
              </w:rPr>
              <w:t>In at least 50% of the Contracting Parties AEWA national coordination mechanisms have been established and are operational on regular basis</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4781AAA3" w14:textId="77777777" w:rsidR="009058FB" w:rsidRPr="000F0222" w:rsidRDefault="009058FB" w:rsidP="009058FB">
            <w:pPr>
              <w:rPr>
                <w:sz w:val="22"/>
                <w:szCs w:val="22"/>
                <w:lang w:val="en-GB"/>
              </w:rPr>
            </w:pPr>
          </w:p>
          <w:p w14:paraId="547C16C4" w14:textId="722FE475" w:rsidR="009058FB" w:rsidRPr="000F0222" w:rsidRDefault="009058FB" w:rsidP="009058FB">
            <w:pPr>
              <w:rPr>
                <w:sz w:val="22"/>
                <w:szCs w:val="22"/>
                <w:lang w:val="en-GB"/>
              </w:rPr>
            </w:pPr>
            <w:r w:rsidRPr="000F0222">
              <w:rPr>
                <w:sz w:val="22"/>
                <w:szCs w:val="22"/>
                <w:lang w:val="en-GB"/>
              </w:rPr>
              <w:t>3</w:t>
            </w:r>
            <w:r w:rsidR="00EA71E0" w:rsidRPr="000F0222">
              <w:rPr>
                <w:sz w:val="22"/>
                <w:szCs w:val="22"/>
                <w:lang w:val="en-GB"/>
              </w:rPr>
              <w:t>9</w:t>
            </w:r>
            <w:r w:rsidRPr="000F0222">
              <w:rPr>
                <w:sz w:val="22"/>
                <w:szCs w:val="22"/>
                <w:lang w:val="en-GB"/>
              </w:rPr>
              <w:t xml:space="preserve">% of the Contracting Parties reported that they have such national coordination mechanism and they are operating regularly. </w:t>
            </w:r>
            <w:r w:rsidR="00BF000C">
              <w:rPr>
                <w:sz w:val="22"/>
                <w:szCs w:val="22"/>
                <w:lang w:val="en-GB"/>
              </w:rPr>
              <w:t>Further</w:t>
            </w:r>
            <w:r w:rsidRPr="000F0222">
              <w:rPr>
                <w:sz w:val="22"/>
                <w:szCs w:val="22"/>
                <w:lang w:val="en-GB"/>
              </w:rPr>
              <w:t xml:space="preserve"> countries reported non-operational mechanisms, mechanisms in preparation or described other system for national coordination of the Agreement.</w:t>
            </w:r>
          </w:p>
          <w:p w14:paraId="37823818" w14:textId="77777777" w:rsidR="008A2A43" w:rsidRPr="000F0222" w:rsidRDefault="008A2A43" w:rsidP="009058FB">
            <w:pPr>
              <w:rPr>
                <w:sz w:val="22"/>
                <w:szCs w:val="22"/>
                <w:lang w:val="en-GB"/>
              </w:rPr>
            </w:pPr>
          </w:p>
          <w:p w14:paraId="19AEB0DC" w14:textId="1CC4D8D9" w:rsidR="008A2A43" w:rsidRPr="000F0222" w:rsidRDefault="008A2A43" w:rsidP="009058FB">
            <w:pPr>
              <w:rPr>
                <w:sz w:val="22"/>
                <w:szCs w:val="22"/>
                <w:lang w:val="en-GB"/>
              </w:rPr>
            </w:pPr>
            <w:r w:rsidRPr="000F0222">
              <w:rPr>
                <w:b/>
                <w:sz w:val="22"/>
                <w:szCs w:val="22"/>
                <w:lang w:val="en-GB"/>
              </w:rPr>
              <w:t>Change since MOP</w:t>
            </w:r>
            <w:r w:rsidR="009669E9" w:rsidRPr="000F0222">
              <w:rPr>
                <w:b/>
                <w:sz w:val="22"/>
                <w:szCs w:val="22"/>
                <w:lang w:val="en-GB"/>
              </w:rPr>
              <w:t>4</w:t>
            </w:r>
            <w:r w:rsidRPr="000F0222">
              <w:rPr>
                <w:b/>
                <w:sz w:val="22"/>
                <w:szCs w:val="22"/>
                <w:lang w:val="en-GB"/>
              </w:rPr>
              <w:t>:</w:t>
            </w:r>
            <w:r w:rsidRPr="000F0222">
              <w:rPr>
                <w:sz w:val="22"/>
                <w:szCs w:val="22"/>
                <w:lang w:val="en-GB"/>
              </w:rPr>
              <w:t xml:space="preserve"> Slightly positive. </w:t>
            </w:r>
            <w:r w:rsidR="00EA71E0" w:rsidRPr="000F0222">
              <w:rPr>
                <w:sz w:val="22"/>
                <w:szCs w:val="22"/>
                <w:lang w:val="en-GB"/>
              </w:rPr>
              <w:t>There have been a 5</w:t>
            </w:r>
            <w:r w:rsidRPr="000F0222">
              <w:rPr>
                <w:sz w:val="22"/>
                <w:szCs w:val="22"/>
                <w:lang w:val="en-GB"/>
              </w:rPr>
              <w:t>%</w:t>
            </w:r>
            <w:r w:rsidR="00966A5A">
              <w:rPr>
                <w:sz w:val="22"/>
                <w:szCs w:val="22"/>
                <w:lang w:val="en-GB"/>
              </w:rPr>
              <w:t>-</w:t>
            </w:r>
            <w:r w:rsidR="00EA71E0" w:rsidRPr="000F0222">
              <w:rPr>
                <w:sz w:val="22"/>
                <w:szCs w:val="22"/>
                <w:lang w:val="en-GB"/>
              </w:rPr>
              <w:t>point increase in the number of</w:t>
            </w:r>
            <w:r w:rsidRPr="000F0222">
              <w:rPr>
                <w:sz w:val="22"/>
                <w:szCs w:val="22"/>
                <w:lang w:val="en-GB"/>
              </w:rPr>
              <w:t xml:space="preserve"> CPs report</w:t>
            </w:r>
            <w:r w:rsidR="00EA71E0" w:rsidRPr="000F0222">
              <w:rPr>
                <w:sz w:val="22"/>
                <w:szCs w:val="22"/>
                <w:lang w:val="en-GB"/>
              </w:rPr>
              <w:t>ing</w:t>
            </w:r>
            <w:r w:rsidRPr="000F0222">
              <w:rPr>
                <w:sz w:val="22"/>
                <w:szCs w:val="22"/>
                <w:lang w:val="en-GB"/>
              </w:rPr>
              <w:t xml:space="preserve"> operational coordination mechanisms in place</w:t>
            </w:r>
            <w:r w:rsidR="00EA71E0" w:rsidRPr="000F0222">
              <w:rPr>
                <w:sz w:val="22"/>
                <w:szCs w:val="22"/>
                <w:lang w:val="en-GB"/>
              </w:rPr>
              <w:t xml:space="preserve"> since the first assessment in 2012</w:t>
            </w:r>
            <w:r w:rsidRPr="000F0222">
              <w:rPr>
                <w:sz w:val="22"/>
                <w:szCs w:val="22"/>
                <w:lang w:val="en-GB"/>
              </w:rPr>
              <w:t xml:space="preserve">. </w:t>
            </w:r>
          </w:p>
          <w:p w14:paraId="5DC3ADFA" w14:textId="77777777" w:rsidR="009058FB" w:rsidRPr="000F0222" w:rsidRDefault="009058FB" w:rsidP="009058FB">
            <w:pPr>
              <w:rPr>
                <w:sz w:val="22"/>
                <w:szCs w:val="22"/>
                <w:lang w:val="en-GB"/>
              </w:rPr>
            </w:pPr>
          </w:p>
          <w:p w14:paraId="4E698FFE" w14:textId="2EDC3686" w:rsidR="00086986" w:rsidRPr="000F0222" w:rsidRDefault="009058FB" w:rsidP="00086986">
            <w:pPr>
              <w:rPr>
                <w:sz w:val="22"/>
                <w:szCs w:val="22"/>
                <w:lang w:val="en-GB"/>
              </w:rPr>
            </w:pPr>
            <w:r w:rsidRPr="000F0222">
              <w:rPr>
                <w:b/>
                <w:sz w:val="22"/>
                <w:szCs w:val="22"/>
                <w:lang w:val="en-GB"/>
              </w:rPr>
              <w:t xml:space="preserve">Reference: </w:t>
            </w:r>
            <w:r w:rsidRPr="000F0222">
              <w:rPr>
                <w:sz w:val="22"/>
                <w:szCs w:val="22"/>
                <w:lang w:val="en-GB"/>
              </w:rPr>
              <w:t xml:space="preserve">Analysis of </w:t>
            </w:r>
            <w:r w:rsidR="009669E9" w:rsidRPr="000F0222">
              <w:rPr>
                <w:sz w:val="22"/>
                <w:szCs w:val="22"/>
                <w:lang w:val="en-GB"/>
              </w:rPr>
              <w:t xml:space="preserve">the </w:t>
            </w:r>
            <w:r w:rsidRPr="000F0222">
              <w:rPr>
                <w:sz w:val="22"/>
                <w:szCs w:val="22"/>
                <w:lang w:val="en-GB"/>
              </w:rPr>
              <w:t>AEWA National Reports for the</w:t>
            </w:r>
            <w:r w:rsidR="00086986" w:rsidRPr="000F0222">
              <w:rPr>
                <w:sz w:val="22"/>
                <w:szCs w:val="22"/>
                <w:lang w:val="en-GB"/>
              </w:rPr>
              <w:t xml:space="preserve"> </w:t>
            </w:r>
            <w:r w:rsidR="009669E9" w:rsidRPr="000F0222">
              <w:rPr>
                <w:sz w:val="22"/>
                <w:szCs w:val="22"/>
                <w:lang w:val="en-GB"/>
              </w:rPr>
              <w:t>T</w:t>
            </w:r>
            <w:r w:rsidRPr="000F0222">
              <w:rPr>
                <w:sz w:val="22"/>
                <w:szCs w:val="22"/>
                <w:lang w:val="en-GB"/>
              </w:rPr>
              <w:t xml:space="preserve">riennium </w:t>
            </w:r>
          </w:p>
          <w:p w14:paraId="217472D9" w14:textId="42A885DA" w:rsidR="009058FB" w:rsidRPr="000F0222" w:rsidRDefault="00086986" w:rsidP="00086986">
            <w:pPr>
              <w:rPr>
                <w:sz w:val="22"/>
                <w:szCs w:val="22"/>
                <w:lang w:val="en-GB"/>
              </w:rPr>
            </w:pPr>
            <w:r w:rsidRPr="000F0222">
              <w:rPr>
                <w:sz w:val="22"/>
                <w:szCs w:val="22"/>
                <w:lang w:val="en-GB"/>
              </w:rPr>
              <w:t xml:space="preserve">                   </w:t>
            </w:r>
            <w:r w:rsidR="009058FB" w:rsidRPr="000F0222">
              <w:rPr>
                <w:sz w:val="22"/>
                <w:szCs w:val="22"/>
                <w:lang w:val="en-GB"/>
              </w:rPr>
              <w:t>20</w:t>
            </w:r>
            <w:r w:rsidR="008A2A43" w:rsidRPr="000F0222">
              <w:rPr>
                <w:sz w:val="22"/>
                <w:szCs w:val="22"/>
                <w:lang w:val="en-GB"/>
              </w:rPr>
              <w:t>1</w:t>
            </w:r>
            <w:r w:rsidR="009669E9" w:rsidRPr="000F0222">
              <w:rPr>
                <w:sz w:val="22"/>
                <w:szCs w:val="22"/>
                <w:lang w:val="en-GB"/>
              </w:rPr>
              <w:t>5</w:t>
            </w:r>
            <w:r w:rsidR="009058FB" w:rsidRPr="000F0222">
              <w:rPr>
                <w:sz w:val="22"/>
                <w:szCs w:val="22"/>
                <w:lang w:val="en-GB"/>
              </w:rPr>
              <w:t>-201</w:t>
            </w:r>
            <w:r w:rsidR="009669E9" w:rsidRPr="000F0222">
              <w:rPr>
                <w:sz w:val="22"/>
                <w:szCs w:val="22"/>
                <w:lang w:val="en-GB"/>
              </w:rPr>
              <w:t>7</w:t>
            </w:r>
            <w:r w:rsidR="009058FB" w:rsidRPr="000F0222">
              <w:rPr>
                <w:sz w:val="22"/>
                <w:szCs w:val="22"/>
                <w:lang w:val="en-GB"/>
              </w:rPr>
              <w:t xml:space="preserve"> (document AEWA/MOP </w:t>
            </w:r>
            <w:r w:rsidR="009669E9" w:rsidRPr="000F0222">
              <w:rPr>
                <w:sz w:val="22"/>
                <w:szCs w:val="22"/>
                <w:lang w:val="en-GB"/>
              </w:rPr>
              <w:t>7</w:t>
            </w:r>
            <w:r w:rsidR="009058FB" w:rsidRPr="000F0222">
              <w:rPr>
                <w:sz w:val="22"/>
                <w:szCs w:val="22"/>
                <w:lang w:val="en-GB"/>
              </w:rPr>
              <w:t>.1</w:t>
            </w:r>
            <w:r w:rsidR="009669E9" w:rsidRPr="000F0222">
              <w:rPr>
                <w:sz w:val="22"/>
                <w:szCs w:val="22"/>
                <w:lang w:val="en-GB"/>
              </w:rPr>
              <w:t>2</w:t>
            </w:r>
            <w:r w:rsidR="009058FB" w:rsidRPr="000F0222">
              <w:rPr>
                <w:sz w:val="22"/>
                <w:szCs w:val="22"/>
                <w:lang w:val="en-GB"/>
              </w:rPr>
              <w:t>)</w:t>
            </w:r>
          </w:p>
          <w:p w14:paraId="0B66A6E2" w14:textId="77777777" w:rsidR="009058FB" w:rsidRPr="000F0222" w:rsidRDefault="009058FB" w:rsidP="009058FB">
            <w:pPr>
              <w:rPr>
                <w:sz w:val="22"/>
                <w:szCs w:val="22"/>
                <w:lang w:val="en-GB"/>
              </w:rPr>
            </w:pPr>
          </w:p>
        </w:tc>
      </w:tr>
      <w:tr w:rsidR="009058FB" w:rsidRPr="004779F8" w14:paraId="024A3457"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79F68B3A" w14:textId="77777777" w:rsidR="009058FB" w:rsidRPr="004779F8" w:rsidRDefault="009058FB" w:rsidP="009058FB">
            <w:pPr>
              <w:rPr>
                <w:noProof/>
                <w:sz w:val="22"/>
                <w:szCs w:val="22"/>
                <w:lang w:val="en-GB" w:eastAsia="en-GB"/>
              </w:rPr>
            </w:pPr>
            <w:r w:rsidRPr="000F0222">
              <w:rPr>
                <w:noProof/>
                <w:sz w:val="22"/>
                <w:szCs w:val="22"/>
                <w:lang w:val="en-GB"/>
              </w:rPr>
              <w:drawing>
                <wp:inline distT="0" distB="0" distL="0" distR="0" wp14:anchorId="094D6EF7" wp14:editId="7AA6C208">
                  <wp:extent cx="1425039" cy="1068779"/>
                  <wp:effectExtent l="0" t="0" r="0" b="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02483BAA" w14:textId="77777777" w:rsidR="009058FB" w:rsidRPr="00613A29" w:rsidRDefault="009058FB" w:rsidP="009058FB">
            <w:pPr>
              <w:rPr>
                <w:b/>
                <w:sz w:val="22"/>
                <w:szCs w:val="22"/>
                <w:lang w:val="en-GB"/>
              </w:rPr>
            </w:pPr>
          </w:p>
          <w:p w14:paraId="2825AB85" w14:textId="77777777" w:rsidR="009058FB" w:rsidRPr="00852729" w:rsidRDefault="009058FB" w:rsidP="009058FB">
            <w:pPr>
              <w:rPr>
                <w:b/>
                <w:sz w:val="22"/>
                <w:szCs w:val="22"/>
                <w:lang w:val="en-GB"/>
              </w:rPr>
            </w:pPr>
            <w:r w:rsidRPr="00613A29">
              <w:rPr>
                <w:b/>
                <w:sz w:val="22"/>
                <w:szCs w:val="22"/>
                <w:lang w:val="en-GB"/>
              </w:rPr>
              <w:t xml:space="preserve">5.8: </w:t>
            </w:r>
            <w:r w:rsidRPr="008C5535">
              <w:rPr>
                <w:b/>
                <w:sz w:val="22"/>
                <w:szCs w:val="22"/>
                <w:lang w:val="en-GB"/>
              </w:rPr>
              <w:t>AEWA is recognized by other biodi</w:t>
            </w:r>
            <w:r w:rsidRPr="00E4475D">
              <w:rPr>
                <w:b/>
                <w:sz w:val="22"/>
                <w:szCs w:val="22"/>
                <w:lang w:val="en-GB"/>
              </w:rPr>
              <w:t xml:space="preserve">versity MEAs as an MEA whose effectiveness in protecting </w:t>
            </w:r>
            <w:proofErr w:type="spellStart"/>
            <w:r w:rsidRPr="00E4475D">
              <w:rPr>
                <w:b/>
                <w:sz w:val="22"/>
                <w:szCs w:val="22"/>
                <w:lang w:val="en-GB"/>
              </w:rPr>
              <w:t>waterbirds</w:t>
            </w:r>
            <w:proofErr w:type="spellEnd"/>
            <w:r w:rsidRPr="00E4475D">
              <w:rPr>
                <w:b/>
                <w:sz w:val="22"/>
                <w:szCs w:val="22"/>
                <w:lang w:val="en-GB"/>
              </w:rPr>
              <w:t xml:space="preserve"> can be used as an indicator for sustaining biodiversity on a global level </w:t>
            </w:r>
          </w:p>
          <w:p w14:paraId="4831E117" w14:textId="77777777" w:rsidR="009058FB" w:rsidRPr="004779F8"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3C94FCAF" w14:textId="77777777" w:rsidR="009058FB" w:rsidRPr="004779F8" w:rsidRDefault="009058FB" w:rsidP="009058FB">
            <w:pPr>
              <w:rPr>
                <w:b/>
                <w:sz w:val="22"/>
                <w:szCs w:val="22"/>
                <w:lang w:val="en-GB"/>
              </w:rPr>
            </w:pPr>
          </w:p>
          <w:p w14:paraId="3AAE8A6F" w14:textId="77777777" w:rsidR="009058FB" w:rsidRPr="004779F8" w:rsidRDefault="009058FB" w:rsidP="009058FB">
            <w:pPr>
              <w:rPr>
                <w:b/>
                <w:sz w:val="22"/>
                <w:szCs w:val="22"/>
                <w:lang w:val="en-GB"/>
              </w:rPr>
            </w:pPr>
            <w:r w:rsidRPr="004779F8">
              <w:rPr>
                <w:b/>
                <w:sz w:val="22"/>
                <w:szCs w:val="22"/>
                <w:lang w:val="en-GB"/>
              </w:rPr>
              <w:t>All global biodiversity MEAs are referring to the effectiveness of AEWA as an indicator for sustaining biodiversity on a global level</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55019B64" w14:textId="77777777" w:rsidR="009058FB" w:rsidRPr="000F0222" w:rsidRDefault="009058FB" w:rsidP="009058FB">
            <w:pPr>
              <w:rPr>
                <w:sz w:val="22"/>
                <w:szCs w:val="22"/>
                <w:lang w:val="en-GB"/>
              </w:rPr>
            </w:pPr>
          </w:p>
          <w:p w14:paraId="39B327B7" w14:textId="77777777" w:rsidR="005C1A99" w:rsidRPr="000F0222" w:rsidRDefault="009058FB" w:rsidP="009058FB">
            <w:pPr>
              <w:rPr>
                <w:sz w:val="22"/>
                <w:szCs w:val="22"/>
                <w:lang w:val="en-GB"/>
              </w:rPr>
            </w:pPr>
            <w:r w:rsidRPr="000F0222">
              <w:rPr>
                <w:sz w:val="22"/>
                <w:szCs w:val="22"/>
                <w:lang w:val="en-GB"/>
              </w:rPr>
              <w:t>Not assessed.</w:t>
            </w:r>
          </w:p>
          <w:p w14:paraId="29076FE6" w14:textId="77777777" w:rsidR="005C1A99" w:rsidRPr="000F0222" w:rsidRDefault="005C1A99" w:rsidP="009058FB">
            <w:pPr>
              <w:rPr>
                <w:sz w:val="22"/>
                <w:szCs w:val="22"/>
                <w:lang w:val="en-GB"/>
              </w:rPr>
            </w:pPr>
          </w:p>
          <w:p w14:paraId="1D5C8AEC" w14:textId="5623C5EC" w:rsidR="005C1A99" w:rsidRPr="000F0222" w:rsidRDefault="005C1A99" w:rsidP="009058FB">
            <w:pPr>
              <w:rPr>
                <w:sz w:val="22"/>
                <w:szCs w:val="22"/>
                <w:lang w:val="en-GB"/>
              </w:rPr>
            </w:pPr>
            <w:r w:rsidRPr="000F0222">
              <w:rPr>
                <w:b/>
                <w:sz w:val="22"/>
                <w:szCs w:val="22"/>
                <w:lang w:val="en-GB"/>
              </w:rPr>
              <w:t>Change since MOP</w:t>
            </w:r>
            <w:r w:rsidR="009669E9" w:rsidRPr="000F0222">
              <w:rPr>
                <w:b/>
                <w:sz w:val="22"/>
                <w:szCs w:val="22"/>
                <w:lang w:val="en-GB"/>
              </w:rPr>
              <w:t>4</w:t>
            </w:r>
            <w:r w:rsidRPr="000F0222">
              <w:rPr>
                <w:b/>
                <w:sz w:val="22"/>
                <w:szCs w:val="22"/>
                <w:lang w:val="en-GB"/>
              </w:rPr>
              <w:t>:</w:t>
            </w:r>
            <w:r w:rsidRPr="000F0222">
              <w:rPr>
                <w:sz w:val="22"/>
                <w:szCs w:val="22"/>
                <w:lang w:val="en-GB"/>
              </w:rPr>
              <w:t xml:space="preserve"> No change.</w:t>
            </w:r>
          </w:p>
        </w:tc>
      </w:tr>
    </w:tbl>
    <w:p w14:paraId="73C68E59" w14:textId="77777777" w:rsidR="009058FB" w:rsidRPr="000F0222" w:rsidRDefault="009058FB" w:rsidP="009058FB">
      <w:pPr>
        <w:rPr>
          <w:lang w:val="en-GB"/>
        </w:rPr>
      </w:pPr>
    </w:p>
    <w:p w14:paraId="234FD4A3" w14:textId="77777777" w:rsidR="009058FB" w:rsidRPr="000F0222" w:rsidRDefault="009058FB" w:rsidP="002E131E">
      <w:pPr>
        <w:jc w:val="both"/>
        <w:rPr>
          <w:sz w:val="22"/>
          <w:szCs w:val="22"/>
          <w:lang w:val="en-GB"/>
        </w:rPr>
      </w:pPr>
    </w:p>
    <w:p w14:paraId="489D35C6" w14:textId="77777777" w:rsidR="009058FB" w:rsidRPr="000F0222" w:rsidRDefault="009058FB" w:rsidP="002E131E">
      <w:pPr>
        <w:jc w:val="both"/>
        <w:rPr>
          <w:sz w:val="22"/>
          <w:szCs w:val="22"/>
          <w:lang w:val="en-GB"/>
        </w:rPr>
      </w:pPr>
    </w:p>
    <w:sectPr w:rsidR="009058FB" w:rsidRPr="000F0222" w:rsidSect="00C15143">
      <w:pgSz w:w="16840" w:h="11907" w:orient="landscape" w:code="9"/>
      <w:pgMar w:top="1134" w:right="102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F341" w14:textId="77777777" w:rsidR="00FA6682" w:rsidRDefault="00FA6682" w:rsidP="00797EA2">
      <w:r>
        <w:separator/>
      </w:r>
    </w:p>
  </w:endnote>
  <w:endnote w:type="continuationSeparator" w:id="0">
    <w:p w14:paraId="78B40254" w14:textId="77777777" w:rsidR="00FA6682" w:rsidRDefault="00FA6682" w:rsidP="007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AC55" w14:textId="49D5B542" w:rsidR="00FA6682" w:rsidRPr="000724AE" w:rsidRDefault="00FA6682">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8D0E" w14:textId="77777777" w:rsidR="00FA6682" w:rsidRPr="003638F1" w:rsidRDefault="00FA6682" w:rsidP="00807DF2">
    <w:pPr>
      <w:pStyle w:val="Footer"/>
      <w:jc w:val="center"/>
      <w:rPr>
        <w:sz w:val="20"/>
        <w:szCs w:val="20"/>
      </w:rPr>
    </w:pPr>
    <w:r w:rsidRPr="003638F1">
      <w:rPr>
        <w:sz w:val="20"/>
        <w:szCs w:val="20"/>
      </w:rPr>
      <w:fldChar w:fldCharType="begin"/>
    </w:r>
    <w:r w:rsidRPr="003638F1">
      <w:rPr>
        <w:sz w:val="20"/>
        <w:szCs w:val="20"/>
      </w:rPr>
      <w:instrText xml:space="preserve"> PAGE   \* MERGEFORMAT </w:instrText>
    </w:r>
    <w:r w:rsidRPr="003638F1">
      <w:rPr>
        <w:sz w:val="20"/>
        <w:szCs w:val="20"/>
      </w:rPr>
      <w:fldChar w:fldCharType="separate"/>
    </w:r>
    <w:r>
      <w:rPr>
        <w:noProof/>
        <w:sz w:val="20"/>
        <w:szCs w:val="20"/>
      </w:rPr>
      <w:t>22</w:t>
    </w:r>
    <w:r w:rsidRPr="003638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985AD" w14:textId="77777777" w:rsidR="00FA6682" w:rsidRDefault="00FA6682" w:rsidP="00797EA2">
      <w:r>
        <w:separator/>
      </w:r>
    </w:p>
  </w:footnote>
  <w:footnote w:type="continuationSeparator" w:id="0">
    <w:p w14:paraId="13528594" w14:textId="77777777" w:rsidR="00FA6682" w:rsidRDefault="00FA6682" w:rsidP="00797EA2">
      <w:r>
        <w:continuationSeparator/>
      </w:r>
    </w:p>
  </w:footnote>
  <w:footnote w:id="1">
    <w:p w14:paraId="03D5A114" w14:textId="7D3CA080" w:rsidR="00FA6682" w:rsidRDefault="00FA6682">
      <w:pPr>
        <w:pStyle w:val="FootnoteText"/>
      </w:pPr>
      <w:r>
        <w:rPr>
          <w:rStyle w:val="FootnoteReference"/>
        </w:rPr>
        <w:footnoteRef/>
      </w:r>
      <w:r>
        <w:t xml:space="preserve"> </w:t>
      </w:r>
      <w:r w:rsidRPr="00080B4E">
        <w:rPr>
          <w:sz w:val="20"/>
        </w:rPr>
        <w:t>The cycles between MOP4 and MOP5 as well as between MOP5 and MOP6 were 3.5 years each, which extended the overall Strategic Plan longevity to 10 years.</w:t>
      </w:r>
    </w:p>
  </w:footnote>
  <w:footnote w:id="2">
    <w:p w14:paraId="7BEB316D" w14:textId="52B8F37B" w:rsidR="00FA6682" w:rsidRPr="00D06DE2" w:rsidRDefault="00FA6682" w:rsidP="009058FB">
      <w:pPr>
        <w:pStyle w:val="FootnoteText"/>
        <w:rPr>
          <w:sz w:val="20"/>
        </w:rPr>
      </w:pPr>
      <w:r w:rsidRPr="00D06DE2">
        <w:rPr>
          <w:rStyle w:val="FootnoteReference"/>
          <w:sz w:val="20"/>
        </w:rPr>
        <w:footnoteRef/>
      </w:r>
      <w:r w:rsidRPr="00D06DE2">
        <w:rPr>
          <w:sz w:val="20"/>
        </w:rPr>
        <w:t xml:space="preserve"> The numbering of the indicators associated with the Strategic Plan Goal from G1 to G12 does not exist in the Strategic Plan</w:t>
      </w:r>
      <w:r>
        <w:rPr>
          <w:sz w:val="20"/>
        </w:rPr>
        <w:t xml:space="preserve"> but</w:t>
      </w:r>
      <w:r w:rsidRPr="00D06DE2">
        <w:rPr>
          <w:sz w:val="20"/>
        </w:rPr>
        <w:t xml:space="preserve"> has been introduced in this report for ease of reference.</w:t>
      </w:r>
    </w:p>
  </w:footnote>
  <w:footnote w:id="3">
    <w:p w14:paraId="40F80B0D" w14:textId="7D64DD03" w:rsidR="00FA6682" w:rsidRPr="003E3956" w:rsidRDefault="00FA6682">
      <w:pPr>
        <w:pStyle w:val="FootnoteText"/>
        <w:rPr>
          <w:sz w:val="20"/>
        </w:rPr>
      </w:pPr>
      <w:r>
        <w:rPr>
          <w:rStyle w:val="FootnoteReference"/>
        </w:rPr>
        <w:footnoteRef/>
      </w:r>
      <w:r>
        <w:t xml:space="preserve"> </w:t>
      </w:r>
      <w:r w:rsidRPr="003E3956">
        <w:rPr>
          <w:sz w:val="20"/>
        </w:rPr>
        <w:t>A discrepancy in the reporting indicated a higher number of sites protected compared to the overall number of sites reported.</w:t>
      </w:r>
    </w:p>
  </w:footnote>
  <w:footnote w:id="4">
    <w:p w14:paraId="08D416AA" w14:textId="58E2CB8B" w:rsidR="00FA6682" w:rsidRPr="00C44A80" w:rsidRDefault="00FA6682" w:rsidP="009058FB">
      <w:pPr>
        <w:pStyle w:val="FootnoteText"/>
        <w:rPr>
          <w:sz w:val="20"/>
        </w:rPr>
      </w:pPr>
      <w:r>
        <w:rPr>
          <w:sz w:val="20"/>
          <w:vertAlign w:val="superscript"/>
        </w:rPr>
        <w:t>6</w:t>
      </w:r>
      <w:r>
        <w:rPr>
          <w:sz w:val="20"/>
        </w:rPr>
        <w:t xml:space="preserve"> </w:t>
      </w:r>
      <w:r w:rsidRPr="00C44A80">
        <w:rPr>
          <w:sz w:val="20"/>
        </w:rPr>
        <w:t>Between brackets and</w:t>
      </w:r>
      <w:r>
        <w:rPr>
          <w:sz w:val="20"/>
        </w:rPr>
        <w:t>,</w:t>
      </w:r>
      <w:r w:rsidRPr="00C44A80">
        <w:rPr>
          <w:sz w:val="20"/>
        </w:rPr>
        <w:t xml:space="preserve"> where appropriate, the targets are linked to the Communication Strategy (CS), the number given reflects the </w:t>
      </w:r>
      <w:r>
        <w:rPr>
          <w:sz w:val="20"/>
        </w:rPr>
        <w:t xml:space="preserve">respective </w:t>
      </w:r>
      <w:r w:rsidRPr="00C44A80">
        <w:rPr>
          <w:sz w:val="20"/>
        </w:rPr>
        <w:t>activity in the Communication Strategy</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FA6682" w14:paraId="4131701B" w14:textId="77777777" w:rsidTr="001C1C44">
      <w:trPr>
        <w:trHeight w:val="1256"/>
      </w:trPr>
      <w:tc>
        <w:tcPr>
          <w:tcW w:w="1985" w:type="dxa"/>
        </w:tcPr>
        <w:p w14:paraId="685D7DD7" w14:textId="77777777" w:rsidR="00FA6682" w:rsidRPr="00290AB0" w:rsidRDefault="00FA6682" w:rsidP="001C1C44">
          <w:r w:rsidRPr="00290AB0">
            <w:rPr>
              <w:noProof/>
            </w:rPr>
            <w:drawing>
              <wp:inline distT="0" distB="0" distL="0" distR="0" wp14:anchorId="4E19D0E2" wp14:editId="4F6F4D09">
                <wp:extent cx="838200" cy="685800"/>
                <wp:effectExtent l="0" t="0" r="0" b="0"/>
                <wp:docPr id="63" name="Picture 6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5245" w:type="dxa"/>
        </w:tcPr>
        <w:p w14:paraId="65B181FC" w14:textId="77777777" w:rsidR="00FA6682" w:rsidRPr="00290AB0" w:rsidRDefault="00FA6682" w:rsidP="001C1C44">
          <w:pPr>
            <w:jc w:val="center"/>
            <w:rPr>
              <w:i/>
              <w:caps/>
            </w:rPr>
          </w:pPr>
          <w:r w:rsidRPr="00290AB0">
            <w:rPr>
              <w:i/>
              <w:caps/>
              <w:sz w:val="22"/>
              <w:szCs w:val="22"/>
            </w:rPr>
            <w:t xml:space="preserve">Agreement on the Conservation of </w:t>
          </w:r>
        </w:p>
        <w:p w14:paraId="65D49B6D" w14:textId="77777777" w:rsidR="00FA6682" w:rsidRPr="00290AB0" w:rsidRDefault="00FA6682" w:rsidP="001C1C44">
          <w:pPr>
            <w:tabs>
              <w:tab w:val="left" w:pos="2415"/>
            </w:tabs>
            <w:jc w:val="center"/>
          </w:pPr>
          <w:r w:rsidRPr="00290AB0">
            <w:rPr>
              <w:i/>
              <w:caps/>
              <w:sz w:val="22"/>
              <w:szCs w:val="22"/>
            </w:rPr>
            <w:t>African-Eurasian Migratory Waterbirds</w:t>
          </w:r>
        </w:p>
      </w:tc>
      <w:tc>
        <w:tcPr>
          <w:tcW w:w="2409" w:type="dxa"/>
        </w:tcPr>
        <w:p w14:paraId="285BA09B" w14:textId="69B8F1D1" w:rsidR="00FA6682" w:rsidRPr="00160B05" w:rsidRDefault="00FA6682" w:rsidP="00160B05">
          <w:pPr>
            <w:spacing w:line="276" w:lineRule="auto"/>
            <w:jc w:val="right"/>
            <w:rPr>
              <w:bCs/>
              <w:i/>
              <w:iCs/>
              <w:sz w:val="20"/>
              <w:szCs w:val="20"/>
              <w:lang w:val="en-GB"/>
            </w:rPr>
          </w:pPr>
          <w:r w:rsidRPr="00160B05">
            <w:rPr>
              <w:i/>
              <w:iCs/>
              <w:sz w:val="20"/>
              <w:szCs w:val="20"/>
              <w:lang w:val="en-GB"/>
            </w:rPr>
            <w:t xml:space="preserve">Doc: </w:t>
          </w:r>
          <w:r w:rsidRPr="00160B05">
            <w:rPr>
              <w:bCs/>
              <w:i/>
              <w:iCs/>
              <w:sz w:val="20"/>
              <w:szCs w:val="20"/>
              <w:lang w:val="en-GB"/>
            </w:rPr>
            <w:t>AEWA/MOP 7.10</w:t>
          </w:r>
        </w:p>
        <w:p w14:paraId="61276AF2" w14:textId="0A072F23" w:rsidR="00FA6682" w:rsidRPr="00160B05" w:rsidRDefault="00FA6682" w:rsidP="00160B05">
          <w:pPr>
            <w:spacing w:line="276" w:lineRule="auto"/>
            <w:jc w:val="right"/>
            <w:rPr>
              <w:i/>
              <w:iCs/>
              <w:sz w:val="20"/>
              <w:szCs w:val="20"/>
              <w:lang w:val="en-GB"/>
            </w:rPr>
          </w:pPr>
          <w:r w:rsidRPr="00160B05">
            <w:rPr>
              <w:i/>
              <w:iCs/>
              <w:sz w:val="20"/>
              <w:szCs w:val="20"/>
              <w:lang w:val="en-GB"/>
            </w:rPr>
            <w:t>Agenda item: 10</w:t>
          </w:r>
        </w:p>
        <w:p w14:paraId="050020F5" w14:textId="403EC212" w:rsidR="00FA6682" w:rsidRPr="00290AB0" w:rsidRDefault="00FA6682" w:rsidP="00160B05">
          <w:pPr>
            <w:spacing w:line="276" w:lineRule="auto"/>
            <w:jc w:val="right"/>
            <w:rPr>
              <w:bCs/>
              <w:i/>
              <w:iCs/>
              <w:sz w:val="20"/>
              <w:szCs w:val="20"/>
            </w:rPr>
          </w:pPr>
          <w:r w:rsidRPr="00290AB0">
            <w:rPr>
              <w:i/>
              <w:iCs/>
              <w:sz w:val="20"/>
              <w:szCs w:val="20"/>
            </w:rPr>
            <w:t xml:space="preserve">Original: </w:t>
          </w:r>
          <w:r w:rsidRPr="00290AB0">
            <w:rPr>
              <w:bCs/>
              <w:i/>
              <w:iCs/>
              <w:sz w:val="20"/>
              <w:szCs w:val="20"/>
            </w:rPr>
            <w:t>English</w:t>
          </w:r>
        </w:p>
        <w:p w14:paraId="37653866" w14:textId="1AEA3576" w:rsidR="00FA6682" w:rsidRPr="00290AB0" w:rsidRDefault="00FA6682" w:rsidP="00160B05">
          <w:pPr>
            <w:spacing w:line="276" w:lineRule="auto"/>
            <w:jc w:val="right"/>
          </w:pPr>
          <w:r>
            <w:rPr>
              <w:i/>
              <w:iCs/>
              <w:sz w:val="20"/>
              <w:szCs w:val="20"/>
            </w:rPr>
            <w:t>0</w:t>
          </w:r>
          <w:r w:rsidRPr="00290AB0">
            <w:rPr>
              <w:i/>
              <w:iCs/>
              <w:sz w:val="20"/>
              <w:szCs w:val="20"/>
            </w:rPr>
            <w:t>5 October 2018</w:t>
          </w:r>
        </w:p>
      </w:tc>
    </w:tr>
    <w:tr w:rsidR="00FA6682" w14:paraId="6FF96CDF" w14:textId="77777777" w:rsidTr="001C1C44">
      <w:tc>
        <w:tcPr>
          <w:tcW w:w="9639" w:type="dxa"/>
          <w:gridSpan w:val="3"/>
        </w:tcPr>
        <w:p w14:paraId="20A6877D" w14:textId="6A836A37" w:rsidR="00FA6682" w:rsidRPr="00290AB0" w:rsidRDefault="00FA6682" w:rsidP="001C1C44">
          <w:pPr>
            <w:pStyle w:val="BodyText2"/>
            <w:jc w:val="center"/>
            <w:rPr>
              <w:b/>
              <w:bCs/>
              <w:caps/>
              <w:sz w:val="26"/>
              <w:szCs w:val="26"/>
            </w:rPr>
          </w:pPr>
          <w:r w:rsidRPr="00290AB0">
            <w:rPr>
              <w:b/>
              <w:bCs/>
              <w:sz w:val="26"/>
              <w:szCs w:val="26"/>
              <w:lang w:val="en-US"/>
            </w:rPr>
            <w:t>7</w:t>
          </w:r>
          <w:r w:rsidRPr="00290AB0">
            <w:rPr>
              <w:b/>
              <w:bCs/>
              <w:sz w:val="26"/>
              <w:szCs w:val="26"/>
              <w:vertAlign w:val="superscript"/>
              <w:lang w:val="en-US"/>
            </w:rPr>
            <w:t>th</w:t>
          </w:r>
          <w:r w:rsidRPr="00290AB0">
            <w:rPr>
              <w:b/>
              <w:bCs/>
              <w:sz w:val="26"/>
              <w:szCs w:val="26"/>
              <w:lang w:val="en-US"/>
            </w:rPr>
            <w:t xml:space="preserve"> </w:t>
          </w:r>
          <w:r w:rsidRPr="00290AB0">
            <w:rPr>
              <w:b/>
              <w:bCs/>
              <w:caps/>
              <w:sz w:val="26"/>
              <w:szCs w:val="26"/>
            </w:rPr>
            <w:t>Session of the Meeting of the Parties</w:t>
          </w:r>
        </w:p>
        <w:p w14:paraId="2FA88B6C" w14:textId="361D16C4" w:rsidR="00FA6682" w:rsidRPr="00290AB0" w:rsidRDefault="00FA6682" w:rsidP="00D5743F">
          <w:pPr>
            <w:jc w:val="center"/>
            <w:rPr>
              <w:i/>
            </w:rPr>
          </w:pPr>
          <w:r>
            <w:rPr>
              <w:i/>
              <w:iCs/>
              <w:lang w:val="en-GB"/>
            </w:rPr>
            <w:t>0</w:t>
          </w:r>
          <w:r w:rsidRPr="00290AB0">
            <w:rPr>
              <w:i/>
              <w:iCs/>
            </w:rPr>
            <w:t>4-</w:t>
          </w:r>
          <w:r>
            <w:rPr>
              <w:i/>
              <w:iCs/>
            </w:rPr>
            <w:t>0</w:t>
          </w:r>
          <w:r w:rsidRPr="00290AB0">
            <w:rPr>
              <w:i/>
              <w:iCs/>
            </w:rPr>
            <w:t>8 December 2018, Durban, South Africa</w:t>
          </w:r>
        </w:p>
      </w:tc>
    </w:tr>
    <w:tr w:rsidR="00FA6682" w14:paraId="018B448F" w14:textId="77777777" w:rsidTr="001C1C44">
      <w:trPr>
        <w:trHeight w:val="702"/>
      </w:trPr>
      <w:tc>
        <w:tcPr>
          <w:tcW w:w="9639" w:type="dxa"/>
          <w:gridSpan w:val="3"/>
          <w:tcBorders>
            <w:bottom w:val="single" w:sz="8" w:space="0" w:color="auto"/>
          </w:tcBorders>
          <w:vAlign w:val="center"/>
        </w:tcPr>
        <w:p w14:paraId="4ED2A185" w14:textId="5207154F" w:rsidR="00FA6682" w:rsidRPr="00E00AFB" w:rsidRDefault="00FA6682" w:rsidP="009B6A3A">
          <w:pPr>
            <w:pStyle w:val="BodyText2"/>
            <w:jc w:val="center"/>
            <w:rPr>
              <w:bCs/>
              <w:i/>
              <w:highlight w:val="magenta"/>
              <w:lang w:val="en-US"/>
            </w:rPr>
          </w:pPr>
          <w:r w:rsidRPr="00290AB0">
            <w:rPr>
              <w:i/>
            </w:rPr>
            <w:t>“Beyond 2020: Shaping flyway conservation for the future”</w:t>
          </w:r>
        </w:p>
      </w:tc>
    </w:tr>
  </w:tbl>
  <w:p w14:paraId="56D1E23D" w14:textId="77777777" w:rsidR="00FA6682" w:rsidRDefault="00FA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5F38" w14:textId="77777777" w:rsidR="00FA6682" w:rsidRDefault="00FA6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963"/>
    <w:multiLevelType w:val="hybridMultilevel"/>
    <w:tmpl w:val="2A88F940"/>
    <w:lvl w:ilvl="0" w:tplc="4880E612">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6595"/>
    <w:multiLevelType w:val="hybridMultilevel"/>
    <w:tmpl w:val="A3AC82D4"/>
    <w:lvl w:ilvl="0" w:tplc="4880E612">
      <w:start w:val="4"/>
      <w:numFmt w:val="bullet"/>
      <w:lvlText w:val="-"/>
      <w:lvlJc w:val="left"/>
      <w:pPr>
        <w:ind w:left="1500" w:hanging="360"/>
      </w:pPr>
      <w:rPr>
        <w:rFonts w:ascii="Times New Roman" w:eastAsia="Times New Roman" w:hAnsi="Times New Roman" w:cs="Times New Roman" w:hint="default"/>
        <w:b/>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3AE11D4"/>
    <w:multiLevelType w:val="hybridMultilevel"/>
    <w:tmpl w:val="3A2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11E96"/>
    <w:multiLevelType w:val="hybridMultilevel"/>
    <w:tmpl w:val="1EB2E448"/>
    <w:lvl w:ilvl="0" w:tplc="4880E612">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148E7"/>
    <w:multiLevelType w:val="hybridMultilevel"/>
    <w:tmpl w:val="7E7E17C0"/>
    <w:lvl w:ilvl="0" w:tplc="4880E612">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D5683"/>
    <w:multiLevelType w:val="hybridMultilevel"/>
    <w:tmpl w:val="2F9247B2"/>
    <w:lvl w:ilvl="0" w:tplc="4880E612">
      <w:start w:val="4"/>
      <w:numFmt w:val="bullet"/>
      <w:lvlText w:val="-"/>
      <w:lvlJc w:val="left"/>
      <w:pPr>
        <w:ind w:left="144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281D6F"/>
    <w:multiLevelType w:val="hybridMultilevel"/>
    <w:tmpl w:val="D01A300A"/>
    <w:lvl w:ilvl="0" w:tplc="4880E612">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05559"/>
    <w:multiLevelType w:val="hybridMultilevel"/>
    <w:tmpl w:val="11F07BDE"/>
    <w:lvl w:ilvl="0" w:tplc="8E8274D4">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A6450"/>
    <w:multiLevelType w:val="hybridMultilevel"/>
    <w:tmpl w:val="638A3EB6"/>
    <w:lvl w:ilvl="0" w:tplc="8E8274D4">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F033B9"/>
    <w:multiLevelType w:val="hybridMultilevel"/>
    <w:tmpl w:val="0E44985E"/>
    <w:lvl w:ilvl="0" w:tplc="4880E612">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11"/>
  </w:num>
  <w:num w:numId="6">
    <w:abstractNumId w:val="5"/>
  </w:num>
  <w:num w:numId="7">
    <w:abstractNumId w:val="2"/>
  </w:num>
  <w:num w:numId="8">
    <w:abstractNumId w:val="8"/>
  </w:num>
  <w:num w:numId="9">
    <w:abstractNumId w:val="0"/>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7E"/>
    <w:rsid w:val="0000003C"/>
    <w:rsid w:val="000003B5"/>
    <w:rsid w:val="0000322A"/>
    <w:rsid w:val="000049AA"/>
    <w:rsid w:val="00006A74"/>
    <w:rsid w:val="00006E5D"/>
    <w:rsid w:val="00007CB6"/>
    <w:rsid w:val="00007EC5"/>
    <w:rsid w:val="00010216"/>
    <w:rsid w:val="00010798"/>
    <w:rsid w:val="000118DD"/>
    <w:rsid w:val="0001309F"/>
    <w:rsid w:val="00014DC2"/>
    <w:rsid w:val="00015004"/>
    <w:rsid w:val="00017176"/>
    <w:rsid w:val="0002019C"/>
    <w:rsid w:val="000209B3"/>
    <w:rsid w:val="00020C3B"/>
    <w:rsid w:val="00020DD7"/>
    <w:rsid w:val="00021D0C"/>
    <w:rsid w:val="000221DC"/>
    <w:rsid w:val="00023CE0"/>
    <w:rsid w:val="000265AB"/>
    <w:rsid w:val="0003013E"/>
    <w:rsid w:val="0003218D"/>
    <w:rsid w:val="000329DD"/>
    <w:rsid w:val="000332EB"/>
    <w:rsid w:val="00033D6A"/>
    <w:rsid w:val="00033FA4"/>
    <w:rsid w:val="00034823"/>
    <w:rsid w:val="00035731"/>
    <w:rsid w:val="000368BE"/>
    <w:rsid w:val="00040250"/>
    <w:rsid w:val="00041649"/>
    <w:rsid w:val="00041795"/>
    <w:rsid w:val="000420C9"/>
    <w:rsid w:val="00044698"/>
    <w:rsid w:val="0004721A"/>
    <w:rsid w:val="000500DA"/>
    <w:rsid w:val="000515EE"/>
    <w:rsid w:val="000516CC"/>
    <w:rsid w:val="00052531"/>
    <w:rsid w:val="0005283B"/>
    <w:rsid w:val="00054556"/>
    <w:rsid w:val="00054BED"/>
    <w:rsid w:val="00054DAD"/>
    <w:rsid w:val="00055AA0"/>
    <w:rsid w:val="0005611A"/>
    <w:rsid w:val="000569B4"/>
    <w:rsid w:val="00057243"/>
    <w:rsid w:val="000573BC"/>
    <w:rsid w:val="000575ED"/>
    <w:rsid w:val="0005767B"/>
    <w:rsid w:val="00057B65"/>
    <w:rsid w:val="000603D4"/>
    <w:rsid w:val="00061625"/>
    <w:rsid w:val="000623CB"/>
    <w:rsid w:val="0006290A"/>
    <w:rsid w:val="00063CB1"/>
    <w:rsid w:val="00064121"/>
    <w:rsid w:val="0006611A"/>
    <w:rsid w:val="00066668"/>
    <w:rsid w:val="000677B9"/>
    <w:rsid w:val="000679F0"/>
    <w:rsid w:val="000700DA"/>
    <w:rsid w:val="00071098"/>
    <w:rsid w:val="000714FD"/>
    <w:rsid w:val="00071D0E"/>
    <w:rsid w:val="00071F88"/>
    <w:rsid w:val="000724AE"/>
    <w:rsid w:val="00072F5F"/>
    <w:rsid w:val="00074454"/>
    <w:rsid w:val="0007499B"/>
    <w:rsid w:val="00075163"/>
    <w:rsid w:val="00075BC3"/>
    <w:rsid w:val="00077A8F"/>
    <w:rsid w:val="00077FDD"/>
    <w:rsid w:val="0008039B"/>
    <w:rsid w:val="00080B4E"/>
    <w:rsid w:val="00080BE8"/>
    <w:rsid w:val="000817EF"/>
    <w:rsid w:val="00083DE7"/>
    <w:rsid w:val="00084A43"/>
    <w:rsid w:val="00084AAB"/>
    <w:rsid w:val="00086986"/>
    <w:rsid w:val="00090A5B"/>
    <w:rsid w:val="000917DE"/>
    <w:rsid w:val="00091EF2"/>
    <w:rsid w:val="00093EC8"/>
    <w:rsid w:val="000949B3"/>
    <w:rsid w:val="00095AF3"/>
    <w:rsid w:val="0009693D"/>
    <w:rsid w:val="00097A00"/>
    <w:rsid w:val="000A0898"/>
    <w:rsid w:val="000A2376"/>
    <w:rsid w:val="000A277A"/>
    <w:rsid w:val="000A2C48"/>
    <w:rsid w:val="000A3B8E"/>
    <w:rsid w:val="000A3F7A"/>
    <w:rsid w:val="000A4F4C"/>
    <w:rsid w:val="000B3FF1"/>
    <w:rsid w:val="000B5E61"/>
    <w:rsid w:val="000B6395"/>
    <w:rsid w:val="000C1250"/>
    <w:rsid w:val="000C2A1F"/>
    <w:rsid w:val="000C3C99"/>
    <w:rsid w:val="000C4898"/>
    <w:rsid w:val="000C51D8"/>
    <w:rsid w:val="000C6BB0"/>
    <w:rsid w:val="000C706C"/>
    <w:rsid w:val="000D0C1C"/>
    <w:rsid w:val="000D1062"/>
    <w:rsid w:val="000D4C5D"/>
    <w:rsid w:val="000D6037"/>
    <w:rsid w:val="000D67FD"/>
    <w:rsid w:val="000E0804"/>
    <w:rsid w:val="000E2F4D"/>
    <w:rsid w:val="000E3A27"/>
    <w:rsid w:val="000E3B1B"/>
    <w:rsid w:val="000E6455"/>
    <w:rsid w:val="000E7C6D"/>
    <w:rsid w:val="000F0222"/>
    <w:rsid w:val="000F0730"/>
    <w:rsid w:val="000F19FF"/>
    <w:rsid w:val="000F3152"/>
    <w:rsid w:val="000F39B0"/>
    <w:rsid w:val="000F3D1E"/>
    <w:rsid w:val="000F4341"/>
    <w:rsid w:val="000F49E1"/>
    <w:rsid w:val="000F6621"/>
    <w:rsid w:val="000F6B17"/>
    <w:rsid w:val="000F7135"/>
    <w:rsid w:val="001019EF"/>
    <w:rsid w:val="00102C21"/>
    <w:rsid w:val="00102E23"/>
    <w:rsid w:val="00103080"/>
    <w:rsid w:val="00103A80"/>
    <w:rsid w:val="00105651"/>
    <w:rsid w:val="00105C5B"/>
    <w:rsid w:val="001079D8"/>
    <w:rsid w:val="00107A86"/>
    <w:rsid w:val="00107DD2"/>
    <w:rsid w:val="00111A9A"/>
    <w:rsid w:val="001126B2"/>
    <w:rsid w:val="00113FA1"/>
    <w:rsid w:val="00116FB2"/>
    <w:rsid w:val="00120BBB"/>
    <w:rsid w:val="0012123E"/>
    <w:rsid w:val="001222A4"/>
    <w:rsid w:val="00123998"/>
    <w:rsid w:val="001246F1"/>
    <w:rsid w:val="00126CED"/>
    <w:rsid w:val="00127278"/>
    <w:rsid w:val="001273DC"/>
    <w:rsid w:val="00127826"/>
    <w:rsid w:val="001279B8"/>
    <w:rsid w:val="0013037A"/>
    <w:rsid w:val="00131A3D"/>
    <w:rsid w:val="0013467F"/>
    <w:rsid w:val="0013498F"/>
    <w:rsid w:val="001354B0"/>
    <w:rsid w:val="00135CE3"/>
    <w:rsid w:val="00140C01"/>
    <w:rsid w:val="00141AEA"/>
    <w:rsid w:val="0014213B"/>
    <w:rsid w:val="0014497A"/>
    <w:rsid w:val="00144BCF"/>
    <w:rsid w:val="00144F0B"/>
    <w:rsid w:val="00145474"/>
    <w:rsid w:val="00145483"/>
    <w:rsid w:val="00145540"/>
    <w:rsid w:val="001465B2"/>
    <w:rsid w:val="00146E73"/>
    <w:rsid w:val="0014727C"/>
    <w:rsid w:val="00150F72"/>
    <w:rsid w:val="001518E4"/>
    <w:rsid w:val="00151A42"/>
    <w:rsid w:val="00157DCD"/>
    <w:rsid w:val="00160732"/>
    <w:rsid w:val="00160B05"/>
    <w:rsid w:val="00161792"/>
    <w:rsid w:val="00161B5A"/>
    <w:rsid w:val="0016266F"/>
    <w:rsid w:val="001633A6"/>
    <w:rsid w:val="00163D28"/>
    <w:rsid w:val="00166EC6"/>
    <w:rsid w:val="00170D09"/>
    <w:rsid w:val="00173E2B"/>
    <w:rsid w:val="00174D91"/>
    <w:rsid w:val="00176B0B"/>
    <w:rsid w:val="001778D6"/>
    <w:rsid w:val="00180F6E"/>
    <w:rsid w:val="0018533A"/>
    <w:rsid w:val="00185F95"/>
    <w:rsid w:val="00186083"/>
    <w:rsid w:val="00187495"/>
    <w:rsid w:val="00187B27"/>
    <w:rsid w:val="001916A3"/>
    <w:rsid w:val="00192337"/>
    <w:rsid w:val="0019306B"/>
    <w:rsid w:val="00193757"/>
    <w:rsid w:val="001A0C2B"/>
    <w:rsid w:val="001A2586"/>
    <w:rsid w:val="001A535E"/>
    <w:rsid w:val="001A5740"/>
    <w:rsid w:val="001A6E8E"/>
    <w:rsid w:val="001A70EE"/>
    <w:rsid w:val="001B2E07"/>
    <w:rsid w:val="001B4099"/>
    <w:rsid w:val="001B4BBE"/>
    <w:rsid w:val="001C1C44"/>
    <w:rsid w:val="001C2C9F"/>
    <w:rsid w:val="001C3701"/>
    <w:rsid w:val="001C49A1"/>
    <w:rsid w:val="001C6DCB"/>
    <w:rsid w:val="001C7BD2"/>
    <w:rsid w:val="001D1953"/>
    <w:rsid w:val="001D2662"/>
    <w:rsid w:val="001D2AAF"/>
    <w:rsid w:val="001D393C"/>
    <w:rsid w:val="001D4FA1"/>
    <w:rsid w:val="001D626D"/>
    <w:rsid w:val="001D62BB"/>
    <w:rsid w:val="001D7C24"/>
    <w:rsid w:val="001E1660"/>
    <w:rsid w:val="001E27BF"/>
    <w:rsid w:val="001E3390"/>
    <w:rsid w:val="001E3A79"/>
    <w:rsid w:val="001E75C2"/>
    <w:rsid w:val="001F0615"/>
    <w:rsid w:val="001F1130"/>
    <w:rsid w:val="001F1FE7"/>
    <w:rsid w:val="001F3598"/>
    <w:rsid w:val="001F3688"/>
    <w:rsid w:val="001F5B2E"/>
    <w:rsid w:val="001F6CA4"/>
    <w:rsid w:val="001F6D5E"/>
    <w:rsid w:val="00202711"/>
    <w:rsid w:val="00202A4C"/>
    <w:rsid w:val="00203371"/>
    <w:rsid w:val="0020444A"/>
    <w:rsid w:val="00205518"/>
    <w:rsid w:val="00205FB5"/>
    <w:rsid w:val="0020704F"/>
    <w:rsid w:val="0020737D"/>
    <w:rsid w:val="002078B3"/>
    <w:rsid w:val="002079B8"/>
    <w:rsid w:val="00210AE0"/>
    <w:rsid w:val="002116DE"/>
    <w:rsid w:val="00211ACC"/>
    <w:rsid w:val="002136A7"/>
    <w:rsid w:val="00213721"/>
    <w:rsid w:val="0021454E"/>
    <w:rsid w:val="00217C7B"/>
    <w:rsid w:val="002211CE"/>
    <w:rsid w:val="00222FD1"/>
    <w:rsid w:val="00223348"/>
    <w:rsid w:val="0022367D"/>
    <w:rsid w:val="00226311"/>
    <w:rsid w:val="00226453"/>
    <w:rsid w:val="002266AF"/>
    <w:rsid w:val="00230DAC"/>
    <w:rsid w:val="002353E9"/>
    <w:rsid w:val="00237B47"/>
    <w:rsid w:val="002412BB"/>
    <w:rsid w:val="00241530"/>
    <w:rsid w:val="00241808"/>
    <w:rsid w:val="00242262"/>
    <w:rsid w:val="00244320"/>
    <w:rsid w:val="002454A0"/>
    <w:rsid w:val="0024553E"/>
    <w:rsid w:val="0024789A"/>
    <w:rsid w:val="002479FA"/>
    <w:rsid w:val="0025124B"/>
    <w:rsid w:val="00251418"/>
    <w:rsid w:val="00251ED6"/>
    <w:rsid w:val="00251F6D"/>
    <w:rsid w:val="00252701"/>
    <w:rsid w:val="00252ADD"/>
    <w:rsid w:val="00253083"/>
    <w:rsid w:val="002534BC"/>
    <w:rsid w:val="00253C16"/>
    <w:rsid w:val="00253E07"/>
    <w:rsid w:val="00255365"/>
    <w:rsid w:val="00255D43"/>
    <w:rsid w:val="002564A7"/>
    <w:rsid w:val="00263443"/>
    <w:rsid w:val="002635C4"/>
    <w:rsid w:val="00266A0E"/>
    <w:rsid w:val="002670AD"/>
    <w:rsid w:val="0027010B"/>
    <w:rsid w:val="002717EF"/>
    <w:rsid w:val="00272114"/>
    <w:rsid w:val="00272223"/>
    <w:rsid w:val="002737D1"/>
    <w:rsid w:val="00273FD0"/>
    <w:rsid w:val="00274210"/>
    <w:rsid w:val="002742C9"/>
    <w:rsid w:val="00276117"/>
    <w:rsid w:val="00276FA0"/>
    <w:rsid w:val="00277471"/>
    <w:rsid w:val="00277C81"/>
    <w:rsid w:val="00280489"/>
    <w:rsid w:val="002814A7"/>
    <w:rsid w:val="00283BC6"/>
    <w:rsid w:val="002847EF"/>
    <w:rsid w:val="00284D42"/>
    <w:rsid w:val="00286528"/>
    <w:rsid w:val="00286D5A"/>
    <w:rsid w:val="00290AB0"/>
    <w:rsid w:val="002938F9"/>
    <w:rsid w:val="00293936"/>
    <w:rsid w:val="00294EB9"/>
    <w:rsid w:val="00295238"/>
    <w:rsid w:val="002956CE"/>
    <w:rsid w:val="0029581F"/>
    <w:rsid w:val="00295E8C"/>
    <w:rsid w:val="002A22BA"/>
    <w:rsid w:val="002A2487"/>
    <w:rsid w:val="002A2885"/>
    <w:rsid w:val="002A3794"/>
    <w:rsid w:val="002A394F"/>
    <w:rsid w:val="002A3F1F"/>
    <w:rsid w:val="002A4097"/>
    <w:rsid w:val="002A70E1"/>
    <w:rsid w:val="002B0258"/>
    <w:rsid w:val="002B062F"/>
    <w:rsid w:val="002B296A"/>
    <w:rsid w:val="002B38A0"/>
    <w:rsid w:val="002B60B1"/>
    <w:rsid w:val="002C0A5D"/>
    <w:rsid w:val="002C173D"/>
    <w:rsid w:val="002C1A31"/>
    <w:rsid w:val="002C3198"/>
    <w:rsid w:val="002C5BC8"/>
    <w:rsid w:val="002D0321"/>
    <w:rsid w:val="002D03A2"/>
    <w:rsid w:val="002D041F"/>
    <w:rsid w:val="002D0BE0"/>
    <w:rsid w:val="002D0E0B"/>
    <w:rsid w:val="002D154E"/>
    <w:rsid w:val="002D2908"/>
    <w:rsid w:val="002D30BA"/>
    <w:rsid w:val="002D43CD"/>
    <w:rsid w:val="002D4CE0"/>
    <w:rsid w:val="002D5182"/>
    <w:rsid w:val="002E072A"/>
    <w:rsid w:val="002E0AB2"/>
    <w:rsid w:val="002E0C89"/>
    <w:rsid w:val="002E0F10"/>
    <w:rsid w:val="002E131E"/>
    <w:rsid w:val="002E6A3E"/>
    <w:rsid w:val="002F086E"/>
    <w:rsid w:val="002F1DDD"/>
    <w:rsid w:val="002F2633"/>
    <w:rsid w:val="002F427C"/>
    <w:rsid w:val="002F4BB1"/>
    <w:rsid w:val="002F5650"/>
    <w:rsid w:val="0030061E"/>
    <w:rsid w:val="003015DE"/>
    <w:rsid w:val="00304C67"/>
    <w:rsid w:val="00305585"/>
    <w:rsid w:val="00305DF8"/>
    <w:rsid w:val="00306908"/>
    <w:rsid w:val="003100A3"/>
    <w:rsid w:val="003101F2"/>
    <w:rsid w:val="00310393"/>
    <w:rsid w:val="00310AAB"/>
    <w:rsid w:val="00310DA4"/>
    <w:rsid w:val="00312186"/>
    <w:rsid w:val="0031334A"/>
    <w:rsid w:val="0031363B"/>
    <w:rsid w:val="0031486C"/>
    <w:rsid w:val="00314A97"/>
    <w:rsid w:val="00316179"/>
    <w:rsid w:val="003208C2"/>
    <w:rsid w:val="003241B1"/>
    <w:rsid w:val="003242A4"/>
    <w:rsid w:val="00325920"/>
    <w:rsid w:val="003317EF"/>
    <w:rsid w:val="0033266C"/>
    <w:rsid w:val="00332802"/>
    <w:rsid w:val="00333E4A"/>
    <w:rsid w:val="00334223"/>
    <w:rsid w:val="0033493E"/>
    <w:rsid w:val="00336716"/>
    <w:rsid w:val="00336884"/>
    <w:rsid w:val="00336EBC"/>
    <w:rsid w:val="00341524"/>
    <w:rsid w:val="00341D57"/>
    <w:rsid w:val="00343D91"/>
    <w:rsid w:val="0034783F"/>
    <w:rsid w:val="00350EF2"/>
    <w:rsid w:val="00351D64"/>
    <w:rsid w:val="0035203A"/>
    <w:rsid w:val="00352BC7"/>
    <w:rsid w:val="003539D3"/>
    <w:rsid w:val="00356A01"/>
    <w:rsid w:val="00356CD6"/>
    <w:rsid w:val="00357DFA"/>
    <w:rsid w:val="003602E4"/>
    <w:rsid w:val="00360788"/>
    <w:rsid w:val="003617A9"/>
    <w:rsid w:val="003638F1"/>
    <w:rsid w:val="00365423"/>
    <w:rsid w:val="00366071"/>
    <w:rsid w:val="0036629C"/>
    <w:rsid w:val="0036738A"/>
    <w:rsid w:val="003706BF"/>
    <w:rsid w:val="0037097E"/>
    <w:rsid w:val="0037311E"/>
    <w:rsid w:val="00373532"/>
    <w:rsid w:val="0037386A"/>
    <w:rsid w:val="00373C19"/>
    <w:rsid w:val="003765A8"/>
    <w:rsid w:val="003765F0"/>
    <w:rsid w:val="00376D5C"/>
    <w:rsid w:val="0037721A"/>
    <w:rsid w:val="00377DEE"/>
    <w:rsid w:val="0038106F"/>
    <w:rsid w:val="003810BE"/>
    <w:rsid w:val="00381A2B"/>
    <w:rsid w:val="00382AAD"/>
    <w:rsid w:val="003857D1"/>
    <w:rsid w:val="003872F6"/>
    <w:rsid w:val="0039034C"/>
    <w:rsid w:val="003915B9"/>
    <w:rsid w:val="00391C9E"/>
    <w:rsid w:val="00392815"/>
    <w:rsid w:val="00393E0A"/>
    <w:rsid w:val="00395527"/>
    <w:rsid w:val="003961EE"/>
    <w:rsid w:val="003A1B7F"/>
    <w:rsid w:val="003A3EAA"/>
    <w:rsid w:val="003A6408"/>
    <w:rsid w:val="003A7A60"/>
    <w:rsid w:val="003A7BC0"/>
    <w:rsid w:val="003B06D3"/>
    <w:rsid w:val="003B086E"/>
    <w:rsid w:val="003B0886"/>
    <w:rsid w:val="003B088D"/>
    <w:rsid w:val="003B0A54"/>
    <w:rsid w:val="003B10B9"/>
    <w:rsid w:val="003B2FA7"/>
    <w:rsid w:val="003B3591"/>
    <w:rsid w:val="003B35D5"/>
    <w:rsid w:val="003B70BD"/>
    <w:rsid w:val="003B733F"/>
    <w:rsid w:val="003C0EB1"/>
    <w:rsid w:val="003C1B46"/>
    <w:rsid w:val="003C2E66"/>
    <w:rsid w:val="003C3270"/>
    <w:rsid w:val="003C47C7"/>
    <w:rsid w:val="003C67D8"/>
    <w:rsid w:val="003C6BA0"/>
    <w:rsid w:val="003D0576"/>
    <w:rsid w:val="003D2C60"/>
    <w:rsid w:val="003D2E5C"/>
    <w:rsid w:val="003D34DC"/>
    <w:rsid w:val="003D4DFA"/>
    <w:rsid w:val="003D58F8"/>
    <w:rsid w:val="003D63ED"/>
    <w:rsid w:val="003D668F"/>
    <w:rsid w:val="003D797C"/>
    <w:rsid w:val="003D7EA9"/>
    <w:rsid w:val="003E0438"/>
    <w:rsid w:val="003E1490"/>
    <w:rsid w:val="003E2D56"/>
    <w:rsid w:val="003E3956"/>
    <w:rsid w:val="003E4893"/>
    <w:rsid w:val="003E4928"/>
    <w:rsid w:val="003F0F66"/>
    <w:rsid w:val="003F143B"/>
    <w:rsid w:val="003F2B0B"/>
    <w:rsid w:val="003F2BE2"/>
    <w:rsid w:val="003F308B"/>
    <w:rsid w:val="003F5743"/>
    <w:rsid w:val="003F5C56"/>
    <w:rsid w:val="003F6D47"/>
    <w:rsid w:val="003F743E"/>
    <w:rsid w:val="004004BB"/>
    <w:rsid w:val="0040114C"/>
    <w:rsid w:val="0040156D"/>
    <w:rsid w:val="00403907"/>
    <w:rsid w:val="00405CE0"/>
    <w:rsid w:val="0040629F"/>
    <w:rsid w:val="0041033F"/>
    <w:rsid w:val="00411A5D"/>
    <w:rsid w:val="0041237F"/>
    <w:rsid w:val="00413B0D"/>
    <w:rsid w:val="004142BC"/>
    <w:rsid w:val="00414360"/>
    <w:rsid w:val="00416919"/>
    <w:rsid w:val="004170B3"/>
    <w:rsid w:val="00417CC1"/>
    <w:rsid w:val="00417F53"/>
    <w:rsid w:val="00420FD3"/>
    <w:rsid w:val="00425BE9"/>
    <w:rsid w:val="00431543"/>
    <w:rsid w:val="00436E57"/>
    <w:rsid w:val="0043706E"/>
    <w:rsid w:val="0043723C"/>
    <w:rsid w:val="004411CA"/>
    <w:rsid w:val="004511B5"/>
    <w:rsid w:val="00451449"/>
    <w:rsid w:val="00452D95"/>
    <w:rsid w:val="00453EDB"/>
    <w:rsid w:val="004577E1"/>
    <w:rsid w:val="00460393"/>
    <w:rsid w:val="00463502"/>
    <w:rsid w:val="00464F74"/>
    <w:rsid w:val="00465742"/>
    <w:rsid w:val="00467145"/>
    <w:rsid w:val="0047076B"/>
    <w:rsid w:val="00472584"/>
    <w:rsid w:val="00472DA8"/>
    <w:rsid w:val="004734FB"/>
    <w:rsid w:val="00475A6E"/>
    <w:rsid w:val="00476BAF"/>
    <w:rsid w:val="004779F8"/>
    <w:rsid w:val="00477EBF"/>
    <w:rsid w:val="00480C4C"/>
    <w:rsid w:val="00481660"/>
    <w:rsid w:val="0048176A"/>
    <w:rsid w:val="00481C6F"/>
    <w:rsid w:val="00481FC5"/>
    <w:rsid w:val="00483861"/>
    <w:rsid w:val="00484914"/>
    <w:rsid w:val="004854DB"/>
    <w:rsid w:val="0048627F"/>
    <w:rsid w:val="004874F0"/>
    <w:rsid w:val="00487EEB"/>
    <w:rsid w:val="0049001D"/>
    <w:rsid w:val="004907E6"/>
    <w:rsid w:val="004919AE"/>
    <w:rsid w:val="00493D7C"/>
    <w:rsid w:val="004966BC"/>
    <w:rsid w:val="004A00E6"/>
    <w:rsid w:val="004A0D33"/>
    <w:rsid w:val="004A0FF1"/>
    <w:rsid w:val="004A10E2"/>
    <w:rsid w:val="004A3098"/>
    <w:rsid w:val="004A37C6"/>
    <w:rsid w:val="004A3987"/>
    <w:rsid w:val="004A55C3"/>
    <w:rsid w:val="004A5B87"/>
    <w:rsid w:val="004A5CE8"/>
    <w:rsid w:val="004A630D"/>
    <w:rsid w:val="004A66A0"/>
    <w:rsid w:val="004A7157"/>
    <w:rsid w:val="004B1D38"/>
    <w:rsid w:val="004B317E"/>
    <w:rsid w:val="004B553D"/>
    <w:rsid w:val="004B62BA"/>
    <w:rsid w:val="004B682D"/>
    <w:rsid w:val="004B72CA"/>
    <w:rsid w:val="004B7DBC"/>
    <w:rsid w:val="004C1BF5"/>
    <w:rsid w:val="004C4EFF"/>
    <w:rsid w:val="004C5431"/>
    <w:rsid w:val="004C54E1"/>
    <w:rsid w:val="004C734A"/>
    <w:rsid w:val="004D1A94"/>
    <w:rsid w:val="004D2155"/>
    <w:rsid w:val="004D4611"/>
    <w:rsid w:val="004D6B5A"/>
    <w:rsid w:val="004D6B91"/>
    <w:rsid w:val="004E054C"/>
    <w:rsid w:val="004E1E13"/>
    <w:rsid w:val="004E37BA"/>
    <w:rsid w:val="004F0352"/>
    <w:rsid w:val="004F0780"/>
    <w:rsid w:val="004F0DC4"/>
    <w:rsid w:val="004F0F1C"/>
    <w:rsid w:val="004F543B"/>
    <w:rsid w:val="004F5905"/>
    <w:rsid w:val="004F750F"/>
    <w:rsid w:val="00500B7A"/>
    <w:rsid w:val="005030EF"/>
    <w:rsid w:val="0050599F"/>
    <w:rsid w:val="00505BE3"/>
    <w:rsid w:val="0050794E"/>
    <w:rsid w:val="005130F6"/>
    <w:rsid w:val="005145F6"/>
    <w:rsid w:val="005166C4"/>
    <w:rsid w:val="00520821"/>
    <w:rsid w:val="005214E9"/>
    <w:rsid w:val="00522FA3"/>
    <w:rsid w:val="00526352"/>
    <w:rsid w:val="0052651F"/>
    <w:rsid w:val="00526B85"/>
    <w:rsid w:val="0053056C"/>
    <w:rsid w:val="005307D0"/>
    <w:rsid w:val="005318FF"/>
    <w:rsid w:val="00533651"/>
    <w:rsid w:val="00535879"/>
    <w:rsid w:val="005404D0"/>
    <w:rsid w:val="00540631"/>
    <w:rsid w:val="0054084C"/>
    <w:rsid w:val="005410D8"/>
    <w:rsid w:val="00542EFD"/>
    <w:rsid w:val="0055096B"/>
    <w:rsid w:val="00551FF6"/>
    <w:rsid w:val="005523C7"/>
    <w:rsid w:val="0055429B"/>
    <w:rsid w:val="005555BE"/>
    <w:rsid w:val="00561268"/>
    <w:rsid w:val="00561E02"/>
    <w:rsid w:val="00562602"/>
    <w:rsid w:val="005629EE"/>
    <w:rsid w:val="00562F2E"/>
    <w:rsid w:val="00563BA9"/>
    <w:rsid w:val="005642E6"/>
    <w:rsid w:val="005648F4"/>
    <w:rsid w:val="00564A66"/>
    <w:rsid w:val="0056565B"/>
    <w:rsid w:val="00566666"/>
    <w:rsid w:val="00566B80"/>
    <w:rsid w:val="00567FE1"/>
    <w:rsid w:val="0057191C"/>
    <w:rsid w:val="0057390A"/>
    <w:rsid w:val="00573912"/>
    <w:rsid w:val="0057527D"/>
    <w:rsid w:val="005755B9"/>
    <w:rsid w:val="00576607"/>
    <w:rsid w:val="00577146"/>
    <w:rsid w:val="00582141"/>
    <w:rsid w:val="0058221A"/>
    <w:rsid w:val="0058378A"/>
    <w:rsid w:val="00584511"/>
    <w:rsid w:val="00587D6F"/>
    <w:rsid w:val="0059006C"/>
    <w:rsid w:val="005903DC"/>
    <w:rsid w:val="00590DCE"/>
    <w:rsid w:val="005912A1"/>
    <w:rsid w:val="00591DFE"/>
    <w:rsid w:val="005920D7"/>
    <w:rsid w:val="005928AE"/>
    <w:rsid w:val="00592CB4"/>
    <w:rsid w:val="00592D3C"/>
    <w:rsid w:val="00594022"/>
    <w:rsid w:val="00594225"/>
    <w:rsid w:val="00594A22"/>
    <w:rsid w:val="0059555A"/>
    <w:rsid w:val="005955D2"/>
    <w:rsid w:val="00596953"/>
    <w:rsid w:val="00596D82"/>
    <w:rsid w:val="005972B4"/>
    <w:rsid w:val="005A1098"/>
    <w:rsid w:val="005A1135"/>
    <w:rsid w:val="005A1A9F"/>
    <w:rsid w:val="005A20D9"/>
    <w:rsid w:val="005A22FE"/>
    <w:rsid w:val="005A2555"/>
    <w:rsid w:val="005A50C8"/>
    <w:rsid w:val="005A547A"/>
    <w:rsid w:val="005A5DA1"/>
    <w:rsid w:val="005A6004"/>
    <w:rsid w:val="005A638B"/>
    <w:rsid w:val="005A68A1"/>
    <w:rsid w:val="005B053F"/>
    <w:rsid w:val="005B0610"/>
    <w:rsid w:val="005B1F58"/>
    <w:rsid w:val="005B20AE"/>
    <w:rsid w:val="005B22F4"/>
    <w:rsid w:val="005B24AC"/>
    <w:rsid w:val="005B3BA0"/>
    <w:rsid w:val="005B4298"/>
    <w:rsid w:val="005B4EBC"/>
    <w:rsid w:val="005B67F4"/>
    <w:rsid w:val="005B73EC"/>
    <w:rsid w:val="005C04DC"/>
    <w:rsid w:val="005C0C79"/>
    <w:rsid w:val="005C12D2"/>
    <w:rsid w:val="005C138B"/>
    <w:rsid w:val="005C1A99"/>
    <w:rsid w:val="005C2D2F"/>
    <w:rsid w:val="005C6809"/>
    <w:rsid w:val="005C6FC1"/>
    <w:rsid w:val="005C77BD"/>
    <w:rsid w:val="005D006B"/>
    <w:rsid w:val="005D0F90"/>
    <w:rsid w:val="005D183F"/>
    <w:rsid w:val="005D2615"/>
    <w:rsid w:val="005D268C"/>
    <w:rsid w:val="005D2D64"/>
    <w:rsid w:val="005D390A"/>
    <w:rsid w:val="005D46F8"/>
    <w:rsid w:val="005D4DDA"/>
    <w:rsid w:val="005D6446"/>
    <w:rsid w:val="005D76D4"/>
    <w:rsid w:val="005D7E9B"/>
    <w:rsid w:val="005E057A"/>
    <w:rsid w:val="005E0BCC"/>
    <w:rsid w:val="005E16BA"/>
    <w:rsid w:val="005E1A85"/>
    <w:rsid w:val="005E4C8D"/>
    <w:rsid w:val="005E60C8"/>
    <w:rsid w:val="005E6232"/>
    <w:rsid w:val="005E66D8"/>
    <w:rsid w:val="005F1206"/>
    <w:rsid w:val="005F2323"/>
    <w:rsid w:val="005F7329"/>
    <w:rsid w:val="006004DE"/>
    <w:rsid w:val="00600F27"/>
    <w:rsid w:val="00607596"/>
    <w:rsid w:val="00612DCD"/>
    <w:rsid w:val="00612F9B"/>
    <w:rsid w:val="00613A29"/>
    <w:rsid w:val="00614C79"/>
    <w:rsid w:val="006153F3"/>
    <w:rsid w:val="00615DEF"/>
    <w:rsid w:val="00615F6B"/>
    <w:rsid w:val="00616450"/>
    <w:rsid w:val="00617ECB"/>
    <w:rsid w:val="00620CFA"/>
    <w:rsid w:val="00620D09"/>
    <w:rsid w:val="00621412"/>
    <w:rsid w:val="00624109"/>
    <w:rsid w:val="00624AD8"/>
    <w:rsid w:val="00625020"/>
    <w:rsid w:val="00625DEC"/>
    <w:rsid w:val="00626D69"/>
    <w:rsid w:val="0062780D"/>
    <w:rsid w:val="00631943"/>
    <w:rsid w:val="00636A67"/>
    <w:rsid w:val="00636FFF"/>
    <w:rsid w:val="00643038"/>
    <w:rsid w:val="0064340F"/>
    <w:rsid w:val="00644611"/>
    <w:rsid w:val="00644E5D"/>
    <w:rsid w:val="0064718C"/>
    <w:rsid w:val="00650F93"/>
    <w:rsid w:val="006527C8"/>
    <w:rsid w:val="00653BA8"/>
    <w:rsid w:val="00654A7F"/>
    <w:rsid w:val="00655735"/>
    <w:rsid w:val="00660F73"/>
    <w:rsid w:val="00661087"/>
    <w:rsid w:val="006619FA"/>
    <w:rsid w:val="00661A0D"/>
    <w:rsid w:val="00662ABD"/>
    <w:rsid w:val="0066300B"/>
    <w:rsid w:val="00663A5B"/>
    <w:rsid w:val="006640BF"/>
    <w:rsid w:val="006643F2"/>
    <w:rsid w:val="0066519F"/>
    <w:rsid w:val="00667721"/>
    <w:rsid w:val="00667906"/>
    <w:rsid w:val="00670BDF"/>
    <w:rsid w:val="00670DEC"/>
    <w:rsid w:val="006746FB"/>
    <w:rsid w:val="006765CE"/>
    <w:rsid w:val="006777E4"/>
    <w:rsid w:val="00682C45"/>
    <w:rsid w:val="00683420"/>
    <w:rsid w:val="00683B48"/>
    <w:rsid w:val="00684358"/>
    <w:rsid w:val="00685742"/>
    <w:rsid w:val="00686629"/>
    <w:rsid w:val="006872E1"/>
    <w:rsid w:val="00687318"/>
    <w:rsid w:val="006873AE"/>
    <w:rsid w:val="00692FBB"/>
    <w:rsid w:val="00697169"/>
    <w:rsid w:val="006976E2"/>
    <w:rsid w:val="00697C50"/>
    <w:rsid w:val="006A0882"/>
    <w:rsid w:val="006A2233"/>
    <w:rsid w:val="006A3280"/>
    <w:rsid w:val="006A3A91"/>
    <w:rsid w:val="006A3B8F"/>
    <w:rsid w:val="006A4D29"/>
    <w:rsid w:val="006A5D5F"/>
    <w:rsid w:val="006A6526"/>
    <w:rsid w:val="006B1077"/>
    <w:rsid w:val="006B17CC"/>
    <w:rsid w:val="006B25F8"/>
    <w:rsid w:val="006B28D6"/>
    <w:rsid w:val="006B2914"/>
    <w:rsid w:val="006B3BB5"/>
    <w:rsid w:val="006B40C9"/>
    <w:rsid w:val="006B4DFC"/>
    <w:rsid w:val="006B60B6"/>
    <w:rsid w:val="006B6B79"/>
    <w:rsid w:val="006C6041"/>
    <w:rsid w:val="006C67EB"/>
    <w:rsid w:val="006C6874"/>
    <w:rsid w:val="006C775F"/>
    <w:rsid w:val="006C7CCC"/>
    <w:rsid w:val="006D094A"/>
    <w:rsid w:val="006D2046"/>
    <w:rsid w:val="006D2775"/>
    <w:rsid w:val="006D3634"/>
    <w:rsid w:val="006D3C5E"/>
    <w:rsid w:val="006D3D4F"/>
    <w:rsid w:val="006D4818"/>
    <w:rsid w:val="006D4911"/>
    <w:rsid w:val="006D4C97"/>
    <w:rsid w:val="006D725D"/>
    <w:rsid w:val="006D7C14"/>
    <w:rsid w:val="006E0064"/>
    <w:rsid w:val="006E32A0"/>
    <w:rsid w:val="006E70AB"/>
    <w:rsid w:val="006E77E6"/>
    <w:rsid w:val="006F01FC"/>
    <w:rsid w:val="006F395D"/>
    <w:rsid w:val="006F4254"/>
    <w:rsid w:val="006F5561"/>
    <w:rsid w:val="006F5D53"/>
    <w:rsid w:val="006F6563"/>
    <w:rsid w:val="006F6944"/>
    <w:rsid w:val="00700518"/>
    <w:rsid w:val="0070358B"/>
    <w:rsid w:val="00705BD3"/>
    <w:rsid w:val="00711602"/>
    <w:rsid w:val="0071299B"/>
    <w:rsid w:val="00712BE3"/>
    <w:rsid w:val="00713FDA"/>
    <w:rsid w:val="007140E8"/>
    <w:rsid w:val="00715E4C"/>
    <w:rsid w:val="00716FF8"/>
    <w:rsid w:val="007172CD"/>
    <w:rsid w:val="00720AC4"/>
    <w:rsid w:val="00721CF1"/>
    <w:rsid w:val="00721FC1"/>
    <w:rsid w:val="00722957"/>
    <w:rsid w:val="0072361E"/>
    <w:rsid w:val="00726120"/>
    <w:rsid w:val="00726CE8"/>
    <w:rsid w:val="007278EF"/>
    <w:rsid w:val="00732855"/>
    <w:rsid w:val="00732864"/>
    <w:rsid w:val="00733A87"/>
    <w:rsid w:val="00733AF4"/>
    <w:rsid w:val="00734B43"/>
    <w:rsid w:val="00736F0C"/>
    <w:rsid w:val="00737D5B"/>
    <w:rsid w:val="007404A4"/>
    <w:rsid w:val="00740EC6"/>
    <w:rsid w:val="0074112B"/>
    <w:rsid w:val="00741217"/>
    <w:rsid w:val="00741BB0"/>
    <w:rsid w:val="0074344F"/>
    <w:rsid w:val="00743670"/>
    <w:rsid w:val="007438D3"/>
    <w:rsid w:val="00745ECC"/>
    <w:rsid w:val="007503C2"/>
    <w:rsid w:val="007506BA"/>
    <w:rsid w:val="007507A5"/>
    <w:rsid w:val="00750B26"/>
    <w:rsid w:val="00751AD7"/>
    <w:rsid w:val="00752220"/>
    <w:rsid w:val="00752AD5"/>
    <w:rsid w:val="007551FD"/>
    <w:rsid w:val="00757D27"/>
    <w:rsid w:val="00760FF6"/>
    <w:rsid w:val="007613A6"/>
    <w:rsid w:val="007639A9"/>
    <w:rsid w:val="007640AE"/>
    <w:rsid w:val="00764115"/>
    <w:rsid w:val="0076494E"/>
    <w:rsid w:val="00766534"/>
    <w:rsid w:val="007665CE"/>
    <w:rsid w:val="00766DC1"/>
    <w:rsid w:val="00766F6D"/>
    <w:rsid w:val="007676CB"/>
    <w:rsid w:val="00767BD7"/>
    <w:rsid w:val="0077200C"/>
    <w:rsid w:val="007722EB"/>
    <w:rsid w:val="00774E47"/>
    <w:rsid w:val="00775337"/>
    <w:rsid w:val="007764FE"/>
    <w:rsid w:val="00776AA9"/>
    <w:rsid w:val="00777034"/>
    <w:rsid w:val="007770F8"/>
    <w:rsid w:val="007811F7"/>
    <w:rsid w:val="0078187F"/>
    <w:rsid w:val="00781F9E"/>
    <w:rsid w:val="0078239D"/>
    <w:rsid w:val="00782600"/>
    <w:rsid w:val="00782A33"/>
    <w:rsid w:val="007831F5"/>
    <w:rsid w:val="00784914"/>
    <w:rsid w:val="00784990"/>
    <w:rsid w:val="00785DC7"/>
    <w:rsid w:val="0078664B"/>
    <w:rsid w:val="0078719B"/>
    <w:rsid w:val="00787AC9"/>
    <w:rsid w:val="0079023B"/>
    <w:rsid w:val="00791005"/>
    <w:rsid w:val="00792E02"/>
    <w:rsid w:val="00793958"/>
    <w:rsid w:val="00793A5D"/>
    <w:rsid w:val="00794D57"/>
    <w:rsid w:val="00795DA1"/>
    <w:rsid w:val="007961E9"/>
    <w:rsid w:val="007969A6"/>
    <w:rsid w:val="00797D08"/>
    <w:rsid w:val="00797EA2"/>
    <w:rsid w:val="00797FEC"/>
    <w:rsid w:val="007A05D5"/>
    <w:rsid w:val="007A18DE"/>
    <w:rsid w:val="007A20BC"/>
    <w:rsid w:val="007A2811"/>
    <w:rsid w:val="007A42EA"/>
    <w:rsid w:val="007A4956"/>
    <w:rsid w:val="007A559D"/>
    <w:rsid w:val="007A63F4"/>
    <w:rsid w:val="007A6498"/>
    <w:rsid w:val="007B26AD"/>
    <w:rsid w:val="007B4D89"/>
    <w:rsid w:val="007B50D6"/>
    <w:rsid w:val="007B576E"/>
    <w:rsid w:val="007B601F"/>
    <w:rsid w:val="007B61CA"/>
    <w:rsid w:val="007B6213"/>
    <w:rsid w:val="007B6B86"/>
    <w:rsid w:val="007B79CB"/>
    <w:rsid w:val="007C1879"/>
    <w:rsid w:val="007C2330"/>
    <w:rsid w:val="007C3A65"/>
    <w:rsid w:val="007C436C"/>
    <w:rsid w:val="007C5D0A"/>
    <w:rsid w:val="007C64BF"/>
    <w:rsid w:val="007C736B"/>
    <w:rsid w:val="007D15B7"/>
    <w:rsid w:val="007D187C"/>
    <w:rsid w:val="007D4463"/>
    <w:rsid w:val="007D6054"/>
    <w:rsid w:val="007D6BA0"/>
    <w:rsid w:val="007D7457"/>
    <w:rsid w:val="007D79CD"/>
    <w:rsid w:val="007D7D33"/>
    <w:rsid w:val="007E0956"/>
    <w:rsid w:val="007E1121"/>
    <w:rsid w:val="007E1BEA"/>
    <w:rsid w:val="007E27EB"/>
    <w:rsid w:val="007E3F22"/>
    <w:rsid w:val="007E4154"/>
    <w:rsid w:val="007E47AB"/>
    <w:rsid w:val="007E712A"/>
    <w:rsid w:val="007E74B7"/>
    <w:rsid w:val="007E79A6"/>
    <w:rsid w:val="007E7A5A"/>
    <w:rsid w:val="007F46D5"/>
    <w:rsid w:val="007F6201"/>
    <w:rsid w:val="007F67AA"/>
    <w:rsid w:val="0080036D"/>
    <w:rsid w:val="008043EE"/>
    <w:rsid w:val="00804F98"/>
    <w:rsid w:val="0080547C"/>
    <w:rsid w:val="00807DF2"/>
    <w:rsid w:val="00810909"/>
    <w:rsid w:val="00812329"/>
    <w:rsid w:val="008129A4"/>
    <w:rsid w:val="00815A95"/>
    <w:rsid w:val="0081747C"/>
    <w:rsid w:val="008178A5"/>
    <w:rsid w:val="00820431"/>
    <w:rsid w:val="00821504"/>
    <w:rsid w:val="008220DE"/>
    <w:rsid w:val="008248CF"/>
    <w:rsid w:val="00824A50"/>
    <w:rsid w:val="00826D92"/>
    <w:rsid w:val="0083180A"/>
    <w:rsid w:val="0083200C"/>
    <w:rsid w:val="008320EF"/>
    <w:rsid w:val="00833A9A"/>
    <w:rsid w:val="00835993"/>
    <w:rsid w:val="0083622F"/>
    <w:rsid w:val="00836FDF"/>
    <w:rsid w:val="008370AE"/>
    <w:rsid w:val="0084018F"/>
    <w:rsid w:val="00841F89"/>
    <w:rsid w:val="00846861"/>
    <w:rsid w:val="00846F90"/>
    <w:rsid w:val="00847385"/>
    <w:rsid w:val="0085040F"/>
    <w:rsid w:val="0085068F"/>
    <w:rsid w:val="00851F16"/>
    <w:rsid w:val="00852729"/>
    <w:rsid w:val="00852973"/>
    <w:rsid w:val="00852F05"/>
    <w:rsid w:val="00852FFD"/>
    <w:rsid w:val="00854804"/>
    <w:rsid w:val="00854995"/>
    <w:rsid w:val="00856A29"/>
    <w:rsid w:val="00856D32"/>
    <w:rsid w:val="00863287"/>
    <w:rsid w:val="00863D06"/>
    <w:rsid w:val="00864117"/>
    <w:rsid w:val="00865BB9"/>
    <w:rsid w:val="008664D5"/>
    <w:rsid w:val="00870FDD"/>
    <w:rsid w:val="008710CC"/>
    <w:rsid w:val="00871442"/>
    <w:rsid w:val="0087615A"/>
    <w:rsid w:val="0087667D"/>
    <w:rsid w:val="0087693E"/>
    <w:rsid w:val="008778BB"/>
    <w:rsid w:val="00881A43"/>
    <w:rsid w:val="00882F0F"/>
    <w:rsid w:val="00885090"/>
    <w:rsid w:val="008857A9"/>
    <w:rsid w:val="00886E71"/>
    <w:rsid w:val="0088725A"/>
    <w:rsid w:val="008873F7"/>
    <w:rsid w:val="00891035"/>
    <w:rsid w:val="00891ABE"/>
    <w:rsid w:val="00891D46"/>
    <w:rsid w:val="00893534"/>
    <w:rsid w:val="00894C95"/>
    <w:rsid w:val="00896068"/>
    <w:rsid w:val="00896D5C"/>
    <w:rsid w:val="00897A10"/>
    <w:rsid w:val="008A1559"/>
    <w:rsid w:val="008A2802"/>
    <w:rsid w:val="008A2A43"/>
    <w:rsid w:val="008A54E4"/>
    <w:rsid w:val="008A6277"/>
    <w:rsid w:val="008A7E36"/>
    <w:rsid w:val="008B20AA"/>
    <w:rsid w:val="008B234E"/>
    <w:rsid w:val="008B237F"/>
    <w:rsid w:val="008B244B"/>
    <w:rsid w:val="008B39D2"/>
    <w:rsid w:val="008B4A44"/>
    <w:rsid w:val="008B5085"/>
    <w:rsid w:val="008B50F9"/>
    <w:rsid w:val="008B5334"/>
    <w:rsid w:val="008B58A4"/>
    <w:rsid w:val="008B6136"/>
    <w:rsid w:val="008C0188"/>
    <w:rsid w:val="008C0AAC"/>
    <w:rsid w:val="008C175E"/>
    <w:rsid w:val="008C25B3"/>
    <w:rsid w:val="008C27F4"/>
    <w:rsid w:val="008C42BC"/>
    <w:rsid w:val="008C4735"/>
    <w:rsid w:val="008C49EF"/>
    <w:rsid w:val="008C4BEF"/>
    <w:rsid w:val="008C5535"/>
    <w:rsid w:val="008C5B34"/>
    <w:rsid w:val="008C72DE"/>
    <w:rsid w:val="008D124C"/>
    <w:rsid w:val="008D3BA6"/>
    <w:rsid w:val="008D4A71"/>
    <w:rsid w:val="008D7614"/>
    <w:rsid w:val="008E2419"/>
    <w:rsid w:val="008E4156"/>
    <w:rsid w:val="008E5484"/>
    <w:rsid w:val="008E63F2"/>
    <w:rsid w:val="008E7E25"/>
    <w:rsid w:val="008F028A"/>
    <w:rsid w:val="008F3EE1"/>
    <w:rsid w:val="008F4092"/>
    <w:rsid w:val="008F44CC"/>
    <w:rsid w:val="008F50FA"/>
    <w:rsid w:val="008F5CE6"/>
    <w:rsid w:val="008F6AD5"/>
    <w:rsid w:val="009026DC"/>
    <w:rsid w:val="00902CAE"/>
    <w:rsid w:val="009035DD"/>
    <w:rsid w:val="00903824"/>
    <w:rsid w:val="00903C9A"/>
    <w:rsid w:val="00903CC3"/>
    <w:rsid w:val="00904302"/>
    <w:rsid w:val="0090478F"/>
    <w:rsid w:val="009058FB"/>
    <w:rsid w:val="00906BF3"/>
    <w:rsid w:val="0090749D"/>
    <w:rsid w:val="00911D10"/>
    <w:rsid w:val="00911D64"/>
    <w:rsid w:val="009122F6"/>
    <w:rsid w:val="009125E0"/>
    <w:rsid w:val="00914391"/>
    <w:rsid w:val="00915147"/>
    <w:rsid w:val="009151A0"/>
    <w:rsid w:val="009154E8"/>
    <w:rsid w:val="00915F46"/>
    <w:rsid w:val="00916685"/>
    <w:rsid w:val="00916D25"/>
    <w:rsid w:val="00917685"/>
    <w:rsid w:val="009176EA"/>
    <w:rsid w:val="0091780F"/>
    <w:rsid w:val="00920E6E"/>
    <w:rsid w:val="009222AC"/>
    <w:rsid w:val="009222C9"/>
    <w:rsid w:val="00922AE5"/>
    <w:rsid w:val="0092322C"/>
    <w:rsid w:val="00923E63"/>
    <w:rsid w:val="00924092"/>
    <w:rsid w:val="00925AE0"/>
    <w:rsid w:val="00927440"/>
    <w:rsid w:val="00927C27"/>
    <w:rsid w:val="00931BC1"/>
    <w:rsid w:val="00931F10"/>
    <w:rsid w:val="00934059"/>
    <w:rsid w:val="009340EB"/>
    <w:rsid w:val="00934836"/>
    <w:rsid w:val="009356F0"/>
    <w:rsid w:val="00936F2D"/>
    <w:rsid w:val="00937F34"/>
    <w:rsid w:val="00941F34"/>
    <w:rsid w:val="00942732"/>
    <w:rsid w:val="00943892"/>
    <w:rsid w:val="00945603"/>
    <w:rsid w:val="009461BF"/>
    <w:rsid w:val="00946E94"/>
    <w:rsid w:val="009471B4"/>
    <w:rsid w:val="00952339"/>
    <w:rsid w:val="0095473D"/>
    <w:rsid w:val="00955AD2"/>
    <w:rsid w:val="00956F46"/>
    <w:rsid w:val="0095769C"/>
    <w:rsid w:val="0096069F"/>
    <w:rsid w:val="009639D7"/>
    <w:rsid w:val="00963CF7"/>
    <w:rsid w:val="00964C3E"/>
    <w:rsid w:val="00964EF6"/>
    <w:rsid w:val="0096543A"/>
    <w:rsid w:val="00965AAD"/>
    <w:rsid w:val="009661E6"/>
    <w:rsid w:val="009669E9"/>
    <w:rsid w:val="00966A5A"/>
    <w:rsid w:val="00967B3C"/>
    <w:rsid w:val="00974581"/>
    <w:rsid w:val="009755AF"/>
    <w:rsid w:val="00976223"/>
    <w:rsid w:val="009762D8"/>
    <w:rsid w:val="009765FE"/>
    <w:rsid w:val="00976980"/>
    <w:rsid w:val="00981732"/>
    <w:rsid w:val="0098206A"/>
    <w:rsid w:val="0098216A"/>
    <w:rsid w:val="00982C75"/>
    <w:rsid w:val="00983BF3"/>
    <w:rsid w:val="009842B4"/>
    <w:rsid w:val="00984AD0"/>
    <w:rsid w:val="00985399"/>
    <w:rsid w:val="00985666"/>
    <w:rsid w:val="0098644A"/>
    <w:rsid w:val="0098674D"/>
    <w:rsid w:val="009914BB"/>
    <w:rsid w:val="009930E7"/>
    <w:rsid w:val="00997A5C"/>
    <w:rsid w:val="009A00A4"/>
    <w:rsid w:val="009A00C6"/>
    <w:rsid w:val="009A0801"/>
    <w:rsid w:val="009A5175"/>
    <w:rsid w:val="009A5E54"/>
    <w:rsid w:val="009B08DC"/>
    <w:rsid w:val="009B0BFC"/>
    <w:rsid w:val="009B1386"/>
    <w:rsid w:val="009B2912"/>
    <w:rsid w:val="009B401B"/>
    <w:rsid w:val="009B4468"/>
    <w:rsid w:val="009B539B"/>
    <w:rsid w:val="009B5767"/>
    <w:rsid w:val="009B67B9"/>
    <w:rsid w:val="009B6A3A"/>
    <w:rsid w:val="009B77CD"/>
    <w:rsid w:val="009C10EB"/>
    <w:rsid w:val="009C17D5"/>
    <w:rsid w:val="009C2D00"/>
    <w:rsid w:val="009C2DE2"/>
    <w:rsid w:val="009C3E10"/>
    <w:rsid w:val="009C5518"/>
    <w:rsid w:val="009C5E3D"/>
    <w:rsid w:val="009C780D"/>
    <w:rsid w:val="009D0E68"/>
    <w:rsid w:val="009D142E"/>
    <w:rsid w:val="009D29E2"/>
    <w:rsid w:val="009D4A98"/>
    <w:rsid w:val="009D62D1"/>
    <w:rsid w:val="009D6865"/>
    <w:rsid w:val="009E0D11"/>
    <w:rsid w:val="009E26B0"/>
    <w:rsid w:val="009E3956"/>
    <w:rsid w:val="009E586B"/>
    <w:rsid w:val="009E6B74"/>
    <w:rsid w:val="009E7502"/>
    <w:rsid w:val="009E7A4D"/>
    <w:rsid w:val="009E7AB1"/>
    <w:rsid w:val="009E7AF1"/>
    <w:rsid w:val="009F0CE8"/>
    <w:rsid w:val="009F0D87"/>
    <w:rsid w:val="009F166D"/>
    <w:rsid w:val="009F2A92"/>
    <w:rsid w:val="009F4518"/>
    <w:rsid w:val="009F4CEA"/>
    <w:rsid w:val="009F5787"/>
    <w:rsid w:val="009F736D"/>
    <w:rsid w:val="00A006A1"/>
    <w:rsid w:val="00A01329"/>
    <w:rsid w:val="00A0199C"/>
    <w:rsid w:val="00A020AA"/>
    <w:rsid w:val="00A02562"/>
    <w:rsid w:val="00A03174"/>
    <w:rsid w:val="00A03F48"/>
    <w:rsid w:val="00A0447B"/>
    <w:rsid w:val="00A06E74"/>
    <w:rsid w:val="00A106B0"/>
    <w:rsid w:val="00A10916"/>
    <w:rsid w:val="00A11D7C"/>
    <w:rsid w:val="00A1334F"/>
    <w:rsid w:val="00A1432A"/>
    <w:rsid w:val="00A156FB"/>
    <w:rsid w:val="00A15EA3"/>
    <w:rsid w:val="00A165BA"/>
    <w:rsid w:val="00A22106"/>
    <w:rsid w:val="00A2261C"/>
    <w:rsid w:val="00A22FCA"/>
    <w:rsid w:val="00A23187"/>
    <w:rsid w:val="00A23517"/>
    <w:rsid w:val="00A2446C"/>
    <w:rsid w:val="00A26345"/>
    <w:rsid w:val="00A26B36"/>
    <w:rsid w:val="00A2715E"/>
    <w:rsid w:val="00A27B4A"/>
    <w:rsid w:val="00A3558B"/>
    <w:rsid w:val="00A360B4"/>
    <w:rsid w:val="00A378B3"/>
    <w:rsid w:val="00A420F4"/>
    <w:rsid w:val="00A43D75"/>
    <w:rsid w:val="00A4439E"/>
    <w:rsid w:val="00A44E59"/>
    <w:rsid w:val="00A46277"/>
    <w:rsid w:val="00A46C02"/>
    <w:rsid w:val="00A470C5"/>
    <w:rsid w:val="00A51943"/>
    <w:rsid w:val="00A527C6"/>
    <w:rsid w:val="00A530A1"/>
    <w:rsid w:val="00A530C4"/>
    <w:rsid w:val="00A537B4"/>
    <w:rsid w:val="00A548B0"/>
    <w:rsid w:val="00A54D24"/>
    <w:rsid w:val="00A553C6"/>
    <w:rsid w:val="00A56F5E"/>
    <w:rsid w:val="00A6027F"/>
    <w:rsid w:val="00A604AC"/>
    <w:rsid w:val="00A60C4C"/>
    <w:rsid w:val="00A638F0"/>
    <w:rsid w:val="00A63F29"/>
    <w:rsid w:val="00A679CB"/>
    <w:rsid w:val="00A713E5"/>
    <w:rsid w:val="00A72414"/>
    <w:rsid w:val="00A72CEE"/>
    <w:rsid w:val="00A730B0"/>
    <w:rsid w:val="00A766D6"/>
    <w:rsid w:val="00A81082"/>
    <w:rsid w:val="00A81775"/>
    <w:rsid w:val="00A817EB"/>
    <w:rsid w:val="00A87E78"/>
    <w:rsid w:val="00A9278E"/>
    <w:rsid w:val="00A92B3B"/>
    <w:rsid w:val="00A93108"/>
    <w:rsid w:val="00A952C6"/>
    <w:rsid w:val="00A962A8"/>
    <w:rsid w:val="00A96AA5"/>
    <w:rsid w:val="00A96D95"/>
    <w:rsid w:val="00AA102C"/>
    <w:rsid w:val="00AA23CF"/>
    <w:rsid w:val="00AA6CDC"/>
    <w:rsid w:val="00AB0A7A"/>
    <w:rsid w:val="00AB4CF5"/>
    <w:rsid w:val="00AB503B"/>
    <w:rsid w:val="00AB670D"/>
    <w:rsid w:val="00AC028D"/>
    <w:rsid w:val="00AC1FFD"/>
    <w:rsid w:val="00AC46B1"/>
    <w:rsid w:val="00AC5F85"/>
    <w:rsid w:val="00AC65BB"/>
    <w:rsid w:val="00AC65D5"/>
    <w:rsid w:val="00AC76C5"/>
    <w:rsid w:val="00AD1746"/>
    <w:rsid w:val="00AD3700"/>
    <w:rsid w:val="00AD3A50"/>
    <w:rsid w:val="00AD3BB7"/>
    <w:rsid w:val="00AD425A"/>
    <w:rsid w:val="00AD48B1"/>
    <w:rsid w:val="00AD51D9"/>
    <w:rsid w:val="00AE1C58"/>
    <w:rsid w:val="00AE1CF1"/>
    <w:rsid w:val="00AE3459"/>
    <w:rsid w:val="00AE50FB"/>
    <w:rsid w:val="00AE5DA0"/>
    <w:rsid w:val="00AE766E"/>
    <w:rsid w:val="00AE7911"/>
    <w:rsid w:val="00AF0190"/>
    <w:rsid w:val="00AF0600"/>
    <w:rsid w:val="00AF309E"/>
    <w:rsid w:val="00AF4098"/>
    <w:rsid w:val="00AF41B9"/>
    <w:rsid w:val="00AF49C0"/>
    <w:rsid w:val="00AF4D96"/>
    <w:rsid w:val="00AF52D7"/>
    <w:rsid w:val="00B0033E"/>
    <w:rsid w:val="00B00F77"/>
    <w:rsid w:val="00B01D58"/>
    <w:rsid w:val="00B01F13"/>
    <w:rsid w:val="00B01F54"/>
    <w:rsid w:val="00B022D9"/>
    <w:rsid w:val="00B02FCC"/>
    <w:rsid w:val="00B0580C"/>
    <w:rsid w:val="00B05B72"/>
    <w:rsid w:val="00B05E1E"/>
    <w:rsid w:val="00B06325"/>
    <w:rsid w:val="00B0714B"/>
    <w:rsid w:val="00B07681"/>
    <w:rsid w:val="00B10C76"/>
    <w:rsid w:val="00B11BE4"/>
    <w:rsid w:val="00B12CF2"/>
    <w:rsid w:val="00B13860"/>
    <w:rsid w:val="00B13D50"/>
    <w:rsid w:val="00B1426A"/>
    <w:rsid w:val="00B14600"/>
    <w:rsid w:val="00B206C8"/>
    <w:rsid w:val="00B2300F"/>
    <w:rsid w:val="00B23D0B"/>
    <w:rsid w:val="00B2749B"/>
    <w:rsid w:val="00B2772D"/>
    <w:rsid w:val="00B27CB3"/>
    <w:rsid w:val="00B27E4E"/>
    <w:rsid w:val="00B32909"/>
    <w:rsid w:val="00B32C48"/>
    <w:rsid w:val="00B32E2E"/>
    <w:rsid w:val="00B339D2"/>
    <w:rsid w:val="00B3541D"/>
    <w:rsid w:val="00B37ABC"/>
    <w:rsid w:val="00B40727"/>
    <w:rsid w:val="00B40A0D"/>
    <w:rsid w:val="00B4212C"/>
    <w:rsid w:val="00B4301F"/>
    <w:rsid w:val="00B4335A"/>
    <w:rsid w:val="00B447AD"/>
    <w:rsid w:val="00B45530"/>
    <w:rsid w:val="00B45835"/>
    <w:rsid w:val="00B46322"/>
    <w:rsid w:val="00B46CBE"/>
    <w:rsid w:val="00B501D0"/>
    <w:rsid w:val="00B50DF9"/>
    <w:rsid w:val="00B51E59"/>
    <w:rsid w:val="00B527F9"/>
    <w:rsid w:val="00B53295"/>
    <w:rsid w:val="00B53353"/>
    <w:rsid w:val="00B53DC7"/>
    <w:rsid w:val="00B54ABE"/>
    <w:rsid w:val="00B5501C"/>
    <w:rsid w:val="00B5502F"/>
    <w:rsid w:val="00B55FA4"/>
    <w:rsid w:val="00B56056"/>
    <w:rsid w:val="00B56D60"/>
    <w:rsid w:val="00B614D4"/>
    <w:rsid w:val="00B6175D"/>
    <w:rsid w:val="00B627DE"/>
    <w:rsid w:val="00B62AD2"/>
    <w:rsid w:val="00B62BC8"/>
    <w:rsid w:val="00B64306"/>
    <w:rsid w:val="00B65A00"/>
    <w:rsid w:val="00B65CF5"/>
    <w:rsid w:val="00B662A7"/>
    <w:rsid w:val="00B67574"/>
    <w:rsid w:val="00B705EF"/>
    <w:rsid w:val="00B71AC7"/>
    <w:rsid w:val="00B731A5"/>
    <w:rsid w:val="00B74CC4"/>
    <w:rsid w:val="00B74E9E"/>
    <w:rsid w:val="00B750FD"/>
    <w:rsid w:val="00B754AA"/>
    <w:rsid w:val="00B75D77"/>
    <w:rsid w:val="00B770A4"/>
    <w:rsid w:val="00B77664"/>
    <w:rsid w:val="00B776CD"/>
    <w:rsid w:val="00B81D83"/>
    <w:rsid w:val="00B82121"/>
    <w:rsid w:val="00B8319B"/>
    <w:rsid w:val="00B83C08"/>
    <w:rsid w:val="00B849DF"/>
    <w:rsid w:val="00B8522D"/>
    <w:rsid w:val="00B8533C"/>
    <w:rsid w:val="00B90042"/>
    <w:rsid w:val="00B9056F"/>
    <w:rsid w:val="00B90F85"/>
    <w:rsid w:val="00B914D7"/>
    <w:rsid w:val="00B9155B"/>
    <w:rsid w:val="00B91E88"/>
    <w:rsid w:val="00B91F03"/>
    <w:rsid w:val="00B945CA"/>
    <w:rsid w:val="00B94F11"/>
    <w:rsid w:val="00B960A8"/>
    <w:rsid w:val="00B960E5"/>
    <w:rsid w:val="00BA0A76"/>
    <w:rsid w:val="00BA0D63"/>
    <w:rsid w:val="00BA518A"/>
    <w:rsid w:val="00BA7E18"/>
    <w:rsid w:val="00BB1A25"/>
    <w:rsid w:val="00BB24A6"/>
    <w:rsid w:val="00BB43D2"/>
    <w:rsid w:val="00BB47C1"/>
    <w:rsid w:val="00BB5EC3"/>
    <w:rsid w:val="00BB7A0C"/>
    <w:rsid w:val="00BC046F"/>
    <w:rsid w:val="00BC19B3"/>
    <w:rsid w:val="00BC275C"/>
    <w:rsid w:val="00BC4A70"/>
    <w:rsid w:val="00BC4B42"/>
    <w:rsid w:val="00BC620E"/>
    <w:rsid w:val="00BC633D"/>
    <w:rsid w:val="00BD37FA"/>
    <w:rsid w:val="00BD5A0D"/>
    <w:rsid w:val="00BD734C"/>
    <w:rsid w:val="00BE18D1"/>
    <w:rsid w:val="00BE1F2F"/>
    <w:rsid w:val="00BE4B95"/>
    <w:rsid w:val="00BE5668"/>
    <w:rsid w:val="00BE65F6"/>
    <w:rsid w:val="00BE66C5"/>
    <w:rsid w:val="00BE70DC"/>
    <w:rsid w:val="00BE76D2"/>
    <w:rsid w:val="00BE7C2E"/>
    <w:rsid w:val="00BF000C"/>
    <w:rsid w:val="00BF0254"/>
    <w:rsid w:val="00BF0288"/>
    <w:rsid w:val="00BF2EE1"/>
    <w:rsid w:val="00BF532A"/>
    <w:rsid w:val="00BF60C0"/>
    <w:rsid w:val="00BF7E7E"/>
    <w:rsid w:val="00C002A6"/>
    <w:rsid w:val="00C00815"/>
    <w:rsid w:val="00C00BE1"/>
    <w:rsid w:val="00C010BC"/>
    <w:rsid w:val="00C037AD"/>
    <w:rsid w:val="00C03B4D"/>
    <w:rsid w:val="00C03BC4"/>
    <w:rsid w:val="00C04012"/>
    <w:rsid w:val="00C0462F"/>
    <w:rsid w:val="00C04F30"/>
    <w:rsid w:val="00C065A5"/>
    <w:rsid w:val="00C07326"/>
    <w:rsid w:val="00C10742"/>
    <w:rsid w:val="00C1380A"/>
    <w:rsid w:val="00C1478C"/>
    <w:rsid w:val="00C14A3D"/>
    <w:rsid w:val="00C14DBC"/>
    <w:rsid w:val="00C15143"/>
    <w:rsid w:val="00C15858"/>
    <w:rsid w:val="00C15D09"/>
    <w:rsid w:val="00C169FD"/>
    <w:rsid w:val="00C17AEA"/>
    <w:rsid w:val="00C17C4C"/>
    <w:rsid w:val="00C17D74"/>
    <w:rsid w:val="00C204E4"/>
    <w:rsid w:val="00C20B95"/>
    <w:rsid w:val="00C20C8F"/>
    <w:rsid w:val="00C23695"/>
    <w:rsid w:val="00C23842"/>
    <w:rsid w:val="00C2444B"/>
    <w:rsid w:val="00C2609C"/>
    <w:rsid w:val="00C31213"/>
    <w:rsid w:val="00C32CF1"/>
    <w:rsid w:val="00C33C83"/>
    <w:rsid w:val="00C36937"/>
    <w:rsid w:val="00C36C6F"/>
    <w:rsid w:val="00C37543"/>
    <w:rsid w:val="00C40ACD"/>
    <w:rsid w:val="00C42A86"/>
    <w:rsid w:val="00C4326A"/>
    <w:rsid w:val="00C442A6"/>
    <w:rsid w:val="00C45FD7"/>
    <w:rsid w:val="00C468AB"/>
    <w:rsid w:val="00C46968"/>
    <w:rsid w:val="00C50F89"/>
    <w:rsid w:val="00C5214C"/>
    <w:rsid w:val="00C52C55"/>
    <w:rsid w:val="00C53992"/>
    <w:rsid w:val="00C53A06"/>
    <w:rsid w:val="00C53B7B"/>
    <w:rsid w:val="00C549F3"/>
    <w:rsid w:val="00C55E12"/>
    <w:rsid w:val="00C6025B"/>
    <w:rsid w:val="00C60DEF"/>
    <w:rsid w:val="00C60FA8"/>
    <w:rsid w:val="00C61141"/>
    <w:rsid w:val="00C61468"/>
    <w:rsid w:val="00C61D01"/>
    <w:rsid w:val="00C61E6D"/>
    <w:rsid w:val="00C63136"/>
    <w:rsid w:val="00C64776"/>
    <w:rsid w:val="00C64F41"/>
    <w:rsid w:val="00C66F43"/>
    <w:rsid w:val="00C67DB4"/>
    <w:rsid w:val="00C70640"/>
    <w:rsid w:val="00C710C8"/>
    <w:rsid w:val="00C7163C"/>
    <w:rsid w:val="00C72BA2"/>
    <w:rsid w:val="00C736B7"/>
    <w:rsid w:val="00C73A0A"/>
    <w:rsid w:val="00C73EFA"/>
    <w:rsid w:val="00C75DFD"/>
    <w:rsid w:val="00C8008E"/>
    <w:rsid w:val="00C8034D"/>
    <w:rsid w:val="00C82147"/>
    <w:rsid w:val="00C8281B"/>
    <w:rsid w:val="00C8299D"/>
    <w:rsid w:val="00C83C3A"/>
    <w:rsid w:val="00C90BD8"/>
    <w:rsid w:val="00C90C49"/>
    <w:rsid w:val="00C9156B"/>
    <w:rsid w:val="00C91A1D"/>
    <w:rsid w:val="00C92686"/>
    <w:rsid w:val="00C93806"/>
    <w:rsid w:val="00C93DD6"/>
    <w:rsid w:val="00C94754"/>
    <w:rsid w:val="00C9490B"/>
    <w:rsid w:val="00C94D74"/>
    <w:rsid w:val="00C959B2"/>
    <w:rsid w:val="00C97791"/>
    <w:rsid w:val="00C97DC3"/>
    <w:rsid w:val="00CA059A"/>
    <w:rsid w:val="00CA3029"/>
    <w:rsid w:val="00CA4067"/>
    <w:rsid w:val="00CA4D80"/>
    <w:rsid w:val="00CA5AF5"/>
    <w:rsid w:val="00CB0E0F"/>
    <w:rsid w:val="00CB1175"/>
    <w:rsid w:val="00CB606E"/>
    <w:rsid w:val="00CB736D"/>
    <w:rsid w:val="00CB7E37"/>
    <w:rsid w:val="00CC0E70"/>
    <w:rsid w:val="00CC2BCF"/>
    <w:rsid w:val="00CC3EF4"/>
    <w:rsid w:val="00CC5514"/>
    <w:rsid w:val="00CC5AE9"/>
    <w:rsid w:val="00CC62C0"/>
    <w:rsid w:val="00CC636F"/>
    <w:rsid w:val="00CC65A4"/>
    <w:rsid w:val="00CC6C8A"/>
    <w:rsid w:val="00CD0FC1"/>
    <w:rsid w:val="00CD132B"/>
    <w:rsid w:val="00CD3C1E"/>
    <w:rsid w:val="00CD4911"/>
    <w:rsid w:val="00CD5D32"/>
    <w:rsid w:val="00CD6C5F"/>
    <w:rsid w:val="00CD7BF6"/>
    <w:rsid w:val="00CE0018"/>
    <w:rsid w:val="00CE1072"/>
    <w:rsid w:val="00CE1EC2"/>
    <w:rsid w:val="00CE3405"/>
    <w:rsid w:val="00CE390E"/>
    <w:rsid w:val="00CE3951"/>
    <w:rsid w:val="00CE479E"/>
    <w:rsid w:val="00CE7644"/>
    <w:rsid w:val="00CE76AC"/>
    <w:rsid w:val="00CE79EF"/>
    <w:rsid w:val="00CF0BE2"/>
    <w:rsid w:val="00CF15B3"/>
    <w:rsid w:val="00CF1968"/>
    <w:rsid w:val="00CF2EDC"/>
    <w:rsid w:val="00CF3CF3"/>
    <w:rsid w:val="00CF48E7"/>
    <w:rsid w:val="00CF5010"/>
    <w:rsid w:val="00CF63C7"/>
    <w:rsid w:val="00D032B1"/>
    <w:rsid w:val="00D03E7C"/>
    <w:rsid w:val="00D05BC0"/>
    <w:rsid w:val="00D06139"/>
    <w:rsid w:val="00D06DE2"/>
    <w:rsid w:val="00D06EB6"/>
    <w:rsid w:val="00D1007D"/>
    <w:rsid w:val="00D102A6"/>
    <w:rsid w:val="00D11564"/>
    <w:rsid w:val="00D11D8A"/>
    <w:rsid w:val="00D11F1A"/>
    <w:rsid w:val="00D12D82"/>
    <w:rsid w:val="00D13ABF"/>
    <w:rsid w:val="00D14C63"/>
    <w:rsid w:val="00D152FD"/>
    <w:rsid w:val="00D172BF"/>
    <w:rsid w:val="00D2071C"/>
    <w:rsid w:val="00D21846"/>
    <w:rsid w:val="00D236EB"/>
    <w:rsid w:val="00D25429"/>
    <w:rsid w:val="00D305E8"/>
    <w:rsid w:val="00D3063F"/>
    <w:rsid w:val="00D307D1"/>
    <w:rsid w:val="00D30C66"/>
    <w:rsid w:val="00D32D04"/>
    <w:rsid w:val="00D331D8"/>
    <w:rsid w:val="00D334C9"/>
    <w:rsid w:val="00D37A18"/>
    <w:rsid w:val="00D41157"/>
    <w:rsid w:val="00D429AA"/>
    <w:rsid w:val="00D44F34"/>
    <w:rsid w:val="00D44F87"/>
    <w:rsid w:val="00D45FE2"/>
    <w:rsid w:val="00D53C88"/>
    <w:rsid w:val="00D55124"/>
    <w:rsid w:val="00D5521F"/>
    <w:rsid w:val="00D55E28"/>
    <w:rsid w:val="00D57244"/>
    <w:rsid w:val="00D5743F"/>
    <w:rsid w:val="00D5775D"/>
    <w:rsid w:val="00D57B04"/>
    <w:rsid w:val="00D608AC"/>
    <w:rsid w:val="00D62A17"/>
    <w:rsid w:val="00D63024"/>
    <w:rsid w:val="00D63097"/>
    <w:rsid w:val="00D644B1"/>
    <w:rsid w:val="00D6473E"/>
    <w:rsid w:val="00D652AF"/>
    <w:rsid w:val="00D6587A"/>
    <w:rsid w:val="00D66B2F"/>
    <w:rsid w:val="00D71935"/>
    <w:rsid w:val="00D725CC"/>
    <w:rsid w:val="00D73B08"/>
    <w:rsid w:val="00D74A35"/>
    <w:rsid w:val="00D7506D"/>
    <w:rsid w:val="00D750FD"/>
    <w:rsid w:val="00D76DB3"/>
    <w:rsid w:val="00D77387"/>
    <w:rsid w:val="00D775FF"/>
    <w:rsid w:val="00D801A7"/>
    <w:rsid w:val="00D805CB"/>
    <w:rsid w:val="00D80D8C"/>
    <w:rsid w:val="00D813E9"/>
    <w:rsid w:val="00D8436A"/>
    <w:rsid w:val="00D84766"/>
    <w:rsid w:val="00D85A35"/>
    <w:rsid w:val="00D85A6B"/>
    <w:rsid w:val="00D864F6"/>
    <w:rsid w:val="00D875B8"/>
    <w:rsid w:val="00D87C35"/>
    <w:rsid w:val="00D87C52"/>
    <w:rsid w:val="00D92467"/>
    <w:rsid w:val="00D9349E"/>
    <w:rsid w:val="00DA0E02"/>
    <w:rsid w:val="00DA0E98"/>
    <w:rsid w:val="00DA21BA"/>
    <w:rsid w:val="00DA32B1"/>
    <w:rsid w:val="00DA3E22"/>
    <w:rsid w:val="00DA4069"/>
    <w:rsid w:val="00DA5917"/>
    <w:rsid w:val="00DA5B7B"/>
    <w:rsid w:val="00DA5C79"/>
    <w:rsid w:val="00DA5D32"/>
    <w:rsid w:val="00DB092E"/>
    <w:rsid w:val="00DB1026"/>
    <w:rsid w:val="00DB4A1E"/>
    <w:rsid w:val="00DB78FA"/>
    <w:rsid w:val="00DC030C"/>
    <w:rsid w:val="00DC4FB5"/>
    <w:rsid w:val="00DC585D"/>
    <w:rsid w:val="00DC5CEC"/>
    <w:rsid w:val="00DC6DC4"/>
    <w:rsid w:val="00DC7719"/>
    <w:rsid w:val="00DD226D"/>
    <w:rsid w:val="00DD3049"/>
    <w:rsid w:val="00DD35DF"/>
    <w:rsid w:val="00DD3D9C"/>
    <w:rsid w:val="00DD5100"/>
    <w:rsid w:val="00DD55B9"/>
    <w:rsid w:val="00DD607F"/>
    <w:rsid w:val="00DD72D3"/>
    <w:rsid w:val="00DD78AF"/>
    <w:rsid w:val="00DD78BA"/>
    <w:rsid w:val="00DE1D41"/>
    <w:rsid w:val="00DE1DE2"/>
    <w:rsid w:val="00DE2E78"/>
    <w:rsid w:val="00DE3F17"/>
    <w:rsid w:val="00DE4FD9"/>
    <w:rsid w:val="00DE5779"/>
    <w:rsid w:val="00DE5FB4"/>
    <w:rsid w:val="00DE6266"/>
    <w:rsid w:val="00DE7136"/>
    <w:rsid w:val="00DF3439"/>
    <w:rsid w:val="00DF4825"/>
    <w:rsid w:val="00E00AFB"/>
    <w:rsid w:val="00E02663"/>
    <w:rsid w:val="00E02F11"/>
    <w:rsid w:val="00E03DF1"/>
    <w:rsid w:val="00E03E3E"/>
    <w:rsid w:val="00E04067"/>
    <w:rsid w:val="00E056A6"/>
    <w:rsid w:val="00E11FFB"/>
    <w:rsid w:val="00E123BA"/>
    <w:rsid w:val="00E129C2"/>
    <w:rsid w:val="00E12ABD"/>
    <w:rsid w:val="00E12B1F"/>
    <w:rsid w:val="00E12F4A"/>
    <w:rsid w:val="00E13886"/>
    <w:rsid w:val="00E16E41"/>
    <w:rsid w:val="00E16E95"/>
    <w:rsid w:val="00E1791E"/>
    <w:rsid w:val="00E20DC6"/>
    <w:rsid w:val="00E20F48"/>
    <w:rsid w:val="00E2132A"/>
    <w:rsid w:val="00E222C2"/>
    <w:rsid w:val="00E23DB7"/>
    <w:rsid w:val="00E2658D"/>
    <w:rsid w:val="00E26B65"/>
    <w:rsid w:val="00E26FC1"/>
    <w:rsid w:val="00E271C7"/>
    <w:rsid w:val="00E33938"/>
    <w:rsid w:val="00E33C60"/>
    <w:rsid w:val="00E33F3F"/>
    <w:rsid w:val="00E34078"/>
    <w:rsid w:val="00E37243"/>
    <w:rsid w:val="00E37983"/>
    <w:rsid w:val="00E37EEE"/>
    <w:rsid w:val="00E40299"/>
    <w:rsid w:val="00E4211F"/>
    <w:rsid w:val="00E43AC2"/>
    <w:rsid w:val="00E43B7C"/>
    <w:rsid w:val="00E43EDE"/>
    <w:rsid w:val="00E4475D"/>
    <w:rsid w:val="00E453E5"/>
    <w:rsid w:val="00E46961"/>
    <w:rsid w:val="00E46CCF"/>
    <w:rsid w:val="00E5011C"/>
    <w:rsid w:val="00E537E9"/>
    <w:rsid w:val="00E554C4"/>
    <w:rsid w:val="00E5676C"/>
    <w:rsid w:val="00E568EA"/>
    <w:rsid w:val="00E56D8D"/>
    <w:rsid w:val="00E5795B"/>
    <w:rsid w:val="00E6128B"/>
    <w:rsid w:val="00E63900"/>
    <w:rsid w:val="00E66036"/>
    <w:rsid w:val="00E71812"/>
    <w:rsid w:val="00E71AF2"/>
    <w:rsid w:val="00E7258C"/>
    <w:rsid w:val="00E72EB2"/>
    <w:rsid w:val="00E7320D"/>
    <w:rsid w:val="00E73CA9"/>
    <w:rsid w:val="00E748B4"/>
    <w:rsid w:val="00E74D97"/>
    <w:rsid w:val="00E7598F"/>
    <w:rsid w:val="00E76C6C"/>
    <w:rsid w:val="00E802AD"/>
    <w:rsid w:val="00E80444"/>
    <w:rsid w:val="00E804B5"/>
    <w:rsid w:val="00E81347"/>
    <w:rsid w:val="00E82C54"/>
    <w:rsid w:val="00E86505"/>
    <w:rsid w:val="00E87228"/>
    <w:rsid w:val="00E873C7"/>
    <w:rsid w:val="00E8745B"/>
    <w:rsid w:val="00E87B18"/>
    <w:rsid w:val="00E9077B"/>
    <w:rsid w:val="00E91600"/>
    <w:rsid w:val="00E919A4"/>
    <w:rsid w:val="00E935F0"/>
    <w:rsid w:val="00E93FE8"/>
    <w:rsid w:val="00E94ED4"/>
    <w:rsid w:val="00E95298"/>
    <w:rsid w:val="00E95992"/>
    <w:rsid w:val="00E95A82"/>
    <w:rsid w:val="00EA2849"/>
    <w:rsid w:val="00EA2BCA"/>
    <w:rsid w:val="00EA3608"/>
    <w:rsid w:val="00EA3B2D"/>
    <w:rsid w:val="00EA3B42"/>
    <w:rsid w:val="00EA4743"/>
    <w:rsid w:val="00EA4F53"/>
    <w:rsid w:val="00EA71E0"/>
    <w:rsid w:val="00EB1309"/>
    <w:rsid w:val="00EB2219"/>
    <w:rsid w:val="00EB2FCA"/>
    <w:rsid w:val="00EB5D62"/>
    <w:rsid w:val="00EB6107"/>
    <w:rsid w:val="00EB67B3"/>
    <w:rsid w:val="00EB718E"/>
    <w:rsid w:val="00EB7C59"/>
    <w:rsid w:val="00EC05AF"/>
    <w:rsid w:val="00EC184C"/>
    <w:rsid w:val="00EC2197"/>
    <w:rsid w:val="00EC36D6"/>
    <w:rsid w:val="00EC6450"/>
    <w:rsid w:val="00EC7F6E"/>
    <w:rsid w:val="00ED30EE"/>
    <w:rsid w:val="00ED39CF"/>
    <w:rsid w:val="00ED3AFA"/>
    <w:rsid w:val="00ED4C1B"/>
    <w:rsid w:val="00ED58D8"/>
    <w:rsid w:val="00ED63C2"/>
    <w:rsid w:val="00ED7D17"/>
    <w:rsid w:val="00EE134E"/>
    <w:rsid w:val="00EE1496"/>
    <w:rsid w:val="00EE14B3"/>
    <w:rsid w:val="00EE2307"/>
    <w:rsid w:val="00EE29A1"/>
    <w:rsid w:val="00EE4079"/>
    <w:rsid w:val="00EE45E9"/>
    <w:rsid w:val="00EE4B0F"/>
    <w:rsid w:val="00EE5C26"/>
    <w:rsid w:val="00EF0A4A"/>
    <w:rsid w:val="00EF2C0D"/>
    <w:rsid w:val="00EF5C14"/>
    <w:rsid w:val="00EF5C59"/>
    <w:rsid w:val="00EF6B19"/>
    <w:rsid w:val="00EF7C04"/>
    <w:rsid w:val="00F0078A"/>
    <w:rsid w:val="00F02077"/>
    <w:rsid w:val="00F03869"/>
    <w:rsid w:val="00F05E85"/>
    <w:rsid w:val="00F07601"/>
    <w:rsid w:val="00F07AD1"/>
    <w:rsid w:val="00F10079"/>
    <w:rsid w:val="00F105C3"/>
    <w:rsid w:val="00F13A36"/>
    <w:rsid w:val="00F14896"/>
    <w:rsid w:val="00F14B6E"/>
    <w:rsid w:val="00F15025"/>
    <w:rsid w:val="00F15AA0"/>
    <w:rsid w:val="00F165DA"/>
    <w:rsid w:val="00F176F9"/>
    <w:rsid w:val="00F179B5"/>
    <w:rsid w:val="00F17E78"/>
    <w:rsid w:val="00F21DED"/>
    <w:rsid w:val="00F239C4"/>
    <w:rsid w:val="00F239FA"/>
    <w:rsid w:val="00F24C00"/>
    <w:rsid w:val="00F2537E"/>
    <w:rsid w:val="00F30B04"/>
    <w:rsid w:val="00F31B88"/>
    <w:rsid w:val="00F3205D"/>
    <w:rsid w:val="00F32999"/>
    <w:rsid w:val="00F33ED9"/>
    <w:rsid w:val="00F352D2"/>
    <w:rsid w:val="00F411CC"/>
    <w:rsid w:val="00F41DA4"/>
    <w:rsid w:val="00F42365"/>
    <w:rsid w:val="00F4313F"/>
    <w:rsid w:val="00F45F58"/>
    <w:rsid w:val="00F46C57"/>
    <w:rsid w:val="00F47624"/>
    <w:rsid w:val="00F47FF7"/>
    <w:rsid w:val="00F500EE"/>
    <w:rsid w:val="00F50F45"/>
    <w:rsid w:val="00F52173"/>
    <w:rsid w:val="00F52386"/>
    <w:rsid w:val="00F523F0"/>
    <w:rsid w:val="00F56C21"/>
    <w:rsid w:val="00F577B5"/>
    <w:rsid w:val="00F57A9D"/>
    <w:rsid w:val="00F60E3A"/>
    <w:rsid w:val="00F611CC"/>
    <w:rsid w:val="00F6204C"/>
    <w:rsid w:val="00F625FB"/>
    <w:rsid w:val="00F63295"/>
    <w:rsid w:val="00F64160"/>
    <w:rsid w:val="00F652D8"/>
    <w:rsid w:val="00F674AE"/>
    <w:rsid w:val="00F67532"/>
    <w:rsid w:val="00F67D9C"/>
    <w:rsid w:val="00F708AC"/>
    <w:rsid w:val="00F722B2"/>
    <w:rsid w:val="00F732D6"/>
    <w:rsid w:val="00F74C05"/>
    <w:rsid w:val="00F761EC"/>
    <w:rsid w:val="00F76C35"/>
    <w:rsid w:val="00F81660"/>
    <w:rsid w:val="00F84C05"/>
    <w:rsid w:val="00F85DE1"/>
    <w:rsid w:val="00F86F38"/>
    <w:rsid w:val="00F95FB3"/>
    <w:rsid w:val="00F973D0"/>
    <w:rsid w:val="00F97600"/>
    <w:rsid w:val="00FA15D7"/>
    <w:rsid w:val="00FA2D92"/>
    <w:rsid w:val="00FA339F"/>
    <w:rsid w:val="00FA41C2"/>
    <w:rsid w:val="00FA56BB"/>
    <w:rsid w:val="00FA59E6"/>
    <w:rsid w:val="00FA6682"/>
    <w:rsid w:val="00FA695A"/>
    <w:rsid w:val="00FA7022"/>
    <w:rsid w:val="00FA7E42"/>
    <w:rsid w:val="00FB0C39"/>
    <w:rsid w:val="00FB1EA8"/>
    <w:rsid w:val="00FB22E8"/>
    <w:rsid w:val="00FB4168"/>
    <w:rsid w:val="00FB5D6F"/>
    <w:rsid w:val="00FC00AE"/>
    <w:rsid w:val="00FC0107"/>
    <w:rsid w:val="00FC0EDD"/>
    <w:rsid w:val="00FC1237"/>
    <w:rsid w:val="00FC2E42"/>
    <w:rsid w:val="00FC3A6F"/>
    <w:rsid w:val="00FC40F7"/>
    <w:rsid w:val="00FC426A"/>
    <w:rsid w:val="00FC43E2"/>
    <w:rsid w:val="00FC5F1B"/>
    <w:rsid w:val="00FC6473"/>
    <w:rsid w:val="00FC7525"/>
    <w:rsid w:val="00FC7AB6"/>
    <w:rsid w:val="00FD0763"/>
    <w:rsid w:val="00FD1372"/>
    <w:rsid w:val="00FD2128"/>
    <w:rsid w:val="00FD22C1"/>
    <w:rsid w:val="00FD479F"/>
    <w:rsid w:val="00FD50A0"/>
    <w:rsid w:val="00FD6189"/>
    <w:rsid w:val="00FD6CCB"/>
    <w:rsid w:val="00FD70ED"/>
    <w:rsid w:val="00FD7ED8"/>
    <w:rsid w:val="00FD7F7E"/>
    <w:rsid w:val="00FE2E7D"/>
    <w:rsid w:val="00FE3C09"/>
    <w:rsid w:val="00FE416A"/>
    <w:rsid w:val="00FE4391"/>
    <w:rsid w:val="00FE4DA9"/>
    <w:rsid w:val="00FE5DEA"/>
    <w:rsid w:val="00FE663B"/>
    <w:rsid w:val="00FF0ACF"/>
    <w:rsid w:val="00FF147F"/>
    <w:rsid w:val="00FF1A82"/>
    <w:rsid w:val="00FF20C0"/>
    <w:rsid w:val="00FF63D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F3951"/>
  <w15:docId w15:val="{4EAA0022-C24A-4446-8E8C-05A2FED5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F5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character" w:styleId="FootnoteReference">
    <w:name w:val="footnote reference"/>
    <w:basedOn w:val="DefaultParagraphFont"/>
    <w:rsid w:val="009058FB"/>
    <w:rPr>
      <w:vertAlign w:val="superscript"/>
    </w:rPr>
  </w:style>
  <w:style w:type="paragraph" w:styleId="FootnoteText">
    <w:name w:val="footnote text"/>
    <w:basedOn w:val="Normal"/>
    <w:link w:val="FootnoteTextChar"/>
    <w:rsid w:val="009058FB"/>
    <w:rPr>
      <w:sz w:val="22"/>
      <w:szCs w:val="20"/>
    </w:rPr>
  </w:style>
  <w:style w:type="character" w:customStyle="1" w:styleId="FootnoteTextChar">
    <w:name w:val="Footnote Text Char"/>
    <w:basedOn w:val="DefaultParagraphFont"/>
    <w:link w:val="FootnoteText"/>
    <w:rsid w:val="009058FB"/>
    <w:rPr>
      <w:szCs w:val="20"/>
      <w:lang w:val="en-US" w:eastAsia="en-US"/>
    </w:rPr>
  </w:style>
  <w:style w:type="character" w:styleId="CommentReference">
    <w:name w:val="annotation reference"/>
    <w:basedOn w:val="DefaultParagraphFont"/>
    <w:uiPriority w:val="99"/>
    <w:semiHidden/>
    <w:unhideWhenUsed/>
    <w:rsid w:val="005E6232"/>
    <w:rPr>
      <w:sz w:val="16"/>
      <w:szCs w:val="16"/>
    </w:rPr>
  </w:style>
  <w:style w:type="paragraph" w:styleId="CommentText">
    <w:name w:val="annotation text"/>
    <w:basedOn w:val="Normal"/>
    <w:link w:val="CommentTextChar"/>
    <w:uiPriority w:val="99"/>
    <w:semiHidden/>
    <w:unhideWhenUsed/>
    <w:rsid w:val="005E6232"/>
    <w:rPr>
      <w:sz w:val="20"/>
      <w:szCs w:val="20"/>
    </w:rPr>
  </w:style>
  <w:style w:type="character" w:customStyle="1" w:styleId="CommentTextChar">
    <w:name w:val="Comment Text Char"/>
    <w:basedOn w:val="DefaultParagraphFont"/>
    <w:link w:val="CommentText"/>
    <w:uiPriority w:val="99"/>
    <w:semiHidden/>
    <w:rsid w:val="005E62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E6232"/>
    <w:rPr>
      <w:b/>
      <w:bCs/>
    </w:rPr>
  </w:style>
  <w:style w:type="character" w:customStyle="1" w:styleId="CommentSubjectChar">
    <w:name w:val="Comment Subject Char"/>
    <w:basedOn w:val="CommentTextChar"/>
    <w:link w:val="CommentSubject"/>
    <w:uiPriority w:val="99"/>
    <w:semiHidden/>
    <w:rsid w:val="005E6232"/>
    <w:rPr>
      <w:b/>
      <w:bCs/>
      <w:sz w:val="20"/>
      <w:szCs w:val="20"/>
      <w:lang w:val="en-US" w:eastAsia="en-US"/>
    </w:rPr>
  </w:style>
  <w:style w:type="paragraph" w:customStyle="1" w:styleId="Default">
    <w:name w:val="Default"/>
    <w:rsid w:val="00684358"/>
    <w:pPr>
      <w:autoSpaceDE w:val="0"/>
      <w:autoSpaceDN w:val="0"/>
      <w:adjustRightInd w:val="0"/>
    </w:pPr>
    <w:rPr>
      <w:color w:val="000000"/>
      <w:sz w:val="24"/>
      <w:szCs w:val="24"/>
      <w:lang w:val="en-US"/>
    </w:rPr>
  </w:style>
  <w:style w:type="character" w:styleId="FollowedHyperlink">
    <w:name w:val="FollowedHyperlink"/>
    <w:basedOn w:val="DefaultParagraphFont"/>
    <w:uiPriority w:val="99"/>
    <w:semiHidden/>
    <w:unhideWhenUsed/>
    <w:rsid w:val="00A02562"/>
    <w:rPr>
      <w:color w:val="800080" w:themeColor="followedHyperlink"/>
      <w:u w:val="single"/>
    </w:rPr>
  </w:style>
  <w:style w:type="character" w:styleId="UnresolvedMention">
    <w:name w:val="Unresolved Mention"/>
    <w:basedOn w:val="DefaultParagraphFont"/>
    <w:uiPriority w:val="99"/>
    <w:semiHidden/>
    <w:unhideWhenUsed/>
    <w:rsid w:val="00E919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chart" Target="charts/chart12.xml"/><Relationship Id="rId42" Type="http://schemas.openxmlformats.org/officeDocument/2006/relationships/chart" Target="charts/chart30.xml"/><Relationship Id="rId47" Type="http://schemas.openxmlformats.org/officeDocument/2006/relationships/chart" Target="charts/chart35.xml"/><Relationship Id="rId63" Type="http://schemas.openxmlformats.org/officeDocument/2006/relationships/chart" Target="charts/chart50.xml"/><Relationship Id="rId68" Type="http://schemas.openxmlformats.org/officeDocument/2006/relationships/chart" Target="charts/chart55.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7.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48.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2.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1.xml"/><Relationship Id="rId69" Type="http://schemas.openxmlformats.org/officeDocument/2006/relationships/chart" Target="charts/chart56.xml"/><Relationship Id="rId8" Type="http://schemas.openxmlformats.org/officeDocument/2006/relationships/header" Target="header1.xml"/><Relationship Id="rId51" Type="http://schemas.openxmlformats.org/officeDocument/2006/relationships/chart" Target="charts/chart39.xml"/><Relationship Id="rId72" Type="http://schemas.openxmlformats.org/officeDocument/2006/relationships/chart" Target="charts/chart59.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conservationevidence.com" TargetMode="Externa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4.xml"/><Relationship Id="rId20" Type="http://schemas.openxmlformats.org/officeDocument/2006/relationships/chart" Target="charts/chart11.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49.xml"/><Relationship Id="rId70" Type="http://schemas.openxmlformats.org/officeDocument/2006/relationships/chart" Target="charts/chart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10" Type="http://schemas.openxmlformats.org/officeDocument/2006/relationships/chart" Target="charts/chart1.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hyperlink" Target="http://www.conservationevidence.com" TargetMode="External"/><Relationship Id="rId65" Type="http://schemas.openxmlformats.org/officeDocument/2006/relationships/chart" Target="charts/chart5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27.xml"/><Relationship Id="rId34" Type="http://schemas.openxmlformats.org/officeDocument/2006/relationships/chart" Target="charts/chart22.xml"/><Relationship Id="rId50" Type="http://schemas.openxmlformats.org/officeDocument/2006/relationships/chart" Target="charts/chart38.xml"/><Relationship Id="rId55" Type="http://schemas.openxmlformats.org/officeDocument/2006/relationships/chart" Target="charts/chart43.xml"/><Relationship Id="rId7" Type="http://schemas.openxmlformats.org/officeDocument/2006/relationships/endnotes" Target="endnotes.xml"/><Relationship Id="rId71" Type="http://schemas.openxmlformats.org/officeDocument/2006/relationships/chart" Target="charts/chart5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1.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14.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3.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6.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09D4-4389-8517-510703FC37E1}"/>
              </c:ext>
            </c:extLst>
          </c:dPt>
          <c:dPt>
            <c:idx val="1"/>
            <c:bubble3D val="0"/>
            <c:spPr>
              <a:solidFill>
                <a:srgbClr val="FFC000"/>
              </a:solidFill>
            </c:spPr>
            <c:extLst>
              <c:ext xmlns:c16="http://schemas.microsoft.com/office/drawing/2014/chart" uri="{C3380CC4-5D6E-409C-BE32-E72D297353CC}">
                <c16:uniqueId val="{00000003-09D4-4389-8517-510703FC37E1}"/>
              </c:ext>
            </c:extLst>
          </c:dPt>
          <c:dPt>
            <c:idx val="2"/>
            <c:bubble3D val="0"/>
            <c:spPr>
              <a:solidFill>
                <a:srgbClr val="FFFF99"/>
              </a:solidFill>
            </c:spPr>
            <c:extLst>
              <c:ext xmlns:c16="http://schemas.microsoft.com/office/drawing/2014/chart" uri="{C3380CC4-5D6E-409C-BE32-E72D297353CC}">
                <c16:uniqueId val="{00000005-09D4-4389-8517-510703FC37E1}"/>
              </c:ext>
            </c:extLst>
          </c:dPt>
          <c:dPt>
            <c:idx val="3"/>
            <c:bubble3D val="0"/>
            <c:spPr>
              <a:solidFill>
                <a:schemeClr val="tx2">
                  <a:lumMod val="60000"/>
                  <a:lumOff val="40000"/>
                </a:schemeClr>
              </a:solidFill>
            </c:spPr>
            <c:extLst>
              <c:ext xmlns:c16="http://schemas.microsoft.com/office/drawing/2014/chart" uri="{C3380CC4-5D6E-409C-BE32-E72D297353CC}">
                <c16:uniqueId val="{00000007-09D4-4389-8517-510703FC37E1}"/>
              </c:ext>
            </c:extLst>
          </c:dPt>
          <c:dPt>
            <c:idx val="4"/>
            <c:bubble3D val="0"/>
            <c:spPr>
              <a:solidFill>
                <a:srgbClr val="92D050"/>
              </a:solidFill>
            </c:spPr>
            <c:extLst>
              <c:ext xmlns:c16="http://schemas.microsoft.com/office/drawing/2014/chart" uri="{C3380CC4-5D6E-409C-BE32-E72D297353CC}">
                <c16:uniqueId val="{00000009-09D4-4389-8517-510703FC37E1}"/>
              </c:ext>
            </c:extLst>
          </c:dPt>
          <c:dPt>
            <c:idx val="5"/>
            <c:bubble3D val="0"/>
            <c:spPr>
              <a:solidFill>
                <a:schemeClr val="bg1">
                  <a:lumMod val="65000"/>
                </a:schemeClr>
              </a:solidFill>
            </c:spPr>
            <c:extLst>
              <c:ext xmlns:c16="http://schemas.microsoft.com/office/drawing/2014/chart" uri="{C3380CC4-5D6E-409C-BE32-E72D297353CC}">
                <c16:uniqueId val="{0000000B-09D4-4389-8517-510703FC37E1}"/>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'[SP report_graphs.xlsx]Goal'!$A$11:$F$11</c:f>
              <c:strCache>
                <c:ptCount val="6"/>
                <c:pt idx="0">
                  <c:v>Not achieved/no progress</c:v>
                </c:pt>
                <c:pt idx="1">
                  <c:v>Limited progress</c:v>
                </c:pt>
                <c:pt idx="2">
                  <c:v>Good progress</c:v>
                </c:pt>
                <c:pt idx="3">
                  <c:v>Significant progress</c:v>
                </c:pt>
                <c:pt idx="4">
                  <c:v>Achieved</c:v>
                </c:pt>
                <c:pt idx="5">
                  <c:v>Not assessed</c:v>
                </c:pt>
              </c:strCache>
            </c:strRef>
          </c:cat>
          <c:val>
            <c:numRef>
              <c:f>'[SP report_graphs.xlsx]Goal'!$A$12:$F$12</c:f>
              <c:numCache>
                <c:formatCode>General</c:formatCode>
                <c:ptCount val="6"/>
                <c:pt idx="0">
                  <c:v>6</c:v>
                </c:pt>
                <c:pt idx="3">
                  <c:v>1</c:v>
                </c:pt>
                <c:pt idx="4">
                  <c:v>1</c:v>
                </c:pt>
                <c:pt idx="5">
                  <c:v>4</c:v>
                </c:pt>
              </c:numCache>
            </c:numRef>
          </c:val>
          <c:extLst>
            <c:ext xmlns:c16="http://schemas.microsoft.com/office/drawing/2014/chart" uri="{C3380CC4-5D6E-409C-BE32-E72D297353CC}">
              <c16:uniqueId val="{0000000C-09D4-4389-8517-510703FC37E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cap="flat">
      <a:solidFill>
        <a:srgbClr val="0070C0"/>
      </a:solidFill>
    </a:ln>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8ED3-454D-8EBC-FFC9C11D9B46}"/>
              </c:ext>
            </c:extLst>
          </c:dPt>
          <c:dPt>
            <c:idx val="1"/>
            <c:bubble3D val="0"/>
            <c:spPr>
              <a:solidFill>
                <a:srgbClr val="FFC000"/>
              </a:solidFill>
            </c:spPr>
            <c:extLst>
              <c:ext xmlns:c16="http://schemas.microsoft.com/office/drawing/2014/chart" uri="{C3380CC4-5D6E-409C-BE32-E72D297353CC}">
                <c16:uniqueId val="{00000003-8ED3-454D-8EBC-FFC9C11D9B46}"/>
              </c:ext>
            </c:extLst>
          </c:dPt>
          <c:dPt>
            <c:idx val="2"/>
            <c:bubble3D val="0"/>
            <c:spPr>
              <a:solidFill>
                <a:srgbClr val="FFFF99"/>
              </a:solidFill>
            </c:spPr>
            <c:extLst>
              <c:ext xmlns:c16="http://schemas.microsoft.com/office/drawing/2014/chart" uri="{C3380CC4-5D6E-409C-BE32-E72D297353CC}">
                <c16:uniqueId val="{00000005-8ED3-454D-8EBC-FFC9C11D9B46}"/>
              </c:ext>
            </c:extLst>
          </c:dPt>
          <c:dPt>
            <c:idx val="3"/>
            <c:bubble3D val="0"/>
            <c:spPr>
              <a:solidFill>
                <a:schemeClr val="tx2">
                  <a:lumMod val="60000"/>
                  <a:lumOff val="40000"/>
                </a:schemeClr>
              </a:solidFill>
            </c:spPr>
            <c:extLst>
              <c:ext xmlns:c16="http://schemas.microsoft.com/office/drawing/2014/chart" uri="{C3380CC4-5D6E-409C-BE32-E72D297353CC}">
                <c16:uniqueId val="{00000007-8ED3-454D-8EBC-FFC9C11D9B46}"/>
              </c:ext>
            </c:extLst>
          </c:dPt>
          <c:dPt>
            <c:idx val="4"/>
            <c:bubble3D val="0"/>
            <c:spPr>
              <a:solidFill>
                <a:srgbClr val="92D050"/>
              </a:solidFill>
            </c:spPr>
            <c:extLst>
              <c:ext xmlns:c16="http://schemas.microsoft.com/office/drawing/2014/chart" uri="{C3380CC4-5D6E-409C-BE32-E72D297353CC}">
                <c16:uniqueId val="{00000009-8ED3-454D-8EBC-FFC9C11D9B46}"/>
              </c:ext>
            </c:extLst>
          </c:dPt>
          <c:dPt>
            <c:idx val="5"/>
            <c:bubble3D val="0"/>
            <c:spPr>
              <a:solidFill>
                <a:schemeClr val="bg1">
                  <a:lumMod val="65000"/>
                </a:schemeClr>
              </a:solidFill>
            </c:spPr>
            <c:extLst>
              <c:ext xmlns:c16="http://schemas.microsoft.com/office/drawing/2014/chart" uri="{C3380CC4-5D6E-409C-BE32-E72D297353CC}">
                <c16:uniqueId val="{0000000B-8ED3-454D-8EBC-FFC9C11D9B46}"/>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'[SP report_graphs.xlsx]All objectives'!$A$3:$F$3</c:f>
              <c:strCache>
                <c:ptCount val="6"/>
                <c:pt idx="0">
                  <c:v>Not reached/no progress</c:v>
                </c:pt>
                <c:pt idx="1">
                  <c:v>Limited progress</c:v>
                </c:pt>
                <c:pt idx="2">
                  <c:v>Good progress</c:v>
                </c:pt>
                <c:pt idx="3">
                  <c:v>Significant progress</c:v>
                </c:pt>
                <c:pt idx="4">
                  <c:v>Reached</c:v>
                </c:pt>
                <c:pt idx="5">
                  <c:v>Not assessed</c:v>
                </c:pt>
              </c:strCache>
            </c:strRef>
          </c:cat>
          <c:val>
            <c:numRef>
              <c:f>'[SP report_graphs.xlsx]All objectives'!$A$4:$F$4</c:f>
              <c:numCache>
                <c:formatCode>General</c:formatCode>
                <c:ptCount val="6"/>
                <c:pt idx="1">
                  <c:v>8</c:v>
                </c:pt>
                <c:pt idx="2">
                  <c:v>7</c:v>
                </c:pt>
                <c:pt idx="3">
                  <c:v>5</c:v>
                </c:pt>
                <c:pt idx="4">
                  <c:v>3</c:v>
                </c:pt>
                <c:pt idx="5">
                  <c:v>3</c:v>
                </c:pt>
              </c:numCache>
            </c:numRef>
          </c:val>
          <c:extLst>
            <c:ext xmlns:c16="http://schemas.microsoft.com/office/drawing/2014/chart" uri="{C3380CC4-5D6E-409C-BE32-E72D297353CC}">
              <c16:uniqueId val="{0000000C-8ED3-454D-8EBC-FFC9C11D9B4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a:solidFill>
        <a:srgbClr val="0070C0"/>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D1B7-4F93-9E31-7D87CEA929DD}"/>
              </c:ext>
            </c:extLst>
          </c:dPt>
          <c:dPt>
            <c:idx val="1"/>
            <c:bubble3D val="0"/>
            <c:spPr>
              <a:solidFill>
                <a:srgbClr val="FFC000"/>
              </a:solidFill>
            </c:spPr>
            <c:extLst>
              <c:ext xmlns:c16="http://schemas.microsoft.com/office/drawing/2014/chart" uri="{C3380CC4-5D6E-409C-BE32-E72D297353CC}">
                <c16:uniqueId val="{00000003-D1B7-4F93-9E31-7D87CEA929DD}"/>
              </c:ext>
            </c:extLst>
          </c:dPt>
          <c:dPt>
            <c:idx val="2"/>
            <c:bubble3D val="0"/>
            <c:spPr>
              <a:solidFill>
                <a:srgbClr val="FFFF99"/>
              </a:solidFill>
            </c:spPr>
            <c:extLst>
              <c:ext xmlns:c16="http://schemas.microsoft.com/office/drawing/2014/chart" uri="{C3380CC4-5D6E-409C-BE32-E72D297353CC}">
                <c16:uniqueId val="{00000005-D1B7-4F93-9E31-7D87CEA929DD}"/>
              </c:ext>
            </c:extLst>
          </c:dPt>
          <c:dPt>
            <c:idx val="3"/>
            <c:bubble3D val="0"/>
            <c:spPr>
              <a:solidFill>
                <a:schemeClr val="tx2">
                  <a:lumMod val="60000"/>
                  <a:lumOff val="40000"/>
                </a:schemeClr>
              </a:solidFill>
            </c:spPr>
            <c:extLst>
              <c:ext xmlns:c16="http://schemas.microsoft.com/office/drawing/2014/chart" uri="{C3380CC4-5D6E-409C-BE32-E72D297353CC}">
                <c16:uniqueId val="{00000007-D1B7-4F93-9E31-7D87CEA929DD}"/>
              </c:ext>
            </c:extLst>
          </c:dPt>
          <c:dPt>
            <c:idx val="4"/>
            <c:bubble3D val="0"/>
            <c:spPr>
              <a:solidFill>
                <a:srgbClr val="92D050"/>
              </a:solidFill>
            </c:spPr>
            <c:extLst>
              <c:ext xmlns:c16="http://schemas.microsoft.com/office/drawing/2014/chart" uri="{C3380CC4-5D6E-409C-BE32-E72D297353CC}">
                <c16:uniqueId val="{00000009-D1B7-4F93-9E31-7D87CEA929DD}"/>
              </c:ext>
            </c:extLst>
          </c:dPt>
          <c:dPt>
            <c:idx val="5"/>
            <c:bubble3D val="0"/>
            <c:spPr>
              <a:solidFill>
                <a:schemeClr val="bg1">
                  <a:lumMod val="65000"/>
                </a:schemeClr>
              </a:solidFill>
            </c:spPr>
            <c:extLst>
              <c:ext xmlns:c16="http://schemas.microsoft.com/office/drawing/2014/chart" uri="{C3380CC4-5D6E-409C-BE32-E72D297353CC}">
                <c16:uniqueId val="{0000000B-D1B7-4F93-9E31-7D87CEA929DD}"/>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'All objectives'!$A$3:$F$3</c:f>
              <c:strCache>
                <c:ptCount val="6"/>
                <c:pt idx="0">
                  <c:v>Not reached/no progress</c:v>
                </c:pt>
                <c:pt idx="1">
                  <c:v>Limited progress</c:v>
                </c:pt>
                <c:pt idx="2">
                  <c:v>Good progress</c:v>
                </c:pt>
                <c:pt idx="3">
                  <c:v>Significant progress</c:v>
                </c:pt>
                <c:pt idx="4">
                  <c:v>Reached</c:v>
                </c:pt>
                <c:pt idx="5">
                  <c:v>Not assessed</c:v>
                </c:pt>
              </c:strCache>
            </c:strRef>
          </c:cat>
          <c:val>
            <c:numRef>
              <c:f>'All objectives'!$A$4:$F$4</c:f>
              <c:numCache>
                <c:formatCode>General</c:formatCode>
                <c:ptCount val="6"/>
                <c:pt idx="1">
                  <c:v>8</c:v>
                </c:pt>
                <c:pt idx="2">
                  <c:v>9</c:v>
                </c:pt>
                <c:pt idx="3">
                  <c:v>3</c:v>
                </c:pt>
                <c:pt idx="4">
                  <c:v>2</c:v>
                </c:pt>
                <c:pt idx="5">
                  <c:v>4</c:v>
                </c:pt>
              </c:numCache>
            </c:numRef>
          </c:val>
          <c:extLst>
            <c:ext xmlns:c16="http://schemas.microsoft.com/office/drawing/2014/chart" uri="{C3380CC4-5D6E-409C-BE32-E72D297353CC}">
              <c16:uniqueId val="{0000000C-D1B7-4F93-9E31-7D87CEA929D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a:solidFill>
        <a:schemeClr val="accent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B0B8-4FA5-ADA1-ECE25AC081A0}"/>
              </c:ext>
            </c:extLst>
          </c:dPt>
          <c:dPt>
            <c:idx val="1"/>
            <c:bubble3D val="0"/>
            <c:spPr>
              <a:solidFill>
                <a:srgbClr val="FFC000"/>
              </a:solidFill>
            </c:spPr>
            <c:extLst>
              <c:ext xmlns:c16="http://schemas.microsoft.com/office/drawing/2014/chart" uri="{C3380CC4-5D6E-409C-BE32-E72D297353CC}">
                <c16:uniqueId val="{00000003-B0B8-4FA5-ADA1-ECE25AC081A0}"/>
              </c:ext>
            </c:extLst>
          </c:dPt>
          <c:dPt>
            <c:idx val="2"/>
            <c:bubble3D val="0"/>
            <c:spPr>
              <a:solidFill>
                <a:srgbClr val="FFFF99"/>
              </a:solidFill>
            </c:spPr>
            <c:extLst>
              <c:ext xmlns:c16="http://schemas.microsoft.com/office/drawing/2014/chart" uri="{C3380CC4-5D6E-409C-BE32-E72D297353CC}">
                <c16:uniqueId val="{00000005-B0B8-4FA5-ADA1-ECE25AC081A0}"/>
              </c:ext>
            </c:extLst>
          </c:dPt>
          <c:dPt>
            <c:idx val="3"/>
            <c:bubble3D val="0"/>
            <c:spPr>
              <a:solidFill>
                <a:schemeClr val="tx2">
                  <a:lumMod val="60000"/>
                  <a:lumOff val="40000"/>
                </a:schemeClr>
              </a:solidFill>
            </c:spPr>
            <c:extLst>
              <c:ext xmlns:c16="http://schemas.microsoft.com/office/drawing/2014/chart" uri="{C3380CC4-5D6E-409C-BE32-E72D297353CC}">
                <c16:uniqueId val="{00000007-B0B8-4FA5-ADA1-ECE25AC081A0}"/>
              </c:ext>
            </c:extLst>
          </c:dPt>
          <c:dPt>
            <c:idx val="4"/>
            <c:bubble3D val="0"/>
            <c:spPr>
              <a:solidFill>
                <a:srgbClr val="92D050"/>
              </a:solidFill>
            </c:spPr>
            <c:extLst>
              <c:ext xmlns:c16="http://schemas.microsoft.com/office/drawing/2014/chart" uri="{C3380CC4-5D6E-409C-BE32-E72D297353CC}">
                <c16:uniqueId val="{00000009-B0B8-4FA5-ADA1-ECE25AC081A0}"/>
              </c:ext>
            </c:extLst>
          </c:dPt>
          <c:dPt>
            <c:idx val="5"/>
            <c:bubble3D val="0"/>
            <c:spPr>
              <a:solidFill>
                <a:schemeClr val="bg1">
                  <a:lumMod val="65000"/>
                </a:schemeClr>
              </a:solidFill>
            </c:spPr>
            <c:extLst>
              <c:ext xmlns:c16="http://schemas.microsoft.com/office/drawing/2014/chart" uri="{C3380CC4-5D6E-409C-BE32-E72D297353CC}">
                <c16:uniqueId val="{0000000B-B0B8-4FA5-ADA1-ECE25AC081A0}"/>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'All objectives'!$A$3:$F$3</c:f>
              <c:strCache>
                <c:ptCount val="6"/>
                <c:pt idx="0">
                  <c:v>Not reached/no progress</c:v>
                </c:pt>
                <c:pt idx="1">
                  <c:v>Limited progress</c:v>
                </c:pt>
                <c:pt idx="2">
                  <c:v>Good progress</c:v>
                </c:pt>
                <c:pt idx="3">
                  <c:v>Significant progress</c:v>
                </c:pt>
                <c:pt idx="4">
                  <c:v>Reached</c:v>
                </c:pt>
                <c:pt idx="5">
                  <c:v>Not assessed</c:v>
                </c:pt>
              </c:strCache>
            </c:strRef>
          </c:cat>
          <c:val>
            <c:numRef>
              <c:f>'All objectives'!$A$4:$F$4</c:f>
              <c:numCache>
                <c:formatCode>General</c:formatCode>
                <c:ptCount val="6"/>
                <c:pt idx="1">
                  <c:v>10</c:v>
                </c:pt>
                <c:pt idx="2">
                  <c:v>9</c:v>
                </c:pt>
                <c:pt idx="3">
                  <c:v>2</c:v>
                </c:pt>
                <c:pt idx="4">
                  <c:v>1</c:v>
                </c:pt>
                <c:pt idx="5">
                  <c:v>4</c:v>
                </c:pt>
              </c:numCache>
            </c:numRef>
          </c:val>
          <c:extLst>
            <c:ext xmlns:c16="http://schemas.microsoft.com/office/drawing/2014/chart" uri="{C3380CC4-5D6E-409C-BE32-E72D297353CC}">
              <c16:uniqueId val="{0000000C-B0B8-4FA5-ADA1-ECE25AC081A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a:solidFill>
        <a:srgbClr val="4F81BD"/>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'[SP report_graphs.xlsx]Each objective_columns'!$A$2</c:f>
              <c:strCache>
                <c:ptCount val="1"/>
                <c:pt idx="0">
                  <c:v>Not reached/no progress</c:v>
                </c:pt>
              </c:strCache>
            </c:strRef>
          </c:tx>
          <c:spPr>
            <a:solidFill>
              <a:srgbClr val="FF3300"/>
            </a:solidFill>
          </c:spPr>
          <c:invertIfNegative val="0"/>
          <c:cat>
            <c:strRef>
              <c:f>'[SP report_graphs.xlsx]Each objective_columns'!$B$1:$F$1</c:f>
              <c:strCache>
                <c:ptCount val="5"/>
                <c:pt idx="0">
                  <c:v>Objective 1</c:v>
                </c:pt>
                <c:pt idx="1">
                  <c:v>Objective 2</c:v>
                </c:pt>
                <c:pt idx="2">
                  <c:v>Objective 3</c:v>
                </c:pt>
                <c:pt idx="3">
                  <c:v>Objective 4</c:v>
                </c:pt>
                <c:pt idx="4">
                  <c:v>Objective 5</c:v>
                </c:pt>
              </c:strCache>
            </c:strRef>
          </c:cat>
          <c:val>
            <c:numRef>
              <c:f>'[SP report_graphs.xlsx]Each objective_columns'!$B$2:$F$2</c:f>
              <c:numCache>
                <c:formatCode>General</c:formatCode>
                <c:ptCount val="5"/>
              </c:numCache>
            </c:numRef>
          </c:val>
          <c:extLst>
            <c:ext xmlns:c16="http://schemas.microsoft.com/office/drawing/2014/chart" uri="{C3380CC4-5D6E-409C-BE32-E72D297353CC}">
              <c16:uniqueId val="{00000000-9EF6-4405-AD9C-0CD8E25F44CB}"/>
            </c:ext>
          </c:extLst>
        </c:ser>
        <c:ser>
          <c:idx val="1"/>
          <c:order val="1"/>
          <c:tx>
            <c:strRef>
              <c:f>'[SP report_graphs.xlsx]Each objective_columns'!$A$3</c:f>
              <c:strCache>
                <c:ptCount val="1"/>
              </c:strCache>
            </c:strRef>
          </c:tx>
          <c:invertIfNegative val="0"/>
          <c:cat>
            <c:strRef>
              <c:f>'[SP report_graphs.xlsx]Each objective_columns'!$B$1:$F$1</c:f>
              <c:strCache>
                <c:ptCount val="5"/>
                <c:pt idx="0">
                  <c:v>Objective 1</c:v>
                </c:pt>
                <c:pt idx="1">
                  <c:v>Objective 2</c:v>
                </c:pt>
                <c:pt idx="2">
                  <c:v>Objective 3</c:v>
                </c:pt>
                <c:pt idx="3">
                  <c:v>Objective 4</c:v>
                </c:pt>
                <c:pt idx="4">
                  <c:v>Objective 5</c:v>
                </c:pt>
              </c:strCache>
            </c:strRef>
          </c:cat>
          <c:val>
            <c:numRef>
              <c:f>'[SP report_graphs.xlsx]Each objective_columns'!$B$3:$F$3</c:f>
              <c:numCache>
                <c:formatCode>General</c:formatCode>
                <c:ptCount val="5"/>
              </c:numCache>
            </c:numRef>
          </c:val>
          <c:extLst>
            <c:ext xmlns:c16="http://schemas.microsoft.com/office/drawing/2014/chart" uri="{C3380CC4-5D6E-409C-BE32-E72D297353CC}">
              <c16:uniqueId val="{00000001-9EF6-4405-AD9C-0CD8E25F44CB}"/>
            </c:ext>
          </c:extLst>
        </c:ser>
        <c:ser>
          <c:idx val="2"/>
          <c:order val="2"/>
          <c:tx>
            <c:strRef>
              <c:f>'[SP report_graphs.xlsx]Each objective_columns'!$A$4</c:f>
              <c:strCache>
                <c:ptCount val="1"/>
                <c:pt idx="0">
                  <c:v>Limited progress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 report_graphs.xlsx]Each objective_columns'!$B$1:$F$1</c:f>
              <c:strCache>
                <c:ptCount val="5"/>
                <c:pt idx="0">
                  <c:v>Objective 1</c:v>
                </c:pt>
                <c:pt idx="1">
                  <c:v>Objective 2</c:v>
                </c:pt>
                <c:pt idx="2">
                  <c:v>Objective 3</c:v>
                </c:pt>
                <c:pt idx="3">
                  <c:v>Objective 4</c:v>
                </c:pt>
                <c:pt idx="4">
                  <c:v>Objective 5</c:v>
                </c:pt>
              </c:strCache>
            </c:strRef>
          </c:cat>
          <c:val>
            <c:numRef>
              <c:f>'[SP report_graphs.xlsx]Each objective_columns'!$B$4:$F$4</c:f>
              <c:numCache>
                <c:formatCode>General</c:formatCode>
                <c:ptCount val="5"/>
                <c:pt idx="0">
                  <c:v>2</c:v>
                </c:pt>
                <c:pt idx="1">
                  <c:v>1</c:v>
                </c:pt>
                <c:pt idx="2">
                  <c:v>1</c:v>
                </c:pt>
                <c:pt idx="3">
                  <c:v>2</c:v>
                </c:pt>
                <c:pt idx="4">
                  <c:v>2</c:v>
                </c:pt>
              </c:numCache>
            </c:numRef>
          </c:val>
          <c:extLst>
            <c:ext xmlns:c16="http://schemas.microsoft.com/office/drawing/2014/chart" uri="{C3380CC4-5D6E-409C-BE32-E72D297353CC}">
              <c16:uniqueId val="{00000002-9EF6-4405-AD9C-0CD8E25F44CB}"/>
            </c:ext>
          </c:extLst>
        </c:ser>
        <c:ser>
          <c:idx val="3"/>
          <c:order val="3"/>
          <c:tx>
            <c:strRef>
              <c:f>'[SP report_graphs.xlsx]Each objective_columns'!$A$5</c:f>
              <c:strCache>
                <c:ptCount val="1"/>
                <c:pt idx="0">
                  <c:v>Good progress</c:v>
                </c:pt>
              </c:strCache>
            </c:strRef>
          </c:tx>
          <c:spPr>
            <a:solidFill>
              <a:srgbClr val="FFFF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 report_graphs.xlsx]Each objective_columns'!$B$1:$F$1</c:f>
              <c:strCache>
                <c:ptCount val="5"/>
                <c:pt idx="0">
                  <c:v>Objective 1</c:v>
                </c:pt>
                <c:pt idx="1">
                  <c:v>Objective 2</c:v>
                </c:pt>
                <c:pt idx="2">
                  <c:v>Objective 3</c:v>
                </c:pt>
                <c:pt idx="3">
                  <c:v>Objective 4</c:v>
                </c:pt>
                <c:pt idx="4">
                  <c:v>Objective 5</c:v>
                </c:pt>
              </c:strCache>
            </c:strRef>
          </c:cat>
          <c:val>
            <c:numRef>
              <c:f>'[SP report_graphs.xlsx]Each objective_columns'!$B$5:$F$5</c:f>
              <c:numCache>
                <c:formatCode>General</c:formatCode>
                <c:ptCount val="5"/>
                <c:pt idx="0">
                  <c:v>3</c:v>
                </c:pt>
                <c:pt idx="1">
                  <c:v>2</c:v>
                </c:pt>
                <c:pt idx="4">
                  <c:v>2</c:v>
                </c:pt>
              </c:numCache>
            </c:numRef>
          </c:val>
          <c:extLst>
            <c:ext xmlns:c16="http://schemas.microsoft.com/office/drawing/2014/chart" uri="{C3380CC4-5D6E-409C-BE32-E72D297353CC}">
              <c16:uniqueId val="{00000003-9EF6-4405-AD9C-0CD8E25F44CB}"/>
            </c:ext>
          </c:extLst>
        </c:ser>
        <c:ser>
          <c:idx val="4"/>
          <c:order val="4"/>
          <c:tx>
            <c:strRef>
              <c:f>'[SP report_graphs.xlsx]Each objective_columns'!$A$6</c:f>
              <c:strCache>
                <c:ptCount val="1"/>
                <c:pt idx="0">
                  <c:v>Significant progress</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 report_graphs.xlsx]Each objective_columns'!$B$1:$F$1</c:f>
              <c:strCache>
                <c:ptCount val="5"/>
                <c:pt idx="0">
                  <c:v>Objective 1</c:v>
                </c:pt>
                <c:pt idx="1">
                  <c:v>Objective 2</c:v>
                </c:pt>
                <c:pt idx="2">
                  <c:v>Objective 3</c:v>
                </c:pt>
                <c:pt idx="3">
                  <c:v>Objective 4</c:v>
                </c:pt>
                <c:pt idx="4">
                  <c:v>Objective 5</c:v>
                </c:pt>
              </c:strCache>
            </c:strRef>
          </c:cat>
          <c:val>
            <c:numRef>
              <c:f>'[SP report_graphs.xlsx]Each objective_columns'!$B$6:$F$6</c:f>
              <c:numCache>
                <c:formatCode>General</c:formatCode>
                <c:ptCount val="5"/>
                <c:pt idx="1">
                  <c:v>1</c:v>
                </c:pt>
                <c:pt idx="2">
                  <c:v>2</c:v>
                </c:pt>
                <c:pt idx="4">
                  <c:v>2</c:v>
                </c:pt>
              </c:numCache>
            </c:numRef>
          </c:val>
          <c:extLst>
            <c:ext xmlns:c16="http://schemas.microsoft.com/office/drawing/2014/chart" uri="{C3380CC4-5D6E-409C-BE32-E72D297353CC}">
              <c16:uniqueId val="{00000004-9EF6-4405-AD9C-0CD8E25F44CB}"/>
            </c:ext>
          </c:extLst>
        </c:ser>
        <c:ser>
          <c:idx val="5"/>
          <c:order val="5"/>
          <c:tx>
            <c:strRef>
              <c:f>'[SP report_graphs.xlsx]Each objective_columns'!$A$7</c:f>
              <c:strCache>
                <c:ptCount val="1"/>
                <c:pt idx="0">
                  <c:v>Reached</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 report_graphs.xlsx]Each objective_columns'!$B$1:$F$1</c:f>
              <c:strCache>
                <c:ptCount val="5"/>
                <c:pt idx="0">
                  <c:v>Objective 1</c:v>
                </c:pt>
                <c:pt idx="1">
                  <c:v>Objective 2</c:v>
                </c:pt>
                <c:pt idx="2">
                  <c:v>Objective 3</c:v>
                </c:pt>
                <c:pt idx="3">
                  <c:v>Objective 4</c:v>
                </c:pt>
                <c:pt idx="4">
                  <c:v>Objective 5</c:v>
                </c:pt>
              </c:strCache>
            </c:strRef>
          </c:cat>
          <c:val>
            <c:numRef>
              <c:f>'[SP report_graphs.xlsx]Each objective_columns'!$B$7:$F$7</c:f>
              <c:numCache>
                <c:formatCode>General</c:formatCode>
                <c:ptCount val="5"/>
                <c:pt idx="1">
                  <c:v>1</c:v>
                </c:pt>
                <c:pt idx="3">
                  <c:v>1</c:v>
                </c:pt>
                <c:pt idx="4">
                  <c:v>1</c:v>
                </c:pt>
              </c:numCache>
            </c:numRef>
          </c:val>
          <c:extLst>
            <c:ext xmlns:c16="http://schemas.microsoft.com/office/drawing/2014/chart" uri="{C3380CC4-5D6E-409C-BE32-E72D297353CC}">
              <c16:uniqueId val="{00000005-9EF6-4405-AD9C-0CD8E25F44CB}"/>
            </c:ext>
          </c:extLst>
        </c:ser>
        <c:ser>
          <c:idx val="6"/>
          <c:order val="6"/>
          <c:tx>
            <c:strRef>
              <c:f>'[SP report_graphs.xlsx]Each objective_columns'!$A$8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 report_graphs.xlsx]Each objective_columns'!$B$1:$F$1</c:f>
              <c:strCache>
                <c:ptCount val="5"/>
                <c:pt idx="0">
                  <c:v>Objective 1</c:v>
                </c:pt>
                <c:pt idx="1">
                  <c:v>Objective 2</c:v>
                </c:pt>
                <c:pt idx="2">
                  <c:v>Objective 3</c:v>
                </c:pt>
                <c:pt idx="3">
                  <c:v>Objective 4</c:v>
                </c:pt>
                <c:pt idx="4">
                  <c:v>Objective 5</c:v>
                </c:pt>
              </c:strCache>
            </c:strRef>
          </c:cat>
          <c:val>
            <c:numRef>
              <c:f>'[SP report_graphs.xlsx]Each objective_columns'!$B$8:$F$8</c:f>
              <c:numCache>
                <c:formatCode>General</c:formatCode>
                <c:ptCount val="5"/>
                <c:pt idx="2">
                  <c:v>2</c:v>
                </c:pt>
                <c:pt idx="4">
                  <c:v>1</c:v>
                </c:pt>
              </c:numCache>
            </c:numRef>
          </c:val>
          <c:extLst>
            <c:ext xmlns:c16="http://schemas.microsoft.com/office/drawing/2014/chart" uri="{C3380CC4-5D6E-409C-BE32-E72D297353CC}">
              <c16:uniqueId val="{00000006-9EF6-4405-AD9C-0CD8E25F44CB}"/>
            </c:ext>
          </c:extLst>
        </c:ser>
        <c:dLbls>
          <c:showLegendKey val="0"/>
          <c:showVal val="0"/>
          <c:showCatName val="0"/>
          <c:showSerName val="0"/>
          <c:showPercent val="0"/>
          <c:showBubbleSize val="0"/>
        </c:dLbls>
        <c:gapWidth val="150"/>
        <c:overlap val="100"/>
        <c:axId val="120693120"/>
        <c:axId val="120694656"/>
      </c:barChart>
      <c:catAx>
        <c:axId val="120693120"/>
        <c:scaling>
          <c:orientation val="minMax"/>
        </c:scaling>
        <c:delete val="0"/>
        <c:axPos val="b"/>
        <c:numFmt formatCode="General" sourceLinked="0"/>
        <c:majorTickMark val="out"/>
        <c:minorTickMark val="none"/>
        <c:tickLblPos val="nextTo"/>
        <c:crossAx val="120694656"/>
        <c:crosses val="autoZero"/>
        <c:auto val="1"/>
        <c:lblAlgn val="ctr"/>
        <c:lblOffset val="100"/>
        <c:noMultiLvlLbl val="0"/>
      </c:catAx>
      <c:valAx>
        <c:axId val="120694656"/>
        <c:scaling>
          <c:orientation val="minMax"/>
        </c:scaling>
        <c:delete val="0"/>
        <c:axPos val="l"/>
        <c:majorGridlines/>
        <c:numFmt formatCode="0%" sourceLinked="1"/>
        <c:majorTickMark val="out"/>
        <c:minorTickMark val="none"/>
        <c:tickLblPos val="nextTo"/>
        <c:crossAx val="120693120"/>
        <c:crosses val="autoZero"/>
        <c:crossBetween val="between"/>
      </c:valAx>
    </c:plotArea>
    <c:legend>
      <c:legendPos val="t"/>
      <c:legendEntry>
        <c:idx val="1"/>
        <c:delete val="1"/>
      </c:legendEntry>
      <c:overlay val="0"/>
    </c:legend>
    <c:plotVisOnly val="1"/>
    <c:dispBlanksAs val="gap"/>
    <c:showDLblsOverMax val="0"/>
  </c:chart>
  <c:spPr>
    <a:noFill/>
    <a:ln w="15875">
      <a:solidFill>
        <a:schemeClr val="accent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objective_columns'!$A$2</c:f>
              <c:strCache>
                <c:ptCount val="1"/>
                <c:pt idx="0">
                  <c:v>Not reached/no progress</c:v>
                </c:pt>
              </c:strCache>
            </c:strRef>
          </c:tx>
          <c:spPr>
            <a:solidFill>
              <a:srgbClr val="FF3300"/>
            </a:solidFill>
          </c:spPr>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objective_columns'!$B$2:$F$2</c:f>
              <c:numCache>
                <c:formatCode>General</c:formatCode>
                <c:ptCount val="5"/>
              </c:numCache>
            </c:numRef>
          </c:val>
          <c:extLst>
            <c:ext xmlns:c16="http://schemas.microsoft.com/office/drawing/2014/chart" uri="{C3380CC4-5D6E-409C-BE32-E72D297353CC}">
              <c16:uniqueId val="{00000000-414F-4803-8B1C-0C3912875B61}"/>
            </c:ext>
          </c:extLst>
        </c:ser>
        <c:ser>
          <c:idx val="1"/>
          <c:order val="1"/>
          <c:tx>
            <c:strRef>
              <c:f>'Each objective_columns'!$A$3</c:f>
              <c:strCache>
                <c:ptCount val="1"/>
              </c:strCache>
            </c:strRef>
          </c:tx>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objective_columns'!$B$3:$F$3</c:f>
              <c:numCache>
                <c:formatCode>General</c:formatCode>
                <c:ptCount val="5"/>
              </c:numCache>
            </c:numRef>
          </c:val>
          <c:extLst>
            <c:ext xmlns:c16="http://schemas.microsoft.com/office/drawing/2014/chart" uri="{C3380CC4-5D6E-409C-BE32-E72D297353CC}">
              <c16:uniqueId val="{00000001-414F-4803-8B1C-0C3912875B61}"/>
            </c:ext>
          </c:extLst>
        </c:ser>
        <c:ser>
          <c:idx val="2"/>
          <c:order val="2"/>
          <c:tx>
            <c:strRef>
              <c:f>'Each objective_columns'!$A$4</c:f>
              <c:strCache>
                <c:ptCount val="1"/>
                <c:pt idx="0">
                  <c:v>Limited progress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objective_columns'!$B$4:$F$4</c:f>
              <c:numCache>
                <c:formatCode>General</c:formatCode>
                <c:ptCount val="5"/>
                <c:pt idx="0">
                  <c:v>1</c:v>
                </c:pt>
                <c:pt idx="1">
                  <c:v>1</c:v>
                </c:pt>
                <c:pt idx="2">
                  <c:v>1</c:v>
                </c:pt>
                <c:pt idx="3">
                  <c:v>2</c:v>
                </c:pt>
                <c:pt idx="4">
                  <c:v>3</c:v>
                </c:pt>
              </c:numCache>
            </c:numRef>
          </c:val>
          <c:extLst>
            <c:ext xmlns:c16="http://schemas.microsoft.com/office/drawing/2014/chart" uri="{C3380CC4-5D6E-409C-BE32-E72D297353CC}">
              <c16:uniqueId val="{00000002-414F-4803-8B1C-0C3912875B61}"/>
            </c:ext>
          </c:extLst>
        </c:ser>
        <c:ser>
          <c:idx val="3"/>
          <c:order val="3"/>
          <c:tx>
            <c:strRef>
              <c:f>'Each objective_columns'!$A$5</c:f>
              <c:strCache>
                <c:ptCount val="1"/>
                <c:pt idx="0">
                  <c:v>Good progress</c:v>
                </c:pt>
              </c:strCache>
            </c:strRef>
          </c:tx>
          <c:spPr>
            <a:solidFill>
              <a:srgbClr val="FFFF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objective_columns'!$B$5:$F$5</c:f>
              <c:numCache>
                <c:formatCode>General</c:formatCode>
                <c:ptCount val="5"/>
                <c:pt idx="0">
                  <c:v>3</c:v>
                </c:pt>
                <c:pt idx="1">
                  <c:v>3</c:v>
                </c:pt>
                <c:pt idx="2">
                  <c:v>1</c:v>
                </c:pt>
                <c:pt idx="4">
                  <c:v>2</c:v>
                </c:pt>
              </c:numCache>
            </c:numRef>
          </c:val>
          <c:extLst>
            <c:ext xmlns:c16="http://schemas.microsoft.com/office/drawing/2014/chart" uri="{C3380CC4-5D6E-409C-BE32-E72D297353CC}">
              <c16:uniqueId val="{00000003-414F-4803-8B1C-0C3912875B61}"/>
            </c:ext>
          </c:extLst>
        </c:ser>
        <c:ser>
          <c:idx val="4"/>
          <c:order val="4"/>
          <c:tx>
            <c:strRef>
              <c:f>'Each objective_columns'!$A$6</c:f>
              <c:strCache>
                <c:ptCount val="1"/>
                <c:pt idx="0">
                  <c:v>Significant progress</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objective_columns'!$B$6:$F$6</c:f>
              <c:numCache>
                <c:formatCode>General</c:formatCode>
                <c:ptCount val="5"/>
                <c:pt idx="1">
                  <c:v>1</c:v>
                </c:pt>
                <c:pt idx="2">
                  <c:v>1</c:v>
                </c:pt>
                <c:pt idx="4">
                  <c:v>1</c:v>
                </c:pt>
              </c:numCache>
            </c:numRef>
          </c:val>
          <c:extLst>
            <c:ext xmlns:c16="http://schemas.microsoft.com/office/drawing/2014/chart" uri="{C3380CC4-5D6E-409C-BE32-E72D297353CC}">
              <c16:uniqueId val="{00000004-414F-4803-8B1C-0C3912875B61}"/>
            </c:ext>
          </c:extLst>
        </c:ser>
        <c:ser>
          <c:idx val="5"/>
          <c:order val="5"/>
          <c:tx>
            <c:strRef>
              <c:f>'Each objective_columns'!$A$7</c:f>
              <c:strCache>
                <c:ptCount val="1"/>
                <c:pt idx="0">
                  <c:v>Reached</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objective_columns'!$B$7:$F$7</c:f>
              <c:numCache>
                <c:formatCode>General</c:formatCode>
                <c:ptCount val="5"/>
                <c:pt idx="3">
                  <c:v>1</c:v>
                </c:pt>
                <c:pt idx="4">
                  <c:v>1</c:v>
                </c:pt>
              </c:numCache>
            </c:numRef>
          </c:val>
          <c:extLst>
            <c:ext xmlns:c16="http://schemas.microsoft.com/office/drawing/2014/chart" uri="{C3380CC4-5D6E-409C-BE32-E72D297353CC}">
              <c16:uniqueId val="{00000005-414F-4803-8B1C-0C3912875B61}"/>
            </c:ext>
          </c:extLst>
        </c:ser>
        <c:ser>
          <c:idx val="6"/>
          <c:order val="6"/>
          <c:tx>
            <c:strRef>
              <c:f>'Each objective_columns'!$A$8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objective_columns'!$B$8:$F$8</c:f>
              <c:numCache>
                <c:formatCode>General</c:formatCode>
                <c:ptCount val="5"/>
                <c:pt idx="0">
                  <c:v>1</c:v>
                </c:pt>
                <c:pt idx="2">
                  <c:v>2</c:v>
                </c:pt>
                <c:pt idx="4">
                  <c:v>1</c:v>
                </c:pt>
              </c:numCache>
            </c:numRef>
          </c:val>
          <c:extLst>
            <c:ext xmlns:c16="http://schemas.microsoft.com/office/drawing/2014/chart" uri="{C3380CC4-5D6E-409C-BE32-E72D297353CC}">
              <c16:uniqueId val="{00000006-414F-4803-8B1C-0C3912875B61}"/>
            </c:ext>
          </c:extLst>
        </c:ser>
        <c:dLbls>
          <c:showLegendKey val="0"/>
          <c:showVal val="0"/>
          <c:showCatName val="0"/>
          <c:showSerName val="0"/>
          <c:showPercent val="0"/>
          <c:showBubbleSize val="0"/>
        </c:dLbls>
        <c:gapWidth val="150"/>
        <c:overlap val="100"/>
        <c:axId val="553056912"/>
        <c:axId val="553057472"/>
      </c:barChart>
      <c:catAx>
        <c:axId val="553056912"/>
        <c:scaling>
          <c:orientation val="minMax"/>
        </c:scaling>
        <c:delete val="0"/>
        <c:axPos val="b"/>
        <c:numFmt formatCode="General" sourceLinked="0"/>
        <c:majorTickMark val="out"/>
        <c:minorTickMark val="none"/>
        <c:tickLblPos val="nextTo"/>
        <c:crossAx val="553057472"/>
        <c:crosses val="autoZero"/>
        <c:auto val="1"/>
        <c:lblAlgn val="ctr"/>
        <c:lblOffset val="100"/>
        <c:noMultiLvlLbl val="0"/>
      </c:catAx>
      <c:valAx>
        <c:axId val="553057472"/>
        <c:scaling>
          <c:orientation val="minMax"/>
        </c:scaling>
        <c:delete val="0"/>
        <c:axPos val="l"/>
        <c:majorGridlines/>
        <c:numFmt formatCode="0%" sourceLinked="1"/>
        <c:majorTickMark val="out"/>
        <c:minorTickMark val="none"/>
        <c:tickLblPos val="nextTo"/>
        <c:crossAx val="553056912"/>
        <c:crosses val="autoZero"/>
        <c:crossBetween val="between"/>
      </c:valAx>
    </c:plotArea>
    <c:legend>
      <c:legendPos val="t"/>
      <c:legendEntry>
        <c:idx val="1"/>
        <c:delete val="1"/>
      </c:legendEntry>
      <c:overlay val="0"/>
    </c:legend>
    <c:plotVisOnly val="1"/>
    <c:dispBlanksAs val="gap"/>
    <c:showDLblsOverMax val="0"/>
  </c:chart>
  <c:spPr>
    <a:noFill/>
    <a:ln w="15875">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objective_columns'!$A$2</c:f>
              <c:strCache>
                <c:ptCount val="1"/>
                <c:pt idx="0">
                  <c:v>Not reached/no progress</c:v>
                </c:pt>
              </c:strCache>
            </c:strRef>
          </c:tx>
          <c:spPr>
            <a:solidFill>
              <a:srgbClr val="FF3300"/>
            </a:solidFill>
          </c:spPr>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objective_columns'!$B$2:$F$2</c:f>
              <c:numCache>
                <c:formatCode>General</c:formatCode>
                <c:ptCount val="5"/>
              </c:numCache>
            </c:numRef>
          </c:val>
          <c:extLst>
            <c:ext xmlns:c16="http://schemas.microsoft.com/office/drawing/2014/chart" uri="{C3380CC4-5D6E-409C-BE32-E72D297353CC}">
              <c16:uniqueId val="{00000000-421E-43FF-97BE-862389917A72}"/>
            </c:ext>
          </c:extLst>
        </c:ser>
        <c:ser>
          <c:idx val="1"/>
          <c:order val="1"/>
          <c:tx>
            <c:strRef>
              <c:f>'Each objective_columns'!$A$3</c:f>
              <c:strCache>
                <c:ptCount val="1"/>
              </c:strCache>
            </c:strRef>
          </c:tx>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objective_columns'!$B$3:$F$3</c:f>
              <c:numCache>
                <c:formatCode>General</c:formatCode>
                <c:ptCount val="5"/>
              </c:numCache>
            </c:numRef>
          </c:val>
          <c:extLst>
            <c:ext xmlns:c16="http://schemas.microsoft.com/office/drawing/2014/chart" uri="{C3380CC4-5D6E-409C-BE32-E72D297353CC}">
              <c16:uniqueId val="{00000001-421E-43FF-97BE-862389917A72}"/>
            </c:ext>
          </c:extLst>
        </c:ser>
        <c:ser>
          <c:idx val="2"/>
          <c:order val="2"/>
          <c:tx>
            <c:strRef>
              <c:f>'Each objective_columns'!$A$4</c:f>
              <c:strCache>
                <c:ptCount val="1"/>
                <c:pt idx="0">
                  <c:v>Limited progress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objective_columns'!$B$4:$F$4</c:f>
              <c:numCache>
                <c:formatCode>General</c:formatCode>
                <c:ptCount val="5"/>
                <c:pt idx="0">
                  <c:v>3</c:v>
                </c:pt>
                <c:pt idx="2">
                  <c:v>2</c:v>
                </c:pt>
                <c:pt idx="3">
                  <c:v>2</c:v>
                </c:pt>
                <c:pt idx="4">
                  <c:v>3</c:v>
                </c:pt>
              </c:numCache>
            </c:numRef>
          </c:val>
          <c:extLst>
            <c:ext xmlns:c16="http://schemas.microsoft.com/office/drawing/2014/chart" uri="{C3380CC4-5D6E-409C-BE32-E72D297353CC}">
              <c16:uniqueId val="{00000002-421E-43FF-97BE-862389917A72}"/>
            </c:ext>
          </c:extLst>
        </c:ser>
        <c:ser>
          <c:idx val="3"/>
          <c:order val="3"/>
          <c:tx>
            <c:strRef>
              <c:f>'Each objective_columns'!$A$5</c:f>
              <c:strCache>
                <c:ptCount val="1"/>
                <c:pt idx="0">
                  <c:v>Good progress</c:v>
                </c:pt>
              </c:strCache>
            </c:strRef>
          </c:tx>
          <c:spPr>
            <a:solidFill>
              <a:srgbClr val="FFFF9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objective_columns'!$B$5:$F$5</c:f>
              <c:numCache>
                <c:formatCode>General</c:formatCode>
                <c:ptCount val="5"/>
                <c:pt idx="0">
                  <c:v>2</c:v>
                </c:pt>
                <c:pt idx="1">
                  <c:v>4</c:v>
                </c:pt>
                <c:pt idx="4">
                  <c:v>3</c:v>
                </c:pt>
              </c:numCache>
            </c:numRef>
          </c:val>
          <c:extLst>
            <c:ext xmlns:c16="http://schemas.microsoft.com/office/drawing/2014/chart" uri="{C3380CC4-5D6E-409C-BE32-E72D297353CC}">
              <c16:uniqueId val="{00000003-421E-43FF-97BE-862389917A72}"/>
            </c:ext>
          </c:extLst>
        </c:ser>
        <c:ser>
          <c:idx val="4"/>
          <c:order val="4"/>
          <c:tx>
            <c:strRef>
              <c:f>'Each objective_columns'!$A$6</c:f>
              <c:strCache>
                <c:ptCount val="1"/>
                <c:pt idx="0">
                  <c:v>Significant progress</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objective_columns'!$B$6:$F$6</c:f>
              <c:numCache>
                <c:formatCode>General</c:formatCode>
                <c:ptCount val="5"/>
                <c:pt idx="2">
                  <c:v>1</c:v>
                </c:pt>
                <c:pt idx="4">
                  <c:v>1</c:v>
                </c:pt>
              </c:numCache>
            </c:numRef>
          </c:val>
          <c:extLst>
            <c:ext xmlns:c16="http://schemas.microsoft.com/office/drawing/2014/chart" uri="{C3380CC4-5D6E-409C-BE32-E72D297353CC}">
              <c16:uniqueId val="{00000004-421E-43FF-97BE-862389917A72}"/>
            </c:ext>
          </c:extLst>
        </c:ser>
        <c:ser>
          <c:idx val="5"/>
          <c:order val="5"/>
          <c:tx>
            <c:strRef>
              <c:f>'Each objective_columns'!$A$7</c:f>
              <c:strCache>
                <c:ptCount val="1"/>
                <c:pt idx="0">
                  <c:v>Reached</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objective_columns'!$B$7:$F$7</c:f>
              <c:numCache>
                <c:formatCode>General</c:formatCode>
                <c:ptCount val="5"/>
                <c:pt idx="3">
                  <c:v>1</c:v>
                </c:pt>
              </c:numCache>
            </c:numRef>
          </c:val>
          <c:extLst>
            <c:ext xmlns:c16="http://schemas.microsoft.com/office/drawing/2014/chart" uri="{C3380CC4-5D6E-409C-BE32-E72D297353CC}">
              <c16:uniqueId val="{00000005-421E-43FF-97BE-862389917A72}"/>
            </c:ext>
          </c:extLst>
        </c:ser>
        <c:ser>
          <c:idx val="6"/>
          <c:order val="6"/>
          <c:tx>
            <c:strRef>
              <c:f>'Each objective_columns'!$A$8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objective_columns'!$B$8:$F$8</c:f>
              <c:numCache>
                <c:formatCode>General</c:formatCode>
                <c:ptCount val="5"/>
                <c:pt idx="1">
                  <c:v>1</c:v>
                </c:pt>
                <c:pt idx="2">
                  <c:v>2</c:v>
                </c:pt>
                <c:pt idx="4">
                  <c:v>1</c:v>
                </c:pt>
              </c:numCache>
            </c:numRef>
          </c:val>
          <c:extLst>
            <c:ext xmlns:c16="http://schemas.microsoft.com/office/drawing/2014/chart" uri="{C3380CC4-5D6E-409C-BE32-E72D297353CC}">
              <c16:uniqueId val="{00000006-421E-43FF-97BE-862389917A72}"/>
            </c:ext>
          </c:extLst>
        </c:ser>
        <c:dLbls>
          <c:showLegendKey val="0"/>
          <c:showVal val="0"/>
          <c:showCatName val="0"/>
          <c:showSerName val="0"/>
          <c:showPercent val="0"/>
          <c:showBubbleSize val="0"/>
        </c:dLbls>
        <c:gapWidth val="150"/>
        <c:overlap val="100"/>
        <c:axId val="644993472"/>
        <c:axId val="642125072"/>
      </c:barChart>
      <c:catAx>
        <c:axId val="644993472"/>
        <c:scaling>
          <c:orientation val="minMax"/>
        </c:scaling>
        <c:delete val="0"/>
        <c:axPos val="b"/>
        <c:numFmt formatCode="General" sourceLinked="0"/>
        <c:majorTickMark val="out"/>
        <c:minorTickMark val="none"/>
        <c:tickLblPos val="nextTo"/>
        <c:crossAx val="642125072"/>
        <c:crosses val="autoZero"/>
        <c:auto val="1"/>
        <c:lblAlgn val="ctr"/>
        <c:lblOffset val="100"/>
        <c:noMultiLvlLbl val="0"/>
      </c:catAx>
      <c:valAx>
        <c:axId val="642125072"/>
        <c:scaling>
          <c:orientation val="minMax"/>
        </c:scaling>
        <c:delete val="0"/>
        <c:axPos val="l"/>
        <c:majorGridlines/>
        <c:numFmt formatCode="0%" sourceLinked="1"/>
        <c:majorTickMark val="out"/>
        <c:minorTickMark val="none"/>
        <c:tickLblPos val="nextTo"/>
        <c:crossAx val="644993472"/>
        <c:crosses val="autoZero"/>
        <c:crossBetween val="between"/>
      </c:valAx>
    </c:plotArea>
    <c:legend>
      <c:legendPos val="t"/>
      <c:legendEntry>
        <c:idx val="1"/>
        <c:delete val="1"/>
      </c:legendEntry>
      <c:overlay val="0"/>
    </c:legend>
    <c:plotVisOnly val="1"/>
    <c:dispBlanksAs val="gap"/>
    <c:showDLblsOverMax val="0"/>
  </c:chart>
  <c:spPr>
    <a:ln w="15875">
      <a:solidFill>
        <a:srgbClr val="4F81BD"/>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C073-4534-860A-81B2BF851CD1}"/>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B11F-49C3-B75F-62546E141E3C}"/>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B11F-49C3-B75F-62546E141E3C}"/>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237F-4B74-9E8C-2F62EE86B611}"/>
              </c:ext>
            </c:extLst>
          </c:dPt>
          <c:dPt>
            <c:idx val="1"/>
            <c:bubble3D val="0"/>
            <c:spPr>
              <a:solidFill>
                <a:srgbClr val="FF3300"/>
              </a:solidFill>
            </c:spPr>
            <c:extLst>
              <c:ext xmlns:c16="http://schemas.microsoft.com/office/drawing/2014/chart" uri="{C3380CC4-5D6E-409C-BE32-E72D297353CC}">
                <c16:uniqueId val="{00000003-237F-4B74-9E8C-2F62EE86B611}"/>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237F-4B74-9E8C-2F62EE86B611}"/>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8B57-48B7-893C-3B2DB56CA9D6}"/>
              </c:ext>
            </c:extLst>
          </c:dPt>
          <c:dPt>
            <c:idx val="1"/>
            <c:bubble3D val="0"/>
            <c:spPr>
              <a:solidFill>
                <a:srgbClr val="FF3300"/>
              </a:solidFill>
            </c:spPr>
            <c:extLst>
              <c:ext xmlns:c16="http://schemas.microsoft.com/office/drawing/2014/chart" uri="{C3380CC4-5D6E-409C-BE32-E72D297353CC}">
                <c16:uniqueId val="{00000003-8B57-48B7-893C-3B2DB56CA9D6}"/>
              </c:ext>
            </c:extLst>
          </c:dPt>
          <c:cat>
            <c:numRef>
              <c:f>Sheet1!$A$2:$A$5</c:f>
              <c:numCache>
                <c:formatCode>General</c:formatCode>
                <c:ptCount val="4"/>
              </c:numCache>
            </c:numRef>
          </c:cat>
          <c:val>
            <c:numRef>
              <c:f>Sheet1!$B$2:$B$5</c:f>
              <c:numCache>
                <c:formatCode>General</c:formatCode>
                <c:ptCount val="4"/>
                <c:pt idx="0">
                  <c:v>75</c:v>
                </c:pt>
                <c:pt idx="1">
                  <c:v>25</c:v>
                </c:pt>
              </c:numCache>
            </c:numRef>
          </c:val>
          <c:extLst>
            <c:ext xmlns:c16="http://schemas.microsoft.com/office/drawing/2014/chart" uri="{C3380CC4-5D6E-409C-BE32-E72D297353CC}">
              <c16:uniqueId val="{00000004-8B57-48B7-893C-3B2DB56CA9D6}"/>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43F9-4500-AEC0-19484003AB0E}"/>
              </c:ext>
            </c:extLst>
          </c:dPt>
          <c:dPt>
            <c:idx val="1"/>
            <c:bubble3D val="0"/>
            <c:spPr>
              <a:solidFill>
                <a:srgbClr val="FFC000"/>
              </a:solidFill>
            </c:spPr>
            <c:extLst>
              <c:ext xmlns:c16="http://schemas.microsoft.com/office/drawing/2014/chart" uri="{C3380CC4-5D6E-409C-BE32-E72D297353CC}">
                <c16:uniqueId val="{00000003-43F9-4500-AEC0-19484003AB0E}"/>
              </c:ext>
            </c:extLst>
          </c:dPt>
          <c:dPt>
            <c:idx val="2"/>
            <c:bubble3D val="0"/>
            <c:spPr>
              <a:solidFill>
                <a:srgbClr val="FFFF99"/>
              </a:solidFill>
            </c:spPr>
            <c:extLst>
              <c:ext xmlns:c16="http://schemas.microsoft.com/office/drawing/2014/chart" uri="{C3380CC4-5D6E-409C-BE32-E72D297353CC}">
                <c16:uniqueId val="{00000005-43F9-4500-AEC0-19484003AB0E}"/>
              </c:ext>
            </c:extLst>
          </c:dPt>
          <c:dPt>
            <c:idx val="3"/>
            <c:bubble3D val="0"/>
            <c:spPr>
              <a:solidFill>
                <a:schemeClr val="tx2">
                  <a:lumMod val="60000"/>
                  <a:lumOff val="40000"/>
                </a:schemeClr>
              </a:solidFill>
            </c:spPr>
            <c:extLst>
              <c:ext xmlns:c16="http://schemas.microsoft.com/office/drawing/2014/chart" uri="{C3380CC4-5D6E-409C-BE32-E72D297353CC}">
                <c16:uniqueId val="{00000007-43F9-4500-AEC0-19484003AB0E}"/>
              </c:ext>
            </c:extLst>
          </c:dPt>
          <c:dPt>
            <c:idx val="4"/>
            <c:bubble3D val="0"/>
            <c:spPr>
              <a:solidFill>
                <a:srgbClr val="92D050"/>
              </a:solidFill>
            </c:spPr>
            <c:extLst>
              <c:ext xmlns:c16="http://schemas.microsoft.com/office/drawing/2014/chart" uri="{C3380CC4-5D6E-409C-BE32-E72D297353CC}">
                <c16:uniqueId val="{00000009-43F9-4500-AEC0-19484003AB0E}"/>
              </c:ext>
            </c:extLst>
          </c:dPt>
          <c:dPt>
            <c:idx val="5"/>
            <c:bubble3D val="0"/>
            <c:spPr>
              <a:solidFill>
                <a:schemeClr val="bg1">
                  <a:lumMod val="65000"/>
                </a:schemeClr>
              </a:solidFill>
            </c:spPr>
            <c:extLst>
              <c:ext xmlns:c16="http://schemas.microsoft.com/office/drawing/2014/chart" uri="{C3380CC4-5D6E-409C-BE32-E72D297353CC}">
                <c16:uniqueId val="{0000000B-43F9-4500-AEC0-19484003AB0E}"/>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Goal!$A$11:$F$11</c:f>
              <c:strCache>
                <c:ptCount val="6"/>
                <c:pt idx="0">
                  <c:v>Not achieved/no progress</c:v>
                </c:pt>
                <c:pt idx="1">
                  <c:v>Limited progress</c:v>
                </c:pt>
                <c:pt idx="2">
                  <c:v>Good progress</c:v>
                </c:pt>
                <c:pt idx="3">
                  <c:v>Significant progress</c:v>
                </c:pt>
                <c:pt idx="4">
                  <c:v>Achieved</c:v>
                </c:pt>
                <c:pt idx="5">
                  <c:v>Not assessed</c:v>
                </c:pt>
              </c:strCache>
            </c:strRef>
          </c:cat>
          <c:val>
            <c:numRef>
              <c:f>Goal!$A$12:$F$12</c:f>
              <c:numCache>
                <c:formatCode>General</c:formatCode>
                <c:ptCount val="6"/>
                <c:pt idx="0">
                  <c:v>5</c:v>
                </c:pt>
                <c:pt idx="1">
                  <c:v>2</c:v>
                </c:pt>
                <c:pt idx="2">
                  <c:v>1</c:v>
                </c:pt>
                <c:pt idx="5">
                  <c:v>4</c:v>
                </c:pt>
              </c:numCache>
            </c:numRef>
          </c:val>
          <c:extLst>
            <c:ext xmlns:c16="http://schemas.microsoft.com/office/drawing/2014/chart" uri="{C3380CC4-5D6E-409C-BE32-E72D297353CC}">
              <c16:uniqueId val="{0000000C-43F9-4500-AEC0-19484003AB0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a:solidFill>
        <a:srgbClr val="4F81BD"/>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33C9-480C-9EB4-45808720FFB3}"/>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a:ln>
              <a:noFill/>
            </a:ln>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3C9C-4525-8622-D79F1B686FD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DB17-4476-95FB-009B5CBA4FCA}"/>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FCDC-498E-93C3-355CB7644E7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3F88-400F-AA80-DE325927CB2E}"/>
              </c:ext>
            </c:extLst>
          </c:dPt>
          <c:dPt>
            <c:idx val="1"/>
            <c:bubble3D val="0"/>
            <c:spPr>
              <a:solidFill>
                <a:srgbClr val="FF3300"/>
              </a:solidFill>
            </c:spPr>
            <c:extLst>
              <c:ext xmlns:c16="http://schemas.microsoft.com/office/drawing/2014/chart" uri="{C3380CC4-5D6E-409C-BE32-E72D297353CC}">
                <c16:uniqueId val="{00000003-3F88-400F-AA80-DE325927CB2E}"/>
              </c:ext>
            </c:extLst>
          </c:dPt>
          <c:cat>
            <c:numRef>
              <c:f>Sheet1!$A$2:$A$5</c:f>
              <c:numCache>
                <c:formatCode>General</c:formatCode>
                <c:ptCount val="4"/>
              </c:numCache>
            </c:numRef>
          </c:cat>
          <c:val>
            <c:numRef>
              <c:f>Sheet1!$B$2:$B$5</c:f>
              <c:numCache>
                <c:formatCode>General</c:formatCode>
                <c:ptCount val="4"/>
                <c:pt idx="0">
                  <c:v>75</c:v>
                </c:pt>
                <c:pt idx="1">
                  <c:v>25</c:v>
                </c:pt>
              </c:numCache>
            </c:numRef>
          </c:val>
          <c:extLst>
            <c:ext xmlns:c16="http://schemas.microsoft.com/office/drawing/2014/chart" uri="{C3380CC4-5D6E-409C-BE32-E72D297353CC}">
              <c16:uniqueId val="{00000004-3F88-400F-AA80-DE325927CB2E}"/>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5B4B-454F-B7DC-E78DE467974E}"/>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2EC8-4520-86DE-65645A070C02}"/>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7AA0-4589-8A58-94562FDDF77F}"/>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566F-4823-AF22-E4DFA2AF0968}"/>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F7F2-4FD9-AF05-F352D6DB679A}"/>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41CE-4CDE-9038-20DDEC32ADFA}"/>
              </c:ext>
            </c:extLst>
          </c:dPt>
          <c:dPt>
            <c:idx val="1"/>
            <c:bubble3D val="0"/>
            <c:spPr>
              <a:solidFill>
                <a:srgbClr val="FFC000"/>
              </a:solidFill>
            </c:spPr>
            <c:extLst>
              <c:ext xmlns:c16="http://schemas.microsoft.com/office/drawing/2014/chart" uri="{C3380CC4-5D6E-409C-BE32-E72D297353CC}">
                <c16:uniqueId val="{00000003-41CE-4CDE-9038-20DDEC32ADFA}"/>
              </c:ext>
            </c:extLst>
          </c:dPt>
          <c:dPt>
            <c:idx val="2"/>
            <c:bubble3D val="0"/>
            <c:spPr>
              <a:solidFill>
                <a:srgbClr val="FFFF99"/>
              </a:solidFill>
            </c:spPr>
            <c:extLst>
              <c:ext xmlns:c16="http://schemas.microsoft.com/office/drawing/2014/chart" uri="{C3380CC4-5D6E-409C-BE32-E72D297353CC}">
                <c16:uniqueId val="{00000005-41CE-4CDE-9038-20DDEC32ADFA}"/>
              </c:ext>
            </c:extLst>
          </c:dPt>
          <c:dPt>
            <c:idx val="3"/>
            <c:bubble3D val="0"/>
            <c:spPr>
              <a:solidFill>
                <a:schemeClr val="tx2">
                  <a:lumMod val="60000"/>
                  <a:lumOff val="40000"/>
                </a:schemeClr>
              </a:solidFill>
            </c:spPr>
            <c:extLst>
              <c:ext xmlns:c16="http://schemas.microsoft.com/office/drawing/2014/chart" uri="{C3380CC4-5D6E-409C-BE32-E72D297353CC}">
                <c16:uniqueId val="{00000007-41CE-4CDE-9038-20DDEC32ADFA}"/>
              </c:ext>
            </c:extLst>
          </c:dPt>
          <c:dPt>
            <c:idx val="4"/>
            <c:bubble3D val="0"/>
            <c:spPr>
              <a:solidFill>
                <a:srgbClr val="92D050"/>
              </a:solidFill>
            </c:spPr>
            <c:extLst>
              <c:ext xmlns:c16="http://schemas.microsoft.com/office/drawing/2014/chart" uri="{C3380CC4-5D6E-409C-BE32-E72D297353CC}">
                <c16:uniqueId val="{00000009-41CE-4CDE-9038-20DDEC32ADFA}"/>
              </c:ext>
            </c:extLst>
          </c:dPt>
          <c:dPt>
            <c:idx val="5"/>
            <c:bubble3D val="0"/>
            <c:spPr>
              <a:solidFill>
                <a:schemeClr val="bg1">
                  <a:lumMod val="65000"/>
                </a:schemeClr>
              </a:solidFill>
            </c:spPr>
            <c:extLst>
              <c:ext xmlns:c16="http://schemas.microsoft.com/office/drawing/2014/chart" uri="{C3380CC4-5D6E-409C-BE32-E72D297353CC}">
                <c16:uniqueId val="{0000000B-41CE-4CDE-9038-20DDEC32ADFA}"/>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Goal!$A$11:$F$11</c:f>
              <c:strCache>
                <c:ptCount val="6"/>
                <c:pt idx="0">
                  <c:v>Not achieved/no progress</c:v>
                </c:pt>
                <c:pt idx="1">
                  <c:v>Limited progress</c:v>
                </c:pt>
                <c:pt idx="2">
                  <c:v>Good progress</c:v>
                </c:pt>
                <c:pt idx="3">
                  <c:v>Significant progress</c:v>
                </c:pt>
                <c:pt idx="4">
                  <c:v>Achieved</c:v>
                </c:pt>
                <c:pt idx="5">
                  <c:v>Not assessed</c:v>
                </c:pt>
              </c:strCache>
            </c:strRef>
          </c:cat>
          <c:val>
            <c:numRef>
              <c:f>Goal!$A$12:$F$12</c:f>
              <c:numCache>
                <c:formatCode>General</c:formatCode>
                <c:ptCount val="6"/>
                <c:pt idx="0">
                  <c:v>5</c:v>
                </c:pt>
                <c:pt idx="1">
                  <c:v>3</c:v>
                </c:pt>
                <c:pt idx="2">
                  <c:v>2</c:v>
                </c:pt>
                <c:pt idx="4">
                  <c:v>1</c:v>
                </c:pt>
                <c:pt idx="5">
                  <c:v>1</c:v>
                </c:pt>
              </c:numCache>
            </c:numRef>
          </c:val>
          <c:extLst>
            <c:ext xmlns:c16="http://schemas.microsoft.com/office/drawing/2014/chart" uri="{C3380CC4-5D6E-409C-BE32-E72D297353CC}">
              <c16:uniqueId val="{0000000C-41CE-4CDE-9038-20DDEC32ADF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cmpd="sng">
      <a:solidFill>
        <a:srgbClr val="4F81BD"/>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A36D-4132-8216-A907A5745C1C}"/>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F2ED-4E5E-8BD2-40AFBB32AB1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BCBF-42E3-9AB7-0B4CFEF5E0DC}"/>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3785-415E-B813-EAC16B3F93BF}"/>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7019-4D45-B61C-BBE3F3258F0B}"/>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7019-4D45-B61C-BBE3F3258F0B}"/>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B695-466F-A9EA-1F92B4E62724}"/>
              </c:ext>
            </c:extLst>
          </c:dPt>
          <c:dPt>
            <c:idx val="1"/>
            <c:bubble3D val="0"/>
            <c:spPr>
              <a:solidFill>
                <a:srgbClr val="FF3300"/>
              </a:solidFill>
            </c:spPr>
            <c:extLst>
              <c:ext xmlns:c16="http://schemas.microsoft.com/office/drawing/2014/chart" uri="{C3380CC4-5D6E-409C-BE32-E72D297353CC}">
                <c16:uniqueId val="{00000003-B695-466F-A9EA-1F92B4E62724}"/>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B695-466F-A9EA-1F92B4E6272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3A1A-47D4-9BC9-64BE03560067}"/>
              </c:ext>
            </c:extLst>
          </c:dPt>
          <c:dPt>
            <c:idx val="1"/>
            <c:bubble3D val="0"/>
            <c:spPr>
              <a:solidFill>
                <a:srgbClr val="FF3300"/>
              </a:solidFill>
            </c:spPr>
            <c:extLst>
              <c:ext xmlns:c16="http://schemas.microsoft.com/office/drawing/2014/chart" uri="{C3380CC4-5D6E-409C-BE32-E72D297353CC}">
                <c16:uniqueId val="{00000003-3A1A-47D4-9BC9-64BE03560067}"/>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3A1A-47D4-9BC9-64BE0356006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D15C-4E04-A691-72D21504188D}"/>
              </c:ext>
            </c:extLst>
          </c:dPt>
          <c:dPt>
            <c:idx val="1"/>
            <c:bubble3D val="0"/>
            <c:spPr>
              <a:solidFill>
                <a:srgbClr val="FF3300"/>
              </a:solidFill>
            </c:spPr>
            <c:extLst>
              <c:ext xmlns:c16="http://schemas.microsoft.com/office/drawing/2014/chart" uri="{C3380CC4-5D6E-409C-BE32-E72D297353CC}">
                <c16:uniqueId val="{00000003-D15C-4E04-A691-72D21504188D}"/>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D15C-4E04-A691-72D21504188D}"/>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A3DB-4A63-A6C4-041C1033850E}"/>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A3DB-4A63-A6C4-041C1033850E}"/>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1EDC-47AD-8B52-41E1D79E8F27}"/>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1EDC-47AD-8B52-41E1D79E8F2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5D8B-466C-BDB0-C83A6CA8ECE9}"/>
              </c:ext>
            </c:extLst>
          </c:dPt>
          <c:dPt>
            <c:idx val="1"/>
            <c:bubble3D val="0"/>
            <c:spPr>
              <a:solidFill>
                <a:srgbClr val="FFC000"/>
              </a:solidFill>
            </c:spPr>
            <c:extLst>
              <c:ext xmlns:c16="http://schemas.microsoft.com/office/drawing/2014/chart" uri="{C3380CC4-5D6E-409C-BE32-E72D297353CC}">
                <c16:uniqueId val="{00000003-5D8B-466C-BDB0-C83A6CA8ECE9}"/>
              </c:ext>
            </c:extLst>
          </c:dPt>
          <c:dPt>
            <c:idx val="2"/>
            <c:bubble3D val="0"/>
            <c:spPr>
              <a:solidFill>
                <a:srgbClr val="FFFF99"/>
              </a:solidFill>
            </c:spPr>
            <c:extLst>
              <c:ext xmlns:c16="http://schemas.microsoft.com/office/drawing/2014/chart" uri="{C3380CC4-5D6E-409C-BE32-E72D297353CC}">
                <c16:uniqueId val="{00000005-5D8B-466C-BDB0-C83A6CA8ECE9}"/>
              </c:ext>
            </c:extLst>
          </c:dPt>
          <c:dPt>
            <c:idx val="3"/>
            <c:bubble3D val="0"/>
            <c:spPr>
              <a:solidFill>
                <a:schemeClr val="tx2">
                  <a:lumMod val="60000"/>
                  <a:lumOff val="40000"/>
                </a:schemeClr>
              </a:solidFill>
            </c:spPr>
            <c:extLst>
              <c:ext xmlns:c16="http://schemas.microsoft.com/office/drawing/2014/chart" uri="{C3380CC4-5D6E-409C-BE32-E72D297353CC}">
                <c16:uniqueId val="{00000007-5D8B-466C-BDB0-C83A6CA8ECE9}"/>
              </c:ext>
            </c:extLst>
          </c:dPt>
          <c:dPt>
            <c:idx val="4"/>
            <c:bubble3D val="0"/>
            <c:spPr>
              <a:solidFill>
                <a:srgbClr val="92D050"/>
              </a:solidFill>
            </c:spPr>
            <c:extLst>
              <c:ext xmlns:c16="http://schemas.microsoft.com/office/drawing/2014/chart" uri="{C3380CC4-5D6E-409C-BE32-E72D297353CC}">
                <c16:uniqueId val="{00000009-5D8B-466C-BDB0-C83A6CA8ECE9}"/>
              </c:ext>
            </c:extLst>
          </c:dPt>
          <c:dPt>
            <c:idx val="5"/>
            <c:bubble3D val="0"/>
            <c:spPr>
              <a:solidFill>
                <a:schemeClr val="bg1">
                  <a:lumMod val="65000"/>
                </a:schemeClr>
              </a:solidFill>
            </c:spPr>
            <c:extLst>
              <c:ext xmlns:c16="http://schemas.microsoft.com/office/drawing/2014/chart" uri="{C3380CC4-5D6E-409C-BE32-E72D297353CC}">
                <c16:uniqueId val="{0000000B-5D8B-466C-BDB0-C83A6CA8ECE9}"/>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'[SP report_graphs.xlsx]Goal'!$A$3:$F$3</c:f>
              <c:strCache>
                <c:ptCount val="6"/>
                <c:pt idx="0">
                  <c:v>Not achieved/no progress</c:v>
                </c:pt>
                <c:pt idx="1">
                  <c:v>Limited progress</c:v>
                </c:pt>
                <c:pt idx="2">
                  <c:v>Good progress</c:v>
                </c:pt>
                <c:pt idx="3">
                  <c:v>Significant progress</c:v>
                </c:pt>
                <c:pt idx="4">
                  <c:v>Achieved</c:v>
                </c:pt>
                <c:pt idx="5">
                  <c:v>Not assessed</c:v>
                </c:pt>
              </c:strCache>
            </c:strRef>
          </c:cat>
          <c:val>
            <c:numRef>
              <c:f>'[SP report_graphs.xlsx]Goal'!$A$4:$F$4</c:f>
              <c:numCache>
                <c:formatCode>General</c:formatCode>
                <c:ptCount val="6"/>
                <c:pt idx="0">
                  <c:v>6</c:v>
                </c:pt>
                <c:pt idx="3">
                  <c:v>1</c:v>
                </c:pt>
                <c:pt idx="4">
                  <c:v>1</c:v>
                </c:pt>
              </c:numCache>
            </c:numRef>
          </c:val>
          <c:extLst>
            <c:ext xmlns:c16="http://schemas.microsoft.com/office/drawing/2014/chart" uri="{C3380CC4-5D6E-409C-BE32-E72D297353CC}">
              <c16:uniqueId val="{0000000C-5D8B-466C-BDB0-C83A6CA8ECE9}"/>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w="15875">
      <a:solidFill>
        <a:srgbClr val="0070C0"/>
      </a:solid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76EA-40EF-A29D-053E95FD7F87}"/>
              </c:ext>
            </c:extLst>
          </c:dPt>
          <c:dPt>
            <c:idx val="1"/>
            <c:bubble3D val="0"/>
            <c:spPr>
              <a:solidFill>
                <a:srgbClr val="FF3300"/>
              </a:solidFill>
            </c:spPr>
            <c:extLst>
              <c:ext xmlns:c16="http://schemas.microsoft.com/office/drawing/2014/chart" uri="{C3380CC4-5D6E-409C-BE32-E72D297353CC}">
                <c16:uniqueId val="{00000003-76EA-40EF-A29D-053E95FD7F87}"/>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76EA-40EF-A29D-053E95FD7F8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5320-4E2D-BE27-F55580E37AC2}"/>
              </c:ext>
            </c:extLst>
          </c:dPt>
          <c:dPt>
            <c:idx val="1"/>
            <c:bubble3D val="0"/>
            <c:spPr>
              <a:solidFill>
                <a:srgbClr val="FF3300"/>
              </a:solidFill>
            </c:spPr>
            <c:extLst>
              <c:ext xmlns:c16="http://schemas.microsoft.com/office/drawing/2014/chart" uri="{C3380CC4-5D6E-409C-BE32-E72D297353CC}">
                <c16:uniqueId val="{00000003-5320-4E2D-BE27-F55580E37AC2}"/>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5320-4E2D-BE27-F55580E37AC2}"/>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661A-4ADB-8478-E872837A7BA8}"/>
              </c:ext>
            </c:extLst>
          </c:dPt>
          <c:dPt>
            <c:idx val="1"/>
            <c:bubble3D val="0"/>
            <c:spPr>
              <a:solidFill>
                <a:srgbClr val="FF3300"/>
              </a:solidFill>
            </c:spPr>
            <c:extLst>
              <c:ext xmlns:c16="http://schemas.microsoft.com/office/drawing/2014/chart" uri="{C3380CC4-5D6E-409C-BE32-E72D297353CC}">
                <c16:uniqueId val="{00000003-661A-4ADB-8478-E872837A7BA8}"/>
              </c:ext>
            </c:extLst>
          </c:dPt>
          <c:cat>
            <c:numRef>
              <c:f>Sheet1!$A$2:$A$5</c:f>
              <c:numCache>
                <c:formatCode>General</c:formatCode>
                <c:ptCount val="4"/>
              </c:numCache>
            </c:numRef>
          </c:cat>
          <c:val>
            <c:numRef>
              <c:f>Sheet1!$B$2:$B$5</c:f>
              <c:numCache>
                <c:formatCode>General</c:formatCode>
                <c:ptCount val="4"/>
                <c:pt idx="0">
                  <c:v>75</c:v>
                </c:pt>
                <c:pt idx="1">
                  <c:v>25</c:v>
                </c:pt>
              </c:numCache>
            </c:numRef>
          </c:val>
          <c:extLst>
            <c:ext xmlns:c16="http://schemas.microsoft.com/office/drawing/2014/chart" uri="{C3380CC4-5D6E-409C-BE32-E72D297353CC}">
              <c16:uniqueId val="{00000004-661A-4ADB-8478-E872837A7BA8}"/>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6DC9-44A2-B0BF-7E43DA598659}"/>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A1A9-4069-AA99-ECFD4600F70D}"/>
              </c:ext>
            </c:extLst>
          </c:dPt>
          <c:dPt>
            <c:idx val="1"/>
            <c:bubble3D val="0"/>
            <c:spPr>
              <a:solidFill>
                <a:srgbClr val="FF3300"/>
              </a:solidFill>
            </c:spPr>
            <c:extLst>
              <c:ext xmlns:c16="http://schemas.microsoft.com/office/drawing/2014/chart" uri="{C3380CC4-5D6E-409C-BE32-E72D297353CC}">
                <c16:uniqueId val="{00000003-A1A9-4069-AA99-ECFD4600F70D}"/>
              </c:ext>
            </c:extLst>
          </c:dPt>
          <c:cat>
            <c:numRef>
              <c:f>Sheet1!$A$2:$A$5</c:f>
              <c:numCache>
                <c:formatCode>General</c:formatCode>
                <c:ptCount val="4"/>
              </c:numCache>
            </c:numRef>
          </c:cat>
          <c:val>
            <c:numRef>
              <c:f>Sheet1!$B$2:$B$5</c:f>
              <c:numCache>
                <c:formatCode>General</c:formatCode>
                <c:ptCount val="4"/>
                <c:pt idx="0">
                  <c:v>75</c:v>
                </c:pt>
                <c:pt idx="1">
                  <c:v>25</c:v>
                </c:pt>
              </c:numCache>
            </c:numRef>
          </c:val>
          <c:extLst>
            <c:ext xmlns:c16="http://schemas.microsoft.com/office/drawing/2014/chart" uri="{C3380CC4-5D6E-409C-BE32-E72D297353CC}">
              <c16:uniqueId val="{00000004-A1A9-4069-AA99-ECFD4600F70D}"/>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1C7A-4CBA-9BE6-3E749912103C}"/>
              </c:ext>
            </c:extLst>
          </c:dPt>
          <c:dPt>
            <c:idx val="1"/>
            <c:bubble3D val="0"/>
            <c:spPr>
              <a:solidFill>
                <a:srgbClr val="FF3300"/>
              </a:solidFill>
            </c:spPr>
            <c:extLst>
              <c:ext xmlns:c16="http://schemas.microsoft.com/office/drawing/2014/chart" uri="{C3380CC4-5D6E-409C-BE32-E72D297353CC}">
                <c16:uniqueId val="{00000003-1C7A-4CBA-9BE6-3E749912103C}"/>
              </c:ext>
            </c:extLst>
          </c:dPt>
          <c:cat>
            <c:numRef>
              <c:f>Sheet1!$A$2:$A$5</c:f>
              <c:numCache>
                <c:formatCode>General</c:formatCode>
                <c:ptCount val="4"/>
              </c:numCache>
            </c:numRef>
          </c:cat>
          <c:val>
            <c:numRef>
              <c:f>Sheet1!$B$2:$B$5</c:f>
              <c:numCache>
                <c:formatCode>General</c:formatCode>
                <c:ptCount val="4"/>
                <c:pt idx="0">
                  <c:v>75</c:v>
                </c:pt>
                <c:pt idx="1">
                  <c:v>25</c:v>
                </c:pt>
              </c:numCache>
            </c:numRef>
          </c:val>
          <c:extLst>
            <c:ext xmlns:c16="http://schemas.microsoft.com/office/drawing/2014/chart" uri="{C3380CC4-5D6E-409C-BE32-E72D297353CC}">
              <c16:uniqueId val="{00000004-1C7A-4CBA-9BE6-3E749912103C}"/>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82E8-47C1-92EB-BAE9F127FD5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93C3-43C2-98A0-3BAE798C7049}"/>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0D40-4C06-93B3-0017AE124CF4}"/>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0D40-4C06-93B3-0017AE124CF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2375-4C01-A89A-DF026FFAC607}"/>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2375-4C01-A89A-DF026FFAC60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FB1C-477B-955A-F8378443A927}"/>
              </c:ext>
            </c:extLst>
          </c:dPt>
          <c:dPt>
            <c:idx val="1"/>
            <c:bubble3D val="0"/>
            <c:spPr>
              <a:solidFill>
                <a:srgbClr val="FFC000"/>
              </a:solidFill>
            </c:spPr>
            <c:extLst>
              <c:ext xmlns:c16="http://schemas.microsoft.com/office/drawing/2014/chart" uri="{C3380CC4-5D6E-409C-BE32-E72D297353CC}">
                <c16:uniqueId val="{00000003-FB1C-477B-955A-F8378443A927}"/>
              </c:ext>
            </c:extLst>
          </c:dPt>
          <c:dPt>
            <c:idx val="2"/>
            <c:bubble3D val="0"/>
            <c:spPr>
              <a:solidFill>
                <a:srgbClr val="FFFF99"/>
              </a:solidFill>
            </c:spPr>
            <c:extLst>
              <c:ext xmlns:c16="http://schemas.microsoft.com/office/drawing/2014/chart" uri="{C3380CC4-5D6E-409C-BE32-E72D297353CC}">
                <c16:uniqueId val="{00000005-FB1C-477B-955A-F8378443A927}"/>
              </c:ext>
            </c:extLst>
          </c:dPt>
          <c:dPt>
            <c:idx val="3"/>
            <c:bubble3D val="0"/>
            <c:spPr>
              <a:solidFill>
                <a:schemeClr val="tx2">
                  <a:lumMod val="60000"/>
                  <a:lumOff val="40000"/>
                </a:schemeClr>
              </a:solidFill>
            </c:spPr>
            <c:extLst>
              <c:ext xmlns:c16="http://schemas.microsoft.com/office/drawing/2014/chart" uri="{C3380CC4-5D6E-409C-BE32-E72D297353CC}">
                <c16:uniqueId val="{00000007-FB1C-477B-955A-F8378443A927}"/>
              </c:ext>
            </c:extLst>
          </c:dPt>
          <c:dPt>
            <c:idx val="4"/>
            <c:bubble3D val="0"/>
            <c:spPr>
              <a:solidFill>
                <a:srgbClr val="92D050"/>
              </a:solidFill>
            </c:spPr>
            <c:extLst>
              <c:ext xmlns:c16="http://schemas.microsoft.com/office/drawing/2014/chart" uri="{C3380CC4-5D6E-409C-BE32-E72D297353CC}">
                <c16:uniqueId val="{00000009-FB1C-477B-955A-F8378443A927}"/>
              </c:ext>
            </c:extLst>
          </c:dPt>
          <c:dPt>
            <c:idx val="5"/>
            <c:bubble3D val="0"/>
            <c:spPr>
              <a:solidFill>
                <a:schemeClr val="bg1">
                  <a:lumMod val="65000"/>
                </a:schemeClr>
              </a:solidFill>
            </c:spPr>
            <c:extLst>
              <c:ext xmlns:c16="http://schemas.microsoft.com/office/drawing/2014/chart" uri="{C3380CC4-5D6E-409C-BE32-E72D297353CC}">
                <c16:uniqueId val="{0000000B-FB1C-477B-955A-F8378443A927}"/>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Goal!$A$3:$F$3</c:f>
              <c:strCache>
                <c:ptCount val="6"/>
                <c:pt idx="0">
                  <c:v>Not achieved/no progress</c:v>
                </c:pt>
                <c:pt idx="1">
                  <c:v>Limited progress</c:v>
                </c:pt>
                <c:pt idx="2">
                  <c:v>Good progress</c:v>
                </c:pt>
                <c:pt idx="3">
                  <c:v>Significant progress</c:v>
                </c:pt>
                <c:pt idx="4">
                  <c:v>Achieved</c:v>
                </c:pt>
                <c:pt idx="5">
                  <c:v>Not assessed</c:v>
                </c:pt>
              </c:strCache>
            </c:strRef>
          </c:cat>
          <c:val>
            <c:numRef>
              <c:f>Goal!$A$4:$F$4</c:f>
              <c:numCache>
                <c:formatCode>General</c:formatCode>
                <c:ptCount val="6"/>
                <c:pt idx="0">
                  <c:v>5</c:v>
                </c:pt>
                <c:pt idx="1">
                  <c:v>2</c:v>
                </c:pt>
                <c:pt idx="2">
                  <c:v>1</c:v>
                </c:pt>
              </c:numCache>
            </c:numRef>
          </c:val>
          <c:extLst>
            <c:ext xmlns:c16="http://schemas.microsoft.com/office/drawing/2014/chart" uri="{C3380CC4-5D6E-409C-BE32-E72D297353CC}">
              <c16:uniqueId val="{0000000C-FB1C-477B-955A-F8378443A927}"/>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w="15875">
      <a:solidFill>
        <a:srgbClr val="4F81BD"/>
      </a:solid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26AF-402E-9ADB-EAE0C36436F6}"/>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26AF-402E-9ADB-EAE0C36436F6}"/>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EBDE-4A18-BD55-8E8C1F246B79}"/>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9EE2-475F-819B-314801995E18}"/>
              </c:ext>
            </c:extLst>
          </c:dPt>
          <c:dPt>
            <c:idx val="1"/>
            <c:bubble3D val="0"/>
            <c:spPr>
              <a:solidFill>
                <a:srgbClr val="FF3300"/>
              </a:solidFill>
            </c:spPr>
            <c:extLst>
              <c:ext xmlns:c16="http://schemas.microsoft.com/office/drawing/2014/chart" uri="{C3380CC4-5D6E-409C-BE32-E72D297353CC}">
                <c16:uniqueId val="{00000003-9EE2-475F-819B-314801995E18}"/>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9EE2-475F-819B-314801995E18}"/>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E519-4063-853E-3553EAD71AA5}"/>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E519-4063-853E-3553EAD71AA5}"/>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CDED-482C-99AB-9A21ADAC6688}"/>
              </c:ext>
            </c:extLst>
          </c:dPt>
          <c:dPt>
            <c:idx val="1"/>
            <c:bubble3D val="0"/>
            <c:spPr>
              <a:solidFill>
                <a:srgbClr val="FF3300"/>
              </a:solidFill>
            </c:spPr>
            <c:extLst>
              <c:ext xmlns:c16="http://schemas.microsoft.com/office/drawing/2014/chart" uri="{C3380CC4-5D6E-409C-BE32-E72D297353CC}">
                <c16:uniqueId val="{00000003-CDED-482C-99AB-9A21ADAC6688}"/>
              </c:ext>
            </c:extLst>
          </c:dPt>
          <c:cat>
            <c:numRef>
              <c:f>Sheet1!$A$2:$A$5</c:f>
              <c:numCache>
                <c:formatCode>General</c:formatCode>
                <c:ptCount val="4"/>
              </c:numCache>
            </c:numRef>
          </c:cat>
          <c:val>
            <c:numRef>
              <c:f>Sheet1!$B$2:$B$5</c:f>
              <c:numCache>
                <c:formatCode>General</c:formatCode>
                <c:ptCount val="4"/>
                <c:pt idx="0">
                  <c:v>75</c:v>
                </c:pt>
                <c:pt idx="1">
                  <c:v>25</c:v>
                </c:pt>
              </c:numCache>
            </c:numRef>
          </c:val>
          <c:extLst>
            <c:ext xmlns:c16="http://schemas.microsoft.com/office/drawing/2014/chart" uri="{C3380CC4-5D6E-409C-BE32-E72D297353CC}">
              <c16:uniqueId val="{00000004-CDED-482C-99AB-9A21ADAC6688}"/>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extLst>
              <c:ext xmlns:c16="http://schemas.microsoft.com/office/drawing/2014/chart" uri="{C3380CC4-5D6E-409C-BE32-E72D297353CC}">
                <c16:uniqueId val="{00000001-389B-4E22-8882-582BD49FF9DE}"/>
              </c:ext>
            </c:extLst>
          </c:dPt>
          <c:cat>
            <c:numRef>
              <c:f>Sheet1!$A$2:$A$5</c:f>
              <c:numCache>
                <c:formatCode>General</c:formatCode>
                <c:ptCount val="4"/>
              </c:numCache>
            </c:numRef>
          </c:cat>
          <c:val>
            <c:numRef>
              <c:f>Sheet1!$B$2:$B$5</c:f>
              <c:numCache>
                <c:formatCode>General</c:formatCode>
                <c:ptCount val="4"/>
                <c:pt idx="0">
                  <c:v>25</c:v>
                </c:pt>
                <c:pt idx="1">
                  <c:v>75</c:v>
                </c:pt>
              </c:numCache>
            </c:numRef>
          </c:val>
          <c:extLst>
            <c:ext xmlns:c16="http://schemas.microsoft.com/office/drawing/2014/chart" uri="{C3380CC4-5D6E-409C-BE32-E72D297353CC}">
              <c16:uniqueId val="{00000002-389B-4E22-8882-582BD49FF9DE}"/>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DBEE-4BA7-8ADF-B4EE523CCED3}"/>
              </c:ext>
            </c:extLst>
          </c:dPt>
          <c:dPt>
            <c:idx val="1"/>
            <c:bubble3D val="0"/>
            <c:spPr>
              <a:solidFill>
                <a:srgbClr val="FF3300"/>
              </a:solidFill>
            </c:spPr>
            <c:extLst>
              <c:ext xmlns:c16="http://schemas.microsoft.com/office/drawing/2014/chart" uri="{C3380CC4-5D6E-409C-BE32-E72D297353CC}">
                <c16:uniqueId val="{00000003-DBEE-4BA7-8ADF-B4EE523CCED3}"/>
              </c:ext>
            </c:extLst>
          </c:dPt>
          <c:cat>
            <c:numRef>
              <c:f>Sheet1!$A$2:$A$5</c:f>
              <c:numCache>
                <c:formatCode>General</c:formatCode>
                <c:ptCount val="4"/>
              </c:numCache>
            </c:numRef>
          </c:cat>
          <c:val>
            <c:numRef>
              <c:f>Sheet1!$B$2:$B$5</c:f>
              <c:numCache>
                <c:formatCode>General</c:formatCode>
                <c:ptCount val="4"/>
                <c:pt idx="0">
                  <c:v>50</c:v>
                </c:pt>
                <c:pt idx="1">
                  <c:v>50</c:v>
                </c:pt>
              </c:numCache>
            </c:numRef>
          </c:val>
          <c:extLst>
            <c:ext xmlns:c16="http://schemas.microsoft.com/office/drawing/2014/chart" uri="{C3380CC4-5D6E-409C-BE32-E72D297353CC}">
              <c16:uniqueId val="{00000004-DBEE-4BA7-8ADF-B4EE523CCED3}"/>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7B99-4BDC-8581-56215FD4814C}"/>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extLst>
              <c:ext xmlns:c16="http://schemas.microsoft.com/office/drawing/2014/chart" uri="{C3380CC4-5D6E-409C-BE32-E72D297353CC}">
                <c16:uniqueId val="{00000001-F916-4EB0-8911-3176319A44CB}"/>
              </c:ext>
            </c:extLst>
          </c:dPt>
          <c:dPt>
            <c:idx val="1"/>
            <c:bubble3D val="0"/>
            <c:spPr>
              <a:solidFill>
                <a:srgbClr val="FF3300"/>
              </a:solidFill>
            </c:spPr>
            <c:extLst>
              <c:ext xmlns:c16="http://schemas.microsoft.com/office/drawing/2014/chart" uri="{C3380CC4-5D6E-409C-BE32-E72D297353CC}">
                <c16:uniqueId val="{00000003-F916-4EB0-8911-3176319A44CB}"/>
              </c:ext>
            </c:extLst>
          </c:dPt>
          <c:cat>
            <c:numRef>
              <c:f>Sheet1!$A$2:$A$5</c:f>
              <c:numCache>
                <c:formatCode>General</c:formatCode>
                <c:ptCount val="4"/>
              </c:numCache>
            </c:numRef>
          </c:cat>
          <c:val>
            <c:numRef>
              <c:f>Sheet1!$B$2:$B$5</c:f>
              <c:numCache>
                <c:formatCode>General</c:formatCode>
                <c:ptCount val="4"/>
                <c:pt idx="0">
                  <c:v>75</c:v>
                </c:pt>
                <c:pt idx="1">
                  <c:v>25</c:v>
                </c:pt>
              </c:numCache>
            </c:numRef>
          </c:val>
          <c:extLst>
            <c:ext xmlns:c16="http://schemas.microsoft.com/office/drawing/2014/chart" uri="{C3380CC4-5D6E-409C-BE32-E72D297353CC}">
              <c16:uniqueId val="{00000004-F916-4EB0-8911-3176319A44CB}"/>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extLst>
            <c:ext xmlns:c16="http://schemas.microsoft.com/office/drawing/2014/chart" uri="{C3380CC4-5D6E-409C-BE32-E72D297353CC}">
              <c16:uniqueId val="{00000000-F68A-4330-ABE4-D610AF26072D}"/>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87E9-441C-B347-ACD4F795041E}"/>
              </c:ext>
            </c:extLst>
          </c:dPt>
          <c:dPt>
            <c:idx val="1"/>
            <c:bubble3D val="0"/>
            <c:spPr>
              <a:solidFill>
                <a:srgbClr val="FFC000"/>
              </a:solidFill>
            </c:spPr>
            <c:extLst>
              <c:ext xmlns:c16="http://schemas.microsoft.com/office/drawing/2014/chart" uri="{C3380CC4-5D6E-409C-BE32-E72D297353CC}">
                <c16:uniqueId val="{00000003-87E9-441C-B347-ACD4F795041E}"/>
              </c:ext>
            </c:extLst>
          </c:dPt>
          <c:dPt>
            <c:idx val="2"/>
            <c:bubble3D val="0"/>
            <c:spPr>
              <a:solidFill>
                <a:srgbClr val="FFFF99"/>
              </a:solidFill>
            </c:spPr>
            <c:extLst>
              <c:ext xmlns:c16="http://schemas.microsoft.com/office/drawing/2014/chart" uri="{C3380CC4-5D6E-409C-BE32-E72D297353CC}">
                <c16:uniqueId val="{00000005-87E9-441C-B347-ACD4F795041E}"/>
              </c:ext>
            </c:extLst>
          </c:dPt>
          <c:dPt>
            <c:idx val="3"/>
            <c:bubble3D val="0"/>
            <c:spPr>
              <a:solidFill>
                <a:schemeClr val="tx2">
                  <a:lumMod val="60000"/>
                  <a:lumOff val="40000"/>
                </a:schemeClr>
              </a:solidFill>
            </c:spPr>
            <c:extLst>
              <c:ext xmlns:c16="http://schemas.microsoft.com/office/drawing/2014/chart" uri="{C3380CC4-5D6E-409C-BE32-E72D297353CC}">
                <c16:uniqueId val="{00000007-87E9-441C-B347-ACD4F795041E}"/>
              </c:ext>
            </c:extLst>
          </c:dPt>
          <c:dPt>
            <c:idx val="4"/>
            <c:bubble3D val="0"/>
            <c:spPr>
              <a:solidFill>
                <a:srgbClr val="92D050"/>
              </a:solidFill>
            </c:spPr>
            <c:extLst>
              <c:ext xmlns:c16="http://schemas.microsoft.com/office/drawing/2014/chart" uri="{C3380CC4-5D6E-409C-BE32-E72D297353CC}">
                <c16:uniqueId val="{00000009-87E9-441C-B347-ACD4F795041E}"/>
              </c:ext>
            </c:extLst>
          </c:dPt>
          <c:dPt>
            <c:idx val="5"/>
            <c:bubble3D val="0"/>
            <c:spPr>
              <a:solidFill>
                <a:schemeClr val="bg1">
                  <a:lumMod val="65000"/>
                </a:schemeClr>
              </a:solidFill>
            </c:spPr>
            <c:extLst>
              <c:ext xmlns:c16="http://schemas.microsoft.com/office/drawing/2014/chart" uri="{C3380CC4-5D6E-409C-BE32-E72D297353CC}">
                <c16:uniqueId val="{0000000B-87E9-441C-B347-ACD4F795041E}"/>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Goal!$A$3:$F$3</c:f>
              <c:strCache>
                <c:ptCount val="6"/>
                <c:pt idx="0">
                  <c:v>Not achieved/no progress</c:v>
                </c:pt>
                <c:pt idx="1">
                  <c:v>Limited progress</c:v>
                </c:pt>
                <c:pt idx="2">
                  <c:v>Good progress</c:v>
                </c:pt>
                <c:pt idx="3">
                  <c:v>Significant progress</c:v>
                </c:pt>
                <c:pt idx="4">
                  <c:v>Achieved</c:v>
                </c:pt>
                <c:pt idx="5">
                  <c:v>Not assessed</c:v>
                </c:pt>
              </c:strCache>
            </c:strRef>
          </c:cat>
          <c:val>
            <c:numRef>
              <c:f>Goal!$A$4:$F$4</c:f>
              <c:numCache>
                <c:formatCode>General</c:formatCode>
                <c:ptCount val="6"/>
                <c:pt idx="0">
                  <c:v>3</c:v>
                </c:pt>
                <c:pt idx="1">
                  <c:v>2</c:v>
                </c:pt>
                <c:pt idx="2">
                  <c:v>2</c:v>
                </c:pt>
                <c:pt idx="4">
                  <c:v>1</c:v>
                </c:pt>
              </c:numCache>
            </c:numRef>
          </c:val>
          <c:extLst>
            <c:ext xmlns:c16="http://schemas.microsoft.com/office/drawing/2014/chart" uri="{C3380CC4-5D6E-409C-BE32-E72D297353CC}">
              <c16:uniqueId val="{0000000C-87E9-441C-B347-ACD4F795041E}"/>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w="15875" cmpd="sng">
      <a:solidFill>
        <a:srgbClr val="4F81BD"/>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4935-481A-8F5B-BB9BA8E6948B}"/>
              </c:ext>
            </c:extLst>
          </c:dPt>
          <c:dPt>
            <c:idx val="1"/>
            <c:bubble3D val="0"/>
            <c:spPr>
              <a:solidFill>
                <a:srgbClr val="FFC000"/>
              </a:solidFill>
            </c:spPr>
            <c:extLst>
              <c:ext xmlns:c16="http://schemas.microsoft.com/office/drawing/2014/chart" uri="{C3380CC4-5D6E-409C-BE32-E72D297353CC}">
                <c16:uniqueId val="{00000003-4935-481A-8F5B-BB9BA8E6948B}"/>
              </c:ext>
            </c:extLst>
          </c:dPt>
          <c:dPt>
            <c:idx val="2"/>
            <c:bubble3D val="0"/>
            <c:spPr>
              <a:solidFill>
                <a:srgbClr val="FFFF99"/>
              </a:solidFill>
            </c:spPr>
            <c:extLst>
              <c:ext xmlns:c16="http://schemas.microsoft.com/office/drawing/2014/chart" uri="{C3380CC4-5D6E-409C-BE32-E72D297353CC}">
                <c16:uniqueId val="{00000005-4935-481A-8F5B-BB9BA8E6948B}"/>
              </c:ext>
            </c:extLst>
          </c:dPt>
          <c:dPt>
            <c:idx val="3"/>
            <c:bubble3D val="0"/>
            <c:spPr>
              <a:solidFill>
                <a:schemeClr val="tx2">
                  <a:lumMod val="60000"/>
                  <a:lumOff val="40000"/>
                </a:schemeClr>
              </a:solidFill>
            </c:spPr>
            <c:extLst>
              <c:ext xmlns:c16="http://schemas.microsoft.com/office/drawing/2014/chart" uri="{C3380CC4-5D6E-409C-BE32-E72D297353CC}">
                <c16:uniqueId val="{00000007-4935-481A-8F5B-BB9BA8E6948B}"/>
              </c:ext>
            </c:extLst>
          </c:dPt>
          <c:dPt>
            <c:idx val="4"/>
            <c:bubble3D val="0"/>
            <c:spPr>
              <a:solidFill>
                <a:schemeClr val="accent3">
                  <a:lumMod val="75000"/>
                </a:schemeClr>
              </a:solidFill>
            </c:spPr>
            <c:extLst>
              <c:ext xmlns:c16="http://schemas.microsoft.com/office/drawing/2014/chart" uri="{C3380CC4-5D6E-409C-BE32-E72D297353CC}">
                <c16:uniqueId val="{00000009-4935-481A-8F5B-BB9BA8E6948B}"/>
              </c:ext>
            </c:extLst>
          </c:dPt>
          <c:dPt>
            <c:idx val="5"/>
            <c:bubble3D val="0"/>
            <c:spPr>
              <a:solidFill>
                <a:schemeClr val="bg1">
                  <a:lumMod val="65000"/>
                </a:schemeClr>
              </a:solidFill>
            </c:spPr>
            <c:extLst>
              <c:ext xmlns:c16="http://schemas.microsoft.com/office/drawing/2014/chart" uri="{C3380CC4-5D6E-409C-BE32-E72D297353CC}">
                <c16:uniqueId val="{0000000B-4935-481A-8F5B-BB9BA8E6948B}"/>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'[SP report_graphs.xlsx]Goal'!$A$7:$F$7</c:f>
              <c:strCache>
                <c:ptCount val="6"/>
                <c:pt idx="0">
                  <c:v>Not achieved/no progress</c:v>
                </c:pt>
                <c:pt idx="1">
                  <c:v>Limited progress</c:v>
                </c:pt>
                <c:pt idx="2">
                  <c:v>Good progress</c:v>
                </c:pt>
                <c:pt idx="3">
                  <c:v>Significant progress</c:v>
                </c:pt>
                <c:pt idx="4">
                  <c:v>Achieved</c:v>
                </c:pt>
                <c:pt idx="5">
                  <c:v>Not assessed</c:v>
                </c:pt>
              </c:strCache>
            </c:strRef>
          </c:cat>
          <c:val>
            <c:numRef>
              <c:f>'[SP report_graphs.xlsx]Goal'!$A$8:$F$8</c:f>
              <c:numCache>
                <c:formatCode>General</c:formatCode>
                <c:ptCount val="6"/>
                <c:pt idx="5">
                  <c:v>4</c:v>
                </c:pt>
              </c:numCache>
            </c:numRef>
          </c:val>
          <c:extLst>
            <c:ext xmlns:c16="http://schemas.microsoft.com/office/drawing/2014/chart" uri="{C3380CC4-5D6E-409C-BE32-E72D297353CC}">
              <c16:uniqueId val="{0000000C-4935-481A-8F5B-BB9BA8E6948B}"/>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w="15875">
      <a:solidFill>
        <a:srgbClr val="0070C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CC85-427D-8DCE-92D0BD3647EA}"/>
              </c:ext>
            </c:extLst>
          </c:dPt>
          <c:dPt>
            <c:idx val="1"/>
            <c:bubble3D val="0"/>
            <c:spPr>
              <a:solidFill>
                <a:srgbClr val="FFC000"/>
              </a:solidFill>
            </c:spPr>
            <c:extLst>
              <c:ext xmlns:c16="http://schemas.microsoft.com/office/drawing/2014/chart" uri="{C3380CC4-5D6E-409C-BE32-E72D297353CC}">
                <c16:uniqueId val="{00000003-CC85-427D-8DCE-92D0BD3647EA}"/>
              </c:ext>
            </c:extLst>
          </c:dPt>
          <c:dPt>
            <c:idx val="2"/>
            <c:bubble3D val="0"/>
            <c:spPr>
              <a:solidFill>
                <a:srgbClr val="FFFF99"/>
              </a:solidFill>
            </c:spPr>
            <c:extLst>
              <c:ext xmlns:c16="http://schemas.microsoft.com/office/drawing/2014/chart" uri="{C3380CC4-5D6E-409C-BE32-E72D297353CC}">
                <c16:uniqueId val="{00000005-CC85-427D-8DCE-92D0BD3647EA}"/>
              </c:ext>
            </c:extLst>
          </c:dPt>
          <c:dPt>
            <c:idx val="3"/>
            <c:bubble3D val="0"/>
            <c:spPr>
              <a:solidFill>
                <a:schemeClr val="tx2">
                  <a:lumMod val="60000"/>
                  <a:lumOff val="40000"/>
                </a:schemeClr>
              </a:solidFill>
            </c:spPr>
            <c:extLst>
              <c:ext xmlns:c16="http://schemas.microsoft.com/office/drawing/2014/chart" uri="{C3380CC4-5D6E-409C-BE32-E72D297353CC}">
                <c16:uniqueId val="{00000007-CC85-427D-8DCE-92D0BD3647EA}"/>
              </c:ext>
            </c:extLst>
          </c:dPt>
          <c:dPt>
            <c:idx val="4"/>
            <c:bubble3D val="0"/>
            <c:spPr>
              <a:solidFill>
                <a:schemeClr val="accent3">
                  <a:lumMod val="75000"/>
                </a:schemeClr>
              </a:solidFill>
            </c:spPr>
            <c:extLst>
              <c:ext xmlns:c16="http://schemas.microsoft.com/office/drawing/2014/chart" uri="{C3380CC4-5D6E-409C-BE32-E72D297353CC}">
                <c16:uniqueId val="{00000009-CC85-427D-8DCE-92D0BD3647EA}"/>
              </c:ext>
            </c:extLst>
          </c:dPt>
          <c:dPt>
            <c:idx val="5"/>
            <c:bubble3D val="0"/>
            <c:spPr>
              <a:solidFill>
                <a:schemeClr val="bg1">
                  <a:lumMod val="65000"/>
                </a:schemeClr>
              </a:solidFill>
            </c:spPr>
            <c:extLst>
              <c:ext xmlns:c16="http://schemas.microsoft.com/office/drawing/2014/chart" uri="{C3380CC4-5D6E-409C-BE32-E72D297353CC}">
                <c16:uniqueId val="{0000000B-CC85-427D-8DCE-92D0BD3647EA}"/>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Goal!$A$7:$F$7</c:f>
              <c:strCache>
                <c:ptCount val="6"/>
                <c:pt idx="0">
                  <c:v>Not achieved/no progress</c:v>
                </c:pt>
                <c:pt idx="1">
                  <c:v>Limited progress</c:v>
                </c:pt>
                <c:pt idx="2">
                  <c:v>Good progress</c:v>
                </c:pt>
                <c:pt idx="3">
                  <c:v>Significant progress</c:v>
                </c:pt>
                <c:pt idx="4">
                  <c:v>Achieved</c:v>
                </c:pt>
                <c:pt idx="5">
                  <c:v>Not assessed</c:v>
                </c:pt>
              </c:strCache>
            </c:strRef>
          </c:cat>
          <c:val>
            <c:numRef>
              <c:f>Goal!$A$8:$F$8</c:f>
              <c:numCache>
                <c:formatCode>General</c:formatCode>
                <c:ptCount val="6"/>
                <c:pt idx="5">
                  <c:v>4</c:v>
                </c:pt>
              </c:numCache>
            </c:numRef>
          </c:val>
          <c:extLst>
            <c:ext xmlns:c16="http://schemas.microsoft.com/office/drawing/2014/chart" uri="{C3380CC4-5D6E-409C-BE32-E72D297353CC}">
              <c16:uniqueId val="{0000000C-CC85-427D-8DCE-92D0BD3647EA}"/>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w="15875">
      <a:solidFill>
        <a:srgbClr val="4F81BD"/>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extLst>
              <c:ext xmlns:c16="http://schemas.microsoft.com/office/drawing/2014/chart" uri="{C3380CC4-5D6E-409C-BE32-E72D297353CC}">
                <c16:uniqueId val="{00000001-11B2-4D10-BD81-67016F3ABBCB}"/>
              </c:ext>
            </c:extLst>
          </c:dPt>
          <c:dPt>
            <c:idx val="1"/>
            <c:bubble3D val="0"/>
            <c:spPr>
              <a:solidFill>
                <a:srgbClr val="FFC000"/>
              </a:solidFill>
            </c:spPr>
            <c:extLst>
              <c:ext xmlns:c16="http://schemas.microsoft.com/office/drawing/2014/chart" uri="{C3380CC4-5D6E-409C-BE32-E72D297353CC}">
                <c16:uniqueId val="{00000003-11B2-4D10-BD81-67016F3ABBCB}"/>
              </c:ext>
            </c:extLst>
          </c:dPt>
          <c:dPt>
            <c:idx val="2"/>
            <c:bubble3D val="0"/>
            <c:spPr>
              <a:solidFill>
                <a:srgbClr val="FFFF99"/>
              </a:solidFill>
            </c:spPr>
            <c:extLst>
              <c:ext xmlns:c16="http://schemas.microsoft.com/office/drawing/2014/chart" uri="{C3380CC4-5D6E-409C-BE32-E72D297353CC}">
                <c16:uniqueId val="{00000005-11B2-4D10-BD81-67016F3ABBCB}"/>
              </c:ext>
            </c:extLst>
          </c:dPt>
          <c:dPt>
            <c:idx val="3"/>
            <c:bubble3D val="0"/>
            <c:spPr>
              <a:solidFill>
                <a:schemeClr val="tx2">
                  <a:lumMod val="60000"/>
                  <a:lumOff val="40000"/>
                </a:schemeClr>
              </a:solidFill>
            </c:spPr>
            <c:extLst>
              <c:ext xmlns:c16="http://schemas.microsoft.com/office/drawing/2014/chart" uri="{C3380CC4-5D6E-409C-BE32-E72D297353CC}">
                <c16:uniqueId val="{00000007-11B2-4D10-BD81-67016F3ABBCB}"/>
              </c:ext>
            </c:extLst>
          </c:dPt>
          <c:dPt>
            <c:idx val="4"/>
            <c:bubble3D val="0"/>
            <c:spPr>
              <a:solidFill>
                <a:srgbClr val="92D050"/>
              </a:solidFill>
            </c:spPr>
            <c:extLst>
              <c:ext xmlns:c16="http://schemas.microsoft.com/office/drawing/2014/chart" uri="{C3380CC4-5D6E-409C-BE32-E72D297353CC}">
                <c16:uniqueId val="{00000009-11B2-4D10-BD81-67016F3ABBCB}"/>
              </c:ext>
            </c:extLst>
          </c:dPt>
          <c:dPt>
            <c:idx val="5"/>
            <c:bubble3D val="0"/>
            <c:spPr>
              <a:solidFill>
                <a:schemeClr val="bg1">
                  <a:lumMod val="65000"/>
                </a:schemeClr>
              </a:solidFill>
            </c:spPr>
            <c:extLst>
              <c:ext xmlns:c16="http://schemas.microsoft.com/office/drawing/2014/chart" uri="{C3380CC4-5D6E-409C-BE32-E72D297353CC}">
                <c16:uniqueId val="{0000000B-11B2-4D10-BD81-67016F3ABBCB}"/>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Goal!$A$7:$F$7</c:f>
              <c:strCache>
                <c:ptCount val="6"/>
                <c:pt idx="0">
                  <c:v>Not achieved/no progress</c:v>
                </c:pt>
                <c:pt idx="1">
                  <c:v>Limited progress</c:v>
                </c:pt>
                <c:pt idx="2">
                  <c:v>Good progress</c:v>
                </c:pt>
                <c:pt idx="3">
                  <c:v>Significant progress</c:v>
                </c:pt>
                <c:pt idx="4">
                  <c:v>Achieved</c:v>
                </c:pt>
                <c:pt idx="5">
                  <c:v>Not assessed</c:v>
                </c:pt>
              </c:strCache>
            </c:strRef>
          </c:cat>
          <c:val>
            <c:numRef>
              <c:f>Goal!$A$8:$F$8</c:f>
              <c:numCache>
                <c:formatCode>General</c:formatCode>
                <c:ptCount val="6"/>
                <c:pt idx="0">
                  <c:v>2</c:v>
                </c:pt>
                <c:pt idx="1">
                  <c:v>1</c:v>
                </c:pt>
                <c:pt idx="5">
                  <c:v>1</c:v>
                </c:pt>
              </c:numCache>
            </c:numRef>
          </c:val>
          <c:extLst>
            <c:ext xmlns:c16="http://schemas.microsoft.com/office/drawing/2014/chart" uri="{C3380CC4-5D6E-409C-BE32-E72D297353CC}">
              <c16:uniqueId val="{0000000C-11B2-4D10-BD81-67016F3ABBCB}"/>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noFill/>
    <a:ln w="15875">
      <a:solidFill>
        <a:srgbClr val="4F81BD"/>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99F5-5A59-4CF0-A17D-0582F89A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12804</Words>
  <Characters>71510</Characters>
  <Application>Microsoft Office Word</Application>
  <DocSecurity>0</DocSecurity>
  <Lines>595</Lines>
  <Paragraphs>168</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84146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creator>Sergey Dereliev (UNEP/AEWA Secretariat)</dc:creator>
  <cp:lastModifiedBy>Jolanta Kremer</cp:lastModifiedBy>
  <cp:revision>5</cp:revision>
  <cp:lastPrinted>2018-10-05T19:56:00Z</cp:lastPrinted>
  <dcterms:created xsi:type="dcterms:W3CDTF">2018-10-05T19:55:00Z</dcterms:created>
  <dcterms:modified xsi:type="dcterms:W3CDTF">2018-10-16T08:28:00Z</dcterms:modified>
</cp:coreProperties>
</file>