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CD2" w:rsidRDefault="008B0CD2" w:rsidP="009352DC">
      <w:pPr>
        <w:jc w:val="center"/>
        <w:rPr>
          <w:lang w:val="fr-FR"/>
        </w:rPr>
      </w:pPr>
    </w:p>
    <w:p w:rsidR="006D3587" w:rsidRPr="009352DC" w:rsidRDefault="006D3587" w:rsidP="009352DC">
      <w:pPr>
        <w:jc w:val="center"/>
        <w:rPr>
          <w:lang w:val="fr-FR"/>
        </w:rPr>
      </w:pPr>
      <w:r w:rsidRPr="009352DC">
        <w:rPr>
          <w:lang w:val="fr-FR"/>
        </w:rPr>
        <w:t>RÉSOLUTION 6.4</w:t>
      </w:r>
    </w:p>
    <w:p w:rsidR="006D3587" w:rsidRDefault="006D3587" w:rsidP="006D3587">
      <w:pPr>
        <w:spacing w:line="180" w:lineRule="auto"/>
        <w:jc w:val="center"/>
        <w:rPr>
          <w:b/>
          <w:bCs/>
          <w:lang w:val="fr-FR"/>
        </w:rPr>
      </w:pPr>
    </w:p>
    <w:p w:rsidR="006D3587" w:rsidRDefault="006D3587" w:rsidP="006D3587">
      <w:pPr>
        <w:pStyle w:val="Heading9"/>
        <w:spacing w:before="0" w:after="0"/>
        <w:jc w:val="center"/>
        <w:rPr>
          <w:rFonts w:ascii="Times New Roman" w:hAnsi="Times New Roman" w:cs="Times New Roman"/>
          <w:b/>
          <w:bCs/>
          <w:sz w:val="24"/>
          <w:szCs w:val="24"/>
          <w:lang w:val="fr-FR"/>
        </w:rPr>
      </w:pPr>
      <w:r>
        <w:rPr>
          <w:rFonts w:ascii="Times New Roman" w:hAnsi="Times New Roman" w:cs="Times New Roman"/>
          <w:b/>
          <w:bCs/>
          <w:sz w:val="24"/>
          <w:szCs w:val="24"/>
          <w:lang w:val="fr-FR"/>
        </w:rPr>
        <w:t>CONSERVATION ET UTILSATION DURABLE DES OISEAUX D’EAU MIGRATEURS</w:t>
      </w:r>
    </w:p>
    <w:p w:rsidR="006D3587" w:rsidRDefault="006D3587" w:rsidP="006D3587">
      <w:pPr>
        <w:ind w:firstLine="720"/>
        <w:jc w:val="both"/>
        <w:rPr>
          <w:i/>
          <w:iCs/>
          <w:sz w:val="22"/>
          <w:szCs w:val="22"/>
          <w:lang w:val="fr-FR"/>
        </w:rPr>
      </w:pPr>
    </w:p>
    <w:p w:rsidR="006D3587" w:rsidRDefault="006D3587" w:rsidP="006D3587">
      <w:pPr>
        <w:ind w:firstLine="720"/>
        <w:jc w:val="both"/>
        <w:rPr>
          <w:i/>
          <w:iCs/>
          <w:sz w:val="22"/>
          <w:szCs w:val="22"/>
          <w:lang w:val="fr-FR"/>
        </w:rPr>
      </w:pPr>
    </w:p>
    <w:p w:rsidR="006D3587" w:rsidRDefault="006D3587" w:rsidP="006D3587">
      <w:pPr>
        <w:ind w:firstLine="720"/>
        <w:jc w:val="both"/>
        <w:rPr>
          <w:sz w:val="22"/>
          <w:szCs w:val="22"/>
          <w:lang w:val="fr-FR"/>
        </w:rPr>
      </w:pPr>
      <w:r>
        <w:rPr>
          <w:i/>
          <w:iCs/>
          <w:sz w:val="22"/>
          <w:szCs w:val="22"/>
          <w:lang w:val="fr-FR"/>
        </w:rPr>
        <w:t>Rappelant</w:t>
      </w:r>
      <w:r>
        <w:rPr>
          <w:sz w:val="22"/>
          <w:szCs w:val="22"/>
          <w:lang w:val="fr-FR"/>
        </w:rPr>
        <w:t xml:space="preserve"> l’Article III, paragraphe 2 (b) de l’Accord qui demande aux Parties « </w:t>
      </w:r>
      <w:r w:rsidR="003E4C61">
        <w:rPr>
          <w:sz w:val="22"/>
          <w:szCs w:val="22"/>
          <w:lang w:val="fr-FR"/>
        </w:rPr>
        <w:t>[</w:t>
      </w:r>
      <w:r>
        <w:rPr>
          <w:i/>
          <w:iCs/>
          <w:sz w:val="22"/>
          <w:szCs w:val="22"/>
          <w:lang w:val="fr-FR"/>
        </w:rPr>
        <w:t>de s’assurer</w:t>
      </w:r>
      <w:r w:rsidR="003E4C61" w:rsidRPr="003E4C61">
        <w:rPr>
          <w:iCs/>
          <w:sz w:val="22"/>
          <w:szCs w:val="22"/>
          <w:lang w:val="fr-FR"/>
        </w:rPr>
        <w:t>]</w:t>
      </w:r>
      <w:r>
        <w:rPr>
          <w:i/>
          <w:iCs/>
          <w:sz w:val="22"/>
          <w:szCs w:val="22"/>
          <w:lang w:val="fr-FR"/>
        </w:rPr>
        <w:t xml:space="preserve"> que toute utilisation d’oiseaux d’eau migrateurs est fondée sur une évaluation faite à partir des meilleures connaissances disponibles sur l’écologie de ces oiseaux, ainsi que sur le principe de l’utilisation durable de ces espèces et des systèmes écologiques dont ils dépendent</w:t>
      </w:r>
      <w:r>
        <w:rPr>
          <w:sz w:val="22"/>
          <w:szCs w:val="22"/>
          <w:lang w:val="fr-FR"/>
        </w:rPr>
        <w:t> »,</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Rappelant également</w:t>
      </w:r>
      <w:r>
        <w:rPr>
          <w:sz w:val="22"/>
          <w:szCs w:val="22"/>
          <w:lang w:val="fr-FR"/>
        </w:rPr>
        <w:t xml:space="preserve"> que la section 2.1 du Plan d’action de l’Accord établit un cadre réglementaire pour identifier les espèces et populations qui devraient être soumises à une protecti</w:t>
      </w:r>
      <w:r w:rsidR="003E4C61">
        <w:rPr>
          <w:sz w:val="22"/>
          <w:szCs w:val="22"/>
          <w:lang w:val="fr-FR"/>
        </w:rPr>
        <w:t xml:space="preserve">on légale, ainsi que celles </w:t>
      </w:r>
      <w:r>
        <w:rPr>
          <w:sz w:val="22"/>
          <w:szCs w:val="22"/>
          <w:lang w:val="fr-FR"/>
        </w:rPr>
        <w:t xml:space="preserve">pouvant être assujetties à une gestion des prélèvement, et que le </w:t>
      </w:r>
      <w:r>
        <w:rPr>
          <w:i/>
          <w:iCs/>
          <w:sz w:val="22"/>
          <w:szCs w:val="22"/>
          <w:lang w:val="fr-FR"/>
        </w:rPr>
        <w:t>Rapport sur l’état de conservation</w:t>
      </w:r>
      <w:r>
        <w:rPr>
          <w:sz w:val="22"/>
          <w:szCs w:val="22"/>
          <w:lang w:val="fr-FR"/>
        </w:rPr>
        <w:t xml:space="preserve"> triennal (</w:t>
      </w:r>
      <w:r w:rsidR="00456475">
        <w:rPr>
          <w:sz w:val="22"/>
          <w:szCs w:val="22"/>
          <w:lang w:val="fr-FR"/>
        </w:rPr>
        <w:t>document AEWA/MOP6.14)</w:t>
      </w:r>
      <w:r>
        <w:rPr>
          <w:sz w:val="22"/>
          <w:szCs w:val="22"/>
          <w:lang w:val="fr-FR"/>
        </w:rPr>
        <w:t xml:space="preserve"> est un processus d’examen permettant au Tableau 1 du Plan d’action de refléter les informations les plus récentes sur l’état des </w:t>
      </w:r>
      <w:r w:rsidRPr="00456475">
        <w:rPr>
          <w:sz w:val="22"/>
          <w:szCs w:val="22"/>
          <w:lang w:val="fr-FR"/>
        </w:rPr>
        <w:t>populations (Résolution 6.1),</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 xml:space="preserve">Notant </w:t>
      </w:r>
      <w:r>
        <w:rPr>
          <w:sz w:val="22"/>
          <w:szCs w:val="22"/>
          <w:lang w:val="fr-FR"/>
        </w:rPr>
        <w:t>que la cible 1.1 de l’objec</w:t>
      </w:r>
      <w:r w:rsidR="00B33444">
        <w:rPr>
          <w:sz w:val="22"/>
          <w:szCs w:val="22"/>
          <w:lang w:val="fr-FR"/>
        </w:rPr>
        <w:t>tif 1 du Plan stratégique de l’</w:t>
      </w:r>
      <w:r>
        <w:rPr>
          <w:sz w:val="22"/>
          <w:szCs w:val="22"/>
          <w:lang w:val="fr-FR"/>
        </w:rPr>
        <w:t>AEWA 2009-2017 est qu’« </w:t>
      </w:r>
      <w:r>
        <w:rPr>
          <w:i/>
          <w:iCs/>
          <w:sz w:val="22"/>
          <w:szCs w:val="22"/>
          <w:lang w:val="fr-FR"/>
        </w:rPr>
        <w:t>une protection juridique complète est fournie à toutes les espèces figurant à la colonne A</w:t>
      </w:r>
      <w:r>
        <w:rPr>
          <w:sz w:val="22"/>
          <w:szCs w:val="22"/>
          <w:lang w:val="fr-FR"/>
        </w:rPr>
        <w:t> »,</w:t>
      </w:r>
    </w:p>
    <w:p w:rsidR="006D3587" w:rsidRDefault="006D3587" w:rsidP="006D3587">
      <w:pPr>
        <w:ind w:firstLine="720"/>
        <w:jc w:val="both"/>
        <w:rPr>
          <w:i/>
          <w:iCs/>
          <w:sz w:val="22"/>
          <w:szCs w:val="22"/>
          <w:lang w:val="fr-FR"/>
        </w:rPr>
      </w:pPr>
    </w:p>
    <w:p w:rsidR="006D3587" w:rsidRDefault="00B33444" w:rsidP="006D3587">
      <w:pPr>
        <w:ind w:firstLine="720"/>
        <w:jc w:val="both"/>
        <w:rPr>
          <w:sz w:val="22"/>
          <w:szCs w:val="22"/>
          <w:lang w:val="fr-FR"/>
        </w:rPr>
      </w:pPr>
      <w:r>
        <w:rPr>
          <w:i/>
          <w:iCs/>
          <w:sz w:val="22"/>
          <w:szCs w:val="22"/>
          <w:lang w:val="fr-FR"/>
        </w:rPr>
        <w:t>Notant</w:t>
      </w:r>
      <w:r w:rsidR="006D3587">
        <w:rPr>
          <w:i/>
          <w:iCs/>
          <w:sz w:val="22"/>
          <w:szCs w:val="22"/>
          <w:lang w:val="fr-FR"/>
        </w:rPr>
        <w:t xml:space="preserve"> en outre </w:t>
      </w:r>
      <w:r w:rsidR="006D3587">
        <w:rPr>
          <w:sz w:val="22"/>
          <w:szCs w:val="22"/>
          <w:lang w:val="fr-FR"/>
        </w:rPr>
        <w:t>que l’objectif 2 du Plan stratégique de l’AEWA 2009-2017 est de « </w:t>
      </w:r>
      <w:r w:rsidR="006D3587">
        <w:rPr>
          <w:i/>
          <w:iCs/>
          <w:sz w:val="22"/>
          <w:szCs w:val="22"/>
          <w:lang w:val="fr-FR"/>
        </w:rPr>
        <w:t>garantir que tout prélèvement d’oiseaux d’eau dans la zone de l’Accord est durable</w:t>
      </w:r>
      <w:r w:rsidR="006D3587">
        <w:rPr>
          <w:sz w:val="22"/>
          <w:szCs w:val="22"/>
          <w:lang w:val="fr-FR"/>
        </w:rPr>
        <w:t> » et que les cinq cibles associées se rapportent à la suppression progressive de la grenaille de plomb</w:t>
      </w:r>
      <w:r w:rsidR="000C366C">
        <w:rPr>
          <w:sz w:val="22"/>
          <w:szCs w:val="22"/>
          <w:lang w:val="fr-FR"/>
        </w:rPr>
        <w:t xml:space="preserve"> dans les zones humides</w:t>
      </w:r>
      <w:r w:rsidR="006D3587">
        <w:rPr>
          <w:sz w:val="22"/>
          <w:szCs w:val="22"/>
          <w:lang w:val="fr-FR"/>
        </w:rPr>
        <w:t>, à la mise en œuvre d’une collecte coordonnée au niveau international des données sur les prélèvements, à l’élimination des prélèvements illégaux d’oiseaux d’eau, notamment l’utilisation d’appâts empoisonnés ainsi que les méthodes de prélèvement non sélectives, à l’élaboration et l’encouragement de codes et normes de meilleure pratique pour la chasse et à la mise en œuvre d’une gestion adaptative des prélèvements au niveau international,</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 xml:space="preserve">Consciente cependant </w:t>
      </w:r>
      <w:r>
        <w:rPr>
          <w:sz w:val="22"/>
          <w:szCs w:val="22"/>
          <w:lang w:val="fr-FR"/>
        </w:rPr>
        <w:t>que certaines Parties n’ont pas encore fait en sorte que leur législation nationale protège pleinement les populations se trouvant sur leur territoire et figurant à la colonne A du tableau 1 du Plan d’action, afin d’assurer l’exécution de leurs obligations au titre de l’Accord à cet égard,</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 xml:space="preserve">Notant </w:t>
      </w:r>
      <w:r>
        <w:rPr>
          <w:sz w:val="22"/>
          <w:szCs w:val="22"/>
          <w:lang w:val="fr-FR"/>
        </w:rPr>
        <w:t>que dans le cadre de l’Initiative africaine, des listes nationales des populations figurant à la colonne A ont été dressées pour les Parties contractantes africaines qui, après contrôle par le Comité technique, aideront les Parties contractantes africaines à analyser les lacunes dans leur législation nationale concernant la conservation de ces espèces de haute priorité,</w:t>
      </w:r>
    </w:p>
    <w:p w:rsidR="006D3587" w:rsidRDefault="006D3587" w:rsidP="006D3587">
      <w:pPr>
        <w:ind w:firstLine="720"/>
        <w:jc w:val="both"/>
        <w:rPr>
          <w:sz w:val="22"/>
          <w:szCs w:val="22"/>
          <w:lang w:val="fr-FR"/>
        </w:rPr>
      </w:pPr>
    </w:p>
    <w:p w:rsidR="00572B07" w:rsidRDefault="006D3587" w:rsidP="006D3587">
      <w:pPr>
        <w:ind w:firstLine="720"/>
        <w:jc w:val="both"/>
        <w:rPr>
          <w:sz w:val="22"/>
          <w:szCs w:val="22"/>
          <w:lang w:val="fr-FR"/>
        </w:rPr>
        <w:sectPr w:rsidR="00572B07" w:rsidSect="00572B07">
          <w:headerReference w:type="default" r:id="rId7"/>
          <w:pgSz w:w="11906" w:h="16838" w:code="9"/>
          <w:pgMar w:top="1021" w:right="1134" w:bottom="851" w:left="1134" w:header="851" w:footer="510" w:gutter="0"/>
          <w:pgNumType w:start="2"/>
          <w:cols w:space="708"/>
          <w:docGrid w:linePitch="360"/>
        </w:sectPr>
      </w:pPr>
      <w:r>
        <w:rPr>
          <w:i/>
          <w:iCs/>
          <w:sz w:val="22"/>
          <w:szCs w:val="22"/>
          <w:lang w:val="fr-FR"/>
        </w:rPr>
        <w:t xml:space="preserve">Consciente </w:t>
      </w:r>
      <w:r>
        <w:rPr>
          <w:sz w:val="22"/>
          <w:szCs w:val="22"/>
          <w:lang w:val="fr-FR"/>
        </w:rPr>
        <w:t xml:space="preserve">de l’importance sociale et économique des prélèvements d’oiseaux d’eau pour les communautés locales dans de nombreuses régions couvertes par l’Accord et </w:t>
      </w:r>
      <w:r w:rsidR="00275003">
        <w:rPr>
          <w:sz w:val="22"/>
          <w:szCs w:val="22"/>
          <w:lang w:val="fr-FR"/>
        </w:rPr>
        <w:t>d</w:t>
      </w:r>
      <w:r>
        <w:rPr>
          <w:sz w:val="22"/>
          <w:szCs w:val="22"/>
          <w:lang w:val="fr-FR"/>
        </w:rPr>
        <w:t xml:space="preserve">es preuves archéologiques qui remontent aux âges les plus reculés de l’histoire humaine, </w:t>
      </w:r>
      <w:r w:rsidR="00275003">
        <w:rPr>
          <w:sz w:val="22"/>
          <w:szCs w:val="22"/>
          <w:lang w:val="fr-FR"/>
        </w:rPr>
        <w:t xml:space="preserve">et que ce type de prélèvements </w:t>
      </w:r>
      <w:r>
        <w:rPr>
          <w:sz w:val="22"/>
          <w:szCs w:val="22"/>
          <w:lang w:val="fr-FR"/>
        </w:rPr>
        <w:t>constitue un précieux service écosystémique provenant des zones humides ou d’autres habitats,</w:t>
      </w:r>
    </w:p>
    <w:p w:rsidR="009352DC" w:rsidRDefault="006D3587" w:rsidP="006D3587">
      <w:pPr>
        <w:ind w:firstLine="720"/>
        <w:jc w:val="both"/>
        <w:rPr>
          <w:sz w:val="22"/>
          <w:szCs w:val="22"/>
          <w:lang w:val="fr-FR"/>
        </w:rPr>
      </w:pPr>
      <w:r>
        <w:rPr>
          <w:i/>
          <w:iCs/>
          <w:sz w:val="22"/>
          <w:szCs w:val="22"/>
          <w:lang w:val="fr-FR"/>
        </w:rPr>
        <w:lastRenderedPageBreak/>
        <w:t xml:space="preserve">Consciente </w:t>
      </w:r>
      <w:r>
        <w:rPr>
          <w:sz w:val="22"/>
          <w:szCs w:val="22"/>
          <w:lang w:val="fr-FR"/>
        </w:rPr>
        <w:t>qu’il existe peu d’informations sur la nature et l’ampleur des prélèvements d’oiseaux d’eau et les réglementations juridique et culturelle y afférentes en Afrique, au Moyen-Orient et en Asie centrale pouvant servir de base pour les évaluations de la durabilité et que, dès lors, le Comité technique a identifié le besoin de telles données et informations comme étant une priorité stratégique afin de pouvoir mieux conseiller les Parties sur cette question,</w:t>
      </w:r>
    </w:p>
    <w:p w:rsidR="00275003" w:rsidRDefault="00275003" w:rsidP="006D3587">
      <w:pPr>
        <w:ind w:firstLine="720"/>
        <w:jc w:val="both"/>
        <w:rPr>
          <w:i/>
          <w:iCs/>
          <w:sz w:val="22"/>
          <w:szCs w:val="22"/>
          <w:lang w:val="fr-FR"/>
        </w:rPr>
      </w:pPr>
    </w:p>
    <w:p w:rsidR="006D3587" w:rsidRDefault="006D3587" w:rsidP="006D3587">
      <w:pPr>
        <w:ind w:firstLine="720"/>
        <w:jc w:val="both"/>
        <w:rPr>
          <w:sz w:val="22"/>
          <w:szCs w:val="22"/>
          <w:lang w:val="fr-FR"/>
        </w:rPr>
      </w:pPr>
      <w:r>
        <w:rPr>
          <w:i/>
          <w:iCs/>
          <w:sz w:val="22"/>
          <w:szCs w:val="22"/>
          <w:lang w:val="fr-FR"/>
        </w:rPr>
        <w:t xml:space="preserve">Notant </w:t>
      </w:r>
      <w:r>
        <w:rPr>
          <w:sz w:val="22"/>
          <w:szCs w:val="22"/>
          <w:lang w:val="fr-FR"/>
        </w:rPr>
        <w:t>que la nécessité d’assurer que toute utilisatio</w:t>
      </w:r>
      <w:r w:rsidR="00B33444">
        <w:rPr>
          <w:sz w:val="22"/>
          <w:szCs w:val="22"/>
          <w:lang w:val="fr-FR"/>
        </w:rPr>
        <w:t>n d’oiseaux d’eau migrateurs soit</w:t>
      </w:r>
      <w:r>
        <w:rPr>
          <w:sz w:val="22"/>
          <w:szCs w:val="22"/>
          <w:lang w:val="fr-FR"/>
        </w:rPr>
        <w:t xml:space="preserve"> durable constitue un sujet central du Plan d’action de l’Accord et fait l’objet de considérations majeures par la Réunion des Parties, entre autres, dans les contextes suivants : assurer la protection des espèces menacées dans le cadre des législations nationales, la suppression progressive de la grenaille de plomb, la réduction des perturbations causées par la chasse, ainsi que d’autres activités, la suspension de la chasse pendant les situations d’urgence, telles que des périodes de froid extrême, et le besoin d’évaluer et de faire rapport sur les prélèvements et la mortalité par la chasse,</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Saluant</w:t>
      </w:r>
      <w:r>
        <w:rPr>
          <w:sz w:val="22"/>
          <w:szCs w:val="22"/>
          <w:lang w:val="fr-FR"/>
        </w:rPr>
        <w:t xml:space="preserve"> la collaboration continue avec et le soutien actif pour l’AEWA d’organisations internationales s’intéressant à la chasse et, par conséquent, avec leurs organisations partenaires nationales,</w:t>
      </w:r>
    </w:p>
    <w:p w:rsidR="006D3587" w:rsidRDefault="006D3587" w:rsidP="006D3587">
      <w:pPr>
        <w:jc w:val="both"/>
        <w:rPr>
          <w:sz w:val="22"/>
          <w:szCs w:val="22"/>
          <w:lang w:val="fr-FR"/>
        </w:rPr>
      </w:pPr>
    </w:p>
    <w:p w:rsidR="006D3587" w:rsidRDefault="006D3587" w:rsidP="006D3587">
      <w:pPr>
        <w:ind w:firstLine="720"/>
        <w:jc w:val="both"/>
        <w:rPr>
          <w:sz w:val="22"/>
          <w:szCs w:val="22"/>
          <w:lang w:val="fr-FR"/>
        </w:rPr>
      </w:pPr>
      <w:r>
        <w:rPr>
          <w:i/>
          <w:iCs/>
          <w:sz w:val="22"/>
          <w:szCs w:val="22"/>
          <w:lang w:val="fr-FR"/>
        </w:rPr>
        <w:t xml:space="preserve">Notant </w:t>
      </w:r>
      <w:r>
        <w:rPr>
          <w:sz w:val="22"/>
          <w:szCs w:val="22"/>
          <w:lang w:val="fr-FR"/>
        </w:rPr>
        <w:t>que pour les espèces de gibier dont l’état de conservation est défavorable, les agents des changements au sein des populations peuvent être</w:t>
      </w:r>
      <w:r w:rsidR="000F49DB">
        <w:rPr>
          <w:sz w:val="22"/>
          <w:szCs w:val="22"/>
          <w:lang w:val="fr-FR"/>
        </w:rPr>
        <w:t xml:space="preserve"> mal </w:t>
      </w:r>
      <w:proofErr w:type="gramStart"/>
      <w:r w:rsidR="000F49DB">
        <w:rPr>
          <w:sz w:val="22"/>
          <w:szCs w:val="22"/>
          <w:lang w:val="fr-FR"/>
        </w:rPr>
        <w:t>compris</w:t>
      </w:r>
      <w:proofErr w:type="gramEnd"/>
      <w:r w:rsidR="000F49DB">
        <w:rPr>
          <w:sz w:val="22"/>
          <w:szCs w:val="22"/>
          <w:lang w:val="fr-FR"/>
        </w:rPr>
        <w:t> ; la chasse peut être un agent clé du changement des populations ou bien non, ou peut-être est-elle un agent parmi un nombre de facteurs qui influencent le changement des populations</w:t>
      </w:r>
      <w:r>
        <w:rPr>
          <w:sz w:val="22"/>
          <w:szCs w:val="22"/>
          <w:lang w:val="fr-FR"/>
        </w:rPr>
        <w:t>,</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Consciente</w:t>
      </w:r>
      <w:r>
        <w:rPr>
          <w:sz w:val="22"/>
          <w:szCs w:val="22"/>
          <w:lang w:val="fr-FR"/>
        </w:rPr>
        <w:t xml:space="preserve"> que les évaluations biologiques de la durabilité dépendent de mesures de la mortalité et de la productivité à l’échelle des populations, informations rarement disponibles, et </w:t>
      </w:r>
      <w:r>
        <w:rPr>
          <w:i/>
          <w:iCs/>
          <w:sz w:val="22"/>
          <w:szCs w:val="22"/>
          <w:lang w:val="fr-FR"/>
        </w:rPr>
        <w:t>consciente en outre</w:t>
      </w:r>
      <w:r>
        <w:rPr>
          <w:sz w:val="22"/>
          <w:szCs w:val="22"/>
          <w:lang w:val="fr-FR"/>
        </w:rPr>
        <w:t xml:space="preserve"> que la nécessité de programmes harmonisés au niveau international en vue de comparer les données et informations importantes a été depuis longtemps une </w:t>
      </w:r>
      <w:r w:rsidR="00275003">
        <w:rPr>
          <w:sz w:val="22"/>
          <w:szCs w:val="22"/>
          <w:lang w:val="fr-FR"/>
        </w:rPr>
        <w:t xml:space="preserve">priorité </w:t>
      </w:r>
      <w:r w:rsidR="004146CA">
        <w:rPr>
          <w:sz w:val="22"/>
          <w:szCs w:val="22"/>
          <w:lang w:val="fr-FR"/>
        </w:rPr>
        <w:t>sur</w:t>
      </w:r>
      <w:r w:rsidR="00275003">
        <w:rPr>
          <w:sz w:val="22"/>
          <w:szCs w:val="22"/>
          <w:lang w:val="fr-FR"/>
        </w:rPr>
        <w:t xml:space="preserve"> la liste des</w:t>
      </w:r>
      <w:r>
        <w:rPr>
          <w:sz w:val="22"/>
          <w:szCs w:val="22"/>
          <w:lang w:val="fr-FR"/>
        </w:rPr>
        <w:t xml:space="preserve"> Tâche</w:t>
      </w:r>
      <w:r w:rsidR="00275003">
        <w:rPr>
          <w:sz w:val="22"/>
          <w:szCs w:val="22"/>
          <w:lang w:val="fr-FR"/>
        </w:rPr>
        <w:t>s</w:t>
      </w:r>
      <w:r>
        <w:rPr>
          <w:sz w:val="22"/>
          <w:szCs w:val="22"/>
          <w:lang w:val="fr-FR"/>
        </w:rPr>
        <w:t xml:space="preserve"> internationale</w:t>
      </w:r>
      <w:r w:rsidR="00275003">
        <w:rPr>
          <w:sz w:val="22"/>
          <w:szCs w:val="22"/>
          <w:lang w:val="fr-FR"/>
        </w:rPr>
        <w:t>s</w:t>
      </w:r>
      <w:r>
        <w:rPr>
          <w:sz w:val="22"/>
          <w:szCs w:val="22"/>
          <w:lang w:val="fr-FR"/>
        </w:rPr>
        <w:t xml:space="preserve"> de mise en œuvre</w:t>
      </w:r>
      <w:r w:rsidR="00275003">
        <w:rPr>
          <w:sz w:val="22"/>
          <w:szCs w:val="22"/>
          <w:lang w:val="fr-FR"/>
        </w:rPr>
        <w:t xml:space="preserve"> de l’AEWA</w:t>
      </w:r>
      <w:r>
        <w:rPr>
          <w:sz w:val="22"/>
          <w:szCs w:val="22"/>
          <w:lang w:val="fr-FR"/>
        </w:rPr>
        <w:t xml:space="preserve">, mais n’a pas encore été pleinement </w:t>
      </w:r>
      <w:r w:rsidR="00275003">
        <w:rPr>
          <w:sz w:val="22"/>
          <w:szCs w:val="22"/>
          <w:lang w:val="fr-FR"/>
        </w:rPr>
        <w:t>réalisée</w:t>
      </w:r>
      <w:r>
        <w:rPr>
          <w:sz w:val="22"/>
          <w:szCs w:val="22"/>
          <w:lang w:val="fr-FR"/>
        </w:rPr>
        <w:t>,</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Prenant acte</w:t>
      </w:r>
      <w:r>
        <w:rPr>
          <w:sz w:val="22"/>
          <w:szCs w:val="22"/>
          <w:lang w:val="fr-FR"/>
        </w:rPr>
        <w:t xml:space="preserve"> à partir de la synthèse des rap</w:t>
      </w:r>
      <w:r w:rsidR="001632CE">
        <w:rPr>
          <w:sz w:val="22"/>
          <w:szCs w:val="22"/>
          <w:lang w:val="fr-FR"/>
        </w:rPr>
        <w:t>ports nationaux soumis à la MOP</w:t>
      </w:r>
      <w:r>
        <w:rPr>
          <w:sz w:val="22"/>
          <w:szCs w:val="22"/>
          <w:lang w:val="fr-FR"/>
        </w:rPr>
        <w:t xml:space="preserve">6 (document </w:t>
      </w:r>
      <w:r w:rsidR="006D2E9F">
        <w:rPr>
          <w:sz w:val="22"/>
          <w:szCs w:val="22"/>
          <w:lang w:val="fr-FR"/>
        </w:rPr>
        <w:br w:type="textWrapping" w:clear="all"/>
      </w:r>
      <w:r>
        <w:rPr>
          <w:sz w:val="22"/>
          <w:szCs w:val="22"/>
          <w:lang w:val="fr-FR"/>
        </w:rPr>
        <w:t>AEWA/MOP 6.</w:t>
      </w:r>
      <w:r w:rsidR="00456475">
        <w:rPr>
          <w:sz w:val="22"/>
          <w:szCs w:val="22"/>
          <w:lang w:val="fr-FR"/>
        </w:rPr>
        <w:t>13</w:t>
      </w:r>
      <w:r>
        <w:rPr>
          <w:sz w:val="22"/>
          <w:szCs w:val="22"/>
          <w:lang w:val="fr-FR"/>
        </w:rPr>
        <w:t>), que</w:t>
      </w:r>
      <w:r w:rsidR="00357A4C">
        <w:rPr>
          <w:sz w:val="22"/>
          <w:szCs w:val="22"/>
          <w:lang w:val="fr-FR"/>
        </w:rPr>
        <w:t xml:space="preserve">, des 39 Parties ayant soumis un rapport </w:t>
      </w:r>
      <w:r>
        <w:rPr>
          <w:sz w:val="22"/>
          <w:szCs w:val="22"/>
          <w:lang w:val="fr-FR"/>
        </w:rPr>
        <w:t>:</w:t>
      </w:r>
    </w:p>
    <w:p w:rsidR="006D2E9F" w:rsidRDefault="006D2E9F" w:rsidP="006D3587">
      <w:pPr>
        <w:ind w:firstLine="720"/>
        <w:jc w:val="both"/>
        <w:rPr>
          <w:sz w:val="22"/>
          <w:szCs w:val="22"/>
          <w:lang w:val="fr-FR"/>
        </w:rPr>
      </w:pPr>
    </w:p>
    <w:p w:rsidR="00357A4C" w:rsidRDefault="00357A4C" w:rsidP="006D3587">
      <w:pPr>
        <w:numPr>
          <w:ilvl w:val="0"/>
          <w:numId w:val="3"/>
        </w:numPr>
        <w:jc w:val="both"/>
        <w:rPr>
          <w:sz w:val="22"/>
          <w:szCs w:val="22"/>
          <w:lang w:val="fr-FR"/>
        </w:rPr>
      </w:pPr>
      <w:r w:rsidRPr="00357A4C">
        <w:rPr>
          <w:sz w:val="22"/>
          <w:szCs w:val="22"/>
          <w:lang w:val="fr-FR"/>
        </w:rPr>
        <w:t xml:space="preserve">29 </w:t>
      </w:r>
      <w:r w:rsidR="00275003">
        <w:rPr>
          <w:sz w:val="22"/>
          <w:szCs w:val="22"/>
          <w:lang w:val="fr-FR"/>
        </w:rPr>
        <w:t>au</w:t>
      </w:r>
      <w:r w:rsidRPr="00357A4C">
        <w:rPr>
          <w:sz w:val="22"/>
          <w:szCs w:val="22"/>
          <w:lang w:val="fr-FR"/>
        </w:rPr>
        <w:t xml:space="preserve"> total (74 %) ont confirmé l’existence d’un système de collecte des données sur les prélèvements, mais 42 Parties n’ont soit pas soumis de rapport (32) ou n’ont pas indiqué l’existence d’un tel système national (10)</w:t>
      </w:r>
    </w:p>
    <w:p w:rsidR="006D2E9F" w:rsidRPr="00357A4C" w:rsidRDefault="006D2E9F" w:rsidP="006D2E9F">
      <w:pPr>
        <w:ind w:left="1440"/>
        <w:jc w:val="both"/>
        <w:rPr>
          <w:sz w:val="22"/>
          <w:szCs w:val="22"/>
          <w:lang w:val="fr-FR"/>
        </w:rPr>
      </w:pPr>
    </w:p>
    <w:p w:rsidR="00357A4C" w:rsidRDefault="00357A4C" w:rsidP="006D3587">
      <w:pPr>
        <w:numPr>
          <w:ilvl w:val="0"/>
          <w:numId w:val="3"/>
        </w:numPr>
        <w:jc w:val="both"/>
        <w:rPr>
          <w:sz w:val="22"/>
          <w:szCs w:val="22"/>
          <w:lang w:val="fr-FR"/>
        </w:rPr>
      </w:pPr>
      <w:r w:rsidRPr="00357A4C">
        <w:rPr>
          <w:sz w:val="22"/>
          <w:szCs w:val="22"/>
          <w:lang w:val="fr-FR"/>
        </w:rPr>
        <w:t xml:space="preserve">22 </w:t>
      </w:r>
      <w:r w:rsidR="00275003">
        <w:rPr>
          <w:sz w:val="22"/>
          <w:szCs w:val="22"/>
          <w:lang w:val="fr-FR"/>
        </w:rPr>
        <w:t>au</w:t>
      </w:r>
      <w:r w:rsidRPr="00357A4C">
        <w:rPr>
          <w:sz w:val="22"/>
          <w:szCs w:val="22"/>
          <w:lang w:val="fr-FR"/>
        </w:rPr>
        <w:t xml:space="preserve"> total ont informé que la grenaille de plomb est totalement (17) ou partiellement (5) </w:t>
      </w:r>
      <w:r w:rsidRPr="00D858DD">
        <w:rPr>
          <w:sz w:val="22"/>
          <w:szCs w:val="22"/>
          <w:lang w:val="fr-FR"/>
        </w:rPr>
        <w:t>supprimée, 12 Parties ont confirmé que davantage d’efforts seront nécessaires afin de réaliser le cible 2.1 du Plan stratégique, mais que 44 Parties n’ont pas procuré de rapport (32) ou n’ont rapporté aucun progrès (12) à cette fin, et</w:t>
      </w:r>
    </w:p>
    <w:p w:rsidR="006D2E9F" w:rsidRDefault="006D2E9F" w:rsidP="006D2E9F">
      <w:pPr>
        <w:pStyle w:val="ListParagraph"/>
        <w:rPr>
          <w:sz w:val="22"/>
          <w:szCs w:val="22"/>
          <w:lang w:val="fr-FR"/>
        </w:rPr>
      </w:pPr>
    </w:p>
    <w:p w:rsidR="00D858DD" w:rsidRPr="00D858DD" w:rsidRDefault="00D858DD" w:rsidP="006D3587">
      <w:pPr>
        <w:numPr>
          <w:ilvl w:val="0"/>
          <w:numId w:val="3"/>
        </w:numPr>
        <w:jc w:val="both"/>
        <w:rPr>
          <w:sz w:val="22"/>
          <w:szCs w:val="22"/>
          <w:lang w:val="fr-FR"/>
        </w:rPr>
      </w:pPr>
      <w:r w:rsidRPr="00D858DD">
        <w:rPr>
          <w:sz w:val="22"/>
          <w:szCs w:val="22"/>
          <w:lang w:val="fr-FR"/>
        </w:rPr>
        <w:t xml:space="preserve">37 </w:t>
      </w:r>
      <w:r w:rsidR="00275003">
        <w:rPr>
          <w:sz w:val="22"/>
          <w:szCs w:val="22"/>
          <w:lang w:val="fr-FR"/>
        </w:rPr>
        <w:t>au</w:t>
      </w:r>
      <w:r w:rsidRPr="00D858DD">
        <w:rPr>
          <w:sz w:val="22"/>
          <w:szCs w:val="22"/>
          <w:lang w:val="fr-FR"/>
        </w:rPr>
        <w:t xml:space="preserve"> total ont confirmé que des mesures sont prises afin d’éliminer la chasse illicite d’oiseaux d’eau dans leur pays, néanmoins, 34 </w:t>
      </w:r>
      <w:r w:rsidR="00275003">
        <w:rPr>
          <w:sz w:val="22"/>
          <w:szCs w:val="22"/>
          <w:lang w:val="fr-FR"/>
        </w:rPr>
        <w:t xml:space="preserve">autres </w:t>
      </w:r>
      <w:r w:rsidRPr="00D858DD">
        <w:rPr>
          <w:sz w:val="22"/>
          <w:szCs w:val="22"/>
          <w:lang w:val="fr-FR"/>
        </w:rPr>
        <w:t>Parties n’ont pas procuré de rapport (32) ou ont rapporté aucune mesure,</w:t>
      </w:r>
    </w:p>
    <w:p w:rsidR="006D3587" w:rsidRDefault="006D3587" w:rsidP="006D3587">
      <w:pPr>
        <w:ind w:firstLine="720"/>
        <w:jc w:val="both"/>
        <w:rPr>
          <w:sz w:val="22"/>
          <w:szCs w:val="22"/>
          <w:lang w:val="fr-FR"/>
        </w:rPr>
      </w:pPr>
    </w:p>
    <w:p w:rsidR="009E5047" w:rsidRPr="009E5047" w:rsidRDefault="006D3587" w:rsidP="009E5047">
      <w:pPr>
        <w:ind w:firstLine="720"/>
        <w:jc w:val="both"/>
        <w:rPr>
          <w:sz w:val="22"/>
          <w:szCs w:val="22"/>
          <w:lang w:val="fr-FR"/>
        </w:rPr>
      </w:pPr>
      <w:r>
        <w:rPr>
          <w:i/>
          <w:iCs/>
          <w:sz w:val="22"/>
          <w:szCs w:val="22"/>
          <w:lang w:val="fr-FR"/>
        </w:rPr>
        <w:t>Rappelant</w:t>
      </w:r>
      <w:r>
        <w:rPr>
          <w:sz w:val="22"/>
          <w:szCs w:val="22"/>
          <w:lang w:val="fr-FR"/>
        </w:rPr>
        <w:t xml:space="preserve"> que le délai fixé par le Plan stratégique pour la suppression progressive de l’utilisation de la grenaille de plomb de chasse dans les zones humides pour toutes les Parties contractantes est 2017,</w:t>
      </w:r>
      <w:r w:rsidR="009E5047">
        <w:rPr>
          <w:sz w:val="22"/>
          <w:szCs w:val="22"/>
          <w:lang w:val="fr-FR"/>
        </w:rPr>
        <w:t xml:space="preserve"> et </w:t>
      </w:r>
      <w:r w:rsidR="009E5047" w:rsidRPr="009E5047">
        <w:rPr>
          <w:i/>
          <w:sz w:val="22"/>
          <w:szCs w:val="22"/>
          <w:lang w:val="fr-FR"/>
        </w:rPr>
        <w:t>saluant</w:t>
      </w:r>
      <w:r w:rsidR="009E5047">
        <w:rPr>
          <w:sz w:val="22"/>
          <w:szCs w:val="22"/>
          <w:lang w:val="fr-FR"/>
        </w:rPr>
        <w:t xml:space="preserve"> l’adoption des </w:t>
      </w:r>
      <w:r w:rsidR="009E5047" w:rsidRPr="009E5047">
        <w:rPr>
          <w:i/>
          <w:sz w:val="22"/>
          <w:szCs w:val="22"/>
          <w:lang w:val="fr-FR"/>
        </w:rPr>
        <w:t>Lignes directrices de la CMS pour prévenir les risques d’empoisonnement aux oiseaux migrateurs</w:t>
      </w:r>
      <w:r w:rsidR="009E5047">
        <w:rPr>
          <w:i/>
          <w:sz w:val="22"/>
          <w:szCs w:val="22"/>
          <w:lang w:val="fr-FR"/>
        </w:rPr>
        <w:t xml:space="preserve"> </w:t>
      </w:r>
      <w:r w:rsidR="009E5047">
        <w:rPr>
          <w:sz w:val="22"/>
          <w:szCs w:val="22"/>
          <w:lang w:val="fr-FR"/>
        </w:rPr>
        <w:t>par la Résolution 11.15 de la CMS,</w:t>
      </w:r>
    </w:p>
    <w:p w:rsidR="006D3587" w:rsidRPr="009E504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 xml:space="preserve">Se félicitant également </w:t>
      </w:r>
      <w:r>
        <w:rPr>
          <w:sz w:val="22"/>
          <w:szCs w:val="22"/>
          <w:lang w:val="fr-FR"/>
        </w:rPr>
        <w:t xml:space="preserve">des Lignes directrices révisées de l’AEWA sur le prélèvement durable des oiseaux d’eau migrateurs révisées, </w:t>
      </w:r>
      <w:r w:rsidRPr="00456475">
        <w:rPr>
          <w:sz w:val="22"/>
          <w:szCs w:val="22"/>
          <w:lang w:val="fr-FR"/>
        </w:rPr>
        <w:t>adoptées par la Résolution 6.5,</w:t>
      </w:r>
      <w:r>
        <w:rPr>
          <w:sz w:val="22"/>
          <w:szCs w:val="22"/>
          <w:lang w:val="fr-FR"/>
        </w:rPr>
        <w:t xml:space="preserve"> qui </w:t>
      </w:r>
      <w:proofErr w:type="gramStart"/>
      <w:r>
        <w:rPr>
          <w:sz w:val="22"/>
          <w:szCs w:val="22"/>
          <w:lang w:val="fr-FR"/>
        </w:rPr>
        <w:t>encouragent</w:t>
      </w:r>
      <w:proofErr w:type="gramEnd"/>
      <w:r>
        <w:rPr>
          <w:sz w:val="22"/>
          <w:szCs w:val="22"/>
          <w:lang w:val="fr-FR"/>
        </w:rPr>
        <w:t xml:space="preserve"> fortement le développement futur d’initiatives d’utilisation durable dans le cadre de l’AEWA,</w:t>
      </w:r>
    </w:p>
    <w:p w:rsidR="006D3587" w:rsidRDefault="006D3587" w:rsidP="006D3587">
      <w:pPr>
        <w:ind w:firstLine="720"/>
        <w:jc w:val="both"/>
        <w:rPr>
          <w:sz w:val="22"/>
          <w:szCs w:val="22"/>
          <w:lang w:val="fr-FR"/>
        </w:rPr>
      </w:pPr>
    </w:p>
    <w:p w:rsidR="006D3587" w:rsidRDefault="006D3587" w:rsidP="006D3587">
      <w:pPr>
        <w:ind w:firstLine="720"/>
        <w:jc w:val="both"/>
        <w:rPr>
          <w:sz w:val="22"/>
          <w:szCs w:val="22"/>
          <w:lang w:val="fr-FR"/>
        </w:rPr>
      </w:pPr>
      <w:r>
        <w:rPr>
          <w:i/>
          <w:iCs/>
          <w:sz w:val="22"/>
          <w:szCs w:val="22"/>
          <w:lang w:val="fr-FR"/>
        </w:rPr>
        <w:t>Se félicitant</w:t>
      </w:r>
      <w:r>
        <w:rPr>
          <w:sz w:val="22"/>
          <w:szCs w:val="22"/>
          <w:lang w:val="fr-FR"/>
        </w:rPr>
        <w:t xml:space="preserve"> des Directives sur les législations nationales relatives aux différentes populations d’une même espèce, en particulier en matière de chasse et de commerce, adoptées </w:t>
      </w:r>
      <w:r w:rsidRPr="00456475">
        <w:rPr>
          <w:sz w:val="22"/>
          <w:szCs w:val="22"/>
          <w:lang w:val="fr-FR"/>
        </w:rPr>
        <w:t>par la Résolution 6.7 ainsi</w:t>
      </w:r>
      <w:r>
        <w:rPr>
          <w:sz w:val="22"/>
          <w:szCs w:val="22"/>
          <w:lang w:val="fr-FR"/>
        </w:rPr>
        <w:t xml:space="preserve"> que de l’avant-projet de directives sur la lutte contre la mise à mort accidentelle d’espèces semblables dans le Paléarctique occidental qui doit être développé plus avant et étendu par la Comité technique pour soumission à la MOP7 (</w:t>
      </w:r>
      <w:r w:rsidR="00456475" w:rsidRPr="00456475">
        <w:rPr>
          <w:sz w:val="22"/>
          <w:szCs w:val="22"/>
          <w:lang w:val="fr-FR"/>
        </w:rPr>
        <w:t xml:space="preserve">document </w:t>
      </w:r>
      <w:r w:rsidRPr="00456475">
        <w:rPr>
          <w:sz w:val="22"/>
          <w:szCs w:val="22"/>
          <w:lang w:val="fr-FR"/>
        </w:rPr>
        <w:t xml:space="preserve">AEWA/MOP </w:t>
      </w:r>
      <w:r w:rsidR="00456475" w:rsidRPr="00456475">
        <w:rPr>
          <w:sz w:val="22"/>
          <w:szCs w:val="22"/>
          <w:lang w:val="fr-FR"/>
        </w:rPr>
        <w:t xml:space="preserve">Inf. </w:t>
      </w:r>
      <w:r w:rsidRPr="00456475">
        <w:rPr>
          <w:sz w:val="22"/>
          <w:szCs w:val="22"/>
          <w:lang w:val="fr-FR"/>
        </w:rPr>
        <w:t>6</w:t>
      </w:r>
      <w:r w:rsidR="00456475" w:rsidRPr="00456475">
        <w:rPr>
          <w:sz w:val="22"/>
          <w:szCs w:val="22"/>
          <w:lang w:val="fr-FR"/>
        </w:rPr>
        <w:t>.1</w:t>
      </w:r>
      <w:r w:rsidRPr="00456475">
        <w:rPr>
          <w:sz w:val="22"/>
          <w:szCs w:val="22"/>
          <w:lang w:val="fr-FR"/>
        </w:rPr>
        <w:t>),</w:t>
      </w:r>
    </w:p>
    <w:p w:rsidR="006D3587" w:rsidRDefault="006D3587" w:rsidP="006D3587">
      <w:pPr>
        <w:ind w:firstLine="720"/>
        <w:jc w:val="both"/>
        <w:rPr>
          <w:sz w:val="22"/>
          <w:szCs w:val="22"/>
          <w:lang w:val="fr-FR"/>
        </w:rPr>
      </w:pPr>
      <w:r>
        <w:rPr>
          <w:i/>
          <w:iCs/>
          <w:sz w:val="22"/>
          <w:szCs w:val="22"/>
          <w:lang w:val="fr-FR"/>
        </w:rPr>
        <w:lastRenderedPageBreak/>
        <w:t xml:space="preserve">Notant </w:t>
      </w:r>
      <w:r w:rsidRPr="00456475">
        <w:rPr>
          <w:sz w:val="22"/>
          <w:szCs w:val="22"/>
          <w:lang w:val="fr-FR"/>
        </w:rPr>
        <w:t>l’importance de la Résolution 6.12 pour</w:t>
      </w:r>
      <w:r>
        <w:rPr>
          <w:sz w:val="22"/>
          <w:szCs w:val="22"/>
          <w:lang w:val="fr-FR"/>
        </w:rPr>
        <w:t xml:space="preserve"> éviter une mortalité supplémentaire et inutile d’oiseaux d’eau migrateurs au regard des mesures visan</w:t>
      </w:r>
      <w:r w:rsidR="005239D4">
        <w:rPr>
          <w:sz w:val="22"/>
          <w:szCs w:val="22"/>
          <w:lang w:val="fr-FR"/>
        </w:rPr>
        <w:t>t à éliminer la chasse illégale</w:t>
      </w:r>
      <w:r w:rsidR="0024792F">
        <w:rPr>
          <w:sz w:val="22"/>
          <w:szCs w:val="22"/>
          <w:lang w:val="fr-FR"/>
        </w:rPr>
        <w:t>,</w:t>
      </w:r>
    </w:p>
    <w:p w:rsidR="006D3587" w:rsidRDefault="006D3587" w:rsidP="006D3587">
      <w:pPr>
        <w:jc w:val="both"/>
        <w:rPr>
          <w:sz w:val="22"/>
          <w:szCs w:val="22"/>
          <w:lang w:val="fr-FR"/>
        </w:rPr>
      </w:pPr>
    </w:p>
    <w:p w:rsidR="00275003" w:rsidRDefault="00275003" w:rsidP="006D3587">
      <w:pPr>
        <w:jc w:val="both"/>
        <w:rPr>
          <w:sz w:val="22"/>
          <w:szCs w:val="22"/>
          <w:lang w:val="fr-FR"/>
        </w:rPr>
      </w:pPr>
      <w:r>
        <w:rPr>
          <w:sz w:val="22"/>
          <w:szCs w:val="22"/>
          <w:lang w:val="fr-FR"/>
        </w:rPr>
        <w:tab/>
      </w:r>
      <w:r>
        <w:rPr>
          <w:i/>
          <w:sz w:val="22"/>
          <w:szCs w:val="22"/>
          <w:lang w:val="fr-FR"/>
        </w:rPr>
        <w:t xml:space="preserve">Notant en outre </w:t>
      </w:r>
      <w:r>
        <w:rPr>
          <w:sz w:val="22"/>
          <w:szCs w:val="22"/>
          <w:lang w:val="fr-FR"/>
        </w:rPr>
        <w:t xml:space="preserve">les conclusions de la conférence internationale sur la gestion de l’Oie en Europe, conférence organisée par l’Office danois pour la nature et l’Université </w:t>
      </w:r>
      <w:r w:rsidR="004324B3">
        <w:rPr>
          <w:sz w:val="22"/>
          <w:szCs w:val="22"/>
          <w:lang w:val="fr-FR"/>
        </w:rPr>
        <w:t>d’</w:t>
      </w:r>
      <w:r>
        <w:rPr>
          <w:sz w:val="22"/>
          <w:szCs w:val="22"/>
          <w:lang w:val="fr-FR"/>
        </w:rPr>
        <w:t xml:space="preserve">Aarhus du 27 au 29 octobre 2015 (document AEWA/MOP Inf. 6.14) et </w:t>
      </w:r>
      <w:r>
        <w:rPr>
          <w:i/>
          <w:sz w:val="22"/>
          <w:szCs w:val="22"/>
          <w:lang w:val="fr-FR"/>
        </w:rPr>
        <w:t>reconnaissant</w:t>
      </w:r>
      <w:r>
        <w:rPr>
          <w:sz w:val="22"/>
          <w:szCs w:val="22"/>
          <w:lang w:val="fr-FR"/>
        </w:rPr>
        <w:t xml:space="preserve"> le besoin d’une approche coordonnée de la gestion de la Bernache nonette (</w:t>
      </w:r>
      <w:proofErr w:type="spellStart"/>
      <w:r w:rsidRPr="00D44DEB">
        <w:rPr>
          <w:i/>
          <w:sz w:val="22"/>
          <w:szCs w:val="22"/>
          <w:lang w:val="fr-FR"/>
        </w:rPr>
        <w:t>Branta</w:t>
      </w:r>
      <w:proofErr w:type="spellEnd"/>
      <w:r w:rsidRPr="00D44DEB">
        <w:rPr>
          <w:i/>
          <w:sz w:val="22"/>
          <w:szCs w:val="22"/>
          <w:lang w:val="fr-FR"/>
        </w:rPr>
        <w:t xml:space="preserve"> </w:t>
      </w:r>
      <w:proofErr w:type="spellStart"/>
      <w:r w:rsidRPr="00D44DEB">
        <w:rPr>
          <w:i/>
          <w:sz w:val="22"/>
          <w:szCs w:val="22"/>
          <w:lang w:val="fr-FR"/>
        </w:rPr>
        <w:t>leucopsis</w:t>
      </w:r>
      <w:proofErr w:type="spellEnd"/>
      <w:r>
        <w:rPr>
          <w:sz w:val="22"/>
          <w:szCs w:val="22"/>
          <w:lang w:val="fr-FR"/>
        </w:rPr>
        <w:t xml:space="preserve">) et d’autres espèces d’oies en Europe, notamment celles dont les populations </w:t>
      </w:r>
      <w:r w:rsidR="00870FAC">
        <w:rPr>
          <w:sz w:val="22"/>
          <w:szCs w:val="22"/>
          <w:lang w:val="fr-FR"/>
        </w:rPr>
        <w:t>sont surabondantes</w:t>
      </w:r>
      <w:r w:rsidR="0024792F">
        <w:rPr>
          <w:sz w:val="22"/>
          <w:szCs w:val="22"/>
          <w:lang w:val="fr-FR"/>
        </w:rPr>
        <w:t>,</w:t>
      </w:r>
    </w:p>
    <w:p w:rsidR="00275003" w:rsidRDefault="00275003" w:rsidP="006D3587">
      <w:pPr>
        <w:jc w:val="both"/>
        <w:rPr>
          <w:sz w:val="22"/>
          <w:szCs w:val="22"/>
          <w:lang w:val="fr-FR"/>
        </w:rPr>
      </w:pPr>
    </w:p>
    <w:p w:rsidR="00ED19FC" w:rsidRDefault="00275003" w:rsidP="006D3587">
      <w:pPr>
        <w:jc w:val="both"/>
        <w:rPr>
          <w:sz w:val="22"/>
          <w:szCs w:val="22"/>
          <w:lang w:val="fr-FR"/>
        </w:rPr>
      </w:pPr>
      <w:r>
        <w:rPr>
          <w:sz w:val="22"/>
          <w:szCs w:val="22"/>
          <w:lang w:val="fr-FR"/>
        </w:rPr>
        <w:tab/>
      </w:r>
      <w:r>
        <w:rPr>
          <w:i/>
          <w:sz w:val="22"/>
          <w:szCs w:val="22"/>
          <w:lang w:val="fr-FR"/>
        </w:rPr>
        <w:t xml:space="preserve">Tenant compte </w:t>
      </w:r>
      <w:r>
        <w:rPr>
          <w:sz w:val="22"/>
          <w:szCs w:val="22"/>
          <w:lang w:val="fr-FR"/>
        </w:rPr>
        <w:t xml:space="preserve">des conclusions et des recommandations de la </w:t>
      </w:r>
      <w:r w:rsidR="004324B3">
        <w:rPr>
          <w:sz w:val="22"/>
          <w:szCs w:val="22"/>
          <w:lang w:val="fr-FR"/>
        </w:rPr>
        <w:t>mise à jour de l’é</w:t>
      </w:r>
      <w:r>
        <w:rPr>
          <w:sz w:val="22"/>
          <w:szCs w:val="22"/>
          <w:lang w:val="fr-FR"/>
        </w:rPr>
        <w:t>tat de</w:t>
      </w:r>
      <w:r w:rsidR="00ED19FC">
        <w:rPr>
          <w:sz w:val="22"/>
          <w:szCs w:val="22"/>
          <w:lang w:val="fr-FR"/>
        </w:rPr>
        <w:t xml:space="preserve">s espèces d’oiseaux d’eau </w:t>
      </w:r>
      <w:r w:rsidR="004324B3">
        <w:rPr>
          <w:sz w:val="22"/>
          <w:szCs w:val="22"/>
          <w:lang w:val="fr-FR"/>
        </w:rPr>
        <w:t xml:space="preserve">non indigènes </w:t>
      </w:r>
      <w:r w:rsidR="00ED19FC">
        <w:rPr>
          <w:sz w:val="22"/>
          <w:szCs w:val="22"/>
          <w:lang w:val="fr-FR"/>
        </w:rPr>
        <w:t xml:space="preserve">dans la zone </w:t>
      </w:r>
      <w:r w:rsidR="004324B3">
        <w:rPr>
          <w:sz w:val="22"/>
          <w:szCs w:val="22"/>
          <w:lang w:val="fr-FR"/>
        </w:rPr>
        <w:t>couverte par</w:t>
      </w:r>
      <w:r w:rsidR="00ED19FC">
        <w:rPr>
          <w:sz w:val="22"/>
          <w:szCs w:val="22"/>
          <w:lang w:val="fr-FR"/>
        </w:rPr>
        <w:t xml:space="preserve"> l’AEWA (document AEWA/MOP 6.15)</w:t>
      </w:r>
      <w:r w:rsidR="0024792F">
        <w:rPr>
          <w:sz w:val="22"/>
          <w:szCs w:val="22"/>
          <w:lang w:val="fr-FR"/>
        </w:rPr>
        <w:t>,</w:t>
      </w:r>
    </w:p>
    <w:p w:rsidR="00ED19FC" w:rsidRDefault="00ED19FC" w:rsidP="006D3587">
      <w:pPr>
        <w:jc w:val="both"/>
        <w:rPr>
          <w:sz w:val="22"/>
          <w:szCs w:val="22"/>
          <w:lang w:val="fr-FR"/>
        </w:rPr>
      </w:pPr>
    </w:p>
    <w:p w:rsidR="00ED19FC" w:rsidRDefault="00ED19FC" w:rsidP="006D3587">
      <w:pPr>
        <w:jc w:val="both"/>
        <w:rPr>
          <w:sz w:val="22"/>
          <w:szCs w:val="22"/>
          <w:lang w:val="fr-FR"/>
        </w:rPr>
      </w:pPr>
      <w:r>
        <w:rPr>
          <w:i/>
          <w:sz w:val="22"/>
          <w:szCs w:val="22"/>
          <w:lang w:val="fr-FR"/>
        </w:rPr>
        <w:tab/>
        <w:t xml:space="preserve">Soucieuse </w:t>
      </w:r>
      <w:r>
        <w:rPr>
          <w:sz w:val="22"/>
          <w:szCs w:val="22"/>
          <w:lang w:val="fr-FR"/>
        </w:rPr>
        <w:t>du fait que les effectifs de plusieurs espèces exotiques d’oiseaux d’eau s’avèrent avoir considérablement augmenté dans plusieurs pays depuis 2008 et, notamment, que celles constituant un risque élevé ou très élevé ont toujours des populations bien établies et que le nombre et la distribution de certaines continuent d’augmenter</w:t>
      </w:r>
      <w:r w:rsidR="0024792F">
        <w:rPr>
          <w:sz w:val="22"/>
          <w:szCs w:val="22"/>
          <w:lang w:val="fr-FR"/>
        </w:rPr>
        <w:t>,</w:t>
      </w:r>
    </w:p>
    <w:p w:rsidR="00A2052F" w:rsidRDefault="00A2052F" w:rsidP="006D3587">
      <w:pPr>
        <w:jc w:val="both"/>
        <w:rPr>
          <w:sz w:val="22"/>
          <w:szCs w:val="22"/>
          <w:lang w:val="fr-FR"/>
        </w:rPr>
      </w:pPr>
    </w:p>
    <w:p w:rsidR="006D2E9F" w:rsidRPr="00275003" w:rsidRDefault="00870FAC" w:rsidP="00A8451D">
      <w:pPr>
        <w:ind w:firstLine="720"/>
        <w:jc w:val="both"/>
        <w:rPr>
          <w:sz w:val="22"/>
          <w:szCs w:val="22"/>
          <w:lang w:val="fr-FR"/>
        </w:rPr>
      </w:pPr>
      <w:r w:rsidRPr="00644606">
        <w:rPr>
          <w:i/>
          <w:sz w:val="22"/>
          <w:szCs w:val="22"/>
          <w:lang w:val="fr-FR"/>
        </w:rPr>
        <w:t>Reconnaissant</w:t>
      </w:r>
      <w:r>
        <w:rPr>
          <w:sz w:val="22"/>
          <w:szCs w:val="22"/>
          <w:lang w:val="fr-FR"/>
        </w:rPr>
        <w:t xml:space="preserve"> que de nombreuses parties contractantes ont des cadres juridiques et pratiques en place afin de prévenir l’introduction et la propagation d</w:t>
      </w:r>
      <w:r w:rsidR="00A2052F">
        <w:rPr>
          <w:sz w:val="22"/>
          <w:szCs w:val="22"/>
          <w:lang w:val="fr-FR"/>
        </w:rPr>
        <w:t>’</w:t>
      </w:r>
      <w:r>
        <w:rPr>
          <w:sz w:val="22"/>
          <w:szCs w:val="22"/>
          <w:lang w:val="fr-FR"/>
        </w:rPr>
        <w:t xml:space="preserve">espèces </w:t>
      </w:r>
      <w:r w:rsidR="00CF316C">
        <w:rPr>
          <w:sz w:val="22"/>
          <w:szCs w:val="22"/>
          <w:lang w:val="fr-FR"/>
        </w:rPr>
        <w:t xml:space="preserve">exotiques </w:t>
      </w:r>
      <w:r>
        <w:rPr>
          <w:sz w:val="22"/>
          <w:szCs w:val="22"/>
          <w:lang w:val="fr-FR"/>
        </w:rPr>
        <w:t>envahissantes</w:t>
      </w:r>
      <w:r w:rsidR="00A2052F">
        <w:rPr>
          <w:sz w:val="22"/>
          <w:szCs w:val="22"/>
          <w:lang w:val="fr-FR"/>
        </w:rPr>
        <w:t>.</w:t>
      </w:r>
    </w:p>
    <w:p w:rsidR="006D3587" w:rsidRDefault="006D3587" w:rsidP="006D3587">
      <w:pPr>
        <w:jc w:val="both"/>
        <w:rPr>
          <w:sz w:val="22"/>
          <w:szCs w:val="22"/>
          <w:lang w:val="fr-FR"/>
        </w:rPr>
      </w:pPr>
    </w:p>
    <w:p w:rsidR="0024792F" w:rsidRDefault="0024792F" w:rsidP="006D3587">
      <w:pPr>
        <w:jc w:val="both"/>
        <w:rPr>
          <w:sz w:val="22"/>
          <w:szCs w:val="22"/>
          <w:lang w:val="fr-FR"/>
        </w:rPr>
      </w:pPr>
    </w:p>
    <w:p w:rsidR="006D3587" w:rsidRDefault="006D3587" w:rsidP="006D3587">
      <w:pPr>
        <w:jc w:val="both"/>
        <w:rPr>
          <w:i/>
          <w:iCs/>
          <w:sz w:val="22"/>
          <w:szCs w:val="22"/>
        </w:rPr>
      </w:pPr>
      <w:r>
        <w:rPr>
          <w:i/>
          <w:iCs/>
          <w:sz w:val="22"/>
          <w:szCs w:val="22"/>
        </w:rPr>
        <w:t xml:space="preserve">La </w:t>
      </w:r>
      <w:proofErr w:type="spellStart"/>
      <w:r>
        <w:rPr>
          <w:i/>
          <w:iCs/>
          <w:sz w:val="22"/>
          <w:szCs w:val="22"/>
        </w:rPr>
        <w:t>Réunion</w:t>
      </w:r>
      <w:proofErr w:type="spellEnd"/>
      <w:r>
        <w:rPr>
          <w:i/>
          <w:iCs/>
          <w:sz w:val="22"/>
          <w:szCs w:val="22"/>
        </w:rPr>
        <w:t xml:space="preserve"> des </w:t>
      </w:r>
      <w:proofErr w:type="gramStart"/>
      <w:r>
        <w:rPr>
          <w:i/>
          <w:iCs/>
          <w:sz w:val="22"/>
          <w:szCs w:val="22"/>
        </w:rPr>
        <w:t>Parties :</w:t>
      </w:r>
      <w:proofErr w:type="gramEnd"/>
    </w:p>
    <w:p w:rsidR="006D3587" w:rsidRDefault="006D3587" w:rsidP="006D3587">
      <w:pPr>
        <w:jc w:val="both"/>
        <w:rPr>
          <w:sz w:val="22"/>
          <w:szCs w:val="22"/>
        </w:rPr>
      </w:pPr>
    </w:p>
    <w:p w:rsidR="006D3587" w:rsidRDefault="006D3587" w:rsidP="006D3587">
      <w:pPr>
        <w:numPr>
          <w:ilvl w:val="0"/>
          <w:numId w:val="4"/>
        </w:numPr>
        <w:tabs>
          <w:tab w:val="left" w:pos="709"/>
          <w:tab w:val="left" w:pos="851"/>
        </w:tabs>
        <w:ind w:left="0" w:firstLine="0"/>
        <w:jc w:val="both"/>
        <w:rPr>
          <w:sz w:val="22"/>
          <w:szCs w:val="22"/>
          <w:lang w:val="fr-FR"/>
        </w:rPr>
      </w:pPr>
      <w:r>
        <w:rPr>
          <w:i/>
          <w:iCs/>
          <w:sz w:val="22"/>
          <w:szCs w:val="22"/>
          <w:lang w:val="fr-FR"/>
        </w:rPr>
        <w:t xml:space="preserve">Invite instamment </w:t>
      </w:r>
      <w:r>
        <w:rPr>
          <w:sz w:val="22"/>
          <w:szCs w:val="22"/>
          <w:lang w:val="fr-FR"/>
        </w:rPr>
        <w:t xml:space="preserve">les Parties à veiller en toute priorité et urgence à ce que leurs listes législatives d’espèces protégées soient pleinement conformes aux exigences de la section 2.1 du Plan d’action de l’Accord, de façon à ce que les populations figurant à la colonne A du tableau 1 qui se trouvent systématiquement sur leur territoire fassent l’objet d’une protection légale complète ou, le cas échéant, que les prélèvements soient effectués en conformité avec les recommandations des plans d’action </w:t>
      </w:r>
      <w:r w:rsidR="00ED19FC">
        <w:rPr>
          <w:sz w:val="22"/>
          <w:szCs w:val="22"/>
          <w:lang w:val="fr-FR"/>
        </w:rPr>
        <w:t xml:space="preserve">internationaux </w:t>
      </w:r>
      <w:r>
        <w:rPr>
          <w:sz w:val="22"/>
          <w:szCs w:val="22"/>
          <w:lang w:val="fr-FR"/>
        </w:rPr>
        <w:t xml:space="preserve">par espèce respectifs établis en application des </w:t>
      </w:r>
      <w:r w:rsidR="00ED19FC">
        <w:rPr>
          <w:sz w:val="22"/>
          <w:szCs w:val="22"/>
          <w:lang w:val="fr-FR"/>
        </w:rPr>
        <w:t>paragraphes</w:t>
      </w:r>
      <w:r>
        <w:rPr>
          <w:sz w:val="22"/>
          <w:szCs w:val="22"/>
          <w:lang w:val="fr-FR"/>
        </w:rPr>
        <w:t xml:space="preserve"> 2.1.1 et 2.2.2 du Plan d’action de l’AEWA pour les populations des catégories 2 et 3 figurant à la colonne A et marquées d’un astérisque et les populations de la catégorie 4 figurant à la colonne A</w:t>
      </w:r>
      <w:r w:rsidR="009352DC">
        <w:rPr>
          <w:sz w:val="22"/>
          <w:szCs w:val="22"/>
          <w:lang w:val="fr-FR"/>
        </w:rPr>
        <w:t xml:space="preserve"> </w:t>
      </w:r>
      <w:r>
        <w:rPr>
          <w:sz w:val="22"/>
          <w:szCs w:val="22"/>
          <w:lang w:val="fr-FR"/>
        </w:rPr>
        <w:t>;</w:t>
      </w:r>
    </w:p>
    <w:p w:rsidR="009352DC" w:rsidRDefault="009352DC" w:rsidP="006D3587">
      <w:pPr>
        <w:ind w:left="1080"/>
        <w:jc w:val="both"/>
        <w:rPr>
          <w:sz w:val="22"/>
          <w:szCs w:val="22"/>
          <w:lang w:val="fr-FR"/>
        </w:rPr>
      </w:pPr>
    </w:p>
    <w:p w:rsidR="006D3587" w:rsidRDefault="00F60E71" w:rsidP="00D44DEB">
      <w:pPr>
        <w:jc w:val="both"/>
        <w:rPr>
          <w:sz w:val="22"/>
          <w:szCs w:val="22"/>
          <w:lang w:val="fr-FR"/>
        </w:rPr>
      </w:pPr>
      <w:r w:rsidRPr="00A8451D">
        <w:rPr>
          <w:iCs/>
          <w:sz w:val="22"/>
          <w:szCs w:val="22"/>
          <w:lang w:val="fr-FR"/>
        </w:rPr>
        <w:t>2.</w:t>
      </w:r>
      <w:r>
        <w:rPr>
          <w:i/>
          <w:iCs/>
          <w:sz w:val="22"/>
          <w:szCs w:val="22"/>
          <w:lang w:val="fr-FR"/>
        </w:rPr>
        <w:tab/>
      </w:r>
      <w:r w:rsidR="006D3587">
        <w:rPr>
          <w:i/>
          <w:iCs/>
          <w:sz w:val="22"/>
          <w:szCs w:val="22"/>
          <w:lang w:val="fr-FR"/>
        </w:rPr>
        <w:t>Demande</w:t>
      </w:r>
      <w:r w:rsidR="006D3587">
        <w:rPr>
          <w:sz w:val="22"/>
          <w:szCs w:val="22"/>
          <w:lang w:val="fr-FR"/>
        </w:rPr>
        <w:t xml:space="preserve"> au Comité technique et au Secrétariat, pour autant que les ressources le permettent, de développer des listes nationales des populations figurant à la colonne A pour toutes les Parties au Moyen-Orient, en Europe et en Asie centrale et de communiquer ces listes aux pays respectifs afin de soutenir tout processus nécessaire de révision législative nationale pour les espèces concernées</w:t>
      </w:r>
      <w:r w:rsidR="009E5047">
        <w:rPr>
          <w:sz w:val="22"/>
          <w:szCs w:val="22"/>
          <w:lang w:val="fr-FR"/>
        </w:rPr>
        <w:t xml:space="preserve">, tout en reconnaissant que </w:t>
      </w:r>
      <w:r w:rsidR="00502891">
        <w:rPr>
          <w:sz w:val="22"/>
          <w:szCs w:val="22"/>
          <w:lang w:val="fr-FR"/>
        </w:rPr>
        <w:t>par moyen de l</w:t>
      </w:r>
      <w:r w:rsidR="009E5047">
        <w:rPr>
          <w:sz w:val="22"/>
          <w:szCs w:val="22"/>
          <w:lang w:val="fr-FR"/>
        </w:rPr>
        <w:t>’Outil du réseau des sites critiques</w:t>
      </w:r>
      <w:r w:rsidR="001C45FA" w:rsidRPr="001C45FA">
        <w:rPr>
          <w:sz w:val="22"/>
          <w:szCs w:val="22"/>
          <w:vertAlign w:val="superscript"/>
        </w:rPr>
        <w:footnoteReference w:id="1"/>
      </w:r>
      <w:r w:rsidR="001C45FA" w:rsidRPr="00D44DEB">
        <w:rPr>
          <w:sz w:val="22"/>
          <w:szCs w:val="22"/>
          <w:lang w:val="fr-FR"/>
        </w:rPr>
        <w:t xml:space="preserve"> </w:t>
      </w:r>
      <w:r w:rsidR="009E5047">
        <w:rPr>
          <w:sz w:val="22"/>
          <w:szCs w:val="22"/>
          <w:lang w:val="fr-FR"/>
        </w:rPr>
        <w:t xml:space="preserve">  </w:t>
      </w:r>
      <w:r w:rsidR="00502891">
        <w:rPr>
          <w:sz w:val="22"/>
          <w:szCs w:val="22"/>
          <w:lang w:val="fr-FR"/>
        </w:rPr>
        <w:t>les Parties pourraient générer</w:t>
      </w:r>
      <w:r w:rsidR="009352DC">
        <w:rPr>
          <w:sz w:val="22"/>
          <w:szCs w:val="22"/>
          <w:lang w:val="fr-FR"/>
        </w:rPr>
        <w:t xml:space="preserve"> </w:t>
      </w:r>
      <w:r w:rsidR="00502891">
        <w:rPr>
          <w:sz w:val="22"/>
          <w:szCs w:val="22"/>
          <w:lang w:val="fr-FR"/>
        </w:rPr>
        <w:t xml:space="preserve">de telles listes nationales elles-mêmes si une telle fonctionnalité y était intégré et les données régulièrement mis à jour </w:t>
      </w:r>
      <w:r w:rsidR="006D3587">
        <w:rPr>
          <w:sz w:val="22"/>
          <w:szCs w:val="22"/>
          <w:lang w:val="fr-FR"/>
        </w:rPr>
        <w:t>;</w:t>
      </w:r>
    </w:p>
    <w:p w:rsidR="00D44DEB" w:rsidRPr="001C45FA" w:rsidRDefault="00D44DEB" w:rsidP="00D44DEB">
      <w:pPr>
        <w:jc w:val="both"/>
        <w:rPr>
          <w:lang w:val="nl-NL" w:eastAsia="nl-NL"/>
        </w:rPr>
      </w:pPr>
    </w:p>
    <w:p w:rsidR="006D3587" w:rsidRDefault="00F60E71" w:rsidP="00D44DEB">
      <w:pPr>
        <w:tabs>
          <w:tab w:val="left" w:pos="709"/>
          <w:tab w:val="left" w:pos="851"/>
        </w:tabs>
        <w:jc w:val="both"/>
        <w:rPr>
          <w:sz w:val="22"/>
          <w:szCs w:val="22"/>
          <w:lang w:val="fr-FR"/>
        </w:rPr>
      </w:pPr>
      <w:r w:rsidRPr="00A8451D">
        <w:rPr>
          <w:iCs/>
          <w:sz w:val="22"/>
          <w:szCs w:val="22"/>
          <w:lang w:val="fr-FR"/>
        </w:rPr>
        <w:t>3.</w:t>
      </w:r>
      <w:r>
        <w:rPr>
          <w:i/>
          <w:iCs/>
          <w:sz w:val="22"/>
          <w:szCs w:val="22"/>
          <w:lang w:val="fr-FR"/>
        </w:rPr>
        <w:tab/>
      </w:r>
      <w:r w:rsidR="006D3587">
        <w:rPr>
          <w:i/>
          <w:iCs/>
          <w:sz w:val="22"/>
          <w:szCs w:val="22"/>
          <w:lang w:val="fr-FR"/>
        </w:rPr>
        <w:t>Demande</w:t>
      </w:r>
      <w:r w:rsidR="006D3587">
        <w:rPr>
          <w:sz w:val="22"/>
          <w:szCs w:val="22"/>
          <w:lang w:val="fr-FR"/>
        </w:rPr>
        <w:t xml:space="preserve"> aux Parties de fournir au Comité technique d’autres exemples nationaux de politiques et d’autres moyens de réduire le risque de mise à mort accidentelle d’espèces semblables afin que des directives très détaillées pu</w:t>
      </w:r>
      <w:r w:rsidR="006F7DE0">
        <w:rPr>
          <w:sz w:val="22"/>
          <w:szCs w:val="22"/>
          <w:lang w:val="fr-FR"/>
        </w:rPr>
        <w:t>issent être présentées à la MOP</w:t>
      </w:r>
      <w:r w:rsidR="006D3587">
        <w:rPr>
          <w:sz w:val="22"/>
          <w:szCs w:val="22"/>
          <w:lang w:val="fr-FR"/>
        </w:rPr>
        <w:t>7</w:t>
      </w:r>
      <w:r w:rsidR="00870FAC">
        <w:rPr>
          <w:sz w:val="22"/>
          <w:szCs w:val="22"/>
          <w:lang w:val="fr-FR"/>
        </w:rPr>
        <w:t>,</w:t>
      </w:r>
      <w:r w:rsidR="00A2052F" w:rsidRPr="00A2052F">
        <w:rPr>
          <w:sz w:val="22"/>
          <w:szCs w:val="22"/>
          <w:lang w:val="fr-FR"/>
        </w:rPr>
        <w:t xml:space="preserve"> </w:t>
      </w:r>
      <w:r w:rsidR="00A2052F">
        <w:rPr>
          <w:sz w:val="22"/>
          <w:szCs w:val="22"/>
          <w:lang w:val="fr-FR"/>
        </w:rPr>
        <w:t xml:space="preserve">conformément à la Résolution 6.7 </w:t>
      </w:r>
      <w:r w:rsidR="006D3587">
        <w:rPr>
          <w:sz w:val="22"/>
          <w:szCs w:val="22"/>
          <w:lang w:val="fr-FR"/>
        </w:rPr>
        <w:t>;</w:t>
      </w:r>
    </w:p>
    <w:p w:rsidR="006D3587" w:rsidRDefault="006D3587" w:rsidP="006D3587">
      <w:pPr>
        <w:tabs>
          <w:tab w:val="left" w:pos="709"/>
          <w:tab w:val="left" w:pos="851"/>
        </w:tabs>
        <w:jc w:val="both"/>
        <w:rPr>
          <w:sz w:val="22"/>
          <w:szCs w:val="22"/>
          <w:lang w:val="fr-FR"/>
        </w:rPr>
      </w:pPr>
    </w:p>
    <w:p w:rsidR="006D3587" w:rsidRDefault="00F60E71" w:rsidP="00D44DEB">
      <w:pPr>
        <w:tabs>
          <w:tab w:val="left" w:pos="709"/>
          <w:tab w:val="left" w:pos="851"/>
        </w:tabs>
        <w:jc w:val="both"/>
        <w:rPr>
          <w:lang w:val="fr-FR"/>
        </w:rPr>
      </w:pPr>
      <w:r w:rsidRPr="00A8451D">
        <w:rPr>
          <w:iCs/>
          <w:sz w:val="22"/>
          <w:szCs w:val="22"/>
          <w:lang w:val="fr-FR"/>
        </w:rPr>
        <w:t>4.</w:t>
      </w:r>
      <w:r>
        <w:rPr>
          <w:i/>
          <w:iCs/>
          <w:sz w:val="22"/>
          <w:szCs w:val="22"/>
          <w:lang w:val="fr-FR"/>
        </w:rPr>
        <w:tab/>
      </w:r>
      <w:r w:rsidR="006D3587">
        <w:rPr>
          <w:i/>
          <w:iCs/>
          <w:sz w:val="22"/>
          <w:szCs w:val="22"/>
          <w:lang w:val="fr-FR"/>
        </w:rPr>
        <w:t>Invite</w:t>
      </w:r>
      <w:r w:rsidR="006D3587">
        <w:rPr>
          <w:sz w:val="22"/>
          <w:szCs w:val="22"/>
          <w:lang w:val="fr-FR"/>
        </w:rPr>
        <w:t xml:space="preserve"> les Parties à veiller à ce que les Lignes directrices révisées de l’AEWA sur le prélèvement durable des oiseaux d’eau migrateurs </w:t>
      </w:r>
      <w:r w:rsidR="00ED19FC">
        <w:rPr>
          <w:sz w:val="22"/>
          <w:szCs w:val="22"/>
          <w:lang w:val="fr-FR"/>
        </w:rPr>
        <w:t xml:space="preserve">(Résolution 6.5 et document AEWA/MOP 6.36) </w:t>
      </w:r>
      <w:r w:rsidR="006D3587">
        <w:rPr>
          <w:sz w:val="22"/>
          <w:szCs w:val="22"/>
          <w:lang w:val="fr-FR"/>
        </w:rPr>
        <w:t>soient pleinement appliquées</w:t>
      </w:r>
      <w:r w:rsidR="00ED19FC">
        <w:rPr>
          <w:sz w:val="22"/>
          <w:szCs w:val="22"/>
          <w:lang w:val="fr-FR"/>
        </w:rPr>
        <w:t xml:space="preserve"> </w:t>
      </w:r>
      <w:r w:rsidR="0062605B">
        <w:rPr>
          <w:sz w:val="22"/>
          <w:szCs w:val="22"/>
          <w:lang w:val="fr-FR"/>
        </w:rPr>
        <w:t>lors de</w:t>
      </w:r>
      <w:r w:rsidR="006D3587">
        <w:rPr>
          <w:sz w:val="22"/>
          <w:szCs w:val="22"/>
          <w:lang w:val="fr-FR"/>
        </w:rPr>
        <w:t xml:space="preserve"> la mise en </w:t>
      </w:r>
      <w:r w:rsidR="006F7DE0">
        <w:rPr>
          <w:sz w:val="22"/>
          <w:szCs w:val="22"/>
          <w:lang w:val="fr-FR"/>
        </w:rPr>
        <w:t>œuvre</w:t>
      </w:r>
      <w:r w:rsidR="00502891">
        <w:rPr>
          <w:sz w:val="22"/>
          <w:szCs w:val="22"/>
          <w:lang w:val="fr-FR"/>
        </w:rPr>
        <w:t xml:space="preserve"> de l’Accord, </w:t>
      </w:r>
      <w:r w:rsidR="006D3587">
        <w:rPr>
          <w:sz w:val="22"/>
          <w:szCs w:val="22"/>
          <w:lang w:val="fr-FR"/>
        </w:rPr>
        <w:t xml:space="preserve">que d’autres initiatives pour l’utilisation durable et la gestion adaptative des prélèvements soient </w:t>
      </w:r>
      <w:r w:rsidR="00F679D4">
        <w:rPr>
          <w:sz w:val="22"/>
          <w:szCs w:val="22"/>
          <w:lang w:val="fr-FR"/>
        </w:rPr>
        <w:t xml:space="preserve"> élaborées afin d’aider à atteindre l’objectif de l’AEWA, prescrivant que </w:t>
      </w:r>
      <w:r w:rsidR="006D3587">
        <w:rPr>
          <w:sz w:val="22"/>
          <w:szCs w:val="22"/>
          <w:lang w:val="fr-FR"/>
        </w:rPr>
        <w:t xml:space="preserve">toute utilisation des oiseaux d’eau migrateurs </w:t>
      </w:r>
      <w:r w:rsidR="00F679D4">
        <w:rPr>
          <w:sz w:val="22"/>
          <w:szCs w:val="22"/>
          <w:lang w:val="fr-FR"/>
        </w:rPr>
        <w:t xml:space="preserve">est durable </w:t>
      </w:r>
      <w:r w:rsidR="00502891">
        <w:rPr>
          <w:sz w:val="22"/>
          <w:szCs w:val="22"/>
          <w:lang w:val="fr-FR"/>
        </w:rPr>
        <w:t>e</w:t>
      </w:r>
      <w:r w:rsidR="0062605B">
        <w:rPr>
          <w:sz w:val="22"/>
          <w:szCs w:val="22"/>
          <w:lang w:val="fr-FR"/>
        </w:rPr>
        <w:t xml:space="preserve"> </w:t>
      </w:r>
      <w:r w:rsidR="00F679D4">
        <w:rPr>
          <w:sz w:val="22"/>
          <w:szCs w:val="22"/>
          <w:lang w:val="fr-FR"/>
        </w:rPr>
        <w:t>et basée sur  les</w:t>
      </w:r>
      <w:r w:rsidR="00502891">
        <w:rPr>
          <w:sz w:val="22"/>
          <w:szCs w:val="22"/>
          <w:lang w:val="fr-FR"/>
        </w:rPr>
        <w:t xml:space="preserve"> données </w:t>
      </w:r>
      <w:r w:rsidR="00F679D4">
        <w:rPr>
          <w:sz w:val="22"/>
          <w:szCs w:val="22"/>
          <w:lang w:val="fr-FR"/>
        </w:rPr>
        <w:t>pertinentes disponibles</w:t>
      </w:r>
      <w:r w:rsidR="009352DC">
        <w:rPr>
          <w:sz w:val="22"/>
          <w:szCs w:val="22"/>
          <w:lang w:val="fr-FR"/>
        </w:rPr>
        <w:t xml:space="preserve"> </w:t>
      </w:r>
      <w:r w:rsidR="006D3587">
        <w:rPr>
          <w:sz w:val="22"/>
          <w:szCs w:val="22"/>
          <w:lang w:val="fr-FR"/>
        </w:rPr>
        <w:t xml:space="preserve">; </w:t>
      </w:r>
    </w:p>
    <w:p w:rsidR="006D3587" w:rsidRDefault="006D3587" w:rsidP="006D3587">
      <w:pPr>
        <w:jc w:val="both"/>
        <w:rPr>
          <w:sz w:val="22"/>
          <w:szCs w:val="22"/>
          <w:lang w:val="fr-FR"/>
        </w:rPr>
      </w:pPr>
    </w:p>
    <w:p w:rsidR="006D3587" w:rsidRDefault="00F60E71" w:rsidP="00D44DEB">
      <w:pPr>
        <w:tabs>
          <w:tab w:val="left" w:pos="709"/>
          <w:tab w:val="left" w:pos="851"/>
        </w:tabs>
        <w:jc w:val="both"/>
        <w:rPr>
          <w:sz w:val="22"/>
          <w:szCs w:val="22"/>
          <w:lang w:val="fr-FR"/>
        </w:rPr>
      </w:pPr>
      <w:r w:rsidRPr="00A8451D">
        <w:rPr>
          <w:iCs/>
          <w:sz w:val="22"/>
          <w:szCs w:val="22"/>
          <w:lang w:val="fr-FR"/>
        </w:rPr>
        <w:t>5.</w:t>
      </w:r>
      <w:r>
        <w:rPr>
          <w:i/>
          <w:iCs/>
          <w:sz w:val="22"/>
          <w:szCs w:val="22"/>
          <w:lang w:val="fr-FR"/>
        </w:rPr>
        <w:tab/>
      </w:r>
      <w:r w:rsidR="006D3587">
        <w:rPr>
          <w:i/>
          <w:iCs/>
          <w:sz w:val="22"/>
          <w:szCs w:val="22"/>
          <w:lang w:val="fr-FR"/>
        </w:rPr>
        <w:t>Se réjouit</w:t>
      </w:r>
      <w:r w:rsidR="006D3587">
        <w:rPr>
          <w:sz w:val="22"/>
          <w:szCs w:val="22"/>
          <w:lang w:val="fr-FR"/>
        </w:rPr>
        <w:t xml:space="preserve"> des actions </w:t>
      </w:r>
      <w:r w:rsidR="006D3587" w:rsidRPr="00502891">
        <w:rPr>
          <w:sz w:val="22"/>
          <w:szCs w:val="22"/>
          <w:lang w:val="fr-FR"/>
        </w:rPr>
        <w:t xml:space="preserve">de </w:t>
      </w:r>
      <w:r w:rsidR="00502891">
        <w:rPr>
          <w:sz w:val="22"/>
          <w:szCs w:val="22"/>
          <w:lang w:val="fr-FR"/>
        </w:rPr>
        <w:t>la Suisse</w:t>
      </w:r>
      <w:r w:rsidR="006D3587" w:rsidRPr="00502891">
        <w:rPr>
          <w:sz w:val="22"/>
          <w:szCs w:val="22"/>
          <w:lang w:val="fr-FR"/>
        </w:rPr>
        <w:t xml:space="preserve"> </w:t>
      </w:r>
      <w:r w:rsidR="00442683">
        <w:rPr>
          <w:sz w:val="22"/>
          <w:szCs w:val="22"/>
          <w:lang w:val="fr-FR"/>
        </w:rPr>
        <w:t xml:space="preserve">pour </w:t>
      </w:r>
      <w:r w:rsidR="00502891">
        <w:rPr>
          <w:sz w:val="22"/>
          <w:szCs w:val="22"/>
          <w:lang w:val="fr-FR"/>
        </w:rPr>
        <w:t>supprimer</w:t>
      </w:r>
      <w:r w:rsidR="006D3587" w:rsidRPr="00502891">
        <w:rPr>
          <w:sz w:val="22"/>
          <w:szCs w:val="22"/>
          <w:lang w:val="fr-FR"/>
        </w:rPr>
        <w:t xml:space="preserve"> l’utilisation de la grenaille de</w:t>
      </w:r>
      <w:r w:rsidR="006D3587">
        <w:rPr>
          <w:sz w:val="22"/>
          <w:szCs w:val="22"/>
          <w:lang w:val="fr-FR"/>
        </w:rPr>
        <w:t xml:space="preserve"> plomb </w:t>
      </w:r>
      <w:r w:rsidR="00442683">
        <w:rPr>
          <w:sz w:val="22"/>
          <w:szCs w:val="22"/>
          <w:lang w:val="fr-FR"/>
        </w:rPr>
        <w:t xml:space="preserve">pour la chasse aux oiseaux d’eau </w:t>
      </w:r>
      <w:r w:rsidR="006D3587">
        <w:rPr>
          <w:sz w:val="22"/>
          <w:szCs w:val="22"/>
          <w:lang w:val="fr-FR"/>
        </w:rPr>
        <w:t xml:space="preserve">et </w:t>
      </w:r>
      <w:r w:rsidR="006D3587">
        <w:rPr>
          <w:i/>
          <w:iCs/>
          <w:sz w:val="22"/>
          <w:szCs w:val="22"/>
          <w:lang w:val="fr-FR"/>
        </w:rPr>
        <w:t>prie instamment</w:t>
      </w:r>
      <w:r w:rsidR="006D3587">
        <w:rPr>
          <w:sz w:val="22"/>
          <w:szCs w:val="22"/>
          <w:lang w:val="fr-FR"/>
        </w:rPr>
        <w:t xml:space="preserve"> les Parties qui ne l’ont pas encore fait de</w:t>
      </w:r>
      <w:r w:rsidR="00502891">
        <w:rPr>
          <w:sz w:val="22"/>
          <w:szCs w:val="22"/>
          <w:lang w:val="fr-FR"/>
        </w:rPr>
        <w:t>, similairement,</w:t>
      </w:r>
      <w:r w:rsidR="006D3587">
        <w:rPr>
          <w:sz w:val="22"/>
          <w:szCs w:val="22"/>
          <w:lang w:val="fr-FR"/>
        </w:rPr>
        <w:t xml:space="preserve"> publier des calendriers pour la suppression progressive de la grenaille de plomb pour la chasse dans les zones humides, conformément au paragraphe 4.1.4 du Plan d’action de l’AEWA, et d’en informer le Secrétariat</w:t>
      </w:r>
      <w:r w:rsidR="001C45FA">
        <w:rPr>
          <w:sz w:val="22"/>
          <w:szCs w:val="22"/>
          <w:lang w:val="fr-FR"/>
        </w:rPr>
        <w:t xml:space="preserve"> à ces fins</w:t>
      </w:r>
      <w:r w:rsidR="00442683">
        <w:rPr>
          <w:sz w:val="22"/>
          <w:szCs w:val="22"/>
          <w:lang w:val="fr-FR"/>
        </w:rPr>
        <w:t> ;</w:t>
      </w:r>
    </w:p>
    <w:p w:rsidR="0024792F" w:rsidRDefault="0024792F" w:rsidP="00D44DEB">
      <w:pPr>
        <w:tabs>
          <w:tab w:val="left" w:pos="709"/>
          <w:tab w:val="left" w:pos="851"/>
        </w:tabs>
        <w:jc w:val="both"/>
        <w:rPr>
          <w:sz w:val="22"/>
          <w:szCs w:val="22"/>
          <w:lang w:val="fr-FR"/>
        </w:rPr>
      </w:pPr>
    </w:p>
    <w:p w:rsidR="006D3587" w:rsidRDefault="00F60E71" w:rsidP="00D44DEB">
      <w:pPr>
        <w:tabs>
          <w:tab w:val="left" w:pos="709"/>
          <w:tab w:val="left" w:pos="851"/>
        </w:tabs>
        <w:jc w:val="both"/>
        <w:rPr>
          <w:sz w:val="22"/>
          <w:szCs w:val="22"/>
          <w:lang w:val="fr-FR"/>
        </w:rPr>
      </w:pPr>
      <w:r w:rsidRPr="00A8451D">
        <w:rPr>
          <w:iCs/>
          <w:sz w:val="22"/>
          <w:szCs w:val="22"/>
          <w:lang w:val="fr-FR"/>
        </w:rPr>
        <w:lastRenderedPageBreak/>
        <w:t>6.</w:t>
      </w:r>
      <w:r>
        <w:rPr>
          <w:i/>
          <w:iCs/>
          <w:sz w:val="22"/>
          <w:szCs w:val="22"/>
          <w:lang w:val="fr-FR"/>
        </w:rPr>
        <w:tab/>
      </w:r>
      <w:r w:rsidR="006D3587">
        <w:rPr>
          <w:i/>
          <w:iCs/>
          <w:sz w:val="22"/>
          <w:szCs w:val="22"/>
          <w:lang w:val="fr-FR"/>
        </w:rPr>
        <w:t>Reconnaît</w:t>
      </w:r>
      <w:r w:rsidR="006D3587">
        <w:rPr>
          <w:sz w:val="22"/>
          <w:szCs w:val="22"/>
          <w:lang w:val="fr-FR"/>
        </w:rPr>
        <w:t xml:space="preserve"> que pour la gestion adaptative des prélèvements les données minimales requises sont l’importance numérique et les tendances des populations de même que la quantité des prélèvements et </w:t>
      </w:r>
      <w:r w:rsidR="006D3587">
        <w:rPr>
          <w:i/>
          <w:iCs/>
          <w:sz w:val="22"/>
          <w:szCs w:val="22"/>
          <w:lang w:val="fr-FR"/>
        </w:rPr>
        <w:t>prie instamment</w:t>
      </w:r>
      <w:r w:rsidR="006D3587">
        <w:rPr>
          <w:sz w:val="22"/>
          <w:szCs w:val="22"/>
          <w:lang w:val="fr-FR"/>
        </w:rPr>
        <w:t xml:space="preserve"> les Parties et d’autres Etats de l’aire de répartition de renforcer leurs programmes de surveillance des oiseaux d’eau et de mettre en place ou d’intensifier la collecte des données de prélèvement, idéalement à travers une approche coordonnée internationale, ainsi que de réduire au minimum le décalage entre l’enregistrement des données et l’établissement de rapports</w:t>
      </w:r>
      <w:r w:rsidR="009352DC">
        <w:rPr>
          <w:sz w:val="22"/>
          <w:szCs w:val="22"/>
          <w:lang w:val="fr-FR"/>
        </w:rPr>
        <w:t xml:space="preserve"> </w:t>
      </w:r>
      <w:r w:rsidR="006D3587">
        <w:rPr>
          <w:sz w:val="22"/>
          <w:szCs w:val="22"/>
          <w:lang w:val="fr-FR"/>
        </w:rPr>
        <w:t>;</w:t>
      </w:r>
    </w:p>
    <w:p w:rsidR="006D3587" w:rsidRDefault="006D3587" w:rsidP="006D3587">
      <w:pPr>
        <w:tabs>
          <w:tab w:val="left" w:pos="709"/>
          <w:tab w:val="left" w:pos="851"/>
        </w:tabs>
        <w:jc w:val="both"/>
        <w:rPr>
          <w:sz w:val="22"/>
          <w:szCs w:val="22"/>
          <w:lang w:val="fr-FR"/>
        </w:rPr>
      </w:pPr>
    </w:p>
    <w:p w:rsidR="006D3587" w:rsidRDefault="00F60E71" w:rsidP="00D44DEB">
      <w:pPr>
        <w:tabs>
          <w:tab w:val="left" w:pos="709"/>
          <w:tab w:val="left" w:pos="851"/>
        </w:tabs>
        <w:jc w:val="both"/>
        <w:rPr>
          <w:sz w:val="22"/>
          <w:szCs w:val="22"/>
          <w:lang w:val="fr-FR"/>
        </w:rPr>
      </w:pPr>
      <w:r w:rsidRPr="00A8451D">
        <w:rPr>
          <w:iCs/>
          <w:sz w:val="22"/>
          <w:szCs w:val="22"/>
          <w:lang w:val="fr-FR"/>
        </w:rPr>
        <w:t>7.</w:t>
      </w:r>
      <w:r>
        <w:rPr>
          <w:i/>
          <w:iCs/>
          <w:sz w:val="22"/>
          <w:szCs w:val="22"/>
          <w:lang w:val="fr-FR"/>
        </w:rPr>
        <w:tab/>
      </w:r>
      <w:r w:rsidR="006D3587">
        <w:rPr>
          <w:i/>
          <w:iCs/>
          <w:sz w:val="22"/>
          <w:szCs w:val="22"/>
          <w:lang w:val="fr-FR"/>
        </w:rPr>
        <w:t>Demande</w:t>
      </w:r>
      <w:r w:rsidR="006D3587">
        <w:rPr>
          <w:sz w:val="22"/>
          <w:szCs w:val="22"/>
          <w:lang w:val="fr-FR"/>
        </w:rPr>
        <w:t xml:space="preserve"> aux Parties de fournir des données et informations pour aider le Comité technique à examiner la nature et l’ampleur des prélèvements d’oiseaux d’eau et les réglementations juridique et culturelle y afférentes, en particulier en Afrique, au Moyen-Orient et en Asie centrale, sans toutefois s’y limiter, et notamment des informations sur les prélèvements d’oiseaux d’eau en tant que service écosystémique de zone humide</w:t>
      </w:r>
      <w:r w:rsidR="009352DC">
        <w:rPr>
          <w:sz w:val="22"/>
          <w:szCs w:val="22"/>
          <w:lang w:val="fr-FR"/>
        </w:rPr>
        <w:t xml:space="preserve"> </w:t>
      </w:r>
      <w:r w:rsidR="006D3587">
        <w:rPr>
          <w:sz w:val="22"/>
          <w:szCs w:val="22"/>
          <w:lang w:val="fr-FR"/>
        </w:rPr>
        <w:t>;</w:t>
      </w:r>
    </w:p>
    <w:p w:rsidR="006D3587" w:rsidRDefault="006D3587" w:rsidP="006D3587">
      <w:pPr>
        <w:tabs>
          <w:tab w:val="left" w:pos="709"/>
          <w:tab w:val="left" w:pos="851"/>
        </w:tabs>
        <w:jc w:val="both"/>
        <w:rPr>
          <w:sz w:val="22"/>
          <w:szCs w:val="22"/>
          <w:lang w:val="fr-FR"/>
        </w:rPr>
      </w:pPr>
    </w:p>
    <w:p w:rsidR="006D3587" w:rsidRDefault="00F60E71" w:rsidP="00D44DEB">
      <w:pPr>
        <w:tabs>
          <w:tab w:val="left" w:pos="709"/>
          <w:tab w:val="left" w:pos="851"/>
        </w:tabs>
        <w:jc w:val="both"/>
        <w:rPr>
          <w:lang w:val="fr-FR"/>
        </w:rPr>
      </w:pPr>
      <w:r w:rsidRPr="00A8451D">
        <w:rPr>
          <w:iCs/>
          <w:sz w:val="22"/>
          <w:szCs w:val="22"/>
          <w:lang w:val="fr-FR"/>
        </w:rPr>
        <w:t>8.</w:t>
      </w:r>
      <w:r>
        <w:rPr>
          <w:i/>
          <w:iCs/>
          <w:sz w:val="22"/>
          <w:szCs w:val="22"/>
          <w:lang w:val="fr-FR"/>
        </w:rPr>
        <w:tab/>
      </w:r>
      <w:r w:rsidR="006D3587">
        <w:rPr>
          <w:i/>
          <w:iCs/>
          <w:sz w:val="22"/>
          <w:szCs w:val="22"/>
          <w:lang w:val="fr-FR"/>
        </w:rPr>
        <w:t xml:space="preserve">Demande </w:t>
      </w:r>
      <w:r w:rsidR="006D3587">
        <w:rPr>
          <w:sz w:val="22"/>
          <w:szCs w:val="22"/>
          <w:lang w:val="fr-FR"/>
        </w:rPr>
        <w:t xml:space="preserve">au Comité technique, </w:t>
      </w:r>
      <w:r w:rsidR="00442683">
        <w:rPr>
          <w:sz w:val="22"/>
          <w:szCs w:val="22"/>
          <w:lang w:val="fr-FR"/>
        </w:rPr>
        <w:t>sous réserve de ressources financières disponibles</w:t>
      </w:r>
      <w:r w:rsidR="006D3587">
        <w:rPr>
          <w:sz w:val="22"/>
          <w:szCs w:val="22"/>
          <w:lang w:val="fr-FR"/>
        </w:rPr>
        <w:t>, de solliciter des informations auprès des Parties et des acteurs pour savoir quels autres outils et directives leur seraient utiles dans le but d’assurer une chasse durable et pour mieux identifier les publics que ces outils devraient viser ainsi que les moyens les plus appropriés par lesquels ceci pourrait être réalisé et d’incorporer ces information</w:t>
      </w:r>
      <w:r w:rsidR="006F7DE0">
        <w:rPr>
          <w:sz w:val="22"/>
          <w:szCs w:val="22"/>
          <w:lang w:val="fr-FR"/>
        </w:rPr>
        <w:t>s</w:t>
      </w:r>
      <w:r w:rsidR="006D3587">
        <w:rPr>
          <w:sz w:val="22"/>
          <w:szCs w:val="22"/>
          <w:lang w:val="fr-FR"/>
        </w:rPr>
        <w:t xml:space="preserve"> dans la planification future des travaux du Comité</w:t>
      </w:r>
      <w:r w:rsidR="0024792F">
        <w:rPr>
          <w:sz w:val="22"/>
          <w:szCs w:val="22"/>
          <w:lang w:val="fr-FR"/>
        </w:rPr>
        <w:t> ;</w:t>
      </w:r>
      <w:r w:rsidR="006D3587">
        <w:rPr>
          <w:sz w:val="22"/>
          <w:szCs w:val="22"/>
          <w:lang w:val="fr-FR"/>
        </w:rPr>
        <w:t xml:space="preserve"> </w:t>
      </w:r>
    </w:p>
    <w:p w:rsidR="006D3587" w:rsidRDefault="006D3587" w:rsidP="006D3587">
      <w:pPr>
        <w:tabs>
          <w:tab w:val="left" w:pos="709"/>
          <w:tab w:val="left" w:pos="851"/>
        </w:tabs>
        <w:jc w:val="both"/>
        <w:rPr>
          <w:sz w:val="22"/>
          <w:szCs w:val="22"/>
          <w:lang w:val="fr-FR"/>
        </w:rPr>
      </w:pPr>
    </w:p>
    <w:p w:rsidR="00401D5E" w:rsidRDefault="00F60E71" w:rsidP="006D3587">
      <w:pPr>
        <w:tabs>
          <w:tab w:val="left" w:pos="709"/>
          <w:tab w:val="left" w:pos="851"/>
        </w:tabs>
        <w:jc w:val="both"/>
        <w:rPr>
          <w:sz w:val="22"/>
          <w:szCs w:val="22"/>
          <w:lang w:val="fr-FR"/>
        </w:rPr>
      </w:pPr>
      <w:r>
        <w:rPr>
          <w:sz w:val="22"/>
          <w:szCs w:val="22"/>
          <w:lang w:val="fr-FR"/>
        </w:rPr>
        <w:t>9.</w:t>
      </w:r>
      <w:r>
        <w:rPr>
          <w:sz w:val="22"/>
          <w:szCs w:val="22"/>
          <w:lang w:val="fr-FR"/>
        </w:rPr>
        <w:tab/>
      </w:r>
      <w:r w:rsidRPr="00D44DEB">
        <w:rPr>
          <w:i/>
          <w:sz w:val="22"/>
          <w:szCs w:val="22"/>
          <w:lang w:val="fr-FR"/>
        </w:rPr>
        <w:t>Demande</w:t>
      </w:r>
      <w:r>
        <w:rPr>
          <w:sz w:val="22"/>
          <w:szCs w:val="22"/>
          <w:lang w:val="fr-FR"/>
        </w:rPr>
        <w:t xml:space="preserve"> au Secrétariat de faciliter, </w:t>
      </w:r>
      <w:r w:rsidR="00442683">
        <w:rPr>
          <w:sz w:val="22"/>
          <w:szCs w:val="22"/>
          <w:lang w:val="fr-FR"/>
        </w:rPr>
        <w:t>sous réserve de ressources financières disponibles</w:t>
      </w:r>
      <w:r>
        <w:rPr>
          <w:sz w:val="22"/>
          <w:szCs w:val="22"/>
          <w:lang w:val="fr-FR"/>
        </w:rPr>
        <w:t>, l’établissement d’une plateforme européenne multi-espèces de gestion de</w:t>
      </w:r>
      <w:r w:rsidR="001C6F36">
        <w:rPr>
          <w:sz w:val="22"/>
          <w:szCs w:val="22"/>
          <w:lang w:val="fr-FR"/>
        </w:rPr>
        <w:t>s oies</w:t>
      </w:r>
      <w:r>
        <w:rPr>
          <w:sz w:val="22"/>
          <w:szCs w:val="22"/>
          <w:lang w:val="fr-FR"/>
        </w:rPr>
        <w:t xml:space="preserve"> et de faire en sorte de prendre en main l’utilisation durable des populations d’oies et de veiller à la résolution des conflits entre les humains et les oies, en ciblant en priorité les populations de bernaches nonnettes </w:t>
      </w:r>
      <w:r w:rsidR="001C6F36">
        <w:rPr>
          <w:sz w:val="22"/>
          <w:szCs w:val="22"/>
          <w:lang w:val="fr-FR"/>
        </w:rPr>
        <w:t>(</w:t>
      </w:r>
      <w:proofErr w:type="spellStart"/>
      <w:r w:rsidR="001C6F36" w:rsidRPr="001C6F36">
        <w:rPr>
          <w:i/>
          <w:sz w:val="22"/>
          <w:szCs w:val="22"/>
          <w:lang w:val="fr-FR"/>
        </w:rPr>
        <w:t>Branta</w:t>
      </w:r>
      <w:proofErr w:type="spellEnd"/>
      <w:r w:rsidR="001C6F36" w:rsidRPr="001C6F36">
        <w:rPr>
          <w:i/>
          <w:sz w:val="22"/>
          <w:szCs w:val="22"/>
          <w:lang w:val="fr-FR"/>
        </w:rPr>
        <w:t xml:space="preserve"> </w:t>
      </w:r>
      <w:proofErr w:type="spellStart"/>
      <w:r w:rsidR="001C6F36" w:rsidRPr="001C6F36">
        <w:rPr>
          <w:i/>
          <w:sz w:val="22"/>
          <w:szCs w:val="22"/>
          <w:lang w:val="fr-FR"/>
        </w:rPr>
        <w:t>leucopsis</w:t>
      </w:r>
      <w:proofErr w:type="spellEnd"/>
      <w:r w:rsidR="001C6F36">
        <w:rPr>
          <w:sz w:val="22"/>
          <w:szCs w:val="22"/>
          <w:lang w:val="fr-FR"/>
        </w:rPr>
        <w:t>)</w:t>
      </w:r>
      <w:r>
        <w:rPr>
          <w:sz w:val="22"/>
          <w:szCs w:val="22"/>
          <w:lang w:val="fr-FR"/>
        </w:rPr>
        <w:t>et d’oies cendrées (</w:t>
      </w:r>
      <w:r w:rsidRPr="00D44DEB">
        <w:rPr>
          <w:i/>
          <w:sz w:val="22"/>
          <w:szCs w:val="22"/>
          <w:lang w:val="fr-FR"/>
        </w:rPr>
        <w:t xml:space="preserve">Anser </w:t>
      </w:r>
      <w:proofErr w:type="spellStart"/>
      <w:r w:rsidRPr="00D44DEB">
        <w:rPr>
          <w:i/>
          <w:sz w:val="22"/>
          <w:szCs w:val="22"/>
          <w:lang w:val="fr-FR"/>
        </w:rPr>
        <w:t>Anser</w:t>
      </w:r>
      <w:proofErr w:type="spellEnd"/>
      <w:r>
        <w:rPr>
          <w:sz w:val="22"/>
          <w:szCs w:val="22"/>
          <w:lang w:val="fr-FR"/>
        </w:rPr>
        <w:t>) pour lesquelles des plans de gestion restent encore à développer, et la population de Svalbard d’oies à bec court (</w:t>
      </w:r>
      <w:r w:rsidRPr="00D44DEB">
        <w:rPr>
          <w:i/>
          <w:sz w:val="22"/>
          <w:szCs w:val="22"/>
          <w:lang w:val="fr-FR"/>
        </w:rPr>
        <w:t xml:space="preserve">Anser </w:t>
      </w:r>
      <w:proofErr w:type="spellStart"/>
      <w:r w:rsidRPr="00D44DEB">
        <w:rPr>
          <w:i/>
          <w:sz w:val="22"/>
          <w:szCs w:val="22"/>
          <w:lang w:val="fr-FR"/>
        </w:rPr>
        <w:t>brachyrhynchus</w:t>
      </w:r>
      <w:proofErr w:type="spellEnd"/>
      <w:r>
        <w:rPr>
          <w:sz w:val="22"/>
          <w:szCs w:val="22"/>
          <w:lang w:val="fr-FR"/>
        </w:rPr>
        <w:t>) et d’oies des moissons (</w:t>
      </w:r>
      <w:r w:rsidRPr="00D44DEB">
        <w:rPr>
          <w:i/>
          <w:sz w:val="22"/>
          <w:szCs w:val="22"/>
          <w:lang w:val="fr-FR"/>
        </w:rPr>
        <w:t xml:space="preserve">Anser </w:t>
      </w:r>
      <w:proofErr w:type="spellStart"/>
      <w:r w:rsidRPr="00D44DEB">
        <w:rPr>
          <w:i/>
          <w:sz w:val="22"/>
          <w:szCs w:val="22"/>
          <w:lang w:val="fr-FR"/>
        </w:rPr>
        <w:t>fabalis</w:t>
      </w:r>
      <w:proofErr w:type="spellEnd"/>
      <w:r w:rsidRPr="00D44DEB">
        <w:rPr>
          <w:i/>
          <w:sz w:val="22"/>
          <w:szCs w:val="22"/>
          <w:lang w:val="fr-FR"/>
        </w:rPr>
        <w:t xml:space="preserve"> </w:t>
      </w:r>
      <w:proofErr w:type="spellStart"/>
      <w:r w:rsidRPr="00D44DEB">
        <w:rPr>
          <w:i/>
          <w:sz w:val="22"/>
          <w:szCs w:val="22"/>
          <w:lang w:val="fr-FR"/>
        </w:rPr>
        <w:t>fa</w:t>
      </w:r>
      <w:bookmarkStart w:id="0" w:name="_GoBack"/>
      <w:bookmarkEnd w:id="0"/>
      <w:r w:rsidRPr="00D44DEB">
        <w:rPr>
          <w:i/>
          <w:sz w:val="22"/>
          <w:szCs w:val="22"/>
          <w:lang w:val="fr-FR"/>
        </w:rPr>
        <w:t>balis</w:t>
      </w:r>
      <w:proofErr w:type="spellEnd"/>
      <w:r>
        <w:rPr>
          <w:sz w:val="22"/>
          <w:szCs w:val="22"/>
          <w:lang w:val="fr-FR"/>
        </w:rPr>
        <w:t xml:space="preserve">) pour lesquelles des plans de gestion sont déjà en place, et </w:t>
      </w:r>
      <w:r>
        <w:rPr>
          <w:i/>
          <w:sz w:val="22"/>
          <w:szCs w:val="22"/>
          <w:lang w:val="fr-FR"/>
        </w:rPr>
        <w:t xml:space="preserve">invite </w:t>
      </w:r>
      <w:r>
        <w:rPr>
          <w:sz w:val="22"/>
          <w:szCs w:val="22"/>
          <w:lang w:val="fr-FR"/>
        </w:rPr>
        <w:t xml:space="preserve">les Parties, États de l’aire de répartition et autres parties prenantes intéressés à prendre part de façon proactive à cette initiative, </w:t>
      </w:r>
      <w:r w:rsidR="00442683">
        <w:rPr>
          <w:sz w:val="22"/>
          <w:szCs w:val="22"/>
          <w:lang w:val="fr-FR"/>
        </w:rPr>
        <w:t>en fournissant</w:t>
      </w:r>
      <w:r>
        <w:rPr>
          <w:sz w:val="22"/>
          <w:szCs w:val="22"/>
          <w:lang w:val="fr-FR"/>
        </w:rPr>
        <w:t xml:space="preserve"> les ressources </w:t>
      </w:r>
      <w:r w:rsidR="00442683">
        <w:rPr>
          <w:sz w:val="22"/>
          <w:szCs w:val="22"/>
          <w:lang w:val="fr-FR"/>
        </w:rPr>
        <w:t xml:space="preserve">appropriées </w:t>
      </w:r>
      <w:r>
        <w:rPr>
          <w:sz w:val="22"/>
          <w:szCs w:val="22"/>
          <w:lang w:val="fr-FR"/>
        </w:rPr>
        <w:t>pour l’entretien et le fonctionnement de la plateforme</w:t>
      </w:r>
      <w:r w:rsidR="00401D5E">
        <w:rPr>
          <w:sz w:val="22"/>
          <w:szCs w:val="22"/>
          <w:lang w:val="fr-FR"/>
        </w:rPr>
        <w:t xml:space="preserve"> et en faisant part des progrès enregistrés à la MOP7 ;</w:t>
      </w:r>
    </w:p>
    <w:p w:rsidR="00401D5E" w:rsidRDefault="00401D5E" w:rsidP="006D3587">
      <w:pPr>
        <w:tabs>
          <w:tab w:val="left" w:pos="709"/>
          <w:tab w:val="left" w:pos="851"/>
        </w:tabs>
        <w:jc w:val="both"/>
        <w:rPr>
          <w:sz w:val="22"/>
          <w:szCs w:val="22"/>
          <w:lang w:val="fr-FR"/>
        </w:rPr>
      </w:pPr>
    </w:p>
    <w:p w:rsidR="00F60E71" w:rsidRDefault="00401D5E" w:rsidP="006D3587">
      <w:pPr>
        <w:tabs>
          <w:tab w:val="left" w:pos="709"/>
          <w:tab w:val="left" w:pos="851"/>
        </w:tabs>
        <w:jc w:val="both"/>
        <w:rPr>
          <w:sz w:val="22"/>
          <w:szCs w:val="22"/>
          <w:lang w:val="fr-FR"/>
        </w:rPr>
      </w:pPr>
      <w:r>
        <w:rPr>
          <w:sz w:val="22"/>
          <w:szCs w:val="22"/>
          <w:lang w:val="fr-FR"/>
        </w:rPr>
        <w:t>10.</w:t>
      </w:r>
      <w:r>
        <w:rPr>
          <w:sz w:val="22"/>
          <w:szCs w:val="22"/>
          <w:lang w:val="fr-FR"/>
        </w:rPr>
        <w:tab/>
      </w:r>
      <w:r w:rsidRPr="00D44DEB">
        <w:rPr>
          <w:i/>
          <w:sz w:val="22"/>
          <w:szCs w:val="22"/>
          <w:lang w:val="fr-FR"/>
        </w:rPr>
        <w:t>Exhorte</w:t>
      </w:r>
      <w:r>
        <w:rPr>
          <w:sz w:val="22"/>
          <w:szCs w:val="22"/>
          <w:lang w:val="fr-FR"/>
        </w:rPr>
        <w:t xml:space="preserve"> les</w:t>
      </w:r>
      <w:r w:rsidR="00F60E71">
        <w:rPr>
          <w:sz w:val="22"/>
          <w:szCs w:val="22"/>
          <w:lang w:val="fr-FR"/>
        </w:rPr>
        <w:t xml:space="preserve"> </w:t>
      </w:r>
      <w:r>
        <w:rPr>
          <w:sz w:val="22"/>
          <w:szCs w:val="22"/>
          <w:lang w:val="fr-FR"/>
        </w:rPr>
        <w:t>États de l’aire de répartition des popu</w:t>
      </w:r>
      <w:r w:rsidR="0062605B">
        <w:rPr>
          <w:sz w:val="22"/>
          <w:szCs w:val="22"/>
          <w:lang w:val="fr-FR"/>
        </w:rPr>
        <w:t>l</w:t>
      </w:r>
      <w:r>
        <w:rPr>
          <w:sz w:val="22"/>
          <w:szCs w:val="22"/>
          <w:lang w:val="fr-FR"/>
        </w:rPr>
        <w:t>ations d’espèces d’oiseaux d’eau exotiques présentant un risque élevé et très élevé à acc</w:t>
      </w:r>
      <w:r w:rsidR="0062605B">
        <w:rPr>
          <w:sz w:val="22"/>
          <w:szCs w:val="22"/>
          <w:lang w:val="fr-FR"/>
        </w:rPr>
        <w:t>r</w:t>
      </w:r>
      <w:r>
        <w:rPr>
          <w:sz w:val="22"/>
          <w:szCs w:val="22"/>
          <w:lang w:val="fr-FR"/>
        </w:rPr>
        <w:t>oître</w:t>
      </w:r>
      <w:r w:rsidR="00C14FD8">
        <w:rPr>
          <w:sz w:val="22"/>
          <w:szCs w:val="22"/>
          <w:lang w:val="fr-FR"/>
        </w:rPr>
        <w:t xml:space="preserve"> et coordonner</w:t>
      </w:r>
      <w:r>
        <w:rPr>
          <w:sz w:val="22"/>
          <w:szCs w:val="22"/>
          <w:lang w:val="fr-FR"/>
        </w:rPr>
        <w:t xml:space="preserve"> leurs efforts pour maîtriser, lutter contre et éradiquer autant que possible ces populations, notamment le Canard colvert (</w:t>
      </w:r>
      <w:r w:rsidRPr="00D44DEB">
        <w:rPr>
          <w:i/>
          <w:sz w:val="22"/>
          <w:szCs w:val="22"/>
          <w:lang w:val="fr-FR"/>
        </w:rPr>
        <w:t xml:space="preserve">Anas </w:t>
      </w:r>
      <w:proofErr w:type="spellStart"/>
      <w:r w:rsidRPr="00D44DEB">
        <w:rPr>
          <w:i/>
          <w:sz w:val="22"/>
          <w:szCs w:val="22"/>
          <w:lang w:val="fr-FR"/>
        </w:rPr>
        <w:t>platyrhynchos</w:t>
      </w:r>
      <w:proofErr w:type="spellEnd"/>
      <w:r>
        <w:rPr>
          <w:sz w:val="22"/>
          <w:szCs w:val="22"/>
          <w:lang w:val="fr-FR"/>
        </w:rPr>
        <w:t>) en Afrique du Sud, la Bernache du Canada (</w:t>
      </w:r>
      <w:proofErr w:type="spellStart"/>
      <w:r w:rsidRPr="00D44DEB">
        <w:rPr>
          <w:i/>
          <w:sz w:val="22"/>
          <w:szCs w:val="22"/>
          <w:lang w:val="fr-FR"/>
        </w:rPr>
        <w:t>Branta</w:t>
      </w:r>
      <w:proofErr w:type="spellEnd"/>
      <w:r w:rsidRPr="00D44DEB">
        <w:rPr>
          <w:i/>
          <w:sz w:val="22"/>
          <w:szCs w:val="22"/>
          <w:lang w:val="fr-FR"/>
        </w:rPr>
        <w:t xml:space="preserve"> </w:t>
      </w:r>
      <w:proofErr w:type="spellStart"/>
      <w:r w:rsidRPr="00D44DEB">
        <w:rPr>
          <w:i/>
          <w:sz w:val="22"/>
          <w:szCs w:val="22"/>
          <w:lang w:val="fr-FR"/>
        </w:rPr>
        <w:t>canadensis</w:t>
      </w:r>
      <w:proofErr w:type="spellEnd"/>
      <w:r>
        <w:rPr>
          <w:sz w:val="22"/>
          <w:szCs w:val="22"/>
          <w:lang w:val="fr-FR"/>
        </w:rPr>
        <w:t>)</w:t>
      </w:r>
      <w:r w:rsidR="00C14FD8">
        <w:rPr>
          <w:sz w:val="22"/>
          <w:szCs w:val="22"/>
          <w:lang w:val="fr-FR"/>
        </w:rPr>
        <w:t xml:space="preserve">, </w:t>
      </w:r>
      <w:r w:rsidR="00187F83">
        <w:rPr>
          <w:sz w:val="22"/>
          <w:szCs w:val="22"/>
          <w:lang w:val="fr-FR"/>
        </w:rPr>
        <w:t>l’Oie d’Egypte (</w:t>
      </w:r>
      <w:proofErr w:type="spellStart"/>
      <w:r w:rsidR="00187F83" w:rsidRPr="00644606">
        <w:rPr>
          <w:i/>
          <w:sz w:val="22"/>
          <w:szCs w:val="22"/>
          <w:lang w:val="fr-FR"/>
        </w:rPr>
        <w:t>Alopochen</w:t>
      </w:r>
      <w:proofErr w:type="spellEnd"/>
      <w:r w:rsidR="00187F83" w:rsidRPr="00644606">
        <w:rPr>
          <w:i/>
          <w:sz w:val="22"/>
          <w:szCs w:val="22"/>
          <w:lang w:val="fr-FR"/>
        </w:rPr>
        <w:t xml:space="preserve"> </w:t>
      </w:r>
      <w:proofErr w:type="spellStart"/>
      <w:r w:rsidR="00187F83" w:rsidRPr="00644606">
        <w:rPr>
          <w:i/>
          <w:sz w:val="22"/>
          <w:szCs w:val="22"/>
          <w:lang w:val="fr-FR"/>
        </w:rPr>
        <w:t>aegyptiacus</w:t>
      </w:r>
      <w:proofErr w:type="spellEnd"/>
      <w:r w:rsidR="00187F83">
        <w:rPr>
          <w:sz w:val="22"/>
          <w:szCs w:val="22"/>
          <w:lang w:val="fr-FR"/>
        </w:rPr>
        <w:t>)</w:t>
      </w:r>
      <w:r>
        <w:rPr>
          <w:sz w:val="22"/>
          <w:szCs w:val="22"/>
          <w:lang w:val="fr-FR"/>
        </w:rPr>
        <w:t xml:space="preserve"> </w:t>
      </w:r>
      <w:r w:rsidR="00187F83">
        <w:rPr>
          <w:sz w:val="22"/>
          <w:szCs w:val="22"/>
          <w:lang w:val="fr-FR"/>
        </w:rPr>
        <w:t>et le Cygne noir  (</w:t>
      </w:r>
      <w:proofErr w:type="spellStart"/>
      <w:r w:rsidR="00187F83" w:rsidRPr="00644606">
        <w:rPr>
          <w:i/>
          <w:sz w:val="22"/>
          <w:szCs w:val="22"/>
          <w:lang w:val="fr-FR"/>
        </w:rPr>
        <w:t>Cygnus</w:t>
      </w:r>
      <w:proofErr w:type="spellEnd"/>
      <w:r w:rsidR="00187F83" w:rsidRPr="00644606">
        <w:rPr>
          <w:i/>
          <w:sz w:val="22"/>
          <w:szCs w:val="22"/>
          <w:lang w:val="fr-FR"/>
        </w:rPr>
        <w:t xml:space="preserve"> </w:t>
      </w:r>
      <w:proofErr w:type="spellStart"/>
      <w:r w:rsidR="00187F83" w:rsidRPr="00644606">
        <w:rPr>
          <w:i/>
          <w:sz w:val="22"/>
          <w:szCs w:val="22"/>
          <w:lang w:val="fr-FR"/>
        </w:rPr>
        <w:t>atratus</w:t>
      </w:r>
      <w:proofErr w:type="spellEnd"/>
      <w:r w:rsidR="00187F83">
        <w:rPr>
          <w:sz w:val="22"/>
          <w:szCs w:val="22"/>
          <w:lang w:val="fr-FR"/>
        </w:rPr>
        <w:t xml:space="preserve">) </w:t>
      </w:r>
      <w:r>
        <w:rPr>
          <w:sz w:val="22"/>
          <w:szCs w:val="22"/>
          <w:lang w:val="fr-FR"/>
        </w:rPr>
        <w:t>dans p</w:t>
      </w:r>
      <w:r w:rsidR="004324B3">
        <w:rPr>
          <w:sz w:val="22"/>
          <w:szCs w:val="22"/>
          <w:lang w:val="fr-FR"/>
        </w:rPr>
        <w:t>l</w:t>
      </w:r>
      <w:r>
        <w:rPr>
          <w:sz w:val="22"/>
          <w:szCs w:val="22"/>
          <w:lang w:val="fr-FR"/>
        </w:rPr>
        <w:t xml:space="preserve">usieurs pays d’Europe, la Bernache de </w:t>
      </w:r>
      <w:proofErr w:type="spellStart"/>
      <w:r>
        <w:rPr>
          <w:sz w:val="22"/>
          <w:szCs w:val="22"/>
          <w:lang w:val="fr-FR"/>
        </w:rPr>
        <w:t>Huntchins</w:t>
      </w:r>
      <w:proofErr w:type="spellEnd"/>
      <w:r>
        <w:rPr>
          <w:sz w:val="22"/>
          <w:szCs w:val="22"/>
          <w:lang w:val="fr-FR"/>
        </w:rPr>
        <w:t xml:space="preserve"> (</w:t>
      </w:r>
      <w:proofErr w:type="spellStart"/>
      <w:r w:rsidRPr="00D44DEB">
        <w:rPr>
          <w:i/>
          <w:sz w:val="22"/>
          <w:szCs w:val="22"/>
          <w:lang w:val="fr-FR"/>
        </w:rPr>
        <w:t>Branta</w:t>
      </w:r>
      <w:proofErr w:type="spellEnd"/>
      <w:r w:rsidRPr="00D44DEB">
        <w:rPr>
          <w:i/>
          <w:sz w:val="22"/>
          <w:szCs w:val="22"/>
          <w:lang w:val="fr-FR"/>
        </w:rPr>
        <w:t xml:space="preserve"> </w:t>
      </w:r>
      <w:proofErr w:type="spellStart"/>
      <w:r w:rsidRPr="00D44DEB">
        <w:rPr>
          <w:i/>
          <w:sz w:val="22"/>
          <w:szCs w:val="22"/>
          <w:lang w:val="fr-FR"/>
        </w:rPr>
        <w:t>Hutchinsii</w:t>
      </w:r>
      <w:proofErr w:type="spellEnd"/>
      <w:r>
        <w:rPr>
          <w:sz w:val="22"/>
          <w:szCs w:val="22"/>
          <w:lang w:val="fr-FR"/>
        </w:rPr>
        <w:t>) en Belgique, en Allemagne et aux Pays-Bas, l’</w:t>
      </w:r>
      <w:proofErr w:type="spellStart"/>
      <w:r>
        <w:rPr>
          <w:sz w:val="22"/>
          <w:szCs w:val="22"/>
          <w:lang w:val="fr-FR"/>
        </w:rPr>
        <w:t>Érismature</w:t>
      </w:r>
      <w:proofErr w:type="spellEnd"/>
      <w:r>
        <w:rPr>
          <w:sz w:val="22"/>
          <w:szCs w:val="22"/>
          <w:lang w:val="fr-FR"/>
        </w:rPr>
        <w:t xml:space="preserve"> rousse (</w:t>
      </w:r>
      <w:proofErr w:type="spellStart"/>
      <w:r w:rsidRPr="00D44DEB">
        <w:rPr>
          <w:i/>
          <w:sz w:val="22"/>
          <w:szCs w:val="22"/>
          <w:lang w:val="fr-FR"/>
        </w:rPr>
        <w:t>Oxyura</w:t>
      </w:r>
      <w:proofErr w:type="spellEnd"/>
      <w:r w:rsidRPr="00D44DEB">
        <w:rPr>
          <w:i/>
          <w:sz w:val="22"/>
          <w:szCs w:val="22"/>
          <w:lang w:val="fr-FR"/>
        </w:rPr>
        <w:t xml:space="preserve"> </w:t>
      </w:r>
      <w:proofErr w:type="spellStart"/>
      <w:r w:rsidRPr="00D44DEB">
        <w:rPr>
          <w:i/>
          <w:sz w:val="22"/>
          <w:szCs w:val="22"/>
          <w:lang w:val="fr-FR"/>
        </w:rPr>
        <w:t>jamaicensis</w:t>
      </w:r>
      <w:proofErr w:type="spellEnd"/>
      <w:r>
        <w:rPr>
          <w:sz w:val="22"/>
          <w:szCs w:val="22"/>
          <w:lang w:val="fr-FR"/>
        </w:rPr>
        <w:t>) partout en Europe et l’Ibis sacré (</w:t>
      </w:r>
      <w:proofErr w:type="spellStart"/>
      <w:r w:rsidRPr="00D44DEB">
        <w:rPr>
          <w:i/>
          <w:sz w:val="22"/>
          <w:szCs w:val="22"/>
          <w:lang w:val="fr-FR"/>
        </w:rPr>
        <w:t>Threskiornis</w:t>
      </w:r>
      <w:proofErr w:type="spellEnd"/>
      <w:r w:rsidRPr="00D44DEB">
        <w:rPr>
          <w:i/>
          <w:sz w:val="22"/>
          <w:szCs w:val="22"/>
          <w:lang w:val="fr-FR"/>
        </w:rPr>
        <w:t xml:space="preserve"> </w:t>
      </w:r>
      <w:proofErr w:type="spellStart"/>
      <w:r w:rsidRPr="00D44DEB">
        <w:rPr>
          <w:i/>
          <w:sz w:val="22"/>
          <w:szCs w:val="22"/>
          <w:lang w:val="fr-FR"/>
        </w:rPr>
        <w:t>aethiopicus</w:t>
      </w:r>
      <w:proofErr w:type="spellEnd"/>
      <w:r>
        <w:rPr>
          <w:sz w:val="22"/>
          <w:szCs w:val="22"/>
          <w:lang w:val="fr-FR"/>
        </w:rPr>
        <w:t xml:space="preserve">) principalement </w:t>
      </w:r>
      <w:r w:rsidR="004324B3">
        <w:rPr>
          <w:sz w:val="22"/>
          <w:szCs w:val="22"/>
          <w:lang w:val="fr-FR"/>
        </w:rPr>
        <w:t xml:space="preserve">dans le sud de l’Europe centrale </w:t>
      </w:r>
      <w:r>
        <w:rPr>
          <w:sz w:val="22"/>
          <w:szCs w:val="22"/>
          <w:lang w:val="fr-FR"/>
        </w:rPr>
        <w:t>;</w:t>
      </w:r>
    </w:p>
    <w:p w:rsidR="00A0422B" w:rsidRDefault="00A0422B" w:rsidP="006D3587">
      <w:pPr>
        <w:tabs>
          <w:tab w:val="left" w:pos="709"/>
          <w:tab w:val="left" w:pos="851"/>
        </w:tabs>
        <w:jc w:val="both"/>
        <w:rPr>
          <w:sz w:val="22"/>
          <w:szCs w:val="22"/>
          <w:lang w:val="fr-FR"/>
        </w:rPr>
      </w:pPr>
    </w:p>
    <w:p w:rsidR="00A0422B" w:rsidRPr="00A8451D" w:rsidRDefault="00A0422B" w:rsidP="006D3587">
      <w:pPr>
        <w:tabs>
          <w:tab w:val="left" w:pos="709"/>
          <w:tab w:val="left" w:pos="851"/>
        </w:tabs>
        <w:jc w:val="both"/>
        <w:rPr>
          <w:sz w:val="22"/>
          <w:szCs w:val="22"/>
          <w:lang w:val="fr-FR"/>
        </w:rPr>
      </w:pPr>
      <w:r>
        <w:rPr>
          <w:sz w:val="22"/>
          <w:szCs w:val="22"/>
          <w:lang w:val="fr-FR"/>
        </w:rPr>
        <w:t>11.</w:t>
      </w:r>
      <w:r>
        <w:rPr>
          <w:sz w:val="22"/>
          <w:szCs w:val="22"/>
          <w:lang w:val="fr-FR"/>
        </w:rPr>
        <w:tab/>
      </w:r>
      <w:r w:rsidR="00187F83" w:rsidRPr="00A8451D">
        <w:rPr>
          <w:i/>
          <w:sz w:val="22"/>
          <w:szCs w:val="22"/>
          <w:lang w:val="fr-FR"/>
        </w:rPr>
        <w:t>Encour</w:t>
      </w:r>
      <w:r w:rsidR="00DB2EAB" w:rsidRPr="00A8451D">
        <w:rPr>
          <w:i/>
          <w:sz w:val="22"/>
          <w:szCs w:val="22"/>
          <w:lang w:val="fr-FR"/>
        </w:rPr>
        <w:t>age</w:t>
      </w:r>
      <w:r w:rsidR="00DB2EAB" w:rsidRPr="00A8451D">
        <w:rPr>
          <w:sz w:val="22"/>
          <w:szCs w:val="22"/>
          <w:lang w:val="fr-FR"/>
        </w:rPr>
        <w:t xml:space="preserve"> les </w:t>
      </w:r>
      <w:r w:rsidR="00A8451D" w:rsidRPr="00A8451D">
        <w:rPr>
          <w:sz w:val="22"/>
          <w:szCs w:val="22"/>
          <w:lang w:val="fr-FR"/>
        </w:rPr>
        <w:t>P</w:t>
      </w:r>
      <w:r w:rsidR="00DB2EAB" w:rsidRPr="00A8451D">
        <w:rPr>
          <w:sz w:val="22"/>
          <w:szCs w:val="22"/>
          <w:lang w:val="fr-FR"/>
        </w:rPr>
        <w:t xml:space="preserve">arties contractantes à </w:t>
      </w:r>
      <w:r w:rsidR="00187F83" w:rsidRPr="00A8451D">
        <w:rPr>
          <w:sz w:val="22"/>
          <w:szCs w:val="22"/>
          <w:lang w:val="fr-FR"/>
        </w:rPr>
        <w:t>aligner les listes des espèces établies dans le</w:t>
      </w:r>
      <w:r w:rsidR="0022549C" w:rsidRPr="00A8451D">
        <w:rPr>
          <w:sz w:val="22"/>
          <w:szCs w:val="22"/>
          <w:lang w:val="fr-FR"/>
        </w:rPr>
        <w:t>urs</w:t>
      </w:r>
      <w:r w:rsidR="00187F83" w:rsidRPr="00A8451D">
        <w:rPr>
          <w:sz w:val="22"/>
          <w:szCs w:val="22"/>
          <w:lang w:val="fr-FR"/>
        </w:rPr>
        <w:t xml:space="preserve"> cadre</w:t>
      </w:r>
      <w:r w:rsidR="0022549C" w:rsidRPr="00A8451D">
        <w:rPr>
          <w:sz w:val="22"/>
          <w:szCs w:val="22"/>
          <w:lang w:val="fr-FR"/>
        </w:rPr>
        <w:t>s</w:t>
      </w:r>
      <w:r w:rsidR="00187F83" w:rsidRPr="00A8451D">
        <w:rPr>
          <w:sz w:val="22"/>
          <w:szCs w:val="22"/>
          <w:lang w:val="fr-FR"/>
        </w:rPr>
        <w:t xml:space="preserve"> r</w:t>
      </w:r>
      <w:r w:rsidR="0022549C" w:rsidRPr="00A8451D">
        <w:rPr>
          <w:sz w:val="22"/>
          <w:szCs w:val="22"/>
          <w:lang w:val="fr-FR"/>
        </w:rPr>
        <w:t>égionaux ou nationaux</w:t>
      </w:r>
      <w:r w:rsidR="00187F83" w:rsidRPr="00A8451D">
        <w:rPr>
          <w:sz w:val="22"/>
          <w:szCs w:val="22"/>
          <w:lang w:val="fr-FR"/>
        </w:rPr>
        <w:t xml:space="preserve"> pour </w:t>
      </w:r>
      <w:r w:rsidR="00CF316C" w:rsidRPr="00A8451D">
        <w:rPr>
          <w:sz w:val="22"/>
          <w:szCs w:val="22"/>
          <w:lang w:val="fr-FR"/>
        </w:rPr>
        <w:t>éviter</w:t>
      </w:r>
      <w:r w:rsidR="00187F83" w:rsidRPr="00A8451D">
        <w:rPr>
          <w:sz w:val="22"/>
          <w:szCs w:val="22"/>
          <w:lang w:val="fr-FR"/>
        </w:rPr>
        <w:t xml:space="preserve"> l’introduction et la propagation des espèces </w:t>
      </w:r>
      <w:r w:rsidR="00CF316C" w:rsidRPr="00A8451D">
        <w:rPr>
          <w:sz w:val="22"/>
          <w:szCs w:val="22"/>
          <w:lang w:val="fr-FR"/>
        </w:rPr>
        <w:t xml:space="preserve">exotiques </w:t>
      </w:r>
      <w:r w:rsidR="00187F83" w:rsidRPr="00A8451D">
        <w:rPr>
          <w:sz w:val="22"/>
          <w:szCs w:val="22"/>
          <w:lang w:val="fr-FR"/>
        </w:rPr>
        <w:t>envahissantes dans le contexte des priorités de l’AEWA afin de fournir des moyens efficaces</w:t>
      </w:r>
      <w:r w:rsidR="0022549C" w:rsidRPr="00A8451D">
        <w:rPr>
          <w:sz w:val="22"/>
          <w:szCs w:val="22"/>
          <w:lang w:val="fr-FR"/>
        </w:rPr>
        <w:t xml:space="preserve"> </w:t>
      </w:r>
      <w:r w:rsidR="00CF316C" w:rsidRPr="00A8451D">
        <w:rPr>
          <w:sz w:val="22"/>
          <w:szCs w:val="22"/>
          <w:lang w:val="fr-FR"/>
        </w:rPr>
        <w:t>pour une</w:t>
      </w:r>
      <w:r w:rsidR="0022549C" w:rsidRPr="00A8451D">
        <w:rPr>
          <w:sz w:val="22"/>
          <w:szCs w:val="22"/>
          <w:lang w:val="fr-FR"/>
        </w:rPr>
        <w:t xml:space="preserve"> action coordonnée </w:t>
      </w:r>
      <w:r w:rsidR="00CF316C" w:rsidRPr="00A8451D">
        <w:rPr>
          <w:sz w:val="22"/>
          <w:szCs w:val="22"/>
          <w:lang w:val="fr-FR"/>
        </w:rPr>
        <w:t>dans la zone</w:t>
      </w:r>
      <w:r w:rsidR="0022549C" w:rsidRPr="00A8451D">
        <w:rPr>
          <w:sz w:val="22"/>
          <w:szCs w:val="22"/>
          <w:lang w:val="fr-FR"/>
        </w:rPr>
        <w:t xml:space="preserve"> de l’AEWA</w:t>
      </w:r>
      <w:r w:rsidR="00A8451D" w:rsidRPr="00A8451D">
        <w:rPr>
          <w:sz w:val="22"/>
          <w:szCs w:val="22"/>
          <w:lang w:val="fr-FR"/>
        </w:rPr>
        <w:t> ;</w:t>
      </w:r>
    </w:p>
    <w:p w:rsidR="00A8451D" w:rsidRPr="00A8451D" w:rsidRDefault="00A8451D" w:rsidP="006D3587">
      <w:pPr>
        <w:tabs>
          <w:tab w:val="left" w:pos="709"/>
          <w:tab w:val="left" w:pos="851"/>
        </w:tabs>
        <w:jc w:val="both"/>
        <w:rPr>
          <w:sz w:val="22"/>
          <w:szCs w:val="22"/>
          <w:lang w:val="fr-FR"/>
        </w:rPr>
      </w:pPr>
    </w:p>
    <w:p w:rsidR="00A0422B" w:rsidRPr="00A8451D" w:rsidRDefault="00A0422B" w:rsidP="006D3587">
      <w:pPr>
        <w:tabs>
          <w:tab w:val="left" w:pos="709"/>
          <w:tab w:val="left" w:pos="851"/>
        </w:tabs>
        <w:jc w:val="both"/>
        <w:rPr>
          <w:sz w:val="22"/>
          <w:szCs w:val="22"/>
          <w:lang w:val="fr-FR"/>
        </w:rPr>
      </w:pPr>
      <w:r w:rsidRPr="00A8451D">
        <w:rPr>
          <w:sz w:val="22"/>
          <w:szCs w:val="22"/>
          <w:lang w:val="fr-FR"/>
        </w:rPr>
        <w:t>12.</w:t>
      </w:r>
      <w:r w:rsidRPr="00A8451D">
        <w:rPr>
          <w:sz w:val="22"/>
          <w:szCs w:val="22"/>
          <w:lang w:val="fr-FR"/>
        </w:rPr>
        <w:tab/>
      </w:r>
      <w:r w:rsidR="00E27D3E" w:rsidRPr="00A8451D">
        <w:rPr>
          <w:i/>
          <w:iCs/>
          <w:sz w:val="22"/>
          <w:szCs w:val="22"/>
          <w:lang w:val="fr-FR"/>
        </w:rPr>
        <w:t xml:space="preserve">Encourages </w:t>
      </w:r>
      <w:r w:rsidR="00E27D3E" w:rsidRPr="00A8451D">
        <w:rPr>
          <w:sz w:val="22"/>
          <w:szCs w:val="22"/>
          <w:lang w:val="fr-FR"/>
        </w:rPr>
        <w:t>les Parties contractantes à aligner les plans d’action pour la prise en main des trajets prioritaires visant à la prévention de l’introduction et de la dissémination des espèces exotiques envahissantes sur le Plan d’action de l’AEWA, les plans d’action internationaux et nationaux par espèce de l’AEWA et autres plans nationaux, régionaux et internationaux, si nécessaire</w:t>
      </w:r>
      <w:r w:rsidR="001351AB">
        <w:rPr>
          <w:sz w:val="22"/>
          <w:szCs w:val="22"/>
          <w:lang w:val="fr-FR"/>
        </w:rPr>
        <w:t xml:space="preserve"> </w:t>
      </w:r>
      <w:r w:rsidR="008B4E5B" w:rsidRPr="00A8451D">
        <w:rPr>
          <w:sz w:val="22"/>
          <w:szCs w:val="22"/>
          <w:lang w:val="fr-FR"/>
        </w:rPr>
        <w:t>;</w:t>
      </w:r>
      <w:r w:rsidR="00CF316C" w:rsidRPr="00A8451D">
        <w:rPr>
          <w:sz w:val="22"/>
          <w:szCs w:val="22"/>
          <w:lang w:val="fr-FR"/>
        </w:rPr>
        <w:t xml:space="preserve"> </w:t>
      </w:r>
    </w:p>
    <w:p w:rsidR="00A0422B" w:rsidRPr="00A8451D" w:rsidRDefault="00A0422B" w:rsidP="006D3587">
      <w:pPr>
        <w:tabs>
          <w:tab w:val="left" w:pos="709"/>
          <w:tab w:val="left" w:pos="851"/>
        </w:tabs>
        <w:jc w:val="both"/>
        <w:rPr>
          <w:sz w:val="22"/>
          <w:szCs w:val="22"/>
          <w:lang w:val="fr-FR"/>
        </w:rPr>
      </w:pPr>
    </w:p>
    <w:p w:rsidR="00A0422B" w:rsidRPr="00A8451D" w:rsidRDefault="00A0422B" w:rsidP="006D3587">
      <w:pPr>
        <w:tabs>
          <w:tab w:val="left" w:pos="709"/>
          <w:tab w:val="left" w:pos="851"/>
        </w:tabs>
        <w:jc w:val="both"/>
        <w:rPr>
          <w:sz w:val="22"/>
          <w:szCs w:val="22"/>
          <w:lang w:val="fr-FR"/>
        </w:rPr>
      </w:pPr>
      <w:r w:rsidRPr="00A8451D">
        <w:rPr>
          <w:sz w:val="22"/>
          <w:szCs w:val="22"/>
          <w:lang w:val="fr-FR"/>
        </w:rPr>
        <w:t>1</w:t>
      </w:r>
      <w:r w:rsidR="008B4E5B" w:rsidRPr="00A8451D">
        <w:rPr>
          <w:sz w:val="22"/>
          <w:szCs w:val="22"/>
          <w:lang w:val="fr-FR"/>
        </w:rPr>
        <w:t>3</w:t>
      </w:r>
      <w:r w:rsidRPr="00A8451D">
        <w:rPr>
          <w:sz w:val="22"/>
          <w:szCs w:val="22"/>
          <w:lang w:val="fr-FR"/>
        </w:rPr>
        <w:t>.</w:t>
      </w:r>
      <w:r w:rsidRPr="00A8451D">
        <w:rPr>
          <w:sz w:val="22"/>
          <w:szCs w:val="22"/>
          <w:lang w:val="fr-FR"/>
        </w:rPr>
        <w:tab/>
      </w:r>
      <w:r w:rsidRPr="00A8451D">
        <w:rPr>
          <w:i/>
          <w:sz w:val="22"/>
          <w:szCs w:val="22"/>
          <w:lang w:val="fr-FR"/>
        </w:rPr>
        <w:t>Exhorte</w:t>
      </w:r>
      <w:r w:rsidRPr="00A8451D">
        <w:rPr>
          <w:sz w:val="22"/>
          <w:szCs w:val="22"/>
          <w:lang w:val="fr-FR"/>
        </w:rPr>
        <w:t xml:space="preserve"> les Parties contractantes à aider la recherche sur les risques que constituent les oiseaux d’eau exotiques et autres analyses détaillées </w:t>
      </w:r>
      <w:r w:rsidR="004146CA" w:rsidRPr="00A8451D">
        <w:rPr>
          <w:sz w:val="22"/>
          <w:szCs w:val="22"/>
          <w:lang w:val="fr-FR"/>
        </w:rPr>
        <w:t>relatives à</w:t>
      </w:r>
      <w:r w:rsidRPr="00A8451D">
        <w:rPr>
          <w:sz w:val="22"/>
          <w:szCs w:val="22"/>
          <w:lang w:val="fr-FR"/>
        </w:rPr>
        <w:t xml:space="preserve"> l’état des populations d’espèces d’oiseaux d’eau exotiques identifiées dans la zone de l’AEWA</w:t>
      </w:r>
      <w:r w:rsidR="004146CA" w:rsidRPr="00A8451D">
        <w:rPr>
          <w:sz w:val="22"/>
          <w:szCs w:val="22"/>
          <w:lang w:val="fr-FR"/>
        </w:rPr>
        <w:t>, y compris les impacts négatifs qui en découlent pour les espèces indigènes de l’AEWA et leurs habitats ;</w:t>
      </w:r>
    </w:p>
    <w:p w:rsidR="004146CA" w:rsidRPr="00A8451D" w:rsidRDefault="004146CA" w:rsidP="006D3587">
      <w:pPr>
        <w:tabs>
          <w:tab w:val="left" w:pos="709"/>
          <w:tab w:val="left" w:pos="851"/>
        </w:tabs>
        <w:jc w:val="both"/>
        <w:rPr>
          <w:sz w:val="22"/>
          <w:szCs w:val="22"/>
          <w:lang w:val="fr-FR"/>
        </w:rPr>
      </w:pPr>
    </w:p>
    <w:p w:rsidR="004146CA" w:rsidRPr="00D44DEB" w:rsidRDefault="004146CA" w:rsidP="006D3587">
      <w:pPr>
        <w:tabs>
          <w:tab w:val="left" w:pos="709"/>
          <w:tab w:val="left" w:pos="851"/>
        </w:tabs>
        <w:jc w:val="both"/>
        <w:rPr>
          <w:sz w:val="22"/>
          <w:szCs w:val="22"/>
          <w:lang w:val="fr-FR"/>
        </w:rPr>
      </w:pPr>
      <w:r w:rsidRPr="00A8451D">
        <w:rPr>
          <w:sz w:val="22"/>
          <w:szCs w:val="22"/>
          <w:lang w:val="fr-FR"/>
        </w:rPr>
        <w:t>1</w:t>
      </w:r>
      <w:r w:rsidR="008B4E5B" w:rsidRPr="00A8451D">
        <w:rPr>
          <w:sz w:val="22"/>
          <w:szCs w:val="22"/>
          <w:lang w:val="fr-FR"/>
        </w:rPr>
        <w:t>4</w:t>
      </w:r>
      <w:r w:rsidRPr="00A8451D">
        <w:rPr>
          <w:sz w:val="22"/>
          <w:szCs w:val="22"/>
          <w:lang w:val="fr-FR"/>
        </w:rPr>
        <w:t>.</w:t>
      </w:r>
      <w:r w:rsidRPr="00A8451D">
        <w:rPr>
          <w:sz w:val="22"/>
          <w:szCs w:val="22"/>
          <w:lang w:val="fr-FR"/>
        </w:rPr>
        <w:tab/>
      </w:r>
      <w:r w:rsidRPr="00A8451D">
        <w:rPr>
          <w:i/>
          <w:sz w:val="22"/>
          <w:szCs w:val="22"/>
          <w:lang w:val="fr-FR"/>
        </w:rPr>
        <w:t>Demande</w:t>
      </w:r>
      <w:r w:rsidRPr="00A8451D">
        <w:rPr>
          <w:sz w:val="22"/>
          <w:szCs w:val="22"/>
          <w:lang w:val="fr-FR"/>
        </w:rPr>
        <w:t xml:space="preserve"> au Comité technique de contribuer au développement de normes et de conseils convenus au plan international pour l’évaluation </w:t>
      </w:r>
      <w:r w:rsidRPr="00D44DEB">
        <w:rPr>
          <w:sz w:val="22"/>
          <w:szCs w:val="22"/>
          <w:lang w:val="fr-FR"/>
        </w:rPr>
        <w:t>des risques relatifs aux oiseaux d’eau exotiques, afin de faciliter la mise en œuvre de l’Accord et des instruments juridiques qui s’y rapportent</w:t>
      </w:r>
      <w:r w:rsidR="00A2052F">
        <w:rPr>
          <w:sz w:val="22"/>
          <w:szCs w:val="22"/>
          <w:lang w:val="fr-FR"/>
        </w:rPr>
        <w:t>.</w:t>
      </w:r>
    </w:p>
    <w:p w:rsidR="004146CA" w:rsidRPr="00D44DEB" w:rsidRDefault="004146CA" w:rsidP="006D3587">
      <w:pPr>
        <w:tabs>
          <w:tab w:val="left" w:pos="709"/>
          <w:tab w:val="left" w:pos="851"/>
        </w:tabs>
        <w:jc w:val="both"/>
        <w:rPr>
          <w:sz w:val="22"/>
          <w:szCs w:val="22"/>
          <w:lang w:val="fr-FR"/>
        </w:rPr>
      </w:pPr>
    </w:p>
    <w:p w:rsidR="00D117F0" w:rsidRPr="006D3587" w:rsidRDefault="00D117F0" w:rsidP="00D15021">
      <w:pPr>
        <w:rPr>
          <w:lang w:val="fr-FR"/>
        </w:rPr>
      </w:pPr>
    </w:p>
    <w:sectPr w:rsidR="00D117F0" w:rsidRPr="006D3587" w:rsidSect="00572B07">
      <w:headerReference w:type="default" r:id="rId8"/>
      <w:footerReference w:type="default" r:id="rId9"/>
      <w:pgSz w:w="11906" w:h="16838" w:code="9"/>
      <w:pgMar w:top="1021" w:right="1134" w:bottom="851" w:left="1134" w:header="851" w:footer="51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7F0" w:rsidRDefault="00D117F0">
      <w:r>
        <w:separator/>
      </w:r>
    </w:p>
  </w:endnote>
  <w:endnote w:type="continuationSeparator" w:id="0">
    <w:p w:rsidR="00D117F0" w:rsidRDefault="00D1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07" w:rsidRPr="009352DC" w:rsidRDefault="00572B07">
    <w:pPr>
      <w:pStyle w:val="Footer"/>
      <w:jc w:val="center"/>
      <w:rPr>
        <w:sz w:val="20"/>
        <w:szCs w:val="20"/>
      </w:rPr>
    </w:pPr>
    <w:r w:rsidRPr="009352DC">
      <w:rPr>
        <w:sz w:val="20"/>
        <w:szCs w:val="20"/>
      </w:rPr>
      <w:fldChar w:fldCharType="begin"/>
    </w:r>
    <w:r w:rsidRPr="009352DC">
      <w:rPr>
        <w:sz w:val="20"/>
        <w:szCs w:val="20"/>
      </w:rPr>
      <w:instrText xml:space="preserve"> PAGE   \* MERGEFORMAT </w:instrText>
    </w:r>
    <w:r w:rsidRPr="009352DC">
      <w:rPr>
        <w:sz w:val="20"/>
        <w:szCs w:val="20"/>
      </w:rPr>
      <w:fldChar w:fldCharType="separate"/>
    </w:r>
    <w:r w:rsidR="001C6F36">
      <w:rPr>
        <w:noProof/>
        <w:sz w:val="20"/>
        <w:szCs w:val="20"/>
      </w:rPr>
      <w:t>4</w:t>
    </w:r>
    <w:r w:rsidRPr="009352DC">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7F0" w:rsidRDefault="00D117F0">
      <w:r>
        <w:separator/>
      </w:r>
    </w:p>
  </w:footnote>
  <w:footnote w:type="continuationSeparator" w:id="0">
    <w:p w:rsidR="00D117F0" w:rsidRDefault="00D117F0">
      <w:r>
        <w:continuationSeparator/>
      </w:r>
    </w:p>
  </w:footnote>
  <w:footnote w:id="1">
    <w:p w:rsidR="001C45FA" w:rsidRDefault="001C45FA" w:rsidP="001C45FA">
      <w:pPr>
        <w:pStyle w:val="FootnoteText"/>
        <w:rPr>
          <w:lang w:val="en-GB"/>
        </w:rPr>
      </w:pPr>
      <w:r>
        <w:rPr>
          <w:rStyle w:val="FootnoteReference"/>
        </w:rPr>
        <w:footnoteRef/>
      </w:r>
      <w:r>
        <w:t xml:space="preserve"> </w:t>
      </w:r>
      <w:hyperlink r:id="rId1" w:history="1">
        <w:r>
          <w:rPr>
            <w:rStyle w:val="Hyperlink"/>
          </w:rPr>
          <w:t>http://wow.wetlands.org/INFORMATIONFLYWAY/CRITICALSITENETWORKTOOL/tabid/1349/language/en-US/Default.aspx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07" w:rsidRPr="006D3587" w:rsidRDefault="009352DC">
    <w:pPr>
      <w:pStyle w:val="Header"/>
      <w:rPr>
        <w:i/>
        <w:sz w:val="18"/>
        <w:lang w:val="fr-FR"/>
      </w:rPr>
    </w:pPr>
    <w:r w:rsidRPr="006D3587">
      <w:rPr>
        <w:i/>
        <w:sz w:val="18"/>
        <w:lang w:val="fr-FR"/>
      </w:rPr>
      <w:tab/>
    </w:r>
  </w:p>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C64BD1" w:rsidRPr="001C6F36" w:rsidTr="00054C99">
      <w:trPr>
        <w:trHeight w:val="1256"/>
      </w:trPr>
      <w:tc>
        <w:tcPr>
          <w:tcW w:w="2268" w:type="dxa"/>
          <w:shd w:val="clear" w:color="auto" w:fill="auto"/>
          <w:tcMar>
            <w:top w:w="0" w:type="dxa"/>
            <w:left w:w="108" w:type="dxa"/>
            <w:bottom w:w="0" w:type="dxa"/>
            <w:right w:w="108" w:type="dxa"/>
          </w:tcMar>
        </w:tcPr>
        <w:p w:rsidR="00C64BD1" w:rsidRPr="008377E9" w:rsidRDefault="00C64BD1" w:rsidP="00C64BD1">
          <w:pPr>
            <w:rPr>
              <w:lang w:val="fr-FR"/>
            </w:rPr>
          </w:pPr>
          <w:r w:rsidRPr="008377E9">
            <w:rPr>
              <w:noProof/>
              <w:lang w:val="en-US"/>
            </w:rPr>
            <w:drawing>
              <wp:anchor distT="0" distB="0" distL="114300" distR="114300" simplePos="0" relativeHeight="251660288" behindDoc="1" locked="0" layoutInCell="1" allowOverlap="1" wp14:anchorId="08B36648" wp14:editId="6567961F">
                <wp:simplePos x="0" y="0"/>
                <wp:positionH relativeFrom="column">
                  <wp:posOffset>0</wp:posOffset>
                </wp:positionH>
                <wp:positionV relativeFrom="paragraph">
                  <wp:posOffset>0</wp:posOffset>
                </wp:positionV>
                <wp:extent cx="760730" cy="611505"/>
                <wp:effectExtent l="0" t="0" r="1270" b="0"/>
                <wp:wrapTight wrapText="bothSides">
                  <wp:wrapPolygon edited="0">
                    <wp:start x="0" y="0"/>
                    <wp:lineTo x="0" y="20860"/>
                    <wp:lineTo x="21095" y="20860"/>
                    <wp:lineTo x="21095" y="0"/>
                    <wp:lineTo x="0" y="0"/>
                  </wp:wrapPolygon>
                </wp:wrapTight>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60730" cy="61150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4678" w:type="dxa"/>
          <w:shd w:val="clear" w:color="auto" w:fill="auto"/>
          <w:tcMar>
            <w:top w:w="0" w:type="dxa"/>
            <w:left w:w="108" w:type="dxa"/>
            <w:bottom w:w="0" w:type="dxa"/>
            <w:right w:w="108" w:type="dxa"/>
          </w:tcMar>
        </w:tcPr>
        <w:p w:rsidR="00C64BD1" w:rsidRPr="008377E9" w:rsidRDefault="00C64BD1" w:rsidP="00C64BD1">
          <w:pPr>
            <w:tabs>
              <w:tab w:val="left" w:pos="2871"/>
            </w:tabs>
            <w:jc w:val="center"/>
            <w:rPr>
              <w:lang w:val="fr-FR"/>
            </w:rPr>
          </w:pPr>
          <w:r w:rsidRPr="008377E9">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C64BD1" w:rsidRPr="008377E9" w:rsidRDefault="00C64BD1" w:rsidP="00C64BD1">
          <w:pPr>
            <w:jc w:val="right"/>
            <w:rPr>
              <w:i/>
              <w:iCs/>
              <w:sz w:val="20"/>
              <w:szCs w:val="20"/>
              <w:lang w:val="fr-FR"/>
            </w:rPr>
          </w:pPr>
          <w:r w:rsidRPr="00AE727F">
            <w:rPr>
              <w:noProof/>
              <w:sz w:val="18"/>
              <w:szCs w:val="18"/>
              <w:lang w:val="en-US"/>
            </w:rPr>
            <w:drawing>
              <wp:anchor distT="0" distB="0" distL="114300" distR="114300" simplePos="0" relativeHeight="251659264" behindDoc="1" locked="0" layoutInCell="1" allowOverlap="1" wp14:anchorId="51F7056B" wp14:editId="0C97B1C4">
                <wp:simplePos x="0" y="0"/>
                <wp:positionH relativeFrom="column">
                  <wp:posOffset>779145</wp:posOffset>
                </wp:positionH>
                <wp:positionV relativeFrom="paragraph">
                  <wp:posOffset>0</wp:posOffset>
                </wp:positionV>
                <wp:extent cx="745200" cy="597600"/>
                <wp:effectExtent l="0" t="0" r="0" b="0"/>
                <wp:wrapTight wrapText="bothSides">
                  <wp:wrapPolygon edited="0">
                    <wp:start x="0" y="0"/>
                    <wp:lineTo x="0" y="20659"/>
                    <wp:lineTo x="20992" y="20659"/>
                    <wp:lineTo x="20992"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5200" cy="59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BD1" w:rsidRPr="008377E9" w:rsidRDefault="00C64BD1" w:rsidP="00C64BD1">
          <w:pPr>
            <w:jc w:val="right"/>
            <w:rPr>
              <w:sz w:val="18"/>
              <w:szCs w:val="18"/>
              <w:lang w:val="fr-FR"/>
            </w:rPr>
          </w:pPr>
        </w:p>
      </w:tc>
    </w:tr>
    <w:tr w:rsidR="00C64BD1" w:rsidRPr="008377E9" w:rsidTr="00054C99">
      <w:tc>
        <w:tcPr>
          <w:tcW w:w="9498" w:type="dxa"/>
          <w:gridSpan w:val="3"/>
          <w:shd w:val="clear" w:color="auto" w:fill="auto"/>
          <w:tcMar>
            <w:top w:w="0" w:type="dxa"/>
            <w:left w:w="108" w:type="dxa"/>
            <w:bottom w:w="0" w:type="dxa"/>
            <w:right w:w="108" w:type="dxa"/>
          </w:tcMar>
        </w:tcPr>
        <w:p w:rsidR="00C64BD1" w:rsidRPr="008377E9" w:rsidRDefault="00C64BD1" w:rsidP="00C64BD1">
          <w:pPr>
            <w:pStyle w:val="BodyText2"/>
            <w:jc w:val="center"/>
            <w:rPr>
              <w:lang w:val="fr-FR"/>
            </w:rPr>
          </w:pPr>
          <w:r w:rsidRPr="008377E9">
            <w:rPr>
              <w:b/>
              <w:bCs/>
              <w:sz w:val="26"/>
              <w:szCs w:val="26"/>
              <w:lang w:val="fr-FR"/>
            </w:rPr>
            <w:t>6</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rsidR="00C64BD1" w:rsidRPr="008377E9" w:rsidRDefault="00C64BD1" w:rsidP="00C64BD1">
          <w:pPr>
            <w:jc w:val="center"/>
            <w:rPr>
              <w:lang w:val="fr-FR"/>
            </w:rPr>
          </w:pPr>
          <w:r w:rsidRPr="008377E9">
            <w:rPr>
              <w:i/>
              <w:iCs/>
              <w:lang w:val="fr-FR"/>
            </w:rPr>
            <w:t xml:space="preserve">9-14 </w:t>
          </w:r>
          <w:proofErr w:type="gramStart"/>
          <w:r w:rsidRPr="008377E9">
            <w:rPr>
              <w:i/>
              <w:iCs/>
              <w:lang w:val="fr-FR"/>
            </w:rPr>
            <w:t>novembre</w:t>
          </w:r>
          <w:proofErr w:type="gramEnd"/>
          <w:r w:rsidRPr="008377E9">
            <w:rPr>
              <w:i/>
              <w:iCs/>
              <w:lang w:val="fr-FR"/>
            </w:rPr>
            <w:t xml:space="preserve"> 2015, Bonn, Allemagne</w:t>
          </w:r>
        </w:p>
      </w:tc>
    </w:tr>
    <w:tr w:rsidR="00C64BD1" w:rsidRPr="001C6F36" w:rsidTr="00054C99">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C64BD1" w:rsidRPr="008377E9" w:rsidRDefault="00C64BD1" w:rsidP="00C64BD1">
          <w:pPr>
            <w:pStyle w:val="BodyText2"/>
            <w:jc w:val="center"/>
            <w:rPr>
              <w:bCs/>
              <w:i/>
              <w:lang w:val="fr-FR"/>
            </w:rPr>
          </w:pPr>
          <w:r w:rsidRPr="008377E9">
            <w:rPr>
              <w:bCs/>
              <w:i/>
              <w:lang w:val="fr-FR"/>
            </w:rPr>
            <w:t>« Concrétiser la conservation au niveau de la voie de migration »</w:t>
          </w:r>
        </w:p>
      </w:tc>
    </w:tr>
  </w:tbl>
  <w:p w:rsidR="009352DC" w:rsidRPr="00F071D4" w:rsidRDefault="009352DC">
    <w:pPr>
      <w:pStyle w:val="Header"/>
      <w:rPr>
        <w:i/>
        <w:sz w:val="18"/>
        <w:lang w:val="fr-FR"/>
      </w:rPr>
    </w:pPr>
    <w:r w:rsidRPr="00F071D4">
      <w:rPr>
        <w:i/>
        <w:sz w:val="18"/>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B07" w:rsidRPr="00572B07" w:rsidRDefault="00572B07" w:rsidP="00572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CB2"/>
    <w:multiLevelType w:val="singleLevel"/>
    <w:tmpl w:val="11CACCF0"/>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8CF553F"/>
    <w:multiLevelType w:val="hybridMultilevel"/>
    <w:tmpl w:val="40B4C0C6"/>
    <w:lvl w:ilvl="0" w:tplc="A4EECFDC">
      <w:start w:val="1"/>
      <w:numFmt w:val="decimal"/>
      <w:lvlText w:val="%1."/>
      <w:lvlJc w:val="left"/>
      <w:pPr>
        <w:tabs>
          <w:tab w:val="num" w:pos="360"/>
        </w:tabs>
        <w:ind w:left="360" w:hanging="360"/>
      </w:pPr>
      <w:rPr>
        <w:rFonts w:cs="Times New Roman"/>
      </w:rPr>
    </w:lvl>
    <w:lvl w:ilvl="1" w:tplc="AB36D354" w:tentative="1">
      <w:start w:val="1"/>
      <w:numFmt w:val="lowerLetter"/>
      <w:lvlText w:val="%2."/>
      <w:lvlJc w:val="left"/>
      <w:pPr>
        <w:tabs>
          <w:tab w:val="num" w:pos="1080"/>
        </w:tabs>
        <w:ind w:left="1080" w:hanging="360"/>
      </w:pPr>
      <w:rPr>
        <w:rFonts w:cs="Times New Roman"/>
      </w:rPr>
    </w:lvl>
    <w:lvl w:ilvl="2" w:tplc="FA181324" w:tentative="1">
      <w:start w:val="1"/>
      <w:numFmt w:val="lowerRoman"/>
      <w:lvlText w:val="%3."/>
      <w:lvlJc w:val="right"/>
      <w:pPr>
        <w:tabs>
          <w:tab w:val="num" w:pos="1800"/>
        </w:tabs>
        <w:ind w:left="1800" w:hanging="180"/>
      </w:pPr>
      <w:rPr>
        <w:rFonts w:cs="Times New Roman"/>
      </w:rPr>
    </w:lvl>
    <w:lvl w:ilvl="3" w:tplc="BA78FBDA" w:tentative="1">
      <w:start w:val="1"/>
      <w:numFmt w:val="decimal"/>
      <w:lvlText w:val="%4."/>
      <w:lvlJc w:val="left"/>
      <w:pPr>
        <w:tabs>
          <w:tab w:val="num" w:pos="2520"/>
        </w:tabs>
        <w:ind w:left="2520" w:hanging="360"/>
      </w:pPr>
      <w:rPr>
        <w:rFonts w:cs="Times New Roman"/>
      </w:rPr>
    </w:lvl>
    <w:lvl w:ilvl="4" w:tplc="8774F7DA" w:tentative="1">
      <w:start w:val="1"/>
      <w:numFmt w:val="lowerLetter"/>
      <w:lvlText w:val="%5."/>
      <w:lvlJc w:val="left"/>
      <w:pPr>
        <w:tabs>
          <w:tab w:val="num" w:pos="3240"/>
        </w:tabs>
        <w:ind w:left="3240" w:hanging="360"/>
      </w:pPr>
      <w:rPr>
        <w:rFonts w:cs="Times New Roman"/>
      </w:rPr>
    </w:lvl>
    <w:lvl w:ilvl="5" w:tplc="15721B2E" w:tentative="1">
      <w:start w:val="1"/>
      <w:numFmt w:val="lowerRoman"/>
      <w:lvlText w:val="%6."/>
      <w:lvlJc w:val="right"/>
      <w:pPr>
        <w:tabs>
          <w:tab w:val="num" w:pos="3960"/>
        </w:tabs>
        <w:ind w:left="3960" w:hanging="180"/>
      </w:pPr>
      <w:rPr>
        <w:rFonts w:cs="Times New Roman"/>
      </w:rPr>
    </w:lvl>
    <w:lvl w:ilvl="6" w:tplc="0AB4F810" w:tentative="1">
      <w:start w:val="1"/>
      <w:numFmt w:val="decimal"/>
      <w:lvlText w:val="%7."/>
      <w:lvlJc w:val="left"/>
      <w:pPr>
        <w:tabs>
          <w:tab w:val="num" w:pos="4680"/>
        </w:tabs>
        <w:ind w:left="4680" w:hanging="360"/>
      </w:pPr>
      <w:rPr>
        <w:rFonts w:cs="Times New Roman"/>
      </w:rPr>
    </w:lvl>
    <w:lvl w:ilvl="7" w:tplc="47F61B58" w:tentative="1">
      <w:start w:val="1"/>
      <w:numFmt w:val="lowerLetter"/>
      <w:lvlText w:val="%8."/>
      <w:lvlJc w:val="left"/>
      <w:pPr>
        <w:tabs>
          <w:tab w:val="num" w:pos="5400"/>
        </w:tabs>
        <w:ind w:left="5400" w:hanging="360"/>
      </w:pPr>
      <w:rPr>
        <w:rFonts w:cs="Times New Roman"/>
      </w:rPr>
    </w:lvl>
    <w:lvl w:ilvl="8" w:tplc="82547380" w:tentative="1">
      <w:start w:val="1"/>
      <w:numFmt w:val="lowerRoman"/>
      <w:lvlText w:val="%9."/>
      <w:lvlJc w:val="right"/>
      <w:pPr>
        <w:tabs>
          <w:tab w:val="num" w:pos="6120"/>
        </w:tabs>
        <w:ind w:left="6120" w:hanging="180"/>
      </w:pPr>
      <w:rPr>
        <w:rFonts w:cs="Times New Roman"/>
      </w:rPr>
    </w:lvl>
  </w:abstractNum>
  <w:abstractNum w:abstractNumId="2" w15:restartNumberingAfterBreak="0">
    <w:nsid w:val="593C2B11"/>
    <w:multiLevelType w:val="hybridMultilevel"/>
    <w:tmpl w:val="3BC0C830"/>
    <w:lvl w:ilvl="0" w:tplc="3CBA1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B4D4F"/>
    <w:multiLevelType w:val="hybridMultilevel"/>
    <w:tmpl w:val="44B08EF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D5"/>
    <w:rsid w:val="0001017E"/>
    <w:rsid w:val="00020C1D"/>
    <w:rsid w:val="000B1C7B"/>
    <w:rsid w:val="000C2F29"/>
    <w:rsid w:val="000C366C"/>
    <w:rsid w:val="000D3670"/>
    <w:rsid w:val="000F0D3C"/>
    <w:rsid w:val="000F49DB"/>
    <w:rsid w:val="0012797A"/>
    <w:rsid w:val="001351AB"/>
    <w:rsid w:val="001632CE"/>
    <w:rsid w:val="00187F83"/>
    <w:rsid w:val="001C45FA"/>
    <w:rsid w:val="001C6F36"/>
    <w:rsid w:val="001D60EA"/>
    <w:rsid w:val="001E3A1F"/>
    <w:rsid w:val="001F0B09"/>
    <w:rsid w:val="00201615"/>
    <w:rsid w:val="00207D25"/>
    <w:rsid w:val="0022549C"/>
    <w:rsid w:val="00231B9A"/>
    <w:rsid w:val="00234DD3"/>
    <w:rsid w:val="002438B0"/>
    <w:rsid w:val="0024792F"/>
    <w:rsid w:val="00252BFF"/>
    <w:rsid w:val="00253C26"/>
    <w:rsid w:val="00255AD0"/>
    <w:rsid w:val="00257559"/>
    <w:rsid w:val="00275003"/>
    <w:rsid w:val="0028675D"/>
    <w:rsid w:val="00292EA1"/>
    <w:rsid w:val="002E71F1"/>
    <w:rsid w:val="002F2471"/>
    <w:rsid w:val="003220B4"/>
    <w:rsid w:val="003304E3"/>
    <w:rsid w:val="00357A4C"/>
    <w:rsid w:val="00360137"/>
    <w:rsid w:val="003A2F28"/>
    <w:rsid w:val="003A3FC5"/>
    <w:rsid w:val="003C724D"/>
    <w:rsid w:val="003E4C61"/>
    <w:rsid w:val="00401D5E"/>
    <w:rsid w:val="004146CA"/>
    <w:rsid w:val="004324B3"/>
    <w:rsid w:val="00442683"/>
    <w:rsid w:val="00456475"/>
    <w:rsid w:val="00482895"/>
    <w:rsid w:val="00482CA9"/>
    <w:rsid w:val="004A3549"/>
    <w:rsid w:val="004B2CAF"/>
    <w:rsid w:val="004C1540"/>
    <w:rsid w:val="00502891"/>
    <w:rsid w:val="00516058"/>
    <w:rsid w:val="005239D4"/>
    <w:rsid w:val="00554E6D"/>
    <w:rsid w:val="005639F1"/>
    <w:rsid w:val="00572B07"/>
    <w:rsid w:val="005907B0"/>
    <w:rsid w:val="00597756"/>
    <w:rsid w:val="005B1C85"/>
    <w:rsid w:val="005B739E"/>
    <w:rsid w:val="005C0BDB"/>
    <w:rsid w:val="00601DA5"/>
    <w:rsid w:val="006225B0"/>
    <w:rsid w:val="0062605B"/>
    <w:rsid w:val="00643F8E"/>
    <w:rsid w:val="00644606"/>
    <w:rsid w:val="00645A28"/>
    <w:rsid w:val="006B7BDA"/>
    <w:rsid w:val="006D2E9F"/>
    <w:rsid w:val="006D3587"/>
    <w:rsid w:val="006D4527"/>
    <w:rsid w:val="006F34FA"/>
    <w:rsid w:val="006F7DE0"/>
    <w:rsid w:val="007554C9"/>
    <w:rsid w:val="00791FD0"/>
    <w:rsid w:val="007A2040"/>
    <w:rsid w:val="00870FAC"/>
    <w:rsid w:val="008B0CD2"/>
    <w:rsid w:val="008B4E5B"/>
    <w:rsid w:val="008C03C4"/>
    <w:rsid w:val="00906860"/>
    <w:rsid w:val="009352DC"/>
    <w:rsid w:val="009E5047"/>
    <w:rsid w:val="009F26C7"/>
    <w:rsid w:val="00A0422B"/>
    <w:rsid w:val="00A2052F"/>
    <w:rsid w:val="00A4165E"/>
    <w:rsid w:val="00A6257C"/>
    <w:rsid w:val="00A8451D"/>
    <w:rsid w:val="00A84E67"/>
    <w:rsid w:val="00A8701F"/>
    <w:rsid w:val="00A94B5C"/>
    <w:rsid w:val="00AA661B"/>
    <w:rsid w:val="00AD7065"/>
    <w:rsid w:val="00AE0181"/>
    <w:rsid w:val="00B00F74"/>
    <w:rsid w:val="00B30E3D"/>
    <w:rsid w:val="00B33444"/>
    <w:rsid w:val="00B70595"/>
    <w:rsid w:val="00B72372"/>
    <w:rsid w:val="00B85EC3"/>
    <w:rsid w:val="00B9596C"/>
    <w:rsid w:val="00BD0902"/>
    <w:rsid w:val="00C14FD8"/>
    <w:rsid w:val="00C41823"/>
    <w:rsid w:val="00C64BD1"/>
    <w:rsid w:val="00C67256"/>
    <w:rsid w:val="00C70E7D"/>
    <w:rsid w:val="00CA20C0"/>
    <w:rsid w:val="00CA57E3"/>
    <w:rsid w:val="00CF316C"/>
    <w:rsid w:val="00D05FD0"/>
    <w:rsid w:val="00D117F0"/>
    <w:rsid w:val="00D15021"/>
    <w:rsid w:val="00D44DEB"/>
    <w:rsid w:val="00D715EB"/>
    <w:rsid w:val="00D73AD2"/>
    <w:rsid w:val="00D858DD"/>
    <w:rsid w:val="00D863D5"/>
    <w:rsid w:val="00DB2EAB"/>
    <w:rsid w:val="00E0038F"/>
    <w:rsid w:val="00E27D3E"/>
    <w:rsid w:val="00E701BD"/>
    <w:rsid w:val="00E8104C"/>
    <w:rsid w:val="00ED19FC"/>
    <w:rsid w:val="00F071D4"/>
    <w:rsid w:val="00F13A1B"/>
    <w:rsid w:val="00F60E71"/>
    <w:rsid w:val="00F679D4"/>
    <w:rsid w:val="00F71522"/>
    <w:rsid w:val="00F83598"/>
    <w:rsid w:val="00FA4F4D"/>
    <w:rsid w:val="00FE2A06"/>
    <w:rsid w:val="00FF2FF2"/>
    <w:rsid w:val="00FF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21235585-4054-412F-A8AE-AD6E1E54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0EA"/>
    <w:rPr>
      <w:sz w:val="24"/>
      <w:szCs w:val="24"/>
      <w:lang w:eastAsia="en-US"/>
    </w:rPr>
  </w:style>
  <w:style w:type="paragraph" w:styleId="Heading1">
    <w:name w:val="heading 1"/>
    <w:basedOn w:val="Normal"/>
    <w:next w:val="Normal"/>
    <w:qFormat/>
    <w:rsid w:val="001D60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D60EA"/>
    <w:pPr>
      <w:keepNext/>
      <w:outlineLvl w:val="1"/>
    </w:pPr>
    <w:rPr>
      <w:rFonts w:ascii="Arial" w:hAnsi="Arial" w:cs="Arial"/>
      <w:b/>
      <w:bCs/>
      <w:sz w:val="16"/>
      <w:lang w:val="en-US"/>
    </w:rPr>
  </w:style>
  <w:style w:type="paragraph" w:styleId="Heading3">
    <w:name w:val="heading 3"/>
    <w:basedOn w:val="Normal"/>
    <w:next w:val="Normal"/>
    <w:qFormat/>
    <w:rsid w:val="001D60EA"/>
    <w:pPr>
      <w:keepNext/>
      <w:outlineLvl w:val="2"/>
    </w:pPr>
    <w:rPr>
      <w:rFonts w:ascii="Arial" w:hAnsi="Arial" w:cs="Arial"/>
      <w:b/>
      <w:bCs/>
      <w:sz w:val="22"/>
      <w:lang w:val="en-US"/>
    </w:rPr>
  </w:style>
  <w:style w:type="paragraph" w:styleId="Heading4">
    <w:name w:val="heading 4"/>
    <w:basedOn w:val="Normal"/>
    <w:next w:val="Normal"/>
    <w:qFormat/>
    <w:rsid w:val="001D60EA"/>
    <w:pPr>
      <w:keepNext/>
      <w:jc w:val="center"/>
      <w:outlineLvl w:val="3"/>
    </w:pPr>
    <w:rPr>
      <w:rFonts w:ascii="Arial" w:hAnsi="Arial" w:cs="Arial"/>
      <w:b/>
      <w:bCs/>
      <w:sz w:val="22"/>
      <w:lang w:val="nl-NL"/>
    </w:rPr>
  </w:style>
  <w:style w:type="paragraph" w:styleId="Heading9">
    <w:name w:val="heading 9"/>
    <w:basedOn w:val="Normal"/>
    <w:next w:val="Normal"/>
    <w:qFormat/>
    <w:rsid w:val="006D3587"/>
    <w:pPr>
      <w:spacing w:before="240" w:after="60"/>
      <w:outlineLvl w:val="8"/>
    </w:pPr>
    <w:rPr>
      <w:rFonts w:ascii="Arial" w:hAnsi="Arial" w:cs="Arial"/>
      <w:snapToGrid w:val="0"/>
      <w:sz w:val="22"/>
      <w:szCs w:val="22"/>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60EA"/>
    <w:pPr>
      <w:tabs>
        <w:tab w:val="center" w:pos="4153"/>
        <w:tab w:val="right" w:pos="8306"/>
      </w:tabs>
    </w:pPr>
  </w:style>
  <w:style w:type="paragraph" w:styleId="Footer">
    <w:name w:val="footer"/>
    <w:basedOn w:val="Normal"/>
    <w:link w:val="FooterChar"/>
    <w:uiPriority w:val="99"/>
    <w:rsid w:val="001D60EA"/>
    <w:pPr>
      <w:tabs>
        <w:tab w:val="center" w:pos="4153"/>
        <w:tab w:val="right" w:pos="8306"/>
      </w:tabs>
    </w:pPr>
  </w:style>
  <w:style w:type="paragraph" w:styleId="BalloonText">
    <w:name w:val="Balloon Text"/>
    <w:basedOn w:val="Normal"/>
    <w:link w:val="BalloonTextChar"/>
    <w:semiHidden/>
    <w:rsid w:val="00D863D5"/>
    <w:rPr>
      <w:rFonts w:ascii="Tahoma" w:hAnsi="Tahoma" w:cs="Tahoma"/>
      <w:sz w:val="16"/>
      <w:szCs w:val="16"/>
    </w:rPr>
  </w:style>
  <w:style w:type="character" w:customStyle="1" w:styleId="BalloonTextChar">
    <w:name w:val="Balloon Text Char"/>
    <w:basedOn w:val="DefaultParagraphFont"/>
    <w:link w:val="BalloonText"/>
    <w:rsid w:val="00D863D5"/>
    <w:rPr>
      <w:rFonts w:ascii="Tahoma" w:hAnsi="Tahoma" w:cs="Tahoma"/>
      <w:sz w:val="16"/>
      <w:szCs w:val="16"/>
      <w:lang w:val="en-GB" w:eastAsia="en-US"/>
    </w:rPr>
  </w:style>
  <w:style w:type="character" w:styleId="Emphasis">
    <w:name w:val="Emphasis"/>
    <w:basedOn w:val="DefaultParagraphFont"/>
    <w:qFormat/>
    <w:rsid w:val="00F071D4"/>
    <w:rPr>
      <w:rFonts w:cs="Times New Roman"/>
      <w:i/>
      <w:iCs/>
    </w:rPr>
  </w:style>
  <w:style w:type="paragraph" w:styleId="BodyTextIndent">
    <w:name w:val="Body Text Indent"/>
    <w:basedOn w:val="Normal"/>
    <w:link w:val="BodyTextIndentChar"/>
    <w:rsid w:val="00F071D4"/>
  </w:style>
  <w:style w:type="character" w:customStyle="1" w:styleId="BodyTextIndentChar">
    <w:name w:val="Body Text Indent Char"/>
    <w:basedOn w:val="DefaultParagraphFont"/>
    <w:link w:val="BodyTextIndent"/>
    <w:rsid w:val="00F071D4"/>
    <w:rPr>
      <w:rFonts w:cs="Times New Roman"/>
      <w:sz w:val="24"/>
      <w:szCs w:val="24"/>
      <w:lang w:val="en-GB" w:eastAsia="en-US"/>
    </w:rPr>
  </w:style>
  <w:style w:type="character" w:customStyle="1" w:styleId="FooterChar">
    <w:name w:val="Footer Char"/>
    <w:basedOn w:val="DefaultParagraphFont"/>
    <w:link w:val="Footer"/>
    <w:uiPriority w:val="99"/>
    <w:rsid w:val="00F071D4"/>
    <w:rPr>
      <w:rFonts w:cs="Times New Roman"/>
      <w:sz w:val="24"/>
      <w:szCs w:val="24"/>
      <w:lang w:val="en-GB" w:eastAsia="en-US"/>
    </w:rPr>
  </w:style>
  <w:style w:type="paragraph" w:styleId="BodyText2">
    <w:name w:val="Body Text 2"/>
    <w:basedOn w:val="Normal"/>
    <w:link w:val="BodyText2Char"/>
    <w:uiPriority w:val="99"/>
    <w:semiHidden/>
    <w:unhideWhenUsed/>
    <w:rsid w:val="00456475"/>
    <w:pPr>
      <w:spacing w:after="120" w:line="480" w:lineRule="auto"/>
    </w:pPr>
  </w:style>
  <w:style w:type="character" w:customStyle="1" w:styleId="BodyText2Char">
    <w:name w:val="Body Text 2 Char"/>
    <w:basedOn w:val="DefaultParagraphFont"/>
    <w:link w:val="BodyText2"/>
    <w:uiPriority w:val="99"/>
    <w:semiHidden/>
    <w:rsid w:val="00456475"/>
    <w:rPr>
      <w:sz w:val="24"/>
      <w:szCs w:val="24"/>
      <w:lang w:eastAsia="en-US"/>
    </w:rPr>
  </w:style>
  <w:style w:type="paragraph" w:styleId="ListParagraph">
    <w:name w:val="List Paragraph"/>
    <w:basedOn w:val="Normal"/>
    <w:uiPriority w:val="34"/>
    <w:qFormat/>
    <w:rsid w:val="006D2E9F"/>
    <w:pPr>
      <w:ind w:left="720"/>
      <w:contextualSpacing/>
    </w:pPr>
  </w:style>
  <w:style w:type="character" w:styleId="CommentReference">
    <w:name w:val="annotation reference"/>
    <w:basedOn w:val="DefaultParagraphFont"/>
    <w:uiPriority w:val="99"/>
    <w:semiHidden/>
    <w:unhideWhenUsed/>
    <w:rsid w:val="00275003"/>
    <w:rPr>
      <w:sz w:val="16"/>
      <w:szCs w:val="16"/>
    </w:rPr>
  </w:style>
  <w:style w:type="paragraph" w:styleId="CommentText">
    <w:name w:val="annotation text"/>
    <w:basedOn w:val="Normal"/>
    <w:link w:val="CommentTextChar"/>
    <w:uiPriority w:val="99"/>
    <w:semiHidden/>
    <w:unhideWhenUsed/>
    <w:rsid w:val="00275003"/>
    <w:rPr>
      <w:sz w:val="20"/>
      <w:szCs w:val="20"/>
    </w:rPr>
  </w:style>
  <w:style w:type="character" w:customStyle="1" w:styleId="CommentTextChar">
    <w:name w:val="Comment Text Char"/>
    <w:basedOn w:val="DefaultParagraphFont"/>
    <w:link w:val="CommentText"/>
    <w:uiPriority w:val="99"/>
    <w:semiHidden/>
    <w:rsid w:val="00275003"/>
    <w:rPr>
      <w:lang w:eastAsia="en-US"/>
    </w:rPr>
  </w:style>
  <w:style w:type="paragraph" w:styleId="CommentSubject">
    <w:name w:val="annotation subject"/>
    <w:basedOn w:val="CommentText"/>
    <w:next w:val="CommentText"/>
    <w:link w:val="CommentSubjectChar"/>
    <w:uiPriority w:val="99"/>
    <w:semiHidden/>
    <w:unhideWhenUsed/>
    <w:rsid w:val="00275003"/>
    <w:rPr>
      <w:b/>
      <w:bCs/>
    </w:rPr>
  </w:style>
  <w:style w:type="character" w:customStyle="1" w:styleId="CommentSubjectChar">
    <w:name w:val="Comment Subject Char"/>
    <w:basedOn w:val="CommentTextChar"/>
    <w:link w:val="CommentSubject"/>
    <w:uiPriority w:val="99"/>
    <w:semiHidden/>
    <w:rsid w:val="00275003"/>
    <w:rPr>
      <w:b/>
      <w:bCs/>
      <w:lang w:eastAsia="en-US"/>
    </w:rPr>
  </w:style>
  <w:style w:type="character" w:styleId="Hyperlink">
    <w:name w:val="Hyperlink"/>
    <w:semiHidden/>
    <w:unhideWhenUsed/>
    <w:rsid w:val="001C45FA"/>
    <w:rPr>
      <w:color w:val="0000FF"/>
      <w:u w:val="single"/>
    </w:rPr>
  </w:style>
  <w:style w:type="paragraph" w:styleId="FootnoteText">
    <w:name w:val="footnote text"/>
    <w:basedOn w:val="Normal"/>
    <w:link w:val="FootnoteTextChar"/>
    <w:semiHidden/>
    <w:unhideWhenUsed/>
    <w:rsid w:val="001C45FA"/>
    <w:rPr>
      <w:sz w:val="20"/>
      <w:szCs w:val="20"/>
      <w:lang w:val="en-US"/>
    </w:rPr>
  </w:style>
  <w:style w:type="character" w:customStyle="1" w:styleId="FootnoteTextChar">
    <w:name w:val="Footnote Text Char"/>
    <w:basedOn w:val="DefaultParagraphFont"/>
    <w:link w:val="FootnoteText"/>
    <w:semiHidden/>
    <w:rsid w:val="001C45FA"/>
    <w:rPr>
      <w:lang w:val="en-US" w:eastAsia="en-US"/>
    </w:rPr>
  </w:style>
  <w:style w:type="character" w:styleId="FootnoteReference">
    <w:name w:val="footnote reference"/>
    <w:semiHidden/>
    <w:unhideWhenUsed/>
    <w:rsid w:val="001C45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614366916">
      <w:bodyDiv w:val="1"/>
      <w:marLeft w:val="0"/>
      <w:marRight w:val="0"/>
      <w:marTop w:val="0"/>
      <w:marBottom w:val="0"/>
      <w:divBdr>
        <w:top w:val="none" w:sz="0" w:space="0" w:color="auto"/>
        <w:left w:val="none" w:sz="0" w:space="0" w:color="auto"/>
        <w:bottom w:val="none" w:sz="0" w:space="0" w:color="auto"/>
        <w:right w:val="none" w:sz="0" w:space="0" w:color="auto"/>
      </w:divBdr>
    </w:div>
    <w:div w:id="1546329311">
      <w:bodyDiv w:val="1"/>
      <w:marLeft w:val="0"/>
      <w:marRight w:val="0"/>
      <w:marTop w:val="0"/>
      <w:marBottom w:val="0"/>
      <w:divBdr>
        <w:top w:val="none" w:sz="0" w:space="0" w:color="auto"/>
        <w:left w:val="none" w:sz="0" w:space="0" w:color="auto"/>
        <w:bottom w:val="none" w:sz="0" w:space="0" w:color="auto"/>
        <w:right w:val="none" w:sz="0" w:space="0" w:color="auto"/>
      </w:divBdr>
      <w:divsChild>
        <w:div w:id="1368985376">
          <w:marLeft w:val="0"/>
          <w:marRight w:val="0"/>
          <w:marTop w:val="0"/>
          <w:marBottom w:val="0"/>
          <w:divBdr>
            <w:top w:val="none" w:sz="0" w:space="0" w:color="auto"/>
            <w:left w:val="none" w:sz="0" w:space="0" w:color="auto"/>
            <w:bottom w:val="none" w:sz="0" w:space="0" w:color="auto"/>
            <w:right w:val="none" w:sz="0" w:space="0" w:color="auto"/>
          </w:divBdr>
        </w:div>
        <w:div w:id="1504204626">
          <w:marLeft w:val="0"/>
          <w:marRight w:val="0"/>
          <w:marTop w:val="0"/>
          <w:marBottom w:val="0"/>
          <w:divBdr>
            <w:top w:val="none" w:sz="0" w:space="0" w:color="auto"/>
            <w:left w:val="none" w:sz="0" w:space="0" w:color="auto"/>
            <w:bottom w:val="none" w:sz="0" w:space="0" w:color="auto"/>
            <w:right w:val="none" w:sz="0" w:space="0" w:color="auto"/>
          </w:divBdr>
        </w:div>
        <w:div w:id="2143227263">
          <w:marLeft w:val="0"/>
          <w:marRight w:val="0"/>
          <w:marTop w:val="0"/>
          <w:marBottom w:val="0"/>
          <w:divBdr>
            <w:top w:val="none" w:sz="0" w:space="0" w:color="auto"/>
            <w:left w:val="none" w:sz="0" w:space="0" w:color="auto"/>
            <w:bottom w:val="none" w:sz="0" w:space="0" w:color="auto"/>
            <w:right w:val="none" w:sz="0" w:space="0" w:color="auto"/>
          </w:divBdr>
        </w:div>
      </w:divsChild>
    </w:div>
    <w:div w:id="17066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ow.wetlands.org/INFORMATIONFLYWAY/CRITICALSITENETWORKTOOL/tabid/1349/language/en-US/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JNGA~1.CON\AppData\Local\Temp\Pacta\EtatPresent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EtatPresentFR</Template>
  <TotalTime>2</TotalTime>
  <Pages>4</Pages>
  <Words>2395</Words>
  <Characters>13403</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Verdrag</vt:lpstr>
      <vt:lpstr>Verdrag</vt:lpstr>
    </vt:vector>
  </TitlesOfParts>
  <Company>Ordina Public MCC</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Verdrag</dc:title>
  <dc:creator>C. van der Wijngaard</dc:creator>
  <cp:lastModifiedBy>Jolanta Kremer (UNEP/AEWA Secretariat)</cp:lastModifiedBy>
  <cp:revision>4</cp:revision>
  <cp:lastPrinted>2015-11-13T16:50:00Z</cp:lastPrinted>
  <dcterms:created xsi:type="dcterms:W3CDTF">2015-11-25T12:38:00Z</dcterms:created>
  <dcterms:modified xsi:type="dcterms:W3CDTF">2016-02-09T17:22:00Z</dcterms:modified>
</cp:coreProperties>
</file>