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AB" w:rsidRPr="00686A69" w:rsidRDefault="00C43FAB" w:rsidP="00C43FAB">
      <w:pPr>
        <w:jc w:val="center"/>
        <w:rPr>
          <w:lang w:val="fr-FR"/>
        </w:rPr>
      </w:pPr>
      <w:r w:rsidRPr="00686A69">
        <w:rPr>
          <w:lang w:val="fr-FR"/>
        </w:rPr>
        <w:t>RÉSOLUTION 6.10</w:t>
      </w:r>
    </w:p>
    <w:p w:rsidR="00C43FAB" w:rsidRPr="00686A69" w:rsidRDefault="00C43FAB" w:rsidP="00C43FAB">
      <w:pPr>
        <w:jc w:val="center"/>
        <w:rPr>
          <w:sz w:val="22"/>
          <w:szCs w:val="22"/>
          <w:lang w:val="fr-FR"/>
        </w:rPr>
      </w:pPr>
    </w:p>
    <w:p w:rsidR="00C43FAB" w:rsidRPr="00686A69" w:rsidRDefault="00606601" w:rsidP="00C43FAB">
      <w:pPr>
        <w:jc w:val="center"/>
        <w:rPr>
          <w:lang w:val="fr-FR"/>
        </w:rPr>
      </w:pPr>
      <w:r w:rsidRPr="00686A69">
        <w:rPr>
          <w:b/>
          <w:bCs/>
          <w:lang w:val="fr-FR"/>
        </w:rPr>
        <w:t>STRATÉ</w:t>
      </w:r>
      <w:r w:rsidR="00C43FAB" w:rsidRPr="00686A69">
        <w:rPr>
          <w:b/>
          <w:bCs/>
          <w:lang w:val="fr-FR"/>
        </w:rPr>
        <w:t xml:space="preserve">GIE DE COMMUNICATION </w:t>
      </w:r>
    </w:p>
    <w:p w:rsidR="00C43FAB" w:rsidRPr="00686A69" w:rsidRDefault="00C43FAB" w:rsidP="00C43FAB">
      <w:pPr>
        <w:jc w:val="center"/>
        <w:rPr>
          <w:sz w:val="22"/>
          <w:szCs w:val="22"/>
          <w:lang w:val="fr-FR"/>
        </w:rPr>
      </w:pPr>
    </w:p>
    <w:p w:rsidR="00C43FAB" w:rsidRPr="00686A69" w:rsidRDefault="00C43FAB" w:rsidP="00C43FAB">
      <w:pPr>
        <w:jc w:val="center"/>
        <w:rPr>
          <w:sz w:val="22"/>
          <w:szCs w:val="22"/>
          <w:lang w:val="fr-FR"/>
        </w:rPr>
      </w:pPr>
    </w:p>
    <w:p w:rsidR="00C43FAB" w:rsidRPr="00686A69" w:rsidRDefault="00C43FAB" w:rsidP="00C43FAB">
      <w:pPr>
        <w:ind w:firstLine="720"/>
        <w:jc w:val="both"/>
        <w:rPr>
          <w:sz w:val="22"/>
          <w:szCs w:val="22"/>
          <w:lang w:val="fr-FR"/>
        </w:rPr>
      </w:pPr>
      <w:r w:rsidRPr="00686A69">
        <w:rPr>
          <w:i/>
          <w:iCs/>
          <w:sz w:val="22"/>
          <w:szCs w:val="22"/>
          <w:lang w:val="fr-FR"/>
        </w:rPr>
        <w:t>Consciente</w:t>
      </w:r>
      <w:r w:rsidRPr="00686A69">
        <w:rPr>
          <w:sz w:val="22"/>
          <w:szCs w:val="22"/>
          <w:lang w:val="fr-FR"/>
        </w:rPr>
        <w:t xml:space="preserve"> de l’importance de la communication en tant qu’élément central et transversal pour la mise en </w:t>
      </w:r>
      <w:r w:rsidR="00606601" w:rsidRPr="00686A69">
        <w:rPr>
          <w:sz w:val="22"/>
          <w:szCs w:val="22"/>
          <w:lang w:val="fr-FR"/>
        </w:rPr>
        <w:t>œuvre</w:t>
      </w:r>
      <w:r w:rsidRPr="00686A69">
        <w:rPr>
          <w:sz w:val="22"/>
          <w:szCs w:val="22"/>
          <w:lang w:val="fr-FR"/>
        </w:rPr>
        <w:t xml:space="preserve"> de l’Accord et </w:t>
      </w:r>
      <w:r w:rsidRPr="00686A69">
        <w:rPr>
          <w:i/>
          <w:iCs/>
          <w:sz w:val="22"/>
          <w:szCs w:val="22"/>
          <w:lang w:val="fr-FR"/>
        </w:rPr>
        <w:t>également consciente</w:t>
      </w:r>
      <w:r w:rsidRPr="00686A69">
        <w:rPr>
          <w:sz w:val="22"/>
          <w:szCs w:val="22"/>
          <w:lang w:val="fr-FR"/>
        </w:rPr>
        <w:t xml:space="preserve"> que la plupart des problèmes de conservation des oiseaux d’eau tournent essentiellement autour de l’intervention humaine et que la communication joue un rôle crucial dans le comportement humain et les stratégies de gestion,</w:t>
      </w:r>
    </w:p>
    <w:p w:rsidR="00C43FAB" w:rsidRPr="00686A69" w:rsidRDefault="00C43FAB" w:rsidP="00C43FAB">
      <w:pPr>
        <w:ind w:firstLine="720"/>
        <w:jc w:val="both"/>
        <w:rPr>
          <w:i/>
          <w:iCs/>
          <w:sz w:val="22"/>
          <w:szCs w:val="22"/>
          <w:lang w:val="fr-FR"/>
        </w:rPr>
      </w:pPr>
    </w:p>
    <w:p w:rsidR="00951D77" w:rsidRPr="00686A69" w:rsidRDefault="00951D77" w:rsidP="00C43FAB">
      <w:pPr>
        <w:ind w:firstLine="720"/>
        <w:jc w:val="both"/>
        <w:rPr>
          <w:i/>
          <w:iCs/>
          <w:sz w:val="22"/>
          <w:szCs w:val="22"/>
          <w:lang w:val="fr-FR"/>
        </w:rPr>
      </w:pPr>
      <w:r w:rsidRPr="00686A69">
        <w:rPr>
          <w:i/>
          <w:iCs/>
          <w:sz w:val="22"/>
          <w:szCs w:val="22"/>
          <w:lang w:val="fr-FR"/>
        </w:rPr>
        <w:t xml:space="preserve">Consciente </w:t>
      </w:r>
      <w:r w:rsidRPr="00686A69">
        <w:rPr>
          <w:iCs/>
          <w:sz w:val="22"/>
          <w:szCs w:val="22"/>
          <w:lang w:val="fr-FR"/>
        </w:rPr>
        <w:t xml:space="preserve">que la communication doit être ciblée, planifiée et pratiquée </w:t>
      </w:r>
      <w:r w:rsidR="00DD4AFB" w:rsidRPr="00686A69">
        <w:rPr>
          <w:iCs/>
          <w:sz w:val="22"/>
          <w:szCs w:val="22"/>
          <w:lang w:val="fr-FR"/>
        </w:rPr>
        <w:t>en fonction du changement recherché ce qui exige une flexibilité concernant la façon, le style et le c</w:t>
      </w:r>
      <w:r w:rsidR="00E974FC" w:rsidRPr="00686A69">
        <w:rPr>
          <w:iCs/>
          <w:sz w:val="22"/>
          <w:szCs w:val="22"/>
          <w:lang w:val="fr-FR"/>
        </w:rPr>
        <w:t xml:space="preserve">ontenu de la communication </w:t>
      </w:r>
      <w:r w:rsidR="00DD4AFB" w:rsidRPr="00686A69">
        <w:rPr>
          <w:iCs/>
          <w:sz w:val="22"/>
          <w:szCs w:val="22"/>
          <w:lang w:val="fr-FR"/>
        </w:rPr>
        <w:t xml:space="preserve">à l’égard des différentes audiences et </w:t>
      </w:r>
      <w:r w:rsidR="00E974FC" w:rsidRPr="00686A69">
        <w:rPr>
          <w:iCs/>
          <w:sz w:val="22"/>
          <w:szCs w:val="22"/>
          <w:lang w:val="fr-FR"/>
        </w:rPr>
        <w:t xml:space="preserve">des différents </w:t>
      </w:r>
      <w:r w:rsidR="00DD4AFB" w:rsidRPr="00686A69">
        <w:rPr>
          <w:iCs/>
          <w:sz w:val="22"/>
          <w:szCs w:val="22"/>
          <w:lang w:val="fr-FR"/>
        </w:rPr>
        <w:t>buts,</w:t>
      </w:r>
      <w:r w:rsidRPr="00686A69">
        <w:rPr>
          <w:iCs/>
          <w:sz w:val="22"/>
          <w:szCs w:val="22"/>
          <w:lang w:val="fr-FR"/>
        </w:rPr>
        <w:t xml:space="preserve"> </w:t>
      </w:r>
      <w:bookmarkStart w:id="0" w:name="_GoBack"/>
      <w:bookmarkEnd w:id="0"/>
    </w:p>
    <w:p w:rsidR="00951D77" w:rsidRPr="00686A69" w:rsidRDefault="00951D77" w:rsidP="00C43FAB">
      <w:pPr>
        <w:ind w:firstLine="720"/>
        <w:jc w:val="both"/>
        <w:rPr>
          <w:i/>
          <w:iCs/>
          <w:sz w:val="22"/>
          <w:szCs w:val="22"/>
          <w:lang w:val="fr-FR"/>
        </w:rPr>
      </w:pPr>
    </w:p>
    <w:p w:rsidR="00C43FAB" w:rsidRPr="00686A69" w:rsidRDefault="00C43FAB" w:rsidP="00C43FAB">
      <w:pPr>
        <w:ind w:firstLine="720"/>
        <w:jc w:val="both"/>
        <w:rPr>
          <w:sz w:val="22"/>
          <w:szCs w:val="22"/>
          <w:lang w:val="fr-FR"/>
        </w:rPr>
      </w:pPr>
      <w:r w:rsidRPr="00686A69">
        <w:rPr>
          <w:i/>
          <w:iCs/>
          <w:sz w:val="22"/>
          <w:szCs w:val="22"/>
          <w:lang w:val="fr-FR"/>
        </w:rPr>
        <w:t xml:space="preserve">Consciente </w:t>
      </w:r>
      <w:r w:rsidRPr="00686A69">
        <w:rPr>
          <w:sz w:val="22"/>
          <w:szCs w:val="22"/>
          <w:lang w:val="fr-FR"/>
        </w:rPr>
        <w:t>que l’Article III, paragraphe</w:t>
      </w:r>
      <w:r w:rsidR="00606601" w:rsidRPr="00686A69">
        <w:rPr>
          <w:sz w:val="22"/>
          <w:szCs w:val="22"/>
          <w:lang w:val="fr-FR"/>
        </w:rPr>
        <w:t xml:space="preserve"> 2</w:t>
      </w:r>
      <w:r w:rsidRPr="00686A69">
        <w:rPr>
          <w:sz w:val="22"/>
          <w:szCs w:val="22"/>
          <w:lang w:val="fr-FR"/>
        </w:rPr>
        <w:t xml:space="preserve"> du texte de l’Accord indique que les Parties à l’AEWA « </w:t>
      </w:r>
      <w:r w:rsidRPr="00686A69">
        <w:rPr>
          <w:i/>
          <w:iCs/>
          <w:sz w:val="22"/>
          <w:szCs w:val="22"/>
          <w:lang w:val="fr-FR"/>
        </w:rPr>
        <w:t>élaborent et poursuivent des programmes pour susciter une meilleure prise de conscience et compréhension des problèmes généraux de conservation des oiseaux d’eau migrateurs ainsi que des objectifs particuliers et des dispositions du présent Accord </w:t>
      </w:r>
      <w:r w:rsidRPr="00686A69">
        <w:rPr>
          <w:iCs/>
          <w:sz w:val="22"/>
          <w:szCs w:val="22"/>
          <w:lang w:val="fr-FR"/>
        </w:rPr>
        <w:t>»</w:t>
      </w:r>
      <w:r w:rsidRPr="00686A69">
        <w:rPr>
          <w:sz w:val="22"/>
          <w:szCs w:val="22"/>
          <w:lang w:val="fr-FR"/>
        </w:rPr>
        <w:t>,</w:t>
      </w:r>
    </w:p>
    <w:p w:rsidR="00C43FAB" w:rsidRPr="00686A69" w:rsidRDefault="00C43FAB" w:rsidP="00C43FAB">
      <w:pPr>
        <w:jc w:val="both"/>
        <w:rPr>
          <w:sz w:val="22"/>
          <w:szCs w:val="22"/>
          <w:lang w:val="fr-FR"/>
        </w:rPr>
      </w:pPr>
    </w:p>
    <w:p w:rsidR="00C43FAB" w:rsidRPr="00686A69" w:rsidRDefault="00C43FAB" w:rsidP="00C43FAB">
      <w:pPr>
        <w:ind w:firstLine="720"/>
        <w:jc w:val="both"/>
        <w:rPr>
          <w:sz w:val="22"/>
          <w:szCs w:val="22"/>
          <w:lang w:val="fr-FR"/>
        </w:rPr>
      </w:pPr>
      <w:r w:rsidRPr="00686A69">
        <w:rPr>
          <w:i/>
          <w:iCs/>
          <w:sz w:val="22"/>
          <w:szCs w:val="22"/>
          <w:lang w:val="fr-FR"/>
        </w:rPr>
        <w:t xml:space="preserve">Soulignant </w:t>
      </w:r>
      <w:r w:rsidRPr="00686A69">
        <w:rPr>
          <w:sz w:val="22"/>
          <w:szCs w:val="22"/>
          <w:lang w:val="fr-FR"/>
        </w:rPr>
        <w:t xml:space="preserve">la nécessité de sensibiliser davantage le public au sujet des oiseaux d’eau migrateurs, des multiples menaces auxquelles ils doivent faire face et des obstacles à leur migration, mais </w:t>
      </w:r>
      <w:r w:rsidRPr="00686A69">
        <w:rPr>
          <w:i/>
          <w:iCs/>
          <w:sz w:val="22"/>
          <w:szCs w:val="22"/>
          <w:lang w:val="fr-FR"/>
        </w:rPr>
        <w:t>constatant</w:t>
      </w:r>
      <w:r w:rsidRPr="00686A69">
        <w:rPr>
          <w:sz w:val="22"/>
          <w:szCs w:val="22"/>
          <w:lang w:val="fr-FR"/>
        </w:rPr>
        <w:t xml:space="preserve"> que la ‘sensibilisation’ en tant que telle est en général insuffisante et constitue un premier pas d’une série de mesures visant à changer ou influencer le comportement humain ce qui nécessite </w:t>
      </w:r>
      <w:r w:rsidR="00E974FC" w:rsidRPr="00686A69">
        <w:rPr>
          <w:sz w:val="22"/>
          <w:szCs w:val="22"/>
          <w:lang w:val="fr-FR"/>
        </w:rPr>
        <w:t xml:space="preserve">une approche stratégique à la communication, </w:t>
      </w:r>
      <w:r w:rsidRPr="00686A69">
        <w:rPr>
          <w:sz w:val="22"/>
          <w:szCs w:val="22"/>
          <w:lang w:val="fr-FR"/>
        </w:rPr>
        <w:t>des interventions à long terme et la coopération de multiples acteurs,</w:t>
      </w:r>
    </w:p>
    <w:p w:rsidR="00C43FAB" w:rsidRPr="00686A69" w:rsidRDefault="00C43FAB" w:rsidP="00C43FAB">
      <w:pPr>
        <w:ind w:firstLine="720"/>
        <w:jc w:val="both"/>
        <w:rPr>
          <w:i/>
          <w:iCs/>
          <w:sz w:val="22"/>
          <w:szCs w:val="22"/>
          <w:highlight w:val="yellow"/>
          <w:lang w:val="fr-FR"/>
        </w:rPr>
      </w:pPr>
    </w:p>
    <w:p w:rsidR="00C43FAB" w:rsidRPr="00686A69" w:rsidRDefault="00C43FAB" w:rsidP="00C43FAB">
      <w:pPr>
        <w:ind w:firstLine="720"/>
        <w:jc w:val="both"/>
        <w:rPr>
          <w:sz w:val="22"/>
          <w:szCs w:val="22"/>
          <w:lang w:val="fr-FR"/>
        </w:rPr>
      </w:pPr>
      <w:r w:rsidRPr="00686A69">
        <w:rPr>
          <w:i/>
          <w:iCs/>
          <w:sz w:val="22"/>
          <w:szCs w:val="22"/>
          <w:lang w:val="fr-FR"/>
        </w:rPr>
        <w:t>Reconnaissant</w:t>
      </w:r>
      <w:r w:rsidRPr="00686A69">
        <w:rPr>
          <w:sz w:val="22"/>
          <w:szCs w:val="22"/>
          <w:lang w:val="fr-FR"/>
        </w:rPr>
        <w:t xml:space="preserve"> les objectifs énoncés dans le Plan stratégique de l’AEWA, le Plan stratégique </w:t>
      </w:r>
      <w:r w:rsidR="00606601" w:rsidRPr="00686A69">
        <w:rPr>
          <w:sz w:val="22"/>
          <w:szCs w:val="22"/>
          <w:lang w:val="fr-FR"/>
        </w:rPr>
        <w:t>pour les espèces migratrices de</w:t>
      </w:r>
      <w:r w:rsidRPr="00686A69">
        <w:rPr>
          <w:sz w:val="22"/>
          <w:szCs w:val="22"/>
          <w:lang w:val="fr-FR"/>
        </w:rPr>
        <w:t xml:space="preserve"> la CMS et les Objectifs d’Aichi pour la biodiversité, chacun fixant l’objectif d’améliorer la sensibilisation </w:t>
      </w:r>
      <w:r w:rsidR="00E6344C" w:rsidRPr="00686A69">
        <w:rPr>
          <w:sz w:val="22"/>
          <w:szCs w:val="22"/>
          <w:lang w:val="fr-FR"/>
        </w:rPr>
        <w:t xml:space="preserve">et le soutien du public, </w:t>
      </w:r>
      <w:r w:rsidRPr="00686A69">
        <w:rPr>
          <w:sz w:val="22"/>
          <w:szCs w:val="22"/>
          <w:lang w:val="fr-FR"/>
        </w:rPr>
        <w:t xml:space="preserve">et l’engagement </w:t>
      </w:r>
      <w:proofErr w:type="gramStart"/>
      <w:r w:rsidRPr="00686A69">
        <w:rPr>
          <w:sz w:val="22"/>
          <w:szCs w:val="22"/>
          <w:lang w:val="fr-FR"/>
        </w:rPr>
        <w:t>aux niveaux tant publique</w:t>
      </w:r>
      <w:proofErr w:type="gramEnd"/>
      <w:r w:rsidRPr="00686A69">
        <w:rPr>
          <w:sz w:val="22"/>
          <w:szCs w:val="22"/>
          <w:lang w:val="fr-FR"/>
        </w:rPr>
        <w:t xml:space="preserve"> que politique,</w:t>
      </w:r>
    </w:p>
    <w:p w:rsidR="00C43FAB" w:rsidRPr="00686A69" w:rsidRDefault="00C43FAB" w:rsidP="00C43FAB">
      <w:pPr>
        <w:jc w:val="both"/>
        <w:rPr>
          <w:i/>
          <w:iCs/>
          <w:sz w:val="22"/>
          <w:szCs w:val="22"/>
          <w:lang w:val="fr-FR"/>
        </w:rPr>
      </w:pPr>
    </w:p>
    <w:p w:rsidR="00C43FAB" w:rsidRPr="00686A69" w:rsidRDefault="00C43FAB" w:rsidP="00C43FAB">
      <w:pPr>
        <w:ind w:firstLine="720"/>
        <w:jc w:val="both"/>
        <w:rPr>
          <w:lang w:val="fr-FR"/>
        </w:rPr>
      </w:pPr>
      <w:r w:rsidRPr="00686A69">
        <w:rPr>
          <w:i/>
          <w:iCs/>
          <w:sz w:val="22"/>
          <w:szCs w:val="22"/>
          <w:lang w:val="fr-FR"/>
        </w:rPr>
        <w:t>Rappelant</w:t>
      </w:r>
      <w:r w:rsidRPr="00686A69">
        <w:rPr>
          <w:sz w:val="22"/>
          <w:szCs w:val="22"/>
          <w:lang w:val="fr-FR"/>
        </w:rPr>
        <w:t xml:space="preserve"> l’Article VIII, paragraphes e et j de </w:t>
      </w:r>
      <w:r w:rsidR="00606601" w:rsidRPr="00686A69">
        <w:rPr>
          <w:sz w:val="22"/>
          <w:szCs w:val="22"/>
          <w:lang w:val="fr-FR"/>
        </w:rPr>
        <w:t>l’Accord, qui prévoient que le S</w:t>
      </w:r>
      <w:r w:rsidRPr="00686A69">
        <w:rPr>
          <w:sz w:val="22"/>
          <w:szCs w:val="22"/>
          <w:lang w:val="fr-FR"/>
        </w:rPr>
        <w:t>ecrétariat de l’Accord est chargé de « </w:t>
      </w:r>
      <w:r w:rsidRPr="00686A69">
        <w:rPr>
          <w:i/>
          <w:iCs/>
          <w:sz w:val="22"/>
          <w:szCs w:val="22"/>
          <w:lang w:val="fr-FR"/>
        </w:rPr>
        <w:t>fournir des informations destinées au public relatives à l’Accord et à ses objectifs</w:t>
      </w:r>
      <w:r w:rsidRPr="00686A69">
        <w:rPr>
          <w:sz w:val="22"/>
          <w:szCs w:val="22"/>
          <w:lang w:val="fr-FR"/>
        </w:rPr>
        <w:t> » et de « </w:t>
      </w:r>
      <w:r w:rsidRPr="00686A69">
        <w:rPr>
          <w:i/>
          <w:iCs/>
          <w:sz w:val="22"/>
          <w:szCs w:val="22"/>
          <w:lang w:val="fr-FR"/>
        </w:rPr>
        <w:t xml:space="preserve">rassembler et évaluer les informations qui permettront de mieux atteindre les objectifs et favoriseront la mise en </w:t>
      </w:r>
      <w:r w:rsidR="00606601" w:rsidRPr="00686A69">
        <w:rPr>
          <w:i/>
          <w:iCs/>
          <w:sz w:val="22"/>
          <w:szCs w:val="22"/>
          <w:lang w:val="fr-FR"/>
        </w:rPr>
        <w:t>œuvre</w:t>
      </w:r>
      <w:r w:rsidRPr="00686A69">
        <w:rPr>
          <w:i/>
          <w:iCs/>
          <w:sz w:val="22"/>
          <w:szCs w:val="22"/>
          <w:lang w:val="fr-FR"/>
        </w:rPr>
        <w:t xml:space="preserve"> de l'Accord, et </w:t>
      </w:r>
      <w:r w:rsidR="00606601" w:rsidRPr="00686A69">
        <w:rPr>
          <w:i/>
          <w:iCs/>
          <w:sz w:val="22"/>
          <w:szCs w:val="22"/>
          <w:lang w:val="fr-FR"/>
        </w:rPr>
        <w:t xml:space="preserve">[de] </w:t>
      </w:r>
      <w:r w:rsidRPr="00686A69">
        <w:rPr>
          <w:i/>
          <w:iCs/>
          <w:sz w:val="22"/>
          <w:szCs w:val="22"/>
          <w:lang w:val="fr-FR"/>
        </w:rPr>
        <w:t>prendre toutes dispositions pour diffuser ces informations d'une manière approprié </w:t>
      </w:r>
      <w:r w:rsidRPr="00686A69">
        <w:rPr>
          <w:sz w:val="22"/>
          <w:szCs w:val="22"/>
          <w:lang w:val="fr-FR"/>
        </w:rPr>
        <w:t xml:space="preserve">» et </w:t>
      </w:r>
      <w:r w:rsidRPr="00686A69">
        <w:rPr>
          <w:i/>
          <w:iCs/>
          <w:sz w:val="22"/>
          <w:szCs w:val="22"/>
          <w:lang w:val="fr-FR"/>
        </w:rPr>
        <w:t>notant</w:t>
      </w:r>
      <w:r w:rsidRPr="00686A69">
        <w:rPr>
          <w:sz w:val="22"/>
          <w:szCs w:val="22"/>
          <w:lang w:val="fr-FR"/>
        </w:rPr>
        <w:t xml:space="preserve"> que d’autres fonctions du Secrétariat telles que celles figurant à l’Article VIII, paragraphes c et d de l’Accord, sont également soutenues par la communication, </w:t>
      </w:r>
    </w:p>
    <w:p w:rsidR="00C43FAB" w:rsidRPr="00686A69" w:rsidRDefault="00C43FAB" w:rsidP="00C43FAB">
      <w:pPr>
        <w:jc w:val="both"/>
        <w:rPr>
          <w:sz w:val="22"/>
          <w:szCs w:val="22"/>
          <w:lang w:val="fr-FR"/>
        </w:rPr>
      </w:pPr>
    </w:p>
    <w:p w:rsidR="00FB1631" w:rsidRPr="00686A69" w:rsidRDefault="00C43FAB" w:rsidP="00C43FAB">
      <w:pPr>
        <w:ind w:firstLine="720"/>
        <w:jc w:val="both"/>
        <w:rPr>
          <w:sz w:val="22"/>
          <w:szCs w:val="22"/>
          <w:lang w:val="fr-FR"/>
        </w:rPr>
        <w:sectPr w:rsidR="00FB1631" w:rsidRPr="00686A69" w:rsidSect="00F90806">
          <w:headerReference w:type="default" r:id="rId8"/>
          <w:footerReference w:type="default" r:id="rId9"/>
          <w:headerReference w:type="first" r:id="rId10"/>
          <w:pgSz w:w="11906" w:h="16838" w:code="9"/>
          <w:pgMar w:top="1021" w:right="1134" w:bottom="851" w:left="1134" w:header="851" w:footer="510" w:gutter="0"/>
          <w:pgNumType w:start="2"/>
          <w:cols w:space="708"/>
          <w:titlePg/>
          <w:docGrid w:linePitch="360"/>
        </w:sectPr>
      </w:pPr>
      <w:r w:rsidRPr="00686A69">
        <w:rPr>
          <w:i/>
          <w:iCs/>
          <w:sz w:val="22"/>
          <w:szCs w:val="22"/>
          <w:lang w:val="fr-FR"/>
        </w:rPr>
        <w:t>Consciente</w:t>
      </w:r>
      <w:r w:rsidRPr="00686A69">
        <w:rPr>
          <w:sz w:val="22"/>
          <w:szCs w:val="22"/>
          <w:lang w:val="fr-FR"/>
        </w:rPr>
        <w:t xml:space="preserve"> de la Résolution 10.9 de la COP10 de la CMS sur la Structure et les stratégies futures de la CMS et de la famille CMS qui approuve l’amélioration de la communication et recherche des opportunités de sensibiliser l’opinion à la CMS et à sa famille ainsi que des plans stratégiques coordonnés pour la famille CMS</w:t>
      </w:r>
      <w:r w:rsidR="00E6344C" w:rsidRPr="00686A69">
        <w:rPr>
          <w:sz w:val="22"/>
          <w:szCs w:val="22"/>
          <w:lang w:val="fr-FR"/>
        </w:rPr>
        <w:t xml:space="preserve"> et </w:t>
      </w:r>
      <w:r w:rsidR="00DD647A" w:rsidRPr="00686A69">
        <w:rPr>
          <w:i/>
          <w:sz w:val="22"/>
          <w:szCs w:val="22"/>
          <w:lang w:val="fr-FR"/>
        </w:rPr>
        <w:t>notant</w:t>
      </w:r>
      <w:r w:rsidR="00E6344C" w:rsidRPr="00686A69">
        <w:rPr>
          <w:sz w:val="22"/>
          <w:szCs w:val="22"/>
          <w:lang w:val="fr-FR"/>
        </w:rPr>
        <w:t xml:space="preserve"> </w:t>
      </w:r>
      <w:r w:rsidR="00E6344C" w:rsidRPr="00686A69">
        <w:rPr>
          <w:i/>
          <w:sz w:val="22"/>
          <w:szCs w:val="22"/>
          <w:lang w:val="fr-FR"/>
        </w:rPr>
        <w:t>avec satisfaction</w:t>
      </w:r>
      <w:r w:rsidR="00E6344C" w:rsidRPr="00686A69">
        <w:rPr>
          <w:sz w:val="22"/>
          <w:szCs w:val="22"/>
          <w:lang w:val="fr-FR"/>
        </w:rPr>
        <w:t xml:space="preserve"> l’initiative des Secrétaires exécutifs de la CMS et de l’AEWA de développer une stratégie de communication </w:t>
      </w:r>
      <w:r w:rsidR="00DD647A" w:rsidRPr="00686A69">
        <w:rPr>
          <w:sz w:val="22"/>
          <w:szCs w:val="22"/>
          <w:lang w:val="fr-FR"/>
        </w:rPr>
        <w:t>mondiale</w:t>
      </w:r>
      <w:r w:rsidR="00E6344C" w:rsidRPr="00686A69">
        <w:rPr>
          <w:sz w:val="22"/>
          <w:szCs w:val="22"/>
          <w:lang w:val="fr-FR"/>
        </w:rPr>
        <w:t xml:space="preserve"> pour la CMS </w:t>
      </w:r>
      <w:r w:rsidR="00DD647A" w:rsidRPr="00686A69">
        <w:rPr>
          <w:sz w:val="22"/>
          <w:szCs w:val="22"/>
          <w:lang w:val="fr-FR"/>
        </w:rPr>
        <w:t>en parallèle</w:t>
      </w:r>
      <w:r w:rsidR="00E6344C" w:rsidRPr="00686A69">
        <w:rPr>
          <w:sz w:val="22"/>
          <w:szCs w:val="22"/>
          <w:lang w:val="fr-FR"/>
        </w:rPr>
        <w:t xml:space="preserve"> à la révision de la stratégie de communication de l’AEWA</w:t>
      </w:r>
      <w:r w:rsidRPr="00686A69">
        <w:rPr>
          <w:sz w:val="22"/>
          <w:szCs w:val="22"/>
          <w:lang w:val="fr-FR"/>
        </w:rPr>
        <w:t>,</w:t>
      </w:r>
    </w:p>
    <w:p w:rsidR="00C43FAB" w:rsidRPr="00686A69" w:rsidRDefault="00C43FAB" w:rsidP="00C43FAB">
      <w:pPr>
        <w:ind w:firstLine="720"/>
        <w:jc w:val="both"/>
        <w:rPr>
          <w:sz w:val="22"/>
          <w:szCs w:val="22"/>
          <w:lang w:val="fr-FR"/>
        </w:rPr>
      </w:pPr>
      <w:r w:rsidRPr="00686A69">
        <w:rPr>
          <w:i/>
          <w:iCs/>
          <w:sz w:val="22"/>
          <w:szCs w:val="22"/>
          <w:lang w:val="fr-FR"/>
        </w:rPr>
        <w:lastRenderedPageBreak/>
        <w:t>Consciente également</w:t>
      </w:r>
      <w:r w:rsidRPr="00686A69">
        <w:rPr>
          <w:sz w:val="22"/>
          <w:szCs w:val="22"/>
          <w:lang w:val="fr-FR"/>
        </w:rPr>
        <w:t xml:space="preserve"> de la résolution 11.8 de la COP11 de la CMS qui prie le Secrétaire exécutif de la CMS de présenter la nouvelle stratégie de communication de la CMS à la 44</w:t>
      </w:r>
      <w:r w:rsidR="00606601" w:rsidRPr="00686A69">
        <w:rPr>
          <w:sz w:val="22"/>
          <w:szCs w:val="22"/>
          <w:vertAlign w:val="superscript"/>
          <w:lang w:val="fr-FR"/>
        </w:rPr>
        <w:t>ème</w:t>
      </w:r>
      <w:r w:rsidRPr="00686A69">
        <w:rPr>
          <w:sz w:val="22"/>
          <w:szCs w:val="22"/>
          <w:lang w:val="fr-FR"/>
        </w:rPr>
        <w:t xml:space="preserve"> réunion du Comité permanent de la CMS pour adoption et invite les Parties à l’AEWA à adopter une nouvelle stratégie de communication harmonisée sur le plan stratégique à la MOP6 de l’AEWA,</w:t>
      </w:r>
    </w:p>
    <w:p w:rsidR="00C43FAB" w:rsidRPr="00686A69" w:rsidRDefault="00C43FAB" w:rsidP="00C43FAB">
      <w:pPr>
        <w:jc w:val="both"/>
        <w:rPr>
          <w:sz w:val="22"/>
          <w:szCs w:val="22"/>
          <w:lang w:val="fr-FR"/>
        </w:rPr>
      </w:pPr>
    </w:p>
    <w:p w:rsidR="00DA7EB8" w:rsidRPr="00686A69" w:rsidRDefault="00C43FAB" w:rsidP="00E6344C">
      <w:pPr>
        <w:ind w:firstLine="720"/>
        <w:jc w:val="both"/>
        <w:rPr>
          <w:sz w:val="22"/>
          <w:szCs w:val="22"/>
          <w:lang w:val="fr-FR"/>
        </w:rPr>
      </w:pPr>
      <w:r w:rsidRPr="00686A69">
        <w:rPr>
          <w:i/>
          <w:iCs/>
          <w:sz w:val="22"/>
          <w:szCs w:val="22"/>
          <w:lang w:val="fr-FR"/>
        </w:rPr>
        <w:t>Rappelant</w:t>
      </w:r>
      <w:r w:rsidRPr="00686A69">
        <w:rPr>
          <w:sz w:val="22"/>
          <w:szCs w:val="22"/>
          <w:lang w:val="fr-FR"/>
        </w:rPr>
        <w:t xml:space="preserve"> la Résolution 3.10 par laquelle la Réunion des Parties a adopté la première Stratégie de communication pour l’AEWA</w:t>
      </w:r>
      <w:r w:rsidR="00E6344C" w:rsidRPr="00686A69">
        <w:rPr>
          <w:sz w:val="22"/>
          <w:szCs w:val="22"/>
          <w:lang w:val="fr-FR"/>
        </w:rPr>
        <w:t xml:space="preserve"> et </w:t>
      </w:r>
      <w:r w:rsidR="00E6344C" w:rsidRPr="00686A69">
        <w:rPr>
          <w:i/>
          <w:iCs/>
          <w:sz w:val="22"/>
          <w:szCs w:val="22"/>
          <w:lang w:val="fr-FR"/>
        </w:rPr>
        <w:t>rappelant en outre</w:t>
      </w:r>
      <w:r w:rsidRPr="00686A69">
        <w:rPr>
          <w:sz w:val="22"/>
          <w:szCs w:val="22"/>
          <w:lang w:val="fr-FR"/>
        </w:rPr>
        <w:t xml:space="preserve"> la Résolution 5.5 qui charge le Secrétariat, tenant compte de la résolution 10.9 de la CMS, de préparer une révision complète de la Stratégie de communication pour adoption par la 6</w:t>
      </w:r>
      <w:r w:rsidR="00606601" w:rsidRPr="00686A69">
        <w:rPr>
          <w:sz w:val="22"/>
          <w:szCs w:val="22"/>
          <w:vertAlign w:val="superscript"/>
          <w:lang w:val="fr-FR"/>
        </w:rPr>
        <w:t>ème</w:t>
      </w:r>
      <w:r w:rsidRPr="00686A69">
        <w:rPr>
          <w:sz w:val="22"/>
          <w:szCs w:val="22"/>
          <w:vertAlign w:val="superscript"/>
          <w:lang w:val="fr-FR"/>
        </w:rPr>
        <w:t xml:space="preserve"> </w:t>
      </w:r>
      <w:r w:rsidRPr="00686A69">
        <w:rPr>
          <w:sz w:val="22"/>
          <w:szCs w:val="22"/>
          <w:lang w:val="fr-FR"/>
        </w:rPr>
        <w:t>session de la Réunion des Parties à l’AEWA,</w:t>
      </w:r>
    </w:p>
    <w:p w:rsidR="00C43FAB" w:rsidRPr="00686A69" w:rsidRDefault="00C43FAB" w:rsidP="00C43FAB">
      <w:pPr>
        <w:ind w:firstLine="720"/>
        <w:rPr>
          <w:sz w:val="22"/>
          <w:szCs w:val="22"/>
          <w:lang w:val="fr-FR"/>
        </w:rPr>
      </w:pPr>
    </w:p>
    <w:p w:rsidR="00C43FAB" w:rsidRDefault="00C43FAB" w:rsidP="00C43FAB">
      <w:pPr>
        <w:ind w:firstLine="720"/>
        <w:jc w:val="both"/>
        <w:rPr>
          <w:sz w:val="22"/>
          <w:szCs w:val="22"/>
          <w:lang w:val="fr-FR"/>
        </w:rPr>
      </w:pPr>
      <w:r w:rsidRPr="00686A69">
        <w:rPr>
          <w:i/>
          <w:iCs/>
          <w:sz w:val="22"/>
          <w:szCs w:val="22"/>
          <w:lang w:val="fr-FR"/>
        </w:rPr>
        <w:t>Se félicitant</w:t>
      </w:r>
      <w:r w:rsidRPr="00686A69">
        <w:rPr>
          <w:sz w:val="22"/>
          <w:szCs w:val="22"/>
          <w:lang w:val="fr-FR"/>
        </w:rPr>
        <w:t xml:space="preserve"> de l’initiative du Secrétaire exécutif de la CMS et du Secrétaire exécutif par intérim de l’AEWA de mettre en place une unité commune chargée de la communication, de la gestion de l’information et de la sensibilisation en janvier 2014 dans le cadre des Secrétariats de la CMS et de l’AEWA comme projet pilote témoignant des synergies renforcées au sein de la famille CMS grâce à des services communs dans le domaine de la communication, de la sensibilisation et de la gestion de l'information,</w:t>
      </w:r>
    </w:p>
    <w:p w:rsidR="006960C7" w:rsidRDefault="006960C7" w:rsidP="00C43FAB">
      <w:pPr>
        <w:ind w:firstLine="720"/>
        <w:jc w:val="both"/>
        <w:rPr>
          <w:sz w:val="22"/>
          <w:szCs w:val="22"/>
          <w:lang w:val="fr-FR"/>
        </w:rPr>
      </w:pPr>
    </w:p>
    <w:p w:rsidR="006960C7" w:rsidRPr="006960C7" w:rsidRDefault="006960C7" w:rsidP="00C43FAB">
      <w:pPr>
        <w:ind w:firstLine="720"/>
        <w:jc w:val="both"/>
        <w:rPr>
          <w:sz w:val="22"/>
          <w:szCs w:val="22"/>
          <w:lang w:val="fr-FR"/>
        </w:rPr>
      </w:pPr>
      <w:r w:rsidRPr="006270C2">
        <w:rPr>
          <w:rStyle w:val="hps"/>
          <w:i/>
          <w:sz w:val="22"/>
          <w:szCs w:val="22"/>
          <w:lang w:val="fr-FR"/>
        </w:rPr>
        <w:t>Prend note</w:t>
      </w:r>
      <w:r w:rsidRPr="006270C2">
        <w:rPr>
          <w:sz w:val="22"/>
          <w:szCs w:val="22"/>
          <w:lang w:val="fr-FR"/>
        </w:rPr>
        <w:t xml:space="preserve"> </w:t>
      </w:r>
      <w:r w:rsidRPr="006270C2">
        <w:rPr>
          <w:rStyle w:val="hps"/>
          <w:sz w:val="22"/>
          <w:szCs w:val="22"/>
          <w:lang w:val="fr-FR"/>
        </w:rPr>
        <w:t>du processus</w:t>
      </w:r>
      <w:r w:rsidRPr="006270C2">
        <w:rPr>
          <w:sz w:val="22"/>
          <w:szCs w:val="22"/>
          <w:lang w:val="fr-FR"/>
        </w:rPr>
        <w:t xml:space="preserve"> </w:t>
      </w:r>
      <w:r w:rsidRPr="006270C2">
        <w:rPr>
          <w:rStyle w:val="hps"/>
          <w:sz w:val="22"/>
          <w:szCs w:val="22"/>
          <w:lang w:val="fr-FR"/>
        </w:rPr>
        <w:t>en cours pour élaborer</w:t>
      </w:r>
      <w:r w:rsidRPr="006270C2">
        <w:rPr>
          <w:sz w:val="22"/>
          <w:szCs w:val="22"/>
          <w:lang w:val="fr-FR"/>
        </w:rPr>
        <w:t xml:space="preserve"> </w:t>
      </w:r>
      <w:r w:rsidRPr="006270C2">
        <w:rPr>
          <w:rStyle w:val="hps"/>
          <w:sz w:val="22"/>
          <w:szCs w:val="22"/>
          <w:lang w:val="fr-FR"/>
        </w:rPr>
        <w:t>une stratégie de communication</w:t>
      </w:r>
      <w:r w:rsidRPr="006270C2">
        <w:rPr>
          <w:sz w:val="22"/>
          <w:szCs w:val="22"/>
          <w:lang w:val="fr-FR"/>
        </w:rPr>
        <w:t xml:space="preserve"> </w:t>
      </w:r>
      <w:r w:rsidR="00B923AC">
        <w:rPr>
          <w:sz w:val="22"/>
          <w:szCs w:val="22"/>
          <w:lang w:val="fr-FR"/>
        </w:rPr>
        <w:t>mondiale</w:t>
      </w:r>
      <w:r w:rsidRPr="006270C2">
        <w:rPr>
          <w:rStyle w:val="hps"/>
          <w:sz w:val="22"/>
          <w:szCs w:val="22"/>
          <w:lang w:val="fr-FR"/>
        </w:rPr>
        <w:t xml:space="preserve"> pour</w:t>
      </w:r>
      <w:r w:rsidRPr="006270C2">
        <w:rPr>
          <w:sz w:val="22"/>
          <w:szCs w:val="22"/>
          <w:lang w:val="fr-FR"/>
        </w:rPr>
        <w:t xml:space="preserve"> </w:t>
      </w:r>
      <w:r w:rsidRPr="006270C2">
        <w:rPr>
          <w:rStyle w:val="hps"/>
          <w:sz w:val="22"/>
          <w:szCs w:val="22"/>
          <w:lang w:val="fr-FR"/>
        </w:rPr>
        <w:t>la CMS</w:t>
      </w:r>
      <w:r w:rsidR="00F90806">
        <w:rPr>
          <w:rStyle w:val="hps"/>
          <w:sz w:val="22"/>
          <w:szCs w:val="22"/>
          <w:lang w:val="fr-FR"/>
        </w:rPr>
        <w:t>,</w:t>
      </w:r>
    </w:p>
    <w:p w:rsidR="00C43FAB" w:rsidRPr="00686A69" w:rsidRDefault="00C43FAB" w:rsidP="00C43FAB">
      <w:pPr>
        <w:jc w:val="both"/>
        <w:rPr>
          <w:sz w:val="22"/>
          <w:szCs w:val="22"/>
          <w:lang w:val="fr-FR"/>
        </w:rPr>
      </w:pPr>
    </w:p>
    <w:p w:rsidR="00C43FAB" w:rsidRPr="00686A69" w:rsidRDefault="00C43FAB" w:rsidP="00C43FAB">
      <w:pPr>
        <w:ind w:firstLine="720"/>
        <w:jc w:val="both"/>
        <w:rPr>
          <w:sz w:val="22"/>
          <w:szCs w:val="22"/>
          <w:lang w:val="fr-FR"/>
        </w:rPr>
      </w:pPr>
      <w:r w:rsidRPr="00686A69">
        <w:rPr>
          <w:i/>
          <w:iCs/>
          <w:sz w:val="22"/>
          <w:szCs w:val="22"/>
          <w:lang w:val="fr-FR"/>
        </w:rPr>
        <w:t xml:space="preserve">Remerciant </w:t>
      </w:r>
      <w:r w:rsidRPr="00686A69">
        <w:rPr>
          <w:sz w:val="22"/>
          <w:szCs w:val="22"/>
          <w:lang w:val="fr-FR"/>
        </w:rPr>
        <w:t xml:space="preserve">le Gouvernement allemand d’avoir généreusement </w:t>
      </w:r>
      <w:r w:rsidR="006960C7">
        <w:rPr>
          <w:sz w:val="22"/>
          <w:szCs w:val="22"/>
          <w:lang w:val="fr-FR"/>
        </w:rPr>
        <w:t>consenti des fonds pour le</w:t>
      </w:r>
      <w:r w:rsidRPr="00686A69">
        <w:rPr>
          <w:sz w:val="22"/>
          <w:szCs w:val="22"/>
          <w:lang w:val="fr-FR"/>
        </w:rPr>
        <w:t xml:space="preserve"> développement d’une stratégie de communication </w:t>
      </w:r>
      <w:r w:rsidR="002C68EC" w:rsidRPr="00686A69">
        <w:rPr>
          <w:sz w:val="22"/>
          <w:szCs w:val="22"/>
          <w:lang w:val="fr-FR"/>
        </w:rPr>
        <w:t xml:space="preserve">mondiale </w:t>
      </w:r>
      <w:r w:rsidRPr="00686A69">
        <w:rPr>
          <w:sz w:val="22"/>
          <w:szCs w:val="22"/>
          <w:lang w:val="fr-FR"/>
        </w:rPr>
        <w:t>pour la CMS et d’une nouvelle stratégie de communication harmonisée sur le plan stratégique pour l’AEWA.</w:t>
      </w:r>
    </w:p>
    <w:p w:rsidR="00C43FAB" w:rsidRPr="00686A69" w:rsidRDefault="00C43FAB" w:rsidP="00C43FAB">
      <w:pPr>
        <w:jc w:val="both"/>
        <w:rPr>
          <w:sz w:val="22"/>
          <w:szCs w:val="22"/>
          <w:lang w:val="fr-FR"/>
        </w:rPr>
      </w:pPr>
    </w:p>
    <w:p w:rsidR="00C43FAB" w:rsidRPr="00686A69" w:rsidRDefault="00C43FAB" w:rsidP="00C43FAB">
      <w:pPr>
        <w:jc w:val="both"/>
        <w:rPr>
          <w:sz w:val="22"/>
          <w:szCs w:val="22"/>
          <w:lang w:val="fr-FR"/>
        </w:rPr>
      </w:pPr>
    </w:p>
    <w:p w:rsidR="00C43FAB" w:rsidRPr="00686A69" w:rsidRDefault="00C43FAB" w:rsidP="00C43FAB">
      <w:pPr>
        <w:jc w:val="both"/>
        <w:rPr>
          <w:i/>
          <w:iCs/>
          <w:sz w:val="22"/>
          <w:szCs w:val="22"/>
          <w:lang w:val="fr-FR"/>
        </w:rPr>
      </w:pPr>
      <w:r w:rsidRPr="00686A69">
        <w:rPr>
          <w:i/>
          <w:iCs/>
          <w:sz w:val="22"/>
          <w:szCs w:val="22"/>
          <w:lang w:val="fr-FR"/>
        </w:rPr>
        <w:t>La Réunion des Parties</w:t>
      </w:r>
      <w:r w:rsidR="00A7362B">
        <w:rPr>
          <w:i/>
          <w:iCs/>
          <w:sz w:val="22"/>
          <w:szCs w:val="22"/>
          <w:lang w:val="fr-FR"/>
        </w:rPr>
        <w:t xml:space="preserve"> </w:t>
      </w:r>
      <w:r w:rsidRPr="00686A69">
        <w:rPr>
          <w:i/>
          <w:iCs/>
          <w:sz w:val="22"/>
          <w:szCs w:val="22"/>
          <w:lang w:val="fr-FR"/>
        </w:rPr>
        <w:t>:</w:t>
      </w:r>
    </w:p>
    <w:p w:rsidR="00C43FAB" w:rsidRPr="00686A69" w:rsidRDefault="00C43FAB" w:rsidP="00C43FAB">
      <w:pPr>
        <w:jc w:val="both"/>
        <w:rPr>
          <w:sz w:val="22"/>
          <w:szCs w:val="22"/>
          <w:lang w:val="fr-FR"/>
        </w:rPr>
      </w:pPr>
    </w:p>
    <w:p w:rsidR="00C43FAB" w:rsidRPr="00686A69" w:rsidRDefault="00C43FAB" w:rsidP="00C43FAB">
      <w:pPr>
        <w:pStyle w:val="ListParagraph"/>
        <w:numPr>
          <w:ilvl w:val="0"/>
          <w:numId w:val="3"/>
        </w:numPr>
        <w:ind w:left="0" w:firstLine="0"/>
        <w:jc w:val="both"/>
        <w:rPr>
          <w:sz w:val="22"/>
          <w:szCs w:val="22"/>
          <w:lang w:val="fr-FR"/>
        </w:rPr>
      </w:pPr>
      <w:r w:rsidRPr="00686A69">
        <w:rPr>
          <w:sz w:val="22"/>
          <w:szCs w:val="22"/>
          <w:lang w:val="fr-FR"/>
        </w:rPr>
        <w:t xml:space="preserve">Adopte la nouvelle </w:t>
      </w:r>
      <w:r w:rsidRPr="00686A69">
        <w:rPr>
          <w:b/>
          <w:bCs/>
          <w:sz w:val="22"/>
          <w:szCs w:val="22"/>
          <w:lang w:val="fr-FR"/>
        </w:rPr>
        <w:t>Stratégie de communication</w:t>
      </w:r>
      <w:r w:rsidR="00DD647A" w:rsidRPr="00686A69">
        <w:rPr>
          <w:b/>
          <w:bCs/>
          <w:sz w:val="22"/>
          <w:szCs w:val="22"/>
          <w:lang w:val="fr-FR"/>
        </w:rPr>
        <w:t xml:space="preserve"> de l’AEWA </w:t>
      </w:r>
      <w:r w:rsidR="00DD647A" w:rsidRPr="00686A69">
        <w:rPr>
          <w:sz w:val="22"/>
          <w:szCs w:val="22"/>
          <w:lang w:val="fr-FR"/>
        </w:rPr>
        <w:t>(</w:t>
      </w:r>
      <w:r w:rsidR="002C68EC">
        <w:rPr>
          <w:sz w:val="22"/>
          <w:szCs w:val="22"/>
          <w:lang w:val="fr-FR"/>
        </w:rPr>
        <w:t xml:space="preserve">document </w:t>
      </w:r>
      <w:r w:rsidR="00DD647A" w:rsidRPr="00686A69">
        <w:rPr>
          <w:sz w:val="22"/>
          <w:szCs w:val="22"/>
          <w:lang w:val="fr-FR"/>
        </w:rPr>
        <w:t>AEWA/MOP6.</w:t>
      </w:r>
      <w:r w:rsidR="00B923AC">
        <w:rPr>
          <w:sz w:val="22"/>
          <w:szCs w:val="22"/>
          <w:lang w:val="fr-FR"/>
        </w:rPr>
        <w:t>21</w:t>
      </w:r>
      <w:r w:rsidRPr="00686A69">
        <w:rPr>
          <w:sz w:val="22"/>
          <w:szCs w:val="22"/>
          <w:lang w:val="fr-FR"/>
        </w:rPr>
        <w:t xml:space="preserve">) en tant qu’instrument permettant de guider les efforts de communication en soutien de la mise en œuvre de </w:t>
      </w:r>
      <w:r w:rsidR="00FB1631" w:rsidRPr="00686A69">
        <w:rPr>
          <w:sz w:val="22"/>
          <w:szCs w:val="22"/>
          <w:lang w:val="fr-FR"/>
        </w:rPr>
        <w:br w:type="textWrapping" w:clear="all"/>
      </w:r>
      <w:r w:rsidRPr="00686A69">
        <w:rPr>
          <w:sz w:val="22"/>
          <w:szCs w:val="22"/>
          <w:lang w:val="fr-FR"/>
        </w:rPr>
        <w:t>l’Accord</w:t>
      </w:r>
      <w:r w:rsidR="00DA7EB8" w:rsidRPr="00686A69">
        <w:rPr>
          <w:sz w:val="22"/>
          <w:szCs w:val="22"/>
          <w:lang w:val="fr-FR"/>
        </w:rPr>
        <w:t xml:space="preserve"> </w:t>
      </w:r>
      <w:r w:rsidRPr="00686A69">
        <w:rPr>
          <w:sz w:val="22"/>
          <w:szCs w:val="22"/>
          <w:lang w:val="fr-FR"/>
        </w:rPr>
        <w:t>;</w:t>
      </w:r>
    </w:p>
    <w:p w:rsidR="00C43FAB" w:rsidRPr="00686A69" w:rsidRDefault="00C43FAB" w:rsidP="00C43FAB">
      <w:pPr>
        <w:pStyle w:val="ListParagraph"/>
        <w:rPr>
          <w:sz w:val="22"/>
          <w:szCs w:val="22"/>
          <w:lang w:val="fr-FR"/>
        </w:rPr>
      </w:pPr>
    </w:p>
    <w:p w:rsidR="00C43FAB" w:rsidRPr="00686A69" w:rsidRDefault="00C43FAB" w:rsidP="00C43FAB">
      <w:pPr>
        <w:pStyle w:val="ListParagraph"/>
        <w:numPr>
          <w:ilvl w:val="0"/>
          <w:numId w:val="3"/>
        </w:numPr>
        <w:ind w:left="0" w:firstLine="0"/>
        <w:jc w:val="both"/>
        <w:rPr>
          <w:sz w:val="22"/>
          <w:szCs w:val="22"/>
          <w:lang w:val="fr-FR"/>
        </w:rPr>
      </w:pPr>
      <w:r w:rsidRPr="00686A69">
        <w:rPr>
          <w:i/>
          <w:iCs/>
          <w:sz w:val="22"/>
          <w:szCs w:val="22"/>
          <w:lang w:val="fr-FR"/>
        </w:rPr>
        <w:t>Enjoint</w:t>
      </w:r>
      <w:r w:rsidRPr="00686A69">
        <w:rPr>
          <w:sz w:val="22"/>
          <w:szCs w:val="22"/>
          <w:lang w:val="fr-FR"/>
        </w:rPr>
        <w:t xml:space="preserve"> le Secrétariat</w:t>
      </w:r>
      <w:r w:rsidR="006270C2">
        <w:rPr>
          <w:sz w:val="22"/>
          <w:szCs w:val="22"/>
          <w:lang w:val="fr-FR"/>
        </w:rPr>
        <w:t xml:space="preserve"> PNUE/</w:t>
      </w:r>
      <w:r w:rsidRPr="00686A69">
        <w:rPr>
          <w:sz w:val="22"/>
          <w:szCs w:val="22"/>
          <w:lang w:val="fr-FR"/>
        </w:rPr>
        <w:t xml:space="preserve">AEWA de mettre en œuvre la </w:t>
      </w:r>
      <w:r w:rsidR="00876DE1" w:rsidRPr="00686A69">
        <w:rPr>
          <w:sz w:val="22"/>
          <w:szCs w:val="22"/>
          <w:lang w:val="fr-FR"/>
        </w:rPr>
        <w:t xml:space="preserve">Stratégie </w:t>
      </w:r>
      <w:r w:rsidRPr="00686A69">
        <w:rPr>
          <w:sz w:val="22"/>
          <w:szCs w:val="22"/>
          <w:lang w:val="fr-FR"/>
        </w:rPr>
        <w:t>de communication et de la développer, si possible en tenant compte des ressources financières et humaines disponibles, de surveiller et d’examiner régulièrement son efficacité et de présenter un rapport sur sa mise en œuvre à chaque Réunion des Parties</w:t>
      </w:r>
      <w:r w:rsidR="00DA7EB8" w:rsidRPr="00686A69">
        <w:rPr>
          <w:sz w:val="22"/>
          <w:szCs w:val="22"/>
          <w:lang w:val="fr-FR"/>
        </w:rPr>
        <w:t xml:space="preserve"> </w:t>
      </w:r>
      <w:r w:rsidRPr="00686A69">
        <w:rPr>
          <w:sz w:val="22"/>
          <w:szCs w:val="22"/>
          <w:lang w:val="fr-FR"/>
        </w:rPr>
        <w:t>;</w:t>
      </w:r>
    </w:p>
    <w:p w:rsidR="0045246F" w:rsidRPr="0045246F" w:rsidRDefault="0045246F" w:rsidP="0045246F">
      <w:pPr>
        <w:pStyle w:val="ListParagraph"/>
        <w:rPr>
          <w:sz w:val="22"/>
          <w:szCs w:val="22"/>
          <w:lang w:val="fr-FR"/>
        </w:rPr>
      </w:pPr>
    </w:p>
    <w:p w:rsidR="00C43FAB" w:rsidRPr="00686A69" w:rsidRDefault="00C43FAB" w:rsidP="00C43FAB">
      <w:pPr>
        <w:pStyle w:val="ListParagraph"/>
        <w:numPr>
          <w:ilvl w:val="0"/>
          <w:numId w:val="3"/>
        </w:numPr>
        <w:ind w:left="0" w:firstLine="0"/>
        <w:jc w:val="both"/>
        <w:rPr>
          <w:sz w:val="22"/>
          <w:szCs w:val="22"/>
          <w:lang w:val="fr-FR"/>
        </w:rPr>
      </w:pPr>
      <w:r w:rsidRPr="00686A69">
        <w:rPr>
          <w:i/>
          <w:iCs/>
          <w:sz w:val="22"/>
          <w:szCs w:val="22"/>
          <w:lang w:val="fr-FR"/>
        </w:rPr>
        <w:t xml:space="preserve">Prie instamment </w:t>
      </w:r>
      <w:r w:rsidRPr="00686A69">
        <w:rPr>
          <w:sz w:val="22"/>
          <w:szCs w:val="22"/>
          <w:lang w:val="fr-FR"/>
        </w:rPr>
        <w:t xml:space="preserve">toutes les Parties de </w:t>
      </w:r>
      <w:r w:rsidR="0022460A">
        <w:rPr>
          <w:sz w:val="22"/>
          <w:szCs w:val="22"/>
          <w:lang w:val="fr-FR"/>
        </w:rPr>
        <w:t xml:space="preserve">développer </w:t>
      </w:r>
      <w:r w:rsidRPr="00686A69">
        <w:rPr>
          <w:sz w:val="22"/>
          <w:szCs w:val="22"/>
          <w:lang w:val="fr-FR"/>
        </w:rPr>
        <w:t xml:space="preserve"> les « </w:t>
      </w:r>
      <w:r w:rsidRPr="00686A69">
        <w:rPr>
          <w:i/>
          <w:iCs/>
          <w:sz w:val="22"/>
          <w:szCs w:val="22"/>
          <w:lang w:val="fr-FR"/>
        </w:rPr>
        <w:t>programmes pour susciter une meilleure prise de conscience et compréhension des problèmes généraux de conservation des oiseaux d’eau migrateurs</w:t>
      </w:r>
      <w:r w:rsidR="00606601" w:rsidRPr="00686A69">
        <w:rPr>
          <w:sz w:val="22"/>
          <w:szCs w:val="22"/>
          <w:lang w:val="fr-FR"/>
        </w:rPr>
        <w:t> »</w:t>
      </w:r>
      <w:r w:rsidRPr="00686A69">
        <w:rPr>
          <w:sz w:val="22"/>
          <w:szCs w:val="22"/>
          <w:lang w:val="fr-FR"/>
        </w:rPr>
        <w:t xml:space="preserve"> qu’elles poursuivent en vertu de l’Article III, paragraphe 2 de l’Accord, ainsi que </w:t>
      </w:r>
      <w:r w:rsidR="0022460A">
        <w:rPr>
          <w:sz w:val="22"/>
          <w:szCs w:val="22"/>
          <w:lang w:val="fr-FR"/>
        </w:rPr>
        <w:t xml:space="preserve">de rendre compte </w:t>
      </w:r>
      <w:r w:rsidRPr="00686A69">
        <w:rPr>
          <w:sz w:val="22"/>
          <w:szCs w:val="22"/>
          <w:lang w:val="fr-FR"/>
        </w:rPr>
        <w:t xml:space="preserve">sur leurs activités menées pour soutenir la mise en </w:t>
      </w:r>
      <w:r w:rsidR="006270C2" w:rsidRPr="00686A69">
        <w:rPr>
          <w:sz w:val="22"/>
          <w:szCs w:val="22"/>
          <w:lang w:val="fr-FR"/>
        </w:rPr>
        <w:t>œuvre</w:t>
      </w:r>
      <w:r w:rsidRPr="00686A69">
        <w:rPr>
          <w:sz w:val="22"/>
          <w:szCs w:val="22"/>
          <w:lang w:val="fr-FR"/>
        </w:rPr>
        <w:t xml:space="preserve"> de la</w:t>
      </w:r>
      <w:r w:rsidR="0022460A">
        <w:rPr>
          <w:sz w:val="22"/>
          <w:szCs w:val="22"/>
          <w:lang w:val="fr-FR"/>
        </w:rPr>
        <w:t xml:space="preserve"> stratégie de</w:t>
      </w:r>
      <w:r w:rsidRPr="00686A69">
        <w:rPr>
          <w:sz w:val="22"/>
          <w:szCs w:val="22"/>
          <w:lang w:val="fr-FR"/>
        </w:rPr>
        <w:t xml:space="preserve"> communication dans le cadre de leur rapport national soumis à chaque Réunion des Parties (MOP)</w:t>
      </w:r>
      <w:r w:rsidR="00DA7EB8" w:rsidRPr="00686A69">
        <w:rPr>
          <w:sz w:val="22"/>
          <w:szCs w:val="22"/>
          <w:lang w:val="fr-FR"/>
        </w:rPr>
        <w:t xml:space="preserve"> </w:t>
      </w:r>
      <w:r w:rsidRPr="00686A69">
        <w:rPr>
          <w:sz w:val="22"/>
          <w:szCs w:val="22"/>
          <w:lang w:val="fr-FR"/>
        </w:rPr>
        <w:t>;</w:t>
      </w:r>
    </w:p>
    <w:p w:rsidR="00DA7EB8" w:rsidRPr="00686A69" w:rsidRDefault="00DA7EB8" w:rsidP="00C43FAB">
      <w:pPr>
        <w:pStyle w:val="ListParagraph"/>
        <w:rPr>
          <w:sz w:val="22"/>
          <w:szCs w:val="22"/>
          <w:lang w:val="fr-FR"/>
        </w:rPr>
      </w:pPr>
    </w:p>
    <w:p w:rsidR="00C43FAB" w:rsidRPr="00686A69" w:rsidRDefault="00C43FAB" w:rsidP="00C43FAB">
      <w:pPr>
        <w:pStyle w:val="ListParagraph"/>
        <w:numPr>
          <w:ilvl w:val="0"/>
          <w:numId w:val="3"/>
        </w:numPr>
        <w:ind w:left="0" w:firstLine="0"/>
        <w:jc w:val="both"/>
        <w:rPr>
          <w:lang w:val="fr-FR"/>
        </w:rPr>
      </w:pPr>
      <w:r w:rsidRPr="00686A69">
        <w:rPr>
          <w:i/>
          <w:iCs/>
          <w:sz w:val="22"/>
          <w:szCs w:val="22"/>
          <w:lang w:val="fr-FR"/>
        </w:rPr>
        <w:t xml:space="preserve">Demande </w:t>
      </w:r>
      <w:r w:rsidRPr="00686A69">
        <w:rPr>
          <w:sz w:val="22"/>
          <w:szCs w:val="22"/>
          <w:lang w:val="fr-FR"/>
        </w:rPr>
        <w:t>au correspondants nationaux CESP (communication, éducation et sensibilisation du public) de l’AEWA, au Comité technique de l’AEWA et à son expert CESP d’apporter un soutien actif aux travaux de communication de l’Accord, notamment en ce qui concerne le soutien du Secrétariat dans l’identification des questions prioritaires pour la communication, le développem</w:t>
      </w:r>
      <w:r w:rsidR="00DD647A" w:rsidRPr="00686A69">
        <w:rPr>
          <w:sz w:val="22"/>
          <w:szCs w:val="22"/>
          <w:lang w:val="fr-FR"/>
        </w:rPr>
        <w:t>ent de messages-clés et de plan et produits de comm</w:t>
      </w:r>
      <w:r w:rsidRPr="00686A69">
        <w:rPr>
          <w:sz w:val="22"/>
          <w:szCs w:val="22"/>
          <w:lang w:val="fr-FR"/>
        </w:rPr>
        <w:t>unication ainsi que dans l’identification de partenaires en communication et de publics cibles</w:t>
      </w:r>
      <w:r w:rsidR="00DA7EB8" w:rsidRPr="00686A69">
        <w:rPr>
          <w:sz w:val="22"/>
          <w:szCs w:val="22"/>
          <w:lang w:val="fr-FR"/>
        </w:rPr>
        <w:t xml:space="preserve"> </w:t>
      </w:r>
      <w:r w:rsidRPr="00686A69">
        <w:rPr>
          <w:sz w:val="22"/>
          <w:szCs w:val="22"/>
          <w:lang w:val="fr-FR"/>
        </w:rPr>
        <w:t xml:space="preserve">; </w:t>
      </w:r>
    </w:p>
    <w:p w:rsidR="00C43FAB" w:rsidRPr="00686A69" w:rsidRDefault="00C43FAB" w:rsidP="00C43FAB">
      <w:pPr>
        <w:pStyle w:val="ListParagraph"/>
        <w:ind w:left="0"/>
        <w:jc w:val="both"/>
        <w:rPr>
          <w:sz w:val="22"/>
          <w:szCs w:val="22"/>
          <w:lang w:val="fr-FR"/>
        </w:rPr>
      </w:pPr>
    </w:p>
    <w:p w:rsidR="00C43FAB" w:rsidRPr="00686A69" w:rsidRDefault="00C43FAB" w:rsidP="00C43FAB">
      <w:pPr>
        <w:pStyle w:val="ListParagraph"/>
        <w:numPr>
          <w:ilvl w:val="0"/>
          <w:numId w:val="3"/>
        </w:numPr>
        <w:ind w:left="0" w:firstLine="0"/>
        <w:jc w:val="both"/>
        <w:rPr>
          <w:sz w:val="22"/>
          <w:szCs w:val="22"/>
          <w:lang w:val="fr-FR"/>
        </w:rPr>
      </w:pPr>
      <w:r w:rsidRPr="00686A69">
        <w:rPr>
          <w:i/>
          <w:iCs/>
          <w:sz w:val="22"/>
          <w:szCs w:val="22"/>
          <w:lang w:val="fr-FR"/>
        </w:rPr>
        <w:t xml:space="preserve">Prie instamment </w:t>
      </w:r>
      <w:r w:rsidRPr="00686A69">
        <w:rPr>
          <w:sz w:val="22"/>
          <w:szCs w:val="22"/>
          <w:lang w:val="fr-FR"/>
        </w:rPr>
        <w:t>les</w:t>
      </w:r>
      <w:r w:rsidRPr="00686A69">
        <w:rPr>
          <w:i/>
          <w:iCs/>
          <w:sz w:val="22"/>
          <w:szCs w:val="22"/>
          <w:lang w:val="fr-FR"/>
        </w:rPr>
        <w:t xml:space="preserve"> </w:t>
      </w:r>
      <w:r w:rsidRPr="00686A69">
        <w:rPr>
          <w:sz w:val="22"/>
          <w:szCs w:val="22"/>
          <w:lang w:val="fr-FR"/>
        </w:rPr>
        <w:t xml:space="preserve">Parties et d’autres acteurs travaillant pour la conservation des oiseaux d’eau migrateurs de participer activement à la mise en </w:t>
      </w:r>
      <w:r w:rsidR="00606601" w:rsidRPr="00686A69">
        <w:rPr>
          <w:sz w:val="22"/>
          <w:szCs w:val="22"/>
          <w:lang w:val="fr-FR"/>
        </w:rPr>
        <w:t>œuvre</w:t>
      </w:r>
      <w:r w:rsidRPr="00686A69">
        <w:rPr>
          <w:sz w:val="22"/>
          <w:szCs w:val="22"/>
          <w:lang w:val="fr-FR"/>
        </w:rPr>
        <w:t xml:space="preserve"> de la Stratégie de communic</w:t>
      </w:r>
      <w:r w:rsidR="00DD647A" w:rsidRPr="00686A69">
        <w:rPr>
          <w:sz w:val="22"/>
          <w:szCs w:val="22"/>
          <w:lang w:val="fr-FR"/>
        </w:rPr>
        <w:t>ation, notamment en établissant des nouveaux</w:t>
      </w:r>
      <w:r w:rsidRPr="00686A69">
        <w:rPr>
          <w:sz w:val="22"/>
          <w:szCs w:val="22"/>
          <w:lang w:val="fr-FR"/>
        </w:rPr>
        <w:t xml:space="preserve"> partenariats stratégiques</w:t>
      </w:r>
      <w:r w:rsidR="00DD647A" w:rsidRPr="00686A69">
        <w:rPr>
          <w:sz w:val="22"/>
          <w:szCs w:val="22"/>
          <w:lang w:val="fr-FR"/>
        </w:rPr>
        <w:t xml:space="preserve"> ou en renforçant les existants</w:t>
      </w:r>
      <w:r w:rsidRPr="00686A69">
        <w:rPr>
          <w:sz w:val="22"/>
          <w:szCs w:val="22"/>
          <w:lang w:val="fr-FR"/>
        </w:rPr>
        <w:t>, agissant en tant que défenseurs et porte-voix publics, et grâce à des contributions volontaires et des aides en na</w:t>
      </w:r>
      <w:r w:rsidR="00DD647A" w:rsidRPr="00686A69">
        <w:rPr>
          <w:sz w:val="22"/>
          <w:szCs w:val="22"/>
          <w:lang w:val="fr-FR"/>
        </w:rPr>
        <w:t>ture</w:t>
      </w:r>
      <w:r w:rsidR="00DA7EB8" w:rsidRPr="00686A69">
        <w:rPr>
          <w:sz w:val="22"/>
          <w:szCs w:val="22"/>
          <w:lang w:val="fr-FR"/>
        </w:rPr>
        <w:t xml:space="preserve"> </w:t>
      </w:r>
      <w:r w:rsidRPr="00686A69">
        <w:rPr>
          <w:sz w:val="22"/>
          <w:szCs w:val="22"/>
          <w:lang w:val="fr-FR"/>
        </w:rPr>
        <w:t>;</w:t>
      </w:r>
    </w:p>
    <w:p w:rsidR="00C43FAB" w:rsidRPr="00686A69" w:rsidRDefault="00C43FAB" w:rsidP="00C43FAB">
      <w:pPr>
        <w:pStyle w:val="ListParagraph"/>
        <w:ind w:left="0"/>
        <w:jc w:val="both"/>
        <w:rPr>
          <w:iCs/>
          <w:sz w:val="22"/>
          <w:szCs w:val="22"/>
          <w:lang w:val="fr-FR"/>
        </w:rPr>
      </w:pPr>
    </w:p>
    <w:p w:rsidR="00C43FAB" w:rsidRPr="00686A69" w:rsidRDefault="00C43FAB" w:rsidP="00C43FAB">
      <w:pPr>
        <w:pStyle w:val="ListParagraph"/>
        <w:numPr>
          <w:ilvl w:val="0"/>
          <w:numId w:val="3"/>
        </w:numPr>
        <w:ind w:left="0" w:firstLine="0"/>
        <w:jc w:val="both"/>
        <w:rPr>
          <w:sz w:val="22"/>
          <w:szCs w:val="22"/>
          <w:lang w:val="fr-FR"/>
        </w:rPr>
      </w:pPr>
      <w:r w:rsidRPr="00686A69">
        <w:rPr>
          <w:i/>
          <w:iCs/>
          <w:sz w:val="22"/>
          <w:szCs w:val="22"/>
          <w:lang w:val="fr-FR"/>
        </w:rPr>
        <w:t>Demande</w:t>
      </w:r>
      <w:r w:rsidRPr="00686A69">
        <w:rPr>
          <w:sz w:val="22"/>
          <w:szCs w:val="22"/>
          <w:lang w:val="fr-FR"/>
        </w:rPr>
        <w:t xml:space="preserve"> aux Parties et autres donateurs d’envisager la possibilité de verser des contributions volontaires pour mettre en œuvre la Stratégie de communicat</w:t>
      </w:r>
      <w:r w:rsidR="00DD647A" w:rsidRPr="00686A69">
        <w:rPr>
          <w:sz w:val="22"/>
          <w:szCs w:val="22"/>
          <w:lang w:val="fr-FR"/>
        </w:rPr>
        <w:t xml:space="preserve">ion </w:t>
      </w:r>
      <w:r w:rsidRPr="00686A69">
        <w:rPr>
          <w:sz w:val="22"/>
          <w:szCs w:val="22"/>
          <w:lang w:val="fr-FR"/>
        </w:rPr>
        <w:t xml:space="preserve">et </w:t>
      </w:r>
      <w:r w:rsidRPr="00686A69">
        <w:rPr>
          <w:i/>
          <w:iCs/>
          <w:sz w:val="22"/>
          <w:szCs w:val="22"/>
          <w:lang w:val="fr-FR"/>
        </w:rPr>
        <w:t>invite</w:t>
      </w:r>
      <w:r w:rsidRPr="00686A69">
        <w:rPr>
          <w:sz w:val="22"/>
          <w:szCs w:val="22"/>
          <w:lang w:val="fr-FR"/>
        </w:rPr>
        <w:t xml:space="preserve">  toutes les Parties, États de l’aire de répartition et autres parties prenantes à aider sa mise en œuvre, grâce à l’expertise, aux réseaux, aux compétences et aux moyens dont ils disposent.</w:t>
      </w:r>
    </w:p>
    <w:p w:rsidR="00C43FAB" w:rsidRPr="00686A69" w:rsidRDefault="00C43FAB" w:rsidP="00C43FAB">
      <w:pPr>
        <w:pStyle w:val="ListParagraph"/>
        <w:rPr>
          <w:sz w:val="22"/>
          <w:szCs w:val="22"/>
          <w:highlight w:val="yellow"/>
          <w:lang w:val="fr-FR"/>
        </w:rPr>
      </w:pPr>
    </w:p>
    <w:p w:rsidR="00D117F0" w:rsidRPr="00686A69" w:rsidRDefault="00D117F0" w:rsidP="00D15021">
      <w:pPr>
        <w:rPr>
          <w:lang w:val="fr-FR"/>
        </w:rPr>
      </w:pPr>
    </w:p>
    <w:sectPr w:rsidR="00D117F0" w:rsidRPr="00686A69" w:rsidSect="00B72372">
      <w:headerReference w:type="default" r:id="rId11"/>
      <w:pgSz w:w="11906" w:h="16838" w:code="9"/>
      <w:pgMar w:top="1021" w:right="1134" w:bottom="851" w:left="1134" w:header="851" w:footer="51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7F0" w:rsidRDefault="00D117F0">
      <w:r>
        <w:separator/>
      </w:r>
    </w:p>
  </w:endnote>
  <w:endnote w:type="continuationSeparator" w:id="0">
    <w:p w:rsidR="00D117F0" w:rsidRDefault="00D1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B8" w:rsidRPr="00DA7EB8" w:rsidRDefault="00DA7EB8">
    <w:pPr>
      <w:pStyle w:val="Footer"/>
      <w:jc w:val="center"/>
      <w:rPr>
        <w:sz w:val="20"/>
        <w:szCs w:val="20"/>
      </w:rPr>
    </w:pPr>
    <w:r w:rsidRPr="00DA7EB8">
      <w:rPr>
        <w:sz w:val="20"/>
        <w:szCs w:val="20"/>
      </w:rPr>
      <w:fldChar w:fldCharType="begin"/>
    </w:r>
    <w:r w:rsidRPr="00DA7EB8">
      <w:rPr>
        <w:sz w:val="20"/>
        <w:szCs w:val="20"/>
      </w:rPr>
      <w:instrText xml:space="preserve"> PAGE   \* MERGEFORMAT </w:instrText>
    </w:r>
    <w:r w:rsidRPr="00DA7EB8">
      <w:rPr>
        <w:sz w:val="20"/>
        <w:szCs w:val="20"/>
      </w:rPr>
      <w:fldChar w:fldCharType="separate"/>
    </w:r>
    <w:r w:rsidR="00F90806">
      <w:rPr>
        <w:noProof/>
        <w:sz w:val="20"/>
        <w:szCs w:val="20"/>
      </w:rPr>
      <w:t>2</w:t>
    </w:r>
    <w:r w:rsidRPr="00DA7EB8">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7F0" w:rsidRDefault="00D117F0">
      <w:r>
        <w:separator/>
      </w:r>
    </w:p>
  </w:footnote>
  <w:footnote w:type="continuationSeparator" w:id="0">
    <w:p w:rsidR="00D117F0" w:rsidRDefault="00D1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31" w:rsidRPr="00C43FAB" w:rsidRDefault="00DA7EB8">
    <w:pPr>
      <w:pStyle w:val="Header"/>
      <w:rPr>
        <w:i/>
        <w:sz w:val="18"/>
        <w:lang w:val="fr-FR"/>
      </w:rPr>
    </w:pPr>
    <w:r w:rsidRPr="00C43FAB">
      <w:rPr>
        <w:i/>
        <w:sz w:val="18"/>
        <w:lang w:val="fr-FR"/>
      </w:rPr>
      <w:tab/>
    </w:r>
  </w:p>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F90806" w:rsidRPr="009B3CF8" w:rsidTr="009F45C5">
      <w:trPr>
        <w:trHeight w:val="1256"/>
      </w:trPr>
      <w:tc>
        <w:tcPr>
          <w:tcW w:w="2268" w:type="dxa"/>
          <w:shd w:val="clear" w:color="auto" w:fill="auto"/>
          <w:tcMar>
            <w:top w:w="0" w:type="dxa"/>
            <w:left w:w="108" w:type="dxa"/>
            <w:bottom w:w="0" w:type="dxa"/>
            <w:right w:w="108" w:type="dxa"/>
          </w:tcMar>
        </w:tcPr>
        <w:p w:rsidR="00F90806" w:rsidRPr="008377E9" w:rsidRDefault="00F90806" w:rsidP="00F90806">
          <w:pPr>
            <w:rPr>
              <w:lang w:val="fr-FR"/>
            </w:rPr>
          </w:pPr>
          <w:r w:rsidRPr="008377E9">
            <w:rPr>
              <w:noProof/>
            </w:rPr>
            <w:drawing>
              <wp:anchor distT="0" distB="0" distL="114300" distR="114300" simplePos="0" relativeHeight="251660288" behindDoc="1" locked="0" layoutInCell="1" allowOverlap="1" wp14:anchorId="0F710C3D" wp14:editId="7EEF36EE">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F90806" w:rsidRPr="008377E9" w:rsidRDefault="00F90806" w:rsidP="00F90806">
          <w:pPr>
            <w:tabs>
              <w:tab w:val="left" w:pos="2871"/>
            </w:tabs>
            <w:jc w:val="center"/>
            <w:rPr>
              <w:lang w:val="fr-FR"/>
            </w:rPr>
          </w:pPr>
          <w:r w:rsidRPr="008377E9">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F90806" w:rsidRPr="008377E9" w:rsidRDefault="00F90806" w:rsidP="00F90806">
          <w:pPr>
            <w:jc w:val="right"/>
            <w:rPr>
              <w:i/>
              <w:iCs/>
              <w:sz w:val="20"/>
              <w:szCs w:val="20"/>
              <w:lang w:val="fr-FR"/>
            </w:rPr>
          </w:pPr>
          <w:r w:rsidRPr="00AE727F">
            <w:rPr>
              <w:noProof/>
              <w:sz w:val="18"/>
              <w:szCs w:val="18"/>
            </w:rPr>
            <w:drawing>
              <wp:anchor distT="0" distB="0" distL="114300" distR="114300" simplePos="0" relativeHeight="251659264" behindDoc="1" locked="0" layoutInCell="1" allowOverlap="1" wp14:anchorId="3A1B4032" wp14:editId="427AA232">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806" w:rsidRPr="008377E9" w:rsidRDefault="00F90806" w:rsidP="00F90806">
          <w:pPr>
            <w:jc w:val="right"/>
            <w:rPr>
              <w:sz w:val="18"/>
              <w:szCs w:val="18"/>
              <w:lang w:val="fr-FR"/>
            </w:rPr>
          </w:pPr>
        </w:p>
      </w:tc>
    </w:tr>
    <w:tr w:rsidR="00F90806" w:rsidRPr="008377E9" w:rsidTr="009F45C5">
      <w:tc>
        <w:tcPr>
          <w:tcW w:w="9498" w:type="dxa"/>
          <w:gridSpan w:val="3"/>
          <w:shd w:val="clear" w:color="auto" w:fill="auto"/>
          <w:tcMar>
            <w:top w:w="0" w:type="dxa"/>
            <w:left w:w="108" w:type="dxa"/>
            <w:bottom w:w="0" w:type="dxa"/>
            <w:right w:w="108" w:type="dxa"/>
          </w:tcMar>
        </w:tcPr>
        <w:p w:rsidR="00F90806" w:rsidRPr="008377E9" w:rsidRDefault="00F90806" w:rsidP="00F90806">
          <w:pPr>
            <w:pStyle w:val="BodyText2"/>
            <w:jc w:val="center"/>
            <w:rPr>
              <w:lang w:val="fr-FR"/>
            </w:rPr>
          </w:pPr>
          <w:r w:rsidRPr="008377E9">
            <w:rPr>
              <w:b/>
              <w:bCs/>
              <w:sz w:val="26"/>
              <w:szCs w:val="26"/>
              <w:lang w:val="fr-FR"/>
            </w:rPr>
            <w:t>6</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rsidR="00F90806" w:rsidRPr="008377E9" w:rsidRDefault="00F90806" w:rsidP="00F90806">
          <w:pPr>
            <w:jc w:val="center"/>
            <w:rPr>
              <w:lang w:val="fr-FR"/>
            </w:rPr>
          </w:pPr>
          <w:r w:rsidRPr="008377E9">
            <w:rPr>
              <w:i/>
              <w:iCs/>
              <w:lang w:val="fr-FR"/>
            </w:rPr>
            <w:t xml:space="preserve">9-14 </w:t>
          </w:r>
          <w:proofErr w:type="gramStart"/>
          <w:r w:rsidRPr="008377E9">
            <w:rPr>
              <w:i/>
              <w:iCs/>
              <w:lang w:val="fr-FR"/>
            </w:rPr>
            <w:t>novembre</w:t>
          </w:r>
          <w:proofErr w:type="gramEnd"/>
          <w:r w:rsidRPr="008377E9">
            <w:rPr>
              <w:i/>
              <w:iCs/>
              <w:lang w:val="fr-FR"/>
            </w:rPr>
            <w:t xml:space="preserve"> 2015, Bonn, Allemagne</w:t>
          </w:r>
        </w:p>
      </w:tc>
    </w:tr>
    <w:tr w:rsidR="00F90806" w:rsidRPr="009B3CF8" w:rsidTr="009F45C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F90806" w:rsidRPr="008377E9" w:rsidRDefault="00F90806" w:rsidP="00F90806">
          <w:pPr>
            <w:pStyle w:val="BodyText2"/>
            <w:jc w:val="center"/>
            <w:rPr>
              <w:bCs/>
              <w:i/>
              <w:lang w:val="fr-FR"/>
            </w:rPr>
          </w:pPr>
          <w:r w:rsidRPr="008377E9">
            <w:rPr>
              <w:bCs/>
              <w:i/>
              <w:lang w:val="fr-FR"/>
            </w:rPr>
            <w:t>« Concrétiser la conservation au niveau de la voie de migration »</w:t>
          </w:r>
        </w:p>
      </w:tc>
    </w:tr>
  </w:tbl>
  <w:p w:rsidR="00DA7EB8" w:rsidRPr="00C43FAB" w:rsidRDefault="00DA7EB8">
    <w:pPr>
      <w:pStyle w:val="Header"/>
      <w:rPr>
        <w:i/>
        <w:sz w:val="18"/>
        <w:lang w:val="fr-FR"/>
      </w:rPr>
    </w:pPr>
  </w:p>
  <w:p w:rsidR="00DA7EB8" w:rsidRPr="00F071D4" w:rsidRDefault="00DA7EB8">
    <w:pPr>
      <w:pStyle w:val="Header"/>
      <w:rPr>
        <w:i/>
        <w:sz w:val="18"/>
        <w:lang w:val="fr-FR"/>
      </w:rPr>
    </w:pPr>
    <w:r w:rsidRPr="00F071D4">
      <w:rPr>
        <w:i/>
        <w:sz w:val="18"/>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F90806" w:rsidRPr="009B3CF8" w:rsidTr="009F45C5">
      <w:trPr>
        <w:trHeight w:val="1256"/>
      </w:trPr>
      <w:tc>
        <w:tcPr>
          <w:tcW w:w="2268" w:type="dxa"/>
          <w:shd w:val="clear" w:color="auto" w:fill="auto"/>
          <w:tcMar>
            <w:top w:w="0" w:type="dxa"/>
            <w:left w:w="108" w:type="dxa"/>
            <w:bottom w:w="0" w:type="dxa"/>
            <w:right w:w="108" w:type="dxa"/>
          </w:tcMar>
        </w:tcPr>
        <w:p w:rsidR="00F90806" w:rsidRPr="008377E9" w:rsidRDefault="00F90806" w:rsidP="00F90806">
          <w:pPr>
            <w:rPr>
              <w:lang w:val="fr-FR"/>
            </w:rPr>
          </w:pPr>
          <w:r w:rsidRPr="008377E9">
            <w:rPr>
              <w:noProof/>
            </w:rPr>
            <w:drawing>
              <wp:anchor distT="0" distB="0" distL="114300" distR="114300" simplePos="0" relativeHeight="251663360" behindDoc="1" locked="0" layoutInCell="1" allowOverlap="1" wp14:anchorId="10B3F807" wp14:editId="633EF085">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F90806" w:rsidRPr="008377E9" w:rsidRDefault="00F90806" w:rsidP="00F90806">
          <w:pPr>
            <w:tabs>
              <w:tab w:val="left" w:pos="2871"/>
            </w:tabs>
            <w:jc w:val="center"/>
            <w:rPr>
              <w:lang w:val="fr-FR"/>
            </w:rPr>
          </w:pPr>
          <w:r w:rsidRPr="008377E9">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F90806" w:rsidRPr="008377E9" w:rsidRDefault="00F90806" w:rsidP="00F90806">
          <w:pPr>
            <w:jc w:val="right"/>
            <w:rPr>
              <w:i/>
              <w:iCs/>
              <w:sz w:val="20"/>
              <w:szCs w:val="20"/>
              <w:lang w:val="fr-FR"/>
            </w:rPr>
          </w:pPr>
          <w:r w:rsidRPr="00AE727F">
            <w:rPr>
              <w:noProof/>
              <w:sz w:val="18"/>
              <w:szCs w:val="18"/>
            </w:rPr>
            <w:drawing>
              <wp:anchor distT="0" distB="0" distL="114300" distR="114300" simplePos="0" relativeHeight="251662336" behindDoc="1" locked="0" layoutInCell="1" allowOverlap="1" wp14:anchorId="009DFF34" wp14:editId="48541C0C">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4" name="Picture 4"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806" w:rsidRPr="008377E9" w:rsidRDefault="00F90806" w:rsidP="00F90806">
          <w:pPr>
            <w:jc w:val="right"/>
            <w:rPr>
              <w:sz w:val="18"/>
              <w:szCs w:val="18"/>
              <w:lang w:val="fr-FR"/>
            </w:rPr>
          </w:pPr>
        </w:p>
      </w:tc>
    </w:tr>
    <w:tr w:rsidR="00F90806" w:rsidRPr="008377E9" w:rsidTr="009F45C5">
      <w:tc>
        <w:tcPr>
          <w:tcW w:w="9498" w:type="dxa"/>
          <w:gridSpan w:val="3"/>
          <w:shd w:val="clear" w:color="auto" w:fill="auto"/>
          <w:tcMar>
            <w:top w:w="0" w:type="dxa"/>
            <w:left w:w="108" w:type="dxa"/>
            <w:bottom w:w="0" w:type="dxa"/>
            <w:right w:w="108" w:type="dxa"/>
          </w:tcMar>
        </w:tcPr>
        <w:p w:rsidR="00F90806" w:rsidRPr="008377E9" w:rsidRDefault="00F90806" w:rsidP="00F90806">
          <w:pPr>
            <w:pStyle w:val="BodyText2"/>
            <w:jc w:val="center"/>
            <w:rPr>
              <w:lang w:val="fr-FR"/>
            </w:rPr>
          </w:pPr>
          <w:r w:rsidRPr="008377E9">
            <w:rPr>
              <w:b/>
              <w:bCs/>
              <w:sz w:val="26"/>
              <w:szCs w:val="26"/>
              <w:lang w:val="fr-FR"/>
            </w:rPr>
            <w:t>6</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rsidR="00F90806" w:rsidRPr="008377E9" w:rsidRDefault="00F90806" w:rsidP="00F90806">
          <w:pPr>
            <w:jc w:val="center"/>
            <w:rPr>
              <w:lang w:val="fr-FR"/>
            </w:rPr>
          </w:pPr>
          <w:r w:rsidRPr="008377E9">
            <w:rPr>
              <w:i/>
              <w:iCs/>
              <w:lang w:val="fr-FR"/>
            </w:rPr>
            <w:t xml:space="preserve">9-14 </w:t>
          </w:r>
          <w:proofErr w:type="gramStart"/>
          <w:r w:rsidRPr="008377E9">
            <w:rPr>
              <w:i/>
              <w:iCs/>
              <w:lang w:val="fr-FR"/>
            </w:rPr>
            <w:t>novembre</w:t>
          </w:r>
          <w:proofErr w:type="gramEnd"/>
          <w:r w:rsidRPr="008377E9">
            <w:rPr>
              <w:i/>
              <w:iCs/>
              <w:lang w:val="fr-FR"/>
            </w:rPr>
            <w:t xml:space="preserve"> 2015, Bonn, Allemagne</w:t>
          </w:r>
        </w:p>
      </w:tc>
    </w:tr>
    <w:tr w:rsidR="00F90806" w:rsidRPr="009B3CF8" w:rsidTr="009F45C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F90806" w:rsidRPr="008377E9" w:rsidRDefault="00F90806" w:rsidP="00F90806">
          <w:pPr>
            <w:pStyle w:val="BodyText2"/>
            <w:jc w:val="center"/>
            <w:rPr>
              <w:bCs/>
              <w:i/>
              <w:lang w:val="fr-FR"/>
            </w:rPr>
          </w:pPr>
          <w:r w:rsidRPr="008377E9">
            <w:rPr>
              <w:bCs/>
              <w:i/>
              <w:lang w:val="fr-FR"/>
            </w:rPr>
            <w:t>« Concrétiser la conservation au niveau de la voie de migration »</w:t>
          </w:r>
        </w:p>
      </w:tc>
    </w:tr>
  </w:tbl>
  <w:p w:rsidR="00F90806" w:rsidRDefault="00F90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31" w:rsidRPr="00F071D4" w:rsidRDefault="00FB1631">
    <w:pPr>
      <w:pStyle w:val="Header"/>
      <w:rPr>
        <w:i/>
        <w:sz w:val="18"/>
        <w:lang w:val="fr-FR"/>
      </w:rPr>
    </w:pPr>
    <w:r w:rsidRPr="00C43FAB">
      <w:rPr>
        <w:i/>
        <w:sz w:val="18"/>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CB2"/>
    <w:multiLevelType w:val="singleLevel"/>
    <w:tmpl w:val="11CACCF0"/>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8CF553F"/>
    <w:multiLevelType w:val="hybridMultilevel"/>
    <w:tmpl w:val="40B4C0C6"/>
    <w:lvl w:ilvl="0" w:tplc="A4EECFDC">
      <w:start w:val="1"/>
      <w:numFmt w:val="decimal"/>
      <w:lvlText w:val="%1."/>
      <w:lvlJc w:val="left"/>
      <w:pPr>
        <w:tabs>
          <w:tab w:val="num" w:pos="360"/>
        </w:tabs>
        <w:ind w:left="360" w:hanging="360"/>
      </w:pPr>
      <w:rPr>
        <w:rFonts w:cs="Times New Roman"/>
      </w:rPr>
    </w:lvl>
    <w:lvl w:ilvl="1" w:tplc="AB36D354" w:tentative="1">
      <w:start w:val="1"/>
      <w:numFmt w:val="lowerLetter"/>
      <w:lvlText w:val="%2."/>
      <w:lvlJc w:val="left"/>
      <w:pPr>
        <w:tabs>
          <w:tab w:val="num" w:pos="1080"/>
        </w:tabs>
        <w:ind w:left="1080" w:hanging="360"/>
      </w:pPr>
      <w:rPr>
        <w:rFonts w:cs="Times New Roman"/>
      </w:rPr>
    </w:lvl>
    <w:lvl w:ilvl="2" w:tplc="FA181324" w:tentative="1">
      <w:start w:val="1"/>
      <w:numFmt w:val="lowerRoman"/>
      <w:lvlText w:val="%3."/>
      <w:lvlJc w:val="right"/>
      <w:pPr>
        <w:tabs>
          <w:tab w:val="num" w:pos="1800"/>
        </w:tabs>
        <w:ind w:left="1800" w:hanging="180"/>
      </w:pPr>
      <w:rPr>
        <w:rFonts w:cs="Times New Roman"/>
      </w:rPr>
    </w:lvl>
    <w:lvl w:ilvl="3" w:tplc="BA78FBDA" w:tentative="1">
      <w:start w:val="1"/>
      <w:numFmt w:val="decimal"/>
      <w:lvlText w:val="%4."/>
      <w:lvlJc w:val="left"/>
      <w:pPr>
        <w:tabs>
          <w:tab w:val="num" w:pos="2520"/>
        </w:tabs>
        <w:ind w:left="2520" w:hanging="360"/>
      </w:pPr>
      <w:rPr>
        <w:rFonts w:cs="Times New Roman"/>
      </w:rPr>
    </w:lvl>
    <w:lvl w:ilvl="4" w:tplc="8774F7DA" w:tentative="1">
      <w:start w:val="1"/>
      <w:numFmt w:val="lowerLetter"/>
      <w:lvlText w:val="%5."/>
      <w:lvlJc w:val="left"/>
      <w:pPr>
        <w:tabs>
          <w:tab w:val="num" w:pos="3240"/>
        </w:tabs>
        <w:ind w:left="3240" w:hanging="360"/>
      </w:pPr>
      <w:rPr>
        <w:rFonts w:cs="Times New Roman"/>
      </w:rPr>
    </w:lvl>
    <w:lvl w:ilvl="5" w:tplc="15721B2E" w:tentative="1">
      <w:start w:val="1"/>
      <w:numFmt w:val="lowerRoman"/>
      <w:lvlText w:val="%6."/>
      <w:lvlJc w:val="right"/>
      <w:pPr>
        <w:tabs>
          <w:tab w:val="num" w:pos="3960"/>
        </w:tabs>
        <w:ind w:left="3960" w:hanging="180"/>
      </w:pPr>
      <w:rPr>
        <w:rFonts w:cs="Times New Roman"/>
      </w:rPr>
    </w:lvl>
    <w:lvl w:ilvl="6" w:tplc="0AB4F810" w:tentative="1">
      <w:start w:val="1"/>
      <w:numFmt w:val="decimal"/>
      <w:lvlText w:val="%7."/>
      <w:lvlJc w:val="left"/>
      <w:pPr>
        <w:tabs>
          <w:tab w:val="num" w:pos="4680"/>
        </w:tabs>
        <w:ind w:left="4680" w:hanging="360"/>
      </w:pPr>
      <w:rPr>
        <w:rFonts w:cs="Times New Roman"/>
      </w:rPr>
    </w:lvl>
    <w:lvl w:ilvl="7" w:tplc="47F61B58" w:tentative="1">
      <w:start w:val="1"/>
      <w:numFmt w:val="lowerLetter"/>
      <w:lvlText w:val="%8."/>
      <w:lvlJc w:val="left"/>
      <w:pPr>
        <w:tabs>
          <w:tab w:val="num" w:pos="5400"/>
        </w:tabs>
        <w:ind w:left="5400" w:hanging="360"/>
      </w:pPr>
      <w:rPr>
        <w:rFonts w:cs="Times New Roman"/>
      </w:rPr>
    </w:lvl>
    <w:lvl w:ilvl="8" w:tplc="82547380" w:tentative="1">
      <w:start w:val="1"/>
      <w:numFmt w:val="lowerRoman"/>
      <w:lvlText w:val="%9."/>
      <w:lvlJc w:val="right"/>
      <w:pPr>
        <w:tabs>
          <w:tab w:val="num" w:pos="6120"/>
        </w:tabs>
        <w:ind w:left="6120" w:hanging="180"/>
      </w:pPr>
      <w:rPr>
        <w:rFonts w:cs="Times New Roman"/>
      </w:rPr>
    </w:lvl>
  </w:abstractNum>
  <w:abstractNum w:abstractNumId="2" w15:restartNumberingAfterBreak="0">
    <w:nsid w:val="7401215A"/>
    <w:multiLevelType w:val="hybridMultilevel"/>
    <w:tmpl w:val="237E2070"/>
    <w:lvl w:ilvl="0" w:tplc="F10AABF0">
      <w:start w:val="1"/>
      <w:numFmt w:val="decimal"/>
      <w:lvlText w:val="%1."/>
      <w:lvlJc w:val="left"/>
      <w:pPr>
        <w:ind w:left="4046"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D5"/>
    <w:rsid w:val="0001017E"/>
    <w:rsid w:val="00020C1D"/>
    <w:rsid w:val="000471E5"/>
    <w:rsid w:val="000B1C7B"/>
    <w:rsid w:val="000C2F29"/>
    <w:rsid w:val="000D3670"/>
    <w:rsid w:val="000F0D3C"/>
    <w:rsid w:val="0012797A"/>
    <w:rsid w:val="00154047"/>
    <w:rsid w:val="0016397F"/>
    <w:rsid w:val="001D60EA"/>
    <w:rsid w:val="001E3A1F"/>
    <w:rsid w:val="00201615"/>
    <w:rsid w:val="00207D25"/>
    <w:rsid w:val="0022460A"/>
    <w:rsid w:val="00234DD3"/>
    <w:rsid w:val="002438B0"/>
    <w:rsid w:val="00252BFF"/>
    <w:rsid w:val="00253C26"/>
    <w:rsid w:val="00257559"/>
    <w:rsid w:val="0028675D"/>
    <w:rsid w:val="00292EA1"/>
    <w:rsid w:val="002C68EC"/>
    <w:rsid w:val="002E71F1"/>
    <w:rsid w:val="002F2471"/>
    <w:rsid w:val="003220B4"/>
    <w:rsid w:val="00365DEF"/>
    <w:rsid w:val="003A2F28"/>
    <w:rsid w:val="003A3FC5"/>
    <w:rsid w:val="003C724D"/>
    <w:rsid w:val="003F6F84"/>
    <w:rsid w:val="0044372C"/>
    <w:rsid w:val="0045246F"/>
    <w:rsid w:val="0045499F"/>
    <w:rsid w:val="004A3549"/>
    <w:rsid w:val="004B2C06"/>
    <w:rsid w:val="004C0FDD"/>
    <w:rsid w:val="004C1540"/>
    <w:rsid w:val="00516058"/>
    <w:rsid w:val="005407AA"/>
    <w:rsid w:val="00554E6D"/>
    <w:rsid w:val="005639F1"/>
    <w:rsid w:val="005907B0"/>
    <w:rsid w:val="00597756"/>
    <w:rsid w:val="005B1C85"/>
    <w:rsid w:val="005B739E"/>
    <w:rsid w:val="005C0BDB"/>
    <w:rsid w:val="00601DA5"/>
    <w:rsid w:val="00606601"/>
    <w:rsid w:val="006225B0"/>
    <w:rsid w:val="006270C2"/>
    <w:rsid w:val="00643F8E"/>
    <w:rsid w:val="00645A28"/>
    <w:rsid w:val="00686A69"/>
    <w:rsid w:val="006960C7"/>
    <w:rsid w:val="006B7BDA"/>
    <w:rsid w:val="006D4527"/>
    <w:rsid w:val="00743E9C"/>
    <w:rsid w:val="007554C9"/>
    <w:rsid w:val="00786EF9"/>
    <w:rsid w:val="00791FD0"/>
    <w:rsid w:val="007A2040"/>
    <w:rsid w:val="00876DE1"/>
    <w:rsid w:val="008A317C"/>
    <w:rsid w:val="008C03C4"/>
    <w:rsid w:val="008F016F"/>
    <w:rsid w:val="00906860"/>
    <w:rsid w:val="00951D77"/>
    <w:rsid w:val="009F26C7"/>
    <w:rsid w:val="00A347CA"/>
    <w:rsid w:val="00A4165E"/>
    <w:rsid w:val="00A6257C"/>
    <w:rsid w:val="00A7362B"/>
    <w:rsid w:val="00A84E67"/>
    <w:rsid w:val="00A8701F"/>
    <w:rsid w:val="00A94B5C"/>
    <w:rsid w:val="00AA661B"/>
    <w:rsid w:val="00AE0181"/>
    <w:rsid w:val="00B00F74"/>
    <w:rsid w:val="00B30E3D"/>
    <w:rsid w:val="00B4495D"/>
    <w:rsid w:val="00B70595"/>
    <w:rsid w:val="00B72372"/>
    <w:rsid w:val="00B85EC3"/>
    <w:rsid w:val="00B923AC"/>
    <w:rsid w:val="00B9596C"/>
    <w:rsid w:val="00BD0902"/>
    <w:rsid w:val="00C41823"/>
    <w:rsid w:val="00C43FAB"/>
    <w:rsid w:val="00C67256"/>
    <w:rsid w:val="00C70E7D"/>
    <w:rsid w:val="00CA20C0"/>
    <w:rsid w:val="00D05FD0"/>
    <w:rsid w:val="00D117F0"/>
    <w:rsid w:val="00D15021"/>
    <w:rsid w:val="00D33FED"/>
    <w:rsid w:val="00D715EB"/>
    <w:rsid w:val="00D73AD2"/>
    <w:rsid w:val="00D863D5"/>
    <w:rsid w:val="00DA7EB8"/>
    <w:rsid w:val="00DD4AFB"/>
    <w:rsid w:val="00DD647A"/>
    <w:rsid w:val="00E6344C"/>
    <w:rsid w:val="00E8104C"/>
    <w:rsid w:val="00E974FC"/>
    <w:rsid w:val="00F071D4"/>
    <w:rsid w:val="00F13A1B"/>
    <w:rsid w:val="00F64136"/>
    <w:rsid w:val="00F71522"/>
    <w:rsid w:val="00F83598"/>
    <w:rsid w:val="00F90806"/>
    <w:rsid w:val="00FA4F4D"/>
    <w:rsid w:val="00FB1579"/>
    <w:rsid w:val="00FB1631"/>
    <w:rsid w:val="00FF2FF2"/>
    <w:rsid w:val="00FF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F36C843-535B-454C-A11C-49B2F95E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0EA"/>
    <w:rPr>
      <w:sz w:val="24"/>
      <w:szCs w:val="24"/>
      <w:lang w:eastAsia="en-US"/>
    </w:rPr>
  </w:style>
  <w:style w:type="paragraph" w:styleId="Heading1">
    <w:name w:val="heading 1"/>
    <w:basedOn w:val="Normal"/>
    <w:next w:val="Normal"/>
    <w:qFormat/>
    <w:rsid w:val="001D60E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60EA"/>
    <w:pPr>
      <w:keepNext/>
      <w:outlineLvl w:val="1"/>
    </w:pPr>
    <w:rPr>
      <w:rFonts w:ascii="Arial" w:hAnsi="Arial" w:cs="Arial"/>
      <w:b/>
      <w:bCs/>
      <w:sz w:val="16"/>
      <w:lang w:val="en-US"/>
    </w:rPr>
  </w:style>
  <w:style w:type="paragraph" w:styleId="Heading3">
    <w:name w:val="heading 3"/>
    <w:basedOn w:val="Normal"/>
    <w:next w:val="Normal"/>
    <w:qFormat/>
    <w:rsid w:val="001D60EA"/>
    <w:pPr>
      <w:keepNext/>
      <w:outlineLvl w:val="2"/>
    </w:pPr>
    <w:rPr>
      <w:rFonts w:ascii="Arial" w:hAnsi="Arial" w:cs="Arial"/>
      <w:b/>
      <w:bCs/>
      <w:sz w:val="22"/>
      <w:lang w:val="en-US"/>
    </w:rPr>
  </w:style>
  <w:style w:type="paragraph" w:styleId="Heading4">
    <w:name w:val="heading 4"/>
    <w:basedOn w:val="Normal"/>
    <w:next w:val="Normal"/>
    <w:qFormat/>
    <w:rsid w:val="001D60EA"/>
    <w:pPr>
      <w:keepNext/>
      <w:jc w:val="center"/>
      <w:outlineLvl w:val="3"/>
    </w:pPr>
    <w:rPr>
      <w:rFonts w:ascii="Arial" w:hAnsi="Arial" w:cs="Arial"/>
      <w:b/>
      <w:bCs/>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0EA"/>
    <w:pPr>
      <w:tabs>
        <w:tab w:val="center" w:pos="4153"/>
        <w:tab w:val="right" w:pos="8306"/>
      </w:tabs>
    </w:pPr>
  </w:style>
  <w:style w:type="paragraph" w:styleId="Footer">
    <w:name w:val="footer"/>
    <w:basedOn w:val="Normal"/>
    <w:link w:val="FooterChar"/>
    <w:uiPriority w:val="99"/>
    <w:rsid w:val="001D60EA"/>
    <w:pPr>
      <w:tabs>
        <w:tab w:val="center" w:pos="4153"/>
        <w:tab w:val="right" w:pos="8306"/>
      </w:tabs>
    </w:pPr>
  </w:style>
  <w:style w:type="paragraph" w:styleId="BalloonText">
    <w:name w:val="Balloon Text"/>
    <w:basedOn w:val="Normal"/>
    <w:link w:val="BalloonTextChar"/>
    <w:semiHidden/>
    <w:rsid w:val="00D863D5"/>
    <w:rPr>
      <w:rFonts w:ascii="Tahoma" w:hAnsi="Tahoma" w:cs="Tahoma"/>
      <w:sz w:val="16"/>
      <w:szCs w:val="16"/>
    </w:rPr>
  </w:style>
  <w:style w:type="character" w:customStyle="1" w:styleId="BalloonTextChar">
    <w:name w:val="Balloon Text Char"/>
    <w:link w:val="BalloonText"/>
    <w:rsid w:val="00D863D5"/>
    <w:rPr>
      <w:rFonts w:ascii="Tahoma" w:hAnsi="Tahoma" w:cs="Tahoma"/>
      <w:sz w:val="16"/>
      <w:szCs w:val="16"/>
      <w:lang w:val="en-GB" w:eastAsia="en-US"/>
    </w:rPr>
  </w:style>
  <w:style w:type="character" w:styleId="Emphasis">
    <w:name w:val="Emphasis"/>
    <w:qFormat/>
    <w:rsid w:val="00F071D4"/>
    <w:rPr>
      <w:rFonts w:cs="Times New Roman"/>
      <w:i/>
      <w:iCs/>
    </w:rPr>
  </w:style>
  <w:style w:type="paragraph" w:styleId="BodyTextIndent">
    <w:name w:val="Body Text Indent"/>
    <w:basedOn w:val="Normal"/>
    <w:link w:val="BodyTextIndentChar"/>
    <w:rsid w:val="00F071D4"/>
  </w:style>
  <w:style w:type="character" w:customStyle="1" w:styleId="BodyTextIndentChar">
    <w:name w:val="Body Text Indent Char"/>
    <w:link w:val="BodyTextIndent"/>
    <w:rsid w:val="00F071D4"/>
    <w:rPr>
      <w:rFonts w:cs="Times New Roman"/>
      <w:sz w:val="24"/>
      <w:szCs w:val="24"/>
      <w:lang w:val="en-GB" w:eastAsia="en-US"/>
    </w:rPr>
  </w:style>
  <w:style w:type="character" w:customStyle="1" w:styleId="FooterChar">
    <w:name w:val="Footer Char"/>
    <w:link w:val="Footer"/>
    <w:uiPriority w:val="99"/>
    <w:rsid w:val="00F071D4"/>
    <w:rPr>
      <w:rFonts w:cs="Times New Roman"/>
      <w:sz w:val="24"/>
      <w:szCs w:val="24"/>
      <w:lang w:val="en-GB" w:eastAsia="en-US"/>
    </w:rPr>
  </w:style>
  <w:style w:type="paragraph" w:styleId="ListParagraph">
    <w:name w:val="List Paragraph"/>
    <w:basedOn w:val="Normal"/>
    <w:qFormat/>
    <w:rsid w:val="00C43FAB"/>
    <w:pPr>
      <w:suppressAutoHyphens/>
      <w:autoSpaceDN w:val="0"/>
      <w:ind w:left="720"/>
      <w:contextualSpacing/>
      <w:textAlignment w:val="baseline"/>
    </w:pPr>
    <w:rPr>
      <w:snapToGrid w:val="0"/>
      <w:lang w:eastAsia="fr-FR"/>
    </w:rPr>
  </w:style>
  <w:style w:type="paragraph" w:styleId="FootnoteText">
    <w:name w:val="footnote text"/>
    <w:basedOn w:val="Normal"/>
    <w:link w:val="FootnoteTextChar"/>
    <w:uiPriority w:val="99"/>
    <w:semiHidden/>
    <w:unhideWhenUsed/>
    <w:rsid w:val="00DA7EB8"/>
    <w:rPr>
      <w:sz w:val="20"/>
      <w:szCs w:val="20"/>
    </w:rPr>
  </w:style>
  <w:style w:type="character" w:customStyle="1" w:styleId="FootnoteTextChar">
    <w:name w:val="Footnote Text Char"/>
    <w:link w:val="FootnoteText"/>
    <w:uiPriority w:val="99"/>
    <w:semiHidden/>
    <w:rsid w:val="00DA7EB8"/>
    <w:rPr>
      <w:lang w:eastAsia="en-US"/>
    </w:rPr>
  </w:style>
  <w:style w:type="character" w:styleId="FootnoteReference">
    <w:name w:val="footnote reference"/>
    <w:uiPriority w:val="99"/>
    <w:semiHidden/>
    <w:unhideWhenUsed/>
    <w:rsid w:val="00DA7EB8"/>
    <w:rPr>
      <w:vertAlign w:val="superscript"/>
    </w:rPr>
  </w:style>
  <w:style w:type="paragraph" w:styleId="BodyText2">
    <w:name w:val="Body Text 2"/>
    <w:basedOn w:val="Normal"/>
    <w:link w:val="BodyText2Char"/>
    <w:uiPriority w:val="99"/>
    <w:semiHidden/>
    <w:unhideWhenUsed/>
    <w:rsid w:val="00FB1631"/>
    <w:pPr>
      <w:spacing w:after="120" w:line="480" w:lineRule="auto"/>
    </w:pPr>
  </w:style>
  <w:style w:type="character" w:customStyle="1" w:styleId="BodyText2Char">
    <w:name w:val="Body Text 2 Char"/>
    <w:basedOn w:val="DefaultParagraphFont"/>
    <w:link w:val="BodyText2"/>
    <w:uiPriority w:val="99"/>
    <w:semiHidden/>
    <w:rsid w:val="00FB1631"/>
    <w:rPr>
      <w:sz w:val="24"/>
      <w:szCs w:val="24"/>
      <w:lang w:eastAsia="en-US"/>
    </w:rPr>
  </w:style>
  <w:style w:type="character" w:customStyle="1" w:styleId="hps">
    <w:name w:val="hps"/>
    <w:basedOn w:val="DefaultParagraphFont"/>
    <w:rsid w:val="0069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JNGA~1.CON\AppData\Local\Temp\Pacta\EtatPresent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C91AE-F024-4916-BA48-D699B030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EtatPresentFR</Template>
  <TotalTime>1</TotalTime>
  <Pages>2</Pages>
  <Words>1080</Words>
  <Characters>5865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Verdrag</vt:lpstr>
      <vt:lpstr>Verdrag</vt:lpstr>
    </vt:vector>
  </TitlesOfParts>
  <Company>Ordina Public MCC</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Verdrag</dc:title>
  <dc:subject/>
  <dc:creator>C. van der Wijngaard</dc:creator>
  <cp:keywords/>
  <dc:description/>
  <cp:lastModifiedBy>Melanie Jakuttek (UNEP/AEWA Secretariat)</cp:lastModifiedBy>
  <cp:revision>2</cp:revision>
  <cp:lastPrinted>2015-11-13T22:04:00Z</cp:lastPrinted>
  <dcterms:created xsi:type="dcterms:W3CDTF">2015-11-27T09:39:00Z</dcterms:created>
  <dcterms:modified xsi:type="dcterms:W3CDTF">2015-11-27T09:39:00Z</dcterms:modified>
</cp:coreProperties>
</file>