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BC" w:rsidRPr="001B27BC" w:rsidRDefault="001B27BC" w:rsidP="001B27BC">
      <w:pPr>
        <w:jc w:val="center"/>
        <w:rPr>
          <w:b/>
          <w:sz w:val="6"/>
          <w:szCs w:val="6"/>
        </w:rPr>
      </w:pPr>
    </w:p>
    <w:p w:rsidR="001B27BC" w:rsidRDefault="001B27BC" w:rsidP="001B27BC">
      <w:pPr>
        <w:jc w:val="center"/>
        <w:rPr>
          <w:b/>
        </w:rPr>
      </w:pPr>
      <w:r>
        <w:rPr>
          <w:b/>
        </w:rPr>
        <w:t xml:space="preserve">ESTABLISHMENT AND OPERATION OF </w:t>
      </w:r>
    </w:p>
    <w:p w:rsidR="001B27BC" w:rsidRDefault="001B27BC" w:rsidP="001B27BC">
      <w:pPr>
        <w:jc w:val="center"/>
        <w:rPr>
          <w:b/>
        </w:rPr>
      </w:pPr>
      <w:r>
        <w:rPr>
          <w:b/>
        </w:rPr>
        <w:t>A EUROPEAN GOOSE MANAGEMENT PLATFORM</w:t>
      </w:r>
    </w:p>
    <w:p w:rsidR="001B27BC" w:rsidRDefault="001B27BC" w:rsidP="001B27BC">
      <w:pPr>
        <w:jc w:val="center"/>
      </w:pPr>
    </w:p>
    <w:p w:rsidR="001B27BC" w:rsidRPr="001B27BC" w:rsidRDefault="001B27BC" w:rsidP="001B27BC">
      <w:pPr>
        <w:jc w:val="center"/>
        <w:rPr>
          <w:i/>
        </w:rPr>
      </w:pPr>
      <w:r w:rsidRPr="001B27BC">
        <w:rPr>
          <w:i/>
        </w:rPr>
        <w:t>- Draft Declaration -</w:t>
      </w:r>
    </w:p>
    <w:p w:rsidR="001B27BC" w:rsidRDefault="001B27BC" w:rsidP="001B27BC">
      <w:pPr>
        <w:rPr>
          <w:sz w:val="22"/>
          <w:szCs w:val="22"/>
        </w:rPr>
      </w:pPr>
    </w:p>
    <w:p w:rsidR="001B27BC" w:rsidRDefault="001B27BC" w:rsidP="001B27BC">
      <w:pPr>
        <w:ind w:firstLine="708"/>
        <w:jc w:val="both"/>
        <w:rPr>
          <w:i/>
        </w:rPr>
      </w:pPr>
    </w:p>
    <w:p w:rsidR="001B27BC" w:rsidRPr="005C0472" w:rsidRDefault="001B27BC" w:rsidP="001B27BC">
      <w:pPr>
        <w:ind w:firstLine="708"/>
        <w:jc w:val="both"/>
        <w:rPr>
          <w:sz w:val="22"/>
          <w:szCs w:val="22"/>
        </w:rPr>
      </w:pPr>
      <w:r w:rsidRPr="005C0472">
        <w:rPr>
          <w:i/>
          <w:sz w:val="22"/>
          <w:szCs w:val="22"/>
        </w:rPr>
        <w:t xml:space="preserve">Acknowledging </w:t>
      </w:r>
      <w:r w:rsidRPr="005C0472">
        <w:rPr>
          <w:sz w:val="22"/>
          <w:szCs w:val="22"/>
        </w:rPr>
        <w:t>the important need for international, shared approaches to the management of goose populations in order to ensure their sustainable use</w:t>
      </w:r>
      <w:r w:rsidR="00823AFC">
        <w:rPr>
          <w:sz w:val="22"/>
          <w:szCs w:val="22"/>
        </w:rPr>
        <w:t>,</w:t>
      </w:r>
      <w:r w:rsidRPr="005C0472">
        <w:rPr>
          <w:sz w:val="22"/>
          <w:szCs w:val="22"/>
        </w:rPr>
        <w:t xml:space="preserve"> and mitigate conflicts with agricultural, air safety and ecological interests, whilst ensuring their favourable conservation status, as well as the provision of ecosystem services, including recreation,</w:t>
      </w:r>
    </w:p>
    <w:p w:rsidR="001B27BC" w:rsidRPr="005C0472" w:rsidRDefault="001B27BC" w:rsidP="001B27BC">
      <w:pPr>
        <w:ind w:firstLine="708"/>
        <w:jc w:val="both"/>
        <w:rPr>
          <w:sz w:val="22"/>
          <w:szCs w:val="22"/>
        </w:rPr>
      </w:pPr>
    </w:p>
    <w:p w:rsidR="001B27BC" w:rsidRPr="005C0472" w:rsidRDefault="001B27BC" w:rsidP="001B27BC">
      <w:pPr>
        <w:ind w:firstLine="708"/>
        <w:jc w:val="both"/>
        <w:rPr>
          <w:sz w:val="22"/>
          <w:szCs w:val="22"/>
        </w:rPr>
      </w:pPr>
      <w:r w:rsidRPr="005C0472">
        <w:rPr>
          <w:i/>
          <w:sz w:val="22"/>
          <w:szCs w:val="22"/>
        </w:rPr>
        <w:t>Recalling</w:t>
      </w:r>
      <w:r w:rsidRPr="005C0472">
        <w:rPr>
          <w:sz w:val="22"/>
          <w:szCs w:val="22"/>
        </w:rPr>
        <w:t xml:space="preserve"> that Article III 2b of the Agreement requires that Parties shall “</w:t>
      </w:r>
      <w:r w:rsidRPr="005C0472">
        <w:rPr>
          <w:i/>
          <w:sz w:val="22"/>
          <w:szCs w:val="22"/>
        </w:rPr>
        <w:t xml:space="preserve">ensure that any use of migratory </w:t>
      </w:r>
      <w:proofErr w:type="spellStart"/>
      <w:r w:rsidRPr="005C0472">
        <w:rPr>
          <w:i/>
          <w:sz w:val="22"/>
          <w:szCs w:val="22"/>
        </w:rPr>
        <w:t>waterbirds</w:t>
      </w:r>
      <w:proofErr w:type="spellEnd"/>
      <w:r w:rsidRPr="005C0472">
        <w:rPr>
          <w:i/>
          <w:sz w:val="22"/>
          <w:szCs w:val="22"/>
        </w:rPr>
        <w:t xml:space="preserve"> is based on an assessment of the best available knowledge of their ecology and is sustainable for the species as well as for the ecological systems that support them”</w:t>
      </w:r>
      <w:r w:rsidRPr="005C0472">
        <w:rPr>
          <w:sz w:val="22"/>
          <w:szCs w:val="22"/>
        </w:rPr>
        <w:t>,</w:t>
      </w:r>
    </w:p>
    <w:p w:rsidR="001B27BC" w:rsidRPr="005C0472" w:rsidRDefault="001B27BC" w:rsidP="001B27BC">
      <w:pPr>
        <w:jc w:val="both"/>
        <w:rPr>
          <w:sz w:val="22"/>
          <w:szCs w:val="22"/>
        </w:rPr>
      </w:pPr>
    </w:p>
    <w:p w:rsidR="001B27BC" w:rsidRPr="005C0472" w:rsidRDefault="001B27BC" w:rsidP="001B27BC">
      <w:pPr>
        <w:ind w:firstLine="708"/>
        <w:jc w:val="both"/>
        <w:rPr>
          <w:sz w:val="22"/>
          <w:szCs w:val="22"/>
        </w:rPr>
      </w:pPr>
      <w:r w:rsidRPr="005C0472">
        <w:rPr>
          <w:i/>
          <w:sz w:val="22"/>
          <w:szCs w:val="22"/>
        </w:rPr>
        <w:t>Noting</w:t>
      </w:r>
      <w:r w:rsidRPr="005C0472">
        <w:rPr>
          <w:sz w:val="22"/>
          <w:szCs w:val="22"/>
        </w:rPr>
        <w:t xml:space="preserve"> that the need to ensure the sustainability of any use of migratory </w:t>
      </w:r>
      <w:proofErr w:type="spellStart"/>
      <w:r w:rsidRPr="005C0472">
        <w:rPr>
          <w:sz w:val="22"/>
          <w:szCs w:val="22"/>
        </w:rPr>
        <w:t>waterbirds</w:t>
      </w:r>
      <w:proofErr w:type="spellEnd"/>
      <w:r w:rsidRPr="005C0472">
        <w:rPr>
          <w:sz w:val="22"/>
          <w:szCs w:val="22"/>
        </w:rPr>
        <w:t xml:space="preserve"> is a central theme of the Agreement’s Action Plan, and has been and continues to be the focus of much consideration by Contracting Parties, </w:t>
      </w:r>
    </w:p>
    <w:p w:rsidR="001B27BC" w:rsidRPr="005C0472" w:rsidRDefault="001B27BC" w:rsidP="001B27BC">
      <w:pPr>
        <w:ind w:firstLine="708"/>
        <w:jc w:val="both"/>
        <w:rPr>
          <w:sz w:val="22"/>
          <w:szCs w:val="22"/>
        </w:rPr>
      </w:pPr>
    </w:p>
    <w:p w:rsidR="001B27BC" w:rsidRPr="005C0472" w:rsidRDefault="001B27BC" w:rsidP="001B27BC">
      <w:pPr>
        <w:ind w:firstLine="708"/>
        <w:jc w:val="both"/>
        <w:rPr>
          <w:sz w:val="22"/>
          <w:szCs w:val="22"/>
        </w:rPr>
      </w:pPr>
      <w:r w:rsidRPr="005C0472">
        <w:rPr>
          <w:i/>
          <w:sz w:val="22"/>
          <w:szCs w:val="22"/>
        </w:rPr>
        <w:t>Aware</w:t>
      </w:r>
      <w:r w:rsidRPr="005C0472">
        <w:rPr>
          <w:sz w:val="22"/>
          <w:szCs w:val="22"/>
        </w:rPr>
        <w:t xml:space="preserve"> that biological assessments of sustainability rely on population-scale measures of survival and productivity, information about which is not equally available across </w:t>
      </w:r>
      <w:proofErr w:type="spellStart"/>
      <w:r w:rsidRPr="005C0472">
        <w:rPr>
          <w:sz w:val="22"/>
          <w:szCs w:val="22"/>
        </w:rPr>
        <w:t>waterbird</w:t>
      </w:r>
      <w:proofErr w:type="spellEnd"/>
      <w:r w:rsidRPr="005C0472">
        <w:rPr>
          <w:sz w:val="22"/>
          <w:szCs w:val="22"/>
        </w:rPr>
        <w:t xml:space="preserve"> populations, and further aware that internationally harmonised programmes to collate relevant data and information have yet to be realised,</w:t>
      </w:r>
    </w:p>
    <w:p w:rsidR="001B27BC" w:rsidRPr="005C0472" w:rsidRDefault="001B27BC" w:rsidP="001B27BC">
      <w:pPr>
        <w:jc w:val="both"/>
        <w:rPr>
          <w:sz w:val="22"/>
          <w:szCs w:val="22"/>
        </w:rPr>
      </w:pPr>
    </w:p>
    <w:p w:rsidR="001B27BC" w:rsidRPr="005C0472" w:rsidRDefault="001B27BC" w:rsidP="001B27BC">
      <w:pPr>
        <w:ind w:firstLine="708"/>
        <w:jc w:val="both"/>
        <w:rPr>
          <w:sz w:val="22"/>
          <w:szCs w:val="22"/>
        </w:rPr>
      </w:pPr>
      <w:r w:rsidRPr="005C0472">
        <w:rPr>
          <w:i/>
          <w:sz w:val="22"/>
          <w:szCs w:val="22"/>
        </w:rPr>
        <w:t>Noting</w:t>
      </w:r>
      <w:r w:rsidRPr="005C0472">
        <w:rPr>
          <w:sz w:val="22"/>
          <w:szCs w:val="22"/>
        </w:rPr>
        <w:t xml:space="preserve"> the conclusions of the international conference on goose management in Europe that was hosted by the Danish Nature Agency and Aarhus University on 27-29 October 2015 (</w:t>
      </w:r>
      <w:hyperlink r:id="rId6" w:history="1">
        <w:r w:rsidRPr="005C0472">
          <w:rPr>
            <w:rStyle w:val="Hyperlink"/>
            <w:sz w:val="22"/>
            <w:szCs w:val="22"/>
          </w:rPr>
          <w:t>document AEWA/MOP Inf. 6.14</w:t>
        </w:r>
      </w:hyperlink>
      <w:r w:rsidRPr="005C0472">
        <w:rPr>
          <w:sz w:val="22"/>
          <w:szCs w:val="22"/>
        </w:rPr>
        <w:t>) and recognising the need for an internationally coordinated management approach to the Barnacle Goose (</w:t>
      </w:r>
      <w:proofErr w:type="spellStart"/>
      <w:r w:rsidRPr="005C0472">
        <w:rPr>
          <w:i/>
          <w:sz w:val="22"/>
          <w:szCs w:val="22"/>
        </w:rPr>
        <w:t>Branta</w:t>
      </w:r>
      <w:proofErr w:type="spellEnd"/>
      <w:r w:rsidRPr="005C0472">
        <w:rPr>
          <w:i/>
          <w:sz w:val="22"/>
          <w:szCs w:val="22"/>
        </w:rPr>
        <w:t xml:space="preserve"> </w:t>
      </w:r>
      <w:proofErr w:type="spellStart"/>
      <w:r w:rsidRPr="005C0472">
        <w:rPr>
          <w:i/>
          <w:sz w:val="22"/>
          <w:szCs w:val="22"/>
        </w:rPr>
        <w:t>leucopsis</w:t>
      </w:r>
      <w:proofErr w:type="spellEnd"/>
      <w:r w:rsidRPr="005C0472">
        <w:rPr>
          <w:sz w:val="22"/>
          <w:szCs w:val="22"/>
        </w:rPr>
        <w:t>), as well as other goose species in Europe whose great abundance causes significant conflicts,</w:t>
      </w:r>
    </w:p>
    <w:p w:rsidR="001B27BC" w:rsidRPr="005C0472" w:rsidRDefault="001B27BC" w:rsidP="001B27BC">
      <w:pPr>
        <w:jc w:val="both"/>
        <w:rPr>
          <w:sz w:val="22"/>
          <w:szCs w:val="22"/>
        </w:rPr>
      </w:pPr>
    </w:p>
    <w:p w:rsidR="005C0472" w:rsidRDefault="001B27BC" w:rsidP="001B27BC">
      <w:pPr>
        <w:ind w:firstLine="708"/>
        <w:jc w:val="both"/>
        <w:rPr>
          <w:sz w:val="22"/>
          <w:szCs w:val="22"/>
        </w:rPr>
      </w:pPr>
      <w:r w:rsidRPr="005C0472">
        <w:rPr>
          <w:i/>
          <w:sz w:val="22"/>
          <w:szCs w:val="22"/>
        </w:rPr>
        <w:t>Further noting</w:t>
      </w:r>
      <w:r w:rsidRPr="005C0472">
        <w:rPr>
          <w:sz w:val="22"/>
          <w:szCs w:val="22"/>
        </w:rPr>
        <w:t xml:space="preserve"> the request from the 6</w:t>
      </w:r>
      <w:r w:rsidRPr="005C0472">
        <w:rPr>
          <w:sz w:val="22"/>
          <w:szCs w:val="22"/>
          <w:vertAlign w:val="superscript"/>
        </w:rPr>
        <w:t>th</w:t>
      </w:r>
      <w:r w:rsidRPr="005C0472">
        <w:rPr>
          <w:sz w:val="22"/>
          <w:szCs w:val="22"/>
        </w:rPr>
        <w:t xml:space="preserve"> Session of the Meeting of Parties to AEWA to the UNEP/AEWA Secretariat to facilitate, subject to the availability of financial resources, the establishment of a European multispecies goose management platform and process to address sustainable use of goose populations and to provide for the resolution of human-goose conflicts, targeting as a matter of priority, Barnacle (</w:t>
      </w:r>
      <w:proofErr w:type="spellStart"/>
      <w:r w:rsidRPr="005C0472">
        <w:rPr>
          <w:i/>
          <w:sz w:val="22"/>
          <w:szCs w:val="22"/>
        </w:rPr>
        <w:t>Branta</w:t>
      </w:r>
      <w:proofErr w:type="spellEnd"/>
      <w:r w:rsidRPr="005C0472">
        <w:rPr>
          <w:i/>
          <w:sz w:val="22"/>
          <w:szCs w:val="22"/>
        </w:rPr>
        <w:t xml:space="preserve"> </w:t>
      </w:r>
      <w:proofErr w:type="spellStart"/>
      <w:r w:rsidRPr="005C0472">
        <w:rPr>
          <w:i/>
          <w:sz w:val="22"/>
          <w:szCs w:val="22"/>
        </w:rPr>
        <w:t>leucopsis</w:t>
      </w:r>
      <w:proofErr w:type="spellEnd"/>
      <w:r w:rsidRPr="005C0472">
        <w:rPr>
          <w:sz w:val="22"/>
          <w:szCs w:val="22"/>
        </w:rPr>
        <w:t>) and Greylag (</w:t>
      </w:r>
      <w:r w:rsidRPr="005C0472">
        <w:rPr>
          <w:i/>
          <w:sz w:val="22"/>
          <w:szCs w:val="22"/>
        </w:rPr>
        <w:t xml:space="preserve">Anser </w:t>
      </w:r>
      <w:proofErr w:type="spellStart"/>
      <w:r w:rsidRPr="005C0472">
        <w:rPr>
          <w:i/>
          <w:sz w:val="22"/>
          <w:szCs w:val="22"/>
        </w:rPr>
        <w:t>anser</w:t>
      </w:r>
      <w:proofErr w:type="spellEnd"/>
      <w:r w:rsidRPr="005C0472">
        <w:rPr>
          <w:sz w:val="22"/>
          <w:szCs w:val="22"/>
        </w:rPr>
        <w:t>) Geese populations for which management plans are yet to be developed, as well as the Svalbard population of the Pink-footed Goose (</w:t>
      </w:r>
      <w:r w:rsidRPr="005C0472">
        <w:rPr>
          <w:i/>
          <w:sz w:val="22"/>
          <w:szCs w:val="22"/>
        </w:rPr>
        <w:t xml:space="preserve">Anser </w:t>
      </w:r>
      <w:proofErr w:type="spellStart"/>
      <w:r w:rsidRPr="005C0472">
        <w:rPr>
          <w:i/>
          <w:sz w:val="22"/>
          <w:szCs w:val="22"/>
        </w:rPr>
        <w:t>brachyrhynchus</w:t>
      </w:r>
      <w:proofErr w:type="spellEnd"/>
      <w:r w:rsidRPr="005C0472">
        <w:rPr>
          <w:sz w:val="22"/>
          <w:szCs w:val="22"/>
        </w:rPr>
        <w:t>) and the Taiga Bean Goose (</w:t>
      </w:r>
      <w:r w:rsidRPr="005C0472">
        <w:rPr>
          <w:i/>
          <w:sz w:val="22"/>
          <w:szCs w:val="22"/>
        </w:rPr>
        <w:t xml:space="preserve">Anser </w:t>
      </w:r>
      <w:proofErr w:type="spellStart"/>
      <w:r w:rsidRPr="005C0472">
        <w:rPr>
          <w:i/>
          <w:sz w:val="22"/>
          <w:szCs w:val="22"/>
        </w:rPr>
        <w:t>fabalis</w:t>
      </w:r>
      <w:proofErr w:type="spellEnd"/>
      <w:r w:rsidRPr="005C0472">
        <w:rPr>
          <w:i/>
          <w:sz w:val="22"/>
          <w:szCs w:val="22"/>
        </w:rPr>
        <w:t xml:space="preserve"> </w:t>
      </w:r>
      <w:proofErr w:type="spellStart"/>
      <w:r w:rsidRPr="005C0472">
        <w:rPr>
          <w:i/>
          <w:sz w:val="22"/>
          <w:szCs w:val="22"/>
        </w:rPr>
        <w:t>fabalis</w:t>
      </w:r>
      <w:proofErr w:type="spellEnd"/>
      <w:r w:rsidRPr="005C0472">
        <w:rPr>
          <w:sz w:val="22"/>
          <w:szCs w:val="22"/>
        </w:rPr>
        <w:t>) for which plans are already in place, and to invite interested Parties, Range States and other stakeholders to engage pro-actively in this initiative, including by providing appropriate resources for the maintenance and the functioning of the platform, and to report progress to MOP7 (</w:t>
      </w:r>
      <w:hyperlink r:id="rId7" w:history="1">
        <w:r w:rsidRPr="005C0472">
          <w:rPr>
            <w:rStyle w:val="Hyperlink"/>
            <w:sz w:val="22"/>
            <w:szCs w:val="22"/>
          </w:rPr>
          <w:t>AEWA Resolution 6.4</w:t>
        </w:r>
      </w:hyperlink>
      <w:r w:rsidRPr="005C0472">
        <w:rPr>
          <w:sz w:val="22"/>
          <w:szCs w:val="22"/>
        </w:rPr>
        <w:t>)</w:t>
      </w:r>
      <w:r w:rsidR="005C0472">
        <w:rPr>
          <w:sz w:val="22"/>
          <w:szCs w:val="22"/>
        </w:rPr>
        <w:t>.</w:t>
      </w:r>
    </w:p>
    <w:p w:rsidR="005C0472" w:rsidRDefault="005C0472" w:rsidP="001B27BC">
      <w:pPr>
        <w:ind w:firstLine="708"/>
        <w:jc w:val="both"/>
        <w:rPr>
          <w:sz w:val="22"/>
          <w:szCs w:val="22"/>
        </w:rPr>
      </w:pPr>
    </w:p>
    <w:p w:rsidR="005C0472" w:rsidRDefault="005C0472" w:rsidP="001B27BC">
      <w:pPr>
        <w:ind w:firstLine="708"/>
        <w:jc w:val="both"/>
        <w:rPr>
          <w:sz w:val="22"/>
          <w:szCs w:val="22"/>
        </w:rPr>
      </w:pPr>
    </w:p>
    <w:p w:rsidR="005C0472" w:rsidRPr="005C0472" w:rsidRDefault="005C0472" w:rsidP="005C0472">
      <w:pPr>
        <w:jc w:val="both"/>
        <w:rPr>
          <w:sz w:val="22"/>
          <w:szCs w:val="22"/>
        </w:rPr>
      </w:pPr>
      <w:r w:rsidRPr="005C0472">
        <w:rPr>
          <w:sz w:val="22"/>
          <w:szCs w:val="22"/>
        </w:rPr>
        <w:t>The countries attending this meeting:</w:t>
      </w:r>
    </w:p>
    <w:p w:rsidR="005C0472" w:rsidRPr="005C0472" w:rsidRDefault="005C0472" w:rsidP="005C0472">
      <w:pPr>
        <w:jc w:val="both"/>
        <w:rPr>
          <w:sz w:val="22"/>
          <w:szCs w:val="22"/>
        </w:rPr>
      </w:pPr>
    </w:p>
    <w:p w:rsidR="005C0472" w:rsidRPr="005C0472" w:rsidRDefault="005C0472" w:rsidP="005C0472">
      <w:pPr>
        <w:jc w:val="both"/>
        <w:rPr>
          <w:sz w:val="22"/>
          <w:szCs w:val="22"/>
        </w:rPr>
      </w:pPr>
      <w:r w:rsidRPr="005C0472">
        <w:rPr>
          <w:i/>
          <w:sz w:val="22"/>
          <w:szCs w:val="22"/>
        </w:rPr>
        <w:tab/>
        <w:t>Agree</w:t>
      </w:r>
      <w:r w:rsidRPr="005C0472">
        <w:rPr>
          <w:sz w:val="22"/>
          <w:szCs w:val="22"/>
        </w:rPr>
        <w:t xml:space="preserve"> with the establishment of a common European Goose Management Platform under the auspices of AEWA, as outlined by the UNEP/AEWA Secretariat in document </w:t>
      </w:r>
      <w:hyperlink r:id="rId8" w:history="1">
        <w:r w:rsidRPr="001637DB">
          <w:rPr>
            <w:rStyle w:val="Hyperlink"/>
            <w:sz w:val="22"/>
            <w:szCs w:val="22"/>
          </w:rPr>
          <w:t>AEWA/EGMP Doc. 2</w:t>
        </w:r>
      </w:hyperlink>
      <w:r w:rsidRPr="005C0472">
        <w:rPr>
          <w:sz w:val="22"/>
          <w:szCs w:val="22"/>
        </w:rPr>
        <w:t>;</w:t>
      </w:r>
    </w:p>
    <w:p w:rsidR="005C0472" w:rsidRDefault="005C0472" w:rsidP="001B27BC">
      <w:pPr>
        <w:ind w:firstLine="708"/>
        <w:jc w:val="both"/>
        <w:rPr>
          <w:sz w:val="22"/>
          <w:szCs w:val="22"/>
        </w:rPr>
      </w:pPr>
    </w:p>
    <w:p w:rsidR="005C0472" w:rsidRPr="005C0472" w:rsidRDefault="005C0472" w:rsidP="001B27BC">
      <w:pPr>
        <w:ind w:firstLine="708"/>
        <w:jc w:val="both"/>
        <w:rPr>
          <w:sz w:val="22"/>
          <w:szCs w:val="22"/>
        </w:rPr>
        <w:sectPr w:rsidR="005C0472" w:rsidRPr="005C0472" w:rsidSect="00DE14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707" w:bottom="567" w:left="1134" w:header="709" w:footer="709" w:gutter="0"/>
          <w:cols w:space="720"/>
        </w:sectPr>
      </w:pPr>
    </w:p>
    <w:p w:rsidR="001B27BC" w:rsidRPr="005C0472" w:rsidRDefault="001B27BC" w:rsidP="001B27BC">
      <w:pPr>
        <w:jc w:val="both"/>
        <w:rPr>
          <w:sz w:val="22"/>
          <w:szCs w:val="22"/>
        </w:rPr>
      </w:pPr>
      <w:r w:rsidRPr="005C0472">
        <w:rPr>
          <w:i/>
          <w:sz w:val="22"/>
          <w:szCs w:val="22"/>
        </w:rPr>
        <w:tab/>
        <w:t xml:space="preserve">Recognise </w:t>
      </w:r>
      <w:r w:rsidRPr="005C0472">
        <w:rPr>
          <w:sz w:val="22"/>
          <w:szCs w:val="22"/>
        </w:rPr>
        <w:t xml:space="preserve">that the European Goose Management Platform shall serve the integrated, multi-facetted international management of populations in line with existing international obligations and the pertinent legislative frameworks and regulations; </w:t>
      </w:r>
    </w:p>
    <w:p w:rsidR="001B27BC" w:rsidRPr="005C0472" w:rsidRDefault="001B27BC" w:rsidP="001B27BC">
      <w:pPr>
        <w:tabs>
          <w:tab w:val="left" w:pos="6173"/>
        </w:tabs>
        <w:jc w:val="both"/>
        <w:rPr>
          <w:sz w:val="22"/>
          <w:szCs w:val="22"/>
        </w:rPr>
      </w:pPr>
      <w:r w:rsidRPr="005C0472">
        <w:rPr>
          <w:sz w:val="22"/>
          <w:szCs w:val="22"/>
        </w:rPr>
        <w:tab/>
      </w:r>
    </w:p>
    <w:p w:rsidR="001B27BC" w:rsidRPr="005C0472" w:rsidRDefault="001B27BC" w:rsidP="001B27BC">
      <w:pPr>
        <w:jc w:val="both"/>
        <w:rPr>
          <w:sz w:val="22"/>
          <w:szCs w:val="22"/>
        </w:rPr>
      </w:pPr>
      <w:r w:rsidRPr="005C0472">
        <w:rPr>
          <w:i/>
          <w:sz w:val="22"/>
          <w:szCs w:val="22"/>
        </w:rPr>
        <w:tab/>
        <w:t xml:space="preserve">Further agree </w:t>
      </w:r>
      <w:r w:rsidRPr="005C0472">
        <w:rPr>
          <w:sz w:val="22"/>
          <w:szCs w:val="22"/>
        </w:rPr>
        <w:t>to seek to implement all necessary management and conservation measures as recommended and agreed under the platform for all populations managed therein, as relevant;</w:t>
      </w:r>
    </w:p>
    <w:p w:rsidR="001B27BC" w:rsidRPr="005C0472" w:rsidRDefault="001B27BC" w:rsidP="001B27BC">
      <w:pPr>
        <w:jc w:val="both"/>
        <w:rPr>
          <w:sz w:val="22"/>
          <w:szCs w:val="22"/>
        </w:rPr>
      </w:pPr>
    </w:p>
    <w:p w:rsidR="001B27BC" w:rsidRPr="005C0472" w:rsidRDefault="001B27BC" w:rsidP="001B27BC">
      <w:pPr>
        <w:jc w:val="both"/>
        <w:rPr>
          <w:sz w:val="22"/>
          <w:szCs w:val="22"/>
        </w:rPr>
      </w:pPr>
      <w:r w:rsidRPr="005C0472">
        <w:rPr>
          <w:i/>
          <w:sz w:val="22"/>
          <w:szCs w:val="22"/>
        </w:rPr>
        <w:tab/>
        <w:t xml:space="preserve">Commit </w:t>
      </w:r>
      <w:r w:rsidRPr="005C0472">
        <w:rPr>
          <w:sz w:val="22"/>
          <w:szCs w:val="22"/>
        </w:rPr>
        <w:t>to contributing the necessary financial and other resources to maintain the international coordination of the Platform in accordance to their abilities and [the cost sharing approach agreed during this meeting]</w:t>
      </w:r>
      <w:r w:rsidRPr="005C0472">
        <w:rPr>
          <w:rStyle w:val="FootnoteReference"/>
          <w:sz w:val="22"/>
          <w:szCs w:val="22"/>
        </w:rPr>
        <w:footnoteReference w:id="1"/>
      </w:r>
      <w:r w:rsidRPr="005C0472">
        <w:rPr>
          <w:sz w:val="22"/>
          <w:szCs w:val="22"/>
        </w:rPr>
        <w:t>.</w:t>
      </w:r>
    </w:p>
    <w:p w:rsidR="001B27BC" w:rsidRPr="005C0472" w:rsidRDefault="001B27BC" w:rsidP="001B27BC">
      <w:pPr>
        <w:jc w:val="both"/>
        <w:rPr>
          <w:sz w:val="22"/>
          <w:szCs w:val="22"/>
        </w:rPr>
      </w:pPr>
    </w:p>
    <w:p w:rsidR="001B27BC" w:rsidRPr="005C0472" w:rsidRDefault="001B27BC" w:rsidP="001B27BC">
      <w:pPr>
        <w:jc w:val="both"/>
        <w:rPr>
          <w:sz w:val="22"/>
          <w:szCs w:val="22"/>
        </w:rPr>
      </w:pPr>
      <w:r w:rsidRPr="005C0472">
        <w:rPr>
          <w:sz w:val="22"/>
          <w:szCs w:val="22"/>
        </w:rPr>
        <w:t>[SIGNATURES OF THE ATTENDING AND COMMITTING RANGE STATES]</w:t>
      </w:r>
    </w:p>
    <w:p w:rsidR="001B27BC" w:rsidRPr="005C0472" w:rsidRDefault="001B27BC" w:rsidP="001B27BC">
      <w:pPr>
        <w:jc w:val="both"/>
        <w:rPr>
          <w:sz w:val="22"/>
          <w:szCs w:val="22"/>
        </w:rPr>
      </w:pPr>
    </w:p>
    <w:p w:rsidR="001B27BC" w:rsidRPr="005C0472" w:rsidRDefault="001B27BC" w:rsidP="001B27BC">
      <w:pPr>
        <w:jc w:val="both"/>
        <w:rPr>
          <w:sz w:val="22"/>
          <w:szCs w:val="22"/>
        </w:rPr>
      </w:pPr>
      <w:r w:rsidRPr="005C0472">
        <w:rPr>
          <w:sz w:val="22"/>
          <w:szCs w:val="22"/>
        </w:rPr>
        <w:t xml:space="preserve"> </w:t>
      </w:r>
    </w:p>
    <w:p w:rsidR="001B27BC" w:rsidRPr="005C0472" w:rsidRDefault="001B27BC" w:rsidP="001B27BC">
      <w:pPr>
        <w:jc w:val="both"/>
        <w:rPr>
          <w:sz w:val="22"/>
          <w:szCs w:val="22"/>
        </w:rPr>
      </w:pPr>
    </w:p>
    <w:p w:rsidR="000404F3" w:rsidRPr="005C0472" w:rsidRDefault="000404F3">
      <w:pPr>
        <w:rPr>
          <w:sz w:val="22"/>
          <w:szCs w:val="22"/>
        </w:rPr>
      </w:pPr>
    </w:p>
    <w:p w:rsidR="000404F3" w:rsidRPr="005C0472" w:rsidRDefault="000404F3">
      <w:pPr>
        <w:rPr>
          <w:sz w:val="22"/>
          <w:szCs w:val="22"/>
        </w:rPr>
      </w:pPr>
    </w:p>
    <w:p w:rsidR="00630D39" w:rsidRPr="005C0472" w:rsidRDefault="00630D39">
      <w:pPr>
        <w:rPr>
          <w:sz w:val="22"/>
          <w:szCs w:val="22"/>
        </w:rPr>
      </w:pPr>
    </w:p>
    <w:p w:rsidR="00630D39" w:rsidRPr="005C0472" w:rsidRDefault="00630D39" w:rsidP="00630D39">
      <w:pPr>
        <w:rPr>
          <w:sz w:val="22"/>
          <w:szCs w:val="22"/>
        </w:rPr>
      </w:pPr>
    </w:p>
    <w:p w:rsidR="00630D39" w:rsidRPr="005C0472" w:rsidRDefault="00630D39" w:rsidP="00630D39"/>
    <w:p w:rsidR="00630D39" w:rsidRPr="005C0472" w:rsidRDefault="00630D39" w:rsidP="00630D39"/>
    <w:p w:rsidR="00630D39" w:rsidRPr="005C0472" w:rsidRDefault="00630D39" w:rsidP="00630D39"/>
    <w:p w:rsidR="00630D39" w:rsidRPr="005C0472" w:rsidRDefault="00630D39" w:rsidP="00630D39"/>
    <w:p w:rsidR="00630D39" w:rsidRPr="005C0472" w:rsidRDefault="00630D39" w:rsidP="00630D39"/>
    <w:p w:rsidR="00630D39" w:rsidRPr="005C0472" w:rsidRDefault="00630D39" w:rsidP="00630D39"/>
    <w:p w:rsidR="00630D39" w:rsidRPr="005C0472" w:rsidRDefault="00630D39" w:rsidP="00630D39"/>
    <w:p w:rsidR="00630D39" w:rsidRPr="005C0472" w:rsidRDefault="00630D39" w:rsidP="00630D39"/>
    <w:p w:rsidR="00630D39" w:rsidRPr="005C0472" w:rsidRDefault="00630D39" w:rsidP="00630D39"/>
    <w:p w:rsidR="00630D39" w:rsidRPr="005C0472" w:rsidRDefault="00630D39" w:rsidP="00630D39"/>
    <w:p w:rsidR="00630D39" w:rsidRPr="005C0472" w:rsidRDefault="00630D39" w:rsidP="00630D39"/>
    <w:p w:rsidR="00630D39" w:rsidRPr="005C0472" w:rsidRDefault="00630D39" w:rsidP="00630D39"/>
    <w:p w:rsidR="00630D39" w:rsidRPr="005C0472" w:rsidRDefault="00630D39" w:rsidP="00630D39"/>
    <w:p w:rsidR="00630D39" w:rsidRPr="005C0472" w:rsidRDefault="00630D39" w:rsidP="00630D39"/>
    <w:p w:rsidR="00630D39" w:rsidRPr="005C0472" w:rsidRDefault="00630D39" w:rsidP="00630D39"/>
    <w:p w:rsidR="00630D39" w:rsidRPr="005C0472" w:rsidRDefault="00630D39" w:rsidP="00630D39"/>
    <w:p w:rsidR="00630D39" w:rsidRPr="005C0472" w:rsidRDefault="00630D39" w:rsidP="00630D39"/>
    <w:p w:rsidR="00630D39" w:rsidRPr="005C0472" w:rsidRDefault="001B27BC" w:rsidP="001B27BC">
      <w:pPr>
        <w:tabs>
          <w:tab w:val="left" w:pos="6810"/>
        </w:tabs>
      </w:pPr>
      <w:r w:rsidRPr="005C0472">
        <w:tab/>
      </w:r>
    </w:p>
    <w:p w:rsidR="00630D39" w:rsidRPr="005C0472" w:rsidRDefault="00630D39" w:rsidP="00630D39"/>
    <w:p w:rsidR="00630D39" w:rsidRPr="005C0472" w:rsidRDefault="00630D39" w:rsidP="00630D39"/>
    <w:p w:rsidR="00DE143A" w:rsidRPr="005C0472" w:rsidRDefault="00DE143A" w:rsidP="00630D39"/>
    <w:p w:rsidR="00DE143A" w:rsidRPr="005C0472" w:rsidRDefault="00DE143A" w:rsidP="00630D39"/>
    <w:p w:rsidR="00DE143A" w:rsidRDefault="00DE143A" w:rsidP="00630D39"/>
    <w:p w:rsidR="00DE143A" w:rsidRDefault="00DE143A" w:rsidP="00630D39"/>
    <w:sectPr w:rsidR="00DE143A" w:rsidSect="00DE143A">
      <w:headerReference w:type="default" r:id="rId15"/>
      <w:footerReference w:type="default" r:id="rId16"/>
      <w:pgSz w:w="11906" w:h="16838" w:code="9"/>
      <w:pgMar w:top="1134" w:right="70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FF" w:rsidRDefault="005E1D6A">
      <w:r>
        <w:separator/>
      </w:r>
    </w:p>
  </w:endnote>
  <w:endnote w:type="continuationSeparator" w:id="0">
    <w:p w:rsidR="00C503FF" w:rsidRDefault="005E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B30" w:rsidRDefault="009D7B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2D" w:rsidRDefault="00DE143A" w:rsidP="00DE143A">
    <w:pPr>
      <w:tabs>
        <w:tab w:val="left" w:pos="9638"/>
      </w:tabs>
      <w:jc w:val="both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________________________________________________________________________________________________________________</w:t>
    </w:r>
  </w:p>
  <w:p w:rsidR="0084212D" w:rsidRDefault="00DE143A" w:rsidP="0084212D">
    <w:pPr>
      <w:jc w:val="both"/>
      <w:rPr>
        <w:rFonts w:ascii="Arial" w:hAnsi="Arial" w:cs="Arial"/>
        <w:color w:val="808080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EC1C458" wp14:editId="4A964A3F">
          <wp:simplePos x="0" y="0"/>
          <wp:positionH relativeFrom="column">
            <wp:posOffset>5823585</wp:posOffset>
          </wp:positionH>
          <wp:positionV relativeFrom="page">
            <wp:posOffset>9817100</wp:posOffset>
          </wp:positionV>
          <wp:extent cx="464400" cy="594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oc-marque_MEEM_CMJN_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4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212D" w:rsidRPr="0084212D" w:rsidRDefault="0084212D" w:rsidP="0084212D">
    <w:pPr>
      <w:jc w:val="both"/>
      <w:rPr>
        <w:rFonts w:ascii="Arial" w:hAnsi="Arial" w:cs="Arial"/>
        <w:color w:val="808080"/>
        <w:sz w:val="16"/>
        <w:szCs w:val="16"/>
      </w:rPr>
    </w:pPr>
    <w:r w:rsidRPr="0084212D">
      <w:rPr>
        <w:rFonts w:ascii="Arial" w:hAnsi="Arial" w:cs="Arial"/>
        <w:color w:val="808080"/>
        <w:sz w:val="16"/>
        <w:szCs w:val="16"/>
      </w:rPr>
      <w:t>The Inter-governmental Meeting on the Establishment of a European Goose Management Platform under the</w:t>
    </w:r>
    <w:r w:rsidR="009D7B30">
      <w:rPr>
        <w:rFonts w:ascii="Arial" w:hAnsi="Arial" w:cs="Arial"/>
        <w:color w:val="808080"/>
        <w:sz w:val="16"/>
        <w:szCs w:val="16"/>
      </w:rPr>
      <w:t xml:space="preserve"> </w:t>
    </w:r>
    <w:r w:rsidRPr="0084212D">
      <w:rPr>
        <w:rFonts w:ascii="Arial" w:hAnsi="Arial" w:cs="Arial"/>
        <w:color w:val="808080"/>
        <w:sz w:val="16"/>
        <w:szCs w:val="16"/>
      </w:rPr>
      <w:t>Auspices of AEWA is being hosted by the French Ministry of Environment, Energy and the Sea.</w:t>
    </w:r>
  </w:p>
  <w:p w:rsidR="0084212D" w:rsidRDefault="0084212D" w:rsidP="00630D39">
    <w:pPr>
      <w:ind w:right="-42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B30" w:rsidRDefault="009D7B3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9506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E46F2" w:rsidRDefault="003E46F2">
        <w:pPr>
          <w:pStyle w:val="Footer"/>
          <w:jc w:val="center"/>
        </w:pPr>
      </w:p>
      <w:p w:rsidR="003E46F2" w:rsidRPr="003E46F2" w:rsidRDefault="003E46F2">
        <w:pPr>
          <w:pStyle w:val="Footer"/>
          <w:jc w:val="center"/>
          <w:rPr>
            <w:sz w:val="20"/>
            <w:szCs w:val="20"/>
          </w:rPr>
        </w:pPr>
        <w:r w:rsidRPr="003E46F2">
          <w:rPr>
            <w:sz w:val="20"/>
            <w:szCs w:val="20"/>
          </w:rPr>
          <w:fldChar w:fldCharType="begin"/>
        </w:r>
        <w:r w:rsidRPr="003E46F2">
          <w:rPr>
            <w:sz w:val="20"/>
            <w:szCs w:val="20"/>
          </w:rPr>
          <w:instrText xml:space="preserve"> PAGE   \* MERGEFORMAT </w:instrText>
        </w:r>
        <w:r w:rsidRPr="003E46F2">
          <w:rPr>
            <w:sz w:val="20"/>
            <w:szCs w:val="20"/>
          </w:rPr>
          <w:fldChar w:fldCharType="separate"/>
        </w:r>
        <w:r w:rsidR="009D7B30">
          <w:rPr>
            <w:noProof/>
            <w:sz w:val="20"/>
            <w:szCs w:val="20"/>
          </w:rPr>
          <w:t>2</w:t>
        </w:r>
        <w:r w:rsidRPr="003E46F2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FF" w:rsidRDefault="005E1D6A">
      <w:r>
        <w:rPr>
          <w:color w:val="000000"/>
        </w:rPr>
        <w:separator/>
      </w:r>
    </w:p>
  </w:footnote>
  <w:footnote w:type="continuationSeparator" w:id="0">
    <w:p w:rsidR="00C503FF" w:rsidRDefault="005E1D6A">
      <w:r>
        <w:continuationSeparator/>
      </w:r>
    </w:p>
  </w:footnote>
  <w:footnote w:id="1">
    <w:p w:rsidR="001B27BC" w:rsidRDefault="001B27BC" w:rsidP="001B27BC">
      <w:pPr>
        <w:pStyle w:val="FootnoteText"/>
        <w:rPr>
          <w:rFonts w:ascii="Times New Roman" w:hAnsi="Times New Roman" w:cs="Times New Roman"/>
          <w:lang w:val="en-US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During the meeting this text will be replaced by the agreed cost sharing formula.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B30" w:rsidRDefault="009D7B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09"/>
      <w:gridCol w:w="5704"/>
      <w:gridCol w:w="2410"/>
    </w:tblGrid>
    <w:tr w:rsidR="0020461F" w:rsidRPr="001B27BC" w:rsidTr="00501C4A">
      <w:trPr>
        <w:trHeight w:val="1264"/>
      </w:trPr>
      <w:tc>
        <w:tcPr>
          <w:tcW w:w="18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0461F" w:rsidRDefault="005E1D6A">
          <w:r>
            <w:rPr>
              <w:b/>
              <w:noProof/>
              <w:sz w:val="40"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10795</wp:posOffset>
                </wp:positionV>
                <wp:extent cx="735963" cy="609603"/>
                <wp:effectExtent l="0" t="0" r="6987" b="0"/>
                <wp:wrapNone/>
                <wp:docPr id="3" name="Picture 2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963" cy="60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:rsidR="0020461F" w:rsidRDefault="009D7B30">
          <w:pPr>
            <w:rPr>
              <w:lang w:val="en-US"/>
            </w:rPr>
          </w:pPr>
        </w:p>
        <w:p w:rsidR="0020461F" w:rsidRDefault="009D7B30">
          <w:pPr>
            <w:rPr>
              <w:lang w:val="en-US"/>
            </w:rPr>
          </w:pPr>
        </w:p>
        <w:p w:rsidR="0020461F" w:rsidRDefault="009D7B30">
          <w:pPr>
            <w:rPr>
              <w:lang w:val="en-US"/>
            </w:rPr>
          </w:pPr>
        </w:p>
      </w:tc>
      <w:tc>
        <w:tcPr>
          <w:tcW w:w="570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01C4A" w:rsidRDefault="00501C4A" w:rsidP="00501C4A">
          <w:pPr>
            <w:tabs>
              <w:tab w:val="left" w:pos="-720"/>
            </w:tabs>
            <w:jc w:val="center"/>
            <w:rPr>
              <w:i/>
              <w:kern w:val="3"/>
              <w:lang w:val="en-US"/>
            </w:rPr>
          </w:pPr>
          <w:r>
            <w:rPr>
              <w:i/>
              <w:kern w:val="3"/>
              <w:sz w:val="22"/>
              <w:szCs w:val="22"/>
              <w:lang w:val="en-US"/>
            </w:rPr>
            <w:t xml:space="preserve">AGREEMENT ON THE CONSERVATION OF </w:t>
          </w:r>
        </w:p>
        <w:p w:rsidR="00501C4A" w:rsidRDefault="00501C4A" w:rsidP="00501C4A">
          <w:pPr>
            <w:tabs>
              <w:tab w:val="left" w:pos="-720"/>
            </w:tabs>
            <w:jc w:val="center"/>
            <w:rPr>
              <w:i/>
              <w:kern w:val="3"/>
              <w:lang w:val="en-US"/>
            </w:rPr>
          </w:pPr>
          <w:r>
            <w:rPr>
              <w:i/>
              <w:kern w:val="3"/>
              <w:sz w:val="22"/>
              <w:szCs w:val="22"/>
              <w:lang w:val="en-US"/>
            </w:rPr>
            <w:t xml:space="preserve">AFRICAN-EURASIAN MIGRATORY WATERBIRDS           </w:t>
          </w:r>
        </w:p>
        <w:p w:rsidR="00501C4A" w:rsidRDefault="00501C4A" w:rsidP="00501C4A">
          <w:pPr>
            <w:tabs>
              <w:tab w:val="left" w:pos="-720"/>
            </w:tabs>
            <w:jc w:val="center"/>
            <w:rPr>
              <w:rFonts w:ascii="Arial" w:hAnsi="Arial" w:cs="Arial"/>
              <w:i/>
              <w:kern w:val="3"/>
              <w:sz w:val="20"/>
              <w:szCs w:val="20"/>
              <w:lang w:val="en-US"/>
            </w:rPr>
          </w:pPr>
        </w:p>
        <w:p w:rsidR="0020461F" w:rsidRDefault="009D7B30">
          <w:pPr>
            <w:tabs>
              <w:tab w:val="left" w:pos="-720"/>
            </w:tabs>
            <w:jc w:val="center"/>
            <w:rPr>
              <w:rFonts w:ascii="Arial" w:hAnsi="Arial" w:cs="Arial"/>
              <w:i/>
              <w:kern w:val="3"/>
              <w:sz w:val="20"/>
              <w:szCs w:val="20"/>
              <w:lang w:val="en-US"/>
            </w:rPr>
          </w:pPr>
        </w:p>
        <w:p w:rsidR="0020461F" w:rsidRDefault="009D7B30">
          <w:pPr>
            <w:rPr>
              <w:i/>
              <w:lang w:val="en-US"/>
            </w:rPr>
          </w:pPr>
        </w:p>
      </w:tc>
      <w:tc>
        <w:tcPr>
          <w:tcW w:w="24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21663" w:rsidRPr="000655C5" w:rsidRDefault="00501C4A" w:rsidP="00501C4A">
          <w:pPr>
            <w:ind w:left="-215"/>
            <w:jc w:val="right"/>
            <w:rPr>
              <w:i/>
              <w:sz w:val="20"/>
              <w:szCs w:val="20"/>
              <w:lang w:val="pt-PT"/>
            </w:rPr>
          </w:pPr>
          <w:r>
            <w:rPr>
              <w:i/>
              <w:sz w:val="20"/>
              <w:szCs w:val="20"/>
              <w:lang w:val="pt-PT"/>
            </w:rPr>
            <w:t>AEWA/</w:t>
          </w:r>
          <w:r w:rsidR="00ED7FFD">
            <w:rPr>
              <w:i/>
              <w:sz w:val="20"/>
              <w:szCs w:val="20"/>
              <w:lang w:val="pt-PT"/>
            </w:rPr>
            <w:t xml:space="preserve">EGMP </w:t>
          </w:r>
          <w:r>
            <w:rPr>
              <w:i/>
              <w:sz w:val="20"/>
              <w:szCs w:val="20"/>
              <w:lang w:val="pt-PT"/>
            </w:rPr>
            <w:t xml:space="preserve">Doc. </w:t>
          </w:r>
          <w:r w:rsidR="001B27BC">
            <w:rPr>
              <w:i/>
              <w:sz w:val="20"/>
              <w:szCs w:val="20"/>
              <w:lang w:val="pt-PT"/>
            </w:rPr>
            <w:t>3</w:t>
          </w:r>
          <w:r w:rsidR="00321663" w:rsidRPr="000655C5">
            <w:rPr>
              <w:i/>
              <w:sz w:val="20"/>
              <w:szCs w:val="20"/>
              <w:lang w:val="pt-PT"/>
            </w:rPr>
            <w:t xml:space="preserve"> </w:t>
          </w:r>
        </w:p>
        <w:p w:rsidR="0020461F" w:rsidRPr="000655C5" w:rsidRDefault="001B27BC">
          <w:pPr>
            <w:ind w:hanging="108"/>
            <w:jc w:val="right"/>
            <w:rPr>
              <w:i/>
              <w:sz w:val="20"/>
              <w:szCs w:val="20"/>
              <w:lang w:val="pt-PT"/>
            </w:rPr>
          </w:pPr>
          <w:r>
            <w:rPr>
              <w:i/>
              <w:sz w:val="20"/>
              <w:szCs w:val="20"/>
              <w:lang w:val="pt-PT"/>
            </w:rPr>
            <w:t>18</w:t>
          </w:r>
          <w:r w:rsidR="005E1D6A" w:rsidRPr="000655C5">
            <w:rPr>
              <w:i/>
              <w:sz w:val="20"/>
              <w:szCs w:val="20"/>
              <w:lang w:val="pt-PT"/>
            </w:rPr>
            <w:t xml:space="preserve"> </w:t>
          </w:r>
          <w:r w:rsidR="00ED7FFD">
            <w:rPr>
              <w:i/>
              <w:sz w:val="20"/>
              <w:szCs w:val="20"/>
              <w:lang w:val="pt-PT"/>
            </w:rPr>
            <w:t>April</w:t>
          </w:r>
          <w:r w:rsidR="005E1D6A" w:rsidRPr="000655C5">
            <w:rPr>
              <w:i/>
              <w:sz w:val="20"/>
              <w:szCs w:val="20"/>
              <w:lang w:val="pt-PT"/>
            </w:rPr>
            <w:t xml:space="preserve"> 201</w:t>
          </w:r>
          <w:r w:rsidR="00823B46">
            <w:rPr>
              <w:i/>
              <w:sz w:val="20"/>
              <w:szCs w:val="20"/>
              <w:lang w:val="pt-PT"/>
            </w:rPr>
            <w:t>6</w:t>
          </w:r>
        </w:p>
        <w:p w:rsidR="0020461F" w:rsidRPr="000655C5" w:rsidRDefault="009D7B30">
          <w:pPr>
            <w:jc w:val="right"/>
            <w:rPr>
              <w:i/>
              <w:sz w:val="20"/>
              <w:szCs w:val="20"/>
              <w:lang w:val="pt-PT"/>
            </w:rPr>
          </w:pPr>
        </w:p>
      </w:tc>
    </w:tr>
    <w:tr w:rsidR="0020461F" w:rsidTr="00501C4A">
      <w:tc>
        <w:tcPr>
          <w:tcW w:w="9923" w:type="dxa"/>
          <w:gridSpan w:val="3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E143A" w:rsidRPr="00DE143A" w:rsidRDefault="00630D39">
          <w:pPr>
            <w:jc w:val="center"/>
            <w:rPr>
              <w:b/>
              <w:sz w:val="22"/>
              <w:szCs w:val="22"/>
              <w:lang w:val="en-US"/>
            </w:rPr>
          </w:pPr>
          <w:r w:rsidRPr="00DE143A">
            <w:rPr>
              <w:b/>
              <w:sz w:val="22"/>
              <w:szCs w:val="22"/>
              <w:lang w:val="en-US"/>
            </w:rPr>
            <w:t xml:space="preserve">INTER-GOVERNMENTAL MEETING ON THE ESTABLISHMENT OF A </w:t>
          </w:r>
        </w:p>
        <w:p w:rsidR="0020461F" w:rsidRPr="00DE143A" w:rsidRDefault="00630D39">
          <w:pPr>
            <w:jc w:val="center"/>
            <w:rPr>
              <w:b/>
              <w:sz w:val="22"/>
              <w:szCs w:val="22"/>
              <w:lang w:val="en-US"/>
            </w:rPr>
          </w:pPr>
          <w:r w:rsidRPr="00DE143A">
            <w:rPr>
              <w:b/>
              <w:sz w:val="22"/>
              <w:szCs w:val="22"/>
              <w:lang w:val="en-US"/>
            </w:rPr>
            <w:t>EUROPEAN GOOSE MANAGEMENT PLATFORM UNDER THE AUSPICES OF AEWA</w:t>
          </w:r>
        </w:p>
        <w:p w:rsidR="00DE143A" w:rsidRPr="00DE143A" w:rsidRDefault="00DE143A">
          <w:pPr>
            <w:jc w:val="center"/>
            <w:rPr>
              <w:b/>
              <w:sz w:val="22"/>
              <w:szCs w:val="22"/>
              <w:lang w:val="en-US"/>
            </w:rPr>
          </w:pPr>
        </w:p>
        <w:p w:rsidR="00ED7FFD" w:rsidRPr="00DE143A" w:rsidRDefault="00ED7FFD">
          <w:pPr>
            <w:jc w:val="center"/>
            <w:rPr>
              <w:i/>
              <w:sz w:val="22"/>
              <w:szCs w:val="22"/>
              <w:lang w:val="en-US"/>
            </w:rPr>
          </w:pPr>
          <w:r w:rsidRPr="00DE143A">
            <w:rPr>
              <w:i/>
              <w:sz w:val="22"/>
              <w:szCs w:val="22"/>
              <w:lang w:val="en-US"/>
            </w:rPr>
            <w:t>11 – 12 May 2016, Paris, France</w:t>
          </w:r>
        </w:p>
        <w:p w:rsidR="0020461F" w:rsidRDefault="009D7B30">
          <w:pPr>
            <w:rPr>
              <w:u w:val="single"/>
              <w:lang w:val="en-US"/>
            </w:rPr>
          </w:pPr>
        </w:p>
      </w:tc>
    </w:tr>
  </w:tbl>
  <w:p w:rsidR="001B27BC" w:rsidRDefault="001B27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B30" w:rsidRDefault="009D7B3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BC" w:rsidRDefault="001B27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F3"/>
    <w:rsid w:val="00016A06"/>
    <w:rsid w:val="000404F3"/>
    <w:rsid w:val="000655C5"/>
    <w:rsid w:val="001637DB"/>
    <w:rsid w:val="00175F1C"/>
    <w:rsid w:val="001B27BC"/>
    <w:rsid w:val="001C41EA"/>
    <w:rsid w:val="00321663"/>
    <w:rsid w:val="003E46F2"/>
    <w:rsid w:val="00501C4A"/>
    <w:rsid w:val="005C0472"/>
    <w:rsid w:val="005E1D6A"/>
    <w:rsid w:val="005E7F8B"/>
    <w:rsid w:val="00630D39"/>
    <w:rsid w:val="00823AFC"/>
    <w:rsid w:val="00823B46"/>
    <w:rsid w:val="0084212D"/>
    <w:rsid w:val="008B228D"/>
    <w:rsid w:val="009D7B30"/>
    <w:rsid w:val="009E1C0E"/>
    <w:rsid w:val="00B85E32"/>
    <w:rsid w:val="00BB43F6"/>
    <w:rsid w:val="00C503FF"/>
    <w:rsid w:val="00DE143A"/>
    <w:rsid w:val="00E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0AFC52B-DB5D-4B11-89BE-6D9D0AD9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ED7FF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2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27B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27BC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7BC"/>
    <w:rPr>
      <w:rFonts w:asciiTheme="minorHAnsi" w:eastAsiaTheme="minorHAnsi" w:hAnsiTheme="minorHAnsi" w:cstheme="minorBidi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B27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p-aewa.org/sites/default/files/document/aewa_egmp_2_egmp_establishment.pdf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p-aewa.org/sites/default/files/document/aewa_mop6_res4_cons_sust_use_mwb_en_0.pdf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yperlink" Target="http://www.unep-aewa.org/sites/default/files/document/mop6_inf_14_goose_management_meeting_conclusions_0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Kremer (UNEP/AEWA Secretariat)</dc:creator>
  <cp:lastModifiedBy>Jolanta Kremer</cp:lastModifiedBy>
  <cp:revision>7</cp:revision>
  <cp:lastPrinted>2016-04-18T08:12:00Z</cp:lastPrinted>
  <dcterms:created xsi:type="dcterms:W3CDTF">2016-04-18T12:54:00Z</dcterms:created>
  <dcterms:modified xsi:type="dcterms:W3CDTF">2016-04-19T07:23:00Z</dcterms:modified>
</cp:coreProperties>
</file>