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B5" w:rsidRPr="001E09B5" w:rsidRDefault="001E09B5" w:rsidP="001E09B5">
      <w:pPr>
        <w:spacing w:after="0" w:line="240" w:lineRule="auto"/>
        <w:jc w:val="center"/>
        <w:rPr>
          <w:rFonts w:ascii="Open Sans" w:eastAsia="Calibri" w:hAnsi="Open Sans" w:cs="Open Sans"/>
          <w:b/>
          <w:color w:val="000000"/>
          <w:sz w:val="20"/>
          <w:szCs w:val="20"/>
          <w:lang w:val="en-GB"/>
        </w:rPr>
      </w:pPr>
      <w:r w:rsidRPr="001E09B5">
        <w:rPr>
          <w:rFonts w:ascii="Open Sans" w:eastAsia="Calibri" w:hAnsi="Open Sans" w:cs="Open Sans"/>
          <w:b/>
          <w:color w:val="000000"/>
          <w:sz w:val="20"/>
          <w:szCs w:val="20"/>
          <w:lang w:val="en-GB"/>
        </w:rPr>
        <w:t>DRAFT RESOLUTION 8.1</w:t>
      </w:r>
    </w:p>
    <w:p w:rsidR="001E09B5" w:rsidRPr="001E09B5" w:rsidRDefault="001E09B5" w:rsidP="001E09B5">
      <w:pPr>
        <w:spacing w:after="0" w:line="240" w:lineRule="auto"/>
        <w:jc w:val="center"/>
        <w:rPr>
          <w:rFonts w:ascii="Open Sans" w:eastAsia="Calibri" w:hAnsi="Open Sans" w:cs="Open Sans"/>
          <w:b/>
          <w:color w:val="000000"/>
          <w:sz w:val="20"/>
          <w:szCs w:val="20"/>
          <w:lang w:val="en-GB"/>
        </w:rPr>
      </w:pPr>
    </w:p>
    <w:p w:rsidR="001E09B5" w:rsidRPr="001E09B5" w:rsidRDefault="001E09B5" w:rsidP="001E09B5">
      <w:pPr>
        <w:spacing w:after="0" w:line="240" w:lineRule="auto"/>
        <w:jc w:val="center"/>
        <w:rPr>
          <w:rFonts w:ascii="Open Sans" w:eastAsia="Calibri" w:hAnsi="Open Sans" w:cs="Open Sans"/>
          <w:b/>
          <w:color w:val="000000"/>
          <w:sz w:val="20"/>
          <w:szCs w:val="20"/>
          <w:lang w:val="en-GB"/>
        </w:rPr>
      </w:pPr>
      <w:r w:rsidRPr="001E09B5">
        <w:rPr>
          <w:rFonts w:ascii="Open Sans" w:eastAsia="Calibri" w:hAnsi="Open Sans" w:cs="Open Sans"/>
          <w:b/>
          <w:color w:val="000000"/>
          <w:sz w:val="20"/>
          <w:szCs w:val="20"/>
          <w:lang w:val="en-GB"/>
        </w:rPr>
        <w:t>PROCEDURE FOR SUBMISSION OF PROPOSALS FOR AMENDMENTS TO THE AGREEMENTS</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r w:rsidRPr="001E09B5">
        <w:rPr>
          <w:rFonts w:ascii="Open Sans" w:eastAsia="Calibri" w:hAnsi="Open Sans" w:cs="Open Sans"/>
          <w:i/>
          <w:sz w:val="20"/>
          <w:szCs w:val="20"/>
          <w:lang w:val="en-GB"/>
        </w:rPr>
        <w:t>Referring</w:t>
      </w:r>
      <w:r w:rsidRPr="001E09B5">
        <w:rPr>
          <w:rFonts w:ascii="Open Sans" w:eastAsia="Calibri" w:hAnsi="Open Sans" w:cs="Open Sans"/>
          <w:sz w:val="20"/>
          <w:szCs w:val="20"/>
          <w:lang w:val="en-GB"/>
        </w:rPr>
        <w:t xml:space="preserve"> to Article X.3 of the Agreement defining the procedure for submission of proposals for amendments to the Agreement,</w:t>
      </w: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r w:rsidRPr="001E09B5">
        <w:rPr>
          <w:rFonts w:ascii="Open Sans" w:eastAsia="Calibri" w:hAnsi="Open Sans" w:cs="Open Sans"/>
          <w:i/>
          <w:sz w:val="20"/>
          <w:szCs w:val="20"/>
          <w:lang w:val="en-GB"/>
        </w:rPr>
        <w:t>Recalling</w:t>
      </w:r>
      <w:r w:rsidRPr="001E09B5">
        <w:rPr>
          <w:rFonts w:ascii="Open Sans" w:eastAsia="Calibri" w:hAnsi="Open Sans" w:cs="Open Sans"/>
          <w:sz w:val="20"/>
          <w:szCs w:val="20"/>
          <w:lang w:val="en-GB"/>
        </w:rPr>
        <w:t xml:space="preserve"> Article I.4 of the Agreement which clarifies that the annexes to the Agreement form an integral part thereof and any reference to the Agreement includes a reference to its annexes,</w:t>
      </w:r>
    </w:p>
    <w:p w:rsidR="001E09B5" w:rsidRPr="001E09B5" w:rsidRDefault="001E09B5" w:rsidP="001E09B5">
      <w:pPr>
        <w:spacing w:before="60" w:after="60" w:line="240" w:lineRule="auto"/>
        <w:jc w:val="both"/>
        <w:rPr>
          <w:rFonts w:ascii="Open Sans" w:eastAsia="Calibri" w:hAnsi="Open Sans" w:cs="Open Sans"/>
          <w:i/>
          <w:sz w:val="20"/>
          <w:szCs w:val="20"/>
          <w:lang w:val="en-GB"/>
        </w:rPr>
      </w:pP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r w:rsidRPr="001E09B5">
        <w:rPr>
          <w:rFonts w:ascii="Open Sans" w:eastAsia="Calibri" w:hAnsi="Open Sans" w:cs="Open Sans"/>
          <w:i/>
          <w:sz w:val="20"/>
          <w:szCs w:val="20"/>
          <w:lang w:val="en-GB"/>
        </w:rPr>
        <w:t>Acknowledging</w:t>
      </w:r>
      <w:r w:rsidRPr="001E09B5">
        <w:rPr>
          <w:rFonts w:ascii="Open Sans" w:eastAsia="Calibri" w:hAnsi="Open Sans" w:cs="Open Sans"/>
          <w:sz w:val="20"/>
          <w:szCs w:val="20"/>
          <w:lang w:val="en-GB"/>
        </w:rPr>
        <w:t xml:space="preserve"> the necessity for any proposal for amendment of the Agreement and the accompanying description of reasons for proposing such an amendment to be comprehensive and technically sound,</w:t>
      </w:r>
    </w:p>
    <w:p w:rsidR="001E09B5" w:rsidRPr="001E09B5" w:rsidRDefault="001E09B5" w:rsidP="001E09B5">
      <w:pPr>
        <w:spacing w:before="60" w:after="60" w:line="240" w:lineRule="auto"/>
        <w:jc w:val="both"/>
        <w:rPr>
          <w:rFonts w:ascii="Open Sans" w:eastAsia="Calibri" w:hAnsi="Open Sans" w:cs="Open Sans"/>
          <w:i/>
          <w:sz w:val="20"/>
          <w:szCs w:val="20"/>
          <w:lang w:val="en-GB"/>
        </w:rPr>
      </w:pP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r w:rsidRPr="001E09B5">
        <w:rPr>
          <w:rFonts w:ascii="Open Sans" w:eastAsia="Calibri" w:hAnsi="Open Sans" w:cs="Open Sans"/>
          <w:i/>
          <w:sz w:val="20"/>
          <w:szCs w:val="20"/>
          <w:lang w:val="en-GB"/>
        </w:rPr>
        <w:t>Further referring</w:t>
      </w:r>
      <w:r w:rsidRPr="001E09B5">
        <w:rPr>
          <w:rFonts w:ascii="Open Sans" w:eastAsia="Calibri" w:hAnsi="Open Sans" w:cs="Open Sans"/>
          <w:sz w:val="20"/>
          <w:szCs w:val="20"/>
          <w:lang w:val="en-GB"/>
        </w:rPr>
        <w:t xml:space="preserve"> to Article </w:t>
      </w:r>
      <w:bookmarkStart w:id="0" w:name="_Hlk52210784"/>
      <w:r w:rsidRPr="001E09B5">
        <w:rPr>
          <w:rFonts w:ascii="Open Sans" w:eastAsia="Calibri" w:hAnsi="Open Sans" w:cs="Open Sans"/>
          <w:sz w:val="20"/>
          <w:szCs w:val="20"/>
          <w:lang w:val="en-GB"/>
        </w:rPr>
        <w:t>VI.9</w:t>
      </w:r>
      <w:bookmarkEnd w:id="0"/>
      <w:r w:rsidRPr="001E09B5">
        <w:rPr>
          <w:rFonts w:ascii="Open Sans" w:eastAsia="Calibri" w:hAnsi="Open Sans" w:cs="Open Sans"/>
          <w:sz w:val="20"/>
          <w:szCs w:val="20"/>
          <w:lang w:val="en-GB"/>
        </w:rPr>
        <w:t>(b) of the Agreement mandating the Meeting of the Parties to adopt specific actions to improve the effectiveness of the Agreement,</w:t>
      </w:r>
    </w:p>
    <w:p w:rsidR="001E09B5" w:rsidRPr="001E09B5" w:rsidRDefault="001E09B5" w:rsidP="001E09B5">
      <w:pPr>
        <w:spacing w:before="60" w:after="60" w:line="240" w:lineRule="auto"/>
        <w:jc w:val="both"/>
        <w:rPr>
          <w:rFonts w:ascii="Open Sans" w:eastAsia="Calibri" w:hAnsi="Open Sans" w:cs="Open Sans"/>
          <w:i/>
          <w:sz w:val="20"/>
          <w:szCs w:val="20"/>
          <w:lang w:val="en-GB"/>
        </w:rPr>
      </w:pP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r w:rsidRPr="001E09B5">
        <w:rPr>
          <w:rFonts w:ascii="Open Sans" w:eastAsia="Calibri" w:hAnsi="Open Sans" w:cs="Open Sans"/>
          <w:i/>
          <w:sz w:val="20"/>
          <w:szCs w:val="20"/>
          <w:lang w:val="en-GB"/>
        </w:rPr>
        <w:t>Recalling</w:t>
      </w:r>
      <w:r w:rsidRPr="001E09B5">
        <w:rPr>
          <w:rFonts w:ascii="Open Sans" w:eastAsia="Calibri" w:hAnsi="Open Sans" w:cs="Open Sans"/>
          <w:sz w:val="20"/>
          <w:szCs w:val="20"/>
          <w:lang w:val="en-GB"/>
        </w:rPr>
        <w:t xml:space="preserve"> Article VII.3(a) of the Agreement mandating the Technical Committee to provide scientific and technical advice and information to the Meeting of the Parties and to Parties.</w:t>
      </w:r>
    </w:p>
    <w:p w:rsidR="001E09B5" w:rsidRPr="001E09B5" w:rsidRDefault="001E09B5" w:rsidP="001E09B5">
      <w:pPr>
        <w:spacing w:before="60" w:after="60" w:line="240" w:lineRule="auto"/>
        <w:ind w:firstLine="1304"/>
        <w:jc w:val="both"/>
        <w:rPr>
          <w:rFonts w:ascii="Open Sans" w:eastAsia="Calibri" w:hAnsi="Open Sans" w:cs="Open Sans"/>
          <w:sz w:val="20"/>
          <w:szCs w:val="20"/>
          <w:lang w:val="en-GB"/>
        </w:rPr>
      </w:pPr>
    </w:p>
    <w:p w:rsidR="001E09B5" w:rsidRPr="001E09B5" w:rsidRDefault="001E09B5" w:rsidP="001E09B5">
      <w:pPr>
        <w:spacing w:before="60" w:after="60" w:line="240" w:lineRule="auto"/>
        <w:jc w:val="both"/>
        <w:rPr>
          <w:rFonts w:ascii="Open Sans" w:eastAsia="Calibri" w:hAnsi="Open Sans" w:cs="Open Sans"/>
          <w:i/>
          <w:iCs/>
          <w:sz w:val="20"/>
          <w:szCs w:val="20"/>
          <w:lang w:val="en-GB"/>
        </w:rPr>
      </w:pPr>
      <w:r w:rsidRPr="001E09B5">
        <w:rPr>
          <w:rFonts w:ascii="Open Sans" w:eastAsia="Calibri" w:hAnsi="Open Sans" w:cs="Open Sans"/>
          <w:i/>
          <w:iCs/>
          <w:sz w:val="20"/>
          <w:szCs w:val="20"/>
          <w:lang w:val="en-GB"/>
        </w:rPr>
        <w:t>The Meeting of the Parties:</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pStyle w:val="Odstavecseseznamem"/>
        <w:numPr>
          <w:ilvl w:val="0"/>
          <w:numId w:val="3"/>
        </w:numPr>
        <w:spacing w:before="60" w:after="60" w:line="240" w:lineRule="auto"/>
        <w:jc w:val="both"/>
        <w:rPr>
          <w:rFonts w:ascii="Open Sans" w:eastAsia="Calibri" w:hAnsi="Open Sans" w:cs="Open Sans"/>
          <w:sz w:val="20"/>
          <w:szCs w:val="20"/>
          <w:lang w:val="en-GB"/>
        </w:rPr>
      </w:pPr>
      <w:bookmarkStart w:id="1" w:name="_Hlk55827418"/>
      <w:r w:rsidRPr="001E09B5">
        <w:rPr>
          <w:rFonts w:ascii="Open Sans" w:eastAsia="Calibri" w:hAnsi="Open Sans" w:cs="Open Sans"/>
          <w:i/>
          <w:sz w:val="20"/>
          <w:szCs w:val="20"/>
          <w:lang w:val="en-GB"/>
        </w:rPr>
        <w:t>Decides</w:t>
      </w:r>
      <w:r w:rsidRPr="001E09B5">
        <w:rPr>
          <w:rFonts w:ascii="Open Sans" w:eastAsia="Calibri" w:hAnsi="Open Sans" w:cs="Open Sans"/>
          <w:sz w:val="20"/>
          <w:szCs w:val="20"/>
          <w:lang w:val="en-GB"/>
        </w:rPr>
        <w:t xml:space="preserve"> to establish an </w:t>
      </w:r>
      <w:bookmarkStart w:id="2" w:name="_Hlk55826812"/>
      <w:r w:rsidRPr="001E09B5">
        <w:rPr>
          <w:rFonts w:ascii="Open Sans" w:eastAsia="Calibri" w:hAnsi="Open Sans" w:cs="Open Sans"/>
          <w:sz w:val="20"/>
          <w:szCs w:val="20"/>
          <w:lang w:val="en-GB"/>
        </w:rPr>
        <w:t xml:space="preserve">additional preliminary </w:t>
      </w:r>
      <w:r w:rsidRPr="001E09B5">
        <w:rPr>
          <w:rFonts w:ascii="Open Sans" w:eastAsia="Calibri" w:hAnsi="Open Sans" w:cs="Open Sans"/>
          <w:b/>
          <w:bCs/>
          <w:sz w:val="20"/>
          <w:szCs w:val="20"/>
          <w:u w:val="single"/>
          <w:lang w:val="en-GB"/>
        </w:rPr>
        <w:t>voluntary</w:t>
      </w:r>
      <w:r w:rsidRPr="001E09B5">
        <w:rPr>
          <w:rFonts w:ascii="Open Sans" w:eastAsia="Calibri" w:hAnsi="Open Sans" w:cs="Open Sans"/>
          <w:sz w:val="20"/>
          <w:szCs w:val="20"/>
          <w:lang w:val="en-GB"/>
        </w:rPr>
        <w:t xml:space="preserve"> step to the procedure for submission of proposals for amendments to the Agreement</w:t>
      </w:r>
      <w:bookmarkEnd w:id="2"/>
      <w:r w:rsidRPr="001E09B5">
        <w:rPr>
          <w:rFonts w:ascii="Open Sans" w:eastAsia="Calibri" w:hAnsi="Open Sans" w:cs="Open Sans"/>
          <w:sz w:val="20"/>
          <w:szCs w:val="20"/>
          <w:lang w:val="en-GB"/>
        </w:rPr>
        <w:t xml:space="preserve"> as defined in Article X.3 of the Agreement, as follows:</w:t>
      </w:r>
      <w:bookmarkEnd w:id="1"/>
    </w:p>
    <w:p w:rsidR="001E09B5" w:rsidRPr="001E09B5" w:rsidRDefault="001E09B5" w:rsidP="001E09B5">
      <w:pPr>
        <w:spacing w:before="60" w:after="60" w:line="240" w:lineRule="auto"/>
        <w:ind w:left="720"/>
        <w:contextualSpacing/>
        <w:jc w:val="both"/>
        <w:rPr>
          <w:rFonts w:ascii="Open Sans" w:eastAsia="Calibri" w:hAnsi="Open Sans" w:cs="Open Sans"/>
          <w:sz w:val="20"/>
          <w:szCs w:val="20"/>
          <w:lang w:val="en-GB"/>
        </w:rPr>
      </w:pPr>
    </w:p>
    <w:p w:rsidR="001E09B5" w:rsidRPr="001E09B5" w:rsidRDefault="001E09B5" w:rsidP="001E09B5">
      <w:pPr>
        <w:spacing w:before="60" w:after="60" w:line="240" w:lineRule="auto"/>
        <w:ind w:left="1416" w:hanging="696"/>
        <w:jc w:val="both"/>
        <w:rPr>
          <w:rFonts w:ascii="Open Sans" w:eastAsia="Calibri" w:hAnsi="Open Sans" w:cs="Open Sans"/>
          <w:sz w:val="20"/>
          <w:szCs w:val="20"/>
          <w:lang w:val="en-GB"/>
        </w:rPr>
      </w:pPr>
      <w:r w:rsidRPr="001E09B5">
        <w:rPr>
          <w:rFonts w:ascii="Open Sans" w:eastAsia="Calibri" w:hAnsi="Open Sans" w:cs="Open Sans"/>
          <w:sz w:val="20"/>
          <w:szCs w:val="20"/>
          <w:lang w:val="en-GB"/>
        </w:rPr>
        <w:t>1.1</w:t>
      </w:r>
      <w:r w:rsidRPr="001E09B5">
        <w:rPr>
          <w:rFonts w:ascii="Open Sans" w:eastAsia="Calibri" w:hAnsi="Open Sans" w:cs="Open Sans"/>
          <w:sz w:val="20"/>
          <w:szCs w:val="20"/>
          <w:lang w:val="en-GB"/>
        </w:rPr>
        <w:tab/>
        <w:t xml:space="preserve">The text of any proposed amendment and the reasons for it, other than proposed amendments originating from the work of the Technical Committee, </w:t>
      </w:r>
      <w:r w:rsidRPr="001E09B5">
        <w:rPr>
          <w:rFonts w:ascii="Open Sans" w:eastAsia="Calibri" w:hAnsi="Open Sans" w:cs="Open Sans"/>
          <w:strike/>
          <w:sz w:val="20"/>
          <w:szCs w:val="20"/>
          <w:lang w:val="en-GB"/>
        </w:rPr>
        <w:t>shall</w:t>
      </w:r>
      <w:r w:rsidRPr="001E09B5">
        <w:rPr>
          <w:rFonts w:ascii="Open Sans" w:eastAsia="Calibri" w:hAnsi="Open Sans" w:cs="Open Sans"/>
          <w:sz w:val="20"/>
          <w:szCs w:val="20"/>
          <w:lang w:val="en-GB"/>
        </w:rPr>
        <w:t xml:space="preserve"> </w:t>
      </w:r>
      <w:r w:rsidRPr="001E09B5">
        <w:rPr>
          <w:rFonts w:ascii="Open Sans" w:eastAsia="Calibri" w:hAnsi="Open Sans" w:cs="Open Sans"/>
          <w:b/>
          <w:bCs/>
          <w:sz w:val="20"/>
          <w:szCs w:val="20"/>
          <w:u w:val="single"/>
          <w:lang w:val="en-GB"/>
        </w:rPr>
        <w:t>should</w:t>
      </w:r>
      <w:r w:rsidRPr="001E09B5">
        <w:rPr>
          <w:rFonts w:ascii="Open Sans" w:eastAsia="Calibri" w:hAnsi="Open Sans" w:cs="Open Sans"/>
          <w:sz w:val="20"/>
          <w:szCs w:val="20"/>
          <w:lang w:val="en-GB"/>
        </w:rPr>
        <w:t xml:space="preserve"> be communicated by the submitting Contracting Party to the Technical Committee, through the Agreement Secretariat, </w:t>
      </w:r>
      <w:r w:rsidRPr="001E09B5">
        <w:rPr>
          <w:rFonts w:ascii="Open Sans" w:eastAsia="Calibri" w:hAnsi="Open Sans" w:cs="Open Sans"/>
          <w:b/>
          <w:bCs/>
          <w:sz w:val="20"/>
          <w:szCs w:val="20"/>
          <w:u w:val="single"/>
          <w:lang w:val="en-GB"/>
        </w:rPr>
        <w:t>preferably 300 days and</w:t>
      </w:r>
      <w:r w:rsidRPr="001E09B5">
        <w:rPr>
          <w:rFonts w:ascii="Open Sans" w:eastAsia="Calibri" w:hAnsi="Open Sans" w:cs="Open Sans"/>
          <w:sz w:val="20"/>
          <w:szCs w:val="20"/>
          <w:lang w:val="en-GB"/>
        </w:rPr>
        <w:t xml:space="preserve"> not later than </w:t>
      </w:r>
      <w:r w:rsidRPr="001E09B5">
        <w:rPr>
          <w:rFonts w:ascii="Open Sans" w:eastAsia="Calibri" w:hAnsi="Open Sans" w:cs="Open Sans"/>
          <w:strike/>
          <w:sz w:val="20"/>
          <w:szCs w:val="20"/>
          <w:lang w:val="en-GB"/>
        </w:rPr>
        <w:t>300</w:t>
      </w:r>
      <w:r w:rsidRPr="001E09B5">
        <w:rPr>
          <w:rFonts w:ascii="Open Sans" w:eastAsia="Calibri" w:hAnsi="Open Sans" w:cs="Open Sans"/>
          <w:sz w:val="20"/>
          <w:szCs w:val="20"/>
          <w:lang w:val="en-GB"/>
        </w:rPr>
        <w:t xml:space="preserve"> </w:t>
      </w:r>
      <w:r w:rsidRPr="001E09B5">
        <w:rPr>
          <w:rFonts w:ascii="Open Sans" w:eastAsia="Calibri" w:hAnsi="Open Sans" w:cs="Open Sans"/>
          <w:b/>
          <w:bCs/>
          <w:sz w:val="20"/>
          <w:szCs w:val="20"/>
          <w:u w:val="single"/>
          <w:lang w:val="en-GB"/>
        </w:rPr>
        <w:t>250</w:t>
      </w:r>
      <w:r w:rsidRPr="001E09B5">
        <w:rPr>
          <w:rFonts w:ascii="Open Sans" w:eastAsia="Calibri" w:hAnsi="Open Sans" w:cs="Open Sans"/>
          <w:sz w:val="20"/>
          <w:szCs w:val="20"/>
          <w:lang w:val="en-GB"/>
        </w:rPr>
        <w:t xml:space="preserve"> days before the opening of the session of the Meeting of the Parties;</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spacing w:before="60" w:after="60" w:line="240" w:lineRule="auto"/>
        <w:ind w:left="1416" w:hanging="696"/>
        <w:jc w:val="both"/>
        <w:rPr>
          <w:rFonts w:ascii="Open Sans" w:eastAsia="Calibri" w:hAnsi="Open Sans" w:cs="Open Sans"/>
          <w:sz w:val="20"/>
          <w:szCs w:val="20"/>
          <w:lang w:val="en-GB"/>
        </w:rPr>
      </w:pPr>
      <w:r w:rsidRPr="001E09B5">
        <w:rPr>
          <w:rFonts w:ascii="Open Sans" w:eastAsia="Calibri" w:hAnsi="Open Sans" w:cs="Open Sans"/>
          <w:sz w:val="20"/>
          <w:szCs w:val="20"/>
          <w:lang w:val="en-GB"/>
        </w:rPr>
        <w:t>1.2</w:t>
      </w:r>
      <w:r w:rsidRPr="001E09B5">
        <w:rPr>
          <w:rFonts w:ascii="Open Sans" w:eastAsia="Calibri" w:hAnsi="Open Sans" w:cs="Open Sans"/>
          <w:sz w:val="20"/>
          <w:szCs w:val="20"/>
          <w:lang w:val="en-GB"/>
        </w:rPr>
        <w:tab/>
        <w:t>The Technical Committee shall review the submission and provide its advice on the text of the proposed amendment and the reasons for it to the submitting Contracting Party for its consideration not later than 180 days before the opening of the session of the Meeting of the Parties;</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spacing w:before="60" w:after="60" w:line="240" w:lineRule="auto"/>
        <w:ind w:left="1416" w:hanging="696"/>
        <w:jc w:val="both"/>
        <w:rPr>
          <w:rFonts w:ascii="Open Sans" w:eastAsia="Calibri" w:hAnsi="Open Sans" w:cs="Open Sans"/>
          <w:sz w:val="20"/>
          <w:szCs w:val="20"/>
          <w:lang w:val="en-GB"/>
        </w:rPr>
      </w:pPr>
      <w:r w:rsidRPr="001E09B5">
        <w:rPr>
          <w:rFonts w:ascii="Open Sans" w:eastAsia="Calibri" w:hAnsi="Open Sans" w:cs="Open Sans"/>
          <w:sz w:val="20"/>
          <w:szCs w:val="20"/>
          <w:lang w:val="en-GB"/>
        </w:rPr>
        <w:t>1.3</w:t>
      </w:r>
      <w:r w:rsidRPr="001E09B5">
        <w:rPr>
          <w:rFonts w:ascii="Open Sans" w:eastAsia="Calibri" w:hAnsi="Open Sans" w:cs="Open Sans"/>
          <w:sz w:val="20"/>
          <w:szCs w:val="20"/>
          <w:lang w:val="en-GB"/>
        </w:rPr>
        <w:tab/>
        <w:t>The decision of whether to adjust the proposal or the reasons for it following the advice from the Technical Committee remains entirely at the discretion of the submitting Contracting Party;</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spacing w:before="60" w:after="60" w:line="240" w:lineRule="auto"/>
        <w:ind w:left="1416" w:hanging="696"/>
        <w:jc w:val="both"/>
        <w:rPr>
          <w:rFonts w:ascii="Open Sans" w:eastAsia="Calibri" w:hAnsi="Open Sans" w:cs="Open Sans"/>
          <w:sz w:val="20"/>
          <w:szCs w:val="20"/>
          <w:lang w:val="en-GB"/>
        </w:rPr>
      </w:pPr>
      <w:r w:rsidRPr="001E09B5">
        <w:rPr>
          <w:rFonts w:ascii="Open Sans" w:eastAsia="Calibri" w:hAnsi="Open Sans" w:cs="Open Sans"/>
          <w:sz w:val="20"/>
          <w:szCs w:val="20"/>
          <w:lang w:val="en-GB"/>
        </w:rPr>
        <w:t>1.4</w:t>
      </w:r>
      <w:r w:rsidRPr="001E09B5">
        <w:rPr>
          <w:rFonts w:ascii="Open Sans" w:eastAsia="Calibri" w:hAnsi="Open Sans" w:cs="Open Sans"/>
          <w:sz w:val="20"/>
          <w:szCs w:val="20"/>
          <w:lang w:val="en-GB"/>
        </w:rPr>
        <w:tab/>
        <w:t xml:space="preserve">The Agreement Secretariat shall transmit the advice of the Technical Committee to all Contracting Parties and the Meeting of the Parties together with the text of the </w:t>
      </w:r>
      <w:r w:rsidRPr="001E09B5">
        <w:rPr>
          <w:rFonts w:ascii="Open Sans" w:eastAsia="Calibri" w:hAnsi="Open Sans" w:cs="Open Sans"/>
          <w:sz w:val="20"/>
          <w:szCs w:val="20"/>
          <w:lang w:val="en-GB"/>
        </w:rPr>
        <w:lastRenderedPageBreak/>
        <w:t>proposed amendment and the reasons for it once submitted by the Party as per Article X.3.</w:t>
      </w:r>
    </w:p>
    <w:p w:rsidR="001E09B5" w:rsidRPr="001E09B5" w:rsidRDefault="001E09B5" w:rsidP="001E09B5">
      <w:pPr>
        <w:spacing w:before="60" w:after="60" w:line="240" w:lineRule="auto"/>
        <w:jc w:val="both"/>
        <w:rPr>
          <w:rFonts w:ascii="Open Sans" w:eastAsia="Calibri" w:hAnsi="Open Sans" w:cs="Open Sans"/>
          <w:sz w:val="20"/>
          <w:szCs w:val="20"/>
          <w:lang w:val="en-GB"/>
        </w:rPr>
      </w:pPr>
    </w:p>
    <w:p w:rsidR="001E09B5" w:rsidRPr="001E09B5" w:rsidRDefault="001E09B5" w:rsidP="001E09B5">
      <w:pPr>
        <w:tabs>
          <w:tab w:val="left" w:pos="720"/>
        </w:tabs>
        <w:spacing w:after="0" w:line="276" w:lineRule="auto"/>
        <w:jc w:val="both"/>
        <w:rPr>
          <w:rFonts w:ascii="Open Sans" w:eastAsia="Calibri" w:hAnsi="Open Sans" w:cs="Open Sans"/>
          <w:b/>
          <w:bCs/>
          <w:sz w:val="20"/>
          <w:szCs w:val="20"/>
          <w:u w:val="single"/>
          <w:lang w:val="fi-FI"/>
        </w:rPr>
      </w:pPr>
      <w:r w:rsidRPr="001E09B5">
        <w:rPr>
          <w:rFonts w:ascii="Open Sans" w:eastAsia="Calibri" w:hAnsi="Open Sans" w:cs="Open Sans"/>
          <w:b/>
          <w:bCs/>
          <w:sz w:val="20"/>
          <w:szCs w:val="20"/>
          <w:u w:val="single"/>
          <w:lang w:val="en-GB"/>
        </w:rPr>
        <w:t>1bis.</w:t>
      </w:r>
      <w:r w:rsidRPr="001E09B5">
        <w:rPr>
          <w:rFonts w:ascii="Open Sans" w:eastAsia="Calibri" w:hAnsi="Open Sans" w:cs="Open Sans"/>
          <w:b/>
          <w:bCs/>
          <w:i/>
          <w:iCs/>
          <w:sz w:val="20"/>
          <w:szCs w:val="20"/>
          <w:u w:val="single"/>
          <w:lang w:val="en-GB"/>
        </w:rPr>
        <w:t xml:space="preserve"> </w:t>
      </w:r>
      <w:r w:rsidRPr="001E09B5">
        <w:rPr>
          <w:rFonts w:ascii="Open Sans" w:eastAsia="Calibri" w:hAnsi="Open Sans" w:cs="Open Sans"/>
          <w:b/>
          <w:bCs/>
          <w:i/>
          <w:iCs/>
          <w:sz w:val="20"/>
          <w:szCs w:val="20"/>
          <w:u w:val="single"/>
          <w:lang w:val="fi-FI"/>
        </w:rPr>
        <w:t>Urges</w:t>
      </w:r>
      <w:r w:rsidRPr="001E09B5">
        <w:rPr>
          <w:rFonts w:ascii="Open Sans" w:eastAsia="Calibri" w:hAnsi="Open Sans" w:cs="Open Sans"/>
          <w:b/>
          <w:bCs/>
          <w:sz w:val="20"/>
          <w:szCs w:val="20"/>
          <w:u w:val="single"/>
          <w:lang w:val="fi-FI"/>
        </w:rPr>
        <w:t xml:space="preserve"> Contracting Parties to make us of the additional step foreseen in Article 1 above, as the advice of the Technical Committee will help improve the quality and comprehensiveness of the amendment proposals.</w:t>
      </w:r>
    </w:p>
    <w:p w:rsidR="001E09B5" w:rsidRPr="001E09B5" w:rsidRDefault="001E09B5" w:rsidP="001E09B5">
      <w:pPr>
        <w:spacing w:before="60" w:after="60" w:line="276" w:lineRule="auto"/>
        <w:ind w:left="720"/>
        <w:contextualSpacing/>
        <w:jc w:val="both"/>
        <w:rPr>
          <w:rFonts w:ascii="Open Sans" w:eastAsia="Calibri" w:hAnsi="Open Sans" w:cs="Open Sans"/>
          <w:sz w:val="20"/>
          <w:szCs w:val="20"/>
          <w:lang w:val="en-GB"/>
        </w:rPr>
      </w:pPr>
    </w:p>
    <w:p w:rsidR="00CF3EB2" w:rsidRDefault="001E09B5" w:rsidP="001E09B5">
      <w:pPr>
        <w:pStyle w:val="Odstavecseseznamem"/>
        <w:numPr>
          <w:ilvl w:val="0"/>
          <w:numId w:val="3"/>
        </w:numPr>
        <w:spacing w:line="276" w:lineRule="auto"/>
        <w:jc w:val="both"/>
      </w:pPr>
      <w:bookmarkStart w:id="3" w:name="_GoBack"/>
      <w:bookmarkEnd w:id="3"/>
      <w:r w:rsidRPr="001E09B5">
        <w:rPr>
          <w:rFonts w:ascii="Open Sans" w:eastAsia="Calibri" w:hAnsi="Open Sans" w:cs="Open Sans"/>
          <w:i/>
          <w:sz w:val="20"/>
          <w:szCs w:val="20"/>
          <w:lang w:val="en-GB"/>
        </w:rPr>
        <w:t>Requests</w:t>
      </w:r>
      <w:r w:rsidRPr="001E09B5">
        <w:rPr>
          <w:rFonts w:ascii="Open Sans" w:eastAsia="Calibri" w:hAnsi="Open Sans" w:cs="Open Sans"/>
          <w:sz w:val="20"/>
          <w:szCs w:val="20"/>
          <w:lang w:val="en-GB"/>
        </w:rPr>
        <w:t xml:space="preserve"> the Secretariat to issue a timely notification to the Contracting Parties in advance of each Session of the Meeting of the Parties on the timeline for submission of proposals for amendments to the Agreement in order to accommodate for this additional preliminary step to the procedure.</w:t>
      </w:r>
    </w:p>
    <w:sectPr w:rsidR="00CF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1" w:fontKey="{9A14B150-68A2-4550-8037-9B9C00AA7431}"/>
    <w:embedBold r:id="rId2" w:fontKey="{716A2C83-5C66-4212-9EBD-11EDF5B78A3D}"/>
    <w:embedItalic r:id="rId3" w:fontKey="{661C1373-C60D-49C1-A08B-FE515CEA34A8}"/>
    <w:embedBoldItalic r:id="rId4" w:fontKey="{5C8EAE50-2737-417D-AC8E-AA23DEA4188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990"/>
    <w:multiLevelType w:val="hybridMultilevel"/>
    <w:tmpl w:val="517A16FE"/>
    <w:lvl w:ilvl="0" w:tplc="15547832">
      <w:start w:val="1"/>
      <w:numFmt w:val="decimal"/>
      <w:lvlText w:val="%1."/>
      <w:lvlJc w:val="left"/>
      <w:pPr>
        <w:ind w:left="720" w:hanging="360"/>
      </w:pPr>
      <w:rPr>
        <w:rFonts w:hint="default"/>
        <w:b w:val="0"/>
        <w:b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7D07D4"/>
    <w:multiLevelType w:val="hybridMultilevel"/>
    <w:tmpl w:val="1C02C668"/>
    <w:lvl w:ilvl="0" w:tplc="EC004FA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F8355C"/>
    <w:multiLevelType w:val="hybridMultilevel"/>
    <w:tmpl w:val="B6AA2EDC"/>
    <w:lvl w:ilvl="0" w:tplc="15547832">
      <w:start w:val="1"/>
      <w:numFmt w:val="decimal"/>
      <w:lvlText w:val="%1."/>
      <w:lvlJc w:val="left"/>
      <w:pPr>
        <w:ind w:left="72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B5"/>
    <w:rsid w:val="001E09B5"/>
    <w:rsid w:val="00CF3E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2E16"/>
  <w15:chartTrackingRefBased/>
  <w15:docId w15:val="{D350EB31-3661-4A7E-81CC-2F14CF0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2425</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1</cp:revision>
  <dcterms:created xsi:type="dcterms:W3CDTF">2022-09-26T07:53:00Z</dcterms:created>
  <dcterms:modified xsi:type="dcterms:W3CDTF">2022-09-26T08:02:00Z</dcterms:modified>
</cp:coreProperties>
</file>