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E594" w14:textId="077D6512" w:rsidR="001B1493" w:rsidRPr="0068332E" w:rsidRDefault="001B1493" w:rsidP="00CB2FF4">
      <w:pPr>
        <w:spacing w:line="276" w:lineRule="auto"/>
        <w:jc w:val="center"/>
        <w:rPr>
          <w:b/>
          <w:bCs/>
        </w:rPr>
      </w:pPr>
      <w:r w:rsidRPr="0068332E">
        <w:rPr>
          <w:b/>
          <w:bCs/>
        </w:rPr>
        <w:t>PROGRAMME OF WORK OF THE AEWA SECRETARIAT</w:t>
      </w:r>
    </w:p>
    <w:p w14:paraId="6DA22D36" w14:textId="56EFFCE1" w:rsidR="0083355D" w:rsidRPr="0068332E" w:rsidRDefault="001B1493" w:rsidP="00CB2FF4">
      <w:pPr>
        <w:spacing w:line="276" w:lineRule="auto"/>
        <w:jc w:val="center"/>
        <w:rPr>
          <w:b/>
          <w:bCs/>
        </w:rPr>
      </w:pPr>
      <w:r w:rsidRPr="0068332E">
        <w:rPr>
          <w:b/>
          <w:bCs/>
        </w:rPr>
        <w:t>FOR THE PERIOD 2026-2028</w:t>
      </w:r>
      <w:r w:rsidR="00DB522E">
        <w:rPr>
          <w:rStyle w:val="FootnoteReference"/>
          <w:b/>
          <w:bCs/>
        </w:rPr>
        <w:footnoteReference w:id="1"/>
      </w:r>
    </w:p>
    <w:p w14:paraId="6164592A" w14:textId="77777777" w:rsidR="001B1493" w:rsidRPr="0068332E" w:rsidRDefault="001B1493" w:rsidP="0068332E">
      <w:pPr>
        <w:spacing w:line="276" w:lineRule="auto"/>
        <w:jc w:val="both"/>
        <w:rPr>
          <w:sz w:val="22"/>
          <w:szCs w:val="22"/>
        </w:rPr>
      </w:pPr>
    </w:p>
    <w:p w14:paraId="24C66D95" w14:textId="77777777" w:rsidR="005A3BFB" w:rsidRPr="0068332E" w:rsidRDefault="005A3BFB" w:rsidP="0068332E">
      <w:pPr>
        <w:spacing w:line="276" w:lineRule="auto"/>
        <w:jc w:val="both"/>
        <w:rPr>
          <w:rFonts w:eastAsia="Aptos"/>
          <w:b/>
          <w:bCs/>
          <w:kern w:val="2"/>
          <w14:ligatures w14:val="standardContextual"/>
        </w:rPr>
      </w:pPr>
    </w:p>
    <w:p w14:paraId="20384D03" w14:textId="3F5916C6" w:rsidR="006410B8" w:rsidRPr="0068332E" w:rsidRDefault="006410B8" w:rsidP="0068332E">
      <w:pPr>
        <w:spacing w:line="276" w:lineRule="auto"/>
        <w:jc w:val="both"/>
        <w:rPr>
          <w:rFonts w:eastAsia="Aptos"/>
          <w:kern w:val="2"/>
          <w:sz w:val="22"/>
          <w:szCs w:val="22"/>
          <w14:ligatures w14:val="standardContextual"/>
        </w:rPr>
      </w:pPr>
      <w:r w:rsidRPr="0068332E">
        <w:rPr>
          <w:rFonts w:eastAsia="Aptos"/>
          <w:kern w:val="2"/>
          <w:sz w:val="22"/>
          <w:szCs w:val="22"/>
          <w14:ligatures w14:val="standardContextual"/>
        </w:rPr>
        <w:t>Pursuant to operative paragraph 5 of Resolution 9.9 adopted by the 9</w:t>
      </w:r>
      <w:r w:rsidRPr="0068332E">
        <w:rPr>
          <w:rFonts w:eastAsia="Aptos"/>
          <w:kern w:val="2"/>
          <w:sz w:val="22"/>
          <w:szCs w:val="22"/>
          <w:vertAlign w:val="superscript"/>
          <w14:ligatures w14:val="standardContextual"/>
        </w:rPr>
        <w:t>th</w:t>
      </w:r>
      <w:r w:rsidRPr="0068332E">
        <w:rPr>
          <w:rFonts w:eastAsia="Aptos"/>
          <w:kern w:val="2"/>
          <w:sz w:val="22"/>
          <w:szCs w:val="22"/>
          <w14:ligatures w14:val="standardContextual"/>
        </w:rPr>
        <w:t xml:space="preserve"> Session of the Meeting of the Parties (MOP9), </w:t>
      </w:r>
      <w:r w:rsidR="008C7350" w:rsidRPr="0068332E">
        <w:rPr>
          <w:rFonts w:eastAsia="Aptos"/>
          <w:kern w:val="2"/>
          <w:sz w:val="22"/>
          <w:szCs w:val="22"/>
          <w14:ligatures w14:val="standardContextual"/>
        </w:rPr>
        <w:t>taking account of the resources agreed by Parties, at its 28</w:t>
      </w:r>
      <w:r w:rsidR="008C7350" w:rsidRPr="0068332E">
        <w:rPr>
          <w:rFonts w:eastAsia="Aptos"/>
          <w:kern w:val="2"/>
          <w:sz w:val="22"/>
          <w:szCs w:val="22"/>
          <w:vertAlign w:val="superscript"/>
          <w14:ligatures w14:val="standardContextual"/>
        </w:rPr>
        <w:t>th</w:t>
      </w:r>
      <w:r w:rsidR="008C7350" w:rsidRPr="0068332E">
        <w:rPr>
          <w:rFonts w:eastAsia="Aptos"/>
          <w:kern w:val="2"/>
          <w:sz w:val="22"/>
          <w:szCs w:val="22"/>
          <w14:ligatures w14:val="standardContextual"/>
        </w:rPr>
        <w:t xml:space="preserve"> meeting on 12 March 2026 </w:t>
      </w:r>
      <w:r w:rsidRPr="0068332E">
        <w:rPr>
          <w:rFonts w:eastAsia="Aptos"/>
          <w:kern w:val="2"/>
          <w:sz w:val="22"/>
          <w:szCs w:val="22"/>
          <w14:ligatures w14:val="standardContextual"/>
        </w:rPr>
        <w:t>the Standing Committee (</w:t>
      </w:r>
      <w:proofErr w:type="spellStart"/>
      <w:r w:rsidRPr="0068332E">
        <w:rPr>
          <w:rFonts w:eastAsia="Aptos"/>
          <w:kern w:val="2"/>
          <w:sz w:val="22"/>
          <w:szCs w:val="22"/>
          <w14:ligatures w14:val="standardContextual"/>
        </w:rPr>
        <w:t>StC</w:t>
      </w:r>
      <w:proofErr w:type="spellEnd"/>
      <w:r w:rsidRPr="0068332E">
        <w:rPr>
          <w:rFonts w:eastAsia="Aptos"/>
          <w:kern w:val="2"/>
          <w:sz w:val="22"/>
          <w:szCs w:val="22"/>
          <w14:ligatures w14:val="standardContextual"/>
        </w:rPr>
        <w:t>) review</w:t>
      </w:r>
      <w:r w:rsidR="008C7350" w:rsidRPr="0068332E">
        <w:rPr>
          <w:rFonts w:eastAsia="Aptos"/>
          <w:kern w:val="2"/>
          <w:sz w:val="22"/>
          <w:szCs w:val="22"/>
          <w14:ligatures w14:val="standardContextual"/>
        </w:rPr>
        <w:t>ed</w:t>
      </w:r>
      <w:r w:rsidRPr="0068332E">
        <w:rPr>
          <w:rFonts w:eastAsia="Aptos"/>
          <w:kern w:val="2"/>
          <w:sz w:val="22"/>
          <w:szCs w:val="22"/>
          <w14:ligatures w14:val="standardContextual"/>
        </w:rPr>
        <w:t xml:space="preserve"> and </w:t>
      </w:r>
      <w:r w:rsidR="008C7350" w:rsidRPr="0068332E">
        <w:rPr>
          <w:rFonts w:eastAsia="Aptos"/>
          <w:kern w:val="2"/>
          <w:sz w:val="22"/>
          <w:szCs w:val="22"/>
          <w14:ligatures w14:val="standardContextual"/>
        </w:rPr>
        <w:t>approved for implementation</w:t>
      </w:r>
      <w:r w:rsidRPr="0068332E">
        <w:rPr>
          <w:rFonts w:eastAsia="Aptos"/>
          <w:kern w:val="2"/>
          <w:sz w:val="22"/>
          <w:szCs w:val="22"/>
          <w14:ligatures w14:val="standardContextual"/>
        </w:rPr>
        <w:t xml:space="preserve"> the </w:t>
      </w:r>
      <w:proofErr w:type="spellStart"/>
      <w:r w:rsidRPr="0068332E">
        <w:rPr>
          <w:rFonts w:eastAsia="Aptos"/>
          <w:kern w:val="2"/>
          <w:sz w:val="22"/>
          <w:szCs w:val="22"/>
          <w14:ligatures w14:val="standardContextual"/>
        </w:rPr>
        <w:t>Programme</w:t>
      </w:r>
      <w:proofErr w:type="spellEnd"/>
      <w:r w:rsidRPr="0068332E">
        <w:rPr>
          <w:rFonts w:eastAsia="Aptos"/>
          <w:kern w:val="2"/>
          <w:sz w:val="22"/>
          <w:szCs w:val="22"/>
          <w14:ligatures w14:val="standardContextual"/>
        </w:rPr>
        <w:t xml:space="preserve"> of Work (PoW) of the Secretariat for the period 2026-2028.</w:t>
      </w:r>
    </w:p>
    <w:p w14:paraId="56EA4E3D" w14:textId="77777777" w:rsidR="005A3BFB" w:rsidRPr="0068332E" w:rsidRDefault="005A3BFB" w:rsidP="0068332E">
      <w:pPr>
        <w:spacing w:line="276" w:lineRule="auto"/>
        <w:jc w:val="both"/>
        <w:rPr>
          <w:rFonts w:eastAsia="Aptos"/>
          <w:kern w:val="2"/>
          <w:sz w:val="22"/>
          <w:szCs w:val="22"/>
          <w14:ligatures w14:val="standardContextual"/>
        </w:rPr>
      </w:pPr>
    </w:p>
    <w:p w14:paraId="2AEF35F9" w14:textId="6A85CE5C" w:rsidR="006410B8" w:rsidRPr="0068332E" w:rsidRDefault="008C7350" w:rsidP="0068332E">
      <w:pPr>
        <w:spacing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In addition, the </w:t>
      </w:r>
      <w:proofErr w:type="spellStart"/>
      <w:r w:rsidRPr="0068332E">
        <w:rPr>
          <w:rFonts w:eastAsia="Aptos"/>
          <w:kern w:val="2"/>
          <w:sz w:val="22"/>
          <w:szCs w:val="22"/>
          <w14:ligatures w14:val="standardContextual"/>
        </w:rPr>
        <w:t>S</w:t>
      </w:r>
      <w:r w:rsidR="00D547B0" w:rsidRPr="0068332E">
        <w:rPr>
          <w:rFonts w:eastAsia="Aptos"/>
          <w:kern w:val="2"/>
          <w:sz w:val="22"/>
          <w:szCs w:val="22"/>
          <w14:ligatures w14:val="standardContextual"/>
        </w:rPr>
        <w:t>t</w:t>
      </w:r>
      <w:r w:rsidRPr="0068332E">
        <w:rPr>
          <w:rFonts w:eastAsia="Aptos"/>
          <w:kern w:val="2"/>
          <w:sz w:val="22"/>
          <w:szCs w:val="22"/>
          <w14:ligatures w14:val="standardContextual"/>
        </w:rPr>
        <w:t>C</w:t>
      </w:r>
      <w:proofErr w:type="spellEnd"/>
      <w:r w:rsidRPr="0068332E">
        <w:rPr>
          <w:rFonts w:eastAsia="Aptos"/>
          <w:kern w:val="2"/>
          <w:sz w:val="22"/>
          <w:szCs w:val="22"/>
          <w14:ligatures w14:val="standardContextual"/>
        </w:rPr>
        <w:t xml:space="preserve"> </w:t>
      </w:r>
      <w:proofErr w:type="spellStart"/>
      <w:r w:rsidRPr="0068332E">
        <w:rPr>
          <w:rFonts w:eastAsia="Aptos"/>
          <w:kern w:val="2"/>
          <w:sz w:val="22"/>
          <w:szCs w:val="22"/>
          <w14:ligatures w14:val="standardContextual"/>
        </w:rPr>
        <w:t>authorised</w:t>
      </w:r>
      <w:proofErr w:type="spellEnd"/>
      <w:r w:rsidRPr="0068332E">
        <w:rPr>
          <w:rFonts w:eastAsia="Aptos"/>
          <w:kern w:val="2"/>
          <w:sz w:val="22"/>
          <w:szCs w:val="22"/>
          <w14:ligatures w14:val="standardContextual"/>
        </w:rPr>
        <w:t xml:space="preserve"> the Secretariat to make necessary adjustments to the PoW during further operational planning and implementation, and confirmed that the </w:t>
      </w:r>
      <w:proofErr w:type="gramStart"/>
      <w:r w:rsidRPr="0068332E">
        <w:rPr>
          <w:rFonts w:eastAsia="Aptos"/>
          <w:kern w:val="2"/>
          <w:sz w:val="22"/>
          <w:szCs w:val="22"/>
          <w14:ligatures w14:val="standardContextual"/>
        </w:rPr>
        <w:t>deliverables</w:t>
      </w:r>
      <w:proofErr w:type="gramEnd"/>
      <w:r w:rsidRPr="0068332E">
        <w:rPr>
          <w:rFonts w:eastAsia="Aptos"/>
          <w:kern w:val="2"/>
          <w:sz w:val="22"/>
          <w:szCs w:val="22"/>
          <w14:ligatures w14:val="standardContextual"/>
        </w:rPr>
        <w:t xml:space="preserve"> under activities 3.2.1, 3.3.1, 4.1.1, 4.2.2, 4.2.3 and 4.2.4 are considered must-have deliverables, in addition to the Secretariat’s essential routine functions.</w:t>
      </w:r>
    </w:p>
    <w:p w14:paraId="3BC579DE" w14:textId="77777777" w:rsidR="005A3BFB" w:rsidRPr="0068332E" w:rsidRDefault="005A3BFB" w:rsidP="0068332E">
      <w:pPr>
        <w:spacing w:line="276" w:lineRule="auto"/>
        <w:jc w:val="both"/>
        <w:rPr>
          <w:rFonts w:eastAsia="Aptos"/>
          <w:kern w:val="2"/>
          <w:sz w:val="22"/>
          <w:szCs w:val="22"/>
          <w14:ligatures w14:val="standardContextual"/>
        </w:rPr>
      </w:pPr>
    </w:p>
    <w:p w14:paraId="462D9042" w14:textId="77777777" w:rsidR="00E23248" w:rsidRPr="0068332E" w:rsidRDefault="008C7350" w:rsidP="0068332E">
      <w:pPr>
        <w:spacing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The following types of changes to the PoW would qualify as </w:t>
      </w:r>
      <w:r w:rsidRPr="0068332E">
        <w:rPr>
          <w:rFonts w:eastAsia="Aptos"/>
          <w:b/>
          <w:bCs/>
          <w:kern w:val="2"/>
          <w:sz w:val="22"/>
          <w:szCs w:val="22"/>
          <w14:ligatures w14:val="standardContextual"/>
        </w:rPr>
        <w:t>adjustments</w:t>
      </w:r>
      <w:r w:rsidRPr="0068332E">
        <w:rPr>
          <w:rFonts w:eastAsia="Aptos"/>
          <w:kern w:val="2"/>
          <w:sz w:val="22"/>
          <w:szCs w:val="22"/>
          <w14:ligatures w14:val="standardContextual"/>
        </w:rPr>
        <w:t>:</w:t>
      </w:r>
      <w:r w:rsidR="006410B8" w:rsidRPr="0068332E">
        <w:rPr>
          <w:rFonts w:eastAsia="Aptos"/>
          <w:kern w:val="2"/>
          <w:sz w:val="22"/>
          <w:szCs w:val="22"/>
          <w14:ligatures w14:val="standardContextual"/>
        </w:rPr>
        <w:t xml:space="preserve"> reallocation of capacity and/or redefinition of additional funding needs or implementation timelines within the </w:t>
      </w:r>
      <w:proofErr w:type="spellStart"/>
      <w:r w:rsidR="006410B8" w:rsidRPr="0068332E">
        <w:rPr>
          <w:rFonts w:eastAsia="Aptos"/>
          <w:kern w:val="2"/>
          <w:sz w:val="22"/>
          <w:szCs w:val="22"/>
          <w14:ligatures w14:val="standardContextual"/>
        </w:rPr>
        <w:t>prioritised</w:t>
      </w:r>
      <w:proofErr w:type="spellEnd"/>
      <w:r w:rsidR="006410B8" w:rsidRPr="0068332E">
        <w:rPr>
          <w:rFonts w:eastAsia="Aptos"/>
          <w:kern w:val="2"/>
          <w:sz w:val="22"/>
          <w:szCs w:val="22"/>
          <w14:ligatures w14:val="standardContextual"/>
        </w:rPr>
        <w:t xml:space="preserve"> set of activities approved by the </w:t>
      </w:r>
      <w:proofErr w:type="spellStart"/>
      <w:r w:rsidR="006410B8" w:rsidRPr="0068332E">
        <w:rPr>
          <w:rFonts w:eastAsia="Aptos"/>
          <w:kern w:val="2"/>
          <w:sz w:val="22"/>
          <w:szCs w:val="22"/>
          <w14:ligatures w14:val="standardContextual"/>
        </w:rPr>
        <w:t>StC</w:t>
      </w:r>
      <w:proofErr w:type="spellEnd"/>
      <w:r w:rsidR="006410B8" w:rsidRPr="0068332E">
        <w:rPr>
          <w:rFonts w:eastAsia="Aptos"/>
          <w:kern w:val="2"/>
          <w:sz w:val="22"/>
          <w:szCs w:val="22"/>
          <w14:ligatures w14:val="standardContextual"/>
        </w:rPr>
        <w:t xml:space="preserve"> or occasions where the Secretariat can implement additional activities without compromising on the set of activities approved by the </w:t>
      </w:r>
      <w:proofErr w:type="spellStart"/>
      <w:r w:rsidR="006410B8" w:rsidRPr="0068332E">
        <w:rPr>
          <w:rFonts w:eastAsia="Aptos"/>
          <w:kern w:val="2"/>
          <w:sz w:val="22"/>
          <w:szCs w:val="22"/>
          <w14:ligatures w14:val="standardContextual"/>
        </w:rPr>
        <w:t>StC</w:t>
      </w:r>
      <w:proofErr w:type="spellEnd"/>
      <w:r w:rsidR="006410B8" w:rsidRPr="0068332E">
        <w:rPr>
          <w:rFonts w:eastAsia="Aptos"/>
          <w:kern w:val="2"/>
          <w:sz w:val="22"/>
          <w:szCs w:val="22"/>
          <w14:ligatures w14:val="standardContextual"/>
        </w:rPr>
        <w:t xml:space="preserve">. </w:t>
      </w:r>
    </w:p>
    <w:p w14:paraId="01A9848C" w14:textId="77777777" w:rsidR="00E23248" w:rsidRPr="0068332E" w:rsidRDefault="00E23248" w:rsidP="0068332E">
      <w:pPr>
        <w:spacing w:line="276" w:lineRule="auto"/>
        <w:jc w:val="both"/>
        <w:rPr>
          <w:rFonts w:eastAsia="Aptos"/>
          <w:kern w:val="2"/>
          <w:sz w:val="22"/>
          <w:szCs w:val="22"/>
          <w14:ligatures w14:val="standardContextual"/>
        </w:rPr>
      </w:pPr>
    </w:p>
    <w:p w14:paraId="73BBF667" w14:textId="757BED0F" w:rsidR="006410B8" w:rsidRPr="0068332E" w:rsidRDefault="00E23248" w:rsidP="0068332E">
      <w:pPr>
        <w:spacing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A change that would scale down or refocus away from the set of approved </w:t>
      </w:r>
      <w:proofErr w:type="gramStart"/>
      <w:r w:rsidRPr="0068332E">
        <w:rPr>
          <w:rFonts w:eastAsia="Aptos"/>
          <w:kern w:val="2"/>
          <w:sz w:val="22"/>
          <w:szCs w:val="22"/>
          <w14:ligatures w14:val="standardContextual"/>
        </w:rPr>
        <w:t>activities,</w:t>
      </w:r>
      <w:proofErr w:type="gramEnd"/>
      <w:r w:rsidRPr="0068332E">
        <w:rPr>
          <w:rFonts w:eastAsia="Aptos"/>
          <w:kern w:val="2"/>
          <w:sz w:val="22"/>
          <w:szCs w:val="22"/>
          <w14:ligatures w14:val="standardContextual"/>
        </w:rPr>
        <w:t xml:space="preserve"> would qualify as a</w:t>
      </w:r>
      <w:r w:rsidR="006410B8" w:rsidRPr="0068332E">
        <w:rPr>
          <w:rFonts w:eastAsia="Aptos"/>
          <w:kern w:val="2"/>
          <w:sz w:val="22"/>
          <w:szCs w:val="22"/>
          <w14:ligatures w14:val="standardContextual"/>
        </w:rPr>
        <w:t xml:space="preserve"> </w:t>
      </w:r>
      <w:r w:rsidR="006410B8" w:rsidRPr="0068332E">
        <w:rPr>
          <w:rFonts w:eastAsia="Aptos"/>
          <w:b/>
          <w:bCs/>
          <w:kern w:val="2"/>
          <w:sz w:val="22"/>
          <w:szCs w:val="22"/>
          <w14:ligatures w14:val="standardContextual"/>
        </w:rPr>
        <w:t>revision</w:t>
      </w:r>
      <w:r w:rsidRPr="0068332E">
        <w:rPr>
          <w:rFonts w:eastAsia="Aptos"/>
          <w:b/>
          <w:bCs/>
          <w:kern w:val="2"/>
          <w:sz w:val="22"/>
          <w:szCs w:val="22"/>
          <w14:ligatures w14:val="standardContextual"/>
        </w:rPr>
        <w:t xml:space="preserve"> </w:t>
      </w:r>
      <w:r w:rsidRPr="0068332E">
        <w:rPr>
          <w:rFonts w:eastAsia="Aptos"/>
          <w:kern w:val="2"/>
          <w:sz w:val="22"/>
          <w:szCs w:val="22"/>
          <w14:ligatures w14:val="standardContextual"/>
        </w:rPr>
        <w:t>and will</w:t>
      </w:r>
      <w:r w:rsidRPr="0068332E">
        <w:rPr>
          <w:rFonts w:eastAsia="Aptos"/>
          <w:b/>
          <w:bCs/>
          <w:kern w:val="2"/>
          <w:sz w:val="22"/>
          <w:szCs w:val="22"/>
          <w14:ligatures w14:val="standardContextual"/>
        </w:rPr>
        <w:t xml:space="preserve"> </w:t>
      </w:r>
      <w:r w:rsidR="006410B8" w:rsidRPr="0068332E">
        <w:rPr>
          <w:rFonts w:eastAsia="Aptos"/>
          <w:kern w:val="2"/>
          <w:sz w:val="22"/>
          <w:szCs w:val="22"/>
          <w14:ligatures w14:val="standardContextual"/>
        </w:rPr>
        <w:t xml:space="preserve">require </w:t>
      </w:r>
      <w:r w:rsidRPr="0068332E">
        <w:rPr>
          <w:rFonts w:eastAsia="Aptos"/>
          <w:kern w:val="2"/>
          <w:sz w:val="22"/>
          <w:szCs w:val="22"/>
          <w14:ligatures w14:val="standardContextual"/>
        </w:rPr>
        <w:t>approval</w:t>
      </w:r>
      <w:r w:rsidR="006410B8" w:rsidRPr="0068332E">
        <w:rPr>
          <w:rFonts w:eastAsia="Aptos"/>
          <w:kern w:val="2"/>
          <w:sz w:val="22"/>
          <w:szCs w:val="22"/>
          <w14:ligatures w14:val="standardContextual"/>
        </w:rPr>
        <w:t xml:space="preserve"> by the </w:t>
      </w:r>
      <w:proofErr w:type="spellStart"/>
      <w:r w:rsidR="006410B8" w:rsidRPr="0068332E">
        <w:rPr>
          <w:rFonts w:eastAsia="Aptos"/>
          <w:kern w:val="2"/>
          <w:sz w:val="22"/>
          <w:szCs w:val="22"/>
          <w14:ligatures w14:val="standardContextual"/>
        </w:rPr>
        <w:t>StC</w:t>
      </w:r>
      <w:proofErr w:type="spellEnd"/>
      <w:r w:rsidR="006410B8" w:rsidRPr="0068332E">
        <w:rPr>
          <w:rFonts w:eastAsia="Aptos"/>
          <w:kern w:val="2"/>
          <w:sz w:val="22"/>
          <w:szCs w:val="22"/>
          <w14:ligatures w14:val="standardContextual"/>
        </w:rPr>
        <w:t xml:space="preserve">.   </w:t>
      </w:r>
    </w:p>
    <w:p w14:paraId="0BAA2899" w14:textId="77777777" w:rsidR="00CA7B25" w:rsidRPr="0068332E" w:rsidRDefault="00CA7B25" w:rsidP="0068332E">
      <w:pPr>
        <w:spacing w:line="276" w:lineRule="auto"/>
        <w:jc w:val="both"/>
        <w:rPr>
          <w:rFonts w:eastAsia="Aptos"/>
          <w:kern w:val="2"/>
          <w:sz w:val="22"/>
          <w:szCs w:val="22"/>
          <w14:ligatures w14:val="standardContextual"/>
        </w:rPr>
      </w:pPr>
    </w:p>
    <w:p w14:paraId="0ABBFCE8" w14:textId="01CE8E26"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The </w:t>
      </w:r>
      <w:proofErr w:type="spellStart"/>
      <w:r w:rsidRPr="0068332E">
        <w:rPr>
          <w:rFonts w:eastAsia="Aptos"/>
          <w:kern w:val="2"/>
          <w:sz w:val="22"/>
          <w:szCs w:val="22"/>
          <w14:ligatures w14:val="standardContextual"/>
        </w:rPr>
        <w:t>Programme</w:t>
      </w:r>
      <w:proofErr w:type="spellEnd"/>
      <w:r w:rsidRPr="0068332E">
        <w:rPr>
          <w:rFonts w:eastAsia="Aptos"/>
          <w:kern w:val="2"/>
          <w:sz w:val="22"/>
          <w:szCs w:val="22"/>
          <w14:ligatures w14:val="standardContextual"/>
        </w:rPr>
        <w:t xml:space="preserve"> of Work for the Secretariat for the period 2026-2028 is presented as two Excel spreadsheets </w:t>
      </w:r>
      <w:r w:rsidR="00E23248" w:rsidRPr="0068332E">
        <w:rPr>
          <w:rFonts w:eastAsia="Aptos"/>
          <w:kern w:val="2"/>
          <w:sz w:val="22"/>
          <w:szCs w:val="22"/>
          <w14:ligatures w14:val="standardContextual"/>
        </w:rPr>
        <w:t xml:space="preserve">annexed </w:t>
      </w:r>
      <w:r w:rsidRPr="0068332E">
        <w:rPr>
          <w:rFonts w:eastAsia="Aptos"/>
          <w:kern w:val="2"/>
          <w:sz w:val="22"/>
          <w:szCs w:val="22"/>
          <w14:ligatures w14:val="standardContextual"/>
        </w:rPr>
        <w:t xml:space="preserve">as </w:t>
      </w:r>
      <w:r w:rsidRPr="0068332E">
        <w:rPr>
          <w:rFonts w:eastAsia="Aptos"/>
          <w:b/>
          <w:bCs/>
          <w:kern w:val="2"/>
          <w:sz w:val="22"/>
          <w:szCs w:val="22"/>
          <w14:ligatures w14:val="standardContextual"/>
        </w:rPr>
        <w:t>Annexes 1 and 2</w:t>
      </w:r>
      <w:r w:rsidRPr="0068332E">
        <w:rPr>
          <w:rFonts w:eastAsia="Aptos"/>
          <w:kern w:val="2"/>
          <w:sz w:val="22"/>
          <w:szCs w:val="22"/>
          <w14:ligatures w14:val="standardContextual"/>
        </w:rPr>
        <w:t xml:space="preserve"> to this </w:t>
      </w:r>
      <w:r w:rsidR="00E23248" w:rsidRPr="0068332E">
        <w:rPr>
          <w:rFonts w:eastAsia="Aptos"/>
          <w:kern w:val="2"/>
          <w:sz w:val="22"/>
          <w:szCs w:val="22"/>
          <w14:ligatures w14:val="standardContextual"/>
        </w:rPr>
        <w:t>cover note</w:t>
      </w:r>
      <w:r w:rsidRPr="0068332E">
        <w:rPr>
          <w:rFonts w:eastAsia="Aptos"/>
          <w:kern w:val="2"/>
          <w:sz w:val="22"/>
          <w:szCs w:val="22"/>
          <w14:ligatures w14:val="standardContextual"/>
        </w:rPr>
        <w:t xml:space="preserve">. </w:t>
      </w:r>
    </w:p>
    <w:p w14:paraId="68E203D4" w14:textId="77777777" w:rsidR="001044C8" w:rsidRPr="0068332E" w:rsidRDefault="001044C8" w:rsidP="0068332E">
      <w:pPr>
        <w:spacing w:after="160" w:line="276" w:lineRule="auto"/>
        <w:jc w:val="both"/>
        <w:rPr>
          <w:rFonts w:eastAsia="Aptos"/>
          <w:color w:val="0070C0"/>
          <w:kern w:val="2"/>
          <w14:ligatures w14:val="standardContextual"/>
        </w:rPr>
      </w:pPr>
      <w:r w:rsidRPr="0068332E">
        <w:rPr>
          <w:rFonts w:eastAsia="Aptos"/>
          <w:b/>
          <w:bCs/>
          <w:color w:val="0070C0"/>
          <w:kern w:val="2"/>
          <w14:ligatures w14:val="standardContextual"/>
        </w:rPr>
        <w:t>Annex 1</w:t>
      </w:r>
      <w:r w:rsidRPr="0068332E">
        <w:rPr>
          <w:rFonts w:eastAsia="Aptos"/>
          <w:color w:val="0070C0"/>
          <w:kern w:val="2"/>
          <w14:ligatures w14:val="standardContextual"/>
        </w:rPr>
        <w:t xml:space="preserve"> </w:t>
      </w:r>
    </w:p>
    <w:p w14:paraId="41B9DB05"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Annex 1 is a Gantt-chart template that contains the following information:</w:t>
      </w:r>
    </w:p>
    <w:p w14:paraId="12142417" w14:textId="01022DEE"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b/>
          <w:bCs/>
          <w:kern w:val="2"/>
          <w:sz w:val="22"/>
          <w:szCs w:val="22"/>
          <w14:ligatures w14:val="standardContextual"/>
        </w:rPr>
        <w:t>Columns B-C (Mandates)</w:t>
      </w:r>
      <w:r w:rsidRPr="0068332E">
        <w:rPr>
          <w:rFonts w:eastAsia="Aptos"/>
          <w:kern w:val="2"/>
          <w:sz w:val="22"/>
          <w:szCs w:val="22"/>
          <w14:ligatures w14:val="standardContextual"/>
        </w:rPr>
        <w:t xml:space="preserve">: these columns list the Secretariat’s mandates in a structure compatible with the Integrated Project Management and Reporting (IPMR) module of the UN </w:t>
      </w:r>
      <w:r w:rsidR="002B2E49" w:rsidRPr="0068332E">
        <w:rPr>
          <w:rFonts w:eastAsia="Aptos"/>
          <w:kern w:val="2"/>
          <w:sz w:val="22"/>
          <w:szCs w:val="22"/>
          <w14:ligatures w14:val="standardContextual"/>
        </w:rPr>
        <w:t xml:space="preserve">Enterprise Resource Planning </w:t>
      </w:r>
      <w:r w:rsidRPr="0068332E">
        <w:rPr>
          <w:rFonts w:eastAsia="Aptos"/>
          <w:kern w:val="2"/>
          <w:sz w:val="22"/>
          <w:szCs w:val="22"/>
          <w14:ligatures w14:val="standardContextual"/>
        </w:rPr>
        <w:t>system</w:t>
      </w:r>
      <w:r w:rsidR="002B2E49" w:rsidRPr="0068332E">
        <w:rPr>
          <w:rFonts w:eastAsia="Aptos"/>
          <w:kern w:val="2"/>
          <w:sz w:val="22"/>
          <w:szCs w:val="22"/>
          <w14:ligatures w14:val="standardContextual"/>
        </w:rPr>
        <w:t xml:space="preserve"> - Umoja</w:t>
      </w:r>
      <w:r w:rsidRPr="0068332E">
        <w:rPr>
          <w:rFonts w:eastAsia="Aptos"/>
          <w:kern w:val="2"/>
          <w:sz w:val="22"/>
          <w:szCs w:val="22"/>
          <w14:ligatures w14:val="standardContextual"/>
        </w:rPr>
        <w:t>. The structure comprises the following four elements and the corresponding number of items per element:</w:t>
      </w:r>
    </w:p>
    <w:p w14:paraId="29B92E98" w14:textId="77777777" w:rsidR="001044C8" w:rsidRPr="0068332E" w:rsidRDefault="001044C8" w:rsidP="00125DB3">
      <w:pPr>
        <w:spacing w:after="160" w:line="276" w:lineRule="auto"/>
        <w:rPr>
          <w:rFonts w:eastAsia="Aptos"/>
          <w:kern w:val="2"/>
          <w:sz w:val="22"/>
          <w:szCs w:val="22"/>
          <w14:ligatures w14:val="standardContextual"/>
        </w:rPr>
      </w:pPr>
      <w:r w:rsidRPr="0068332E">
        <w:rPr>
          <w:rFonts w:eastAsia="Aptos"/>
          <w:kern w:val="2"/>
          <w:sz w:val="22"/>
          <w:szCs w:val="22"/>
          <w14:ligatures w14:val="standardContextual"/>
        </w:rPr>
        <w:t>Objective – 1;</w:t>
      </w:r>
      <w:r w:rsidRPr="0068332E">
        <w:rPr>
          <w:rFonts w:eastAsia="Aptos"/>
          <w:kern w:val="2"/>
          <w:sz w:val="22"/>
          <w:szCs w:val="22"/>
          <w14:ligatures w14:val="standardContextual"/>
        </w:rPr>
        <w:br/>
        <w:t>Outcomes – 14;</w:t>
      </w:r>
      <w:r w:rsidRPr="0068332E">
        <w:rPr>
          <w:rFonts w:eastAsia="Aptos"/>
          <w:kern w:val="2"/>
          <w:sz w:val="22"/>
          <w:szCs w:val="22"/>
          <w14:ligatures w14:val="standardContextual"/>
        </w:rPr>
        <w:br/>
        <w:t>Outputs – 29;</w:t>
      </w:r>
      <w:r w:rsidRPr="0068332E">
        <w:rPr>
          <w:rFonts w:eastAsia="Aptos"/>
          <w:kern w:val="2"/>
          <w:sz w:val="22"/>
          <w:szCs w:val="22"/>
          <w14:ligatures w14:val="standardContextual"/>
        </w:rPr>
        <w:br/>
        <w:t>Activities – 64.</w:t>
      </w:r>
    </w:p>
    <w:p w14:paraId="403D4573" w14:textId="04018F0C"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These are formulated </w:t>
      </w:r>
      <w:proofErr w:type="gramStart"/>
      <w:r w:rsidRPr="0068332E">
        <w:rPr>
          <w:rFonts w:eastAsia="Aptos"/>
          <w:kern w:val="2"/>
          <w:sz w:val="22"/>
          <w:szCs w:val="22"/>
          <w14:ligatures w14:val="standardContextual"/>
        </w:rPr>
        <w:t>on the basis of</w:t>
      </w:r>
      <w:proofErr w:type="gramEnd"/>
      <w:r w:rsidRPr="0068332E">
        <w:rPr>
          <w:rFonts w:eastAsia="Aptos"/>
          <w:kern w:val="2"/>
          <w:sz w:val="22"/>
          <w:szCs w:val="22"/>
          <w14:ligatures w14:val="standardContextual"/>
        </w:rPr>
        <w:t xml:space="preserve"> the Agreement text and its Annex 3 (Action Plan), the Strategic Plan </w:t>
      </w:r>
      <w:r w:rsidR="00A22B2C">
        <w:rPr>
          <w:rFonts w:eastAsia="Aptos"/>
          <w:kern w:val="2"/>
          <w:sz w:val="22"/>
          <w:szCs w:val="22"/>
          <w14:ligatures w14:val="standardContextual"/>
        </w:rPr>
        <w:br/>
      </w:r>
      <w:r w:rsidRPr="0068332E">
        <w:rPr>
          <w:rFonts w:eastAsia="Aptos"/>
          <w:kern w:val="2"/>
          <w:sz w:val="22"/>
          <w:szCs w:val="22"/>
          <w14:ligatures w14:val="standardContextual"/>
        </w:rPr>
        <w:t xml:space="preserve">2019–2027/2028, MOP </w:t>
      </w:r>
      <w:r w:rsidR="002B2E49" w:rsidRPr="0068332E">
        <w:rPr>
          <w:rFonts w:eastAsia="Aptos"/>
          <w:kern w:val="2"/>
          <w:sz w:val="22"/>
          <w:szCs w:val="22"/>
          <w14:ligatures w14:val="standardContextual"/>
        </w:rPr>
        <w:t>r</w:t>
      </w:r>
      <w:r w:rsidRPr="0068332E">
        <w:rPr>
          <w:rFonts w:eastAsia="Aptos"/>
          <w:kern w:val="2"/>
          <w:sz w:val="22"/>
          <w:szCs w:val="22"/>
          <w14:ligatures w14:val="standardContextual"/>
        </w:rPr>
        <w:t>esolutions, and, where relevant, mandatory UN rules and regulations. The corresponding mandate references are indicated in brackets at the end of each item.</w:t>
      </w:r>
    </w:p>
    <w:p w14:paraId="099E2A84"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b/>
          <w:bCs/>
          <w:kern w:val="2"/>
          <w:sz w:val="22"/>
          <w:szCs w:val="22"/>
          <w14:ligatures w14:val="standardContextual"/>
        </w:rPr>
        <w:lastRenderedPageBreak/>
        <w:t>Column D (Priority)</w:t>
      </w:r>
      <w:r w:rsidRPr="0068332E">
        <w:rPr>
          <w:rFonts w:eastAsia="Aptos"/>
          <w:kern w:val="2"/>
          <w:sz w:val="22"/>
          <w:szCs w:val="22"/>
          <w14:ligatures w14:val="standardContextual"/>
        </w:rPr>
        <w:t>: priority is assigned only to activities following three numerical priority levels (1-3) based on the following broad definitions:</w:t>
      </w:r>
    </w:p>
    <w:p w14:paraId="13D1C659"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a.</w:t>
      </w:r>
      <w:r w:rsidRPr="0068332E">
        <w:rPr>
          <w:rFonts w:eastAsia="Aptos"/>
          <w:kern w:val="2"/>
          <w:sz w:val="22"/>
          <w:szCs w:val="22"/>
          <w14:ligatures w14:val="standardContextual"/>
        </w:rPr>
        <w:tab/>
        <w:t xml:space="preserve">Priority 1 – activities that are essential for the functioning or the further development of the Agreement or the Secretariat and if not implemented will lead to disruptions; further to that this priority level has been assigned to activities for which the Secretariat has already received grants and has to deliver on those projects/activities, as well as to activities which are linked to other essential activities and if not implemented will </w:t>
      </w:r>
      <w:proofErr w:type="spellStart"/>
      <w:r w:rsidRPr="0068332E">
        <w:rPr>
          <w:rFonts w:eastAsia="Aptos"/>
          <w:kern w:val="2"/>
          <w:sz w:val="22"/>
          <w:szCs w:val="22"/>
          <w14:ligatures w14:val="standardContextual"/>
        </w:rPr>
        <w:t>jeopardise</w:t>
      </w:r>
      <w:proofErr w:type="spellEnd"/>
      <w:r w:rsidRPr="0068332E">
        <w:rPr>
          <w:rFonts w:eastAsia="Aptos"/>
          <w:kern w:val="2"/>
          <w:sz w:val="22"/>
          <w:szCs w:val="22"/>
          <w14:ligatures w14:val="standardContextual"/>
        </w:rPr>
        <w:t xml:space="preserve"> their delivery. </w:t>
      </w:r>
    </w:p>
    <w:p w14:paraId="71B3073E"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b.</w:t>
      </w:r>
      <w:r w:rsidRPr="0068332E">
        <w:rPr>
          <w:rFonts w:eastAsia="Aptos"/>
          <w:kern w:val="2"/>
          <w:sz w:val="22"/>
          <w:szCs w:val="22"/>
          <w14:ligatures w14:val="standardContextual"/>
        </w:rPr>
        <w:tab/>
        <w:t>Priority 2 – activities that are significant for the functioning or the implementation of the Agreement and if not carried out will weaken implementation and delivery of AEWA’s objectives.</w:t>
      </w:r>
    </w:p>
    <w:p w14:paraId="7C29B73A" w14:textId="0935D67C"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c.</w:t>
      </w:r>
      <w:r w:rsidRPr="0068332E">
        <w:rPr>
          <w:rFonts w:eastAsia="Aptos"/>
          <w:kern w:val="2"/>
          <w:sz w:val="22"/>
          <w:szCs w:val="22"/>
          <w14:ligatures w14:val="standardContextual"/>
        </w:rPr>
        <w:tab/>
        <w:t>Priority 3 – activities that are very important for the implementation of the Agreement and if not carried out will slow</w:t>
      </w:r>
      <w:r w:rsidR="002B2E49" w:rsidRPr="0068332E">
        <w:rPr>
          <w:rFonts w:eastAsia="Aptos"/>
          <w:kern w:val="2"/>
          <w:sz w:val="22"/>
          <w:szCs w:val="22"/>
          <w14:ligatures w14:val="standardContextual"/>
        </w:rPr>
        <w:t xml:space="preserve"> down</w:t>
      </w:r>
      <w:r w:rsidRPr="0068332E">
        <w:rPr>
          <w:rFonts w:eastAsia="Aptos"/>
          <w:kern w:val="2"/>
          <w:sz w:val="22"/>
          <w:szCs w:val="22"/>
          <w14:ligatures w14:val="standardContextual"/>
        </w:rPr>
        <w:t xml:space="preserve"> progress towards AEWA’s objectives.</w:t>
      </w:r>
    </w:p>
    <w:p w14:paraId="676726E0" w14:textId="10020AEA"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The </w:t>
      </w:r>
      <w:proofErr w:type="spellStart"/>
      <w:r w:rsidR="00BA4B5D" w:rsidRPr="0068332E">
        <w:rPr>
          <w:rFonts w:eastAsia="Aptos"/>
          <w:kern w:val="2"/>
          <w:sz w:val="22"/>
          <w:szCs w:val="22"/>
          <w14:ligatures w14:val="standardContextual"/>
        </w:rPr>
        <w:t>prioritisation</w:t>
      </w:r>
      <w:proofErr w:type="spellEnd"/>
      <w:r w:rsidRPr="0068332E">
        <w:rPr>
          <w:rFonts w:eastAsia="Aptos"/>
          <w:kern w:val="2"/>
          <w:sz w:val="22"/>
          <w:szCs w:val="22"/>
          <w14:ligatures w14:val="standardContextual"/>
        </w:rPr>
        <w:t xml:space="preserve"> </w:t>
      </w:r>
      <w:r w:rsidR="00BA4B5D" w:rsidRPr="0068332E">
        <w:rPr>
          <w:rFonts w:eastAsia="Aptos"/>
          <w:kern w:val="2"/>
          <w:sz w:val="22"/>
          <w:szCs w:val="22"/>
          <w14:ligatures w14:val="standardContextual"/>
        </w:rPr>
        <w:t xml:space="preserve">applied </w:t>
      </w:r>
      <w:proofErr w:type="spellStart"/>
      <w:r w:rsidR="00BA4B5D" w:rsidRPr="0068332E">
        <w:rPr>
          <w:rFonts w:eastAsia="Aptos"/>
          <w:kern w:val="2"/>
          <w:sz w:val="22"/>
          <w:szCs w:val="22"/>
          <w14:ligatures w14:val="standardContextual"/>
        </w:rPr>
        <w:t>categorises</w:t>
      </w:r>
      <w:proofErr w:type="spellEnd"/>
      <w:r w:rsidR="00BA4B5D" w:rsidRPr="0068332E">
        <w:rPr>
          <w:rFonts w:eastAsia="Aptos"/>
          <w:kern w:val="2"/>
          <w:sz w:val="22"/>
          <w:szCs w:val="22"/>
          <w14:ligatures w14:val="standardContextual"/>
        </w:rPr>
        <w:t xml:space="preserve"> </w:t>
      </w:r>
      <w:r w:rsidRPr="0068332E">
        <w:rPr>
          <w:rFonts w:eastAsia="Aptos"/>
          <w:kern w:val="2"/>
          <w:sz w:val="22"/>
          <w:szCs w:val="22"/>
          <w14:ligatures w14:val="standardContextual"/>
        </w:rPr>
        <w:t xml:space="preserve">35 activities as priority level 1 (55%), 18 activities as level 2 (28%) and the remaining 11 activities as level 3 (17%). </w:t>
      </w:r>
    </w:p>
    <w:p w14:paraId="7B4B547C" w14:textId="4603910E"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b/>
          <w:bCs/>
          <w:kern w:val="2"/>
          <w:sz w:val="22"/>
          <w:szCs w:val="22"/>
          <w14:ligatures w14:val="standardContextual"/>
        </w:rPr>
        <w:t>Column E (Personnel assignment)</w:t>
      </w:r>
      <w:r w:rsidRPr="0068332E">
        <w:rPr>
          <w:rFonts w:eastAsia="Aptos"/>
          <w:kern w:val="2"/>
          <w:sz w:val="22"/>
          <w:szCs w:val="22"/>
          <w14:ligatures w14:val="standardContextual"/>
        </w:rPr>
        <w:t>: this column indicates the princip</w:t>
      </w:r>
      <w:r w:rsidR="00BA4B5D" w:rsidRPr="0068332E">
        <w:rPr>
          <w:rFonts w:eastAsia="Aptos"/>
          <w:kern w:val="2"/>
          <w:sz w:val="22"/>
          <w:szCs w:val="22"/>
          <w14:ligatures w14:val="standardContextual"/>
        </w:rPr>
        <w:t>a</w:t>
      </w:r>
      <w:r w:rsidRPr="0068332E">
        <w:rPr>
          <w:rFonts w:eastAsia="Aptos"/>
          <w:kern w:val="2"/>
          <w:sz w:val="22"/>
          <w:szCs w:val="22"/>
          <w14:ligatures w14:val="standardContextual"/>
        </w:rPr>
        <w:t xml:space="preserve">l assignment of the Secretariat’s available personnel per activity, regardless of the level of priority. However, this does not imply that the activity can and will be implemented. Staff are indicated by their initials, with the lead staff member shown in bold. </w:t>
      </w:r>
    </w:p>
    <w:p w14:paraId="13F51595"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b/>
          <w:bCs/>
          <w:kern w:val="2"/>
          <w:sz w:val="22"/>
          <w:szCs w:val="22"/>
          <w14:ligatures w14:val="standardContextual"/>
        </w:rPr>
        <w:t>Column F (Additional funding needs)</w:t>
      </w:r>
      <w:r w:rsidRPr="0068332E">
        <w:rPr>
          <w:rFonts w:eastAsia="Aptos"/>
          <w:kern w:val="2"/>
          <w:sz w:val="22"/>
          <w:szCs w:val="22"/>
          <w14:ligatures w14:val="standardContextual"/>
        </w:rPr>
        <w:t>: this column defines which activities are dependent on additional funding; the following three broad categories have been applied:</w:t>
      </w:r>
    </w:p>
    <w:p w14:paraId="3C49A469" w14:textId="77777777" w:rsidR="001044C8" w:rsidRPr="0068332E" w:rsidRDefault="001044C8" w:rsidP="00D55798">
      <w:pPr>
        <w:spacing w:after="160" w:line="276" w:lineRule="auto"/>
        <w:rPr>
          <w:rFonts w:eastAsia="Aptos"/>
          <w:kern w:val="2"/>
          <w:sz w:val="22"/>
          <w:szCs w:val="22"/>
          <w14:ligatures w14:val="standardContextual"/>
        </w:rPr>
      </w:pPr>
      <w:r w:rsidRPr="0068332E">
        <w:rPr>
          <w:rFonts w:eastAsia="Aptos"/>
          <w:kern w:val="2"/>
          <w:sz w:val="22"/>
          <w:szCs w:val="22"/>
          <w14:ligatures w14:val="standardContextual"/>
        </w:rPr>
        <w:t>a.</w:t>
      </w:r>
      <w:r w:rsidRPr="0068332E">
        <w:rPr>
          <w:rFonts w:eastAsia="Aptos"/>
          <w:kern w:val="2"/>
          <w:sz w:val="22"/>
          <w:szCs w:val="22"/>
          <w14:ligatures w14:val="standardContextual"/>
        </w:rPr>
        <w:tab/>
        <w:t>Yes - cannot be delivered without additional funding;</w:t>
      </w:r>
      <w:r w:rsidRPr="0068332E">
        <w:rPr>
          <w:rFonts w:eastAsia="Aptos"/>
          <w:kern w:val="2"/>
          <w:sz w:val="22"/>
          <w:szCs w:val="22"/>
          <w14:ligatures w14:val="standardContextual"/>
        </w:rPr>
        <w:br/>
        <w:t>b.</w:t>
      </w:r>
      <w:r w:rsidRPr="0068332E">
        <w:rPr>
          <w:rFonts w:eastAsia="Aptos"/>
          <w:kern w:val="2"/>
          <w:sz w:val="22"/>
          <w:szCs w:val="22"/>
          <w14:ligatures w14:val="standardContextual"/>
        </w:rPr>
        <w:tab/>
        <w:t>Partially - needs some additional funding to secure delivery;</w:t>
      </w:r>
      <w:r w:rsidRPr="0068332E">
        <w:rPr>
          <w:rFonts w:eastAsia="Aptos"/>
          <w:kern w:val="2"/>
          <w:sz w:val="22"/>
          <w:szCs w:val="22"/>
          <w14:ligatures w14:val="standardContextual"/>
        </w:rPr>
        <w:br/>
        <w:t>c.</w:t>
      </w:r>
      <w:r w:rsidRPr="0068332E">
        <w:rPr>
          <w:rFonts w:eastAsia="Aptos"/>
          <w:kern w:val="2"/>
          <w:sz w:val="22"/>
          <w:szCs w:val="22"/>
          <w14:ligatures w14:val="standardContextual"/>
        </w:rPr>
        <w:tab/>
        <w:t xml:space="preserve">No/Secured - funding is in place and it can be delivered. </w:t>
      </w:r>
    </w:p>
    <w:p w14:paraId="70351B38"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Parentheses () indicate cases where the resource need assessment is tentative/conditional and may change during operational planning.</w:t>
      </w:r>
    </w:p>
    <w:p w14:paraId="406233B2"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b/>
          <w:bCs/>
          <w:kern w:val="2"/>
          <w:sz w:val="22"/>
          <w:szCs w:val="22"/>
          <w14:ligatures w14:val="standardContextual"/>
        </w:rPr>
        <w:t>Columns G-H (Activity start and end date) &amp; Columns L-AU (Activity timeline)</w:t>
      </w:r>
      <w:r w:rsidRPr="0068332E">
        <w:rPr>
          <w:rFonts w:eastAsia="Aptos"/>
          <w:kern w:val="2"/>
          <w:sz w:val="22"/>
          <w:szCs w:val="22"/>
          <w14:ligatures w14:val="standardContextual"/>
        </w:rPr>
        <w:t xml:space="preserve">: when the start and end dates of the activity are entered in columns G and H, the template automatically projects in light green the respective timeline in columns L-AU. The latter </w:t>
      </w:r>
      <w:proofErr w:type="gramStart"/>
      <w:r w:rsidRPr="0068332E">
        <w:rPr>
          <w:rFonts w:eastAsia="Aptos"/>
          <w:kern w:val="2"/>
          <w:sz w:val="22"/>
          <w:szCs w:val="22"/>
          <w14:ligatures w14:val="standardContextual"/>
        </w:rPr>
        <w:t>represent</w:t>
      </w:r>
      <w:proofErr w:type="gramEnd"/>
      <w:r w:rsidRPr="0068332E">
        <w:rPr>
          <w:rFonts w:eastAsia="Aptos"/>
          <w:kern w:val="2"/>
          <w:sz w:val="22"/>
          <w:szCs w:val="22"/>
          <w14:ligatures w14:val="standardContextual"/>
        </w:rPr>
        <w:t xml:space="preserve"> the entire triennium between 1 Jan 2026 and 31 Dec 2028. For several activities with longer timelines, indication is made of periods which will require concentrated work. These periods are indicated by bullet points in columns L-AU. A black diamond-shaped symbol in the last cell of the timeline indicates when the activity is expected to conclude.</w:t>
      </w:r>
    </w:p>
    <w:p w14:paraId="1266135A"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In some instances, especially where the activity is heavily funding-dependent, a question mark is entered instead of start and end dates since it is not possible to define an implementation timeline before confirmation of whether and when funding will be provided. </w:t>
      </w:r>
    </w:p>
    <w:p w14:paraId="71011572"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b/>
          <w:bCs/>
          <w:kern w:val="2"/>
          <w:sz w:val="22"/>
          <w:szCs w:val="22"/>
          <w14:ligatures w14:val="standardContextual"/>
        </w:rPr>
        <w:t>Column I (Number of days per activity)</w:t>
      </w:r>
      <w:r w:rsidRPr="0068332E">
        <w:rPr>
          <w:rFonts w:eastAsia="Aptos"/>
          <w:kern w:val="2"/>
          <w:sz w:val="22"/>
          <w:szCs w:val="22"/>
          <w14:ligatures w14:val="standardContextual"/>
        </w:rPr>
        <w:t>: this column presents an automatic calculation of the number of days based on the start and end date of each activity. This number includes all calendar days, including weekends. The number of days does not represent that actual time needed for implementing an activity or delivering a result, but just the total number of days in the timeline.</w:t>
      </w:r>
    </w:p>
    <w:p w14:paraId="51A0A7A1"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b/>
          <w:bCs/>
          <w:kern w:val="2"/>
          <w:sz w:val="22"/>
          <w:szCs w:val="22"/>
          <w14:ligatures w14:val="standardContextual"/>
        </w:rPr>
        <w:t>Column J (Status of activity)</w:t>
      </w:r>
      <w:r w:rsidRPr="0068332E">
        <w:rPr>
          <w:rFonts w:eastAsia="Aptos"/>
          <w:kern w:val="2"/>
          <w:sz w:val="22"/>
          <w:szCs w:val="22"/>
          <w14:ligatures w14:val="standardContextual"/>
        </w:rPr>
        <w:t>: this column will be used for implementation tracking/monitoring. Categories of status that are currently available as part of the template may be refined by the Secretariat.</w:t>
      </w:r>
    </w:p>
    <w:p w14:paraId="1B4BB703" w14:textId="77777777" w:rsidR="001044C8" w:rsidRPr="0068332E" w:rsidRDefault="001044C8" w:rsidP="0068332E">
      <w:pPr>
        <w:spacing w:after="160" w:line="276" w:lineRule="auto"/>
        <w:jc w:val="both"/>
        <w:rPr>
          <w:rFonts w:eastAsia="Aptos"/>
          <w:kern w:val="2"/>
          <w14:ligatures w14:val="standardContextual"/>
        </w:rPr>
      </w:pPr>
      <w:r w:rsidRPr="0068332E">
        <w:rPr>
          <w:rFonts w:eastAsia="Aptos"/>
          <w:b/>
          <w:bCs/>
          <w:color w:val="0070C0"/>
          <w:kern w:val="2"/>
          <w14:ligatures w14:val="standardContextual"/>
        </w:rPr>
        <w:t>Annex 2</w:t>
      </w:r>
      <w:r w:rsidRPr="0068332E">
        <w:rPr>
          <w:rFonts w:eastAsia="Aptos"/>
          <w:kern w:val="2"/>
          <w14:ligatures w14:val="standardContextual"/>
        </w:rPr>
        <w:t xml:space="preserve"> </w:t>
      </w:r>
    </w:p>
    <w:p w14:paraId="42B8BAAB"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Annex 2 is based on the template of Annex 1, and some information is identical (columns B-F). The purpose of Annex 2 is to present the actual time allocation of each staff member per activity (columns G-S) and define the set of </w:t>
      </w:r>
      <w:proofErr w:type="spellStart"/>
      <w:r w:rsidRPr="0068332E">
        <w:rPr>
          <w:rFonts w:eastAsia="Aptos"/>
          <w:kern w:val="2"/>
          <w:sz w:val="22"/>
          <w:szCs w:val="22"/>
          <w14:ligatures w14:val="standardContextual"/>
        </w:rPr>
        <w:t>prioritised</w:t>
      </w:r>
      <w:proofErr w:type="spellEnd"/>
      <w:r w:rsidRPr="0068332E">
        <w:rPr>
          <w:rFonts w:eastAsia="Aptos"/>
          <w:kern w:val="2"/>
          <w:sz w:val="22"/>
          <w:szCs w:val="22"/>
          <w14:ligatures w14:val="standardContextual"/>
        </w:rPr>
        <w:t xml:space="preserve"> activities to be implemented by the Secretariat in 2026-2028. </w:t>
      </w:r>
    </w:p>
    <w:p w14:paraId="43DDFE06"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lastRenderedPageBreak/>
        <w:t xml:space="preserve">The staff time allocation is expressed as a percentage of the total available workdays over the triennium for the respective activity for each assigned staff member. Available workdays are calculated by excluding weekends, annual leave and public holidays, resulting in 663 workdays per staff member for 2026–2028 at 100% post occupancy. This figure does not account for unforeseen absences such as sick leave. </w:t>
      </w:r>
    </w:p>
    <w:p w14:paraId="36670618" w14:textId="538B919A"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The Secretariat’s current staffing table and post occupancy levels are provided in </w:t>
      </w:r>
      <w:r w:rsidRPr="0068332E">
        <w:rPr>
          <w:rFonts w:eastAsia="Aptos"/>
          <w:b/>
          <w:bCs/>
          <w:kern w:val="2"/>
          <w:sz w:val="22"/>
          <w:szCs w:val="22"/>
          <w14:ligatures w14:val="standardContextual"/>
        </w:rPr>
        <w:t>Annex 3</w:t>
      </w:r>
      <w:r w:rsidRPr="0068332E">
        <w:rPr>
          <w:rFonts w:eastAsia="Aptos"/>
          <w:kern w:val="2"/>
          <w:sz w:val="22"/>
          <w:szCs w:val="22"/>
          <w14:ligatures w14:val="standardContextual"/>
        </w:rPr>
        <w:t xml:space="preserve"> to this </w:t>
      </w:r>
      <w:r w:rsidR="00B929F8" w:rsidRPr="0068332E">
        <w:rPr>
          <w:rFonts w:eastAsia="Aptos"/>
          <w:kern w:val="2"/>
          <w:sz w:val="22"/>
          <w:szCs w:val="22"/>
          <w14:ligatures w14:val="standardContextual"/>
        </w:rPr>
        <w:t>cover note</w:t>
      </w:r>
      <w:r w:rsidRPr="0068332E">
        <w:rPr>
          <w:rFonts w:eastAsia="Aptos"/>
          <w:kern w:val="2"/>
          <w:sz w:val="22"/>
          <w:szCs w:val="22"/>
          <w14:ligatures w14:val="standardContextual"/>
        </w:rPr>
        <w:t xml:space="preserve">. </w:t>
      </w:r>
    </w:p>
    <w:p w14:paraId="29619F5C" w14:textId="77777777"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In some cases, time allocation is indicated with an asterisk (*), where the quantified time is significantly below 1%. Where an accumulation of several activities with asterisks can result in a sizeable amount of time, this will be </w:t>
      </w:r>
      <w:proofErr w:type="gramStart"/>
      <w:r w:rsidRPr="0068332E">
        <w:rPr>
          <w:rFonts w:eastAsia="Aptos"/>
          <w:kern w:val="2"/>
          <w:sz w:val="22"/>
          <w:szCs w:val="22"/>
          <w14:ligatures w14:val="standardContextual"/>
        </w:rPr>
        <w:t>compensated</w:t>
      </w:r>
      <w:proofErr w:type="gramEnd"/>
      <w:r w:rsidRPr="0068332E">
        <w:rPr>
          <w:rFonts w:eastAsia="Aptos"/>
          <w:kern w:val="2"/>
          <w:sz w:val="22"/>
          <w:szCs w:val="22"/>
          <w14:ligatures w14:val="standardContextual"/>
        </w:rPr>
        <w:t xml:space="preserve"> by allocation to other related activities or routine functions. </w:t>
      </w:r>
    </w:p>
    <w:p w14:paraId="212B61B1" w14:textId="4BA3A50C"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The last column (S) reflects collectively the personnel of the </w:t>
      </w:r>
      <w:r w:rsidR="00B929F8" w:rsidRPr="0068332E">
        <w:rPr>
          <w:rFonts w:eastAsia="Aptos"/>
          <w:kern w:val="2"/>
          <w:sz w:val="22"/>
          <w:szCs w:val="22"/>
          <w14:ligatures w14:val="standardContextual"/>
        </w:rPr>
        <w:t xml:space="preserve">Secretariat of the </w:t>
      </w:r>
      <w:r w:rsidRPr="0068332E">
        <w:rPr>
          <w:rFonts w:eastAsia="Aptos"/>
          <w:kern w:val="2"/>
          <w:sz w:val="22"/>
          <w:szCs w:val="22"/>
          <w14:ligatures w14:val="standardContextual"/>
        </w:rPr>
        <w:t xml:space="preserve">Convention on Migratory Species (CMS) who are part of the Joint CMS/AEWA Information Management, Communication and Awareness Raising (IMCA) Unit. As part of the arrangement for this joint unit, CMS </w:t>
      </w:r>
      <w:r w:rsidR="00B929F8" w:rsidRPr="0068332E">
        <w:rPr>
          <w:rFonts w:eastAsia="Aptos"/>
          <w:kern w:val="2"/>
          <w:sz w:val="22"/>
          <w:szCs w:val="22"/>
          <w14:ligatures w14:val="standardContextual"/>
        </w:rPr>
        <w:t xml:space="preserve">Secretariat </w:t>
      </w:r>
      <w:r w:rsidRPr="0068332E">
        <w:rPr>
          <w:rFonts w:eastAsia="Aptos"/>
          <w:kern w:val="2"/>
          <w:sz w:val="22"/>
          <w:szCs w:val="22"/>
          <w14:ligatures w14:val="standardContextual"/>
        </w:rPr>
        <w:t xml:space="preserve">personnel contribute to certain aspects of the work and functions of the </w:t>
      </w:r>
      <w:r w:rsidR="00E23C09" w:rsidRPr="0068332E">
        <w:rPr>
          <w:rFonts w:eastAsia="Aptos"/>
          <w:kern w:val="2"/>
          <w:sz w:val="22"/>
          <w:szCs w:val="22"/>
          <w14:ligatures w14:val="standardContextual"/>
        </w:rPr>
        <w:t>UNEP/</w:t>
      </w:r>
      <w:r w:rsidRPr="0068332E">
        <w:rPr>
          <w:rFonts w:eastAsia="Aptos"/>
          <w:kern w:val="2"/>
          <w:sz w:val="22"/>
          <w:szCs w:val="22"/>
          <w14:ligatures w14:val="standardContextual"/>
        </w:rPr>
        <w:t xml:space="preserve">AEWA Secretariat, which is indicated only with asterisks. </w:t>
      </w:r>
      <w:proofErr w:type="spellStart"/>
      <w:r w:rsidRPr="0068332E">
        <w:rPr>
          <w:rFonts w:eastAsia="Aptos"/>
          <w:kern w:val="2"/>
          <w:sz w:val="22"/>
          <w:szCs w:val="22"/>
          <w14:ligatures w14:val="standardContextual"/>
        </w:rPr>
        <w:t>Some time</w:t>
      </w:r>
      <w:proofErr w:type="spellEnd"/>
      <w:r w:rsidRPr="0068332E">
        <w:rPr>
          <w:rFonts w:eastAsia="Aptos"/>
          <w:kern w:val="2"/>
          <w:sz w:val="22"/>
          <w:szCs w:val="22"/>
          <w14:ligatures w14:val="standardContextual"/>
        </w:rPr>
        <w:t xml:space="preserve"> of AEWA </w:t>
      </w:r>
      <w:r w:rsidR="00B929F8" w:rsidRPr="0068332E">
        <w:rPr>
          <w:rFonts w:eastAsia="Aptos"/>
          <w:kern w:val="2"/>
          <w:sz w:val="22"/>
          <w:szCs w:val="22"/>
          <w14:ligatures w14:val="standardContextual"/>
        </w:rPr>
        <w:t xml:space="preserve">Secretariat </w:t>
      </w:r>
      <w:r w:rsidRPr="0068332E">
        <w:rPr>
          <w:rFonts w:eastAsia="Aptos"/>
          <w:kern w:val="2"/>
          <w:sz w:val="22"/>
          <w:szCs w:val="22"/>
          <w14:ligatures w14:val="standardContextual"/>
        </w:rPr>
        <w:t>personnel involved in IMCA is spent on joint or CMS-specific activities, as indicated in Annex 3 to this document (staffing table).</w:t>
      </w:r>
    </w:p>
    <w:p w14:paraId="184F91E7" w14:textId="77777777" w:rsidR="001044C8" w:rsidRPr="0068332E" w:rsidRDefault="001044C8" w:rsidP="0068332E">
      <w:pPr>
        <w:spacing w:after="160" w:line="276" w:lineRule="auto"/>
        <w:jc w:val="both"/>
        <w:rPr>
          <w:rFonts w:eastAsia="Aptos"/>
          <w:kern w:val="2"/>
          <w:sz w:val="22"/>
          <w:szCs w:val="22"/>
          <w:u w:val="single"/>
          <w14:ligatures w14:val="standardContextual"/>
        </w:rPr>
      </w:pPr>
      <w:r w:rsidRPr="0068332E">
        <w:rPr>
          <w:rFonts w:eastAsia="Aptos"/>
          <w:kern w:val="2"/>
          <w:sz w:val="22"/>
          <w:szCs w:val="22"/>
          <w:u w:val="single"/>
          <w14:ligatures w14:val="standardContextual"/>
        </w:rPr>
        <w:t xml:space="preserve">Only activities that have staff time allocated to them can be implemented. </w:t>
      </w:r>
    </w:p>
    <w:p w14:paraId="3F9D1326" w14:textId="274CED4A"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u w:val="single"/>
          <w14:ligatures w14:val="standardContextual"/>
        </w:rPr>
        <w:t>Currently, all Priority 1 activities have staff time allocated to them and are scheduled for implementation.</w:t>
      </w:r>
      <w:r w:rsidRPr="0068332E">
        <w:rPr>
          <w:rFonts w:eastAsia="Aptos"/>
          <w:kern w:val="2"/>
          <w:sz w:val="22"/>
          <w:szCs w:val="22"/>
          <w14:ligatures w14:val="standardContextual"/>
        </w:rPr>
        <w:t xml:space="preserve"> However, several allocations are based on post occupancy levels higher than those approved and funded under the core budget of the Agreement, reflecting existing staff contracts. Maintaining this level of allocation will require additional voluntary contributions to cover both the extra post occupancy and the structural deficit </w:t>
      </w:r>
      <w:r w:rsidR="00B929F8" w:rsidRPr="0068332E">
        <w:rPr>
          <w:rFonts w:eastAsia="Aptos"/>
          <w:kern w:val="2"/>
          <w:sz w:val="22"/>
          <w:szCs w:val="22"/>
          <w14:ligatures w14:val="standardContextual"/>
        </w:rPr>
        <w:t xml:space="preserve">in the AEWA core budget </w:t>
      </w:r>
      <w:r w:rsidRPr="0068332E">
        <w:rPr>
          <w:rFonts w:eastAsia="Aptos"/>
          <w:kern w:val="2"/>
          <w:sz w:val="22"/>
          <w:szCs w:val="22"/>
          <w14:ligatures w14:val="standardContextual"/>
        </w:rPr>
        <w:t>arising from discrepancies between standard and actual staffing costs.</w:t>
      </w:r>
    </w:p>
    <w:p w14:paraId="07F4768B" w14:textId="35B3CB55"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u w:val="single"/>
          <w14:ligatures w14:val="standardContextual"/>
        </w:rPr>
        <w:t>No staff time could be allocated to Priority 2 or Priority 3 activities.</w:t>
      </w:r>
      <w:r w:rsidRPr="0068332E">
        <w:rPr>
          <w:rFonts w:eastAsia="Aptos"/>
          <w:kern w:val="2"/>
          <w:sz w:val="22"/>
          <w:szCs w:val="22"/>
          <w14:ligatures w14:val="standardContextual"/>
        </w:rPr>
        <w:t xml:space="preserve"> These may still be implemented if Parties or stakeholders take the lead and secure the necessary capacity and, where required, funding. In such cases, the Secretariat would need to reallocate capacity to provide guidance and assistance, which would entail scaling down staff time assigned to Priority 1 activities. If the implementation of a Priority 1 activity must be cancelled </w:t>
      </w:r>
      <w:proofErr w:type="gramStart"/>
      <w:r w:rsidRPr="0068332E">
        <w:rPr>
          <w:rFonts w:eastAsia="Aptos"/>
          <w:kern w:val="2"/>
          <w:sz w:val="22"/>
          <w:szCs w:val="22"/>
          <w14:ligatures w14:val="standardContextual"/>
        </w:rPr>
        <w:t>in order to</w:t>
      </w:r>
      <w:proofErr w:type="gramEnd"/>
      <w:r w:rsidRPr="0068332E">
        <w:rPr>
          <w:rFonts w:eastAsia="Aptos"/>
          <w:kern w:val="2"/>
          <w:sz w:val="22"/>
          <w:szCs w:val="22"/>
          <w14:ligatures w14:val="standardContextual"/>
        </w:rPr>
        <w:t xml:space="preserve"> accommodate engagement in Priority 2 or 3 activities, this would constitute a revision of the PoW and would require approval</w:t>
      </w:r>
      <w:r w:rsidR="00B929F8" w:rsidRPr="0068332E">
        <w:rPr>
          <w:rFonts w:eastAsia="Aptos"/>
          <w:kern w:val="2"/>
          <w:sz w:val="22"/>
          <w:szCs w:val="22"/>
          <w14:ligatures w14:val="standardContextual"/>
        </w:rPr>
        <w:t xml:space="preserve"> by the </w:t>
      </w:r>
      <w:proofErr w:type="spellStart"/>
      <w:r w:rsidR="00B929F8" w:rsidRPr="0068332E">
        <w:rPr>
          <w:rFonts w:eastAsia="Aptos"/>
          <w:kern w:val="2"/>
          <w:sz w:val="22"/>
          <w:szCs w:val="22"/>
          <w14:ligatures w14:val="standardContextual"/>
        </w:rPr>
        <w:t>StC</w:t>
      </w:r>
      <w:proofErr w:type="spellEnd"/>
      <w:r w:rsidRPr="0068332E">
        <w:rPr>
          <w:rFonts w:eastAsia="Aptos"/>
          <w:kern w:val="2"/>
          <w:sz w:val="22"/>
          <w:szCs w:val="22"/>
          <w14:ligatures w14:val="standardContextual"/>
        </w:rPr>
        <w:t>.</w:t>
      </w:r>
    </w:p>
    <w:p w14:paraId="48746EE3" w14:textId="77777777" w:rsidR="001044C8" w:rsidRPr="0068332E" w:rsidRDefault="001044C8" w:rsidP="0068332E">
      <w:pPr>
        <w:spacing w:after="160" w:line="276" w:lineRule="auto"/>
        <w:jc w:val="both"/>
        <w:rPr>
          <w:rFonts w:eastAsia="Aptos"/>
          <w:kern w:val="2"/>
          <w:sz w:val="22"/>
          <w:szCs w:val="22"/>
          <w14:ligatures w14:val="standardContextual"/>
        </w:rPr>
      </w:pPr>
    </w:p>
    <w:p w14:paraId="35CEE3BD" w14:textId="7A2D448D" w:rsidR="001044C8" w:rsidRPr="0068332E" w:rsidRDefault="001044C8" w:rsidP="0068332E">
      <w:pPr>
        <w:spacing w:after="160" w:line="276" w:lineRule="auto"/>
        <w:jc w:val="both"/>
        <w:rPr>
          <w:rFonts w:eastAsia="Aptos"/>
          <w:b/>
          <w:bCs/>
          <w:caps/>
          <w:kern w:val="2"/>
          <w:sz w:val="22"/>
          <w:szCs w:val="22"/>
          <w14:ligatures w14:val="standardContextual"/>
        </w:rPr>
      </w:pPr>
      <w:r w:rsidRPr="0068332E">
        <w:rPr>
          <w:rFonts w:eastAsia="Aptos"/>
          <w:b/>
          <w:bCs/>
          <w:caps/>
          <w:kern w:val="2"/>
          <w:sz w:val="22"/>
          <w:szCs w:val="22"/>
          <w14:ligatures w14:val="standardContextual"/>
        </w:rPr>
        <w:t>Annexes 1</w:t>
      </w:r>
      <w:r w:rsidR="0044521C" w:rsidRPr="0068332E">
        <w:rPr>
          <w:rFonts w:eastAsia="Aptos"/>
          <w:b/>
          <w:bCs/>
          <w:caps/>
          <w:kern w:val="2"/>
          <w:sz w:val="22"/>
          <w:szCs w:val="22"/>
          <w14:ligatures w14:val="standardContextual"/>
        </w:rPr>
        <w:t>-3</w:t>
      </w:r>
    </w:p>
    <w:p w14:paraId="5D03AB5D" w14:textId="6776F07C" w:rsidR="001044C8" w:rsidRPr="0068332E" w:rsidRDefault="001044C8"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 xml:space="preserve">Annexes 1 and 2 are </w:t>
      </w:r>
      <w:r w:rsidR="00B929F8" w:rsidRPr="0068332E">
        <w:rPr>
          <w:rFonts w:eastAsia="Aptos"/>
          <w:kern w:val="2"/>
          <w:sz w:val="22"/>
          <w:szCs w:val="22"/>
          <w14:ligatures w14:val="standardContextual"/>
        </w:rPr>
        <w:t xml:space="preserve">attached separately as </w:t>
      </w:r>
      <w:r w:rsidRPr="0068332E">
        <w:rPr>
          <w:rFonts w:eastAsia="Aptos"/>
          <w:kern w:val="2"/>
          <w:sz w:val="22"/>
          <w:szCs w:val="22"/>
          <w14:ligatures w14:val="standardContextual"/>
        </w:rPr>
        <w:t xml:space="preserve">Excel </w:t>
      </w:r>
      <w:r w:rsidR="00B929F8" w:rsidRPr="0068332E">
        <w:rPr>
          <w:rFonts w:eastAsia="Aptos"/>
          <w:kern w:val="2"/>
          <w:sz w:val="22"/>
          <w:szCs w:val="22"/>
          <w14:ligatures w14:val="standardContextual"/>
        </w:rPr>
        <w:t>files</w:t>
      </w:r>
      <w:r w:rsidR="00F7740A" w:rsidRPr="0068332E">
        <w:rPr>
          <w:rFonts w:eastAsia="Aptos"/>
          <w:kern w:val="2"/>
          <w:sz w:val="22"/>
          <w:szCs w:val="22"/>
          <w14:ligatures w14:val="standardContextual"/>
        </w:rPr>
        <w:t>.</w:t>
      </w:r>
    </w:p>
    <w:p w14:paraId="70D20997" w14:textId="77777777" w:rsidR="001044C8" w:rsidRPr="0068332E" w:rsidRDefault="001044C8" w:rsidP="0068332E">
      <w:pPr>
        <w:spacing w:after="160" w:line="276" w:lineRule="auto"/>
        <w:jc w:val="both"/>
        <w:rPr>
          <w:rFonts w:eastAsia="Aptos"/>
          <w:b/>
          <w:bCs/>
          <w:kern w:val="2"/>
          <w:sz w:val="22"/>
          <w:szCs w:val="22"/>
          <w14:ligatures w14:val="standardContextual"/>
        </w:rPr>
      </w:pPr>
      <w:r w:rsidRPr="0068332E">
        <w:rPr>
          <w:rFonts w:eastAsia="Aptos"/>
          <w:b/>
          <w:bCs/>
          <w:color w:val="0070C0"/>
          <w:kern w:val="2"/>
          <w:sz w:val="22"/>
          <w:szCs w:val="22"/>
          <w14:ligatures w14:val="standardContextual"/>
        </w:rPr>
        <w:t>Annex 1</w:t>
      </w:r>
      <w:r w:rsidRPr="0068332E">
        <w:rPr>
          <w:rFonts w:eastAsia="Aptos"/>
          <w:b/>
          <w:bCs/>
          <w:kern w:val="2"/>
          <w:sz w:val="22"/>
          <w:szCs w:val="22"/>
          <w14:ligatures w14:val="standardContextual"/>
        </w:rPr>
        <w:t xml:space="preserve">: </w:t>
      </w:r>
      <w:r w:rsidRPr="0068332E">
        <w:rPr>
          <w:rFonts w:eastAsia="Aptos"/>
          <w:kern w:val="2"/>
          <w:sz w:val="22"/>
          <w:szCs w:val="22"/>
          <w14:ligatures w14:val="standardContextual"/>
        </w:rPr>
        <w:t>AEWA Secretariat PoW 2026-2028 Gantt chart</w:t>
      </w:r>
    </w:p>
    <w:p w14:paraId="44C6DAE5" w14:textId="77777777" w:rsidR="001044C8" w:rsidRPr="0068332E" w:rsidRDefault="001044C8" w:rsidP="0068332E">
      <w:pPr>
        <w:spacing w:after="160" w:line="276" w:lineRule="auto"/>
        <w:jc w:val="both"/>
        <w:rPr>
          <w:rFonts w:eastAsia="Aptos"/>
          <w:b/>
          <w:bCs/>
          <w:kern w:val="2"/>
          <w:sz w:val="22"/>
          <w:szCs w:val="22"/>
          <w14:ligatures w14:val="standardContextual"/>
        </w:rPr>
      </w:pPr>
      <w:r w:rsidRPr="0068332E">
        <w:rPr>
          <w:rFonts w:eastAsia="Aptos"/>
          <w:b/>
          <w:bCs/>
          <w:color w:val="0070C0"/>
          <w:kern w:val="2"/>
          <w:sz w:val="22"/>
          <w:szCs w:val="22"/>
          <w14:ligatures w14:val="standardContextual"/>
        </w:rPr>
        <w:t>Annex 2</w:t>
      </w:r>
      <w:r w:rsidRPr="0068332E">
        <w:rPr>
          <w:rFonts w:eastAsia="Aptos"/>
          <w:b/>
          <w:bCs/>
          <w:kern w:val="2"/>
          <w:sz w:val="22"/>
          <w:szCs w:val="22"/>
          <w14:ligatures w14:val="standardContextual"/>
        </w:rPr>
        <w:t xml:space="preserve">: </w:t>
      </w:r>
      <w:r w:rsidRPr="0068332E">
        <w:rPr>
          <w:rFonts w:eastAsia="Aptos"/>
          <w:kern w:val="2"/>
          <w:sz w:val="22"/>
          <w:szCs w:val="22"/>
          <w14:ligatures w14:val="standardContextual"/>
        </w:rPr>
        <w:t>AEWA Secretariat PoW 2026-2028 staff time allocations</w:t>
      </w:r>
    </w:p>
    <w:p w14:paraId="110D0D51" w14:textId="410BE4EB" w:rsidR="004641D0" w:rsidRPr="0068332E" w:rsidRDefault="009D007B" w:rsidP="0068332E">
      <w:pPr>
        <w:spacing w:after="160" w:line="276" w:lineRule="auto"/>
        <w:jc w:val="both"/>
        <w:rPr>
          <w:rFonts w:eastAsia="Aptos"/>
          <w:kern w:val="2"/>
          <w:sz w:val="22"/>
          <w:szCs w:val="22"/>
          <w14:ligatures w14:val="standardContextual"/>
        </w:rPr>
      </w:pPr>
      <w:r w:rsidRPr="0068332E">
        <w:rPr>
          <w:rFonts w:eastAsia="Aptos"/>
          <w:kern w:val="2"/>
          <w:sz w:val="22"/>
          <w:szCs w:val="22"/>
          <w14:ligatures w14:val="standardContextual"/>
        </w:rPr>
        <w:t>For</w:t>
      </w:r>
      <w:r w:rsidRPr="0068332E">
        <w:rPr>
          <w:rFonts w:eastAsia="Aptos"/>
          <w:b/>
          <w:bCs/>
          <w:kern w:val="2"/>
          <w:sz w:val="22"/>
          <w:szCs w:val="22"/>
          <w14:ligatures w14:val="standardContextual"/>
        </w:rPr>
        <w:t xml:space="preserve"> </w:t>
      </w:r>
      <w:r w:rsidR="004641D0" w:rsidRPr="0068332E">
        <w:rPr>
          <w:rFonts w:eastAsia="Aptos"/>
          <w:b/>
          <w:bCs/>
          <w:color w:val="0070C0"/>
          <w:kern w:val="2"/>
          <w:sz w:val="22"/>
          <w:szCs w:val="22"/>
          <w14:ligatures w14:val="standardContextual"/>
        </w:rPr>
        <w:t>Annex 3</w:t>
      </w:r>
      <w:r w:rsidR="004641D0" w:rsidRPr="0068332E">
        <w:rPr>
          <w:rFonts w:eastAsia="Aptos"/>
          <w:kern w:val="2"/>
          <w:sz w:val="22"/>
          <w:szCs w:val="22"/>
          <w14:ligatures w14:val="standardContextual"/>
        </w:rPr>
        <w:t xml:space="preserve"> </w:t>
      </w:r>
      <w:r w:rsidRPr="0068332E">
        <w:rPr>
          <w:rFonts w:eastAsia="Aptos"/>
          <w:kern w:val="2"/>
          <w:sz w:val="22"/>
          <w:szCs w:val="22"/>
          <w14:ligatures w14:val="standardContextual"/>
        </w:rPr>
        <w:t xml:space="preserve">please refer to the next page of the </w:t>
      </w:r>
      <w:r w:rsidR="004641D0" w:rsidRPr="0068332E">
        <w:rPr>
          <w:rFonts w:eastAsia="Aptos"/>
          <w:kern w:val="2"/>
          <w:sz w:val="22"/>
          <w:szCs w:val="22"/>
          <w14:ligatures w14:val="standardContextual"/>
        </w:rPr>
        <w:t>document.</w:t>
      </w:r>
    </w:p>
    <w:p w14:paraId="0ADA8205" w14:textId="77777777" w:rsidR="00CA7B25" w:rsidRPr="0068332E" w:rsidRDefault="00CA7B25" w:rsidP="0068332E">
      <w:pPr>
        <w:spacing w:line="276" w:lineRule="auto"/>
        <w:jc w:val="both"/>
        <w:rPr>
          <w:rFonts w:eastAsia="Aptos"/>
          <w:kern w:val="2"/>
          <w:sz w:val="22"/>
          <w:szCs w:val="22"/>
          <w14:ligatures w14:val="standardContextual"/>
        </w:rPr>
      </w:pPr>
    </w:p>
    <w:p w14:paraId="422F9815" w14:textId="77777777" w:rsidR="00CA7B25" w:rsidRPr="0068332E" w:rsidRDefault="00CA7B25" w:rsidP="0068332E">
      <w:pPr>
        <w:spacing w:line="276" w:lineRule="auto"/>
        <w:jc w:val="both"/>
        <w:rPr>
          <w:rFonts w:eastAsia="Aptos"/>
          <w:kern w:val="2"/>
          <w:sz w:val="22"/>
          <w:szCs w:val="22"/>
          <w14:ligatures w14:val="standardContextual"/>
        </w:rPr>
      </w:pPr>
    </w:p>
    <w:p w14:paraId="54C5EC97" w14:textId="77777777" w:rsidR="00CA7B25" w:rsidRPr="0068332E" w:rsidRDefault="00CA7B25" w:rsidP="0068332E">
      <w:pPr>
        <w:spacing w:line="276" w:lineRule="auto"/>
        <w:jc w:val="both"/>
        <w:rPr>
          <w:rFonts w:eastAsia="Aptos"/>
          <w:kern w:val="2"/>
          <w:sz w:val="22"/>
          <w:szCs w:val="22"/>
          <w14:ligatures w14:val="standardContextual"/>
        </w:rPr>
      </w:pPr>
    </w:p>
    <w:p w14:paraId="7DC91C55" w14:textId="77777777" w:rsidR="00CA7B25" w:rsidRDefault="00CA7B25" w:rsidP="00F93C55">
      <w:pPr>
        <w:spacing w:line="276" w:lineRule="auto"/>
        <w:jc w:val="both"/>
        <w:rPr>
          <w:rFonts w:eastAsia="Aptos"/>
          <w:kern w:val="2"/>
          <w:sz w:val="22"/>
          <w:szCs w:val="22"/>
          <w14:ligatures w14:val="standardContextual"/>
        </w:rPr>
      </w:pPr>
    </w:p>
    <w:p w14:paraId="65F95D26" w14:textId="77777777" w:rsidR="00CA7B25" w:rsidRDefault="00CA7B25" w:rsidP="00F93C55">
      <w:pPr>
        <w:spacing w:line="276" w:lineRule="auto"/>
        <w:jc w:val="both"/>
        <w:rPr>
          <w:rFonts w:eastAsia="Aptos"/>
          <w:kern w:val="2"/>
          <w:sz w:val="22"/>
          <w:szCs w:val="22"/>
          <w14:ligatures w14:val="standardContextual"/>
        </w:rPr>
      </w:pPr>
    </w:p>
    <w:p w14:paraId="43A5B9AF" w14:textId="77777777" w:rsidR="00CA7B25" w:rsidRDefault="00CA7B25" w:rsidP="00F93C55">
      <w:pPr>
        <w:spacing w:line="276" w:lineRule="auto"/>
        <w:jc w:val="both"/>
        <w:rPr>
          <w:rFonts w:eastAsia="Aptos"/>
          <w:kern w:val="2"/>
          <w:sz w:val="22"/>
          <w:szCs w:val="22"/>
          <w14:ligatures w14:val="standardContextual"/>
        </w:rPr>
      </w:pPr>
    </w:p>
    <w:p w14:paraId="43F06F60" w14:textId="77777777" w:rsidR="00CA7B25" w:rsidRDefault="00CA7B25" w:rsidP="00F93C55">
      <w:pPr>
        <w:spacing w:line="276" w:lineRule="auto"/>
        <w:jc w:val="both"/>
        <w:rPr>
          <w:rFonts w:eastAsia="Aptos"/>
          <w:kern w:val="2"/>
          <w:sz w:val="22"/>
          <w:szCs w:val="22"/>
          <w14:ligatures w14:val="standardContextual"/>
        </w:rPr>
      </w:pPr>
    </w:p>
    <w:p w14:paraId="2BB779BF" w14:textId="77777777" w:rsidR="00CA7B25" w:rsidRDefault="00CA7B25" w:rsidP="00F93C55">
      <w:pPr>
        <w:spacing w:line="276" w:lineRule="auto"/>
        <w:jc w:val="both"/>
        <w:rPr>
          <w:rFonts w:eastAsia="Aptos"/>
          <w:kern w:val="2"/>
          <w:sz w:val="22"/>
          <w:szCs w:val="22"/>
          <w14:ligatures w14:val="standardContextual"/>
        </w:rPr>
      </w:pPr>
    </w:p>
    <w:p w14:paraId="2CE496BF" w14:textId="77777777" w:rsidR="00CA7B25" w:rsidRDefault="00CA7B25" w:rsidP="00F93C55">
      <w:pPr>
        <w:spacing w:line="276" w:lineRule="auto"/>
        <w:jc w:val="both"/>
        <w:rPr>
          <w:rFonts w:eastAsia="Aptos"/>
          <w:kern w:val="2"/>
          <w:sz w:val="22"/>
          <w:szCs w:val="22"/>
          <w14:ligatures w14:val="standardContextual"/>
        </w:rPr>
      </w:pPr>
    </w:p>
    <w:p w14:paraId="22693CDB" w14:textId="77777777" w:rsidR="003915A5" w:rsidRDefault="003915A5" w:rsidP="00F93C55">
      <w:pPr>
        <w:spacing w:line="276" w:lineRule="auto"/>
        <w:jc w:val="both"/>
        <w:rPr>
          <w:rFonts w:eastAsia="Aptos"/>
          <w:kern w:val="2"/>
          <w:sz w:val="22"/>
          <w:szCs w:val="22"/>
          <w14:ligatures w14:val="standardContextual"/>
        </w:rPr>
        <w:sectPr w:rsidR="003915A5" w:rsidSect="00CA6FFA">
          <w:footerReference w:type="even" r:id="rId11"/>
          <w:footerReference w:type="default" r:id="rId12"/>
          <w:headerReference w:type="first" r:id="rId13"/>
          <w:footerReference w:type="first" r:id="rId14"/>
          <w:pgSz w:w="11907" w:h="16840" w:code="9"/>
          <w:pgMar w:top="1138" w:right="1138" w:bottom="1138" w:left="850" w:header="432" w:footer="432" w:gutter="0"/>
          <w:pgNumType w:start="1"/>
          <w:cols w:space="708"/>
          <w:titlePg/>
          <w:docGrid w:linePitch="360"/>
        </w:sectPr>
      </w:pPr>
    </w:p>
    <w:p w14:paraId="6943917B" w14:textId="7426C82B" w:rsidR="007A6208" w:rsidRDefault="005B6170" w:rsidP="007A6208">
      <w:pPr>
        <w:jc w:val="center"/>
        <w:rPr>
          <w:rFonts w:cs="Arial"/>
          <w:b/>
          <w:bCs/>
        </w:rPr>
      </w:pPr>
      <w:r w:rsidRPr="009D007B">
        <w:rPr>
          <w:rFonts w:cs="Arial"/>
          <w:b/>
          <w:bCs/>
          <w:caps/>
        </w:rPr>
        <w:lastRenderedPageBreak/>
        <w:t>Annex 3</w:t>
      </w:r>
      <w:r>
        <w:rPr>
          <w:rFonts w:cs="Arial"/>
          <w:b/>
          <w:bCs/>
        </w:rPr>
        <w:t xml:space="preserve">: </w:t>
      </w:r>
      <w:r w:rsidR="007A6208" w:rsidRPr="007A6208">
        <w:rPr>
          <w:rFonts w:cs="Arial"/>
          <w:b/>
          <w:bCs/>
        </w:rPr>
        <w:t>AEWA SECRETARIAT STAFFING TABLE FOR 2026-2028</w:t>
      </w:r>
    </w:p>
    <w:p w14:paraId="247A0B2F" w14:textId="77777777" w:rsidR="00FE169A" w:rsidRDefault="00FE169A" w:rsidP="00FE169A">
      <w:pPr>
        <w:rPr>
          <w:rFonts w:cs="Arial"/>
          <w:b/>
          <w:bCs/>
        </w:rPr>
      </w:pPr>
    </w:p>
    <w:p w14:paraId="4B33BAAA" w14:textId="77777777" w:rsidR="00030762" w:rsidRPr="00030762" w:rsidRDefault="00030762" w:rsidP="00030762">
      <w:pPr>
        <w:jc w:val="center"/>
        <w:rPr>
          <w:rFonts w:cs="Arial"/>
          <w:b/>
          <w:bCs/>
        </w:rPr>
      </w:pPr>
    </w:p>
    <w:tbl>
      <w:tblPr>
        <w:tblW w:w="13887" w:type="dxa"/>
        <w:jc w:val="center"/>
        <w:tblLayout w:type="fixed"/>
        <w:tblLook w:val="04A0" w:firstRow="1" w:lastRow="0" w:firstColumn="1" w:lastColumn="0" w:noHBand="0" w:noVBand="1"/>
      </w:tblPr>
      <w:tblGrid>
        <w:gridCol w:w="562"/>
        <w:gridCol w:w="2835"/>
        <w:gridCol w:w="2552"/>
        <w:gridCol w:w="2693"/>
        <w:gridCol w:w="709"/>
        <w:gridCol w:w="1417"/>
        <w:gridCol w:w="1560"/>
        <w:gridCol w:w="1559"/>
      </w:tblGrid>
      <w:tr w:rsidR="00030762" w:rsidRPr="00030762" w14:paraId="7A8EFECF" w14:textId="77777777" w:rsidTr="009F16BB">
        <w:trPr>
          <w:trHeight w:val="1046"/>
          <w:jc w:val="center"/>
        </w:trPr>
        <w:tc>
          <w:tcPr>
            <w:tcW w:w="562"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A8CE5AD" w14:textId="77777777" w:rsidR="00030762" w:rsidRPr="00030762" w:rsidRDefault="00030762" w:rsidP="00030762">
            <w:pPr>
              <w:jc w:val="center"/>
              <w:rPr>
                <w:b/>
                <w:bCs/>
                <w:color w:val="000000"/>
                <w:sz w:val="20"/>
                <w:szCs w:val="20"/>
              </w:rPr>
            </w:pPr>
            <w:r w:rsidRPr="00030762">
              <w:rPr>
                <w:b/>
                <w:bCs/>
                <w:color w:val="000000"/>
                <w:sz w:val="22"/>
                <w:szCs w:val="22"/>
              </w:rPr>
              <w:t>N°</w:t>
            </w:r>
          </w:p>
        </w:tc>
        <w:tc>
          <w:tcPr>
            <w:tcW w:w="2835" w:type="dxa"/>
            <w:tcBorders>
              <w:top w:val="single" w:sz="4" w:space="0" w:color="auto"/>
              <w:left w:val="nil"/>
              <w:bottom w:val="single" w:sz="4" w:space="0" w:color="auto"/>
              <w:right w:val="single" w:sz="4" w:space="0" w:color="auto"/>
            </w:tcBorders>
            <w:shd w:val="clear" w:color="000000" w:fill="FFF2CC"/>
            <w:vAlign w:val="center"/>
          </w:tcPr>
          <w:p w14:paraId="2A53D020" w14:textId="77777777" w:rsidR="00030762" w:rsidRPr="00030762" w:rsidRDefault="00030762" w:rsidP="00030762">
            <w:pPr>
              <w:jc w:val="center"/>
              <w:rPr>
                <w:b/>
                <w:bCs/>
                <w:color w:val="000000"/>
                <w:sz w:val="20"/>
                <w:szCs w:val="20"/>
              </w:rPr>
            </w:pPr>
            <w:r w:rsidRPr="00030762">
              <w:rPr>
                <w:b/>
                <w:bCs/>
                <w:color w:val="000000"/>
                <w:sz w:val="20"/>
                <w:szCs w:val="20"/>
              </w:rPr>
              <w:t>Abbreviation and staff member initials</w:t>
            </w:r>
          </w:p>
        </w:tc>
        <w:tc>
          <w:tcPr>
            <w:tcW w:w="2552"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C6430E4" w14:textId="77777777" w:rsidR="00030762" w:rsidRPr="00030762" w:rsidRDefault="00030762" w:rsidP="00030762">
            <w:pPr>
              <w:jc w:val="center"/>
              <w:rPr>
                <w:b/>
                <w:bCs/>
                <w:color w:val="000000"/>
                <w:sz w:val="20"/>
                <w:szCs w:val="20"/>
              </w:rPr>
            </w:pPr>
            <w:r w:rsidRPr="00030762">
              <w:rPr>
                <w:b/>
                <w:bCs/>
                <w:color w:val="000000"/>
                <w:sz w:val="20"/>
                <w:szCs w:val="20"/>
              </w:rPr>
              <w:t>Unit</w:t>
            </w:r>
          </w:p>
        </w:tc>
        <w:tc>
          <w:tcPr>
            <w:tcW w:w="2693" w:type="dxa"/>
            <w:tcBorders>
              <w:top w:val="single" w:sz="4" w:space="0" w:color="auto"/>
              <w:left w:val="nil"/>
              <w:bottom w:val="single" w:sz="4" w:space="0" w:color="auto"/>
              <w:right w:val="single" w:sz="4" w:space="0" w:color="auto"/>
            </w:tcBorders>
            <w:shd w:val="clear" w:color="000000" w:fill="FFF2CC"/>
            <w:noWrap/>
            <w:vAlign w:val="center"/>
            <w:hideMark/>
          </w:tcPr>
          <w:p w14:paraId="5AB48FCA" w14:textId="77777777" w:rsidR="00030762" w:rsidRPr="00030762" w:rsidRDefault="00030762" w:rsidP="00030762">
            <w:pPr>
              <w:jc w:val="center"/>
              <w:rPr>
                <w:b/>
                <w:bCs/>
                <w:color w:val="000000"/>
                <w:sz w:val="20"/>
                <w:szCs w:val="20"/>
              </w:rPr>
            </w:pPr>
            <w:r w:rsidRPr="00030762">
              <w:rPr>
                <w:b/>
                <w:bCs/>
                <w:color w:val="000000"/>
                <w:sz w:val="20"/>
                <w:szCs w:val="20"/>
              </w:rPr>
              <w:t>Post title</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5BFD270D" w14:textId="77777777" w:rsidR="00030762" w:rsidRPr="00030762" w:rsidRDefault="00030762" w:rsidP="00030762">
            <w:pPr>
              <w:jc w:val="center"/>
              <w:rPr>
                <w:b/>
                <w:bCs/>
                <w:color w:val="000000"/>
                <w:sz w:val="20"/>
                <w:szCs w:val="20"/>
              </w:rPr>
            </w:pPr>
            <w:r w:rsidRPr="00030762">
              <w:rPr>
                <w:b/>
                <w:bCs/>
                <w:color w:val="000000"/>
                <w:sz w:val="20"/>
                <w:szCs w:val="20"/>
              </w:rPr>
              <w:t>Level</w:t>
            </w:r>
          </w:p>
        </w:tc>
        <w:tc>
          <w:tcPr>
            <w:tcW w:w="1417" w:type="dxa"/>
            <w:tcBorders>
              <w:top w:val="single" w:sz="4" w:space="0" w:color="auto"/>
              <w:left w:val="nil"/>
              <w:bottom w:val="single" w:sz="4" w:space="0" w:color="auto"/>
              <w:right w:val="single" w:sz="4" w:space="0" w:color="auto"/>
            </w:tcBorders>
            <w:shd w:val="clear" w:color="000000" w:fill="FFF2CC"/>
            <w:vAlign w:val="center"/>
            <w:hideMark/>
          </w:tcPr>
          <w:p w14:paraId="19D0026E" w14:textId="77777777" w:rsidR="00030762" w:rsidRPr="00030762" w:rsidRDefault="00030762" w:rsidP="00030762">
            <w:pPr>
              <w:jc w:val="center"/>
              <w:rPr>
                <w:b/>
                <w:bCs/>
                <w:color w:val="000000"/>
                <w:sz w:val="20"/>
                <w:szCs w:val="20"/>
              </w:rPr>
            </w:pPr>
            <w:r w:rsidRPr="00030762">
              <w:rPr>
                <w:b/>
                <w:bCs/>
                <w:color w:val="000000"/>
                <w:sz w:val="20"/>
                <w:szCs w:val="20"/>
              </w:rPr>
              <w:t>Percentage of post financed by assessed contributions</w:t>
            </w:r>
          </w:p>
        </w:tc>
        <w:tc>
          <w:tcPr>
            <w:tcW w:w="1560" w:type="dxa"/>
            <w:tcBorders>
              <w:top w:val="single" w:sz="4" w:space="0" w:color="auto"/>
              <w:left w:val="nil"/>
              <w:bottom w:val="single" w:sz="4" w:space="0" w:color="auto"/>
              <w:right w:val="single" w:sz="4" w:space="0" w:color="auto"/>
            </w:tcBorders>
            <w:shd w:val="clear" w:color="000000" w:fill="FFF2CC"/>
            <w:vAlign w:val="center"/>
            <w:hideMark/>
          </w:tcPr>
          <w:p w14:paraId="5BF9EE3B" w14:textId="77777777" w:rsidR="00030762" w:rsidRPr="00030762" w:rsidRDefault="00030762" w:rsidP="00030762">
            <w:pPr>
              <w:jc w:val="center"/>
              <w:rPr>
                <w:b/>
                <w:bCs/>
                <w:color w:val="000000"/>
                <w:sz w:val="20"/>
                <w:szCs w:val="20"/>
              </w:rPr>
            </w:pPr>
            <w:r w:rsidRPr="00030762">
              <w:rPr>
                <w:b/>
                <w:bCs/>
                <w:color w:val="000000"/>
                <w:sz w:val="20"/>
                <w:szCs w:val="20"/>
              </w:rPr>
              <w:t>Percentage of post financed by voluntary contributions</w:t>
            </w:r>
          </w:p>
        </w:tc>
        <w:tc>
          <w:tcPr>
            <w:tcW w:w="1559" w:type="dxa"/>
            <w:tcBorders>
              <w:top w:val="single" w:sz="4" w:space="0" w:color="auto"/>
              <w:left w:val="nil"/>
              <w:bottom w:val="single" w:sz="4" w:space="0" w:color="auto"/>
              <w:right w:val="single" w:sz="4" w:space="0" w:color="auto"/>
            </w:tcBorders>
            <w:shd w:val="clear" w:color="000000" w:fill="FFF2CC"/>
          </w:tcPr>
          <w:p w14:paraId="1E353716" w14:textId="77777777" w:rsidR="00030762" w:rsidRPr="00030762" w:rsidRDefault="00030762" w:rsidP="00030762">
            <w:pPr>
              <w:jc w:val="center"/>
              <w:rPr>
                <w:b/>
                <w:bCs/>
                <w:color w:val="000000"/>
                <w:sz w:val="20"/>
                <w:szCs w:val="20"/>
              </w:rPr>
            </w:pPr>
            <w:r w:rsidRPr="00030762">
              <w:rPr>
                <w:b/>
                <w:bCs/>
                <w:color w:val="000000"/>
                <w:sz w:val="20"/>
                <w:szCs w:val="20"/>
              </w:rPr>
              <w:t xml:space="preserve">Percentage of time allocated in the </w:t>
            </w:r>
            <w:proofErr w:type="spellStart"/>
            <w:r w:rsidRPr="00030762">
              <w:rPr>
                <w:b/>
                <w:bCs/>
                <w:color w:val="000000"/>
                <w:sz w:val="20"/>
                <w:szCs w:val="20"/>
              </w:rPr>
              <w:t>Programme</w:t>
            </w:r>
            <w:proofErr w:type="spellEnd"/>
            <w:r w:rsidRPr="00030762">
              <w:rPr>
                <w:b/>
                <w:bCs/>
                <w:color w:val="000000"/>
                <w:sz w:val="20"/>
                <w:szCs w:val="20"/>
              </w:rPr>
              <w:t xml:space="preserve"> of Work</w:t>
            </w:r>
          </w:p>
        </w:tc>
      </w:tr>
      <w:tr w:rsidR="00030762" w:rsidRPr="00030762" w14:paraId="243F31D8"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5AD257C3" w14:textId="77777777" w:rsidR="00030762" w:rsidRPr="00030762" w:rsidRDefault="00030762" w:rsidP="00030762">
            <w:pPr>
              <w:jc w:val="center"/>
              <w:rPr>
                <w:color w:val="000000"/>
                <w:sz w:val="20"/>
                <w:szCs w:val="20"/>
              </w:rPr>
            </w:pPr>
            <w:r w:rsidRPr="00030762">
              <w:rPr>
                <w:color w:val="000000"/>
                <w:sz w:val="20"/>
                <w:szCs w:val="20"/>
              </w:rPr>
              <w:t>1</w:t>
            </w:r>
          </w:p>
        </w:tc>
        <w:tc>
          <w:tcPr>
            <w:tcW w:w="2835" w:type="dxa"/>
            <w:tcBorders>
              <w:top w:val="single" w:sz="4" w:space="0" w:color="auto"/>
              <w:left w:val="nil"/>
              <w:bottom w:val="single" w:sz="4" w:space="0" w:color="auto"/>
              <w:right w:val="single" w:sz="4" w:space="0" w:color="auto"/>
            </w:tcBorders>
            <w:vAlign w:val="center"/>
          </w:tcPr>
          <w:p w14:paraId="527DCAC0" w14:textId="77777777" w:rsidR="00030762" w:rsidRPr="00030762" w:rsidRDefault="00030762" w:rsidP="00030762">
            <w:pPr>
              <w:rPr>
                <w:color w:val="000000"/>
                <w:sz w:val="20"/>
                <w:szCs w:val="20"/>
              </w:rPr>
            </w:pPr>
            <w:r w:rsidRPr="00030762">
              <w:rPr>
                <w:color w:val="000000"/>
                <w:sz w:val="20"/>
                <w:szCs w:val="20"/>
              </w:rPr>
              <w:t>Ex/Acting Exec Secretary, P4 (</w:t>
            </w:r>
            <w:r w:rsidRPr="00030762">
              <w:rPr>
                <w:color w:val="0070C0"/>
                <w:sz w:val="20"/>
                <w:szCs w:val="20"/>
              </w:rPr>
              <w:t>SD</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3ED80BB4" w14:textId="77777777" w:rsidR="00030762" w:rsidRPr="00030762" w:rsidRDefault="00030762" w:rsidP="00030762">
            <w:pPr>
              <w:rPr>
                <w:color w:val="000000"/>
                <w:sz w:val="20"/>
                <w:szCs w:val="20"/>
              </w:rPr>
            </w:pPr>
            <w:r w:rsidRPr="00030762">
              <w:rPr>
                <w:color w:val="000000"/>
                <w:sz w:val="20"/>
                <w:szCs w:val="20"/>
              </w:rPr>
              <w:t>Executive Management Unit</w:t>
            </w:r>
          </w:p>
        </w:tc>
        <w:tc>
          <w:tcPr>
            <w:tcW w:w="2693" w:type="dxa"/>
            <w:tcBorders>
              <w:top w:val="nil"/>
              <w:left w:val="nil"/>
              <w:bottom w:val="single" w:sz="4" w:space="0" w:color="auto"/>
              <w:right w:val="single" w:sz="4" w:space="0" w:color="auto"/>
            </w:tcBorders>
            <w:noWrap/>
            <w:vAlign w:val="center"/>
            <w:hideMark/>
          </w:tcPr>
          <w:p w14:paraId="0145DE13" w14:textId="77777777" w:rsidR="00030762" w:rsidRPr="00030762" w:rsidRDefault="00030762" w:rsidP="00030762">
            <w:pPr>
              <w:rPr>
                <w:color w:val="000000"/>
                <w:sz w:val="20"/>
                <w:szCs w:val="20"/>
              </w:rPr>
            </w:pPr>
            <w:r w:rsidRPr="00030762">
              <w:rPr>
                <w:color w:val="000000"/>
                <w:sz w:val="20"/>
                <w:szCs w:val="20"/>
              </w:rPr>
              <w:t xml:space="preserve">Acting Executive Secretary </w:t>
            </w:r>
          </w:p>
        </w:tc>
        <w:tc>
          <w:tcPr>
            <w:tcW w:w="709" w:type="dxa"/>
            <w:tcBorders>
              <w:top w:val="nil"/>
              <w:left w:val="nil"/>
              <w:bottom w:val="single" w:sz="4" w:space="0" w:color="auto"/>
              <w:right w:val="single" w:sz="4" w:space="0" w:color="auto"/>
            </w:tcBorders>
            <w:noWrap/>
            <w:vAlign w:val="center"/>
            <w:hideMark/>
          </w:tcPr>
          <w:p w14:paraId="70651EAB" w14:textId="77777777" w:rsidR="00030762" w:rsidRPr="00030762" w:rsidRDefault="00030762" w:rsidP="00030762">
            <w:pPr>
              <w:jc w:val="center"/>
              <w:rPr>
                <w:color w:val="000000"/>
                <w:sz w:val="20"/>
                <w:szCs w:val="20"/>
              </w:rPr>
            </w:pPr>
            <w:r w:rsidRPr="00030762">
              <w:rPr>
                <w:color w:val="000000"/>
                <w:sz w:val="20"/>
                <w:szCs w:val="20"/>
              </w:rPr>
              <w:t>P-4</w:t>
            </w:r>
          </w:p>
        </w:tc>
        <w:tc>
          <w:tcPr>
            <w:tcW w:w="1417" w:type="dxa"/>
            <w:tcBorders>
              <w:top w:val="nil"/>
              <w:left w:val="nil"/>
              <w:bottom w:val="single" w:sz="4" w:space="0" w:color="auto"/>
              <w:right w:val="single" w:sz="4" w:space="0" w:color="auto"/>
            </w:tcBorders>
            <w:noWrap/>
            <w:vAlign w:val="center"/>
            <w:hideMark/>
          </w:tcPr>
          <w:p w14:paraId="725686EC" w14:textId="77777777" w:rsidR="00030762" w:rsidRPr="00030762" w:rsidRDefault="00030762" w:rsidP="00030762">
            <w:pPr>
              <w:jc w:val="center"/>
              <w:rPr>
                <w:color w:val="000000"/>
                <w:sz w:val="20"/>
                <w:szCs w:val="20"/>
              </w:rPr>
            </w:pPr>
            <w:r w:rsidRPr="00030762">
              <w:rPr>
                <w:color w:val="000000"/>
                <w:sz w:val="20"/>
                <w:szCs w:val="20"/>
              </w:rPr>
              <w:t>100%</w:t>
            </w:r>
          </w:p>
        </w:tc>
        <w:tc>
          <w:tcPr>
            <w:tcW w:w="1560" w:type="dxa"/>
            <w:tcBorders>
              <w:top w:val="nil"/>
              <w:left w:val="nil"/>
              <w:bottom w:val="single" w:sz="4" w:space="0" w:color="auto"/>
              <w:right w:val="single" w:sz="4" w:space="0" w:color="auto"/>
            </w:tcBorders>
            <w:noWrap/>
            <w:vAlign w:val="center"/>
            <w:hideMark/>
          </w:tcPr>
          <w:p w14:paraId="7C82FA66" w14:textId="77777777" w:rsidR="00030762" w:rsidRPr="00030762" w:rsidRDefault="00030762" w:rsidP="00030762">
            <w:pPr>
              <w:jc w:val="center"/>
              <w:rPr>
                <w:color w:val="000000"/>
                <w:sz w:val="20"/>
                <w:szCs w:val="20"/>
              </w:rPr>
            </w:pPr>
            <w:r w:rsidRPr="00030762">
              <w:rPr>
                <w:color w:val="000000"/>
                <w:sz w:val="20"/>
                <w:szCs w:val="20"/>
              </w:rPr>
              <w:t>-</w:t>
            </w:r>
          </w:p>
        </w:tc>
        <w:tc>
          <w:tcPr>
            <w:tcW w:w="1559" w:type="dxa"/>
            <w:tcBorders>
              <w:top w:val="nil"/>
              <w:left w:val="nil"/>
              <w:bottom w:val="single" w:sz="4" w:space="0" w:color="auto"/>
              <w:right w:val="single" w:sz="4" w:space="0" w:color="auto"/>
            </w:tcBorders>
            <w:vAlign w:val="center"/>
          </w:tcPr>
          <w:p w14:paraId="47CD2632" w14:textId="77777777" w:rsidR="00030762" w:rsidRPr="00030762" w:rsidRDefault="00030762" w:rsidP="00030762">
            <w:pPr>
              <w:jc w:val="center"/>
              <w:rPr>
                <w:color w:val="000000"/>
                <w:sz w:val="20"/>
                <w:szCs w:val="20"/>
              </w:rPr>
            </w:pPr>
            <w:r w:rsidRPr="00030762">
              <w:rPr>
                <w:color w:val="000000"/>
                <w:sz w:val="20"/>
                <w:szCs w:val="20"/>
              </w:rPr>
              <w:t>100%</w:t>
            </w:r>
          </w:p>
        </w:tc>
      </w:tr>
      <w:tr w:rsidR="00030762" w:rsidRPr="00030762" w14:paraId="5CF7AE47"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2767F19A" w14:textId="77777777" w:rsidR="00030762" w:rsidRPr="00030762" w:rsidRDefault="00030762" w:rsidP="00030762">
            <w:pPr>
              <w:jc w:val="center"/>
              <w:rPr>
                <w:color w:val="000000"/>
                <w:sz w:val="20"/>
                <w:szCs w:val="20"/>
              </w:rPr>
            </w:pPr>
            <w:r w:rsidRPr="00030762">
              <w:rPr>
                <w:color w:val="000000"/>
                <w:sz w:val="20"/>
                <w:szCs w:val="20"/>
              </w:rPr>
              <w:t>2</w:t>
            </w:r>
          </w:p>
        </w:tc>
        <w:tc>
          <w:tcPr>
            <w:tcW w:w="2835" w:type="dxa"/>
            <w:tcBorders>
              <w:top w:val="single" w:sz="4" w:space="0" w:color="auto"/>
              <w:left w:val="nil"/>
              <w:bottom w:val="single" w:sz="4" w:space="0" w:color="auto"/>
              <w:right w:val="single" w:sz="4" w:space="0" w:color="auto"/>
            </w:tcBorders>
            <w:vAlign w:val="center"/>
          </w:tcPr>
          <w:p w14:paraId="59AC7B62" w14:textId="77777777" w:rsidR="00030762" w:rsidRPr="00030762" w:rsidRDefault="00030762" w:rsidP="00030762">
            <w:pPr>
              <w:rPr>
                <w:color w:val="000000"/>
                <w:sz w:val="20"/>
                <w:szCs w:val="20"/>
              </w:rPr>
            </w:pPr>
            <w:r w:rsidRPr="00030762">
              <w:rPr>
                <w:color w:val="000000"/>
                <w:sz w:val="20"/>
                <w:szCs w:val="20"/>
              </w:rPr>
              <w:t>Ex/Exec Management Support Officer, P2 (</w:t>
            </w:r>
            <w:r w:rsidRPr="00030762">
              <w:rPr>
                <w:color w:val="0070C0"/>
                <w:sz w:val="20"/>
                <w:szCs w:val="20"/>
              </w:rPr>
              <w:t>CL</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490641A8" w14:textId="77777777" w:rsidR="00030762" w:rsidRPr="00030762" w:rsidRDefault="00030762" w:rsidP="00030762">
            <w:pPr>
              <w:rPr>
                <w:color w:val="000000"/>
                <w:sz w:val="20"/>
                <w:szCs w:val="20"/>
              </w:rPr>
            </w:pPr>
            <w:r w:rsidRPr="00030762">
              <w:rPr>
                <w:color w:val="000000"/>
                <w:sz w:val="20"/>
                <w:szCs w:val="20"/>
              </w:rPr>
              <w:t>Executive Management Unit</w:t>
            </w:r>
          </w:p>
        </w:tc>
        <w:tc>
          <w:tcPr>
            <w:tcW w:w="2693" w:type="dxa"/>
            <w:tcBorders>
              <w:top w:val="nil"/>
              <w:left w:val="nil"/>
              <w:bottom w:val="single" w:sz="4" w:space="0" w:color="auto"/>
              <w:right w:val="single" w:sz="4" w:space="0" w:color="auto"/>
            </w:tcBorders>
            <w:noWrap/>
            <w:vAlign w:val="center"/>
            <w:hideMark/>
          </w:tcPr>
          <w:p w14:paraId="1011A8D2" w14:textId="77777777" w:rsidR="00030762" w:rsidRPr="00030762" w:rsidRDefault="00030762" w:rsidP="00030762">
            <w:pPr>
              <w:rPr>
                <w:color w:val="000000"/>
                <w:sz w:val="20"/>
                <w:szCs w:val="20"/>
              </w:rPr>
            </w:pPr>
            <w:r w:rsidRPr="00030762">
              <w:rPr>
                <w:color w:val="000000"/>
                <w:sz w:val="20"/>
                <w:szCs w:val="20"/>
              </w:rPr>
              <w:t>Executive Management Support Officer</w:t>
            </w:r>
          </w:p>
        </w:tc>
        <w:tc>
          <w:tcPr>
            <w:tcW w:w="709" w:type="dxa"/>
            <w:tcBorders>
              <w:top w:val="nil"/>
              <w:left w:val="nil"/>
              <w:bottom w:val="single" w:sz="4" w:space="0" w:color="auto"/>
              <w:right w:val="single" w:sz="4" w:space="0" w:color="auto"/>
            </w:tcBorders>
            <w:noWrap/>
            <w:vAlign w:val="center"/>
            <w:hideMark/>
          </w:tcPr>
          <w:p w14:paraId="10862B27" w14:textId="77777777" w:rsidR="00030762" w:rsidRPr="00030762" w:rsidRDefault="00030762" w:rsidP="00030762">
            <w:pPr>
              <w:jc w:val="center"/>
              <w:rPr>
                <w:color w:val="000000"/>
                <w:sz w:val="20"/>
                <w:szCs w:val="20"/>
              </w:rPr>
            </w:pPr>
            <w:r w:rsidRPr="00030762">
              <w:rPr>
                <w:color w:val="000000"/>
                <w:sz w:val="20"/>
                <w:szCs w:val="20"/>
              </w:rPr>
              <w:t>P-2</w:t>
            </w:r>
          </w:p>
        </w:tc>
        <w:tc>
          <w:tcPr>
            <w:tcW w:w="1417" w:type="dxa"/>
            <w:tcBorders>
              <w:top w:val="nil"/>
              <w:left w:val="nil"/>
              <w:bottom w:val="single" w:sz="4" w:space="0" w:color="auto"/>
              <w:right w:val="single" w:sz="4" w:space="0" w:color="auto"/>
            </w:tcBorders>
            <w:noWrap/>
            <w:vAlign w:val="center"/>
            <w:hideMark/>
          </w:tcPr>
          <w:p w14:paraId="063226C0" w14:textId="77777777" w:rsidR="00030762" w:rsidRPr="00030762" w:rsidRDefault="00030762" w:rsidP="00030762">
            <w:pPr>
              <w:jc w:val="center"/>
              <w:rPr>
                <w:color w:val="000000"/>
                <w:sz w:val="20"/>
                <w:szCs w:val="20"/>
              </w:rPr>
            </w:pPr>
            <w:r w:rsidRPr="00030762">
              <w:rPr>
                <w:color w:val="000000"/>
                <w:sz w:val="20"/>
                <w:szCs w:val="20"/>
              </w:rPr>
              <w:t>100%</w:t>
            </w:r>
          </w:p>
        </w:tc>
        <w:tc>
          <w:tcPr>
            <w:tcW w:w="1560" w:type="dxa"/>
            <w:tcBorders>
              <w:top w:val="nil"/>
              <w:left w:val="nil"/>
              <w:bottom w:val="single" w:sz="4" w:space="0" w:color="auto"/>
              <w:right w:val="single" w:sz="4" w:space="0" w:color="auto"/>
            </w:tcBorders>
            <w:noWrap/>
            <w:vAlign w:val="center"/>
            <w:hideMark/>
          </w:tcPr>
          <w:p w14:paraId="4D055456" w14:textId="77777777" w:rsidR="00030762" w:rsidRPr="00030762" w:rsidRDefault="00030762" w:rsidP="00030762">
            <w:pPr>
              <w:jc w:val="center"/>
              <w:rPr>
                <w:color w:val="000000"/>
                <w:sz w:val="20"/>
                <w:szCs w:val="20"/>
              </w:rPr>
            </w:pPr>
            <w:r w:rsidRPr="00030762">
              <w:rPr>
                <w:color w:val="000000"/>
                <w:sz w:val="20"/>
                <w:szCs w:val="20"/>
              </w:rPr>
              <w:t>-</w:t>
            </w:r>
          </w:p>
        </w:tc>
        <w:tc>
          <w:tcPr>
            <w:tcW w:w="1559" w:type="dxa"/>
            <w:tcBorders>
              <w:top w:val="nil"/>
              <w:left w:val="nil"/>
              <w:bottom w:val="single" w:sz="4" w:space="0" w:color="auto"/>
              <w:right w:val="single" w:sz="4" w:space="0" w:color="auto"/>
            </w:tcBorders>
            <w:vAlign w:val="center"/>
          </w:tcPr>
          <w:p w14:paraId="6081571C" w14:textId="77777777" w:rsidR="00030762" w:rsidRPr="00030762" w:rsidRDefault="00030762" w:rsidP="00030762">
            <w:pPr>
              <w:jc w:val="center"/>
              <w:rPr>
                <w:color w:val="000000"/>
                <w:sz w:val="20"/>
                <w:szCs w:val="20"/>
              </w:rPr>
            </w:pPr>
            <w:r w:rsidRPr="00030762">
              <w:rPr>
                <w:color w:val="000000"/>
                <w:sz w:val="20"/>
                <w:szCs w:val="20"/>
              </w:rPr>
              <w:t>100%</w:t>
            </w:r>
          </w:p>
        </w:tc>
      </w:tr>
      <w:tr w:rsidR="00030762" w:rsidRPr="00030762" w14:paraId="52509B8D"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24E5C338" w14:textId="77777777" w:rsidR="00030762" w:rsidRPr="00030762" w:rsidRDefault="00030762" w:rsidP="00030762">
            <w:pPr>
              <w:jc w:val="center"/>
              <w:rPr>
                <w:color w:val="000000"/>
                <w:sz w:val="20"/>
                <w:szCs w:val="20"/>
              </w:rPr>
            </w:pPr>
            <w:r w:rsidRPr="00030762">
              <w:rPr>
                <w:color w:val="000000"/>
                <w:sz w:val="20"/>
                <w:szCs w:val="20"/>
              </w:rPr>
              <w:t>3</w:t>
            </w:r>
          </w:p>
        </w:tc>
        <w:tc>
          <w:tcPr>
            <w:tcW w:w="2835" w:type="dxa"/>
            <w:tcBorders>
              <w:top w:val="single" w:sz="4" w:space="0" w:color="auto"/>
              <w:left w:val="nil"/>
              <w:bottom w:val="single" w:sz="4" w:space="0" w:color="auto"/>
              <w:right w:val="single" w:sz="4" w:space="0" w:color="auto"/>
            </w:tcBorders>
            <w:vAlign w:val="center"/>
          </w:tcPr>
          <w:p w14:paraId="1D7F04A0" w14:textId="77777777" w:rsidR="00030762" w:rsidRPr="00DB522E" w:rsidRDefault="00030762" w:rsidP="00030762">
            <w:pPr>
              <w:rPr>
                <w:color w:val="000000"/>
                <w:sz w:val="20"/>
                <w:szCs w:val="20"/>
                <w:lang w:val="fr-FR"/>
              </w:rPr>
            </w:pPr>
            <w:r w:rsidRPr="00DB522E">
              <w:rPr>
                <w:color w:val="000000"/>
                <w:sz w:val="20"/>
                <w:szCs w:val="20"/>
                <w:lang w:val="fr-FR"/>
              </w:rPr>
              <w:t>Ex/Admin Assistant, G5 (</w:t>
            </w:r>
            <w:r w:rsidRPr="00DB522E">
              <w:rPr>
                <w:color w:val="0070C0"/>
                <w:sz w:val="20"/>
                <w:szCs w:val="20"/>
                <w:lang w:val="fr-FR"/>
              </w:rPr>
              <w:t>MTK</w:t>
            </w:r>
            <w:r w:rsidRPr="00DB522E">
              <w:rPr>
                <w:color w:val="000000"/>
                <w:sz w:val="20"/>
                <w:szCs w:val="20"/>
                <w:lang w:val="fr-FR"/>
              </w:rPr>
              <w:t>)</w:t>
            </w:r>
          </w:p>
        </w:tc>
        <w:tc>
          <w:tcPr>
            <w:tcW w:w="2552" w:type="dxa"/>
            <w:tcBorders>
              <w:top w:val="nil"/>
              <w:left w:val="single" w:sz="4" w:space="0" w:color="auto"/>
              <w:bottom w:val="single" w:sz="4" w:space="0" w:color="auto"/>
              <w:right w:val="single" w:sz="4" w:space="0" w:color="auto"/>
            </w:tcBorders>
            <w:noWrap/>
            <w:vAlign w:val="center"/>
            <w:hideMark/>
          </w:tcPr>
          <w:p w14:paraId="2CE13A54" w14:textId="77777777" w:rsidR="00030762" w:rsidRPr="00030762" w:rsidRDefault="00030762" w:rsidP="00030762">
            <w:pPr>
              <w:rPr>
                <w:color w:val="000000"/>
                <w:sz w:val="20"/>
                <w:szCs w:val="20"/>
              </w:rPr>
            </w:pPr>
            <w:r w:rsidRPr="00030762">
              <w:rPr>
                <w:color w:val="000000"/>
                <w:sz w:val="20"/>
                <w:szCs w:val="20"/>
              </w:rPr>
              <w:t>Executive Management Unit</w:t>
            </w:r>
          </w:p>
        </w:tc>
        <w:tc>
          <w:tcPr>
            <w:tcW w:w="2693" w:type="dxa"/>
            <w:tcBorders>
              <w:top w:val="nil"/>
              <w:left w:val="nil"/>
              <w:bottom w:val="single" w:sz="4" w:space="0" w:color="auto"/>
              <w:right w:val="single" w:sz="4" w:space="0" w:color="auto"/>
            </w:tcBorders>
            <w:noWrap/>
            <w:vAlign w:val="center"/>
            <w:hideMark/>
          </w:tcPr>
          <w:p w14:paraId="578777F0" w14:textId="77777777" w:rsidR="00030762" w:rsidRPr="00030762" w:rsidRDefault="00030762" w:rsidP="00030762">
            <w:pPr>
              <w:rPr>
                <w:color w:val="000000"/>
                <w:sz w:val="20"/>
                <w:szCs w:val="20"/>
              </w:rPr>
            </w:pPr>
            <w:r w:rsidRPr="00030762">
              <w:rPr>
                <w:color w:val="000000"/>
                <w:sz w:val="20"/>
                <w:szCs w:val="20"/>
              </w:rPr>
              <w:t>Administrative Assistant</w:t>
            </w:r>
          </w:p>
        </w:tc>
        <w:tc>
          <w:tcPr>
            <w:tcW w:w="709" w:type="dxa"/>
            <w:tcBorders>
              <w:top w:val="nil"/>
              <w:left w:val="nil"/>
              <w:bottom w:val="single" w:sz="4" w:space="0" w:color="auto"/>
              <w:right w:val="single" w:sz="4" w:space="0" w:color="auto"/>
            </w:tcBorders>
            <w:noWrap/>
            <w:vAlign w:val="center"/>
            <w:hideMark/>
          </w:tcPr>
          <w:p w14:paraId="031120B6" w14:textId="77777777" w:rsidR="00030762" w:rsidRPr="00030762" w:rsidRDefault="00030762" w:rsidP="00030762">
            <w:pPr>
              <w:jc w:val="center"/>
              <w:rPr>
                <w:color w:val="000000"/>
                <w:sz w:val="20"/>
                <w:szCs w:val="20"/>
              </w:rPr>
            </w:pPr>
            <w:r w:rsidRPr="00030762">
              <w:rPr>
                <w:color w:val="000000"/>
                <w:sz w:val="20"/>
                <w:szCs w:val="20"/>
              </w:rPr>
              <w:t>GS-5</w:t>
            </w:r>
          </w:p>
        </w:tc>
        <w:tc>
          <w:tcPr>
            <w:tcW w:w="1417" w:type="dxa"/>
            <w:tcBorders>
              <w:top w:val="nil"/>
              <w:left w:val="nil"/>
              <w:bottom w:val="single" w:sz="4" w:space="0" w:color="auto"/>
              <w:right w:val="single" w:sz="4" w:space="0" w:color="auto"/>
            </w:tcBorders>
            <w:noWrap/>
            <w:vAlign w:val="center"/>
            <w:hideMark/>
          </w:tcPr>
          <w:p w14:paraId="43209685" w14:textId="77777777" w:rsidR="00030762" w:rsidRPr="00030762" w:rsidRDefault="00030762" w:rsidP="00030762">
            <w:pPr>
              <w:jc w:val="center"/>
              <w:rPr>
                <w:color w:val="000000"/>
                <w:sz w:val="20"/>
                <w:szCs w:val="20"/>
              </w:rPr>
            </w:pPr>
            <w:r w:rsidRPr="00030762">
              <w:rPr>
                <w:color w:val="000000"/>
                <w:sz w:val="20"/>
                <w:szCs w:val="20"/>
              </w:rPr>
              <w:t>100%</w:t>
            </w:r>
          </w:p>
        </w:tc>
        <w:tc>
          <w:tcPr>
            <w:tcW w:w="1560" w:type="dxa"/>
            <w:tcBorders>
              <w:top w:val="nil"/>
              <w:left w:val="nil"/>
              <w:bottom w:val="single" w:sz="4" w:space="0" w:color="auto"/>
              <w:right w:val="single" w:sz="4" w:space="0" w:color="auto"/>
            </w:tcBorders>
            <w:noWrap/>
            <w:vAlign w:val="center"/>
            <w:hideMark/>
          </w:tcPr>
          <w:p w14:paraId="543B5332" w14:textId="77777777" w:rsidR="00030762" w:rsidRPr="00030762" w:rsidRDefault="00030762" w:rsidP="00030762">
            <w:pPr>
              <w:jc w:val="center"/>
              <w:rPr>
                <w:color w:val="000000"/>
                <w:sz w:val="20"/>
                <w:szCs w:val="20"/>
              </w:rPr>
            </w:pPr>
            <w:r w:rsidRPr="00030762">
              <w:rPr>
                <w:color w:val="000000"/>
                <w:sz w:val="20"/>
                <w:szCs w:val="20"/>
              </w:rPr>
              <w:t>-</w:t>
            </w:r>
          </w:p>
        </w:tc>
        <w:tc>
          <w:tcPr>
            <w:tcW w:w="1559" w:type="dxa"/>
            <w:tcBorders>
              <w:top w:val="nil"/>
              <w:left w:val="nil"/>
              <w:bottom w:val="single" w:sz="4" w:space="0" w:color="auto"/>
              <w:right w:val="single" w:sz="4" w:space="0" w:color="auto"/>
            </w:tcBorders>
            <w:vAlign w:val="center"/>
          </w:tcPr>
          <w:p w14:paraId="02F37EB5" w14:textId="77777777" w:rsidR="00030762" w:rsidRPr="00030762" w:rsidRDefault="00030762" w:rsidP="00030762">
            <w:pPr>
              <w:jc w:val="center"/>
              <w:rPr>
                <w:color w:val="000000"/>
                <w:sz w:val="20"/>
                <w:szCs w:val="20"/>
              </w:rPr>
            </w:pPr>
            <w:r w:rsidRPr="00030762">
              <w:rPr>
                <w:color w:val="000000"/>
                <w:sz w:val="20"/>
                <w:szCs w:val="20"/>
              </w:rPr>
              <w:t>80%</w:t>
            </w:r>
            <w:r w:rsidRPr="00030762">
              <w:rPr>
                <w:color w:val="000000"/>
                <w:sz w:val="20"/>
                <w:szCs w:val="20"/>
                <w:vertAlign w:val="superscript"/>
              </w:rPr>
              <w:footnoteReference w:id="2"/>
            </w:r>
          </w:p>
        </w:tc>
      </w:tr>
      <w:tr w:rsidR="00030762" w:rsidRPr="00030762" w14:paraId="35BC10EC"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796C5A18" w14:textId="77777777" w:rsidR="00030762" w:rsidRPr="00030762" w:rsidRDefault="00030762" w:rsidP="00030762">
            <w:pPr>
              <w:jc w:val="center"/>
              <w:rPr>
                <w:color w:val="000000"/>
                <w:sz w:val="20"/>
                <w:szCs w:val="20"/>
              </w:rPr>
            </w:pPr>
            <w:r w:rsidRPr="00030762">
              <w:rPr>
                <w:color w:val="000000"/>
                <w:sz w:val="20"/>
                <w:szCs w:val="20"/>
              </w:rPr>
              <w:t>4</w:t>
            </w:r>
          </w:p>
        </w:tc>
        <w:tc>
          <w:tcPr>
            <w:tcW w:w="2835" w:type="dxa"/>
            <w:tcBorders>
              <w:top w:val="single" w:sz="4" w:space="0" w:color="auto"/>
              <w:left w:val="nil"/>
              <w:bottom w:val="single" w:sz="4" w:space="0" w:color="auto"/>
              <w:right w:val="single" w:sz="4" w:space="0" w:color="auto"/>
            </w:tcBorders>
            <w:vAlign w:val="center"/>
          </w:tcPr>
          <w:p w14:paraId="4CC954D0" w14:textId="77777777" w:rsidR="00030762" w:rsidRPr="00030762" w:rsidRDefault="00030762" w:rsidP="00030762">
            <w:pPr>
              <w:rPr>
                <w:color w:val="000000"/>
                <w:sz w:val="20"/>
                <w:szCs w:val="20"/>
              </w:rPr>
            </w:pPr>
            <w:r w:rsidRPr="00030762">
              <w:rPr>
                <w:color w:val="000000"/>
                <w:sz w:val="20"/>
                <w:szCs w:val="20"/>
              </w:rPr>
              <w:t xml:space="preserve">SICU+AIU/Chief </w:t>
            </w:r>
            <w:proofErr w:type="spellStart"/>
            <w:r w:rsidRPr="00030762">
              <w:rPr>
                <w:color w:val="000000"/>
                <w:sz w:val="20"/>
                <w:szCs w:val="20"/>
              </w:rPr>
              <w:t>Progr</w:t>
            </w:r>
            <w:proofErr w:type="spellEnd"/>
            <w:r w:rsidRPr="00030762">
              <w:rPr>
                <w:color w:val="000000"/>
                <w:sz w:val="20"/>
                <w:szCs w:val="20"/>
              </w:rPr>
              <w:t xml:space="preserve"> Officer, P3 (</w:t>
            </w:r>
            <w:r w:rsidRPr="00030762">
              <w:rPr>
                <w:color w:val="EE0000"/>
                <w:sz w:val="20"/>
                <w:szCs w:val="20"/>
              </w:rPr>
              <w:t>Vacant</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62C78069" w14:textId="77777777" w:rsidR="00030762" w:rsidRPr="00030762" w:rsidRDefault="00030762" w:rsidP="00030762">
            <w:pPr>
              <w:rPr>
                <w:color w:val="000000"/>
                <w:sz w:val="20"/>
                <w:szCs w:val="20"/>
              </w:rPr>
            </w:pPr>
            <w:r w:rsidRPr="00030762">
              <w:rPr>
                <w:color w:val="000000"/>
                <w:sz w:val="20"/>
                <w:szCs w:val="20"/>
              </w:rPr>
              <w:t>Science, Implementation and Compliance Unit &amp; African Initiative Unit</w:t>
            </w:r>
          </w:p>
        </w:tc>
        <w:tc>
          <w:tcPr>
            <w:tcW w:w="2693" w:type="dxa"/>
            <w:tcBorders>
              <w:top w:val="nil"/>
              <w:left w:val="nil"/>
              <w:bottom w:val="single" w:sz="4" w:space="0" w:color="auto"/>
              <w:right w:val="single" w:sz="4" w:space="0" w:color="auto"/>
            </w:tcBorders>
            <w:noWrap/>
            <w:vAlign w:val="center"/>
            <w:hideMark/>
          </w:tcPr>
          <w:p w14:paraId="1A96159D" w14:textId="77777777" w:rsidR="00030762" w:rsidRPr="00030762" w:rsidRDefault="00030762" w:rsidP="00030762">
            <w:pPr>
              <w:rPr>
                <w:color w:val="000000"/>
                <w:sz w:val="20"/>
                <w:szCs w:val="20"/>
              </w:rPr>
            </w:pPr>
            <w:r w:rsidRPr="00030762">
              <w:rPr>
                <w:color w:val="000000"/>
                <w:sz w:val="20"/>
                <w:szCs w:val="20"/>
              </w:rPr>
              <w:t xml:space="preserve">Chief Programmatic Officer </w:t>
            </w:r>
          </w:p>
        </w:tc>
        <w:tc>
          <w:tcPr>
            <w:tcW w:w="709" w:type="dxa"/>
            <w:tcBorders>
              <w:top w:val="nil"/>
              <w:left w:val="nil"/>
              <w:bottom w:val="single" w:sz="4" w:space="0" w:color="auto"/>
              <w:right w:val="single" w:sz="4" w:space="0" w:color="auto"/>
            </w:tcBorders>
            <w:noWrap/>
            <w:vAlign w:val="center"/>
            <w:hideMark/>
          </w:tcPr>
          <w:p w14:paraId="0AC7D6DE" w14:textId="77777777" w:rsidR="00030762" w:rsidRPr="00030762" w:rsidRDefault="00030762" w:rsidP="00030762">
            <w:pPr>
              <w:jc w:val="center"/>
              <w:rPr>
                <w:color w:val="000000"/>
                <w:sz w:val="20"/>
                <w:szCs w:val="20"/>
              </w:rPr>
            </w:pPr>
            <w:r w:rsidRPr="00030762">
              <w:rPr>
                <w:color w:val="000000"/>
                <w:sz w:val="20"/>
                <w:szCs w:val="20"/>
              </w:rPr>
              <w:t>P-3</w:t>
            </w:r>
          </w:p>
        </w:tc>
        <w:tc>
          <w:tcPr>
            <w:tcW w:w="1417" w:type="dxa"/>
            <w:tcBorders>
              <w:top w:val="nil"/>
              <w:left w:val="nil"/>
              <w:bottom w:val="single" w:sz="4" w:space="0" w:color="auto"/>
              <w:right w:val="single" w:sz="4" w:space="0" w:color="auto"/>
            </w:tcBorders>
            <w:noWrap/>
            <w:vAlign w:val="center"/>
            <w:hideMark/>
          </w:tcPr>
          <w:p w14:paraId="2F8ACA48" w14:textId="77777777" w:rsidR="00030762" w:rsidRPr="00030762" w:rsidRDefault="00030762" w:rsidP="00030762">
            <w:pPr>
              <w:jc w:val="center"/>
              <w:rPr>
                <w:color w:val="000000"/>
                <w:sz w:val="20"/>
                <w:szCs w:val="20"/>
              </w:rPr>
            </w:pPr>
            <w:r w:rsidRPr="00030762">
              <w:rPr>
                <w:color w:val="000000"/>
                <w:sz w:val="20"/>
                <w:szCs w:val="20"/>
              </w:rPr>
              <w:t>100%</w:t>
            </w:r>
          </w:p>
        </w:tc>
        <w:tc>
          <w:tcPr>
            <w:tcW w:w="1560" w:type="dxa"/>
            <w:tcBorders>
              <w:top w:val="nil"/>
              <w:left w:val="nil"/>
              <w:bottom w:val="single" w:sz="4" w:space="0" w:color="auto"/>
              <w:right w:val="single" w:sz="4" w:space="0" w:color="auto"/>
            </w:tcBorders>
            <w:noWrap/>
            <w:vAlign w:val="center"/>
            <w:hideMark/>
          </w:tcPr>
          <w:p w14:paraId="7A7EF881" w14:textId="77777777" w:rsidR="00030762" w:rsidRPr="00030762" w:rsidRDefault="00030762" w:rsidP="00030762">
            <w:pPr>
              <w:jc w:val="center"/>
              <w:rPr>
                <w:color w:val="000000"/>
                <w:sz w:val="20"/>
                <w:szCs w:val="20"/>
              </w:rPr>
            </w:pPr>
            <w:r w:rsidRPr="00030762">
              <w:rPr>
                <w:color w:val="000000"/>
                <w:sz w:val="20"/>
                <w:szCs w:val="20"/>
              </w:rPr>
              <w:t>-</w:t>
            </w:r>
          </w:p>
        </w:tc>
        <w:tc>
          <w:tcPr>
            <w:tcW w:w="1559" w:type="dxa"/>
            <w:tcBorders>
              <w:top w:val="nil"/>
              <w:left w:val="nil"/>
              <w:bottom w:val="single" w:sz="4" w:space="0" w:color="auto"/>
              <w:right w:val="single" w:sz="4" w:space="0" w:color="auto"/>
            </w:tcBorders>
            <w:vAlign w:val="center"/>
          </w:tcPr>
          <w:p w14:paraId="74107096" w14:textId="77777777" w:rsidR="00030762" w:rsidRPr="00030762" w:rsidRDefault="00030762" w:rsidP="00030762">
            <w:pPr>
              <w:jc w:val="center"/>
              <w:rPr>
                <w:color w:val="000000"/>
                <w:sz w:val="20"/>
                <w:szCs w:val="20"/>
              </w:rPr>
            </w:pPr>
            <w:r w:rsidRPr="00030762">
              <w:rPr>
                <w:color w:val="000000"/>
                <w:sz w:val="20"/>
                <w:szCs w:val="20"/>
              </w:rPr>
              <w:t>-</w:t>
            </w:r>
          </w:p>
        </w:tc>
      </w:tr>
      <w:tr w:rsidR="00030762" w:rsidRPr="00030762" w14:paraId="0A80FFDA"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0AE1ECE7" w14:textId="6705A492" w:rsidR="00030762" w:rsidRPr="00030762" w:rsidRDefault="001F461B" w:rsidP="00030762">
            <w:pPr>
              <w:jc w:val="center"/>
              <w:rPr>
                <w:color w:val="000000"/>
                <w:sz w:val="20"/>
                <w:szCs w:val="20"/>
              </w:rPr>
            </w:pPr>
            <w:r>
              <w:rPr>
                <w:color w:val="000000"/>
                <w:sz w:val="20"/>
                <w:szCs w:val="20"/>
              </w:rPr>
              <w:t>5</w:t>
            </w:r>
          </w:p>
        </w:tc>
        <w:tc>
          <w:tcPr>
            <w:tcW w:w="2835" w:type="dxa"/>
            <w:tcBorders>
              <w:top w:val="single" w:sz="4" w:space="0" w:color="auto"/>
              <w:left w:val="nil"/>
              <w:bottom w:val="single" w:sz="4" w:space="0" w:color="auto"/>
              <w:right w:val="single" w:sz="4" w:space="0" w:color="auto"/>
            </w:tcBorders>
            <w:vAlign w:val="center"/>
          </w:tcPr>
          <w:p w14:paraId="184A121E" w14:textId="77777777" w:rsidR="00030762" w:rsidRPr="00030762" w:rsidRDefault="00030762" w:rsidP="00030762">
            <w:pPr>
              <w:rPr>
                <w:color w:val="000000"/>
                <w:sz w:val="20"/>
                <w:szCs w:val="20"/>
              </w:rPr>
            </w:pPr>
            <w:r w:rsidRPr="00030762">
              <w:rPr>
                <w:color w:val="000000"/>
                <w:sz w:val="20"/>
                <w:szCs w:val="20"/>
              </w:rPr>
              <w:t>SICU/Species Officer, P3 (</w:t>
            </w:r>
            <w:r w:rsidRPr="00030762">
              <w:rPr>
                <w:color w:val="0070C0"/>
                <w:sz w:val="20"/>
                <w:szCs w:val="20"/>
              </w:rPr>
              <w:t>ML</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6CA5C537" w14:textId="77777777" w:rsidR="00030762" w:rsidRPr="00030762" w:rsidRDefault="00030762" w:rsidP="00030762">
            <w:pPr>
              <w:rPr>
                <w:color w:val="000000"/>
                <w:sz w:val="20"/>
                <w:szCs w:val="20"/>
              </w:rPr>
            </w:pPr>
            <w:r w:rsidRPr="00030762">
              <w:rPr>
                <w:color w:val="000000"/>
                <w:sz w:val="20"/>
                <w:szCs w:val="20"/>
              </w:rPr>
              <w:t>Science, Implementation and Compliance Unit</w:t>
            </w:r>
          </w:p>
        </w:tc>
        <w:tc>
          <w:tcPr>
            <w:tcW w:w="2693" w:type="dxa"/>
            <w:tcBorders>
              <w:top w:val="nil"/>
              <w:left w:val="nil"/>
              <w:bottom w:val="single" w:sz="4" w:space="0" w:color="auto"/>
              <w:right w:val="single" w:sz="4" w:space="0" w:color="auto"/>
            </w:tcBorders>
            <w:noWrap/>
            <w:vAlign w:val="center"/>
            <w:hideMark/>
          </w:tcPr>
          <w:p w14:paraId="2E8BB14A" w14:textId="77777777" w:rsidR="00030762" w:rsidRPr="00030762" w:rsidRDefault="00030762" w:rsidP="00030762">
            <w:pPr>
              <w:rPr>
                <w:color w:val="000000"/>
                <w:sz w:val="20"/>
                <w:szCs w:val="20"/>
              </w:rPr>
            </w:pPr>
            <w:r w:rsidRPr="00030762">
              <w:rPr>
                <w:color w:val="000000"/>
                <w:sz w:val="20"/>
                <w:szCs w:val="20"/>
              </w:rPr>
              <w:t xml:space="preserve">Species Officer </w:t>
            </w:r>
          </w:p>
        </w:tc>
        <w:tc>
          <w:tcPr>
            <w:tcW w:w="709" w:type="dxa"/>
            <w:tcBorders>
              <w:top w:val="nil"/>
              <w:left w:val="nil"/>
              <w:bottom w:val="single" w:sz="4" w:space="0" w:color="auto"/>
              <w:right w:val="single" w:sz="4" w:space="0" w:color="auto"/>
            </w:tcBorders>
            <w:noWrap/>
            <w:vAlign w:val="center"/>
            <w:hideMark/>
          </w:tcPr>
          <w:p w14:paraId="401D2359" w14:textId="77777777" w:rsidR="00030762" w:rsidRPr="00030762" w:rsidRDefault="00030762" w:rsidP="00030762">
            <w:pPr>
              <w:jc w:val="center"/>
              <w:rPr>
                <w:color w:val="000000"/>
                <w:sz w:val="20"/>
                <w:szCs w:val="20"/>
              </w:rPr>
            </w:pPr>
            <w:r w:rsidRPr="00030762">
              <w:rPr>
                <w:color w:val="000000"/>
                <w:sz w:val="20"/>
                <w:szCs w:val="20"/>
              </w:rPr>
              <w:t>P-3</w:t>
            </w:r>
          </w:p>
        </w:tc>
        <w:tc>
          <w:tcPr>
            <w:tcW w:w="1417" w:type="dxa"/>
            <w:tcBorders>
              <w:top w:val="nil"/>
              <w:left w:val="nil"/>
              <w:bottom w:val="single" w:sz="4" w:space="0" w:color="auto"/>
              <w:right w:val="single" w:sz="4" w:space="0" w:color="auto"/>
            </w:tcBorders>
            <w:noWrap/>
            <w:vAlign w:val="center"/>
            <w:hideMark/>
          </w:tcPr>
          <w:p w14:paraId="38E1E167" w14:textId="77777777" w:rsidR="00030762" w:rsidRPr="00030762" w:rsidRDefault="00030762" w:rsidP="00030762">
            <w:pPr>
              <w:jc w:val="center"/>
              <w:rPr>
                <w:color w:val="000000"/>
                <w:sz w:val="20"/>
                <w:szCs w:val="20"/>
              </w:rPr>
            </w:pPr>
            <w:r w:rsidRPr="00030762">
              <w:rPr>
                <w:color w:val="000000"/>
                <w:sz w:val="20"/>
                <w:szCs w:val="20"/>
              </w:rPr>
              <w:t>70% (at P-2)</w:t>
            </w:r>
          </w:p>
        </w:tc>
        <w:tc>
          <w:tcPr>
            <w:tcW w:w="1560" w:type="dxa"/>
            <w:tcBorders>
              <w:top w:val="nil"/>
              <w:left w:val="nil"/>
              <w:bottom w:val="single" w:sz="4" w:space="0" w:color="auto"/>
              <w:right w:val="single" w:sz="4" w:space="0" w:color="auto"/>
            </w:tcBorders>
            <w:noWrap/>
            <w:vAlign w:val="center"/>
            <w:hideMark/>
          </w:tcPr>
          <w:p w14:paraId="4C90FE9D" w14:textId="77777777" w:rsidR="00030762" w:rsidRPr="00030762" w:rsidRDefault="00030762" w:rsidP="00030762">
            <w:pPr>
              <w:jc w:val="center"/>
              <w:rPr>
                <w:color w:val="000000"/>
                <w:sz w:val="20"/>
                <w:szCs w:val="20"/>
              </w:rPr>
            </w:pPr>
            <w:r w:rsidRPr="00030762">
              <w:rPr>
                <w:color w:val="000000"/>
                <w:sz w:val="20"/>
                <w:szCs w:val="20"/>
              </w:rPr>
              <w:t>30% (at P-2 + complement to P-3)</w:t>
            </w:r>
          </w:p>
        </w:tc>
        <w:tc>
          <w:tcPr>
            <w:tcW w:w="1559" w:type="dxa"/>
            <w:tcBorders>
              <w:top w:val="nil"/>
              <w:left w:val="nil"/>
              <w:bottom w:val="single" w:sz="4" w:space="0" w:color="auto"/>
              <w:right w:val="single" w:sz="4" w:space="0" w:color="auto"/>
            </w:tcBorders>
            <w:vAlign w:val="center"/>
          </w:tcPr>
          <w:p w14:paraId="7184B0D6" w14:textId="77777777" w:rsidR="00030762" w:rsidRPr="00030762" w:rsidRDefault="00030762" w:rsidP="00030762">
            <w:pPr>
              <w:jc w:val="center"/>
              <w:rPr>
                <w:color w:val="000000"/>
                <w:sz w:val="20"/>
                <w:szCs w:val="20"/>
              </w:rPr>
            </w:pPr>
            <w:r w:rsidRPr="00030762">
              <w:rPr>
                <w:color w:val="000000"/>
                <w:sz w:val="20"/>
                <w:szCs w:val="20"/>
              </w:rPr>
              <w:t>100%</w:t>
            </w:r>
          </w:p>
        </w:tc>
      </w:tr>
      <w:tr w:rsidR="00030762" w:rsidRPr="00030762" w14:paraId="49E2C33B"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11E3F649" w14:textId="0C310E24" w:rsidR="00030762" w:rsidRPr="00030762" w:rsidRDefault="001F461B" w:rsidP="00030762">
            <w:pPr>
              <w:jc w:val="center"/>
              <w:rPr>
                <w:color w:val="000000"/>
                <w:sz w:val="20"/>
                <w:szCs w:val="20"/>
              </w:rPr>
            </w:pPr>
            <w:r>
              <w:rPr>
                <w:color w:val="000000"/>
                <w:sz w:val="20"/>
                <w:szCs w:val="20"/>
              </w:rPr>
              <w:t>6</w:t>
            </w:r>
          </w:p>
        </w:tc>
        <w:tc>
          <w:tcPr>
            <w:tcW w:w="2835" w:type="dxa"/>
            <w:tcBorders>
              <w:top w:val="single" w:sz="4" w:space="0" w:color="auto"/>
              <w:left w:val="nil"/>
              <w:bottom w:val="single" w:sz="4" w:space="0" w:color="auto"/>
              <w:right w:val="single" w:sz="4" w:space="0" w:color="auto"/>
            </w:tcBorders>
            <w:vAlign w:val="center"/>
          </w:tcPr>
          <w:p w14:paraId="716C08D0" w14:textId="77777777" w:rsidR="00030762" w:rsidRPr="00DB522E" w:rsidRDefault="00030762" w:rsidP="00030762">
            <w:pPr>
              <w:rPr>
                <w:color w:val="000000"/>
                <w:sz w:val="20"/>
                <w:szCs w:val="20"/>
                <w:lang w:val="fr-FR"/>
              </w:rPr>
            </w:pPr>
            <w:r w:rsidRPr="00DB522E">
              <w:rPr>
                <w:color w:val="000000"/>
                <w:sz w:val="20"/>
                <w:szCs w:val="20"/>
                <w:lang w:val="fr-FR"/>
              </w:rPr>
              <w:t>SICU/</w:t>
            </w:r>
            <w:proofErr w:type="spellStart"/>
            <w:r w:rsidRPr="00DB522E">
              <w:rPr>
                <w:color w:val="000000"/>
                <w:sz w:val="20"/>
                <w:szCs w:val="20"/>
                <w:lang w:val="fr-FR"/>
              </w:rPr>
              <w:t>Progr</w:t>
            </w:r>
            <w:proofErr w:type="spellEnd"/>
            <w:r w:rsidRPr="00DB522E">
              <w:rPr>
                <w:color w:val="000000"/>
                <w:sz w:val="20"/>
                <w:szCs w:val="20"/>
                <w:lang w:val="fr-FR"/>
              </w:rPr>
              <w:t xml:space="preserve"> Assistant, G5 (</w:t>
            </w:r>
            <w:r w:rsidRPr="00DB522E">
              <w:rPr>
                <w:color w:val="0070C0"/>
                <w:sz w:val="20"/>
                <w:szCs w:val="20"/>
                <w:lang w:val="fr-FR"/>
              </w:rPr>
              <w:t>JD</w:t>
            </w:r>
            <w:r w:rsidRPr="00DB522E">
              <w:rPr>
                <w:color w:val="000000"/>
                <w:sz w:val="20"/>
                <w:szCs w:val="20"/>
                <w:lang w:val="fr-FR"/>
              </w:rPr>
              <w:t>)</w:t>
            </w:r>
          </w:p>
        </w:tc>
        <w:tc>
          <w:tcPr>
            <w:tcW w:w="2552" w:type="dxa"/>
            <w:tcBorders>
              <w:top w:val="nil"/>
              <w:left w:val="single" w:sz="4" w:space="0" w:color="auto"/>
              <w:bottom w:val="single" w:sz="4" w:space="0" w:color="auto"/>
              <w:right w:val="single" w:sz="4" w:space="0" w:color="auto"/>
            </w:tcBorders>
            <w:noWrap/>
            <w:vAlign w:val="center"/>
            <w:hideMark/>
          </w:tcPr>
          <w:p w14:paraId="589AF98A" w14:textId="77777777" w:rsidR="00030762" w:rsidRPr="00030762" w:rsidRDefault="00030762" w:rsidP="00030762">
            <w:pPr>
              <w:rPr>
                <w:color w:val="000000"/>
                <w:sz w:val="20"/>
                <w:szCs w:val="20"/>
              </w:rPr>
            </w:pPr>
            <w:r w:rsidRPr="00030762">
              <w:rPr>
                <w:color w:val="000000"/>
                <w:sz w:val="20"/>
                <w:szCs w:val="20"/>
              </w:rPr>
              <w:t>Science, Implementation and Compliance Unit</w:t>
            </w:r>
          </w:p>
        </w:tc>
        <w:tc>
          <w:tcPr>
            <w:tcW w:w="2693" w:type="dxa"/>
            <w:tcBorders>
              <w:top w:val="nil"/>
              <w:left w:val="nil"/>
              <w:bottom w:val="single" w:sz="4" w:space="0" w:color="auto"/>
              <w:right w:val="single" w:sz="4" w:space="0" w:color="auto"/>
            </w:tcBorders>
            <w:noWrap/>
            <w:vAlign w:val="center"/>
            <w:hideMark/>
          </w:tcPr>
          <w:p w14:paraId="4C640537" w14:textId="77777777" w:rsidR="00030762" w:rsidRPr="00030762" w:rsidRDefault="00030762" w:rsidP="00030762">
            <w:pPr>
              <w:rPr>
                <w:color w:val="000000"/>
                <w:sz w:val="20"/>
                <w:szCs w:val="20"/>
              </w:rPr>
            </w:pPr>
            <w:proofErr w:type="spellStart"/>
            <w:r w:rsidRPr="00030762">
              <w:rPr>
                <w:color w:val="000000"/>
                <w:sz w:val="20"/>
                <w:szCs w:val="20"/>
              </w:rPr>
              <w:t>Programme</w:t>
            </w:r>
            <w:proofErr w:type="spellEnd"/>
            <w:r w:rsidRPr="00030762">
              <w:rPr>
                <w:color w:val="000000"/>
                <w:sz w:val="20"/>
                <w:szCs w:val="20"/>
              </w:rPr>
              <w:t xml:space="preserve"> Management Assistant </w:t>
            </w:r>
          </w:p>
        </w:tc>
        <w:tc>
          <w:tcPr>
            <w:tcW w:w="709" w:type="dxa"/>
            <w:tcBorders>
              <w:top w:val="nil"/>
              <w:left w:val="nil"/>
              <w:bottom w:val="single" w:sz="4" w:space="0" w:color="auto"/>
              <w:right w:val="single" w:sz="4" w:space="0" w:color="auto"/>
            </w:tcBorders>
            <w:noWrap/>
            <w:vAlign w:val="center"/>
            <w:hideMark/>
          </w:tcPr>
          <w:p w14:paraId="3428DFE7" w14:textId="77777777" w:rsidR="00030762" w:rsidRPr="00030762" w:rsidRDefault="00030762" w:rsidP="00030762">
            <w:pPr>
              <w:jc w:val="center"/>
              <w:rPr>
                <w:color w:val="000000"/>
                <w:sz w:val="20"/>
                <w:szCs w:val="20"/>
              </w:rPr>
            </w:pPr>
            <w:r w:rsidRPr="00030762">
              <w:rPr>
                <w:color w:val="000000"/>
                <w:sz w:val="20"/>
                <w:szCs w:val="20"/>
              </w:rPr>
              <w:t>GS-5</w:t>
            </w:r>
          </w:p>
        </w:tc>
        <w:tc>
          <w:tcPr>
            <w:tcW w:w="1417" w:type="dxa"/>
            <w:tcBorders>
              <w:top w:val="nil"/>
              <w:left w:val="nil"/>
              <w:bottom w:val="single" w:sz="4" w:space="0" w:color="auto"/>
              <w:right w:val="single" w:sz="4" w:space="0" w:color="auto"/>
            </w:tcBorders>
            <w:noWrap/>
            <w:vAlign w:val="center"/>
            <w:hideMark/>
          </w:tcPr>
          <w:p w14:paraId="1F22815A" w14:textId="77777777" w:rsidR="00030762" w:rsidRPr="00030762" w:rsidRDefault="00030762" w:rsidP="00030762">
            <w:pPr>
              <w:jc w:val="center"/>
              <w:rPr>
                <w:color w:val="000000"/>
                <w:sz w:val="20"/>
                <w:szCs w:val="20"/>
              </w:rPr>
            </w:pPr>
            <w:r w:rsidRPr="00030762">
              <w:rPr>
                <w:color w:val="000000"/>
                <w:sz w:val="20"/>
                <w:szCs w:val="20"/>
              </w:rPr>
              <w:t>80%</w:t>
            </w:r>
          </w:p>
        </w:tc>
        <w:tc>
          <w:tcPr>
            <w:tcW w:w="1560" w:type="dxa"/>
            <w:tcBorders>
              <w:top w:val="nil"/>
              <w:left w:val="nil"/>
              <w:bottom w:val="single" w:sz="4" w:space="0" w:color="auto"/>
              <w:right w:val="single" w:sz="4" w:space="0" w:color="auto"/>
            </w:tcBorders>
            <w:noWrap/>
            <w:vAlign w:val="center"/>
            <w:hideMark/>
          </w:tcPr>
          <w:p w14:paraId="09C92AC5" w14:textId="77777777" w:rsidR="00030762" w:rsidRPr="00030762" w:rsidRDefault="00030762" w:rsidP="00030762">
            <w:pPr>
              <w:jc w:val="center"/>
              <w:rPr>
                <w:color w:val="000000"/>
                <w:sz w:val="20"/>
                <w:szCs w:val="20"/>
              </w:rPr>
            </w:pPr>
            <w:r w:rsidRPr="00030762">
              <w:rPr>
                <w:color w:val="000000"/>
                <w:sz w:val="20"/>
                <w:szCs w:val="20"/>
              </w:rPr>
              <w:t>20%</w:t>
            </w:r>
          </w:p>
        </w:tc>
        <w:tc>
          <w:tcPr>
            <w:tcW w:w="1559" w:type="dxa"/>
            <w:tcBorders>
              <w:top w:val="nil"/>
              <w:left w:val="nil"/>
              <w:bottom w:val="single" w:sz="4" w:space="0" w:color="auto"/>
              <w:right w:val="single" w:sz="4" w:space="0" w:color="auto"/>
            </w:tcBorders>
            <w:vAlign w:val="center"/>
          </w:tcPr>
          <w:p w14:paraId="057A8F94" w14:textId="77777777" w:rsidR="00030762" w:rsidRPr="00030762" w:rsidRDefault="00030762" w:rsidP="00030762">
            <w:pPr>
              <w:jc w:val="center"/>
              <w:rPr>
                <w:color w:val="000000"/>
                <w:sz w:val="20"/>
                <w:szCs w:val="20"/>
              </w:rPr>
            </w:pPr>
            <w:r w:rsidRPr="00030762">
              <w:rPr>
                <w:color w:val="000000"/>
                <w:sz w:val="20"/>
                <w:szCs w:val="20"/>
              </w:rPr>
              <w:t>80%</w:t>
            </w:r>
            <w:r w:rsidRPr="00030762">
              <w:rPr>
                <w:color w:val="000000"/>
                <w:sz w:val="20"/>
                <w:szCs w:val="20"/>
                <w:vertAlign w:val="superscript"/>
              </w:rPr>
              <w:footnoteReference w:id="3"/>
            </w:r>
          </w:p>
        </w:tc>
      </w:tr>
      <w:tr w:rsidR="00030762" w:rsidRPr="00030762" w14:paraId="3F287708"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1B689D8E" w14:textId="5C77EB3F" w:rsidR="00030762" w:rsidRPr="00030762" w:rsidRDefault="001F461B" w:rsidP="00030762">
            <w:pPr>
              <w:jc w:val="center"/>
              <w:rPr>
                <w:color w:val="000000"/>
                <w:sz w:val="20"/>
                <w:szCs w:val="20"/>
              </w:rPr>
            </w:pPr>
            <w:r>
              <w:rPr>
                <w:color w:val="000000"/>
                <w:sz w:val="20"/>
                <w:szCs w:val="20"/>
              </w:rPr>
              <w:t>7</w:t>
            </w:r>
          </w:p>
        </w:tc>
        <w:tc>
          <w:tcPr>
            <w:tcW w:w="2835" w:type="dxa"/>
            <w:tcBorders>
              <w:top w:val="single" w:sz="4" w:space="0" w:color="auto"/>
              <w:left w:val="nil"/>
              <w:bottom w:val="single" w:sz="4" w:space="0" w:color="auto"/>
              <w:right w:val="single" w:sz="4" w:space="0" w:color="auto"/>
            </w:tcBorders>
            <w:vAlign w:val="center"/>
          </w:tcPr>
          <w:p w14:paraId="17711260" w14:textId="77777777" w:rsidR="00030762" w:rsidRPr="00030762" w:rsidRDefault="00030762" w:rsidP="00030762">
            <w:pPr>
              <w:rPr>
                <w:color w:val="000000"/>
                <w:sz w:val="20"/>
                <w:szCs w:val="20"/>
              </w:rPr>
            </w:pPr>
            <w:r w:rsidRPr="00030762">
              <w:rPr>
                <w:color w:val="000000"/>
                <w:sz w:val="20"/>
                <w:szCs w:val="20"/>
              </w:rPr>
              <w:t>SICU/EGMP Coordinator, P2 (</w:t>
            </w:r>
            <w:r w:rsidRPr="00030762">
              <w:rPr>
                <w:color w:val="0070C0"/>
                <w:sz w:val="20"/>
                <w:szCs w:val="20"/>
              </w:rPr>
              <w:t>BL</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67DAB2C8" w14:textId="77777777" w:rsidR="00030762" w:rsidRPr="00030762" w:rsidRDefault="00030762" w:rsidP="00030762">
            <w:pPr>
              <w:rPr>
                <w:color w:val="000000"/>
                <w:sz w:val="20"/>
                <w:szCs w:val="20"/>
              </w:rPr>
            </w:pPr>
            <w:r w:rsidRPr="00030762">
              <w:rPr>
                <w:color w:val="000000"/>
                <w:sz w:val="20"/>
                <w:szCs w:val="20"/>
              </w:rPr>
              <w:t>Science, Implementation and Compliance Unit</w:t>
            </w:r>
          </w:p>
        </w:tc>
        <w:tc>
          <w:tcPr>
            <w:tcW w:w="2693" w:type="dxa"/>
            <w:tcBorders>
              <w:top w:val="nil"/>
              <w:left w:val="nil"/>
              <w:bottom w:val="single" w:sz="4" w:space="0" w:color="auto"/>
              <w:right w:val="single" w:sz="4" w:space="0" w:color="auto"/>
            </w:tcBorders>
            <w:noWrap/>
            <w:vAlign w:val="center"/>
            <w:hideMark/>
          </w:tcPr>
          <w:p w14:paraId="4C098E8D" w14:textId="77777777" w:rsidR="00030762" w:rsidRPr="00030762" w:rsidRDefault="00030762" w:rsidP="00030762">
            <w:pPr>
              <w:rPr>
                <w:color w:val="000000"/>
                <w:sz w:val="20"/>
                <w:szCs w:val="20"/>
              </w:rPr>
            </w:pPr>
            <w:r w:rsidRPr="00030762">
              <w:rPr>
                <w:color w:val="000000"/>
                <w:sz w:val="20"/>
                <w:szCs w:val="20"/>
              </w:rPr>
              <w:t>Coordinator for the European Goose Management Platform</w:t>
            </w:r>
          </w:p>
        </w:tc>
        <w:tc>
          <w:tcPr>
            <w:tcW w:w="709" w:type="dxa"/>
            <w:tcBorders>
              <w:top w:val="nil"/>
              <w:left w:val="nil"/>
              <w:bottom w:val="single" w:sz="4" w:space="0" w:color="auto"/>
              <w:right w:val="single" w:sz="4" w:space="0" w:color="auto"/>
            </w:tcBorders>
            <w:noWrap/>
            <w:vAlign w:val="center"/>
            <w:hideMark/>
          </w:tcPr>
          <w:p w14:paraId="25AEA6A5" w14:textId="77777777" w:rsidR="00030762" w:rsidRPr="00030762" w:rsidRDefault="00030762" w:rsidP="00030762">
            <w:pPr>
              <w:jc w:val="center"/>
              <w:rPr>
                <w:color w:val="000000"/>
                <w:sz w:val="20"/>
                <w:szCs w:val="20"/>
              </w:rPr>
            </w:pPr>
            <w:r w:rsidRPr="00030762">
              <w:rPr>
                <w:color w:val="000000"/>
                <w:sz w:val="20"/>
                <w:szCs w:val="20"/>
              </w:rPr>
              <w:t>P-2</w:t>
            </w:r>
          </w:p>
        </w:tc>
        <w:tc>
          <w:tcPr>
            <w:tcW w:w="1417" w:type="dxa"/>
            <w:tcBorders>
              <w:top w:val="nil"/>
              <w:left w:val="nil"/>
              <w:bottom w:val="single" w:sz="4" w:space="0" w:color="auto"/>
              <w:right w:val="single" w:sz="4" w:space="0" w:color="auto"/>
            </w:tcBorders>
            <w:noWrap/>
            <w:vAlign w:val="center"/>
            <w:hideMark/>
          </w:tcPr>
          <w:p w14:paraId="383BBF3D" w14:textId="77777777" w:rsidR="00030762" w:rsidRPr="00030762" w:rsidRDefault="00030762" w:rsidP="00030762">
            <w:pPr>
              <w:jc w:val="center"/>
              <w:rPr>
                <w:color w:val="000000"/>
                <w:sz w:val="20"/>
                <w:szCs w:val="20"/>
              </w:rPr>
            </w:pPr>
            <w:r w:rsidRPr="00030762">
              <w:rPr>
                <w:color w:val="000000"/>
                <w:sz w:val="20"/>
                <w:szCs w:val="20"/>
              </w:rPr>
              <w:t>-</w:t>
            </w:r>
          </w:p>
        </w:tc>
        <w:tc>
          <w:tcPr>
            <w:tcW w:w="1560" w:type="dxa"/>
            <w:tcBorders>
              <w:top w:val="nil"/>
              <w:left w:val="nil"/>
              <w:bottom w:val="single" w:sz="4" w:space="0" w:color="auto"/>
              <w:right w:val="single" w:sz="4" w:space="0" w:color="auto"/>
            </w:tcBorders>
            <w:noWrap/>
            <w:vAlign w:val="center"/>
            <w:hideMark/>
          </w:tcPr>
          <w:p w14:paraId="672462F2" w14:textId="77777777" w:rsidR="00030762" w:rsidRPr="00030762" w:rsidRDefault="00030762" w:rsidP="00030762">
            <w:pPr>
              <w:jc w:val="center"/>
              <w:rPr>
                <w:color w:val="000000"/>
                <w:sz w:val="20"/>
                <w:szCs w:val="20"/>
              </w:rPr>
            </w:pPr>
            <w:r w:rsidRPr="00030762">
              <w:rPr>
                <w:color w:val="000000"/>
                <w:sz w:val="20"/>
                <w:szCs w:val="20"/>
              </w:rPr>
              <w:t>100%</w:t>
            </w:r>
          </w:p>
        </w:tc>
        <w:tc>
          <w:tcPr>
            <w:tcW w:w="1559" w:type="dxa"/>
            <w:tcBorders>
              <w:top w:val="nil"/>
              <w:left w:val="nil"/>
              <w:bottom w:val="single" w:sz="4" w:space="0" w:color="auto"/>
              <w:right w:val="single" w:sz="4" w:space="0" w:color="auto"/>
            </w:tcBorders>
            <w:vAlign w:val="center"/>
          </w:tcPr>
          <w:p w14:paraId="79F4CB4E" w14:textId="77777777" w:rsidR="00030762" w:rsidRPr="00030762" w:rsidRDefault="00030762" w:rsidP="00030762">
            <w:pPr>
              <w:jc w:val="center"/>
              <w:rPr>
                <w:color w:val="000000"/>
                <w:sz w:val="20"/>
                <w:szCs w:val="20"/>
              </w:rPr>
            </w:pPr>
            <w:r w:rsidRPr="00030762">
              <w:rPr>
                <w:color w:val="000000"/>
                <w:sz w:val="20"/>
                <w:szCs w:val="20"/>
              </w:rPr>
              <w:t>100%</w:t>
            </w:r>
          </w:p>
        </w:tc>
      </w:tr>
      <w:tr w:rsidR="00030762" w:rsidRPr="00030762" w14:paraId="4DC06045"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0E6B45F3" w14:textId="3CACCAA9" w:rsidR="00030762" w:rsidRPr="00030762" w:rsidRDefault="001F461B" w:rsidP="00030762">
            <w:pPr>
              <w:jc w:val="center"/>
              <w:rPr>
                <w:color w:val="000000"/>
                <w:sz w:val="20"/>
                <w:szCs w:val="20"/>
              </w:rPr>
            </w:pPr>
            <w:r>
              <w:rPr>
                <w:color w:val="000000"/>
                <w:sz w:val="20"/>
                <w:szCs w:val="20"/>
              </w:rPr>
              <w:t>8</w:t>
            </w:r>
          </w:p>
        </w:tc>
        <w:tc>
          <w:tcPr>
            <w:tcW w:w="2835" w:type="dxa"/>
            <w:tcBorders>
              <w:top w:val="single" w:sz="4" w:space="0" w:color="auto"/>
              <w:left w:val="nil"/>
              <w:bottom w:val="single" w:sz="4" w:space="0" w:color="auto"/>
              <w:right w:val="single" w:sz="4" w:space="0" w:color="auto"/>
            </w:tcBorders>
            <w:vAlign w:val="center"/>
          </w:tcPr>
          <w:p w14:paraId="44673F2A" w14:textId="77777777" w:rsidR="00030762" w:rsidRPr="00030762" w:rsidRDefault="00030762" w:rsidP="00030762">
            <w:pPr>
              <w:rPr>
                <w:color w:val="000000"/>
                <w:sz w:val="20"/>
                <w:szCs w:val="20"/>
              </w:rPr>
            </w:pPr>
            <w:r w:rsidRPr="00030762">
              <w:rPr>
                <w:color w:val="000000"/>
                <w:sz w:val="20"/>
                <w:szCs w:val="20"/>
              </w:rPr>
              <w:t xml:space="preserve">SICU/EGMP </w:t>
            </w:r>
            <w:proofErr w:type="spellStart"/>
            <w:r w:rsidRPr="00030762">
              <w:rPr>
                <w:color w:val="000000"/>
                <w:sz w:val="20"/>
                <w:szCs w:val="20"/>
              </w:rPr>
              <w:t>Progr</w:t>
            </w:r>
            <w:proofErr w:type="spellEnd"/>
            <w:r w:rsidRPr="00030762">
              <w:rPr>
                <w:color w:val="000000"/>
                <w:sz w:val="20"/>
                <w:szCs w:val="20"/>
              </w:rPr>
              <w:t xml:space="preserve"> Assistant, G5 (</w:t>
            </w:r>
            <w:r w:rsidRPr="00030762">
              <w:rPr>
                <w:color w:val="0070C0"/>
                <w:sz w:val="20"/>
                <w:szCs w:val="20"/>
              </w:rPr>
              <w:t>SH</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47EEF776" w14:textId="77777777" w:rsidR="00030762" w:rsidRPr="00030762" w:rsidRDefault="00030762" w:rsidP="00030762">
            <w:pPr>
              <w:rPr>
                <w:color w:val="000000"/>
                <w:sz w:val="20"/>
                <w:szCs w:val="20"/>
              </w:rPr>
            </w:pPr>
            <w:r w:rsidRPr="00030762">
              <w:rPr>
                <w:color w:val="000000"/>
                <w:sz w:val="20"/>
                <w:szCs w:val="20"/>
              </w:rPr>
              <w:t>Science, Implementation and Compliance Unit</w:t>
            </w:r>
          </w:p>
        </w:tc>
        <w:tc>
          <w:tcPr>
            <w:tcW w:w="2693" w:type="dxa"/>
            <w:tcBorders>
              <w:top w:val="nil"/>
              <w:left w:val="nil"/>
              <w:bottom w:val="single" w:sz="4" w:space="0" w:color="auto"/>
              <w:right w:val="single" w:sz="4" w:space="0" w:color="auto"/>
            </w:tcBorders>
            <w:noWrap/>
            <w:vAlign w:val="center"/>
            <w:hideMark/>
          </w:tcPr>
          <w:p w14:paraId="35985577" w14:textId="77777777" w:rsidR="00030762" w:rsidRPr="00030762" w:rsidRDefault="00030762" w:rsidP="00030762">
            <w:pPr>
              <w:rPr>
                <w:color w:val="000000"/>
                <w:sz w:val="20"/>
                <w:szCs w:val="20"/>
              </w:rPr>
            </w:pPr>
            <w:proofErr w:type="spellStart"/>
            <w:r w:rsidRPr="00030762">
              <w:rPr>
                <w:color w:val="000000"/>
                <w:sz w:val="20"/>
                <w:szCs w:val="20"/>
              </w:rPr>
              <w:t>Programme</w:t>
            </w:r>
            <w:proofErr w:type="spellEnd"/>
            <w:r w:rsidRPr="00030762">
              <w:rPr>
                <w:color w:val="000000"/>
                <w:sz w:val="20"/>
                <w:szCs w:val="20"/>
              </w:rPr>
              <w:t xml:space="preserve"> Management Assistant for the European Goose Management Platform  </w:t>
            </w:r>
          </w:p>
        </w:tc>
        <w:tc>
          <w:tcPr>
            <w:tcW w:w="709" w:type="dxa"/>
            <w:tcBorders>
              <w:top w:val="nil"/>
              <w:left w:val="nil"/>
              <w:bottom w:val="single" w:sz="4" w:space="0" w:color="auto"/>
              <w:right w:val="single" w:sz="4" w:space="0" w:color="auto"/>
            </w:tcBorders>
            <w:noWrap/>
            <w:vAlign w:val="center"/>
            <w:hideMark/>
          </w:tcPr>
          <w:p w14:paraId="301389C7" w14:textId="77777777" w:rsidR="00030762" w:rsidRPr="00030762" w:rsidRDefault="00030762" w:rsidP="00030762">
            <w:pPr>
              <w:jc w:val="center"/>
              <w:rPr>
                <w:color w:val="000000"/>
                <w:sz w:val="20"/>
                <w:szCs w:val="20"/>
              </w:rPr>
            </w:pPr>
            <w:r w:rsidRPr="00030762">
              <w:rPr>
                <w:color w:val="000000"/>
                <w:sz w:val="20"/>
                <w:szCs w:val="20"/>
              </w:rPr>
              <w:t>GS-5</w:t>
            </w:r>
          </w:p>
        </w:tc>
        <w:tc>
          <w:tcPr>
            <w:tcW w:w="1417" w:type="dxa"/>
            <w:tcBorders>
              <w:top w:val="nil"/>
              <w:left w:val="nil"/>
              <w:bottom w:val="single" w:sz="4" w:space="0" w:color="auto"/>
              <w:right w:val="single" w:sz="4" w:space="0" w:color="auto"/>
            </w:tcBorders>
            <w:noWrap/>
            <w:vAlign w:val="center"/>
            <w:hideMark/>
          </w:tcPr>
          <w:p w14:paraId="78995F12" w14:textId="77777777" w:rsidR="00030762" w:rsidRPr="00030762" w:rsidRDefault="00030762" w:rsidP="00030762">
            <w:pPr>
              <w:jc w:val="center"/>
              <w:rPr>
                <w:color w:val="000000"/>
                <w:sz w:val="20"/>
                <w:szCs w:val="20"/>
              </w:rPr>
            </w:pPr>
            <w:r w:rsidRPr="00030762">
              <w:rPr>
                <w:color w:val="000000"/>
                <w:sz w:val="20"/>
                <w:szCs w:val="20"/>
              </w:rPr>
              <w:t>-</w:t>
            </w:r>
          </w:p>
        </w:tc>
        <w:tc>
          <w:tcPr>
            <w:tcW w:w="1560" w:type="dxa"/>
            <w:tcBorders>
              <w:top w:val="nil"/>
              <w:left w:val="nil"/>
              <w:bottom w:val="single" w:sz="4" w:space="0" w:color="auto"/>
              <w:right w:val="single" w:sz="4" w:space="0" w:color="auto"/>
            </w:tcBorders>
            <w:noWrap/>
            <w:vAlign w:val="center"/>
            <w:hideMark/>
          </w:tcPr>
          <w:p w14:paraId="2EE13631" w14:textId="77777777" w:rsidR="00030762" w:rsidRPr="00030762" w:rsidRDefault="00030762" w:rsidP="00030762">
            <w:pPr>
              <w:jc w:val="center"/>
              <w:rPr>
                <w:color w:val="000000"/>
                <w:sz w:val="20"/>
                <w:szCs w:val="20"/>
              </w:rPr>
            </w:pPr>
            <w:r w:rsidRPr="00030762">
              <w:rPr>
                <w:color w:val="000000"/>
                <w:sz w:val="20"/>
                <w:szCs w:val="20"/>
              </w:rPr>
              <w:t>100%</w:t>
            </w:r>
          </w:p>
        </w:tc>
        <w:tc>
          <w:tcPr>
            <w:tcW w:w="1559" w:type="dxa"/>
            <w:tcBorders>
              <w:top w:val="nil"/>
              <w:left w:val="nil"/>
              <w:bottom w:val="single" w:sz="4" w:space="0" w:color="auto"/>
              <w:right w:val="single" w:sz="4" w:space="0" w:color="auto"/>
            </w:tcBorders>
            <w:vAlign w:val="center"/>
          </w:tcPr>
          <w:p w14:paraId="10E8CAFF" w14:textId="77777777" w:rsidR="00030762" w:rsidRPr="00030762" w:rsidRDefault="00030762" w:rsidP="00030762">
            <w:pPr>
              <w:jc w:val="center"/>
              <w:rPr>
                <w:color w:val="000000"/>
                <w:sz w:val="20"/>
                <w:szCs w:val="20"/>
              </w:rPr>
            </w:pPr>
            <w:r w:rsidRPr="00030762">
              <w:rPr>
                <w:color w:val="000000"/>
                <w:sz w:val="20"/>
                <w:szCs w:val="20"/>
              </w:rPr>
              <w:t>100%</w:t>
            </w:r>
          </w:p>
        </w:tc>
      </w:tr>
      <w:tr w:rsidR="00030762" w:rsidRPr="00030762" w14:paraId="502C7297"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683A036B" w14:textId="77777777" w:rsidR="00030762" w:rsidRPr="00030762" w:rsidRDefault="00030762" w:rsidP="00030762">
            <w:pPr>
              <w:jc w:val="center"/>
              <w:rPr>
                <w:color w:val="000000"/>
                <w:sz w:val="20"/>
                <w:szCs w:val="20"/>
              </w:rPr>
            </w:pPr>
            <w:r w:rsidRPr="00030762">
              <w:rPr>
                <w:color w:val="000000"/>
                <w:sz w:val="20"/>
                <w:szCs w:val="20"/>
              </w:rPr>
              <w:t>9</w:t>
            </w:r>
          </w:p>
        </w:tc>
        <w:tc>
          <w:tcPr>
            <w:tcW w:w="2835" w:type="dxa"/>
            <w:tcBorders>
              <w:top w:val="single" w:sz="4" w:space="0" w:color="auto"/>
              <w:left w:val="nil"/>
              <w:bottom w:val="single" w:sz="4" w:space="0" w:color="auto"/>
              <w:right w:val="single" w:sz="4" w:space="0" w:color="auto"/>
            </w:tcBorders>
            <w:vAlign w:val="center"/>
          </w:tcPr>
          <w:p w14:paraId="14A1FD3C" w14:textId="77777777" w:rsidR="00030762" w:rsidRPr="00030762" w:rsidRDefault="00030762" w:rsidP="00030762">
            <w:pPr>
              <w:rPr>
                <w:color w:val="000000"/>
                <w:sz w:val="20"/>
                <w:szCs w:val="20"/>
              </w:rPr>
            </w:pPr>
            <w:r w:rsidRPr="00030762">
              <w:rPr>
                <w:color w:val="000000"/>
                <w:sz w:val="20"/>
                <w:szCs w:val="20"/>
              </w:rPr>
              <w:t>AIU/Coordinator, P2 (</w:t>
            </w:r>
            <w:r w:rsidRPr="00030762">
              <w:rPr>
                <w:color w:val="0070C0"/>
                <w:sz w:val="20"/>
                <w:szCs w:val="20"/>
              </w:rPr>
              <w:t>EPM</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257CA6B6" w14:textId="77777777" w:rsidR="00030762" w:rsidRPr="00030762" w:rsidRDefault="00030762" w:rsidP="00030762">
            <w:pPr>
              <w:rPr>
                <w:color w:val="000000"/>
                <w:sz w:val="20"/>
                <w:szCs w:val="20"/>
              </w:rPr>
            </w:pPr>
            <w:r w:rsidRPr="00030762">
              <w:rPr>
                <w:color w:val="000000"/>
                <w:sz w:val="20"/>
                <w:szCs w:val="20"/>
              </w:rPr>
              <w:t>African Initiative Unit</w:t>
            </w:r>
          </w:p>
        </w:tc>
        <w:tc>
          <w:tcPr>
            <w:tcW w:w="2693" w:type="dxa"/>
            <w:tcBorders>
              <w:top w:val="nil"/>
              <w:left w:val="nil"/>
              <w:bottom w:val="single" w:sz="4" w:space="0" w:color="auto"/>
              <w:right w:val="single" w:sz="4" w:space="0" w:color="auto"/>
            </w:tcBorders>
            <w:noWrap/>
            <w:vAlign w:val="center"/>
            <w:hideMark/>
          </w:tcPr>
          <w:p w14:paraId="3A146BA2" w14:textId="77777777" w:rsidR="00030762" w:rsidRPr="00030762" w:rsidRDefault="00030762" w:rsidP="00030762">
            <w:pPr>
              <w:rPr>
                <w:color w:val="000000"/>
                <w:sz w:val="20"/>
                <w:szCs w:val="20"/>
              </w:rPr>
            </w:pPr>
            <w:r w:rsidRPr="00030762">
              <w:rPr>
                <w:color w:val="000000"/>
                <w:sz w:val="20"/>
                <w:szCs w:val="20"/>
              </w:rPr>
              <w:t xml:space="preserve">African Initiative Coordinator </w:t>
            </w:r>
          </w:p>
        </w:tc>
        <w:tc>
          <w:tcPr>
            <w:tcW w:w="709" w:type="dxa"/>
            <w:tcBorders>
              <w:top w:val="nil"/>
              <w:left w:val="nil"/>
              <w:bottom w:val="single" w:sz="4" w:space="0" w:color="auto"/>
              <w:right w:val="single" w:sz="4" w:space="0" w:color="auto"/>
            </w:tcBorders>
            <w:noWrap/>
            <w:vAlign w:val="center"/>
            <w:hideMark/>
          </w:tcPr>
          <w:p w14:paraId="3C7205AF" w14:textId="77777777" w:rsidR="00030762" w:rsidRPr="00030762" w:rsidRDefault="00030762" w:rsidP="00030762">
            <w:pPr>
              <w:jc w:val="center"/>
              <w:rPr>
                <w:color w:val="000000"/>
                <w:sz w:val="20"/>
                <w:szCs w:val="20"/>
              </w:rPr>
            </w:pPr>
            <w:r w:rsidRPr="00030762">
              <w:rPr>
                <w:color w:val="000000"/>
                <w:sz w:val="20"/>
                <w:szCs w:val="20"/>
              </w:rPr>
              <w:t>P-2</w:t>
            </w:r>
          </w:p>
        </w:tc>
        <w:tc>
          <w:tcPr>
            <w:tcW w:w="1417" w:type="dxa"/>
            <w:tcBorders>
              <w:top w:val="nil"/>
              <w:left w:val="nil"/>
              <w:bottom w:val="single" w:sz="4" w:space="0" w:color="auto"/>
              <w:right w:val="single" w:sz="4" w:space="0" w:color="auto"/>
            </w:tcBorders>
            <w:noWrap/>
            <w:vAlign w:val="center"/>
            <w:hideMark/>
          </w:tcPr>
          <w:p w14:paraId="7D50F0A0" w14:textId="77777777" w:rsidR="00030762" w:rsidRPr="00030762" w:rsidRDefault="00030762" w:rsidP="00030762">
            <w:pPr>
              <w:jc w:val="center"/>
              <w:rPr>
                <w:color w:val="000000"/>
                <w:sz w:val="20"/>
                <w:szCs w:val="20"/>
              </w:rPr>
            </w:pPr>
            <w:r w:rsidRPr="00030762">
              <w:rPr>
                <w:color w:val="000000"/>
                <w:sz w:val="20"/>
                <w:szCs w:val="20"/>
              </w:rPr>
              <w:t>85%</w:t>
            </w:r>
          </w:p>
        </w:tc>
        <w:tc>
          <w:tcPr>
            <w:tcW w:w="1560" w:type="dxa"/>
            <w:tcBorders>
              <w:top w:val="nil"/>
              <w:left w:val="nil"/>
              <w:bottom w:val="single" w:sz="4" w:space="0" w:color="auto"/>
              <w:right w:val="single" w:sz="4" w:space="0" w:color="auto"/>
            </w:tcBorders>
            <w:noWrap/>
            <w:vAlign w:val="center"/>
            <w:hideMark/>
          </w:tcPr>
          <w:p w14:paraId="252C131A" w14:textId="77777777" w:rsidR="00030762" w:rsidRPr="00030762" w:rsidRDefault="00030762" w:rsidP="00030762">
            <w:pPr>
              <w:jc w:val="center"/>
              <w:rPr>
                <w:color w:val="000000"/>
                <w:sz w:val="20"/>
                <w:szCs w:val="20"/>
              </w:rPr>
            </w:pPr>
            <w:r w:rsidRPr="00030762">
              <w:rPr>
                <w:color w:val="000000"/>
                <w:sz w:val="20"/>
                <w:szCs w:val="20"/>
              </w:rPr>
              <w:t>15%</w:t>
            </w:r>
          </w:p>
        </w:tc>
        <w:tc>
          <w:tcPr>
            <w:tcW w:w="1559" w:type="dxa"/>
            <w:tcBorders>
              <w:top w:val="nil"/>
              <w:left w:val="nil"/>
              <w:bottom w:val="single" w:sz="4" w:space="0" w:color="auto"/>
              <w:right w:val="single" w:sz="4" w:space="0" w:color="auto"/>
            </w:tcBorders>
            <w:vAlign w:val="center"/>
          </w:tcPr>
          <w:p w14:paraId="26E5925B" w14:textId="77777777" w:rsidR="00030762" w:rsidRPr="00030762" w:rsidRDefault="00030762" w:rsidP="00030762">
            <w:pPr>
              <w:jc w:val="center"/>
              <w:rPr>
                <w:color w:val="000000"/>
                <w:sz w:val="20"/>
                <w:szCs w:val="20"/>
              </w:rPr>
            </w:pPr>
            <w:r w:rsidRPr="00030762">
              <w:rPr>
                <w:color w:val="000000"/>
                <w:sz w:val="20"/>
                <w:szCs w:val="20"/>
              </w:rPr>
              <w:t>100%</w:t>
            </w:r>
          </w:p>
        </w:tc>
      </w:tr>
      <w:tr w:rsidR="00030762" w:rsidRPr="00030762" w14:paraId="7CA94E24"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5434FA46" w14:textId="77777777" w:rsidR="00030762" w:rsidRPr="00030762" w:rsidRDefault="00030762" w:rsidP="00030762">
            <w:pPr>
              <w:jc w:val="center"/>
              <w:rPr>
                <w:color w:val="000000"/>
                <w:sz w:val="20"/>
                <w:szCs w:val="20"/>
              </w:rPr>
            </w:pPr>
            <w:r w:rsidRPr="00030762">
              <w:rPr>
                <w:color w:val="000000"/>
                <w:sz w:val="20"/>
                <w:szCs w:val="20"/>
              </w:rPr>
              <w:t>10</w:t>
            </w:r>
          </w:p>
        </w:tc>
        <w:tc>
          <w:tcPr>
            <w:tcW w:w="2835" w:type="dxa"/>
            <w:tcBorders>
              <w:top w:val="single" w:sz="4" w:space="0" w:color="auto"/>
              <w:left w:val="nil"/>
              <w:bottom w:val="single" w:sz="4" w:space="0" w:color="auto"/>
              <w:right w:val="single" w:sz="4" w:space="0" w:color="auto"/>
            </w:tcBorders>
            <w:vAlign w:val="center"/>
          </w:tcPr>
          <w:p w14:paraId="0F722D18" w14:textId="77777777" w:rsidR="00030762" w:rsidRPr="00030762" w:rsidRDefault="00030762" w:rsidP="00030762">
            <w:pPr>
              <w:rPr>
                <w:color w:val="000000"/>
                <w:sz w:val="20"/>
                <w:szCs w:val="20"/>
              </w:rPr>
            </w:pPr>
            <w:r w:rsidRPr="00030762">
              <w:rPr>
                <w:color w:val="000000"/>
                <w:sz w:val="20"/>
                <w:szCs w:val="20"/>
              </w:rPr>
              <w:t>AIU/</w:t>
            </w:r>
            <w:proofErr w:type="spellStart"/>
            <w:r w:rsidRPr="00030762">
              <w:rPr>
                <w:color w:val="000000"/>
                <w:sz w:val="20"/>
                <w:szCs w:val="20"/>
              </w:rPr>
              <w:t>Progr</w:t>
            </w:r>
            <w:proofErr w:type="spellEnd"/>
            <w:r w:rsidRPr="00030762">
              <w:rPr>
                <w:color w:val="000000"/>
                <w:sz w:val="20"/>
                <w:szCs w:val="20"/>
              </w:rPr>
              <w:t xml:space="preserve"> Assistant, G5 (</w:t>
            </w:r>
            <w:r w:rsidRPr="00030762">
              <w:rPr>
                <w:color w:val="0070C0"/>
                <w:sz w:val="20"/>
                <w:szCs w:val="20"/>
              </w:rPr>
              <w:t>BD</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2A38A725" w14:textId="77777777" w:rsidR="00030762" w:rsidRPr="00030762" w:rsidRDefault="00030762" w:rsidP="00030762">
            <w:pPr>
              <w:rPr>
                <w:color w:val="000000"/>
                <w:sz w:val="20"/>
                <w:szCs w:val="20"/>
              </w:rPr>
            </w:pPr>
            <w:r w:rsidRPr="00030762">
              <w:rPr>
                <w:color w:val="000000"/>
                <w:sz w:val="20"/>
                <w:szCs w:val="20"/>
              </w:rPr>
              <w:t>African Initiative Unit</w:t>
            </w:r>
          </w:p>
        </w:tc>
        <w:tc>
          <w:tcPr>
            <w:tcW w:w="2693" w:type="dxa"/>
            <w:tcBorders>
              <w:top w:val="nil"/>
              <w:left w:val="nil"/>
              <w:bottom w:val="single" w:sz="4" w:space="0" w:color="auto"/>
              <w:right w:val="single" w:sz="4" w:space="0" w:color="auto"/>
            </w:tcBorders>
            <w:noWrap/>
            <w:vAlign w:val="center"/>
            <w:hideMark/>
          </w:tcPr>
          <w:p w14:paraId="5A70FD79" w14:textId="77777777" w:rsidR="00030762" w:rsidRPr="00030762" w:rsidRDefault="00030762" w:rsidP="00030762">
            <w:pPr>
              <w:rPr>
                <w:color w:val="000000"/>
                <w:sz w:val="20"/>
                <w:szCs w:val="20"/>
              </w:rPr>
            </w:pPr>
            <w:proofErr w:type="spellStart"/>
            <w:r w:rsidRPr="00030762">
              <w:rPr>
                <w:color w:val="000000"/>
                <w:sz w:val="20"/>
                <w:szCs w:val="20"/>
              </w:rPr>
              <w:t>Programme</w:t>
            </w:r>
            <w:proofErr w:type="spellEnd"/>
            <w:r w:rsidRPr="00030762">
              <w:rPr>
                <w:color w:val="000000"/>
                <w:sz w:val="20"/>
                <w:szCs w:val="20"/>
              </w:rPr>
              <w:t xml:space="preserve"> Management Assistant </w:t>
            </w:r>
          </w:p>
        </w:tc>
        <w:tc>
          <w:tcPr>
            <w:tcW w:w="709" w:type="dxa"/>
            <w:tcBorders>
              <w:top w:val="nil"/>
              <w:left w:val="nil"/>
              <w:bottom w:val="single" w:sz="4" w:space="0" w:color="auto"/>
              <w:right w:val="single" w:sz="4" w:space="0" w:color="auto"/>
            </w:tcBorders>
            <w:noWrap/>
            <w:vAlign w:val="center"/>
            <w:hideMark/>
          </w:tcPr>
          <w:p w14:paraId="3BB8EC4A" w14:textId="77777777" w:rsidR="00030762" w:rsidRPr="00030762" w:rsidRDefault="00030762" w:rsidP="00030762">
            <w:pPr>
              <w:jc w:val="center"/>
              <w:rPr>
                <w:color w:val="000000"/>
                <w:sz w:val="20"/>
                <w:szCs w:val="20"/>
              </w:rPr>
            </w:pPr>
            <w:r w:rsidRPr="00030762">
              <w:rPr>
                <w:color w:val="000000"/>
                <w:sz w:val="20"/>
                <w:szCs w:val="20"/>
              </w:rPr>
              <w:t>GS-5</w:t>
            </w:r>
          </w:p>
        </w:tc>
        <w:tc>
          <w:tcPr>
            <w:tcW w:w="1417" w:type="dxa"/>
            <w:tcBorders>
              <w:top w:val="nil"/>
              <w:left w:val="nil"/>
              <w:bottom w:val="single" w:sz="4" w:space="0" w:color="auto"/>
              <w:right w:val="single" w:sz="4" w:space="0" w:color="auto"/>
            </w:tcBorders>
            <w:noWrap/>
            <w:vAlign w:val="center"/>
            <w:hideMark/>
          </w:tcPr>
          <w:p w14:paraId="404DAAD9" w14:textId="77777777" w:rsidR="00030762" w:rsidRPr="00030762" w:rsidRDefault="00030762" w:rsidP="00030762">
            <w:pPr>
              <w:jc w:val="center"/>
              <w:rPr>
                <w:color w:val="000000"/>
                <w:sz w:val="20"/>
                <w:szCs w:val="20"/>
              </w:rPr>
            </w:pPr>
            <w:r w:rsidRPr="00030762">
              <w:rPr>
                <w:color w:val="000000"/>
                <w:sz w:val="20"/>
                <w:szCs w:val="20"/>
              </w:rPr>
              <w:t>50%</w:t>
            </w:r>
          </w:p>
        </w:tc>
        <w:tc>
          <w:tcPr>
            <w:tcW w:w="1560" w:type="dxa"/>
            <w:tcBorders>
              <w:top w:val="nil"/>
              <w:left w:val="nil"/>
              <w:bottom w:val="single" w:sz="4" w:space="0" w:color="auto"/>
              <w:right w:val="single" w:sz="4" w:space="0" w:color="auto"/>
            </w:tcBorders>
            <w:noWrap/>
            <w:vAlign w:val="center"/>
            <w:hideMark/>
          </w:tcPr>
          <w:p w14:paraId="7EA02A1C" w14:textId="77777777" w:rsidR="00030762" w:rsidRPr="00030762" w:rsidRDefault="00030762" w:rsidP="00030762">
            <w:pPr>
              <w:jc w:val="center"/>
              <w:rPr>
                <w:color w:val="000000"/>
                <w:sz w:val="20"/>
                <w:szCs w:val="20"/>
              </w:rPr>
            </w:pPr>
            <w:r w:rsidRPr="00030762">
              <w:rPr>
                <w:color w:val="000000"/>
                <w:sz w:val="20"/>
                <w:szCs w:val="20"/>
              </w:rPr>
              <w:t>30%</w:t>
            </w:r>
          </w:p>
        </w:tc>
        <w:tc>
          <w:tcPr>
            <w:tcW w:w="1559" w:type="dxa"/>
            <w:tcBorders>
              <w:top w:val="nil"/>
              <w:left w:val="nil"/>
              <w:bottom w:val="single" w:sz="4" w:space="0" w:color="auto"/>
              <w:right w:val="single" w:sz="4" w:space="0" w:color="auto"/>
            </w:tcBorders>
            <w:vAlign w:val="center"/>
          </w:tcPr>
          <w:p w14:paraId="617C67DC" w14:textId="77777777" w:rsidR="00030762" w:rsidRPr="00030762" w:rsidRDefault="00030762" w:rsidP="00030762">
            <w:pPr>
              <w:jc w:val="center"/>
              <w:rPr>
                <w:color w:val="000000"/>
                <w:sz w:val="20"/>
                <w:szCs w:val="20"/>
              </w:rPr>
            </w:pPr>
            <w:r w:rsidRPr="00030762">
              <w:rPr>
                <w:color w:val="000000"/>
                <w:sz w:val="20"/>
                <w:szCs w:val="20"/>
              </w:rPr>
              <w:t>80%</w:t>
            </w:r>
          </w:p>
        </w:tc>
      </w:tr>
      <w:tr w:rsidR="00030762" w:rsidRPr="00030762" w14:paraId="397E3C3F"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0627B883" w14:textId="77777777" w:rsidR="00030762" w:rsidRPr="00030762" w:rsidRDefault="00030762" w:rsidP="00030762">
            <w:pPr>
              <w:jc w:val="center"/>
              <w:rPr>
                <w:color w:val="000000"/>
                <w:sz w:val="20"/>
                <w:szCs w:val="20"/>
              </w:rPr>
            </w:pPr>
            <w:r w:rsidRPr="00030762">
              <w:rPr>
                <w:color w:val="000000"/>
                <w:sz w:val="20"/>
                <w:szCs w:val="20"/>
              </w:rPr>
              <w:t>11</w:t>
            </w:r>
          </w:p>
        </w:tc>
        <w:tc>
          <w:tcPr>
            <w:tcW w:w="2835" w:type="dxa"/>
            <w:tcBorders>
              <w:top w:val="single" w:sz="4" w:space="0" w:color="auto"/>
              <w:left w:val="nil"/>
              <w:bottom w:val="single" w:sz="4" w:space="0" w:color="auto"/>
              <w:right w:val="single" w:sz="4" w:space="0" w:color="auto"/>
            </w:tcBorders>
            <w:vAlign w:val="center"/>
          </w:tcPr>
          <w:p w14:paraId="3CDE2FC3" w14:textId="77777777" w:rsidR="00030762" w:rsidRPr="00030762" w:rsidRDefault="00030762" w:rsidP="00030762">
            <w:pPr>
              <w:rPr>
                <w:color w:val="000000"/>
                <w:sz w:val="20"/>
                <w:szCs w:val="20"/>
              </w:rPr>
            </w:pPr>
            <w:r w:rsidRPr="00030762">
              <w:rPr>
                <w:color w:val="000000"/>
                <w:sz w:val="20"/>
                <w:szCs w:val="20"/>
              </w:rPr>
              <w:t>IMCA/Info Officer, P2 (</w:t>
            </w:r>
            <w:r w:rsidRPr="00030762">
              <w:rPr>
                <w:color w:val="0070C0"/>
                <w:sz w:val="20"/>
                <w:szCs w:val="20"/>
              </w:rPr>
              <w:t>FK</w:t>
            </w:r>
            <w:r w:rsidRPr="00030762">
              <w:rPr>
                <w:color w:val="000000"/>
                <w:sz w:val="20"/>
                <w:szCs w:val="20"/>
              </w:rPr>
              <w:t>)</w:t>
            </w:r>
          </w:p>
        </w:tc>
        <w:tc>
          <w:tcPr>
            <w:tcW w:w="2552" w:type="dxa"/>
            <w:tcBorders>
              <w:top w:val="nil"/>
              <w:left w:val="single" w:sz="4" w:space="0" w:color="auto"/>
              <w:bottom w:val="single" w:sz="4" w:space="0" w:color="auto"/>
              <w:right w:val="single" w:sz="4" w:space="0" w:color="auto"/>
            </w:tcBorders>
            <w:noWrap/>
            <w:vAlign w:val="center"/>
            <w:hideMark/>
          </w:tcPr>
          <w:p w14:paraId="32DB3231" w14:textId="77777777" w:rsidR="00030762" w:rsidRPr="00030762" w:rsidRDefault="00030762" w:rsidP="00030762">
            <w:pPr>
              <w:rPr>
                <w:color w:val="000000"/>
                <w:sz w:val="20"/>
                <w:szCs w:val="20"/>
              </w:rPr>
            </w:pPr>
            <w:r w:rsidRPr="00030762">
              <w:rPr>
                <w:color w:val="000000"/>
                <w:sz w:val="20"/>
                <w:szCs w:val="20"/>
              </w:rPr>
              <w:t>Communication Unit</w:t>
            </w:r>
          </w:p>
        </w:tc>
        <w:tc>
          <w:tcPr>
            <w:tcW w:w="2693" w:type="dxa"/>
            <w:tcBorders>
              <w:top w:val="nil"/>
              <w:left w:val="nil"/>
              <w:bottom w:val="single" w:sz="4" w:space="0" w:color="auto"/>
              <w:right w:val="single" w:sz="4" w:space="0" w:color="auto"/>
            </w:tcBorders>
            <w:noWrap/>
            <w:vAlign w:val="center"/>
            <w:hideMark/>
          </w:tcPr>
          <w:p w14:paraId="1E21604A" w14:textId="77777777" w:rsidR="00030762" w:rsidRPr="00030762" w:rsidRDefault="00030762" w:rsidP="00030762">
            <w:pPr>
              <w:rPr>
                <w:color w:val="000000"/>
                <w:sz w:val="20"/>
                <w:szCs w:val="20"/>
              </w:rPr>
            </w:pPr>
            <w:r w:rsidRPr="00030762">
              <w:rPr>
                <w:color w:val="000000"/>
                <w:sz w:val="20"/>
                <w:szCs w:val="20"/>
              </w:rPr>
              <w:t>Information Officer</w:t>
            </w:r>
          </w:p>
        </w:tc>
        <w:tc>
          <w:tcPr>
            <w:tcW w:w="709" w:type="dxa"/>
            <w:tcBorders>
              <w:top w:val="nil"/>
              <w:left w:val="nil"/>
              <w:bottom w:val="single" w:sz="4" w:space="0" w:color="auto"/>
              <w:right w:val="single" w:sz="4" w:space="0" w:color="auto"/>
            </w:tcBorders>
            <w:noWrap/>
            <w:vAlign w:val="center"/>
            <w:hideMark/>
          </w:tcPr>
          <w:p w14:paraId="0177AC3C" w14:textId="77777777" w:rsidR="00030762" w:rsidRPr="00030762" w:rsidRDefault="00030762" w:rsidP="00030762">
            <w:pPr>
              <w:jc w:val="center"/>
              <w:rPr>
                <w:color w:val="000000"/>
                <w:sz w:val="20"/>
                <w:szCs w:val="20"/>
              </w:rPr>
            </w:pPr>
            <w:r w:rsidRPr="00030762">
              <w:rPr>
                <w:color w:val="000000"/>
                <w:sz w:val="20"/>
                <w:szCs w:val="20"/>
              </w:rPr>
              <w:t>P-2</w:t>
            </w:r>
          </w:p>
        </w:tc>
        <w:tc>
          <w:tcPr>
            <w:tcW w:w="1417" w:type="dxa"/>
            <w:tcBorders>
              <w:top w:val="nil"/>
              <w:left w:val="nil"/>
              <w:bottom w:val="single" w:sz="4" w:space="0" w:color="auto"/>
              <w:right w:val="single" w:sz="4" w:space="0" w:color="auto"/>
            </w:tcBorders>
            <w:noWrap/>
            <w:vAlign w:val="center"/>
            <w:hideMark/>
          </w:tcPr>
          <w:p w14:paraId="671739DC" w14:textId="77777777" w:rsidR="00030762" w:rsidRPr="00030762" w:rsidRDefault="00030762" w:rsidP="00030762">
            <w:pPr>
              <w:jc w:val="center"/>
              <w:rPr>
                <w:color w:val="000000"/>
                <w:sz w:val="20"/>
                <w:szCs w:val="20"/>
              </w:rPr>
            </w:pPr>
            <w:r w:rsidRPr="00030762">
              <w:rPr>
                <w:color w:val="000000"/>
                <w:sz w:val="20"/>
                <w:szCs w:val="20"/>
              </w:rPr>
              <w:t>100%</w:t>
            </w:r>
          </w:p>
        </w:tc>
        <w:tc>
          <w:tcPr>
            <w:tcW w:w="1560" w:type="dxa"/>
            <w:tcBorders>
              <w:top w:val="nil"/>
              <w:left w:val="nil"/>
              <w:bottom w:val="single" w:sz="4" w:space="0" w:color="auto"/>
              <w:right w:val="single" w:sz="4" w:space="0" w:color="auto"/>
            </w:tcBorders>
            <w:noWrap/>
            <w:vAlign w:val="center"/>
            <w:hideMark/>
          </w:tcPr>
          <w:p w14:paraId="01139261" w14:textId="77777777" w:rsidR="00030762" w:rsidRPr="00030762" w:rsidRDefault="00030762" w:rsidP="00030762">
            <w:pPr>
              <w:jc w:val="center"/>
              <w:rPr>
                <w:color w:val="000000"/>
                <w:sz w:val="20"/>
                <w:szCs w:val="20"/>
              </w:rPr>
            </w:pPr>
            <w:r w:rsidRPr="00030762">
              <w:rPr>
                <w:color w:val="000000"/>
                <w:sz w:val="20"/>
                <w:szCs w:val="20"/>
              </w:rPr>
              <w:t>-</w:t>
            </w:r>
          </w:p>
        </w:tc>
        <w:tc>
          <w:tcPr>
            <w:tcW w:w="1559" w:type="dxa"/>
            <w:tcBorders>
              <w:top w:val="nil"/>
              <w:left w:val="nil"/>
              <w:bottom w:val="single" w:sz="4" w:space="0" w:color="auto"/>
              <w:right w:val="single" w:sz="4" w:space="0" w:color="auto"/>
            </w:tcBorders>
            <w:vAlign w:val="center"/>
          </w:tcPr>
          <w:p w14:paraId="66E34FEE" w14:textId="77777777" w:rsidR="00030762" w:rsidRPr="00030762" w:rsidRDefault="00030762" w:rsidP="00030762">
            <w:pPr>
              <w:jc w:val="center"/>
              <w:rPr>
                <w:color w:val="000000"/>
                <w:sz w:val="20"/>
                <w:szCs w:val="20"/>
              </w:rPr>
            </w:pPr>
            <w:r w:rsidRPr="00030762">
              <w:rPr>
                <w:color w:val="000000"/>
                <w:sz w:val="20"/>
                <w:szCs w:val="20"/>
              </w:rPr>
              <w:t>90%</w:t>
            </w:r>
            <w:r w:rsidRPr="00030762">
              <w:rPr>
                <w:color w:val="000000"/>
                <w:sz w:val="20"/>
                <w:szCs w:val="20"/>
                <w:vertAlign w:val="superscript"/>
              </w:rPr>
              <w:footnoteReference w:id="4"/>
            </w:r>
          </w:p>
        </w:tc>
      </w:tr>
      <w:tr w:rsidR="00030762" w:rsidRPr="00030762" w14:paraId="735E09C8" w14:textId="77777777" w:rsidTr="009F16BB">
        <w:trPr>
          <w:trHeight w:val="35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DA1993" w14:textId="77777777" w:rsidR="00030762" w:rsidRPr="00030762" w:rsidRDefault="00030762" w:rsidP="00030762">
            <w:pPr>
              <w:jc w:val="center"/>
              <w:rPr>
                <w:color w:val="000000"/>
                <w:sz w:val="20"/>
                <w:szCs w:val="20"/>
              </w:rPr>
            </w:pPr>
            <w:r w:rsidRPr="00030762">
              <w:rPr>
                <w:color w:val="000000"/>
                <w:sz w:val="20"/>
                <w:szCs w:val="20"/>
              </w:rPr>
              <w:t>12</w:t>
            </w:r>
          </w:p>
        </w:tc>
        <w:tc>
          <w:tcPr>
            <w:tcW w:w="2835" w:type="dxa"/>
            <w:tcBorders>
              <w:top w:val="single" w:sz="4" w:space="0" w:color="auto"/>
              <w:left w:val="nil"/>
              <w:bottom w:val="single" w:sz="4" w:space="0" w:color="auto"/>
              <w:right w:val="single" w:sz="4" w:space="0" w:color="auto"/>
            </w:tcBorders>
            <w:vAlign w:val="center"/>
          </w:tcPr>
          <w:p w14:paraId="5C13EA54" w14:textId="77777777" w:rsidR="00030762" w:rsidRPr="00030762" w:rsidRDefault="00030762" w:rsidP="00030762">
            <w:pPr>
              <w:rPr>
                <w:color w:val="000000"/>
                <w:sz w:val="20"/>
                <w:szCs w:val="20"/>
              </w:rPr>
            </w:pPr>
            <w:r w:rsidRPr="00030762">
              <w:rPr>
                <w:color w:val="000000"/>
                <w:sz w:val="20"/>
                <w:szCs w:val="20"/>
              </w:rPr>
              <w:t>IMCA/Info Assistant, G5 (</w:t>
            </w:r>
            <w:r w:rsidRPr="00030762">
              <w:rPr>
                <w:color w:val="0070C0"/>
                <w:sz w:val="20"/>
                <w:szCs w:val="20"/>
              </w:rPr>
              <w:t>DS</w:t>
            </w:r>
            <w:r w:rsidRPr="00030762">
              <w:rPr>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3116EC3" w14:textId="77777777" w:rsidR="00030762" w:rsidRPr="00030762" w:rsidRDefault="00030762" w:rsidP="00030762">
            <w:pPr>
              <w:rPr>
                <w:color w:val="000000"/>
                <w:sz w:val="20"/>
                <w:szCs w:val="20"/>
              </w:rPr>
            </w:pPr>
            <w:r w:rsidRPr="00030762">
              <w:rPr>
                <w:color w:val="000000"/>
                <w:sz w:val="20"/>
                <w:szCs w:val="20"/>
              </w:rPr>
              <w:t>Communication Unit</w:t>
            </w:r>
          </w:p>
        </w:tc>
        <w:tc>
          <w:tcPr>
            <w:tcW w:w="2693" w:type="dxa"/>
            <w:tcBorders>
              <w:top w:val="single" w:sz="4" w:space="0" w:color="auto"/>
              <w:left w:val="nil"/>
              <w:bottom w:val="single" w:sz="4" w:space="0" w:color="auto"/>
              <w:right w:val="single" w:sz="4" w:space="0" w:color="auto"/>
            </w:tcBorders>
            <w:noWrap/>
            <w:vAlign w:val="center"/>
            <w:hideMark/>
          </w:tcPr>
          <w:p w14:paraId="4ED2E4F0" w14:textId="77777777" w:rsidR="00030762" w:rsidRPr="00030762" w:rsidRDefault="00030762" w:rsidP="00030762">
            <w:pPr>
              <w:rPr>
                <w:color w:val="000000"/>
                <w:sz w:val="20"/>
                <w:szCs w:val="20"/>
              </w:rPr>
            </w:pPr>
            <w:r w:rsidRPr="00030762">
              <w:rPr>
                <w:color w:val="000000"/>
                <w:sz w:val="20"/>
                <w:szCs w:val="20"/>
              </w:rPr>
              <w:t>Information Assistant</w:t>
            </w:r>
          </w:p>
        </w:tc>
        <w:tc>
          <w:tcPr>
            <w:tcW w:w="709" w:type="dxa"/>
            <w:tcBorders>
              <w:top w:val="single" w:sz="4" w:space="0" w:color="auto"/>
              <w:left w:val="nil"/>
              <w:bottom w:val="single" w:sz="4" w:space="0" w:color="auto"/>
              <w:right w:val="single" w:sz="4" w:space="0" w:color="auto"/>
            </w:tcBorders>
            <w:noWrap/>
            <w:vAlign w:val="center"/>
            <w:hideMark/>
          </w:tcPr>
          <w:p w14:paraId="0BA5AA94" w14:textId="77777777" w:rsidR="00030762" w:rsidRPr="00030762" w:rsidRDefault="00030762" w:rsidP="00030762">
            <w:pPr>
              <w:jc w:val="center"/>
              <w:rPr>
                <w:color w:val="000000"/>
                <w:sz w:val="20"/>
                <w:szCs w:val="20"/>
              </w:rPr>
            </w:pPr>
            <w:r w:rsidRPr="00030762">
              <w:rPr>
                <w:color w:val="000000"/>
                <w:sz w:val="20"/>
                <w:szCs w:val="20"/>
              </w:rPr>
              <w:t>GS-5</w:t>
            </w:r>
          </w:p>
        </w:tc>
        <w:tc>
          <w:tcPr>
            <w:tcW w:w="1417" w:type="dxa"/>
            <w:tcBorders>
              <w:top w:val="single" w:sz="4" w:space="0" w:color="auto"/>
              <w:left w:val="nil"/>
              <w:bottom w:val="single" w:sz="4" w:space="0" w:color="auto"/>
              <w:right w:val="single" w:sz="4" w:space="0" w:color="auto"/>
            </w:tcBorders>
            <w:noWrap/>
            <w:vAlign w:val="center"/>
            <w:hideMark/>
          </w:tcPr>
          <w:p w14:paraId="6D8D9CA5" w14:textId="77777777" w:rsidR="00030762" w:rsidRPr="00030762" w:rsidRDefault="00030762" w:rsidP="00030762">
            <w:pPr>
              <w:jc w:val="center"/>
              <w:rPr>
                <w:color w:val="000000"/>
                <w:sz w:val="20"/>
                <w:szCs w:val="20"/>
              </w:rPr>
            </w:pPr>
            <w:r w:rsidRPr="00030762">
              <w:rPr>
                <w:color w:val="000000"/>
                <w:sz w:val="20"/>
                <w:szCs w:val="20"/>
              </w:rPr>
              <w:t>50%</w:t>
            </w:r>
          </w:p>
        </w:tc>
        <w:tc>
          <w:tcPr>
            <w:tcW w:w="1560" w:type="dxa"/>
            <w:tcBorders>
              <w:top w:val="single" w:sz="4" w:space="0" w:color="auto"/>
              <w:left w:val="nil"/>
              <w:bottom w:val="single" w:sz="4" w:space="0" w:color="auto"/>
              <w:right w:val="single" w:sz="4" w:space="0" w:color="auto"/>
            </w:tcBorders>
            <w:noWrap/>
            <w:vAlign w:val="center"/>
            <w:hideMark/>
          </w:tcPr>
          <w:p w14:paraId="6CBF5E93" w14:textId="77777777" w:rsidR="00030762" w:rsidRPr="00030762" w:rsidRDefault="00030762" w:rsidP="00030762">
            <w:pPr>
              <w:jc w:val="center"/>
              <w:rPr>
                <w:color w:val="000000"/>
                <w:sz w:val="20"/>
                <w:szCs w:val="20"/>
              </w:rPr>
            </w:pPr>
            <w:r w:rsidRPr="00030762">
              <w:rPr>
                <w:color w:val="000000"/>
                <w:sz w:val="20"/>
                <w:szCs w:val="20"/>
              </w:rPr>
              <w:t>50%</w:t>
            </w:r>
          </w:p>
        </w:tc>
        <w:tc>
          <w:tcPr>
            <w:tcW w:w="1559" w:type="dxa"/>
            <w:tcBorders>
              <w:top w:val="single" w:sz="4" w:space="0" w:color="auto"/>
              <w:left w:val="nil"/>
              <w:bottom w:val="single" w:sz="4" w:space="0" w:color="auto"/>
              <w:right w:val="single" w:sz="4" w:space="0" w:color="auto"/>
            </w:tcBorders>
            <w:vAlign w:val="center"/>
          </w:tcPr>
          <w:p w14:paraId="049C1854" w14:textId="77777777" w:rsidR="00030762" w:rsidRPr="00030762" w:rsidRDefault="00030762" w:rsidP="00030762">
            <w:pPr>
              <w:jc w:val="center"/>
              <w:rPr>
                <w:color w:val="000000"/>
                <w:sz w:val="20"/>
                <w:szCs w:val="20"/>
              </w:rPr>
            </w:pPr>
            <w:r w:rsidRPr="00030762">
              <w:rPr>
                <w:color w:val="000000"/>
                <w:sz w:val="20"/>
                <w:szCs w:val="20"/>
              </w:rPr>
              <w:t>65%</w:t>
            </w:r>
            <w:r w:rsidRPr="00030762">
              <w:rPr>
                <w:color w:val="000000"/>
                <w:sz w:val="20"/>
                <w:szCs w:val="20"/>
                <w:vertAlign w:val="superscript"/>
              </w:rPr>
              <w:footnoteReference w:id="5"/>
            </w:r>
          </w:p>
        </w:tc>
      </w:tr>
    </w:tbl>
    <w:p w14:paraId="79AA317E" w14:textId="77777777" w:rsidR="00030762" w:rsidRPr="00030762" w:rsidRDefault="00030762" w:rsidP="00030762">
      <w:pPr>
        <w:rPr>
          <w:rFonts w:cs="Arial"/>
          <w:sz w:val="20"/>
          <w:szCs w:val="20"/>
        </w:rPr>
      </w:pPr>
    </w:p>
    <w:p w14:paraId="1139A816" w14:textId="77777777" w:rsidR="00030762" w:rsidRPr="00030762" w:rsidRDefault="00030762" w:rsidP="00030762">
      <w:pPr>
        <w:rPr>
          <w:rFonts w:cs="Arial"/>
          <w:sz w:val="20"/>
          <w:szCs w:val="20"/>
        </w:rPr>
      </w:pPr>
    </w:p>
    <w:p w14:paraId="6BF20A76" w14:textId="77777777" w:rsidR="00030762" w:rsidRPr="00030762" w:rsidRDefault="00030762" w:rsidP="00030762">
      <w:pPr>
        <w:rPr>
          <w:rFonts w:cs="Arial"/>
          <w:sz w:val="20"/>
          <w:szCs w:val="20"/>
        </w:rPr>
      </w:pPr>
    </w:p>
    <w:p w14:paraId="3F885318" w14:textId="77777777" w:rsidR="00030762" w:rsidRPr="00030762" w:rsidRDefault="00030762" w:rsidP="00F92502">
      <w:pPr>
        <w:spacing w:line="276" w:lineRule="auto"/>
        <w:jc w:val="center"/>
        <w:rPr>
          <w:b/>
          <w:bCs/>
        </w:rPr>
      </w:pPr>
      <w:r w:rsidRPr="00030762">
        <w:rPr>
          <w:b/>
          <w:bCs/>
        </w:rPr>
        <w:t>Staff of the Secretariat of the Convention on Migratory Species (CMS) assigned to the joint CMS/AEWA Information Management, Communication and Awareness Raising (IMCA) Unit</w:t>
      </w:r>
    </w:p>
    <w:p w14:paraId="6BE88DDE" w14:textId="77777777" w:rsidR="00030762" w:rsidRPr="00030762" w:rsidRDefault="00030762" w:rsidP="00030762">
      <w:pPr>
        <w:rPr>
          <w:b/>
          <w:bCs/>
        </w:rPr>
      </w:pPr>
    </w:p>
    <w:tbl>
      <w:tblPr>
        <w:tblW w:w="13887" w:type="dxa"/>
        <w:jc w:val="center"/>
        <w:tblLayout w:type="fixed"/>
        <w:tblLook w:val="04A0" w:firstRow="1" w:lastRow="0" w:firstColumn="1" w:lastColumn="0" w:noHBand="0" w:noVBand="1"/>
      </w:tblPr>
      <w:tblGrid>
        <w:gridCol w:w="562"/>
        <w:gridCol w:w="2835"/>
        <w:gridCol w:w="2552"/>
        <w:gridCol w:w="2693"/>
        <w:gridCol w:w="709"/>
        <w:gridCol w:w="1417"/>
        <w:gridCol w:w="1560"/>
        <w:gridCol w:w="1559"/>
      </w:tblGrid>
      <w:tr w:rsidR="00030762" w:rsidRPr="00030762" w14:paraId="275050E0" w14:textId="77777777" w:rsidTr="009F16BB">
        <w:trPr>
          <w:trHeight w:val="1046"/>
          <w:jc w:val="center"/>
        </w:trPr>
        <w:tc>
          <w:tcPr>
            <w:tcW w:w="562"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39768CC" w14:textId="77777777" w:rsidR="00030762" w:rsidRPr="00030762" w:rsidRDefault="00030762" w:rsidP="00030762">
            <w:pPr>
              <w:jc w:val="center"/>
              <w:rPr>
                <w:b/>
                <w:bCs/>
                <w:color w:val="000000"/>
                <w:sz w:val="20"/>
                <w:szCs w:val="20"/>
              </w:rPr>
            </w:pPr>
            <w:r w:rsidRPr="00030762">
              <w:rPr>
                <w:b/>
                <w:bCs/>
                <w:color w:val="000000"/>
                <w:sz w:val="22"/>
                <w:szCs w:val="22"/>
              </w:rPr>
              <w:t>N°</w:t>
            </w:r>
          </w:p>
        </w:tc>
        <w:tc>
          <w:tcPr>
            <w:tcW w:w="2835" w:type="dxa"/>
            <w:tcBorders>
              <w:top w:val="single" w:sz="4" w:space="0" w:color="auto"/>
              <w:left w:val="nil"/>
              <w:bottom w:val="single" w:sz="4" w:space="0" w:color="auto"/>
              <w:right w:val="single" w:sz="4" w:space="0" w:color="auto"/>
            </w:tcBorders>
            <w:shd w:val="clear" w:color="000000" w:fill="FFF2CC"/>
            <w:vAlign w:val="center"/>
          </w:tcPr>
          <w:p w14:paraId="729C2A5B" w14:textId="77777777" w:rsidR="00030762" w:rsidRPr="00030762" w:rsidRDefault="00030762" w:rsidP="00030762">
            <w:pPr>
              <w:jc w:val="center"/>
              <w:rPr>
                <w:b/>
                <w:bCs/>
                <w:color w:val="000000"/>
                <w:sz w:val="20"/>
                <w:szCs w:val="20"/>
              </w:rPr>
            </w:pPr>
            <w:r w:rsidRPr="00030762">
              <w:rPr>
                <w:b/>
                <w:bCs/>
                <w:color w:val="000000"/>
                <w:sz w:val="20"/>
                <w:szCs w:val="20"/>
              </w:rPr>
              <w:t>Abbreviation and staff member initials</w:t>
            </w:r>
          </w:p>
        </w:tc>
        <w:tc>
          <w:tcPr>
            <w:tcW w:w="2552"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C11D380" w14:textId="77777777" w:rsidR="00030762" w:rsidRPr="00030762" w:rsidRDefault="00030762" w:rsidP="00030762">
            <w:pPr>
              <w:jc w:val="center"/>
              <w:rPr>
                <w:b/>
                <w:bCs/>
                <w:color w:val="000000"/>
                <w:sz w:val="20"/>
                <w:szCs w:val="20"/>
              </w:rPr>
            </w:pPr>
            <w:r w:rsidRPr="00030762">
              <w:rPr>
                <w:b/>
                <w:bCs/>
                <w:color w:val="000000"/>
                <w:sz w:val="20"/>
                <w:szCs w:val="20"/>
              </w:rPr>
              <w:t>Unit</w:t>
            </w:r>
          </w:p>
        </w:tc>
        <w:tc>
          <w:tcPr>
            <w:tcW w:w="2693" w:type="dxa"/>
            <w:tcBorders>
              <w:top w:val="single" w:sz="4" w:space="0" w:color="auto"/>
              <w:left w:val="nil"/>
              <w:bottom w:val="single" w:sz="4" w:space="0" w:color="auto"/>
              <w:right w:val="single" w:sz="4" w:space="0" w:color="auto"/>
            </w:tcBorders>
            <w:shd w:val="clear" w:color="000000" w:fill="FFF2CC"/>
            <w:noWrap/>
            <w:vAlign w:val="center"/>
            <w:hideMark/>
          </w:tcPr>
          <w:p w14:paraId="02EBCBD1" w14:textId="77777777" w:rsidR="00030762" w:rsidRPr="00030762" w:rsidRDefault="00030762" w:rsidP="00030762">
            <w:pPr>
              <w:jc w:val="center"/>
              <w:rPr>
                <w:b/>
                <w:bCs/>
                <w:color w:val="000000"/>
                <w:sz w:val="20"/>
                <w:szCs w:val="20"/>
              </w:rPr>
            </w:pPr>
            <w:r w:rsidRPr="00030762">
              <w:rPr>
                <w:b/>
                <w:bCs/>
                <w:color w:val="000000"/>
                <w:sz w:val="20"/>
                <w:szCs w:val="20"/>
              </w:rPr>
              <w:t>Post title</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2AF6BD36" w14:textId="77777777" w:rsidR="00030762" w:rsidRPr="00030762" w:rsidRDefault="00030762" w:rsidP="00030762">
            <w:pPr>
              <w:jc w:val="center"/>
              <w:rPr>
                <w:b/>
                <w:bCs/>
                <w:color w:val="000000"/>
                <w:sz w:val="20"/>
                <w:szCs w:val="20"/>
              </w:rPr>
            </w:pPr>
            <w:r w:rsidRPr="00030762">
              <w:rPr>
                <w:b/>
                <w:bCs/>
                <w:color w:val="000000"/>
                <w:sz w:val="20"/>
                <w:szCs w:val="20"/>
              </w:rPr>
              <w:t>Level</w:t>
            </w:r>
          </w:p>
        </w:tc>
        <w:tc>
          <w:tcPr>
            <w:tcW w:w="1417" w:type="dxa"/>
            <w:tcBorders>
              <w:top w:val="single" w:sz="4" w:space="0" w:color="auto"/>
              <w:left w:val="nil"/>
              <w:bottom w:val="single" w:sz="4" w:space="0" w:color="auto"/>
              <w:right w:val="single" w:sz="4" w:space="0" w:color="auto"/>
            </w:tcBorders>
            <w:shd w:val="clear" w:color="000000" w:fill="FFF2CC"/>
            <w:vAlign w:val="center"/>
            <w:hideMark/>
          </w:tcPr>
          <w:p w14:paraId="56C58182" w14:textId="77777777" w:rsidR="00030762" w:rsidRPr="00030762" w:rsidRDefault="00030762" w:rsidP="00030762">
            <w:pPr>
              <w:jc w:val="center"/>
              <w:rPr>
                <w:b/>
                <w:bCs/>
                <w:color w:val="000000"/>
                <w:sz w:val="20"/>
                <w:szCs w:val="20"/>
              </w:rPr>
            </w:pPr>
            <w:r w:rsidRPr="00030762">
              <w:rPr>
                <w:b/>
                <w:bCs/>
                <w:color w:val="000000"/>
                <w:sz w:val="20"/>
                <w:szCs w:val="20"/>
              </w:rPr>
              <w:t>Percentage of post financed by assessed contributions</w:t>
            </w:r>
          </w:p>
        </w:tc>
        <w:tc>
          <w:tcPr>
            <w:tcW w:w="1560" w:type="dxa"/>
            <w:tcBorders>
              <w:top w:val="single" w:sz="4" w:space="0" w:color="auto"/>
              <w:left w:val="nil"/>
              <w:bottom w:val="single" w:sz="4" w:space="0" w:color="auto"/>
              <w:right w:val="single" w:sz="4" w:space="0" w:color="auto"/>
            </w:tcBorders>
            <w:shd w:val="clear" w:color="000000" w:fill="FFF2CC"/>
            <w:vAlign w:val="center"/>
            <w:hideMark/>
          </w:tcPr>
          <w:p w14:paraId="72062E3E" w14:textId="77777777" w:rsidR="00030762" w:rsidRPr="00030762" w:rsidRDefault="00030762" w:rsidP="00030762">
            <w:pPr>
              <w:jc w:val="center"/>
              <w:rPr>
                <w:b/>
                <w:bCs/>
                <w:color w:val="000000"/>
                <w:sz w:val="20"/>
                <w:szCs w:val="20"/>
              </w:rPr>
            </w:pPr>
            <w:r w:rsidRPr="00030762">
              <w:rPr>
                <w:b/>
                <w:bCs/>
                <w:color w:val="000000"/>
                <w:sz w:val="20"/>
                <w:szCs w:val="20"/>
              </w:rPr>
              <w:t>Percentage of post financed by voluntary contributions</w:t>
            </w:r>
          </w:p>
        </w:tc>
        <w:tc>
          <w:tcPr>
            <w:tcW w:w="1559" w:type="dxa"/>
            <w:tcBorders>
              <w:top w:val="single" w:sz="4" w:space="0" w:color="auto"/>
              <w:left w:val="nil"/>
              <w:bottom w:val="single" w:sz="4" w:space="0" w:color="auto"/>
              <w:right w:val="single" w:sz="4" w:space="0" w:color="auto"/>
            </w:tcBorders>
            <w:shd w:val="clear" w:color="000000" w:fill="FFF2CC"/>
          </w:tcPr>
          <w:p w14:paraId="7228EE71" w14:textId="77777777" w:rsidR="00030762" w:rsidRPr="00030762" w:rsidRDefault="00030762" w:rsidP="00030762">
            <w:pPr>
              <w:jc w:val="center"/>
              <w:rPr>
                <w:b/>
                <w:bCs/>
                <w:color w:val="000000"/>
                <w:sz w:val="20"/>
                <w:szCs w:val="20"/>
              </w:rPr>
            </w:pPr>
            <w:r w:rsidRPr="00030762">
              <w:rPr>
                <w:b/>
                <w:bCs/>
                <w:color w:val="000000"/>
                <w:sz w:val="20"/>
                <w:szCs w:val="20"/>
              </w:rPr>
              <w:t xml:space="preserve">Percentage of time allocated in the </w:t>
            </w:r>
            <w:proofErr w:type="spellStart"/>
            <w:r w:rsidRPr="00030762">
              <w:rPr>
                <w:b/>
                <w:bCs/>
                <w:color w:val="000000"/>
                <w:sz w:val="20"/>
                <w:szCs w:val="20"/>
              </w:rPr>
              <w:t>Programme</w:t>
            </w:r>
            <w:proofErr w:type="spellEnd"/>
            <w:r w:rsidRPr="00030762">
              <w:rPr>
                <w:b/>
                <w:bCs/>
                <w:color w:val="000000"/>
                <w:sz w:val="20"/>
                <w:szCs w:val="20"/>
              </w:rPr>
              <w:t xml:space="preserve"> of Work</w:t>
            </w:r>
          </w:p>
        </w:tc>
      </w:tr>
      <w:tr w:rsidR="00030762" w:rsidRPr="00030762" w14:paraId="5EDD01E6"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4F3B6389" w14:textId="77777777" w:rsidR="00030762" w:rsidRPr="00030762" w:rsidRDefault="00030762" w:rsidP="00030762">
            <w:pPr>
              <w:jc w:val="center"/>
              <w:rPr>
                <w:color w:val="000000"/>
                <w:sz w:val="20"/>
                <w:szCs w:val="20"/>
              </w:rPr>
            </w:pPr>
            <w:r w:rsidRPr="00030762">
              <w:rPr>
                <w:color w:val="000000"/>
                <w:sz w:val="20"/>
                <w:szCs w:val="20"/>
              </w:rPr>
              <w:t>1</w:t>
            </w:r>
          </w:p>
        </w:tc>
        <w:tc>
          <w:tcPr>
            <w:tcW w:w="2835" w:type="dxa"/>
            <w:vMerge w:val="restart"/>
            <w:tcBorders>
              <w:top w:val="single" w:sz="4" w:space="0" w:color="auto"/>
              <w:left w:val="nil"/>
              <w:right w:val="single" w:sz="4" w:space="0" w:color="auto"/>
            </w:tcBorders>
            <w:vAlign w:val="center"/>
          </w:tcPr>
          <w:p w14:paraId="34666785" w14:textId="77777777" w:rsidR="00030762" w:rsidRPr="00030762" w:rsidRDefault="00030762" w:rsidP="00030762">
            <w:pPr>
              <w:rPr>
                <w:color w:val="000000"/>
                <w:sz w:val="20"/>
                <w:szCs w:val="20"/>
              </w:rPr>
            </w:pPr>
            <w:r w:rsidRPr="00030762">
              <w:rPr>
                <w:color w:val="000000"/>
                <w:sz w:val="20"/>
                <w:szCs w:val="20"/>
              </w:rPr>
              <w:t>IMCA/</w:t>
            </w:r>
            <w:r w:rsidRPr="00030762">
              <w:rPr>
                <w:color w:val="0070C0"/>
                <w:sz w:val="20"/>
                <w:szCs w:val="20"/>
              </w:rPr>
              <w:t>CMS Posts</w:t>
            </w:r>
          </w:p>
        </w:tc>
        <w:tc>
          <w:tcPr>
            <w:tcW w:w="2552" w:type="dxa"/>
            <w:tcBorders>
              <w:top w:val="nil"/>
              <w:left w:val="single" w:sz="4" w:space="0" w:color="auto"/>
              <w:bottom w:val="single" w:sz="4" w:space="0" w:color="auto"/>
              <w:right w:val="single" w:sz="4" w:space="0" w:color="auto"/>
            </w:tcBorders>
            <w:noWrap/>
            <w:vAlign w:val="center"/>
            <w:hideMark/>
          </w:tcPr>
          <w:p w14:paraId="579E309B" w14:textId="77777777" w:rsidR="00030762" w:rsidRPr="00030762" w:rsidRDefault="00030762" w:rsidP="00030762">
            <w:pPr>
              <w:rPr>
                <w:color w:val="000000"/>
                <w:sz w:val="20"/>
                <w:szCs w:val="20"/>
              </w:rPr>
            </w:pPr>
            <w:r w:rsidRPr="00030762">
              <w:rPr>
                <w:color w:val="000000"/>
                <w:sz w:val="20"/>
                <w:szCs w:val="20"/>
              </w:rPr>
              <w:t>IMCA</w:t>
            </w:r>
          </w:p>
        </w:tc>
        <w:tc>
          <w:tcPr>
            <w:tcW w:w="2693" w:type="dxa"/>
            <w:tcBorders>
              <w:top w:val="nil"/>
              <w:left w:val="nil"/>
              <w:bottom w:val="single" w:sz="4" w:space="0" w:color="auto"/>
              <w:right w:val="single" w:sz="4" w:space="0" w:color="auto"/>
            </w:tcBorders>
            <w:noWrap/>
            <w:vAlign w:val="center"/>
            <w:hideMark/>
          </w:tcPr>
          <w:p w14:paraId="6ABB9B99" w14:textId="77777777" w:rsidR="00030762" w:rsidRPr="00030762" w:rsidRDefault="00030762" w:rsidP="00030762">
            <w:pPr>
              <w:rPr>
                <w:color w:val="000000"/>
                <w:sz w:val="20"/>
                <w:szCs w:val="20"/>
              </w:rPr>
            </w:pPr>
            <w:r w:rsidRPr="00030762">
              <w:rPr>
                <w:color w:val="000000"/>
                <w:sz w:val="20"/>
                <w:szCs w:val="20"/>
              </w:rPr>
              <w:t xml:space="preserve">Coordinator </w:t>
            </w:r>
          </w:p>
        </w:tc>
        <w:tc>
          <w:tcPr>
            <w:tcW w:w="709" w:type="dxa"/>
            <w:tcBorders>
              <w:top w:val="nil"/>
              <w:left w:val="nil"/>
              <w:bottom w:val="single" w:sz="4" w:space="0" w:color="auto"/>
              <w:right w:val="single" w:sz="4" w:space="0" w:color="auto"/>
            </w:tcBorders>
            <w:noWrap/>
            <w:vAlign w:val="center"/>
            <w:hideMark/>
          </w:tcPr>
          <w:p w14:paraId="3A4D2F00" w14:textId="77777777" w:rsidR="00030762" w:rsidRPr="00030762" w:rsidRDefault="00030762" w:rsidP="00030762">
            <w:pPr>
              <w:jc w:val="center"/>
              <w:rPr>
                <w:color w:val="000000"/>
                <w:sz w:val="20"/>
                <w:szCs w:val="20"/>
              </w:rPr>
            </w:pPr>
            <w:r w:rsidRPr="00030762">
              <w:rPr>
                <w:color w:val="000000"/>
                <w:sz w:val="20"/>
                <w:szCs w:val="20"/>
              </w:rPr>
              <w:t>P-3</w:t>
            </w:r>
          </w:p>
        </w:tc>
        <w:tc>
          <w:tcPr>
            <w:tcW w:w="1417" w:type="dxa"/>
            <w:tcBorders>
              <w:top w:val="nil"/>
              <w:left w:val="nil"/>
              <w:bottom w:val="single" w:sz="4" w:space="0" w:color="auto"/>
              <w:right w:val="single" w:sz="4" w:space="0" w:color="auto"/>
            </w:tcBorders>
            <w:noWrap/>
            <w:vAlign w:val="center"/>
            <w:hideMark/>
          </w:tcPr>
          <w:p w14:paraId="3E10D47D" w14:textId="77777777" w:rsidR="00030762" w:rsidRPr="00030762" w:rsidRDefault="00030762" w:rsidP="00030762">
            <w:pPr>
              <w:jc w:val="center"/>
              <w:rPr>
                <w:color w:val="000000"/>
                <w:sz w:val="20"/>
                <w:szCs w:val="20"/>
              </w:rPr>
            </w:pPr>
            <w:r w:rsidRPr="00030762">
              <w:rPr>
                <w:color w:val="000000"/>
                <w:sz w:val="20"/>
                <w:szCs w:val="20"/>
              </w:rPr>
              <w:t>n/a</w:t>
            </w:r>
          </w:p>
        </w:tc>
        <w:tc>
          <w:tcPr>
            <w:tcW w:w="1560" w:type="dxa"/>
            <w:tcBorders>
              <w:top w:val="nil"/>
              <w:left w:val="nil"/>
              <w:bottom w:val="single" w:sz="4" w:space="0" w:color="auto"/>
              <w:right w:val="single" w:sz="4" w:space="0" w:color="auto"/>
            </w:tcBorders>
            <w:noWrap/>
            <w:vAlign w:val="center"/>
            <w:hideMark/>
          </w:tcPr>
          <w:p w14:paraId="26B48FCF" w14:textId="77777777" w:rsidR="00030762" w:rsidRPr="00030762" w:rsidRDefault="00030762" w:rsidP="00030762">
            <w:pPr>
              <w:jc w:val="center"/>
              <w:rPr>
                <w:color w:val="000000"/>
                <w:sz w:val="20"/>
                <w:szCs w:val="20"/>
              </w:rPr>
            </w:pPr>
            <w:r w:rsidRPr="00030762">
              <w:rPr>
                <w:color w:val="000000"/>
                <w:sz w:val="20"/>
                <w:szCs w:val="20"/>
              </w:rPr>
              <w:t>n/a</w:t>
            </w:r>
          </w:p>
        </w:tc>
        <w:tc>
          <w:tcPr>
            <w:tcW w:w="1559" w:type="dxa"/>
            <w:tcBorders>
              <w:top w:val="nil"/>
              <w:left w:val="nil"/>
              <w:bottom w:val="single" w:sz="4" w:space="0" w:color="auto"/>
              <w:right w:val="single" w:sz="4" w:space="0" w:color="auto"/>
            </w:tcBorders>
            <w:vAlign w:val="center"/>
          </w:tcPr>
          <w:p w14:paraId="77FDCE37" w14:textId="77777777" w:rsidR="00030762" w:rsidRPr="00030762" w:rsidRDefault="00030762" w:rsidP="00030762">
            <w:pPr>
              <w:jc w:val="center"/>
              <w:rPr>
                <w:color w:val="000000"/>
                <w:sz w:val="20"/>
                <w:szCs w:val="20"/>
              </w:rPr>
            </w:pPr>
            <w:r w:rsidRPr="00030762">
              <w:rPr>
                <w:color w:val="000000"/>
                <w:sz w:val="20"/>
                <w:szCs w:val="20"/>
              </w:rPr>
              <w:t>n/a</w:t>
            </w:r>
          </w:p>
        </w:tc>
      </w:tr>
      <w:tr w:rsidR="00030762" w:rsidRPr="00030762" w14:paraId="2732F94C" w14:textId="77777777" w:rsidTr="009F16BB">
        <w:trPr>
          <w:trHeight w:val="356"/>
          <w:jc w:val="center"/>
        </w:trPr>
        <w:tc>
          <w:tcPr>
            <w:tcW w:w="562" w:type="dxa"/>
            <w:tcBorders>
              <w:top w:val="nil"/>
              <w:left w:val="single" w:sz="4" w:space="0" w:color="auto"/>
              <w:bottom w:val="single" w:sz="4" w:space="0" w:color="auto"/>
              <w:right w:val="single" w:sz="4" w:space="0" w:color="auto"/>
            </w:tcBorders>
            <w:noWrap/>
            <w:vAlign w:val="center"/>
            <w:hideMark/>
          </w:tcPr>
          <w:p w14:paraId="5F9EC060" w14:textId="77777777" w:rsidR="00030762" w:rsidRPr="00030762" w:rsidRDefault="00030762" w:rsidP="00030762">
            <w:pPr>
              <w:jc w:val="center"/>
              <w:rPr>
                <w:color w:val="000000"/>
                <w:sz w:val="20"/>
                <w:szCs w:val="20"/>
              </w:rPr>
            </w:pPr>
            <w:r w:rsidRPr="00030762">
              <w:rPr>
                <w:color w:val="000000"/>
                <w:sz w:val="20"/>
                <w:szCs w:val="20"/>
              </w:rPr>
              <w:t>2</w:t>
            </w:r>
          </w:p>
        </w:tc>
        <w:tc>
          <w:tcPr>
            <w:tcW w:w="2835" w:type="dxa"/>
            <w:vMerge/>
            <w:tcBorders>
              <w:left w:val="nil"/>
              <w:bottom w:val="single" w:sz="4" w:space="0" w:color="auto"/>
              <w:right w:val="single" w:sz="4" w:space="0" w:color="auto"/>
            </w:tcBorders>
            <w:vAlign w:val="center"/>
          </w:tcPr>
          <w:p w14:paraId="68470B53" w14:textId="77777777" w:rsidR="00030762" w:rsidRPr="00030762" w:rsidRDefault="00030762" w:rsidP="00030762">
            <w:pPr>
              <w:rPr>
                <w:color w:val="000000"/>
                <w:sz w:val="20"/>
                <w:szCs w:val="20"/>
              </w:rPr>
            </w:pPr>
          </w:p>
        </w:tc>
        <w:tc>
          <w:tcPr>
            <w:tcW w:w="2552" w:type="dxa"/>
            <w:tcBorders>
              <w:top w:val="nil"/>
              <w:left w:val="single" w:sz="4" w:space="0" w:color="auto"/>
              <w:bottom w:val="single" w:sz="4" w:space="0" w:color="auto"/>
              <w:right w:val="single" w:sz="4" w:space="0" w:color="auto"/>
            </w:tcBorders>
            <w:noWrap/>
            <w:vAlign w:val="center"/>
            <w:hideMark/>
          </w:tcPr>
          <w:p w14:paraId="088A50F0" w14:textId="77777777" w:rsidR="00030762" w:rsidRPr="00030762" w:rsidRDefault="00030762" w:rsidP="00030762">
            <w:pPr>
              <w:rPr>
                <w:color w:val="000000"/>
                <w:sz w:val="20"/>
                <w:szCs w:val="20"/>
              </w:rPr>
            </w:pPr>
            <w:r w:rsidRPr="00030762">
              <w:rPr>
                <w:color w:val="000000"/>
                <w:sz w:val="20"/>
                <w:szCs w:val="20"/>
              </w:rPr>
              <w:t>IMCA</w:t>
            </w:r>
          </w:p>
        </w:tc>
        <w:tc>
          <w:tcPr>
            <w:tcW w:w="2693" w:type="dxa"/>
            <w:tcBorders>
              <w:top w:val="nil"/>
              <w:left w:val="nil"/>
              <w:bottom w:val="single" w:sz="4" w:space="0" w:color="auto"/>
              <w:right w:val="single" w:sz="4" w:space="0" w:color="auto"/>
            </w:tcBorders>
            <w:noWrap/>
            <w:vAlign w:val="center"/>
            <w:hideMark/>
          </w:tcPr>
          <w:p w14:paraId="3D4FBC3D" w14:textId="77777777" w:rsidR="00030762" w:rsidRPr="00030762" w:rsidRDefault="00030762" w:rsidP="00030762">
            <w:pPr>
              <w:rPr>
                <w:color w:val="000000"/>
                <w:sz w:val="20"/>
                <w:szCs w:val="20"/>
              </w:rPr>
            </w:pPr>
            <w:r w:rsidRPr="00030762">
              <w:rPr>
                <w:color w:val="000000"/>
                <w:sz w:val="20"/>
                <w:szCs w:val="20"/>
              </w:rPr>
              <w:t>Senior Public Information Assistant</w:t>
            </w:r>
          </w:p>
        </w:tc>
        <w:tc>
          <w:tcPr>
            <w:tcW w:w="709" w:type="dxa"/>
            <w:tcBorders>
              <w:top w:val="nil"/>
              <w:left w:val="nil"/>
              <w:bottom w:val="single" w:sz="4" w:space="0" w:color="auto"/>
              <w:right w:val="single" w:sz="4" w:space="0" w:color="auto"/>
            </w:tcBorders>
            <w:noWrap/>
            <w:vAlign w:val="center"/>
            <w:hideMark/>
          </w:tcPr>
          <w:p w14:paraId="36F53AB7" w14:textId="77777777" w:rsidR="00030762" w:rsidRPr="00030762" w:rsidRDefault="00030762" w:rsidP="00030762">
            <w:pPr>
              <w:jc w:val="center"/>
              <w:rPr>
                <w:color w:val="000000"/>
                <w:sz w:val="20"/>
                <w:szCs w:val="20"/>
              </w:rPr>
            </w:pPr>
            <w:r w:rsidRPr="00030762">
              <w:rPr>
                <w:color w:val="000000"/>
                <w:sz w:val="20"/>
                <w:szCs w:val="20"/>
              </w:rPr>
              <w:t>GS-6</w:t>
            </w:r>
          </w:p>
        </w:tc>
        <w:tc>
          <w:tcPr>
            <w:tcW w:w="1417" w:type="dxa"/>
            <w:tcBorders>
              <w:top w:val="nil"/>
              <w:left w:val="nil"/>
              <w:bottom w:val="single" w:sz="4" w:space="0" w:color="auto"/>
              <w:right w:val="single" w:sz="4" w:space="0" w:color="auto"/>
            </w:tcBorders>
            <w:noWrap/>
            <w:vAlign w:val="center"/>
            <w:hideMark/>
          </w:tcPr>
          <w:p w14:paraId="78DA4E0D" w14:textId="77777777" w:rsidR="00030762" w:rsidRPr="00030762" w:rsidRDefault="00030762" w:rsidP="00030762">
            <w:pPr>
              <w:jc w:val="center"/>
              <w:rPr>
                <w:color w:val="000000"/>
                <w:sz w:val="20"/>
                <w:szCs w:val="20"/>
              </w:rPr>
            </w:pPr>
            <w:r w:rsidRPr="00030762">
              <w:rPr>
                <w:color w:val="000000"/>
                <w:sz w:val="20"/>
                <w:szCs w:val="20"/>
              </w:rPr>
              <w:t>n/a</w:t>
            </w:r>
          </w:p>
        </w:tc>
        <w:tc>
          <w:tcPr>
            <w:tcW w:w="1560" w:type="dxa"/>
            <w:tcBorders>
              <w:top w:val="nil"/>
              <w:left w:val="nil"/>
              <w:bottom w:val="single" w:sz="4" w:space="0" w:color="auto"/>
              <w:right w:val="single" w:sz="4" w:space="0" w:color="auto"/>
            </w:tcBorders>
            <w:noWrap/>
            <w:vAlign w:val="center"/>
            <w:hideMark/>
          </w:tcPr>
          <w:p w14:paraId="69F1452D" w14:textId="77777777" w:rsidR="00030762" w:rsidRPr="00030762" w:rsidRDefault="00030762" w:rsidP="00030762">
            <w:pPr>
              <w:jc w:val="center"/>
              <w:rPr>
                <w:color w:val="000000"/>
                <w:sz w:val="20"/>
                <w:szCs w:val="20"/>
              </w:rPr>
            </w:pPr>
            <w:r w:rsidRPr="00030762">
              <w:rPr>
                <w:color w:val="000000"/>
                <w:sz w:val="20"/>
                <w:szCs w:val="20"/>
              </w:rPr>
              <w:t>n/a</w:t>
            </w:r>
          </w:p>
        </w:tc>
        <w:tc>
          <w:tcPr>
            <w:tcW w:w="1559" w:type="dxa"/>
            <w:tcBorders>
              <w:top w:val="nil"/>
              <w:left w:val="nil"/>
              <w:bottom w:val="single" w:sz="4" w:space="0" w:color="auto"/>
              <w:right w:val="single" w:sz="4" w:space="0" w:color="auto"/>
            </w:tcBorders>
            <w:vAlign w:val="center"/>
          </w:tcPr>
          <w:p w14:paraId="67F7C44F" w14:textId="77777777" w:rsidR="00030762" w:rsidRPr="00030762" w:rsidRDefault="00030762" w:rsidP="00030762">
            <w:pPr>
              <w:jc w:val="center"/>
              <w:rPr>
                <w:color w:val="000000"/>
                <w:sz w:val="20"/>
                <w:szCs w:val="20"/>
              </w:rPr>
            </w:pPr>
            <w:r w:rsidRPr="00030762">
              <w:rPr>
                <w:color w:val="000000"/>
                <w:sz w:val="20"/>
                <w:szCs w:val="20"/>
              </w:rPr>
              <w:t>n/a</w:t>
            </w:r>
          </w:p>
        </w:tc>
      </w:tr>
    </w:tbl>
    <w:p w14:paraId="69928FFB" w14:textId="77777777" w:rsidR="00030762" w:rsidRPr="00030762" w:rsidRDefault="00030762" w:rsidP="00030762">
      <w:pPr>
        <w:rPr>
          <w:b/>
          <w:bCs/>
        </w:rPr>
      </w:pPr>
    </w:p>
    <w:p w14:paraId="36AA72F1" w14:textId="77777777" w:rsidR="00030762" w:rsidRPr="00030762" w:rsidRDefault="00030762" w:rsidP="00030762">
      <w:pPr>
        <w:rPr>
          <w:b/>
          <w:bCs/>
        </w:rPr>
      </w:pPr>
    </w:p>
    <w:p w14:paraId="44084A76" w14:textId="77777777" w:rsidR="00030762" w:rsidRPr="00030762" w:rsidRDefault="00030762" w:rsidP="00030762">
      <w:pPr>
        <w:rPr>
          <w:rFonts w:ascii="Arial" w:hAnsi="Arial" w:cs="Arial"/>
        </w:rPr>
      </w:pPr>
    </w:p>
    <w:p w14:paraId="34485B5E" w14:textId="77777777" w:rsidR="00FE169A" w:rsidRPr="007A6208" w:rsidRDefault="00FE169A" w:rsidP="00FE169A">
      <w:pPr>
        <w:rPr>
          <w:rFonts w:cs="Arial"/>
          <w:b/>
          <w:bCs/>
        </w:rPr>
      </w:pPr>
    </w:p>
    <w:sectPr w:rsidR="00FE169A" w:rsidRPr="007A6208" w:rsidSect="00B929F8">
      <w:headerReference w:type="first" r:id="rId15"/>
      <w:footerReference w:type="first" r:id="rId16"/>
      <w:pgSz w:w="16840" w:h="11907" w:orient="landscape" w:code="9"/>
      <w:pgMar w:top="1138" w:right="1138" w:bottom="1138" w:left="1138"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6D31" w14:textId="77777777" w:rsidR="00AA64BB" w:rsidRDefault="00AA64BB">
      <w:r>
        <w:separator/>
      </w:r>
    </w:p>
  </w:endnote>
  <w:endnote w:type="continuationSeparator" w:id="0">
    <w:p w14:paraId="7E29F5F9" w14:textId="77777777" w:rsidR="00AA64BB" w:rsidRDefault="00AA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5972" w14:textId="77777777" w:rsidR="00EC0B00" w:rsidRDefault="008026BD" w:rsidP="001D21F7">
    <w:pPr>
      <w:pStyle w:val="Footer"/>
      <w:framePr w:wrap="around" w:vAnchor="text" w:hAnchor="margin" w:xAlign="right" w:y="1"/>
      <w:rPr>
        <w:rStyle w:val="PageNumber"/>
      </w:rPr>
    </w:pPr>
    <w:r>
      <w:rPr>
        <w:rStyle w:val="PageNumber"/>
      </w:rPr>
      <w:fldChar w:fldCharType="begin"/>
    </w:r>
    <w:r w:rsidR="00EC0B00">
      <w:rPr>
        <w:rStyle w:val="PageNumber"/>
      </w:rPr>
      <w:instrText xml:space="preserve">PAGE  </w:instrText>
    </w:r>
    <w:r>
      <w:rPr>
        <w:rStyle w:val="PageNumber"/>
      </w:rPr>
      <w:fldChar w:fldCharType="end"/>
    </w:r>
  </w:p>
  <w:p w14:paraId="771E1652" w14:textId="77777777" w:rsidR="00EC0B00" w:rsidRDefault="00EC0B00" w:rsidP="00E026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539528"/>
      <w:docPartObj>
        <w:docPartGallery w:val="Page Numbers (Bottom of Page)"/>
        <w:docPartUnique/>
      </w:docPartObj>
    </w:sdtPr>
    <w:sdtEndPr>
      <w:rPr>
        <w:noProof/>
        <w:sz w:val="20"/>
        <w:szCs w:val="20"/>
      </w:rPr>
    </w:sdtEndPr>
    <w:sdtContent>
      <w:p w14:paraId="36F12C72" w14:textId="0518BA28" w:rsidR="00EC0B00" w:rsidRPr="005B6170" w:rsidRDefault="00B929F8" w:rsidP="007636EE">
        <w:pPr>
          <w:pStyle w:val="Footer"/>
          <w:jc w:val="center"/>
          <w:rPr>
            <w:sz w:val="20"/>
            <w:szCs w:val="20"/>
          </w:rPr>
        </w:pPr>
        <w:r w:rsidRPr="00B929F8">
          <w:rPr>
            <w:sz w:val="20"/>
            <w:szCs w:val="20"/>
          </w:rPr>
          <w:fldChar w:fldCharType="begin"/>
        </w:r>
        <w:r w:rsidRPr="00B929F8">
          <w:rPr>
            <w:sz w:val="20"/>
            <w:szCs w:val="20"/>
          </w:rPr>
          <w:instrText xml:space="preserve"> PAGE   \* MERGEFORMAT </w:instrText>
        </w:r>
        <w:r w:rsidRPr="00B929F8">
          <w:rPr>
            <w:sz w:val="20"/>
            <w:szCs w:val="20"/>
          </w:rPr>
          <w:fldChar w:fldCharType="separate"/>
        </w:r>
        <w:r w:rsidRPr="00B929F8">
          <w:rPr>
            <w:noProof/>
            <w:sz w:val="20"/>
            <w:szCs w:val="20"/>
          </w:rPr>
          <w:t>2</w:t>
        </w:r>
        <w:r w:rsidRPr="00B929F8">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6ABA" w14:textId="14D990F1" w:rsidR="00B929F8" w:rsidRDefault="00B929F8">
    <w:pPr>
      <w:pStyle w:val="Footer"/>
      <w:jc w:val="center"/>
    </w:pPr>
  </w:p>
  <w:p w14:paraId="5612D4A4" w14:textId="7742900F" w:rsidR="005B6170" w:rsidRPr="00312689" w:rsidRDefault="005B6170" w:rsidP="0031268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23696"/>
      <w:docPartObj>
        <w:docPartGallery w:val="Page Numbers (Bottom of Page)"/>
        <w:docPartUnique/>
      </w:docPartObj>
    </w:sdtPr>
    <w:sdtEndPr>
      <w:rPr>
        <w:noProof/>
        <w:sz w:val="20"/>
        <w:szCs w:val="20"/>
      </w:rPr>
    </w:sdtEndPr>
    <w:sdtContent>
      <w:p w14:paraId="3605C893" w14:textId="4D2B8D7A" w:rsidR="00DE687D" w:rsidRPr="00B929F8" w:rsidRDefault="00B929F8" w:rsidP="00B929F8">
        <w:pPr>
          <w:pStyle w:val="Footer"/>
          <w:jc w:val="center"/>
          <w:rPr>
            <w:sz w:val="20"/>
            <w:szCs w:val="20"/>
          </w:rPr>
        </w:pPr>
        <w:r w:rsidRPr="00B929F8">
          <w:rPr>
            <w:sz w:val="20"/>
            <w:szCs w:val="20"/>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5EE0" w14:textId="77777777" w:rsidR="00AA64BB" w:rsidRDefault="00AA64BB">
      <w:r>
        <w:separator/>
      </w:r>
    </w:p>
  </w:footnote>
  <w:footnote w:type="continuationSeparator" w:id="0">
    <w:p w14:paraId="5914E1D7" w14:textId="77777777" w:rsidR="00AA64BB" w:rsidRDefault="00AA64BB">
      <w:r>
        <w:continuationSeparator/>
      </w:r>
    </w:p>
  </w:footnote>
  <w:footnote w:id="1">
    <w:p w14:paraId="4FC528E4" w14:textId="5E6CF48D" w:rsidR="00DB522E" w:rsidRPr="00D55798" w:rsidRDefault="00DB522E">
      <w:pPr>
        <w:pStyle w:val="FootnoteText"/>
        <w:rPr>
          <w:sz w:val="18"/>
          <w:szCs w:val="18"/>
          <w:lang w:val="en-GB"/>
        </w:rPr>
      </w:pPr>
      <w:r w:rsidRPr="00D55798">
        <w:rPr>
          <w:rStyle w:val="FootnoteReference"/>
          <w:sz w:val="18"/>
          <w:szCs w:val="18"/>
        </w:rPr>
        <w:footnoteRef/>
      </w:r>
      <w:r w:rsidR="2FF49548" w:rsidRPr="00D55798">
        <w:rPr>
          <w:sz w:val="18"/>
          <w:szCs w:val="18"/>
        </w:rPr>
        <w:t xml:space="preserve"> </w:t>
      </w:r>
      <w:r w:rsidR="2FF49548" w:rsidRPr="00D55798">
        <w:rPr>
          <w:sz w:val="18"/>
          <w:szCs w:val="18"/>
          <w:lang w:val="en-GB"/>
        </w:rPr>
        <w:t>As approved by the 28</w:t>
      </w:r>
      <w:r w:rsidR="2FF49548" w:rsidRPr="00D55798">
        <w:rPr>
          <w:sz w:val="18"/>
          <w:szCs w:val="18"/>
          <w:vertAlign w:val="superscript"/>
          <w:lang w:val="en-GB"/>
        </w:rPr>
        <w:t>th</w:t>
      </w:r>
      <w:r w:rsidR="2FF49548" w:rsidRPr="00D55798">
        <w:rPr>
          <w:sz w:val="18"/>
          <w:szCs w:val="18"/>
          <w:lang w:val="en-GB"/>
        </w:rPr>
        <w:t xml:space="preserve"> meeting of the AEWA Standing Committee (StC28) on 12 March 2026.</w:t>
      </w:r>
    </w:p>
  </w:footnote>
  <w:footnote w:id="2">
    <w:p w14:paraId="0D1D7294" w14:textId="77777777" w:rsidR="00030762" w:rsidRPr="00D13DFB" w:rsidRDefault="00030762" w:rsidP="00D13DFB">
      <w:pPr>
        <w:pStyle w:val="FootnoteText"/>
        <w:spacing w:line="276" w:lineRule="auto"/>
        <w:jc w:val="both"/>
        <w:rPr>
          <w:sz w:val="18"/>
          <w:szCs w:val="18"/>
        </w:rPr>
      </w:pPr>
      <w:r w:rsidRPr="00D13DFB">
        <w:rPr>
          <w:rStyle w:val="FootnoteReference"/>
          <w:sz w:val="18"/>
          <w:szCs w:val="18"/>
        </w:rPr>
        <w:footnoteRef/>
      </w:r>
      <w:r w:rsidRPr="00D13DFB">
        <w:rPr>
          <w:sz w:val="18"/>
          <w:szCs w:val="18"/>
        </w:rPr>
        <w:t xml:space="preserve"> Post occupancy reduced to 80% to reduce expenditures from the core budget; the remaining 20% will be covered and </w:t>
      </w:r>
      <w:proofErr w:type="spellStart"/>
      <w:r w:rsidRPr="00D13DFB">
        <w:rPr>
          <w:sz w:val="18"/>
          <w:szCs w:val="18"/>
        </w:rPr>
        <w:t>utilised</w:t>
      </w:r>
      <w:proofErr w:type="spellEnd"/>
      <w:r w:rsidRPr="00D13DFB">
        <w:rPr>
          <w:sz w:val="18"/>
          <w:szCs w:val="18"/>
        </w:rPr>
        <w:t xml:space="preserve"> by CMS.</w:t>
      </w:r>
    </w:p>
  </w:footnote>
  <w:footnote w:id="3">
    <w:p w14:paraId="3DC145D9" w14:textId="77777777" w:rsidR="00030762" w:rsidRPr="00D13DFB" w:rsidRDefault="00030762" w:rsidP="00D13DFB">
      <w:pPr>
        <w:pStyle w:val="FootnoteText"/>
        <w:spacing w:line="276" w:lineRule="auto"/>
        <w:jc w:val="both"/>
        <w:rPr>
          <w:sz w:val="18"/>
          <w:szCs w:val="18"/>
        </w:rPr>
      </w:pPr>
      <w:r w:rsidRPr="00D13DFB">
        <w:rPr>
          <w:rStyle w:val="FootnoteReference"/>
          <w:sz w:val="18"/>
          <w:szCs w:val="18"/>
        </w:rPr>
        <w:footnoteRef/>
      </w:r>
      <w:r w:rsidRPr="00D13DFB">
        <w:rPr>
          <w:sz w:val="18"/>
          <w:szCs w:val="18"/>
        </w:rPr>
        <w:t xml:space="preserve"> Post occupancy maintained at 80% as per the MOP9 approved core budget; an additional 20% will be covered and </w:t>
      </w:r>
      <w:proofErr w:type="spellStart"/>
      <w:r w:rsidRPr="00D13DFB">
        <w:rPr>
          <w:sz w:val="18"/>
          <w:szCs w:val="18"/>
        </w:rPr>
        <w:t>utilised</w:t>
      </w:r>
      <w:proofErr w:type="spellEnd"/>
      <w:r w:rsidRPr="00D13DFB">
        <w:rPr>
          <w:sz w:val="18"/>
          <w:szCs w:val="18"/>
        </w:rPr>
        <w:t xml:space="preserve"> by CMS.</w:t>
      </w:r>
    </w:p>
  </w:footnote>
  <w:footnote w:id="4">
    <w:p w14:paraId="3AA16482" w14:textId="77777777" w:rsidR="00030762" w:rsidRPr="00D13DFB" w:rsidRDefault="00030762" w:rsidP="00D13DFB">
      <w:pPr>
        <w:pStyle w:val="FootnoteText"/>
        <w:spacing w:line="276" w:lineRule="auto"/>
        <w:jc w:val="both"/>
        <w:rPr>
          <w:sz w:val="18"/>
          <w:szCs w:val="18"/>
        </w:rPr>
      </w:pPr>
      <w:r w:rsidRPr="00D13DFB">
        <w:rPr>
          <w:rStyle w:val="FootnoteReference"/>
          <w:sz w:val="18"/>
          <w:szCs w:val="18"/>
        </w:rPr>
        <w:footnoteRef/>
      </w:r>
      <w:r w:rsidRPr="00D13DFB">
        <w:rPr>
          <w:sz w:val="18"/>
          <w:szCs w:val="18"/>
        </w:rPr>
        <w:t xml:space="preserve"> 10% of the post occupancy is dedicated to CMS matters as part of the joint IMCA Unit arrangement; the remining post occupancy for AEWA </w:t>
      </w:r>
      <w:proofErr w:type="spellStart"/>
      <w:r w:rsidRPr="00D13DFB">
        <w:rPr>
          <w:sz w:val="18"/>
          <w:szCs w:val="18"/>
        </w:rPr>
        <w:t>utilisation</w:t>
      </w:r>
      <w:proofErr w:type="spellEnd"/>
      <w:r w:rsidRPr="00D13DFB">
        <w:rPr>
          <w:sz w:val="18"/>
          <w:szCs w:val="18"/>
        </w:rPr>
        <w:t xml:space="preserve"> is 90%.</w:t>
      </w:r>
    </w:p>
  </w:footnote>
  <w:footnote w:id="5">
    <w:p w14:paraId="5C999E6D" w14:textId="77777777" w:rsidR="00030762" w:rsidRPr="00D13DFB" w:rsidRDefault="00030762" w:rsidP="00D13DFB">
      <w:pPr>
        <w:pStyle w:val="FootnoteText"/>
        <w:spacing w:line="276" w:lineRule="auto"/>
        <w:jc w:val="both"/>
        <w:rPr>
          <w:sz w:val="18"/>
          <w:szCs w:val="18"/>
        </w:rPr>
      </w:pPr>
      <w:r w:rsidRPr="00D13DFB">
        <w:rPr>
          <w:rStyle w:val="FootnoteReference"/>
          <w:sz w:val="18"/>
          <w:szCs w:val="18"/>
        </w:rPr>
        <w:footnoteRef/>
      </w:r>
      <w:r w:rsidRPr="00D13DFB">
        <w:rPr>
          <w:sz w:val="18"/>
          <w:szCs w:val="18"/>
        </w:rPr>
        <w:t xml:space="preserve"> CMS covers and </w:t>
      </w:r>
      <w:proofErr w:type="spellStart"/>
      <w:r w:rsidRPr="00D13DFB">
        <w:rPr>
          <w:sz w:val="18"/>
          <w:szCs w:val="18"/>
        </w:rPr>
        <w:t>utilises</w:t>
      </w:r>
      <w:proofErr w:type="spellEnd"/>
      <w:r w:rsidRPr="00D13DFB">
        <w:rPr>
          <w:sz w:val="18"/>
          <w:szCs w:val="18"/>
        </w:rPr>
        <w:t xml:space="preserve"> 20% of the post occupancy; of the remaining 80% covered by AEWA, 15% are allocated to compensate for the time spent by CMS personnel in the IMCA Unit on AEWA matters as part of the arrangement for the joint Unit.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CA6FFA" w:rsidRPr="00CA6FFA" w14:paraId="1AEE4AA6" w14:textId="77777777" w:rsidTr="003A3BEA">
      <w:trPr>
        <w:trHeight w:val="1264"/>
      </w:trPr>
      <w:tc>
        <w:tcPr>
          <w:tcW w:w="1809" w:type="dxa"/>
          <w:tcMar>
            <w:top w:w="0" w:type="dxa"/>
            <w:left w:w="108" w:type="dxa"/>
            <w:bottom w:w="0" w:type="dxa"/>
            <w:right w:w="108" w:type="dxa"/>
          </w:tcMar>
        </w:tcPr>
        <w:p w14:paraId="153F5A46" w14:textId="77777777" w:rsidR="00CA6FFA" w:rsidRPr="00CA6FFA" w:rsidRDefault="00CA6FFA" w:rsidP="00CA6FFA">
          <w:pPr>
            <w:rPr>
              <w:lang w:val="en-GB"/>
            </w:rPr>
          </w:pPr>
          <w:r w:rsidRPr="00CA6FFA">
            <w:rPr>
              <w:noProof/>
              <w:lang w:val="en-GB"/>
            </w:rPr>
            <w:drawing>
              <wp:anchor distT="0" distB="0" distL="114300" distR="114300" simplePos="0" relativeHeight="251659264" behindDoc="0" locked="0" layoutInCell="1" allowOverlap="1" wp14:anchorId="72A84378" wp14:editId="3C313DAB">
                <wp:simplePos x="0" y="0"/>
                <wp:positionH relativeFrom="column">
                  <wp:posOffset>-58016</wp:posOffset>
                </wp:positionH>
                <wp:positionV relativeFrom="paragraph">
                  <wp:posOffset>10795</wp:posOffset>
                </wp:positionV>
                <wp:extent cx="735965" cy="609600"/>
                <wp:effectExtent l="0" t="0" r="6985" b="0"/>
                <wp:wrapNone/>
                <wp:docPr id="927424963"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6F4D0" w14:textId="77777777" w:rsidR="00CA6FFA" w:rsidRPr="00CA6FFA" w:rsidRDefault="00CA6FFA" w:rsidP="00CA6FFA"/>
        <w:p w14:paraId="009AB10C" w14:textId="77777777" w:rsidR="00CA6FFA" w:rsidRPr="00CA6FFA" w:rsidRDefault="00CA6FFA" w:rsidP="00CA6FFA"/>
        <w:p w14:paraId="4986D8E6" w14:textId="77777777" w:rsidR="00CA6FFA" w:rsidRPr="00CA6FFA" w:rsidRDefault="00CA6FFA" w:rsidP="00CA6FFA"/>
      </w:tc>
      <w:tc>
        <w:tcPr>
          <w:tcW w:w="5679" w:type="dxa"/>
          <w:tcMar>
            <w:top w:w="0" w:type="dxa"/>
            <w:left w:w="108" w:type="dxa"/>
            <w:bottom w:w="0" w:type="dxa"/>
            <w:right w:w="108" w:type="dxa"/>
          </w:tcMar>
        </w:tcPr>
        <w:p w14:paraId="553BCA98" w14:textId="77777777" w:rsidR="00CA6FFA" w:rsidRPr="00CA6FFA" w:rsidRDefault="00CA6FFA" w:rsidP="00CA6FFA">
          <w:pPr>
            <w:tabs>
              <w:tab w:val="left" w:pos="-720"/>
            </w:tabs>
            <w:jc w:val="center"/>
            <w:rPr>
              <w:i/>
              <w:kern w:val="3"/>
            </w:rPr>
          </w:pPr>
          <w:r w:rsidRPr="00CA6FFA">
            <w:rPr>
              <w:i/>
              <w:kern w:val="3"/>
              <w:sz w:val="22"/>
              <w:szCs w:val="22"/>
            </w:rPr>
            <w:t xml:space="preserve">AGREEMENT ON THE CONSERVATION OF </w:t>
          </w:r>
        </w:p>
        <w:p w14:paraId="71D802C1" w14:textId="77777777" w:rsidR="00CA6FFA" w:rsidRPr="00CA6FFA" w:rsidRDefault="00CA6FFA" w:rsidP="00CA6FFA">
          <w:pPr>
            <w:tabs>
              <w:tab w:val="left" w:pos="-720"/>
            </w:tabs>
            <w:jc w:val="center"/>
            <w:rPr>
              <w:i/>
              <w:kern w:val="3"/>
            </w:rPr>
          </w:pPr>
          <w:r w:rsidRPr="00CA6FFA">
            <w:rPr>
              <w:i/>
              <w:kern w:val="3"/>
              <w:sz w:val="22"/>
              <w:szCs w:val="22"/>
            </w:rPr>
            <w:t xml:space="preserve">AFRICAN-EURASIAN MIGRATORY WATERBIRDS           </w:t>
          </w:r>
        </w:p>
        <w:p w14:paraId="06EEA8A4" w14:textId="77777777" w:rsidR="00CA6FFA" w:rsidRPr="00CA6FFA" w:rsidRDefault="00CA6FFA" w:rsidP="00CA6FFA">
          <w:pPr>
            <w:tabs>
              <w:tab w:val="left" w:pos="-720"/>
            </w:tabs>
            <w:jc w:val="center"/>
            <w:rPr>
              <w:rFonts w:ascii="Arial" w:hAnsi="Arial" w:cs="Arial"/>
              <w:i/>
              <w:kern w:val="3"/>
              <w:sz w:val="20"/>
              <w:szCs w:val="20"/>
            </w:rPr>
          </w:pPr>
        </w:p>
        <w:p w14:paraId="0CC85F3E" w14:textId="77777777" w:rsidR="00CA6FFA" w:rsidRPr="00CA6FFA" w:rsidRDefault="00CA6FFA" w:rsidP="00CA6FFA">
          <w:pPr>
            <w:rPr>
              <w:i/>
            </w:rPr>
          </w:pPr>
        </w:p>
      </w:tc>
      <w:tc>
        <w:tcPr>
          <w:tcW w:w="2366" w:type="dxa"/>
          <w:tcMar>
            <w:top w:w="0" w:type="dxa"/>
            <w:left w:w="108" w:type="dxa"/>
            <w:bottom w:w="0" w:type="dxa"/>
            <w:right w:w="108" w:type="dxa"/>
          </w:tcMar>
        </w:tcPr>
        <w:p w14:paraId="7DFA81D2" w14:textId="77777777" w:rsidR="00CA6FFA" w:rsidRPr="00CA6FFA" w:rsidRDefault="00CA6FFA" w:rsidP="00CA6FFA">
          <w:pPr>
            <w:ind w:hanging="108"/>
            <w:jc w:val="right"/>
            <w:rPr>
              <w:i/>
              <w:sz w:val="20"/>
              <w:szCs w:val="20"/>
              <w:lang w:val="pt-PT"/>
            </w:rPr>
          </w:pPr>
          <w:r w:rsidRPr="00CA6FFA">
            <w:rPr>
              <w:i/>
              <w:sz w:val="20"/>
              <w:szCs w:val="20"/>
              <w:lang w:val="pt-PT"/>
            </w:rPr>
            <w:t xml:space="preserve">Doc. AEWA/TC21 Inf.7 </w:t>
          </w:r>
        </w:p>
        <w:p w14:paraId="0E534D41" w14:textId="77777777" w:rsidR="00CA6FFA" w:rsidRPr="00CA6FFA" w:rsidRDefault="00CA6FFA" w:rsidP="00CA6FFA">
          <w:pPr>
            <w:ind w:hanging="108"/>
            <w:jc w:val="right"/>
            <w:rPr>
              <w:i/>
              <w:sz w:val="20"/>
              <w:szCs w:val="20"/>
              <w:lang w:val="pt-PT"/>
            </w:rPr>
          </w:pPr>
          <w:r w:rsidRPr="00CA6FFA">
            <w:rPr>
              <w:i/>
              <w:sz w:val="20"/>
              <w:szCs w:val="20"/>
              <w:lang w:val="pt-PT"/>
            </w:rPr>
            <w:t>Agenda item 8</w:t>
          </w:r>
        </w:p>
        <w:p w14:paraId="2CC762BF" w14:textId="77777777" w:rsidR="00CA6FFA" w:rsidRPr="00CA6FFA" w:rsidRDefault="00CA6FFA" w:rsidP="00CA6FFA">
          <w:pPr>
            <w:ind w:hanging="108"/>
            <w:jc w:val="right"/>
            <w:rPr>
              <w:i/>
              <w:sz w:val="20"/>
              <w:szCs w:val="20"/>
              <w:lang w:val="pt-PT"/>
            </w:rPr>
          </w:pPr>
          <w:r w:rsidRPr="00CA6FFA">
            <w:rPr>
              <w:i/>
              <w:iCs/>
              <w:sz w:val="20"/>
              <w:szCs w:val="20"/>
              <w:lang w:val="pt-PT"/>
            </w:rPr>
            <w:t>27 March</w:t>
          </w:r>
          <w:r w:rsidRPr="00CA6FFA">
            <w:rPr>
              <w:i/>
              <w:sz w:val="20"/>
              <w:szCs w:val="20"/>
              <w:lang w:val="pt-PT"/>
            </w:rPr>
            <w:t xml:space="preserve"> 2026</w:t>
          </w:r>
        </w:p>
        <w:p w14:paraId="782412B3" w14:textId="77777777" w:rsidR="00CA6FFA" w:rsidRPr="00CA6FFA" w:rsidRDefault="00CA6FFA" w:rsidP="00CA6FFA">
          <w:pPr>
            <w:jc w:val="right"/>
            <w:rPr>
              <w:i/>
              <w:sz w:val="20"/>
              <w:szCs w:val="20"/>
              <w:highlight w:val="yellow"/>
              <w:lang w:val="pt-PT"/>
            </w:rPr>
          </w:pPr>
        </w:p>
      </w:tc>
    </w:tr>
    <w:tr w:rsidR="00CA6FFA" w:rsidRPr="00CA6FFA" w14:paraId="68CCD58E" w14:textId="77777777" w:rsidTr="003A3BEA">
      <w:tc>
        <w:tcPr>
          <w:tcW w:w="9854" w:type="dxa"/>
          <w:gridSpan w:val="3"/>
          <w:tcBorders>
            <w:bottom w:val="single" w:sz="4" w:space="0" w:color="000000"/>
          </w:tcBorders>
          <w:tcMar>
            <w:top w:w="0" w:type="dxa"/>
            <w:left w:w="108" w:type="dxa"/>
            <w:bottom w:w="0" w:type="dxa"/>
            <w:right w:w="108" w:type="dxa"/>
          </w:tcMar>
        </w:tcPr>
        <w:p w14:paraId="42B29241" w14:textId="77777777" w:rsidR="00CA6FFA" w:rsidRPr="00CA6FFA" w:rsidRDefault="00CA6FFA" w:rsidP="00CA6FFA">
          <w:pPr>
            <w:jc w:val="center"/>
            <w:rPr>
              <w:sz w:val="26"/>
              <w:szCs w:val="26"/>
              <w:lang w:val="en-GB"/>
            </w:rPr>
          </w:pPr>
          <w:r w:rsidRPr="00CA6FFA">
            <w:rPr>
              <w:b/>
              <w:sz w:val="26"/>
              <w:szCs w:val="26"/>
            </w:rPr>
            <w:t>21</w:t>
          </w:r>
          <w:r w:rsidRPr="00CA6FFA">
            <w:rPr>
              <w:b/>
              <w:sz w:val="26"/>
              <w:szCs w:val="26"/>
              <w:vertAlign w:val="superscript"/>
            </w:rPr>
            <w:t>st</w:t>
          </w:r>
          <w:r w:rsidRPr="00CA6FFA">
            <w:rPr>
              <w:b/>
              <w:sz w:val="26"/>
              <w:szCs w:val="26"/>
            </w:rPr>
            <w:t xml:space="preserve"> MEETING OF THE TECHNICAL COMMITTEE</w:t>
          </w:r>
        </w:p>
        <w:p w14:paraId="57A19A2F" w14:textId="77777777" w:rsidR="00CA6FFA" w:rsidRPr="00CA6FFA" w:rsidRDefault="00CA6FFA" w:rsidP="00CA6FFA">
          <w:pPr>
            <w:jc w:val="center"/>
            <w:rPr>
              <w:i/>
              <w:sz w:val="28"/>
              <w:szCs w:val="28"/>
            </w:rPr>
          </w:pPr>
          <w:r w:rsidRPr="00CA6FFA">
            <w:rPr>
              <w:i/>
              <w:lang w:val="en-GB"/>
            </w:rPr>
            <w:t>28-30 April 2026, Virtual Meeting Format</w:t>
          </w:r>
        </w:p>
        <w:p w14:paraId="6DA4DD5B" w14:textId="77777777" w:rsidR="00CA6FFA" w:rsidRPr="00CA6FFA" w:rsidRDefault="00CA6FFA" w:rsidP="00CA6FFA">
          <w:pPr>
            <w:rPr>
              <w:u w:val="single"/>
            </w:rPr>
          </w:pPr>
        </w:p>
      </w:tc>
    </w:tr>
  </w:tbl>
  <w:p w14:paraId="15299F33" w14:textId="77777777" w:rsidR="00CA6FFA" w:rsidRPr="00CA6FFA" w:rsidRDefault="00CA6FFA" w:rsidP="00CA6FFA">
    <w:pPr>
      <w:tabs>
        <w:tab w:val="left" w:pos="-720"/>
      </w:tabs>
      <w:rPr>
        <w:rFonts w:ascii="Arial" w:hAnsi="Arial" w:cs="Arial"/>
        <w:i/>
        <w:kern w:val="2"/>
        <w:sz w:val="20"/>
        <w:szCs w:val="20"/>
        <w:lang w:val="de-DE"/>
      </w:rPr>
    </w:pPr>
  </w:p>
  <w:p w14:paraId="606A766D" w14:textId="77777777" w:rsidR="00EC0B00" w:rsidRPr="00CA6FFA" w:rsidRDefault="00EC0B00" w:rsidP="00CA6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3313" w14:textId="77777777" w:rsidR="003915A5" w:rsidRDefault="00391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125C"/>
    <w:multiLevelType w:val="hybridMultilevel"/>
    <w:tmpl w:val="A45038BE"/>
    <w:lvl w:ilvl="0" w:tplc="38F68F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82CEE"/>
    <w:multiLevelType w:val="hybridMultilevel"/>
    <w:tmpl w:val="8D1604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7162453E">
      <w:start w:val="3"/>
      <w:numFmt w:val="lowerLetter"/>
      <w:lvlText w:val="%3)"/>
      <w:lvlJc w:val="left"/>
      <w:pPr>
        <w:tabs>
          <w:tab w:val="num" w:pos="1980"/>
        </w:tabs>
        <w:ind w:left="1980" w:hanging="36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F75EB5"/>
    <w:multiLevelType w:val="hybridMultilevel"/>
    <w:tmpl w:val="0492BD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17DD3609"/>
    <w:multiLevelType w:val="hybridMultilevel"/>
    <w:tmpl w:val="41D2762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223515BE"/>
    <w:multiLevelType w:val="hybridMultilevel"/>
    <w:tmpl w:val="CE5C451C"/>
    <w:lvl w:ilvl="0" w:tplc="0409000F">
      <w:start w:val="1"/>
      <w:numFmt w:val="decimal"/>
      <w:lvlText w:val="%1."/>
      <w:lvlJc w:val="left"/>
      <w:pPr>
        <w:ind w:left="785"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297E79BD"/>
    <w:multiLevelType w:val="hybridMultilevel"/>
    <w:tmpl w:val="354E5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F4627"/>
    <w:multiLevelType w:val="hybridMultilevel"/>
    <w:tmpl w:val="297AA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F2516"/>
    <w:multiLevelType w:val="hybridMultilevel"/>
    <w:tmpl w:val="9CC6E06A"/>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433913B8"/>
    <w:multiLevelType w:val="hybridMultilevel"/>
    <w:tmpl w:val="6DB076C2"/>
    <w:lvl w:ilvl="0" w:tplc="15B2C07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7162453E">
      <w:start w:val="3"/>
      <w:numFmt w:val="lowerLetter"/>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F30BA1"/>
    <w:multiLevelType w:val="hybridMultilevel"/>
    <w:tmpl w:val="B3FAF030"/>
    <w:lvl w:ilvl="0" w:tplc="4CB885E8">
      <w:start w:val="1"/>
      <w:numFmt w:val="lowerLetter"/>
      <w:lvlText w:val="%1."/>
      <w:lvlJc w:val="left"/>
      <w:pPr>
        <w:ind w:left="1222" w:hanging="360"/>
      </w:pPr>
      <w:rPr>
        <w:rFonts w:hint="default"/>
      </w:rPr>
    </w:lvl>
    <w:lvl w:ilvl="1" w:tplc="04090019">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15:restartNumberingAfterBreak="0">
    <w:nsid w:val="53F402A2"/>
    <w:multiLevelType w:val="hybridMultilevel"/>
    <w:tmpl w:val="765AF3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16D0E"/>
    <w:multiLevelType w:val="multilevel"/>
    <w:tmpl w:val="32566F1E"/>
    <w:lvl w:ilvl="0">
      <w:start w:val="1"/>
      <w:numFmt w:val="decimal"/>
      <w:lvlRestart w:val="0"/>
      <w:pStyle w:val="Heading1"/>
      <w:lvlText w:val="%1"/>
      <w:lvlJc w:val="left"/>
      <w:pPr>
        <w:tabs>
          <w:tab w:val="num" w:pos="360"/>
        </w:tabs>
        <w:ind w:left="0" w:firstLine="0"/>
      </w:pPr>
      <w:rPr>
        <w:rFonts w:ascii="Garamond" w:hAnsi="Garamond" w:hint="default"/>
        <w:b/>
        <w:i w:val="0"/>
        <w:sz w:val="24"/>
      </w:rPr>
    </w:lvl>
    <w:lvl w:ilvl="1">
      <w:start w:val="1"/>
      <w:numFmt w:val="decimal"/>
      <w:pStyle w:val="Heading2"/>
      <w:lvlText w:val="%1.%2"/>
      <w:lvlJc w:val="left"/>
      <w:pPr>
        <w:tabs>
          <w:tab w:val="num" w:pos="720"/>
        </w:tabs>
        <w:ind w:left="360" w:hanging="360"/>
      </w:pPr>
      <w:rPr>
        <w:rFonts w:ascii="Garamond" w:hAnsi="Garamond" w:hint="default"/>
        <w:b/>
        <w:i w:val="0"/>
        <w:sz w:val="24"/>
      </w:rPr>
    </w:lvl>
    <w:lvl w:ilvl="2">
      <w:start w:val="1"/>
      <w:numFmt w:val="decimal"/>
      <w:lvlText w:val="%1.%2.%3"/>
      <w:lvlJc w:val="left"/>
      <w:pPr>
        <w:tabs>
          <w:tab w:val="num" w:pos="1080"/>
        </w:tabs>
        <w:ind w:left="720" w:hanging="360"/>
      </w:pPr>
      <w:rPr>
        <w:rFonts w:ascii="Garamond" w:hAnsi="Garamond" w:hint="default"/>
        <w:b w:val="0"/>
        <w:i w:val="0"/>
        <w:sz w:val="24"/>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5CBB3AAE"/>
    <w:multiLevelType w:val="hybridMultilevel"/>
    <w:tmpl w:val="DD1E8AE6"/>
    <w:lvl w:ilvl="0" w:tplc="0409000F">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3" w15:restartNumberingAfterBreak="0">
    <w:nsid w:val="5D0B3D3B"/>
    <w:multiLevelType w:val="hybridMultilevel"/>
    <w:tmpl w:val="10445DFA"/>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5DED1EB7"/>
    <w:multiLevelType w:val="hybridMultilevel"/>
    <w:tmpl w:val="E9A4EFC6"/>
    <w:lvl w:ilvl="0" w:tplc="3F9E1A0E">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 w15:restartNumberingAfterBreak="0">
    <w:nsid w:val="6BB07A4B"/>
    <w:multiLevelType w:val="hybridMultilevel"/>
    <w:tmpl w:val="A572A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93602"/>
    <w:multiLevelType w:val="hybridMultilevel"/>
    <w:tmpl w:val="7020DF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3583B35"/>
    <w:multiLevelType w:val="hybridMultilevel"/>
    <w:tmpl w:val="1D5C9984"/>
    <w:lvl w:ilvl="0" w:tplc="F55EA900">
      <w:start w:val="8"/>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6E5258"/>
    <w:multiLevelType w:val="hybridMultilevel"/>
    <w:tmpl w:val="7DD287FE"/>
    <w:lvl w:ilvl="0" w:tplc="15B2C07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7162453E">
      <w:start w:val="3"/>
      <w:numFmt w:val="lowerLetter"/>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71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2057941">
    <w:abstractNumId w:val="5"/>
  </w:num>
  <w:num w:numId="3" w16cid:durableId="830799877">
    <w:abstractNumId w:val="10"/>
  </w:num>
  <w:num w:numId="4" w16cid:durableId="1818304108">
    <w:abstractNumId w:val="15"/>
  </w:num>
  <w:num w:numId="5" w16cid:durableId="1245997577">
    <w:abstractNumId w:val="11"/>
  </w:num>
  <w:num w:numId="6" w16cid:durableId="551884529">
    <w:abstractNumId w:val="1"/>
  </w:num>
  <w:num w:numId="7" w16cid:durableId="1340499002">
    <w:abstractNumId w:val="18"/>
  </w:num>
  <w:num w:numId="8" w16cid:durableId="1739789218">
    <w:abstractNumId w:val="8"/>
  </w:num>
  <w:num w:numId="9" w16cid:durableId="239870703">
    <w:abstractNumId w:val="4"/>
  </w:num>
  <w:num w:numId="10" w16cid:durableId="1423646088">
    <w:abstractNumId w:val="3"/>
  </w:num>
  <w:num w:numId="11" w16cid:durableId="1259948052">
    <w:abstractNumId w:val="2"/>
  </w:num>
  <w:num w:numId="12" w16cid:durableId="705911499">
    <w:abstractNumId w:val="13"/>
  </w:num>
  <w:num w:numId="13" w16cid:durableId="759985066">
    <w:abstractNumId w:val="7"/>
  </w:num>
  <w:num w:numId="14" w16cid:durableId="90931006">
    <w:abstractNumId w:val="12"/>
  </w:num>
  <w:num w:numId="15" w16cid:durableId="1339381460">
    <w:abstractNumId w:val="9"/>
  </w:num>
  <w:num w:numId="16" w16cid:durableId="1490293932">
    <w:abstractNumId w:val="14"/>
  </w:num>
  <w:num w:numId="17" w16cid:durableId="1934703489">
    <w:abstractNumId w:val="17"/>
  </w:num>
  <w:num w:numId="18" w16cid:durableId="57946686">
    <w:abstractNumId w:val="6"/>
  </w:num>
  <w:num w:numId="19" w16cid:durableId="204092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A1"/>
    <w:rsid w:val="00001541"/>
    <w:rsid w:val="000017B4"/>
    <w:rsid w:val="00004C8E"/>
    <w:rsid w:val="00015358"/>
    <w:rsid w:val="00016E7B"/>
    <w:rsid w:val="000171B1"/>
    <w:rsid w:val="00030762"/>
    <w:rsid w:val="00033E75"/>
    <w:rsid w:val="00036B27"/>
    <w:rsid w:val="00041A1A"/>
    <w:rsid w:val="00053C46"/>
    <w:rsid w:val="0006021E"/>
    <w:rsid w:val="00060494"/>
    <w:rsid w:val="00061090"/>
    <w:rsid w:val="0006129C"/>
    <w:rsid w:val="0007025C"/>
    <w:rsid w:val="000734CA"/>
    <w:rsid w:val="00080B95"/>
    <w:rsid w:val="000977BB"/>
    <w:rsid w:val="000A5A47"/>
    <w:rsid w:val="000C7C68"/>
    <w:rsid w:val="000D4F56"/>
    <w:rsid w:val="000D628C"/>
    <w:rsid w:val="000E153E"/>
    <w:rsid w:val="000F00B3"/>
    <w:rsid w:val="000F2F5A"/>
    <w:rsid w:val="001024AC"/>
    <w:rsid w:val="001044C8"/>
    <w:rsid w:val="00104C13"/>
    <w:rsid w:val="00125DB3"/>
    <w:rsid w:val="001274AA"/>
    <w:rsid w:val="00130C9D"/>
    <w:rsid w:val="0013134B"/>
    <w:rsid w:val="00132495"/>
    <w:rsid w:val="00145E99"/>
    <w:rsid w:val="00147B09"/>
    <w:rsid w:val="001524B5"/>
    <w:rsid w:val="00154ABF"/>
    <w:rsid w:val="001575B2"/>
    <w:rsid w:val="0016575C"/>
    <w:rsid w:val="00167D59"/>
    <w:rsid w:val="0017694D"/>
    <w:rsid w:val="0018013C"/>
    <w:rsid w:val="00182DCC"/>
    <w:rsid w:val="001860C4"/>
    <w:rsid w:val="00186687"/>
    <w:rsid w:val="00193EB2"/>
    <w:rsid w:val="00196E67"/>
    <w:rsid w:val="00196FDD"/>
    <w:rsid w:val="001A00B6"/>
    <w:rsid w:val="001B1493"/>
    <w:rsid w:val="001B1538"/>
    <w:rsid w:val="001B186D"/>
    <w:rsid w:val="001B6546"/>
    <w:rsid w:val="001C5919"/>
    <w:rsid w:val="001D21F7"/>
    <w:rsid w:val="001D2C8B"/>
    <w:rsid w:val="001E13ED"/>
    <w:rsid w:val="001E72CB"/>
    <w:rsid w:val="001F1D9A"/>
    <w:rsid w:val="001F461B"/>
    <w:rsid w:val="001F59EF"/>
    <w:rsid w:val="00200A23"/>
    <w:rsid w:val="0020573A"/>
    <w:rsid w:val="00206C45"/>
    <w:rsid w:val="00207325"/>
    <w:rsid w:val="002077CF"/>
    <w:rsid w:val="002364D1"/>
    <w:rsid w:val="00253E85"/>
    <w:rsid w:val="002547EF"/>
    <w:rsid w:val="00264C60"/>
    <w:rsid w:val="0027089C"/>
    <w:rsid w:val="0027676B"/>
    <w:rsid w:val="00286103"/>
    <w:rsid w:val="002A3D00"/>
    <w:rsid w:val="002B2E49"/>
    <w:rsid w:val="002D1CC3"/>
    <w:rsid w:val="002E28DA"/>
    <w:rsid w:val="002E4C1F"/>
    <w:rsid w:val="002E6092"/>
    <w:rsid w:val="002F0141"/>
    <w:rsid w:val="002F2513"/>
    <w:rsid w:val="002F4C1E"/>
    <w:rsid w:val="002F7147"/>
    <w:rsid w:val="00303606"/>
    <w:rsid w:val="003072A9"/>
    <w:rsid w:val="00311ECE"/>
    <w:rsid w:val="00312689"/>
    <w:rsid w:val="00312BA0"/>
    <w:rsid w:val="003204CC"/>
    <w:rsid w:val="003209C2"/>
    <w:rsid w:val="003325E1"/>
    <w:rsid w:val="003412DF"/>
    <w:rsid w:val="00343692"/>
    <w:rsid w:val="00353709"/>
    <w:rsid w:val="00353767"/>
    <w:rsid w:val="003563CB"/>
    <w:rsid w:val="00365117"/>
    <w:rsid w:val="00376357"/>
    <w:rsid w:val="00377DF9"/>
    <w:rsid w:val="00383FCF"/>
    <w:rsid w:val="003915A5"/>
    <w:rsid w:val="003A3333"/>
    <w:rsid w:val="003A596F"/>
    <w:rsid w:val="003B2918"/>
    <w:rsid w:val="003B3BA4"/>
    <w:rsid w:val="003B4398"/>
    <w:rsid w:val="003B56EB"/>
    <w:rsid w:val="003C320A"/>
    <w:rsid w:val="003D4276"/>
    <w:rsid w:val="003E0DB9"/>
    <w:rsid w:val="003E526E"/>
    <w:rsid w:val="003F1EA9"/>
    <w:rsid w:val="003F2BCE"/>
    <w:rsid w:val="003F6A2F"/>
    <w:rsid w:val="00400972"/>
    <w:rsid w:val="00404683"/>
    <w:rsid w:val="00407D1C"/>
    <w:rsid w:val="004313BF"/>
    <w:rsid w:val="0043278D"/>
    <w:rsid w:val="00433BF4"/>
    <w:rsid w:val="004370A6"/>
    <w:rsid w:val="0044521C"/>
    <w:rsid w:val="00446782"/>
    <w:rsid w:val="00451ADC"/>
    <w:rsid w:val="00457ACF"/>
    <w:rsid w:val="004623B2"/>
    <w:rsid w:val="004641D0"/>
    <w:rsid w:val="00492FA7"/>
    <w:rsid w:val="0049300F"/>
    <w:rsid w:val="00497689"/>
    <w:rsid w:val="004A7F49"/>
    <w:rsid w:val="004B2A81"/>
    <w:rsid w:val="004B57A6"/>
    <w:rsid w:val="004B75C0"/>
    <w:rsid w:val="004E3456"/>
    <w:rsid w:val="004E49D2"/>
    <w:rsid w:val="004F3152"/>
    <w:rsid w:val="004F4E6A"/>
    <w:rsid w:val="004F71B1"/>
    <w:rsid w:val="00511343"/>
    <w:rsid w:val="005127DE"/>
    <w:rsid w:val="00517C62"/>
    <w:rsid w:val="00526654"/>
    <w:rsid w:val="005426DD"/>
    <w:rsid w:val="005463D7"/>
    <w:rsid w:val="00546EC4"/>
    <w:rsid w:val="005564EA"/>
    <w:rsid w:val="00561AE1"/>
    <w:rsid w:val="00564C82"/>
    <w:rsid w:val="00567628"/>
    <w:rsid w:val="00575367"/>
    <w:rsid w:val="00580EAD"/>
    <w:rsid w:val="00591003"/>
    <w:rsid w:val="005946A2"/>
    <w:rsid w:val="005970C7"/>
    <w:rsid w:val="00597801"/>
    <w:rsid w:val="005A3BFB"/>
    <w:rsid w:val="005B6170"/>
    <w:rsid w:val="005C2DCC"/>
    <w:rsid w:val="005C61CB"/>
    <w:rsid w:val="005D54ED"/>
    <w:rsid w:val="005D6D19"/>
    <w:rsid w:val="005E62BD"/>
    <w:rsid w:val="005E716E"/>
    <w:rsid w:val="005F11C9"/>
    <w:rsid w:val="005F1841"/>
    <w:rsid w:val="005F79E9"/>
    <w:rsid w:val="006007FB"/>
    <w:rsid w:val="00601118"/>
    <w:rsid w:val="006048E5"/>
    <w:rsid w:val="006075EE"/>
    <w:rsid w:val="00611ADF"/>
    <w:rsid w:val="006122CD"/>
    <w:rsid w:val="006312D9"/>
    <w:rsid w:val="00632936"/>
    <w:rsid w:val="006353F8"/>
    <w:rsid w:val="00637866"/>
    <w:rsid w:val="00640A1B"/>
    <w:rsid w:val="006410B8"/>
    <w:rsid w:val="00645584"/>
    <w:rsid w:val="00657A1D"/>
    <w:rsid w:val="00671B91"/>
    <w:rsid w:val="00672241"/>
    <w:rsid w:val="0067421F"/>
    <w:rsid w:val="00681796"/>
    <w:rsid w:val="006832F3"/>
    <w:rsid w:val="0068332E"/>
    <w:rsid w:val="0069010A"/>
    <w:rsid w:val="006904BA"/>
    <w:rsid w:val="00696AD7"/>
    <w:rsid w:val="006A351B"/>
    <w:rsid w:val="006A4A6F"/>
    <w:rsid w:val="006B6B98"/>
    <w:rsid w:val="006B7BB2"/>
    <w:rsid w:val="006B7C38"/>
    <w:rsid w:val="006C56E2"/>
    <w:rsid w:val="006C5E9B"/>
    <w:rsid w:val="0070257F"/>
    <w:rsid w:val="00703647"/>
    <w:rsid w:val="00704B4A"/>
    <w:rsid w:val="00710C61"/>
    <w:rsid w:val="00710C7F"/>
    <w:rsid w:val="007636EE"/>
    <w:rsid w:val="00770565"/>
    <w:rsid w:val="0077760E"/>
    <w:rsid w:val="00780E0F"/>
    <w:rsid w:val="00786AF1"/>
    <w:rsid w:val="00792FD1"/>
    <w:rsid w:val="0079698D"/>
    <w:rsid w:val="007A6208"/>
    <w:rsid w:val="007B3E79"/>
    <w:rsid w:val="007C0034"/>
    <w:rsid w:val="007C005E"/>
    <w:rsid w:val="007D1C34"/>
    <w:rsid w:val="007D40D4"/>
    <w:rsid w:val="007D5C0B"/>
    <w:rsid w:val="007E054A"/>
    <w:rsid w:val="007E1121"/>
    <w:rsid w:val="007E17FD"/>
    <w:rsid w:val="007E5503"/>
    <w:rsid w:val="007F2881"/>
    <w:rsid w:val="007F376F"/>
    <w:rsid w:val="008026BD"/>
    <w:rsid w:val="0081049C"/>
    <w:rsid w:val="008115B4"/>
    <w:rsid w:val="00812850"/>
    <w:rsid w:val="00813DE4"/>
    <w:rsid w:val="0082215E"/>
    <w:rsid w:val="008235E1"/>
    <w:rsid w:val="0083355D"/>
    <w:rsid w:val="00834734"/>
    <w:rsid w:val="0083572D"/>
    <w:rsid w:val="00836E85"/>
    <w:rsid w:val="008565D4"/>
    <w:rsid w:val="008612B5"/>
    <w:rsid w:val="00862FB4"/>
    <w:rsid w:val="008650A4"/>
    <w:rsid w:val="008759F3"/>
    <w:rsid w:val="0087707B"/>
    <w:rsid w:val="00880D7C"/>
    <w:rsid w:val="008B3285"/>
    <w:rsid w:val="008C18F6"/>
    <w:rsid w:val="008C7350"/>
    <w:rsid w:val="008D305B"/>
    <w:rsid w:val="008D6E84"/>
    <w:rsid w:val="008E62A9"/>
    <w:rsid w:val="008F0DEA"/>
    <w:rsid w:val="008F4E75"/>
    <w:rsid w:val="00903E6E"/>
    <w:rsid w:val="009131DC"/>
    <w:rsid w:val="009139FC"/>
    <w:rsid w:val="009164F2"/>
    <w:rsid w:val="00916FB7"/>
    <w:rsid w:val="00936796"/>
    <w:rsid w:val="00951187"/>
    <w:rsid w:val="00960705"/>
    <w:rsid w:val="0096757D"/>
    <w:rsid w:val="0096780E"/>
    <w:rsid w:val="009703F0"/>
    <w:rsid w:val="00990AB9"/>
    <w:rsid w:val="009A3356"/>
    <w:rsid w:val="009B352F"/>
    <w:rsid w:val="009D007B"/>
    <w:rsid w:val="009D0BDD"/>
    <w:rsid w:val="009E320C"/>
    <w:rsid w:val="009E5168"/>
    <w:rsid w:val="009F5C64"/>
    <w:rsid w:val="009F6DE5"/>
    <w:rsid w:val="00A13B54"/>
    <w:rsid w:val="00A2034D"/>
    <w:rsid w:val="00A207CF"/>
    <w:rsid w:val="00A21210"/>
    <w:rsid w:val="00A22B2C"/>
    <w:rsid w:val="00A348CB"/>
    <w:rsid w:val="00A34AE6"/>
    <w:rsid w:val="00A36A12"/>
    <w:rsid w:val="00A43C8F"/>
    <w:rsid w:val="00A45D79"/>
    <w:rsid w:val="00A45E18"/>
    <w:rsid w:val="00A55E32"/>
    <w:rsid w:val="00A659BF"/>
    <w:rsid w:val="00A84DF2"/>
    <w:rsid w:val="00A86EF9"/>
    <w:rsid w:val="00AA10FB"/>
    <w:rsid w:val="00AA64BB"/>
    <w:rsid w:val="00AB2BA4"/>
    <w:rsid w:val="00AC55DC"/>
    <w:rsid w:val="00AD2CD9"/>
    <w:rsid w:val="00AD5448"/>
    <w:rsid w:val="00AD6A77"/>
    <w:rsid w:val="00AE2B6B"/>
    <w:rsid w:val="00AE4FDE"/>
    <w:rsid w:val="00B04408"/>
    <w:rsid w:val="00B07669"/>
    <w:rsid w:val="00B30BE0"/>
    <w:rsid w:val="00B37692"/>
    <w:rsid w:val="00B37E95"/>
    <w:rsid w:val="00B56DEB"/>
    <w:rsid w:val="00B61FA1"/>
    <w:rsid w:val="00B71F68"/>
    <w:rsid w:val="00B74D13"/>
    <w:rsid w:val="00B76565"/>
    <w:rsid w:val="00B929F8"/>
    <w:rsid w:val="00B94C2C"/>
    <w:rsid w:val="00B96ADC"/>
    <w:rsid w:val="00B97F1B"/>
    <w:rsid w:val="00BA39A7"/>
    <w:rsid w:val="00BA3EC9"/>
    <w:rsid w:val="00BA4B5D"/>
    <w:rsid w:val="00BA505E"/>
    <w:rsid w:val="00BA790F"/>
    <w:rsid w:val="00BB3C87"/>
    <w:rsid w:val="00BB60C5"/>
    <w:rsid w:val="00BC140B"/>
    <w:rsid w:val="00BC39F4"/>
    <w:rsid w:val="00BD17AE"/>
    <w:rsid w:val="00BD18FA"/>
    <w:rsid w:val="00BF7166"/>
    <w:rsid w:val="00C07229"/>
    <w:rsid w:val="00C10107"/>
    <w:rsid w:val="00C1131B"/>
    <w:rsid w:val="00C31A30"/>
    <w:rsid w:val="00C31CA8"/>
    <w:rsid w:val="00C32A0E"/>
    <w:rsid w:val="00C36FD2"/>
    <w:rsid w:val="00C37179"/>
    <w:rsid w:val="00C46CCF"/>
    <w:rsid w:val="00C52BF2"/>
    <w:rsid w:val="00C56F43"/>
    <w:rsid w:val="00C62C75"/>
    <w:rsid w:val="00C645F5"/>
    <w:rsid w:val="00C65168"/>
    <w:rsid w:val="00C72EF1"/>
    <w:rsid w:val="00C826D1"/>
    <w:rsid w:val="00C83EC9"/>
    <w:rsid w:val="00C928C6"/>
    <w:rsid w:val="00CA0009"/>
    <w:rsid w:val="00CA6FFA"/>
    <w:rsid w:val="00CA7B25"/>
    <w:rsid w:val="00CB1CAA"/>
    <w:rsid w:val="00CB2FF4"/>
    <w:rsid w:val="00CB606C"/>
    <w:rsid w:val="00CC09E3"/>
    <w:rsid w:val="00CC3F9D"/>
    <w:rsid w:val="00CC509F"/>
    <w:rsid w:val="00CD6C15"/>
    <w:rsid w:val="00CE4C17"/>
    <w:rsid w:val="00CF5F07"/>
    <w:rsid w:val="00D079E2"/>
    <w:rsid w:val="00D113E3"/>
    <w:rsid w:val="00D13DFB"/>
    <w:rsid w:val="00D318E7"/>
    <w:rsid w:val="00D324BC"/>
    <w:rsid w:val="00D34AE2"/>
    <w:rsid w:val="00D37517"/>
    <w:rsid w:val="00D41D8C"/>
    <w:rsid w:val="00D508A5"/>
    <w:rsid w:val="00D5242E"/>
    <w:rsid w:val="00D547B0"/>
    <w:rsid w:val="00D55798"/>
    <w:rsid w:val="00D67389"/>
    <w:rsid w:val="00D76E11"/>
    <w:rsid w:val="00D801A7"/>
    <w:rsid w:val="00D82F6C"/>
    <w:rsid w:val="00D831BF"/>
    <w:rsid w:val="00D842A4"/>
    <w:rsid w:val="00D872B0"/>
    <w:rsid w:val="00D92EC3"/>
    <w:rsid w:val="00DA2E04"/>
    <w:rsid w:val="00DB522E"/>
    <w:rsid w:val="00DB6FF8"/>
    <w:rsid w:val="00DD3E32"/>
    <w:rsid w:val="00DE687D"/>
    <w:rsid w:val="00DE6C76"/>
    <w:rsid w:val="00DF26A5"/>
    <w:rsid w:val="00DF4618"/>
    <w:rsid w:val="00E02643"/>
    <w:rsid w:val="00E043A4"/>
    <w:rsid w:val="00E054EA"/>
    <w:rsid w:val="00E161CB"/>
    <w:rsid w:val="00E23248"/>
    <w:rsid w:val="00E23C09"/>
    <w:rsid w:val="00E33C71"/>
    <w:rsid w:val="00E55F1B"/>
    <w:rsid w:val="00E63775"/>
    <w:rsid w:val="00E719DA"/>
    <w:rsid w:val="00E7532A"/>
    <w:rsid w:val="00E8634F"/>
    <w:rsid w:val="00E965A8"/>
    <w:rsid w:val="00EA04A0"/>
    <w:rsid w:val="00EA0ED7"/>
    <w:rsid w:val="00EA1BA4"/>
    <w:rsid w:val="00EA238D"/>
    <w:rsid w:val="00EA561D"/>
    <w:rsid w:val="00EB38A4"/>
    <w:rsid w:val="00EC0B00"/>
    <w:rsid w:val="00EC1D72"/>
    <w:rsid w:val="00EE02FE"/>
    <w:rsid w:val="00EE5257"/>
    <w:rsid w:val="00EE5D2E"/>
    <w:rsid w:val="00EF58A8"/>
    <w:rsid w:val="00EF7102"/>
    <w:rsid w:val="00F07B5D"/>
    <w:rsid w:val="00F16C2F"/>
    <w:rsid w:val="00F23ED1"/>
    <w:rsid w:val="00F26B86"/>
    <w:rsid w:val="00F356C6"/>
    <w:rsid w:val="00F43AB4"/>
    <w:rsid w:val="00F572DE"/>
    <w:rsid w:val="00F61FB7"/>
    <w:rsid w:val="00F627E9"/>
    <w:rsid w:val="00F63E2C"/>
    <w:rsid w:val="00F71A29"/>
    <w:rsid w:val="00F7740A"/>
    <w:rsid w:val="00F81B26"/>
    <w:rsid w:val="00F85886"/>
    <w:rsid w:val="00F92502"/>
    <w:rsid w:val="00F93C55"/>
    <w:rsid w:val="00F94434"/>
    <w:rsid w:val="00FB554A"/>
    <w:rsid w:val="00FC3130"/>
    <w:rsid w:val="00FC558F"/>
    <w:rsid w:val="00FD35E3"/>
    <w:rsid w:val="00FD3AD4"/>
    <w:rsid w:val="00FE030C"/>
    <w:rsid w:val="00FE169A"/>
    <w:rsid w:val="00FE2E99"/>
    <w:rsid w:val="00FE4106"/>
    <w:rsid w:val="066FA34F"/>
    <w:rsid w:val="08EB06A1"/>
    <w:rsid w:val="0FAA94EF"/>
    <w:rsid w:val="14475B11"/>
    <w:rsid w:val="1F712C04"/>
    <w:rsid w:val="2FF49548"/>
    <w:rsid w:val="353CD6AA"/>
    <w:rsid w:val="36BC13DF"/>
    <w:rsid w:val="3C599A32"/>
    <w:rsid w:val="40527500"/>
    <w:rsid w:val="412343B9"/>
    <w:rsid w:val="41CC3754"/>
    <w:rsid w:val="4281020D"/>
    <w:rsid w:val="5187BA30"/>
    <w:rsid w:val="566F643C"/>
    <w:rsid w:val="5967D2CD"/>
    <w:rsid w:val="5B7C15D7"/>
    <w:rsid w:val="633A68A5"/>
    <w:rsid w:val="678F390A"/>
    <w:rsid w:val="6F94AC6F"/>
    <w:rsid w:val="7E71759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DF26B"/>
  <w15:docId w15:val="{48C2AD50-964C-48FA-B180-717E3A8D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57F"/>
    <w:rPr>
      <w:sz w:val="24"/>
      <w:szCs w:val="24"/>
    </w:rPr>
  </w:style>
  <w:style w:type="paragraph" w:styleId="Heading1">
    <w:name w:val="heading 1"/>
    <w:basedOn w:val="Normal"/>
    <w:next w:val="Normal"/>
    <w:qFormat/>
    <w:rsid w:val="008F0DEA"/>
    <w:pPr>
      <w:keepNext/>
      <w:numPr>
        <w:numId w:val="5"/>
      </w:numPr>
      <w:outlineLvl w:val="0"/>
    </w:pPr>
    <w:rPr>
      <w:b/>
      <w:bCs/>
      <w:lang w:val="en-GB"/>
    </w:rPr>
  </w:style>
  <w:style w:type="paragraph" w:styleId="Heading2">
    <w:name w:val="heading 2"/>
    <w:basedOn w:val="Normal"/>
    <w:next w:val="Normal"/>
    <w:qFormat/>
    <w:rsid w:val="008F0DEA"/>
    <w:pPr>
      <w:keepNext/>
      <w:numPr>
        <w:ilvl w:val="1"/>
        <w:numId w:val="5"/>
      </w:numPr>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7E9"/>
    <w:pPr>
      <w:tabs>
        <w:tab w:val="center" w:pos="4320"/>
        <w:tab w:val="right" w:pos="8640"/>
      </w:tabs>
    </w:pPr>
  </w:style>
  <w:style w:type="paragraph" w:styleId="Footer">
    <w:name w:val="footer"/>
    <w:basedOn w:val="Normal"/>
    <w:link w:val="FooterChar"/>
    <w:uiPriority w:val="99"/>
    <w:rsid w:val="00F627E9"/>
    <w:pPr>
      <w:tabs>
        <w:tab w:val="center" w:pos="4320"/>
        <w:tab w:val="right" w:pos="8640"/>
      </w:tabs>
    </w:pPr>
  </w:style>
  <w:style w:type="paragraph" w:styleId="BodyText2">
    <w:name w:val="Body Text 2"/>
    <w:basedOn w:val="Normal"/>
    <w:rsid w:val="00F627E9"/>
    <w:rPr>
      <w:lang w:val="en-GB"/>
    </w:rPr>
  </w:style>
  <w:style w:type="table" w:styleId="TableGrid">
    <w:name w:val="Table Grid"/>
    <w:basedOn w:val="TableNormal"/>
    <w:rsid w:val="008F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F0DEA"/>
    <w:rPr>
      <w:sz w:val="20"/>
      <w:szCs w:val="20"/>
    </w:rPr>
  </w:style>
  <w:style w:type="character" w:styleId="FootnoteReference">
    <w:name w:val="footnote reference"/>
    <w:basedOn w:val="DefaultParagraphFont"/>
    <w:uiPriority w:val="99"/>
    <w:semiHidden/>
    <w:rsid w:val="008F0DEA"/>
    <w:rPr>
      <w:vertAlign w:val="superscript"/>
    </w:rPr>
  </w:style>
  <w:style w:type="character" w:styleId="PageNumber">
    <w:name w:val="page number"/>
    <w:basedOn w:val="DefaultParagraphFont"/>
    <w:rsid w:val="008F0DEA"/>
  </w:style>
  <w:style w:type="paragraph" w:styleId="BalloonText">
    <w:name w:val="Balloon Text"/>
    <w:basedOn w:val="Normal"/>
    <w:link w:val="BalloonTextChar"/>
    <w:rsid w:val="00B61FA1"/>
    <w:rPr>
      <w:rFonts w:ascii="Tahoma" w:hAnsi="Tahoma" w:cs="Tahoma"/>
      <w:sz w:val="16"/>
      <w:szCs w:val="16"/>
    </w:rPr>
  </w:style>
  <w:style w:type="character" w:customStyle="1" w:styleId="BalloonTextChar">
    <w:name w:val="Balloon Text Char"/>
    <w:basedOn w:val="DefaultParagraphFont"/>
    <w:link w:val="BalloonText"/>
    <w:rsid w:val="00B61FA1"/>
    <w:rPr>
      <w:rFonts w:ascii="Tahoma" w:hAnsi="Tahoma" w:cs="Tahoma"/>
      <w:sz w:val="16"/>
      <w:szCs w:val="16"/>
    </w:rPr>
  </w:style>
  <w:style w:type="paragraph" w:styleId="ListParagraph">
    <w:name w:val="List Paragraph"/>
    <w:basedOn w:val="Normal"/>
    <w:uiPriority w:val="34"/>
    <w:qFormat/>
    <w:rsid w:val="0070257F"/>
    <w:pPr>
      <w:ind w:left="720"/>
    </w:pPr>
  </w:style>
  <w:style w:type="character" w:customStyle="1" w:styleId="FooterChar">
    <w:name w:val="Footer Char"/>
    <w:basedOn w:val="DefaultParagraphFont"/>
    <w:link w:val="Footer"/>
    <w:uiPriority w:val="99"/>
    <w:rsid w:val="007C0034"/>
    <w:rPr>
      <w:sz w:val="24"/>
      <w:szCs w:val="24"/>
    </w:rPr>
  </w:style>
  <w:style w:type="character" w:styleId="CommentReference">
    <w:name w:val="annotation reference"/>
    <w:basedOn w:val="DefaultParagraphFont"/>
    <w:rsid w:val="007E17FD"/>
    <w:rPr>
      <w:sz w:val="16"/>
      <w:szCs w:val="16"/>
    </w:rPr>
  </w:style>
  <w:style w:type="paragraph" w:styleId="CommentText">
    <w:name w:val="annotation text"/>
    <w:basedOn w:val="Normal"/>
    <w:link w:val="CommentTextChar"/>
    <w:rsid w:val="007E17FD"/>
    <w:rPr>
      <w:sz w:val="20"/>
      <w:szCs w:val="20"/>
    </w:rPr>
  </w:style>
  <w:style w:type="character" w:customStyle="1" w:styleId="CommentTextChar">
    <w:name w:val="Comment Text Char"/>
    <w:basedOn w:val="DefaultParagraphFont"/>
    <w:link w:val="CommentText"/>
    <w:rsid w:val="007E17FD"/>
  </w:style>
  <w:style w:type="paragraph" w:styleId="CommentSubject">
    <w:name w:val="annotation subject"/>
    <w:basedOn w:val="CommentText"/>
    <w:next w:val="CommentText"/>
    <w:link w:val="CommentSubjectChar"/>
    <w:rsid w:val="007E17FD"/>
    <w:rPr>
      <w:b/>
      <w:bCs/>
    </w:rPr>
  </w:style>
  <w:style w:type="character" w:customStyle="1" w:styleId="CommentSubjectChar">
    <w:name w:val="Comment Subject Char"/>
    <w:basedOn w:val="CommentTextChar"/>
    <w:link w:val="CommentSubject"/>
    <w:rsid w:val="007E17FD"/>
    <w:rPr>
      <w:b/>
      <w:bCs/>
    </w:rPr>
  </w:style>
  <w:style w:type="paragraph" w:styleId="NormalWeb">
    <w:name w:val="Normal (Web)"/>
    <w:basedOn w:val="Normal"/>
    <w:uiPriority w:val="99"/>
    <w:unhideWhenUsed/>
    <w:rsid w:val="00834734"/>
    <w:pPr>
      <w:spacing w:before="100" w:beforeAutospacing="1" w:after="100" w:afterAutospacing="1"/>
    </w:pPr>
    <w:rPr>
      <w:rFonts w:ascii="Calibri" w:eastAsia="Calibri" w:hAnsi="Calibri" w:cs="Calibri"/>
      <w:sz w:val="22"/>
      <w:szCs w:val="22"/>
    </w:rPr>
  </w:style>
  <w:style w:type="character" w:styleId="Hyperlink">
    <w:name w:val="Hyperlink"/>
    <w:basedOn w:val="DefaultParagraphFont"/>
    <w:unhideWhenUsed/>
    <w:rsid w:val="0083355D"/>
    <w:rPr>
      <w:color w:val="0000FF" w:themeColor="hyperlink"/>
      <w:u w:val="single"/>
    </w:rPr>
  </w:style>
  <w:style w:type="character" w:styleId="UnresolvedMention">
    <w:name w:val="Unresolved Mention"/>
    <w:basedOn w:val="DefaultParagraphFont"/>
    <w:uiPriority w:val="99"/>
    <w:semiHidden/>
    <w:unhideWhenUsed/>
    <w:rsid w:val="0083355D"/>
    <w:rPr>
      <w:color w:val="605E5C"/>
      <w:shd w:val="clear" w:color="auto" w:fill="E1DFDD"/>
    </w:rPr>
  </w:style>
  <w:style w:type="paragraph" w:styleId="Revision">
    <w:name w:val="Revision"/>
    <w:hidden/>
    <w:uiPriority w:val="99"/>
    <w:semiHidden/>
    <w:rsid w:val="00053C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0006">
      <w:bodyDiv w:val="1"/>
      <w:marLeft w:val="0"/>
      <w:marRight w:val="0"/>
      <w:marTop w:val="0"/>
      <w:marBottom w:val="0"/>
      <w:divBdr>
        <w:top w:val="none" w:sz="0" w:space="0" w:color="auto"/>
        <w:left w:val="none" w:sz="0" w:space="0" w:color="auto"/>
        <w:bottom w:val="none" w:sz="0" w:space="0" w:color="auto"/>
        <w:right w:val="none" w:sz="0" w:space="0" w:color="auto"/>
      </w:divBdr>
    </w:div>
    <w:div w:id="19073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ate_x002d_Time xmlns="661c9029-bfa9-40ee-8878-e72c3eb1d2a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88781-C9C8-4795-AF52-3CFD694F3B2F}">
  <ds:schemaRefs>
    <ds:schemaRef ds:uri="http://schemas.microsoft.com/sharepoint/v3/contenttype/forms"/>
  </ds:schemaRefs>
</ds:datastoreItem>
</file>

<file path=customXml/itemProps2.xml><?xml version="1.0" encoding="utf-8"?>
<ds:datastoreItem xmlns:ds="http://schemas.openxmlformats.org/officeDocument/2006/customXml" ds:itemID="{4619EE76-0D02-490D-9AF6-D465282BEB7B}">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3.xml><?xml version="1.0" encoding="utf-8"?>
<ds:datastoreItem xmlns:ds="http://schemas.openxmlformats.org/officeDocument/2006/customXml" ds:itemID="{257B8E7E-0488-430D-B087-FED9E46D5EC9}">
  <ds:schemaRefs>
    <ds:schemaRef ds:uri="http://schemas.openxmlformats.org/officeDocument/2006/bibliography"/>
  </ds:schemaRefs>
</ds:datastoreItem>
</file>

<file path=customXml/itemProps4.xml><?xml version="1.0" encoding="utf-8"?>
<ds:datastoreItem xmlns:ds="http://schemas.openxmlformats.org/officeDocument/2006/customXml" ds:itemID="{CAE96D4D-A5D4-481F-BA9F-45BB139AB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9455</Characters>
  <Application>Microsoft Office Word</Application>
  <DocSecurity>0</DocSecurity>
  <Lines>78</Lines>
  <Paragraphs>22</Paragraphs>
  <ScaleCrop>false</ScaleCrop>
  <Company>aewa</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subject/>
  <dc:creator>Dunia Sforzin (UNEP/AEWA Secretariat)</dc:creator>
  <cp:keywords/>
  <cp:lastModifiedBy>Jeannine Dicken</cp:lastModifiedBy>
  <cp:revision>16</cp:revision>
  <cp:lastPrinted>2023-03-31T17:32:00Z</cp:lastPrinted>
  <dcterms:created xsi:type="dcterms:W3CDTF">2026-03-25T14:32:00Z</dcterms:created>
  <dcterms:modified xsi:type="dcterms:W3CDTF">2026-03-27T12:20:00Z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